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22" w:rsidRPr="007079DB" w:rsidRDefault="007C0BF4" w:rsidP="00C53EDF">
      <w:pPr>
        <w:keepNext/>
        <w:spacing w:line="360" w:lineRule="auto"/>
        <w:ind w:right="-574"/>
        <w:jc w:val="center"/>
        <w:outlineLvl w:val="0"/>
        <w:rPr>
          <w:rFonts w:cs="Arial"/>
          <w:b/>
          <w:bCs/>
          <w:sz w:val="32"/>
          <w:szCs w:val="32"/>
          <w:lang w:val="en-US"/>
        </w:rPr>
      </w:pPr>
      <w:r>
        <w:rPr>
          <w:rFonts w:cs="Arial"/>
          <w:b/>
          <w:bCs/>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1.05pt;margin-top:-21.75pt;width:120.65pt;height:29.05pt;z-index:251659264;mso-position-horizontal-relative:margin;mso-position-vertical-relative:margin" wrapcoords="-85 0 -85 21234 21600 21234 21600 0 -85 0" fillcolor="window">
            <v:imagedata r:id="rId9" o:title=""/>
            <w10:wrap type="square" anchorx="margin" anchory="margin"/>
          </v:shape>
          <o:OLEObject Type="Embed" ProgID="Word.Picture.8" ShapeID="_x0000_s1026" DrawAspect="Content" ObjectID="_1603003523" r:id="rId10"/>
        </w:object>
      </w:r>
      <w:r w:rsidR="003C3824" w:rsidRPr="007079DB">
        <w:rPr>
          <w:rFonts w:cs="Arial"/>
          <w:b/>
          <w:bCs/>
          <w:sz w:val="32"/>
          <w:szCs w:val="32"/>
          <w:lang w:val="en-US"/>
        </w:rPr>
        <w:t>INFORMATION ABOUT TOBACCO</w:t>
      </w:r>
    </w:p>
    <w:p w:rsidR="00DF0BCC" w:rsidRPr="007079DB" w:rsidRDefault="00DF0BCC" w:rsidP="00216522">
      <w:pPr>
        <w:keepNext/>
        <w:spacing w:line="360" w:lineRule="auto"/>
        <w:ind w:right="-574"/>
        <w:outlineLvl w:val="0"/>
        <w:rPr>
          <w:rFonts w:cs="Arial"/>
          <w:i/>
          <w:sz w:val="22"/>
          <w:szCs w:val="22"/>
        </w:rPr>
      </w:pPr>
    </w:p>
    <w:p w:rsidR="00932393" w:rsidRPr="007079DB" w:rsidRDefault="00932393" w:rsidP="007079DB">
      <w:pPr>
        <w:ind w:right="-31"/>
        <w:jc w:val="both"/>
        <w:rPr>
          <w:rFonts w:cs="Arial"/>
          <w:i/>
          <w:sz w:val="24"/>
          <w:szCs w:val="22"/>
        </w:rPr>
      </w:pPr>
      <w:r w:rsidRPr="007079DB">
        <w:rPr>
          <w:rFonts w:cs="Arial"/>
          <w:b/>
          <w:i/>
          <w:sz w:val="24"/>
          <w:szCs w:val="22"/>
        </w:rPr>
        <w:t>The Victorian Government has been introducing smoking bans to help protect the health of the community.</w:t>
      </w:r>
      <w:r w:rsidRPr="007079DB">
        <w:rPr>
          <w:rFonts w:cs="Arial"/>
          <w:i/>
          <w:sz w:val="24"/>
          <w:szCs w:val="22"/>
        </w:rPr>
        <w:t xml:space="preserve"> </w:t>
      </w:r>
    </w:p>
    <w:p w:rsidR="00EE0C82" w:rsidRPr="007079DB" w:rsidRDefault="00EE0C82" w:rsidP="00DF0BCC">
      <w:pPr>
        <w:keepNext/>
        <w:spacing w:line="360" w:lineRule="auto"/>
        <w:ind w:right="-574"/>
        <w:outlineLvl w:val="0"/>
        <w:rPr>
          <w:rFonts w:cs="Arial"/>
          <w:bCs/>
          <w:i/>
          <w:sz w:val="22"/>
          <w:szCs w:val="22"/>
          <w:lang w:val="en-US"/>
        </w:rPr>
      </w:pPr>
    </w:p>
    <w:p w:rsidR="006579CB" w:rsidRPr="007079DB" w:rsidRDefault="00C355DF" w:rsidP="00DF0BCC">
      <w:pPr>
        <w:jc w:val="both"/>
        <w:rPr>
          <w:rFonts w:cs="Arial"/>
          <w:sz w:val="28"/>
          <w:szCs w:val="22"/>
          <w:u w:val="single"/>
        </w:rPr>
      </w:pPr>
      <w:r w:rsidRPr="007079DB">
        <w:rPr>
          <w:rFonts w:cs="Arial"/>
          <w:b/>
          <w:sz w:val="28"/>
          <w:szCs w:val="22"/>
          <w:u w:val="single"/>
        </w:rPr>
        <w:t>WORKPLACES/DINING ESTABLISHMENTS</w:t>
      </w:r>
      <w:r w:rsidR="00932393" w:rsidRPr="007079DB">
        <w:rPr>
          <w:rFonts w:cs="Arial"/>
          <w:sz w:val="28"/>
          <w:szCs w:val="22"/>
          <w:u w:val="single"/>
        </w:rPr>
        <w:t xml:space="preserve"> </w:t>
      </w:r>
    </w:p>
    <w:p w:rsidR="00C83DDA" w:rsidRPr="007079DB" w:rsidRDefault="00C83DDA" w:rsidP="00DF0BCC">
      <w:pPr>
        <w:jc w:val="both"/>
        <w:rPr>
          <w:rFonts w:cs="Arial"/>
          <w:sz w:val="22"/>
          <w:szCs w:val="22"/>
        </w:rPr>
      </w:pPr>
    </w:p>
    <w:p w:rsidR="003C3824" w:rsidRPr="00216522" w:rsidRDefault="003C3824" w:rsidP="00DF0BCC">
      <w:pPr>
        <w:jc w:val="both"/>
        <w:rPr>
          <w:rFonts w:cs="Arial"/>
          <w:sz w:val="22"/>
          <w:szCs w:val="22"/>
        </w:rPr>
      </w:pPr>
      <w:r w:rsidRPr="00216522">
        <w:rPr>
          <w:rFonts w:cs="Arial"/>
          <w:sz w:val="22"/>
          <w:szCs w:val="22"/>
        </w:rPr>
        <w:t>A</w:t>
      </w:r>
      <w:r w:rsidRPr="00216522">
        <w:rPr>
          <w:rFonts w:cs="Arial"/>
          <w:color w:val="23242B"/>
          <w:sz w:val="22"/>
          <w:szCs w:val="22"/>
          <w:lang w:eastAsia="en-AU"/>
        </w:rPr>
        <w:t>ll enclosed workplaces, including any food or drink premises and shopping centres are smoke-free</w:t>
      </w:r>
      <w:r w:rsidR="00F03916" w:rsidRPr="00216522">
        <w:rPr>
          <w:rFonts w:cs="Arial"/>
          <w:color w:val="23242B"/>
          <w:sz w:val="22"/>
          <w:szCs w:val="22"/>
          <w:lang w:eastAsia="en-AU"/>
        </w:rPr>
        <w:t>.</w:t>
      </w:r>
      <w:r w:rsidRPr="00216522">
        <w:rPr>
          <w:rFonts w:cs="Arial"/>
          <w:color w:val="23242B"/>
          <w:sz w:val="22"/>
          <w:szCs w:val="22"/>
          <w:lang w:eastAsia="en-AU"/>
        </w:rPr>
        <w:t xml:space="preserve"> </w:t>
      </w:r>
      <w:r w:rsidRPr="00216522">
        <w:rPr>
          <w:rFonts w:cs="Arial"/>
          <w:sz w:val="22"/>
          <w:szCs w:val="22"/>
        </w:rPr>
        <w:t xml:space="preserve">The occupier (person in control) of the workplace, may also be liable for breaching the Tobacco Act if smoking occurs, as well as under the Food Act in certain circumstances. </w:t>
      </w:r>
    </w:p>
    <w:p w:rsidR="003A60EB" w:rsidRPr="00216522" w:rsidRDefault="003A60EB" w:rsidP="00DF0BCC">
      <w:pPr>
        <w:jc w:val="both"/>
        <w:rPr>
          <w:rFonts w:cs="Arial"/>
          <w:szCs w:val="22"/>
        </w:rPr>
      </w:pPr>
    </w:p>
    <w:p w:rsidR="003A60EB" w:rsidRPr="00216522" w:rsidRDefault="003A60EB" w:rsidP="00DF0BCC">
      <w:pPr>
        <w:jc w:val="both"/>
        <w:rPr>
          <w:rFonts w:cs="Arial"/>
          <w:sz w:val="22"/>
        </w:rPr>
      </w:pPr>
      <w:r w:rsidRPr="00216522">
        <w:rPr>
          <w:rFonts w:cs="Arial"/>
          <w:sz w:val="22"/>
        </w:rPr>
        <w:t xml:space="preserve">Smoking is also prohibited within </w:t>
      </w:r>
      <w:r w:rsidRPr="00216522">
        <w:rPr>
          <w:rFonts w:cs="Arial"/>
          <w:b/>
          <w:sz w:val="22"/>
        </w:rPr>
        <w:t>four metres</w:t>
      </w:r>
      <w:r w:rsidRPr="00216522">
        <w:rPr>
          <w:rFonts w:cs="Arial"/>
          <w:sz w:val="22"/>
        </w:rPr>
        <w:t xml:space="preserve"> of an entrance to all Victorian children’s indoor play centres, public hospitals, registered community health centres and certain Victorian Government buildings (such as Centrelink, Magistrates Court etc.). The ban at entrances applies to schools, childcare centres and kindergartens as well, </w:t>
      </w:r>
      <w:r w:rsidR="00DF0BCC" w:rsidRPr="00216522">
        <w:rPr>
          <w:rFonts w:cs="Arial"/>
          <w:sz w:val="22"/>
        </w:rPr>
        <w:t>with smoking</w:t>
      </w:r>
      <w:r w:rsidRPr="00216522">
        <w:rPr>
          <w:rFonts w:cs="Arial"/>
          <w:sz w:val="22"/>
        </w:rPr>
        <w:t xml:space="preserve"> also banned on the grounds of these premises.</w:t>
      </w:r>
    </w:p>
    <w:p w:rsidR="003C3824" w:rsidRDefault="003C3824" w:rsidP="00DF0BCC">
      <w:pPr>
        <w:jc w:val="both"/>
        <w:rPr>
          <w:rFonts w:cs="Arial"/>
          <w:szCs w:val="22"/>
        </w:rPr>
      </w:pPr>
    </w:p>
    <w:p w:rsidR="00076E61" w:rsidRPr="00216522" w:rsidRDefault="00076E61" w:rsidP="00DF0BCC">
      <w:pPr>
        <w:jc w:val="both"/>
        <w:rPr>
          <w:rFonts w:cs="Arial"/>
          <w:szCs w:val="22"/>
        </w:rPr>
      </w:pPr>
    </w:p>
    <w:tbl>
      <w:tblPr>
        <w:tblStyle w:val="GridTable5Dark-Accent5"/>
        <w:tblW w:w="0" w:type="auto"/>
        <w:jc w:val="center"/>
        <w:tblLook w:val="04A0" w:firstRow="1" w:lastRow="0" w:firstColumn="1" w:lastColumn="0" w:noHBand="0" w:noVBand="1"/>
      </w:tblPr>
      <w:tblGrid>
        <w:gridCol w:w="4749"/>
        <w:gridCol w:w="4749"/>
      </w:tblGrid>
      <w:tr w:rsidR="00DC13CF" w:rsidRPr="00216522" w:rsidTr="00C53E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49" w:type="dxa"/>
            <w:tcBorders>
              <w:right w:val="single" w:sz="36" w:space="0" w:color="FFFFFF" w:themeColor="background1"/>
            </w:tcBorders>
          </w:tcPr>
          <w:p w:rsidR="00DC13CF" w:rsidRPr="00C53EDF" w:rsidRDefault="00DF0BCC" w:rsidP="00253339">
            <w:pPr>
              <w:rPr>
                <w:rFonts w:cs="Arial"/>
                <w:color w:val="BDD6EE" w:themeColor="accent1" w:themeTint="66"/>
                <w:sz w:val="28"/>
                <w:szCs w:val="22"/>
              </w:rPr>
            </w:pPr>
            <w:r w:rsidRPr="00C53EDF">
              <w:rPr>
                <w:rFonts w:cs="Arial"/>
                <w:color w:val="BDD6EE" w:themeColor="accent1" w:themeTint="66"/>
                <w:sz w:val="28"/>
                <w:szCs w:val="22"/>
              </w:rPr>
              <w:t>Outdoor Dining areas</w:t>
            </w:r>
          </w:p>
          <w:p w:rsidR="00DC13CF" w:rsidRPr="00216522" w:rsidRDefault="00DC13CF" w:rsidP="00253339">
            <w:pPr>
              <w:rPr>
                <w:rFonts w:cs="Arial"/>
                <w:sz w:val="22"/>
                <w:szCs w:val="22"/>
              </w:rPr>
            </w:pPr>
          </w:p>
          <w:p w:rsidR="00DC13CF" w:rsidRPr="00216522" w:rsidRDefault="00DC13CF" w:rsidP="00C53EDF">
            <w:pPr>
              <w:jc w:val="both"/>
              <w:rPr>
                <w:rFonts w:cs="Arial"/>
                <w:sz w:val="22"/>
                <w:szCs w:val="22"/>
              </w:rPr>
            </w:pPr>
            <w:r w:rsidRPr="00216522">
              <w:rPr>
                <w:rFonts w:cs="Arial"/>
                <w:sz w:val="22"/>
                <w:szCs w:val="22"/>
              </w:rPr>
              <w:t xml:space="preserve">Smoking is banned in all outdoor dining areas including </w:t>
            </w:r>
            <w:r w:rsidRPr="00216522">
              <w:rPr>
                <w:rFonts w:cs="Arial"/>
                <w:sz w:val="22"/>
                <w:szCs w:val="22"/>
                <w:lang w:eastAsia="en-AU"/>
              </w:rPr>
              <w:t>alfresco dining areas, courtyards and beer gardens during times food is being eaten, or is available to be eaten</w:t>
            </w:r>
          </w:p>
          <w:p w:rsidR="00DC13CF" w:rsidRPr="00216522" w:rsidRDefault="00DC13CF" w:rsidP="00C53EDF">
            <w:pPr>
              <w:jc w:val="both"/>
              <w:rPr>
                <w:rFonts w:cs="Arial"/>
                <w:sz w:val="22"/>
                <w:szCs w:val="22"/>
              </w:rPr>
            </w:pPr>
          </w:p>
          <w:p w:rsidR="00DC13CF" w:rsidRPr="00216522" w:rsidRDefault="00DC13CF" w:rsidP="00C53EDF">
            <w:pPr>
              <w:autoSpaceDE w:val="0"/>
              <w:autoSpaceDN w:val="0"/>
              <w:adjustRightInd w:val="0"/>
              <w:contextualSpacing/>
              <w:jc w:val="both"/>
              <w:rPr>
                <w:rFonts w:cs="Arial"/>
                <w:sz w:val="22"/>
                <w:szCs w:val="22"/>
                <w:lang w:eastAsia="en-AU"/>
              </w:rPr>
            </w:pPr>
            <w:r w:rsidRPr="00216522">
              <w:rPr>
                <w:rFonts w:cs="Arial"/>
                <w:sz w:val="22"/>
                <w:szCs w:val="22"/>
                <w:lang w:eastAsia="en-AU"/>
              </w:rPr>
              <w:t xml:space="preserve">Existing smoking restrictions for outdoor drinking areas continue to apply </w:t>
            </w:r>
            <w:r w:rsidR="00932393">
              <w:rPr>
                <w:rFonts w:cs="Arial"/>
                <w:sz w:val="22"/>
                <w:szCs w:val="22"/>
                <w:lang w:eastAsia="en-AU"/>
              </w:rPr>
              <w:t xml:space="preserve">which means </w:t>
            </w:r>
            <w:r w:rsidRPr="00216522">
              <w:rPr>
                <w:rFonts w:cs="Arial"/>
                <w:sz w:val="22"/>
                <w:szCs w:val="22"/>
                <w:lang w:eastAsia="en-AU"/>
              </w:rPr>
              <w:t xml:space="preserve">smoking is banned in an area that has a roof and the total actual area of wall surface exceeds 75% of the total notional wall area. </w:t>
            </w:r>
          </w:p>
          <w:p w:rsidR="00DC13CF" w:rsidRPr="00216522" w:rsidRDefault="00DC13CF" w:rsidP="00253339">
            <w:pPr>
              <w:rPr>
                <w:rFonts w:cs="Arial"/>
              </w:rPr>
            </w:pPr>
          </w:p>
        </w:tc>
        <w:tc>
          <w:tcPr>
            <w:tcW w:w="4749" w:type="dxa"/>
            <w:tcBorders>
              <w:left w:val="single" w:sz="36" w:space="0" w:color="FFFFFF" w:themeColor="background1"/>
            </w:tcBorders>
          </w:tcPr>
          <w:p w:rsidR="00DC13CF" w:rsidRPr="00DF0BCC" w:rsidRDefault="00DF0BCC" w:rsidP="00253339">
            <w:pPr>
              <w:cnfStyle w:val="100000000000" w:firstRow="1" w:lastRow="0" w:firstColumn="0" w:lastColumn="0" w:oddVBand="0" w:evenVBand="0" w:oddHBand="0" w:evenHBand="0" w:firstRowFirstColumn="0" w:firstRowLastColumn="0" w:lastRowFirstColumn="0" w:lastRowLastColumn="0"/>
              <w:rPr>
                <w:rFonts w:cs="Arial"/>
                <w:color w:val="auto"/>
                <w:sz w:val="28"/>
                <w:szCs w:val="22"/>
              </w:rPr>
            </w:pPr>
            <w:r w:rsidRPr="00C53EDF">
              <w:rPr>
                <w:rFonts w:cs="Arial"/>
                <w:color w:val="BDD6EE" w:themeColor="accent1" w:themeTint="66"/>
                <w:sz w:val="28"/>
                <w:szCs w:val="22"/>
              </w:rPr>
              <w:t>Outdoor Drinking areas</w:t>
            </w:r>
          </w:p>
          <w:p w:rsidR="00DC13CF" w:rsidRPr="00216522" w:rsidRDefault="00DC13CF" w:rsidP="00253339">
            <w:pPr>
              <w:cnfStyle w:val="100000000000" w:firstRow="1" w:lastRow="0" w:firstColumn="0" w:lastColumn="0" w:oddVBand="0" w:evenVBand="0" w:oddHBand="0" w:evenHBand="0" w:firstRowFirstColumn="0" w:firstRowLastColumn="0" w:lastRowFirstColumn="0" w:lastRowLastColumn="0"/>
              <w:rPr>
                <w:rFonts w:cs="Arial"/>
                <w:sz w:val="22"/>
                <w:szCs w:val="22"/>
              </w:rPr>
            </w:pPr>
          </w:p>
          <w:p w:rsidR="00DC13CF" w:rsidRPr="00DF0BCC" w:rsidRDefault="00DC13CF" w:rsidP="00DF0BCC">
            <w:pPr>
              <w:jc w:val="both"/>
              <w:cnfStyle w:val="100000000000" w:firstRow="1" w:lastRow="0" w:firstColumn="0" w:lastColumn="0" w:oddVBand="0" w:evenVBand="0" w:oddHBand="0" w:evenHBand="0" w:firstRowFirstColumn="0" w:firstRowLastColumn="0" w:lastRowFirstColumn="0" w:lastRowLastColumn="0"/>
              <w:rPr>
                <w:rFonts w:cs="Arial"/>
                <w:sz w:val="22"/>
                <w:szCs w:val="24"/>
                <w:lang w:eastAsia="en-AU"/>
              </w:rPr>
            </w:pPr>
            <w:r w:rsidRPr="00DF0BCC">
              <w:rPr>
                <w:rFonts w:cs="Arial"/>
                <w:sz w:val="22"/>
                <w:szCs w:val="24"/>
                <w:lang w:eastAsia="en-AU"/>
              </w:rPr>
              <w:t xml:space="preserve">To complement smoke-free outdoor dining, smoking is banned in an outdoor drinking area if any part of that area is within 4 metres of an outdoor dining area, unless separated by a </w:t>
            </w:r>
          </w:p>
          <w:p w:rsidR="00DC13CF" w:rsidRPr="00DF0BCC" w:rsidRDefault="00DC13CF" w:rsidP="00DF0BCC">
            <w:pPr>
              <w:jc w:val="both"/>
              <w:cnfStyle w:val="100000000000" w:firstRow="1" w:lastRow="0" w:firstColumn="0" w:lastColumn="0" w:oddVBand="0" w:evenVBand="0" w:oddHBand="0" w:evenHBand="0" w:firstRowFirstColumn="0" w:firstRowLastColumn="0" w:lastRowFirstColumn="0" w:lastRowLastColumn="0"/>
              <w:rPr>
                <w:rFonts w:cs="Arial"/>
                <w:sz w:val="22"/>
                <w:szCs w:val="24"/>
                <w:lang w:eastAsia="en-AU"/>
              </w:rPr>
            </w:pPr>
            <w:r w:rsidRPr="00DF0BCC">
              <w:rPr>
                <w:rFonts w:cs="Arial"/>
                <w:sz w:val="22"/>
                <w:szCs w:val="24"/>
                <w:lang w:eastAsia="en-AU"/>
              </w:rPr>
              <w:t xml:space="preserve">4 metre buffer zone </w:t>
            </w:r>
            <w:r w:rsidRPr="00DF0BCC">
              <w:rPr>
                <w:rFonts w:cs="Arial"/>
                <w:sz w:val="22"/>
                <w:szCs w:val="24"/>
                <w:u w:val="single"/>
                <w:lang w:eastAsia="en-AU"/>
              </w:rPr>
              <w:t>or</w:t>
            </w:r>
            <w:r w:rsidRPr="00DF0BCC">
              <w:rPr>
                <w:rFonts w:cs="Arial"/>
                <w:sz w:val="22"/>
                <w:szCs w:val="24"/>
                <w:lang w:eastAsia="en-AU"/>
              </w:rPr>
              <w:t xml:space="preserve"> wall of at least 2.1 metres high</w:t>
            </w:r>
          </w:p>
          <w:p w:rsidR="00DC13CF" w:rsidRPr="00216522" w:rsidRDefault="00DC13CF" w:rsidP="00253339">
            <w:pPr>
              <w:cnfStyle w:val="100000000000" w:firstRow="1" w:lastRow="0" w:firstColumn="0" w:lastColumn="0" w:oddVBand="0" w:evenVBand="0" w:oddHBand="0" w:evenHBand="0" w:firstRowFirstColumn="0" w:firstRowLastColumn="0" w:lastRowFirstColumn="0" w:lastRowLastColumn="0"/>
              <w:rPr>
                <w:rFonts w:cs="Arial"/>
              </w:rPr>
            </w:pPr>
          </w:p>
        </w:tc>
      </w:tr>
    </w:tbl>
    <w:p w:rsidR="00DC13CF" w:rsidRDefault="00DC13CF" w:rsidP="003C3824">
      <w:pPr>
        <w:rPr>
          <w:rFonts w:cs="Arial"/>
          <w:szCs w:val="22"/>
        </w:rPr>
      </w:pPr>
    </w:p>
    <w:p w:rsidR="00EE0C82" w:rsidRPr="00216522" w:rsidRDefault="00EE0C82" w:rsidP="003C3824">
      <w:pPr>
        <w:rPr>
          <w:rFonts w:cs="Arial"/>
          <w:szCs w:val="22"/>
        </w:rPr>
      </w:pPr>
    </w:p>
    <w:p w:rsidR="006579CB" w:rsidRPr="007079DB" w:rsidRDefault="00C355DF" w:rsidP="00DF0BCC">
      <w:pPr>
        <w:jc w:val="both"/>
        <w:rPr>
          <w:rFonts w:cs="Arial"/>
          <w:b/>
          <w:sz w:val="24"/>
          <w:szCs w:val="22"/>
        </w:rPr>
      </w:pPr>
      <w:r w:rsidRPr="007079DB">
        <w:rPr>
          <w:rFonts w:cs="Arial"/>
          <w:b/>
          <w:sz w:val="28"/>
          <w:szCs w:val="22"/>
          <w:u w:val="single"/>
        </w:rPr>
        <w:t>OUTDOOR ACTIVITIES</w:t>
      </w:r>
    </w:p>
    <w:p w:rsidR="0099458C" w:rsidRPr="00216522" w:rsidRDefault="0099458C" w:rsidP="00DF0BCC">
      <w:pPr>
        <w:jc w:val="both"/>
        <w:rPr>
          <w:rFonts w:cs="Arial"/>
          <w:b/>
          <w:sz w:val="22"/>
          <w:szCs w:val="22"/>
        </w:rPr>
      </w:pPr>
      <w:r w:rsidRPr="00216522">
        <w:rPr>
          <w:rFonts w:cs="Arial"/>
          <w:sz w:val="22"/>
        </w:rPr>
        <w:t xml:space="preserve">Smoking in banned within </w:t>
      </w:r>
      <w:r w:rsidRPr="00216522">
        <w:rPr>
          <w:rFonts w:cs="Arial"/>
          <w:b/>
          <w:sz w:val="22"/>
        </w:rPr>
        <w:t>ten metres</w:t>
      </w:r>
      <w:r w:rsidRPr="00216522">
        <w:rPr>
          <w:rFonts w:cs="Arial"/>
          <w:sz w:val="22"/>
        </w:rPr>
        <w:t xml:space="preserve"> of outdoor public children’s playground equipment, skate parks and sporting venues during organised underage sporting events, as well as in the outdoor areas of public swimming pools.</w:t>
      </w:r>
    </w:p>
    <w:p w:rsidR="0099458C" w:rsidRPr="00216522" w:rsidRDefault="0099458C" w:rsidP="0099458C">
      <w:pPr>
        <w:rPr>
          <w:rFonts w:cs="Arial"/>
          <w:sz w:val="22"/>
          <w:szCs w:val="22"/>
        </w:rPr>
      </w:pPr>
    </w:p>
    <w:p w:rsidR="003C3824" w:rsidRPr="00216522" w:rsidRDefault="0099458C" w:rsidP="003C3824">
      <w:pPr>
        <w:rPr>
          <w:rFonts w:cs="Arial"/>
          <w:sz w:val="22"/>
          <w:szCs w:val="22"/>
        </w:rPr>
      </w:pPr>
      <w:r w:rsidRPr="00216522">
        <w:rPr>
          <w:rFonts w:cs="Arial"/>
          <w:noProof/>
          <w:sz w:val="22"/>
          <w:lang w:eastAsia="en-AU"/>
        </w:rPr>
        <w:drawing>
          <wp:inline distT="0" distB="0" distL="0" distR="0" wp14:anchorId="14B93D70" wp14:editId="21769FD8">
            <wp:extent cx="6318885" cy="590550"/>
            <wp:effectExtent l="0" t="0" r="5715" b="0"/>
            <wp:docPr id="9" name="Picture 9" descr="Children at play. Please don't smoke here. State Government Victor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ren at play. Please don't smoke here. State Government Victori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5219" cy="591142"/>
                    </a:xfrm>
                    <a:prstGeom prst="rect">
                      <a:avLst/>
                    </a:prstGeom>
                    <a:noFill/>
                    <a:ln>
                      <a:noFill/>
                    </a:ln>
                  </pic:spPr>
                </pic:pic>
              </a:graphicData>
            </a:graphic>
          </wp:inline>
        </w:drawing>
      </w:r>
    </w:p>
    <w:p w:rsidR="00EE0C82" w:rsidRDefault="00EE0C82" w:rsidP="003C3824">
      <w:pPr>
        <w:rPr>
          <w:rFonts w:cs="Arial"/>
          <w:sz w:val="22"/>
          <w:szCs w:val="22"/>
        </w:rPr>
      </w:pPr>
    </w:p>
    <w:p w:rsidR="00703C6D" w:rsidRDefault="00703C6D" w:rsidP="003C3824">
      <w:pPr>
        <w:rPr>
          <w:rFonts w:cs="Arial"/>
          <w:sz w:val="22"/>
          <w:szCs w:val="22"/>
        </w:rPr>
      </w:pPr>
    </w:p>
    <w:p w:rsidR="006579CB" w:rsidRPr="007079DB" w:rsidRDefault="00C355DF" w:rsidP="007079DB">
      <w:pPr>
        <w:jc w:val="both"/>
        <w:rPr>
          <w:rFonts w:cs="Arial"/>
          <w:b/>
          <w:sz w:val="28"/>
          <w:szCs w:val="22"/>
          <w:u w:val="single"/>
        </w:rPr>
      </w:pPr>
      <w:r w:rsidRPr="007079DB">
        <w:rPr>
          <w:rFonts w:cs="Arial"/>
          <w:b/>
          <w:sz w:val="28"/>
          <w:szCs w:val="22"/>
          <w:u w:val="single"/>
        </w:rPr>
        <w:t xml:space="preserve">EVENTS </w:t>
      </w:r>
    </w:p>
    <w:p w:rsidR="00B00E3B" w:rsidRPr="00216522" w:rsidRDefault="00DF0BCC" w:rsidP="00DF0BCC">
      <w:pPr>
        <w:shd w:val="clear" w:color="auto" w:fill="FFFFFF"/>
        <w:contextualSpacing/>
        <w:jc w:val="both"/>
        <w:outlineLvl w:val="0"/>
        <w:rPr>
          <w:rFonts w:cs="Arial"/>
          <w:sz w:val="22"/>
          <w:szCs w:val="22"/>
        </w:rPr>
      </w:pPr>
      <w:r w:rsidRPr="006579CB">
        <w:rPr>
          <w:rFonts w:cs="Arial"/>
          <w:kern w:val="36"/>
          <w:sz w:val="22"/>
          <w:szCs w:val="22"/>
          <w:lang w:eastAsia="en-AU"/>
        </w:rPr>
        <w:t>Smoking</w:t>
      </w:r>
      <w:r w:rsidR="00B00E3B" w:rsidRPr="00216522">
        <w:rPr>
          <w:rFonts w:cs="Arial"/>
          <w:kern w:val="36"/>
          <w:sz w:val="22"/>
          <w:szCs w:val="22"/>
          <w:lang w:eastAsia="en-AU"/>
        </w:rPr>
        <w:t xml:space="preserve"> is</w:t>
      </w:r>
      <w:r w:rsidR="003A60EB" w:rsidRPr="00216522">
        <w:rPr>
          <w:rFonts w:cs="Arial"/>
          <w:kern w:val="36"/>
          <w:sz w:val="22"/>
          <w:szCs w:val="22"/>
          <w:lang w:eastAsia="en-AU"/>
        </w:rPr>
        <w:t xml:space="preserve"> banned </w:t>
      </w:r>
      <w:r w:rsidR="00B00E3B" w:rsidRPr="00216522">
        <w:rPr>
          <w:rFonts w:cs="Arial"/>
          <w:sz w:val="22"/>
          <w:szCs w:val="22"/>
          <w:lang w:eastAsia="en-AU"/>
        </w:rPr>
        <w:t xml:space="preserve">in all outdoor public areas at a </w:t>
      </w:r>
      <w:r w:rsidR="00B00E3B" w:rsidRPr="00216522">
        <w:rPr>
          <w:rFonts w:cs="Arial"/>
          <w:b/>
          <w:sz w:val="22"/>
          <w:szCs w:val="22"/>
          <w:lang w:eastAsia="en-AU"/>
        </w:rPr>
        <w:t xml:space="preserve">food fair. </w:t>
      </w:r>
      <w:r w:rsidR="00B00E3B" w:rsidRPr="00216522">
        <w:rPr>
          <w:rFonts w:cs="Arial"/>
          <w:sz w:val="22"/>
          <w:szCs w:val="22"/>
          <w:lang w:eastAsia="en-AU"/>
        </w:rPr>
        <w:t xml:space="preserve">A food fair is an event where the principal activity is the supply of food for consumption at the event. </w:t>
      </w:r>
      <w:r w:rsidR="00B00E3B" w:rsidRPr="00216522">
        <w:rPr>
          <w:rFonts w:cs="Arial"/>
          <w:sz w:val="22"/>
          <w:szCs w:val="22"/>
        </w:rPr>
        <w:t xml:space="preserve">That is, the entire food fair is required to be smoke-free. This means that a designated smoking area is not allowed at a food fair. </w:t>
      </w:r>
    </w:p>
    <w:p w:rsidR="00B00E3B" w:rsidRPr="00216522" w:rsidRDefault="00B00E3B" w:rsidP="00DF0BCC">
      <w:pPr>
        <w:shd w:val="clear" w:color="auto" w:fill="FFFFFF"/>
        <w:contextualSpacing/>
        <w:jc w:val="both"/>
        <w:outlineLvl w:val="0"/>
        <w:rPr>
          <w:rFonts w:cs="Arial"/>
        </w:rPr>
      </w:pPr>
    </w:p>
    <w:p w:rsidR="00D84701" w:rsidRPr="00216522" w:rsidRDefault="00D84701" w:rsidP="00DF0BCC">
      <w:pPr>
        <w:shd w:val="clear" w:color="auto" w:fill="FFFFFF"/>
        <w:contextualSpacing/>
        <w:jc w:val="both"/>
        <w:outlineLvl w:val="0"/>
        <w:rPr>
          <w:rFonts w:cs="Arial"/>
          <w:sz w:val="22"/>
          <w:szCs w:val="22"/>
        </w:rPr>
      </w:pPr>
      <w:r w:rsidRPr="00216522">
        <w:rPr>
          <w:rFonts w:cs="Arial"/>
          <w:sz w:val="22"/>
          <w:szCs w:val="22"/>
        </w:rPr>
        <w:t xml:space="preserve">Smoking is banned in outdoor public areas that are within </w:t>
      </w:r>
      <w:r w:rsidRPr="00216522">
        <w:rPr>
          <w:rFonts w:cs="Arial"/>
          <w:b/>
          <w:sz w:val="22"/>
          <w:szCs w:val="22"/>
        </w:rPr>
        <w:t>10 metres</w:t>
      </w:r>
      <w:r w:rsidRPr="00216522">
        <w:rPr>
          <w:rFonts w:cs="Arial"/>
          <w:sz w:val="22"/>
          <w:szCs w:val="22"/>
        </w:rPr>
        <w:t xml:space="preserve"> of a food stall or food vendor at an </w:t>
      </w:r>
      <w:r w:rsidRPr="00216522">
        <w:rPr>
          <w:rFonts w:cs="Arial"/>
          <w:b/>
          <w:sz w:val="22"/>
          <w:szCs w:val="22"/>
        </w:rPr>
        <w:t>organised event</w:t>
      </w:r>
      <w:r w:rsidRPr="00216522">
        <w:rPr>
          <w:rFonts w:cs="Arial"/>
          <w:sz w:val="22"/>
          <w:szCs w:val="22"/>
        </w:rPr>
        <w:t xml:space="preserve"> (other than a food fair). An organised event, it is considered to be any public event that is planned and organised in advance, and has a community, sporting, arts, cultural or volunteer focus. It may be a one-off event or part of a series of events. </w:t>
      </w:r>
    </w:p>
    <w:p w:rsidR="00D84701" w:rsidRDefault="00D84701" w:rsidP="00DF0BCC">
      <w:pPr>
        <w:shd w:val="clear" w:color="auto" w:fill="FFFFFF"/>
        <w:contextualSpacing/>
        <w:jc w:val="both"/>
        <w:outlineLvl w:val="0"/>
        <w:rPr>
          <w:rFonts w:cs="Arial"/>
          <w:sz w:val="22"/>
          <w:szCs w:val="22"/>
        </w:rPr>
      </w:pPr>
    </w:p>
    <w:p w:rsidR="005136C1" w:rsidRDefault="005136C1">
      <w:pPr>
        <w:rPr>
          <w:rFonts w:cs="Arial"/>
          <w:sz w:val="22"/>
          <w:szCs w:val="22"/>
        </w:rPr>
      </w:pPr>
    </w:p>
    <w:p w:rsidR="008821AD" w:rsidRDefault="008821AD">
      <w:pPr>
        <w:rPr>
          <w:rFonts w:cs="Arial"/>
          <w:sz w:val="22"/>
          <w:szCs w:val="22"/>
        </w:rPr>
      </w:pPr>
      <w:r>
        <w:rPr>
          <w:rFonts w:cs="Arial"/>
          <w:sz w:val="22"/>
          <w:szCs w:val="22"/>
        </w:rPr>
        <w:br w:type="page"/>
      </w:r>
    </w:p>
    <w:p w:rsidR="006579CB" w:rsidRPr="007079DB" w:rsidRDefault="00C355DF" w:rsidP="007079DB">
      <w:pPr>
        <w:jc w:val="both"/>
        <w:rPr>
          <w:rFonts w:cs="Arial"/>
          <w:b/>
          <w:sz w:val="28"/>
          <w:szCs w:val="22"/>
          <w:u w:val="single"/>
        </w:rPr>
      </w:pPr>
      <w:r w:rsidRPr="007079DB">
        <w:rPr>
          <w:rFonts w:cs="Arial"/>
          <w:b/>
          <w:sz w:val="28"/>
          <w:szCs w:val="22"/>
          <w:u w:val="single"/>
        </w:rPr>
        <w:lastRenderedPageBreak/>
        <w:t>SIGNAGE</w:t>
      </w:r>
    </w:p>
    <w:p w:rsidR="00216522" w:rsidRPr="00216522" w:rsidRDefault="00DF0BCC" w:rsidP="00216522">
      <w:pPr>
        <w:shd w:val="clear" w:color="auto" w:fill="FFFFFF"/>
        <w:contextualSpacing/>
        <w:outlineLvl w:val="0"/>
        <w:rPr>
          <w:rFonts w:cs="Arial"/>
          <w:sz w:val="22"/>
          <w:szCs w:val="22"/>
        </w:rPr>
      </w:pPr>
      <w:r w:rsidRPr="00932393">
        <w:rPr>
          <w:rFonts w:cs="Arial"/>
          <w:sz w:val="22"/>
          <w:szCs w:val="22"/>
        </w:rPr>
        <w:t>Occupiers</w:t>
      </w:r>
      <w:r w:rsidR="00216522" w:rsidRPr="00216522">
        <w:rPr>
          <w:rFonts w:cs="Arial"/>
          <w:sz w:val="22"/>
          <w:szCs w:val="22"/>
        </w:rPr>
        <w:t xml:space="preserve"> must display acceptable ‘No smoking’ signage to indicate smoke-free areas at a hospitality venue, food fair or organised outdoor event. The prominent display of ‘No smoking’ signage is a key aspect of smoke-free outdoor dining. It will help make customers aware of the ban, promote voluntary compliance and prevent unintention</w:t>
      </w:r>
      <w:r w:rsidR="00CD7D6E">
        <w:rPr>
          <w:rFonts w:cs="Arial"/>
          <w:sz w:val="22"/>
          <w:szCs w:val="22"/>
        </w:rPr>
        <w:t>al smoking in smoke-free areas.</w:t>
      </w:r>
    </w:p>
    <w:p w:rsidR="00216522" w:rsidRPr="00216522" w:rsidRDefault="00C45042" w:rsidP="00216522">
      <w:pPr>
        <w:shd w:val="clear" w:color="auto" w:fill="FFFFFF"/>
        <w:contextualSpacing/>
        <w:outlineLvl w:val="0"/>
        <w:rPr>
          <w:rFonts w:cs="Arial"/>
          <w:sz w:val="22"/>
          <w:szCs w:val="22"/>
        </w:rPr>
      </w:pPr>
      <w:r w:rsidRPr="00216522">
        <w:rPr>
          <w:rFonts w:cs="Arial"/>
          <w:noProof/>
          <w:lang w:eastAsia="en-AU"/>
        </w:rPr>
        <w:drawing>
          <wp:anchor distT="0" distB="0" distL="114300" distR="114300" simplePos="0" relativeHeight="251668480" behindDoc="1" locked="0" layoutInCell="1" allowOverlap="1" wp14:anchorId="5A381675" wp14:editId="34C26943">
            <wp:simplePos x="0" y="0"/>
            <wp:positionH relativeFrom="margin">
              <wp:align>right</wp:align>
            </wp:positionH>
            <wp:positionV relativeFrom="paragraph">
              <wp:posOffset>311283</wp:posOffset>
            </wp:positionV>
            <wp:extent cx="1808480" cy="2981325"/>
            <wp:effectExtent l="0" t="0" r="1270" b="9525"/>
            <wp:wrapTight wrapText="bothSides">
              <wp:wrapPolygon edited="0">
                <wp:start x="0" y="0"/>
                <wp:lineTo x="0" y="21531"/>
                <wp:lineTo x="21388" y="21531"/>
                <wp:lineTo x="2138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8480" cy="29813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4-Accent5"/>
        <w:tblW w:w="0" w:type="auto"/>
        <w:tblBorders>
          <w:top w:val="none" w:sz="0" w:space="0" w:color="auto"/>
          <w:left w:val="single" w:sz="4" w:space="0" w:color="4472C4" w:themeColor="accent5"/>
          <w:bottom w:val="single" w:sz="24" w:space="0" w:color="FFFFFF" w:themeColor="background1"/>
          <w:right w:val="single" w:sz="4" w:space="0" w:color="4472C4" w:themeColor="accent5"/>
          <w:insideH w:val="single" w:sz="24" w:space="0" w:color="FFFFFF" w:themeColor="background1"/>
          <w:insideV w:val="single" w:sz="24" w:space="0" w:color="FFFFFF" w:themeColor="background1"/>
        </w:tblBorders>
        <w:tblLook w:val="04A0" w:firstRow="1" w:lastRow="0" w:firstColumn="1" w:lastColumn="0" w:noHBand="0" w:noVBand="1"/>
      </w:tblPr>
      <w:tblGrid>
        <w:gridCol w:w="2830"/>
        <w:gridCol w:w="3544"/>
      </w:tblGrid>
      <w:tr w:rsidR="00216522" w:rsidRPr="00216522" w:rsidTr="00C53EDF">
        <w:trPr>
          <w:cnfStyle w:val="100000000000" w:firstRow="1" w:lastRow="0" w:firstColumn="0" w:lastColumn="0" w:oddVBand="0" w:evenVBand="0" w:oddHBand="0" w:evenHBand="0" w:firstRowFirstColumn="0" w:firstRowLastColumn="0" w:lastRowFirstColumn="0" w:lastRowLastColumn="0"/>
          <w:trHeight w:val="2621"/>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tcPr>
          <w:p w:rsidR="00216522" w:rsidRDefault="00216522" w:rsidP="00253339">
            <w:pPr>
              <w:rPr>
                <w:rFonts w:cs="Arial"/>
                <w:color w:val="BDD6EE" w:themeColor="accent1" w:themeTint="66"/>
                <w:sz w:val="24"/>
                <w:szCs w:val="22"/>
              </w:rPr>
            </w:pPr>
            <w:r w:rsidRPr="00C53EDF">
              <w:rPr>
                <w:rFonts w:cs="Arial"/>
                <w:color w:val="BDD6EE" w:themeColor="accent1" w:themeTint="66"/>
                <w:sz w:val="24"/>
                <w:szCs w:val="22"/>
              </w:rPr>
              <w:t>Outdoor dining areas</w:t>
            </w:r>
          </w:p>
          <w:p w:rsidR="00C53EDF" w:rsidRPr="00C53EDF" w:rsidRDefault="00C53EDF" w:rsidP="00253339">
            <w:pPr>
              <w:rPr>
                <w:rFonts w:cs="Arial"/>
                <w:color w:val="BDD6EE" w:themeColor="accent1" w:themeTint="66"/>
                <w:sz w:val="8"/>
                <w:szCs w:val="22"/>
              </w:rPr>
            </w:pPr>
          </w:p>
          <w:p w:rsidR="00216522" w:rsidRPr="00216522" w:rsidRDefault="00216522" w:rsidP="00253339">
            <w:pPr>
              <w:rPr>
                <w:rFonts w:cs="Arial"/>
              </w:rPr>
            </w:pPr>
            <w:r w:rsidRPr="00216522">
              <w:rPr>
                <w:rFonts w:cs="Arial"/>
              </w:rPr>
              <w:t xml:space="preserve">‘No smoking’ signs must be displayed so customers are reasonably likely to see one or more signs when entering, or from within, the outdoor dining area. </w:t>
            </w:r>
          </w:p>
          <w:p w:rsidR="00216522" w:rsidRPr="00216522" w:rsidRDefault="00216522" w:rsidP="00253339">
            <w:pPr>
              <w:rPr>
                <w:rFonts w:cs="Arial"/>
              </w:rPr>
            </w:pPr>
          </w:p>
          <w:p w:rsidR="00216522" w:rsidRPr="00216522" w:rsidRDefault="00216522" w:rsidP="00253339">
            <w:pPr>
              <w:rPr>
                <w:rFonts w:cs="Arial"/>
              </w:rPr>
            </w:pPr>
          </w:p>
          <w:p w:rsidR="00216522" w:rsidRPr="00216522" w:rsidRDefault="00216522" w:rsidP="00253339">
            <w:pPr>
              <w:rPr>
                <w:rFonts w:cs="Arial"/>
              </w:rPr>
            </w:pPr>
          </w:p>
          <w:p w:rsidR="00216522" w:rsidRPr="00216522" w:rsidRDefault="00216522" w:rsidP="00253339">
            <w:pPr>
              <w:rPr>
                <w:rFonts w:cs="Arial"/>
              </w:rPr>
            </w:pPr>
          </w:p>
        </w:tc>
        <w:tc>
          <w:tcPr>
            <w:tcW w:w="3544" w:type="dxa"/>
            <w:tcBorders>
              <w:top w:val="none" w:sz="0" w:space="0" w:color="auto"/>
              <w:left w:val="none" w:sz="0" w:space="0" w:color="auto"/>
              <w:bottom w:val="none" w:sz="0" w:space="0" w:color="auto"/>
              <w:right w:val="none" w:sz="0" w:space="0" w:color="auto"/>
            </w:tcBorders>
          </w:tcPr>
          <w:p w:rsidR="00AA4E92" w:rsidRDefault="00216522" w:rsidP="00253339">
            <w:pPr>
              <w:cnfStyle w:val="100000000000" w:firstRow="1" w:lastRow="0" w:firstColumn="0" w:lastColumn="0" w:oddVBand="0" w:evenVBand="0" w:oddHBand="0" w:evenHBand="0" w:firstRowFirstColumn="0" w:firstRowLastColumn="0" w:lastRowFirstColumn="0" w:lastRowLastColumn="0"/>
              <w:rPr>
                <w:rFonts w:cs="Arial"/>
                <w:color w:val="BDD6EE" w:themeColor="accent1" w:themeTint="66"/>
                <w:sz w:val="24"/>
                <w:szCs w:val="22"/>
              </w:rPr>
            </w:pPr>
            <w:r w:rsidRPr="00C53EDF">
              <w:rPr>
                <w:rFonts w:cs="Arial"/>
                <w:color w:val="BDD6EE" w:themeColor="accent1" w:themeTint="66"/>
                <w:sz w:val="24"/>
                <w:szCs w:val="22"/>
              </w:rPr>
              <w:t>Outdoor drinking areas</w:t>
            </w:r>
          </w:p>
          <w:p w:rsidR="00C53EDF" w:rsidRPr="00C53EDF" w:rsidRDefault="00C53EDF" w:rsidP="00253339">
            <w:pPr>
              <w:cnfStyle w:val="100000000000" w:firstRow="1" w:lastRow="0" w:firstColumn="0" w:lastColumn="0" w:oddVBand="0" w:evenVBand="0" w:oddHBand="0" w:evenHBand="0" w:firstRowFirstColumn="0" w:firstRowLastColumn="0" w:lastRowFirstColumn="0" w:lastRowLastColumn="0"/>
              <w:rPr>
                <w:rFonts w:cs="Arial"/>
                <w:color w:val="BDD6EE" w:themeColor="accent1" w:themeTint="66"/>
                <w:sz w:val="8"/>
                <w:szCs w:val="22"/>
              </w:rPr>
            </w:pPr>
          </w:p>
          <w:p w:rsidR="00216522" w:rsidRPr="00216522" w:rsidRDefault="00AA4E92" w:rsidP="00253339">
            <w:pPr>
              <w:cnfStyle w:val="100000000000" w:firstRow="1" w:lastRow="0" w:firstColumn="0" w:lastColumn="0" w:oddVBand="0" w:evenVBand="0" w:oddHBand="0" w:evenHBand="0" w:firstRowFirstColumn="0" w:firstRowLastColumn="0" w:lastRowFirstColumn="0" w:lastRowLastColumn="0"/>
              <w:rPr>
                <w:rFonts w:cs="Arial"/>
              </w:rPr>
            </w:pPr>
            <w:r>
              <w:rPr>
                <w:rFonts w:cs="Arial"/>
              </w:rPr>
              <w:t>W</w:t>
            </w:r>
            <w:r w:rsidR="00216522" w:rsidRPr="00216522">
              <w:rPr>
                <w:rFonts w:cs="Arial"/>
              </w:rPr>
              <w:t xml:space="preserve">ithin 4 metres of outdoor dining areas ‘No smoking’ signs must be displayed in an outdoor drinking area if any part of that area is within 4 metres of an outdoor dining area and is not separated by a wall at least 2.1 metres high. The occupier of the outdoor drinking area is responsible for displaying the ‘No smoking’ signage. </w:t>
            </w:r>
          </w:p>
          <w:p w:rsidR="00216522" w:rsidRPr="00216522" w:rsidRDefault="00216522" w:rsidP="00253339">
            <w:pPr>
              <w:cnfStyle w:val="100000000000" w:firstRow="1" w:lastRow="0" w:firstColumn="0" w:lastColumn="0" w:oddVBand="0" w:evenVBand="0" w:oddHBand="0" w:evenHBand="0" w:firstRowFirstColumn="0" w:firstRowLastColumn="0" w:lastRowFirstColumn="0" w:lastRowLastColumn="0"/>
              <w:rPr>
                <w:rFonts w:cs="Arial"/>
                <w:sz w:val="2"/>
              </w:rPr>
            </w:pPr>
          </w:p>
        </w:tc>
      </w:tr>
    </w:tbl>
    <w:p w:rsidR="00216522" w:rsidRPr="00216522" w:rsidRDefault="00216522" w:rsidP="00216522">
      <w:pPr>
        <w:rPr>
          <w:rFonts w:cs="Arial"/>
          <w:sz w:val="2"/>
          <w:szCs w:val="22"/>
        </w:rPr>
      </w:pPr>
    </w:p>
    <w:tbl>
      <w:tblPr>
        <w:tblStyle w:val="GridTable4-Accent5"/>
        <w:tblW w:w="0" w:type="auto"/>
        <w:tblLook w:val="04A0" w:firstRow="1" w:lastRow="0" w:firstColumn="1" w:lastColumn="0" w:noHBand="0" w:noVBand="1"/>
      </w:tblPr>
      <w:tblGrid>
        <w:gridCol w:w="6374"/>
      </w:tblGrid>
      <w:tr w:rsidR="00216522" w:rsidRPr="00216522" w:rsidTr="00CD7D6E">
        <w:trPr>
          <w:cnfStyle w:val="100000000000" w:firstRow="1" w:lastRow="0" w:firstColumn="0" w:lastColumn="0" w:oddVBand="0" w:evenVBand="0" w:oddHBand="0" w:evenHBand="0" w:firstRowFirstColumn="0" w:firstRowLastColumn="0" w:lastRowFirstColumn="0" w:lastRowLastColumn="0"/>
          <w:trHeight w:val="2355"/>
        </w:trPr>
        <w:tc>
          <w:tcPr>
            <w:cnfStyle w:val="001000000000" w:firstRow="0" w:lastRow="0" w:firstColumn="1" w:lastColumn="0" w:oddVBand="0" w:evenVBand="0" w:oddHBand="0" w:evenHBand="0" w:firstRowFirstColumn="0" w:firstRowLastColumn="0" w:lastRowFirstColumn="0" w:lastRowLastColumn="0"/>
            <w:tcW w:w="6374" w:type="dxa"/>
          </w:tcPr>
          <w:p w:rsidR="00AA4E92" w:rsidRDefault="00216522" w:rsidP="00253339">
            <w:pPr>
              <w:rPr>
                <w:rFonts w:cs="Arial"/>
                <w:bCs w:val="0"/>
                <w:color w:val="BDD6EE" w:themeColor="accent1" w:themeTint="66"/>
                <w:sz w:val="24"/>
                <w:szCs w:val="22"/>
              </w:rPr>
            </w:pPr>
            <w:r w:rsidRPr="00C53EDF">
              <w:rPr>
                <w:rFonts w:cs="Arial"/>
                <w:bCs w:val="0"/>
                <w:color w:val="BDD6EE" w:themeColor="accent1" w:themeTint="66"/>
                <w:sz w:val="24"/>
                <w:szCs w:val="22"/>
              </w:rPr>
              <w:t xml:space="preserve">Food fairs and organised events </w:t>
            </w:r>
          </w:p>
          <w:p w:rsidR="00C53EDF" w:rsidRPr="00C53EDF" w:rsidRDefault="00C53EDF" w:rsidP="00253339">
            <w:pPr>
              <w:rPr>
                <w:rFonts w:cs="Arial"/>
                <w:bCs w:val="0"/>
                <w:color w:val="BDD6EE" w:themeColor="accent1" w:themeTint="66"/>
                <w:sz w:val="8"/>
                <w:szCs w:val="8"/>
              </w:rPr>
            </w:pPr>
          </w:p>
          <w:p w:rsidR="00216522" w:rsidRPr="00216522" w:rsidRDefault="00216522" w:rsidP="00253339">
            <w:pPr>
              <w:rPr>
                <w:rFonts w:cs="Arial"/>
                <w:szCs w:val="22"/>
              </w:rPr>
            </w:pPr>
            <w:r w:rsidRPr="00216522">
              <w:rPr>
                <w:rFonts w:cs="Arial"/>
                <w:sz w:val="22"/>
                <w:szCs w:val="22"/>
              </w:rPr>
              <w:t>‘</w:t>
            </w:r>
            <w:r w:rsidRPr="00216522">
              <w:rPr>
                <w:rFonts w:cs="Arial"/>
                <w:szCs w:val="22"/>
              </w:rPr>
              <w:t xml:space="preserve">No smoking’ signs must be displayed so that customers are reasonably likely to see one or more signs when entering, or from within, the outdoor dining area at the food fair or organised event. </w:t>
            </w:r>
          </w:p>
          <w:p w:rsidR="00216522" w:rsidRPr="00216522" w:rsidRDefault="00216522" w:rsidP="00253339">
            <w:pPr>
              <w:rPr>
                <w:rFonts w:cs="Arial"/>
                <w:szCs w:val="22"/>
              </w:rPr>
            </w:pPr>
          </w:p>
          <w:p w:rsidR="00216522" w:rsidRPr="00216522" w:rsidRDefault="00216522" w:rsidP="00CD7D6E">
            <w:pPr>
              <w:rPr>
                <w:rFonts w:cs="Arial"/>
                <w:sz w:val="22"/>
                <w:szCs w:val="22"/>
              </w:rPr>
            </w:pPr>
            <w:r w:rsidRPr="00216522">
              <w:rPr>
                <w:rFonts w:cs="Arial"/>
                <w:szCs w:val="22"/>
              </w:rPr>
              <w:t xml:space="preserve">Multiple signs in different locations may be necessary depending on the size and layout of the food fair or organised event. </w:t>
            </w:r>
          </w:p>
        </w:tc>
      </w:tr>
    </w:tbl>
    <w:p w:rsidR="00703C6D" w:rsidRPr="00CD7D6E" w:rsidRDefault="00703C6D" w:rsidP="006579CB">
      <w:pPr>
        <w:jc w:val="both"/>
        <w:rPr>
          <w:rFonts w:cs="Arial"/>
          <w:b/>
          <w:sz w:val="22"/>
          <w:szCs w:val="22"/>
          <w:u w:val="single"/>
        </w:rPr>
      </w:pPr>
    </w:p>
    <w:p w:rsidR="006579CB" w:rsidRPr="007079DB" w:rsidRDefault="00C355DF" w:rsidP="006579CB">
      <w:pPr>
        <w:jc w:val="both"/>
        <w:rPr>
          <w:rFonts w:cs="Arial"/>
          <w:b/>
          <w:sz w:val="28"/>
          <w:szCs w:val="22"/>
          <w:u w:val="single"/>
        </w:rPr>
      </w:pPr>
      <w:r>
        <w:rPr>
          <w:rFonts w:cs="Arial"/>
          <w:b/>
          <w:sz w:val="28"/>
          <w:szCs w:val="22"/>
          <w:u w:val="single"/>
        </w:rPr>
        <w:t>TOBACCO RETAILERS</w:t>
      </w:r>
    </w:p>
    <w:p w:rsidR="00C83DDA" w:rsidRDefault="00F84B09" w:rsidP="00C83DDA">
      <w:pPr>
        <w:jc w:val="both"/>
        <w:rPr>
          <w:rFonts w:cs="Arial"/>
          <w:sz w:val="22"/>
          <w:szCs w:val="22"/>
          <w:lang w:val="en-US"/>
        </w:rPr>
      </w:pPr>
      <w:r w:rsidRPr="00216522">
        <w:rPr>
          <w:rFonts w:cs="Arial"/>
          <w:sz w:val="22"/>
          <w:szCs w:val="22"/>
        </w:rPr>
        <w:t>The sale of tobacco to persons under the age of 18 is prohibited and can attract fines, and/or prosecution to both the person who sold, and the business owner.</w:t>
      </w:r>
      <w:r w:rsidR="00B222B1" w:rsidRPr="00216522">
        <w:rPr>
          <w:rFonts w:cs="Arial"/>
          <w:sz w:val="22"/>
          <w:szCs w:val="22"/>
          <w:lang w:val="en-US"/>
        </w:rPr>
        <w:t xml:space="preserve"> Managers / proprietors must also train their staff every 6 months, and document the training (see ‘Tobacco Retaile</w:t>
      </w:r>
      <w:r w:rsidR="008821AD">
        <w:rPr>
          <w:rFonts w:cs="Arial"/>
          <w:sz w:val="22"/>
          <w:szCs w:val="22"/>
          <w:lang w:val="en-US"/>
        </w:rPr>
        <w:t>r Guide’ for more information).</w:t>
      </w:r>
    </w:p>
    <w:p w:rsidR="00C83DDA" w:rsidRPr="00CD7D6E" w:rsidRDefault="00C83DDA" w:rsidP="00C83DDA">
      <w:pPr>
        <w:jc w:val="both"/>
        <w:rPr>
          <w:rFonts w:cs="Arial"/>
          <w:sz w:val="8"/>
          <w:szCs w:val="10"/>
          <w:lang w:val="en-US"/>
        </w:rPr>
      </w:pPr>
    </w:p>
    <w:p w:rsidR="00C83DDA" w:rsidRDefault="00C83DDA" w:rsidP="00C83DDA">
      <w:pPr>
        <w:jc w:val="both"/>
        <w:rPr>
          <w:rFonts w:cs="Arial"/>
          <w:sz w:val="22"/>
          <w:szCs w:val="22"/>
        </w:rPr>
      </w:pPr>
      <w:r w:rsidRPr="00216522">
        <w:rPr>
          <w:rFonts w:cs="Arial"/>
          <w:sz w:val="22"/>
          <w:szCs w:val="22"/>
        </w:rPr>
        <w:t xml:space="preserve">Tobacco products </w:t>
      </w:r>
      <w:r w:rsidRPr="00216522">
        <w:rPr>
          <w:rFonts w:cs="Arial"/>
          <w:b/>
          <w:sz w:val="22"/>
          <w:szCs w:val="22"/>
        </w:rPr>
        <w:t>must not be visible</w:t>
      </w:r>
      <w:r w:rsidRPr="00216522">
        <w:rPr>
          <w:rFonts w:cs="Arial"/>
          <w:sz w:val="22"/>
          <w:szCs w:val="22"/>
        </w:rPr>
        <w:t xml:space="preserve"> from anywhere inside or outside a retail outlet. Tobacco products include cigarettes, E-cigarettes, cigars and loose tobacco, and the ban al</w:t>
      </w:r>
      <w:r>
        <w:rPr>
          <w:rFonts w:cs="Arial"/>
          <w:sz w:val="22"/>
          <w:szCs w:val="22"/>
        </w:rPr>
        <w:t>so applies to vending machines.</w:t>
      </w:r>
    </w:p>
    <w:p w:rsidR="00C83DDA" w:rsidRPr="00CD7D6E" w:rsidRDefault="00C83DDA" w:rsidP="00C83DDA">
      <w:pPr>
        <w:jc w:val="both"/>
        <w:rPr>
          <w:rFonts w:cs="Arial"/>
          <w:sz w:val="8"/>
          <w:szCs w:val="10"/>
          <w:lang w:val="en-US"/>
        </w:rPr>
      </w:pPr>
    </w:p>
    <w:p w:rsidR="00F84B09" w:rsidRPr="00EE0C82" w:rsidRDefault="00F84B09" w:rsidP="00C83DDA">
      <w:pPr>
        <w:jc w:val="both"/>
        <w:rPr>
          <w:rFonts w:cs="Arial"/>
          <w:b/>
          <w:sz w:val="22"/>
          <w:szCs w:val="22"/>
        </w:rPr>
      </w:pPr>
      <w:r w:rsidRPr="00EE0C82">
        <w:rPr>
          <w:rFonts w:cs="Arial"/>
          <w:b/>
          <w:sz w:val="22"/>
          <w:szCs w:val="22"/>
        </w:rPr>
        <w:t>Retailers are also to comply with the following:</w:t>
      </w:r>
    </w:p>
    <w:p w:rsidR="00932393" w:rsidRPr="00EE0C82" w:rsidRDefault="00F84B09" w:rsidP="00EE0C82">
      <w:pPr>
        <w:pStyle w:val="ListParagraph"/>
        <w:numPr>
          <w:ilvl w:val="0"/>
          <w:numId w:val="10"/>
        </w:numPr>
        <w:shd w:val="clear" w:color="auto" w:fill="FFFFFF"/>
        <w:ind w:left="360"/>
        <w:jc w:val="both"/>
        <w:outlineLvl w:val="0"/>
        <w:rPr>
          <w:rFonts w:cs="Arial"/>
          <w:sz w:val="22"/>
          <w:szCs w:val="22"/>
        </w:rPr>
      </w:pPr>
      <w:r w:rsidRPr="00EE0C82">
        <w:rPr>
          <w:rFonts w:cs="Arial"/>
          <w:sz w:val="22"/>
          <w:szCs w:val="22"/>
        </w:rPr>
        <w:t>No display of cigarettes / cartons / c</w:t>
      </w:r>
      <w:r w:rsidR="00AA4E92" w:rsidRPr="00EE0C82">
        <w:rPr>
          <w:rFonts w:cs="Arial"/>
          <w:sz w:val="22"/>
          <w:szCs w:val="22"/>
        </w:rPr>
        <w:t>igars or loose tobacco products</w:t>
      </w:r>
      <w:r w:rsidR="00932393" w:rsidRPr="00EE0C82">
        <w:rPr>
          <w:rFonts w:cs="Arial"/>
          <w:sz w:val="22"/>
          <w:szCs w:val="22"/>
        </w:rPr>
        <w:t xml:space="preserve"> except ‘specialist tobacconists' certified by the Department of Health and Human Services.</w:t>
      </w:r>
    </w:p>
    <w:p w:rsidR="00B222B1" w:rsidRDefault="00C45042" w:rsidP="00B222B1">
      <w:pPr>
        <w:numPr>
          <w:ilvl w:val="0"/>
          <w:numId w:val="6"/>
        </w:numPr>
        <w:jc w:val="both"/>
        <w:rPr>
          <w:rFonts w:cs="Arial"/>
          <w:sz w:val="22"/>
          <w:szCs w:val="22"/>
        </w:rPr>
      </w:pPr>
      <w:r w:rsidRPr="00216522">
        <w:rPr>
          <w:rFonts w:cs="Arial"/>
          <w:noProof/>
          <w:lang w:eastAsia="en-AU"/>
        </w:rPr>
        <w:drawing>
          <wp:anchor distT="0" distB="0" distL="114300" distR="114300" simplePos="0" relativeHeight="251666432" behindDoc="1" locked="0" layoutInCell="1" allowOverlap="1" wp14:anchorId="538AD333" wp14:editId="0FD5310F">
            <wp:simplePos x="0" y="0"/>
            <wp:positionH relativeFrom="margin">
              <wp:posOffset>1252855</wp:posOffset>
            </wp:positionH>
            <wp:positionV relativeFrom="margin">
              <wp:posOffset>6586220</wp:posOffset>
            </wp:positionV>
            <wp:extent cx="1187450" cy="1750060"/>
            <wp:effectExtent l="4445" t="0" r="0" b="0"/>
            <wp:wrapTight wrapText="bothSides">
              <wp:wrapPolygon edited="0">
                <wp:start x="81" y="21655"/>
                <wp:lineTo x="21219" y="21655"/>
                <wp:lineTo x="21219" y="259"/>
                <wp:lineTo x="81" y="259"/>
                <wp:lineTo x="81" y="21655"/>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1187450" cy="175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B09" w:rsidRPr="00216522">
        <w:rPr>
          <w:rFonts w:cs="Arial"/>
          <w:sz w:val="22"/>
          <w:szCs w:val="22"/>
        </w:rPr>
        <w:t>The prescribed A3-sized ‘Health Warning’ and A4-sized ‘We don’t sell tobacco to under 18’s’ signs are displayed</w:t>
      </w:r>
    </w:p>
    <w:p w:rsidR="00B222B1" w:rsidRDefault="00932393" w:rsidP="00932393">
      <w:pPr>
        <w:ind w:firstLine="720"/>
        <w:jc w:val="both"/>
        <w:rPr>
          <w:rFonts w:cs="Arial"/>
          <w:sz w:val="16"/>
          <w:szCs w:val="16"/>
        </w:rPr>
      </w:pPr>
      <w:r w:rsidRPr="00216522">
        <w:rPr>
          <w:rFonts w:cs="Arial"/>
          <w:noProof/>
          <w:lang w:eastAsia="en-AU"/>
        </w:rPr>
        <w:drawing>
          <wp:inline distT="0" distB="0" distL="0" distR="0" wp14:anchorId="782C0F84" wp14:editId="4D5C2D38">
            <wp:extent cx="1188000" cy="1733015"/>
            <wp:effectExtent l="0" t="6033" r="6668" b="6667"/>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188000" cy="1733015"/>
                    </a:xfrm>
                    <a:prstGeom prst="rect">
                      <a:avLst/>
                    </a:prstGeom>
                    <a:noFill/>
                    <a:ln>
                      <a:noFill/>
                    </a:ln>
                  </pic:spPr>
                </pic:pic>
              </a:graphicData>
            </a:graphic>
          </wp:inline>
        </w:drawing>
      </w:r>
    </w:p>
    <w:p w:rsidR="00AC59C7" w:rsidRPr="00216522" w:rsidRDefault="00AC59C7" w:rsidP="00AC59C7">
      <w:pPr>
        <w:jc w:val="both"/>
        <w:rPr>
          <w:rFonts w:cs="Arial"/>
          <w:sz w:val="16"/>
          <w:szCs w:val="16"/>
        </w:rPr>
      </w:pPr>
    </w:p>
    <w:p w:rsidR="00F84B09" w:rsidRPr="00216522" w:rsidRDefault="00F84B09" w:rsidP="00F84B09">
      <w:pPr>
        <w:numPr>
          <w:ilvl w:val="0"/>
          <w:numId w:val="6"/>
        </w:numPr>
        <w:jc w:val="both"/>
        <w:rPr>
          <w:rFonts w:cs="Arial"/>
          <w:sz w:val="22"/>
          <w:szCs w:val="22"/>
        </w:rPr>
      </w:pPr>
      <w:r w:rsidRPr="00216522">
        <w:rPr>
          <w:rFonts w:cs="Arial"/>
          <w:sz w:val="22"/>
          <w:szCs w:val="22"/>
        </w:rPr>
        <w:t>If displaying a price board, a prescribed A4-sized graphic health warning must be adjacent to it</w:t>
      </w:r>
    </w:p>
    <w:p w:rsidR="00F84B09" w:rsidRPr="00216522" w:rsidRDefault="00F84B09" w:rsidP="00F84B09">
      <w:pPr>
        <w:numPr>
          <w:ilvl w:val="0"/>
          <w:numId w:val="6"/>
        </w:numPr>
        <w:jc w:val="both"/>
        <w:rPr>
          <w:rFonts w:cs="Arial"/>
          <w:sz w:val="22"/>
          <w:szCs w:val="22"/>
        </w:rPr>
      </w:pPr>
      <w:r w:rsidRPr="00216522">
        <w:rPr>
          <w:rFonts w:cs="Arial"/>
          <w:sz w:val="22"/>
          <w:szCs w:val="22"/>
        </w:rPr>
        <w:t>Price tickets and price boards need to conform to size and colour regulations</w:t>
      </w:r>
    </w:p>
    <w:p w:rsidR="00F84B09" w:rsidRPr="00216522" w:rsidRDefault="00F84B09" w:rsidP="00F84B09">
      <w:pPr>
        <w:numPr>
          <w:ilvl w:val="0"/>
          <w:numId w:val="6"/>
        </w:numPr>
        <w:jc w:val="both"/>
        <w:rPr>
          <w:rFonts w:cs="Arial"/>
          <w:sz w:val="22"/>
          <w:szCs w:val="22"/>
        </w:rPr>
      </w:pPr>
      <w:r w:rsidRPr="00216522">
        <w:rPr>
          <w:rFonts w:cs="Arial"/>
          <w:sz w:val="22"/>
          <w:szCs w:val="22"/>
        </w:rPr>
        <w:t>No gifts / benefits can be offered with tobacco products</w:t>
      </w:r>
    </w:p>
    <w:p w:rsidR="00F84B09" w:rsidRPr="00216522" w:rsidRDefault="00F84B09" w:rsidP="00F84B09">
      <w:pPr>
        <w:numPr>
          <w:ilvl w:val="0"/>
          <w:numId w:val="6"/>
        </w:numPr>
        <w:jc w:val="both"/>
        <w:rPr>
          <w:rFonts w:cs="Arial"/>
          <w:sz w:val="22"/>
          <w:szCs w:val="22"/>
        </w:rPr>
      </w:pPr>
      <w:r w:rsidRPr="00216522">
        <w:rPr>
          <w:rFonts w:cs="Arial"/>
          <w:sz w:val="22"/>
          <w:szCs w:val="22"/>
        </w:rPr>
        <w:t>No ‘cheap smokes’ or ‘discount cigarettes’ advertising</w:t>
      </w:r>
    </w:p>
    <w:p w:rsidR="00F84B09" w:rsidRPr="00216522" w:rsidRDefault="00F84B09" w:rsidP="00F84B09">
      <w:pPr>
        <w:numPr>
          <w:ilvl w:val="0"/>
          <w:numId w:val="6"/>
        </w:numPr>
        <w:jc w:val="both"/>
        <w:rPr>
          <w:rFonts w:cs="Arial"/>
          <w:sz w:val="22"/>
          <w:szCs w:val="22"/>
        </w:rPr>
      </w:pPr>
      <w:r w:rsidRPr="00216522">
        <w:rPr>
          <w:rFonts w:cs="Arial"/>
          <w:sz w:val="22"/>
          <w:szCs w:val="22"/>
        </w:rPr>
        <w:t>No sale of single cigarettes or in packs of less than 20</w:t>
      </w:r>
    </w:p>
    <w:p w:rsidR="00F84B09" w:rsidRPr="00AC59C7" w:rsidRDefault="00F84B09" w:rsidP="00EB5984">
      <w:pPr>
        <w:numPr>
          <w:ilvl w:val="0"/>
          <w:numId w:val="6"/>
        </w:numPr>
        <w:shd w:val="clear" w:color="auto" w:fill="FFFFFF"/>
        <w:contextualSpacing/>
        <w:jc w:val="both"/>
        <w:outlineLvl w:val="0"/>
        <w:rPr>
          <w:rFonts w:cs="Arial"/>
          <w:sz w:val="22"/>
          <w:szCs w:val="22"/>
        </w:rPr>
      </w:pPr>
      <w:r w:rsidRPr="00AA4E92">
        <w:rPr>
          <w:rFonts w:cs="Arial"/>
          <w:sz w:val="22"/>
          <w:szCs w:val="22"/>
        </w:rPr>
        <w:t>No tobacco advertising within the premises, including non-branded advertising</w:t>
      </w:r>
    </w:p>
    <w:p w:rsidR="006F45C5" w:rsidRDefault="006F45C5" w:rsidP="00216522">
      <w:pPr>
        <w:pStyle w:val="BodyText"/>
        <w:rPr>
          <w:rFonts w:ascii="Arial" w:hAnsi="Arial" w:cs="Arial"/>
          <w:b/>
          <w:sz w:val="22"/>
          <w:szCs w:val="22"/>
        </w:rPr>
      </w:pPr>
    </w:p>
    <w:p w:rsidR="00F84B09" w:rsidRPr="00216522" w:rsidRDefault="00F84B09" w:rsidP="00216522">
      <w:pPr>
        <w:pStyle w:val="BodyText"/>
        <w:rPr>
          <w:rFonts w:ascii="Arial" w:hAnsi="Arial" w:cs="Arial"/>
          <w:b/>
          <w:sz w:val="22"/>
          <w:szCs w:val="22"/>
        </w:rPr>
      </w:pPr>
      <w:bookmarkStart w:id="0" w:name="_GoBack"/>
      <w:bookmarkEnd w:id="0"/>
      <w:r w:rsidRPr="00216522">
        <w:rPr>
          <w:rFonts w:ascii="Arial" w:hAnsi="Arial" w:cs="Arial"/>
          <w:b/>
          <w:sz w:val="22"/>
          <w:szCs w:val="22"/>
        </w:rPr>
        <w:t xml:space="preserve">Tobacco guidance materials and prescribed signage are </w:t>
      </w:r>
      <w:r w:rsidR="008B5F07" w:rsidRPr="00216522">
        <w:rPr>
          <w:rFonts w:ascii="Arial" w:hAnsi="Arial" w:cs="Arial"/>
          <w:b/>
          <w:sz w:val="22"/>
          <w:szCs w:val="22"/>
        </w:rPr>
        <w:t xml:space="preserve">available from Health Services Unit on </w:t>
      </w:r>
      <w:r w:rsidR="008B5F07" w:rsidRPr="0020591D">
        <w:rPr>
          <w:rFonts w:ascii="Arial" w:hAnsi="Arial" w:cs="Arial"/>
          <w:b/>
          <w:szCs w:val="22"/>
        </w:rPr>
        <w:sym w:font="Wingdings" w:char="F028"/>
      </w:r>
      <w:r w:rsidRPr="00216522">
        <w:rPr>
          <w:rFonts w:ascii="Arial" w:hAnsi="Arial" w:cs="Arial"/>
          <w:b/>
          <w:sz w:val="22"/>
          <w:szCs w:val="22"/>
        </w:rPr>
        <w:t xml:space="preserve"> 5272 4411. For more info</w:t>
      </w:r>
      <w:r w:rsidR="00216522" w:rsidRPr="00216522">
        <w:rPr>
          <w:rFonts w:ascii="Arial" w:hAnsi="Arial" w:cs="Arial"/>
          <w:b/>
          <w:sz w:val="22"/>
          <w:szCs w:val="22"/>
        </w:rPr>
        <w:t xml:space="preserve">rmation on Tobacco reforms, see </w:t>
      </w:r>
      <w:hyperlink r:id="rId16" w:history="1">
        <w:r w:rsidRPr="00216522">
          <w:rPr>
            <w:rStyle w:val="Hyperlink"/>
            <w:rFonts w:ascii="Arial" w:hAnsi="Arial" w:cs="Arial"/>
            <w:b/>
            <w:sz w:val="22"/>
            <w:szCs w:val="22"/>
          </w:rPr>
          <w:t>http://www.health.vic.gov.au/tobaccoreforms</w:t>
        </w:r>
      </w:hyperlink>
      <w:r w:rsidRPr="00216522">
        <w:rPr>
          <w:rFonts w:ascii="Arial" w:hAnsi="Arial" w:cs="Arial"/>
          <w:b/>
          <w:sz w:val="22"/>
          <w:szCs w:val="22"/>
        </w:rPr>
        <w:t xml:space="preserve"> </w:t>
      </w:r>
    </w:p>
    <w:sectPr w:rsidR="00F84B09" w:rsidRPr="00216522" w:rsidSect="006F45C5">
      <w:headerReference w:type="even" r:id="rId17"/>
      <w:headerReference w:type="default" r:id="rId18"/>
      <w:footerReference w:type="even" r:id="rId19"/>
      <w:footerReference w:type="default" r:id="rId20"/>
      <w:headerReference w:type="first" r:id="rId21"/>
      <w:footerReference w:type="first" r:id="rId22"/>
      <w:pgSz w:w="11906" w:h="16838"/>
      <w:pgMar w:top="709" w:right="849" w:bottom="454" w:left="1418" w:header="426" w:footer="2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9A1" w:rsidRDefault="009F19A1" w:rsidP="009F19A1">
      <w:r>
        <w:separator/>
      </w:r>
    </w:p>
  </w:endnote>
  <w:endnote w:type="continuationSeparator" w:id="0">
    <w:p w:rsidR="009F19A1" w:rsidRDefault="009F19A1" w:rsidP="009F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BF4" w:rsidRDefault="007C0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C1" w:rsidRPr="006F45C5" w:rsidRDefault="005136C1">
    <w:pPr>
      <w:pStyle w:val="Footer"/>
      <w:rPr>
        <w:sz w:val="16"/>
      </w:rPr>
    </w:pPr>
    <w:r w:rsidRPr="005136C1">
      <w:rPr>
        <w:sz w:val="16"/>
      </w:rPr>
      <w:t>D18-469680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BF4" w:rsidRDefault="007C0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9A1" w:rsidRDefault="009F19A1" w:rsidP="009F19A1">
      <w:r>
        <w:separator/>
      </w:r>
    </w:p>
  </w:footnote>
  <w:footnote w:type="continuationSeparator" w:id="0">
    <w:p w:rsidR="009F19A1" w:rsidRDefault="009F19A1" w:rsidP="009F1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BF4" w:rsidRDefault="007C0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BF4" w:rsidRDefault="007C0B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BF4" w:rsidRDefault="007C0B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3541"/>
    <w:multiLevelType w:val="hybridMultilevel"/>
    <w:tmpl w:val="5352E756"/>
    <w:lvl w:ilvl="0" w:tplc="04090001">
      <w:start w:val="1"/>
      <w:numFmt w:val="bullet"/>
      <w:lvlText w:val=""/>
      <w:lvlJc w:val="left"/>
      <w:pPr>
        <w:tabs>
          <w:tab w:val="num" w:pos="360"/>
        </w:tabs>
        <w:ind w:left="360" w:hanging="360"/>
      </w:pPr>
      <w:rPr>
        <w:rFonts w:ascii="Symbol" w:hAnsi="Symbol" w:cs="Symbol" w:hint="default"/>
        <w:color w:val="auto"/>
      </w:rPr>
    </w:lvl>
    <w:lvl w:ilvl="1" w:tplc="04090001">
      <w:start w:val="1"/>
      <w:numFmt w:val="bullet"/>
      <w:lvlText w:val=""/>
      <w:lvlJc w:val="left"/>
      <w:pPr>
        <w:tabs>
          <w:tab w:val="num" w:pos="-545"/>
        </w:tabs>
        <w:ind w:left="-545" w:hanging="360"/>
      </w:pPr>
      <w:rPr>
        <w:rFonts w:ascii="Symbol" w:hAnsi="Symbol" w:cs="Symbol" w:hint="default"/>
        <w:color w:val="auto"/>
      </w:rPr>
    </w:lvl>
    <w:lvl w:ilvl="2" w:tplc="04090005" w:tentative="1">
      <w:start w:val="1"/>
      <w:numFmt w:val="bullet"/>
      <w:lvlText w:val=""/>
      <w:lvlJc w:val="left"/>
      <w:pPr>
        <w:tabs>
          <w:tab w:val="num" w:pos="175"/>
        </w:tabs>
        <w:ind w:left="175" w:hanging="360"/>
      </w:pPr>
      <w:rPr>
        <w:rFonts w:ascii="Wingdings" w:hAnsi="Wingdings" w:cs="Wingdings" w:hint="default"/>
      </w:rPr>
    </w:lvl>
    <w:lvl w:ilvl="3" w:tplc="04090001" w:tentative="1">
      <w:start w:val="1"/>
      <w:numFmt w:val="bullet"/>
      <w:lvlText w:val=""/>
      <w:lvlJc w:val="left"/>
      <w:pPr>
        <w:tabs>
          <w:tab w:val="num" w:pos="895"/>
        </w:tabs>
        <w:ind w:left="895" w:hanging="360"/>
      </w:pPr>
      <w:rPr>
        <w:rFonts w:ascii="Symbol" w:hAnsi="Symbol" w:cs="Symbol" w:hint="default"/>
      </w:rPr>
    </w:lvl>
    <w:lvl w:ilvl="4" w:tplc="04090003" w:tentative="1">
      <w:start w:val="1"/>
      <w:numFmt w:val="bullet"/>
      <w:lvlText w:val="o"/>
      <w:lvlJc w:val="left"/>
      <w:pPr>
        <w:tabs>
          <w:tab w:val="num" w:pos="1615"/>
        </w:tabs>
        <w:ind w:left="1615" w:hanging="360"/>
      </w:pPr>
      <w:rPr>
        <w:rFonts w:ascii="Courier New" w:hAnsi="Courier New" w:cs="Courier New" w:hint="default"/>
      </w:rPr>
    </w:lvl>
    <w:lvl w:ilvl="5" w:tplc="04090005" w:tentative="1">
      <w:start w:val="1"/>
      <w:numFmt w:val="bullet"/>
      <w:lvlText w:val=""/>
      <w:lvlJc w:val="left"/>
      <w:pPr>
        <w:tabs>
          <w:tab w:val="num" w:pos="2335"/>
        </w:tabs>
        <w:ind w:left="2335" w:hanging="360"/>
      </w:pPr>
      <w:rPr>
        <w:rFonts w:ascii="Wingdings" w:hAnsi="Wingdings" w:cs="Wingdings" w:hint="default"/>
      </w:rPr>
    </w:lvl>
    <w:lvl w:ilvl="6" w:tplc="04090001" w:tentative="1">
      <w:start w:val="1"/>
      <w:numFmt w:val="bullet"/>
      <w:lvlText w:val=""/>
      <w:lvlJc w:val="left"/>
      <w:pPr>
        <w:tabs>
          <w:tab w:val="num" w:pos="3055"/>
        </w:tabs>
        <w:ind w:left="3055" w:hanging="360"/>
      </w:pPr>
      <w:rPr>
        <w:rFonts w:ascii="Symbol" w:hAnsi="Symbol" w:cs="Symbol" w:hint="default"/>
      </w:rPr>
    </w:lvl>
    <w:lvl w:ilvl="7" w:tplc="04090003" w:tentative="1">
      <w:start w:val="1"/>
      <w:numFmt w:val="bullet"/>
      <w:lvlText w:val="o"/>
      <w:lvlJc w:val="left"/>
      <w:pPr>
        <w:tabs>
          <w:tab w:val="num" w:pos="3775"/>
        </w:tabs>
        <w:ind w:left="3775" w:hanging="360"/>
      </w:pPr>
      <w:rPr>
        <w:rFonts w:ascii="Courier New" w:hAnsi="Courier New" w:cs="Courier New" w:hint="default"/>
      </w:rPr>
    </w:lvl>
    <w:lvl w:ilvl="8" w:tplc="04090005" w:tentative="1">
      <w:start w:val="1"/>
      <w:numFmt w:val="bullet"/>
      <w:lvlText w:val=""/>
      <w:lvlJc w:val="left"/>
      <w:pPr>
        <w:tabs>
          <w:tab w:val="num" w:pos="4495"/>
        </w:tabs>
        <w:ind w:left="4495" w:hanging="360"/>
      </w:pPr>
      <w:rPr>
        <w:rFonts w:ascii="Wingdings" w:hAnsi="Wingdings" w:cs="Wingdings" w:hint="default"/>
      </w:rPr>
    </w:lvl>
  </w:abstractNum>
  <w:abstractNum w:abstractNumId="1" w15:restartNumberingAfterBreak="0">
    <w:nsid w:val="1C620E5C"/>
    <w:multiLevelType w:val="hybridMultilevel"/>
    <w:tmpl w:val="21122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EB20DC"/>
    <w:multiLevelType w:val="multilevel"/>
    <w:tmpl w:val="8BC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97096"/>
    <w:multiLevelType w:val="multilevel"/>
    <w:tmpl w:val="0F7A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B678E"/>
    <w:multiLevelType w:val="hybridMultilevel"/>
    <w:tmpl w:val="1B4C9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7E6299"/>
    <w:multiLevelType w:val="hybridMultilevel"/>
    <w:tmpl w:val="C610EEA2"/>
    <w:lvl w:ilvl="0" w:tplc="4822C3B8">
      <w:start w:val="1"/>
      <w:numFmt w:val="bullet"/>
      <w:pStyle w:val="SumPoint"/>
      <w:lvlText w:val=""/>
      <w:lvlJc w:val="left"/>
      <w:pPr>
        <w:tabs>
          <w:tab w:val="num" w:pos="2345"/>
        </w:tabs>
        <w:ind w:left="2325" w:hanging="34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B194407"/>
    <w:multiLevelType w:val="hybridMultilevel"/>
    <w:tmpl w:val="E1562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D65E86"/>
    <w:multiLevelType w:val="hybridMultilevel"/>
    <w:tmpl w:val="E6529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334325"/>
    <w:multiLevelType w:val="hybridMultilevel"/>
    <w:tmpl w:val="36500B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A573C61"/>
    <w:multiLevelType w:val="hybridMultilevel"/>
    <w:tmpl w:val="2EB41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5"/>
  </w:num>
  <w:num w:numId="6">
    <w:abstractNumId w:val="0"/>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24"/>
    <w:rsid w:val="000346A4"/>
    <w:rsid w:val="000377C1"/>
    <w:rsid w:val="00076E61"/>
    <w:rsid w:val="0020591D"/>
    <w:rsid w:val="00216522"/>
    <w:rsid w:val="002B0CDC"/>
    <w:rsid w:val="0033688E"/>
    <w:rsid w:val="003A60EB"/>
    <w:rsid w:val="003C3824"/>
    <w:rsid w:val="005136C1"/>
    <w:rsid w:val="00574B1F"/>
    <w:rsid w:val="006579CB"/>
    <w:rsid w:val="006F45C5"/>
    <w:rsid w:val="00703C6D"/>
    <w:rsid w:val="007079DB"/>
    <w:rsid w:val="007C0BF4"/>
    <w:rsid w:val="0087226A"/>
    <w:rsid w:val="0087527E"/>
    <w:rsid w:val="008821AD"/>
    <w:rsid w:val="008B5F07"/>
    <w:rsid w:val="00932393"/>
    <w:rsid w:val="009559F3"/>
    <w:rsid w:val="0099458C"/>
    <w:rsid w:val="009B5CD7"/>
    <w:rsid w:val="009F19A1"/>
    <w:rsid w:val="00A2504D"/>
    <w:rsid w:val="00A32ED4"/>
    <w:rsid w:val="00AA4E92"/>
    <w:rsid w:val="00AB5A7F"/>
    <w:rsid w:val="00AC59C7"/>
    <w:rsid w:val="00B00E3B"/>
    <w:rsid w:val="00B222B1"/>
    <w:rsid w:val="00B24E50"/>
    <w:rsid w:val="00C06A48"/>
    <w:rsid w:val="00C355DF"/>
    <w:rsid w:val="00C45042"/>
    <w:rsid w:val="00C53EDF"/>
    <w:rsid w:val="00C83DDA"/>
    <w:rsid w:val="00CD7D6E"/>
    <w:rsid w:val="00D11FBB"/>
    <w:rsid w:val="00D84701"/>
    <w:rsid w:val="00D9253E"/>
    <w:rsid w:val="00DC13CF"/>
    <w:rsid w:val="00DF0BCC"/>
    <w:rsid w:val="00EE0C82"/>
    <w:rsid w:val="00EF250B"/>
    <w:rsid w:val="00F03916"/>
    <w:rsid w:val="00F347F2"/>
    <w:rsid w:val="00F84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15E27AF7-C720-48F0-AD29-861C0520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824"/>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pPr>
      <w:spacing w:after="120"/>
      <w:ind w:left="1134"/>
      <w:jc w:val="both"/>
    </w:pPr>
    <w:rPr>
      <w:color w:val="000000"/>
      <w:sz w:val="22"/>
      <w:lang w:val="en-GB"/>
    </w:rPr>
  </w:style>
  <w:style w:type="character" w:styleId="Hyperlink">
    <w:name w:val="Hyperlink"/>
    <w:basedOn w:val="DefaultParagraphFont"/>
    <w:uiPriority w:val="99"/>
    <w:unhideWhenUsed/>
    <w:rsid w:val="003C3824"/>
    <w:rPr>
      <w:color w:val="0563C1" w:themeColor="hyperlink"/>
      <w:u w:val="single"/>
    </w:rPr>
  </w:style>
  <w:style w:type="character" w:styleId="Emphasis">
    <w:name w:val="Emphasis"/>
    <w:basedOn w:val="DefaultParagraphFont"/>
    <w:uiPriority w:val="20"/>
    <w:qFormat/>
    <w:rsid w:val="003C3824"/>
    <w:rPr>
      <w:i/>
      <w:iCs/>
    </w:rPr>
  </w:style>
  <w:style w:type="paragraph" w:styleId="ListParagraph">
    <w:name w:val="List Paragraph"/>
    <w:basedOn w:val="Normal"/>
    <w:uiPriority w:val="34"/>
    <w:qFormat/>
    <w:rsid w:val="00F03916"/>
    <w:pPr>
      <w:ind w:left="720"/>
      <w:contextualSpacing/>
    </w:pPr>
  </w:style>
  <w:style w:type="character" w:customStyle="1" w:styleId="apple-converted-space">
    <w:name w:val="apple-converted-space"/>
    <w:basedOn w:val="DefaultParagraphFont"/>
    <w:rsid w:val="00F03916"/>
  </w:style>
  <w:style w:type="paragraph" w:styleId="NormalWeb">
    <w:name w:val="Normal (Web)"/>
    <w:basedOn w:val="Normal"/>
    <w:uiPriority w:val="99"/>
    <w:semiHidden/>
    <w:unhideWhenUsed/>
    <w:rsid w:val="00F03916"/>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F03916"/>
    <w:rPr>
      <w:b/>
      <w:bCs/>
    </w:rPr>
  </w:style>
  <w:style w:type="paragraph" w:customStyle="1" w:styleId="SumPoint">
    <w:name w:val="Sum Point"/>
    <w:basedOn w:val="Normal"/>
    <w:uiPriority w:val="99"/>
    <w:rsid w:val="008B5F07"/>
    <w:pPr>
      <w:numPr>
        <w:numId w:val="5"/>
      </w:numPr>
    </w:pPr>
    <w:rPr>
      <w:rFonts w:ascii="Times New Roman" w:hAnsi="Times New Roman"/>
      <w:lang w:val="en-US"/>
    </w:rPr>
  </w:style>
  <w:style w:type="paragraph" w:styleId="BodyText">
    <w:name w:val="Body Text"/>
    <w:basedOn w:val="Normal"/>
    <w:link w:val="BodyTextChar"/>
    <w:uiPriority w:val="99"/>
    <w:rsid w:val="008B5F07"/>
    <w:rPr>
      <w:rFonts w:ascii="Times New Roman" w:hAnsi="Times New Roman"/>
      <w:sz w:val="24"/>
      <w:szCs w:val="24"/>
      <w:lang w:val="en-US"/>
    </w:rPr>
  </w:style>
  <w:style w:type="character" w:customStyle="1" w:styleId="BodyTextChar">
    <w:name w:val="Body Text Char"/>
    <w:basedOn w:val="DefaultParagraphFont"/>
    <w:link w:val="BodyText"/>
    <w:uiPriority w:val="99"/>
    <w:rsid w:val="008B5F07"/>
    <w:rPr>
      <w:sz w:val="24"/>
      <w:szCs w:val="24"/>
      <w:lang w:val="en-US" w:eastAsia="en-US"/>
    </w:rPr>
  </w:style>
  <w:style w:type="table" w:styleId="TableGrid">
    <w:name w:val="Table Grid"/>
    <w:basedOn w:val="TableNormal"/>
    <w:uiPriority w:val="39"/>
    <w:rsid w:val="00DC1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C13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9B5C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216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522"/>
    <w:rPr>
      <w:rFonts w:ascii="Segoe UI" w:hAnsi="Segoe UI" w:cs="Segoe UI"/>
      <w:sz w:val="18"/>
      <w:szCs w:val="18"/>
      <w:lang w:eastAsia="en-US"/>
    </w:rPr>
  </w:style>
  <w:style w:type="paragraph" w:styleId="Header">
    <w:name w:val="header"/>
    <w:basedOn w:val="Normal"/>
    <w:link w:val="HeaderChar"/>
    <w:uiPriority w:val="99"/>
    <w:unhideWhenUsed/>
    <w:rsid w:val="009F19A1"/>
    <w:pPr>
      <w:tabs>
        <w:tab w:val="center" w:pos="4513"/>
        <w:tab w:val="right" w:pos="9026"/>
      </w:tabs>
    </w:pPr>
  </w:style>
  <w:style w:type="character" w:customStyle="1" w:styleId="HeaderChar">
    <w:name w:val="Header Char"/>
    <w:basedOn w:val="DefaultParagraphFont"/>
    <w:link w:val="Header"/>
    <w:uiPriority w:val="99"/>
    <w:rsid w:val="009F19A1"/>
    <w:rPr>
      <w:rFonts w:ascii="Arial" w:hAnsi="Arial"/>
      <w:lang w:eastAsia="en-US"/>
    </w:rPr>
  </w:style>
  <w:style w:type="paragraph" w:styleId="Footer">
    <w:name w:val="footer"/>
    <w:basedOn w:val="Normal"/>
    <w:link w:val="FooterChar"/>
    <w:uiPriority w:val="99"/>
    <w:unhideWhenUsed/>
    <w:rsid w:val="009F19A1"/>
    <w:pPr>
      <w:tabs>
        <w:tab w:val="center" w:pos="4513"/>
        <w:tab w:val="right" w:pos="9026"/>
      </w:tabs>
    </w:pPr>
  </w:style>
  <w:style w:type="character" w:customStyle="1" w:styleId="FooterChar">
    <w:name w:val="Footer Char"/>
    <w:basedOn w:val="DefaultParagraphFont"/>
    <w:link w:val="Footer"/>
    <w:uiPriority w:val="99"/>
    <w:rsid w:val="009F19A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98010">
      <w:bodyDiv w:val="1"/>
      <w:marLeft w:val="0"/>
      <w:marRight w:val="0"/>
      <w:marTop w:val="0"/>
      <w:marBottom w:val="0"/>
      <w:divBdr>
        <w:top w:val="none" w:sz="0" w:space="0" w:color="auto"/>
        <w:left w:val="none" w:sz="0" w:space="0" w:color="auto"/>
        <w:bottom w:val="none" w:sz="0" w:space="0" w:color="auto"/>
        <w:right w:val="none" w:sz="0" w:space="0" w:color="auto"/>
      </w:divBdr>
    </w:div>
    <w:div w:id="13273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alth.vic.gov.au/tobaccorefor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vic.gov.au/tobaccoreforms/smoke-free-children-rec-areas/index.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4290-C983-4998-9259-F1C14A9F3927}">
  <ds:schemaRefs>
    <ds:schemaRef ds:uri="http://www.w3.org/2001/XMLSchema"/>
  </ds:schemaRefs>
</ds:datastoreItem>
</file>

<file path=customXml/itemProps2.xml><?xml version="1.0" encoding="utf-8"?>
<ds:datastoreItem xmlns:ds="http://schemas.openxmlformats.org/officeDocument/2006/customXml" ds:itemID="{6659E7EB-B9E7-4899-A1FD-A3AA2BFC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1CACD9B7.dotm</Template>
  <TotalTime>9</TotalTime>
  <Pages>2</Pages>
  <Words>832</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dc:creator>
  <cp:keywords/>
  <dc:description/>
  <cp:lastModifiedBy>Connie Engelsman</cp:lastModifiedBy>
  <cp:revision>5</cp:revision>
  <cp:lastPrinted>2018-11-05T22:59:00Z</cp:lastPrinted>
  <dcterms:created xsi:type="dcterms:W3CDTF">2018-11-05T22:50:00Z</dcterms:created>
  <dcterms:modified xsi:type="dcterms:W3CDTF">2018-11-05T22:59:00Z</dcterms:modified>
</cp:coreProperties>
</file>