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29" w:rsidRPr="00BD5364" w:rsidRDefault="000618FA" w:rsidP="00BD5364">
      <w:pPr>
        <w:pStyle w:val="Heading1"/>
        <w:jc w:val="center"/>
        <w:rPr>
          <w:noProof/>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65pt;margin-top:-13.8pt;width:92.15pt;height:34.6pt;z-index:251660288;visibility:visible;mso-wrap-edited:f" o:allowincell="f" fillcolor="window">
            <v:imagedata r:id="rId8" o:title=""/>
          </v:shape>
          <o:OLEObject Type="Embed" ProgID="Word.Picture.8" ShapeID="_x0000_s1026" DrawAspect="Content" ObjectID="_1554814856" r:id="rId9"/>
        </w:pict>
      </w:r>
      <w:r w:rsidR="00CF3829" w:rsidRPr="00BD5364">
        <w:rPr>
          <w:noProof/>
          <w:sz w:val="28"/>
        </w:rPr>
        <w:t>COUNCIL POLICY</w:t>
      </w:r>
    </w:p>
    <w:p w:rsidR="00CF3829" w:rsidRPr="00AB14D5" w:rsidRDefault="00CF3829" w:rsidP="00CF3829">
      <w:pPr>
        <w:ind w:right="424"/>
        <w:jc w:val="right"/>
        <w:rPr>
          <w:b/>
        </w:rPr>
      </w:pPr>
    </w:p>
    <w:tbl>
      <w:tblPr>
        <w:tblW w:w="9498" w:type="dxa"/>
        <w:tblInd w:w="108" w:type="dxa"/>
        <w:tblLayout w:type="fixed"/>
        <w:tblLook w:val="0000"/>
      </w:tblPr>
      <w:tblGrid>
        <w:gridCol w:w="2552"/>
        <w:gridCol w:w="2835"/>
        <w:gridCol w:w="1843"/>
        <w:gridCol w:w="2268"/>
      </w:tblGrid>
      <w:tr w:rsidR="00CF3829" w:rsidRPr="00AB14D5" w:rsidTr="00BD5364">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rsidR="00CF3829" w:rsidRPr="00AB14D5" w:rsidRDefault="00CF3829" w:rsidP="00BD5364">
            <w:pPr>
              <w:jc w:val="center"/>
              <w:rPr>
                <w:b/>
                <w:sz w:val="32"/>
              </w:rPr>
            </w:pPr>
            <w:bookmarkStart w:id="0" w:name="DocNo" w:colFirst="2" w:colLast="2"/>
            <w:r w:rsidRPr="00AB14D5">
              <w:rPr>
                <w:b/>
                <w:sz w:val="32"/>
              </w:rPr>
              <w:t xml:space="preserve">Recycling and Waste Collection System </w:t>
            </w:r>
          </w:p>
        </w:tc>
        <w:tc>
          <w:tcPr>
            <w:tcW w:w="1843" w:type="dxa"/>
            <w:tcBorders>
              <w:top w:val="single" w:sz="6" w:space="0" w:color="auto"/>
              <w:left w:val="single" w:sz="6" w:space="0" w:color="auto"/>
              <w:bottom w:val="single" w:sz="6" w:space="0" w:color="auto"/>
              <w:right w:val="single" w:sz="6" w:space="0" w:color="auto"/>
            </w:tcBorders>
          </w:tcPr>
          <w:p w:rsidR="00CF3829" w:rsidRPr="00AB14D5" w:rsidRDefault="00CF3829" w:rsidP="00BD5364">
            <w:r w:rsidRPr="00AB14D5">
              <w:t>Document No:</w:t>
            </w:r>
          </w:p>
        </w:tc>
        <w:tc>
          <w:tcPr>
            <w:tcW w:w="2268" w:type="dxa"/>
            <w:tcBorders>
              <w:top w:val="single" w:sz="6" w:space="0" w:color="auto"/>
              <w:bottom w:val="single" w:sz="6" w:space="0" w:color="auto"/>
              <w:right w:val="single" w:sz="6" w:space="0" w:color="auto"/>
            </w:tcBorders>
          </w:tcPr>
          <w:p w:rsidR="00CF3829" w:rsidRPr="00AB14D5" w:rsidRDefault="00CF3829" w:rsidP="00BD5364">
            <w:smartTag w:uri="urn:schemas-microsoft-com:office:smarttags" w:element="stockticker">
              <w:r w:rsidRPr="00AB14D5">
                <w:t>CPL</w:t>
              </w:r>
            </w:smartTag>
            <w:r w:rsidRPr="00AB14D5">
              <w:t>225.1</w:t>
            </w:r>
          </w:p>
        </w:tc>
      </w:tr>
      <w:bookmarkEnd w:id="0"/>
      <w:tr w:rsidR="00CF3829" w:rsidRPr="00AB14D5" w:rsidTr="00BD5364">
        <w:trPr>
          <w:cantSplit/>
        </w:trPr>
        <w:tc>
          <w:tcPr>
            <w:tcW w:w="5387" w:type="dxa"/>
            <w:gridSpan w:val="2"/>
            <w:vMerge/>
            <w:tcBorders>
              <w:left w:val="single" w:sz="6" w:space="0" w:color="auto"/>
              <w:bottom w:val="nil"/>
              <w:right w:val="single" w:sz="6" w:space="0" w:color="auto"/>
            </w:tcBorders>
          </w:tcPr>
          <w:p w:rsidR="00CF3829" w:rsidRPr="00AB14D5" w:rsidRDefault="00CF3829" w:rsidP="00BD5364"/>
        </w:tc>
        <w:tc>
          <w:tcPr>
            <w:tcW w:w="1843" w:type="dxa"/>
            <w:tcBorders>
              <w:top w:val="single" w:sz="6" w:space="0" w:color="auto"/>
              <w:left w:val="single" w:sz="6" w:space="0" w:color="auto"/>
              <w:right w:val="single" w:sz="6" w:space="0" w:color="auto"/>
            </w:tcBorders>
          </w:tcPr>
          <w:p w:rsidR="00CF3829" w:rsidRPr="00AB14D5" w:rsidRDefault="00CF3829" w:rsidP="00BD5364">
            <w:r w:rsidRPr="00AB14D5">
              <w:t xml:space="preserve">Approval Date:  </w:t>
            </w:r>
          </w:p>
        </w:tc>
        <w:tc>
          <w:tcPr>
            <w:tcW w:w="2268" w:type="dxa"/>
            <w:tcBorders>
              <w:top w:val="single" w:sz="6" w:space="0" w:color="auto"/>
              <w:right w:val="single" w:sz="6" w:space="0" w:color="auto"/>
            </w:tcBorders>
          </w:tcPr>
          <w:p w:rsidR="00CF3829" w:rsidRPr="00AB14D5" w:rsidRDefault="00CF3829" w:rsidP="00BD5364">
            <w:r>
              <w:t>26</w:t>
            </w:r>
            <w:r w:rsidRPr="00AB14D5">
              <w:t xml:space="preserve"> </w:t>
            </w:r>
            <w:r>
              <w:t>April</w:t>
            </w:r>
            <w:r w:rsidRPr="00AB14D5">
              <w:t xml:space="preserve"> 2017</w:t>
            </w:r>
          </w:p>
        </w:tc>
      </w:tr>
      <w:tr w:rsidR="00CF3829" w:rsidRPr="00AB14D5" w:rsidTr="00BD5364">
        <w:trPr>
          <w:cantSplit/>
        </w:trPr>
        <w:tc>
          <w:tcPr>
            <w:tcW w:w="5387" w:type="dxa"/>
            <w:gridSpan w:val="2"/>
            <w:vMerge/>
            <w:tcBorders>
              <w:left w:val="single" w:sz="6" w:space="0" w:color="auto"/>
              <w:bottom w:val="nil"/>
              <w:right w:val="single" w:sz="6" w:space="0" w:color="auto"/>
            </w:tcBorders>
          </w:tcPr>
          <w:p w:rsidR="00CF3829" w:rsidRPr="00AB14D5" w:rsidRDefault="00CF3829" w:rsidP="00BD5364">
            <w:bookmarkStart w:id="1" w:name="ApprovedBy" w:colFirst="2" w:colLast="2"/>
          </w:p>
        </w:tc>
        <w:tc>
          <w:tcPr>
            <w:tcW w:w="1843" w:type="dxa"/>
            <w:tcBorders>
              <w:top w:val="single" w:sz="6" w:space="0" w:color="auto"/>
              <w:left w:val="single" w:sz="6" w:space="0" w:color="auto"/>
              <w:right w:val="single" w:sz="6" w:space="0" w:color="auto"/>
            </w:tcBorders>
          </w:tcPr>
          <w:p w:rsidR="00CF3829" w:rsidRPr="00AB14D5" w:rsidRDefault="00CF3829" w:rsidP="00BD5364">
            <w:r w:rsidRPr="00AB14D5">
              <w:t>Approved By:</w:t>
            </w:r>
          </w:p>
        </w:tc>
        <w:tc>
          <w:tcPr>
            <w:tcW w:w="2268" w:type="dxa"/>
            <w:tcBorders>
              <w:top w:val="single" w:sz="6" w:space="0" w:color="auto"/>
              <w:right w:val="single" w:sz="6" w:space="0" w:color="auto"/>
            </w:tcBorders>
          </w:tcPr>
          <w:p w:rsidR="00CF3829" w:rsidRPr="00AB14D5" w:rsidRDefault="00CF3829" w:rsidP="00BD5364">
            <w:r w:rsidRPr="00AB14D5">
              <w:t>Council</w:t>
            </w:r>
          </w:p>
        </w:tc>
      </w:tr>
      <w:bookmarkEnd w:id="1"/>
      <w:tr w:rsidR="00CF3829" w:rsidRPr="00AB14D5" w:rsidTr="00BD5364">
        <w:trPr>
          <w:cantSplit/>
          <w:trHeight w:val="548"/>
        </w:trPr>
        <w:tc>
          <w:tcPr>
            <w:tcW w:w="5387" w:type="dxa"/>
            <w:gridSpan w:val="2"/>
            <w:vMerge/>
            <w:tcBorders>
              <w:left w:val="single" w:sz="6" w:space="0" w:color="auto"/>
              <w:right w:val="single" w:sz="6" w:space="0" w:color="auto"/>
            </w:tcBorders>
          </w:tcPr>
          <w:p w:rsidR="00CF3829" w:rsidRPr="00AB14D5" w:rsidRDefault="00CF3829" w:rsidP="00BD5364"/>
        </w:tc>
        <w:tc>
          <w:tcPr>
            <w:tcW w:w="1843" w:type="dxa"/>
            <w:tcBorders>
              <w:top w:val="single" w:sz="6" w:space="0" w:color="auto"/>
              <w:left w:val="single" w:sz="6" w:space="0" w:color="auto"/>
              <w:right w:val="single" w:sz="6" w:space="0" w:color="auto"/>
            </w:tcBorders>
          </w:tcPr>
          <w:p w:rsidR="00CF3829" w:rsidRPr="00AB14D5" w:rsidRDefault="00CF3829" w:rsidP="00BD5364">
            <w:r w:rsidRPr="00AB14D5">
              <w:t>Review Date:</w:t>
            </w:r>
          </w:p>
        </w:tc>
        <w:tc>
          <w:tcPr>
            <w:tcW w:w="2268" w:type="dxa"/>
            <w:tcBorders>
              <w:top w:val="single" w:sz="6" w:space="0" w:color="auto"/>
              <w:right w:val="single" w:sz="6" w:space="0" w:color="auto"/>
            </w:tcBorders>
          </w:tcPr>
          <w:p w:rsidR="00CF3829" w:rsidRPr="00AB14D5" w:rsidRDefault="00CF3829" w:rsidP="00BD5364">
            <w:r>
              <w:t xml:space="preserve">26 April </w:t>
            </w:r>
            <w:r w:rsidRPr="00AB14D5">
              <w:t>2020</w:t>
            </w:r>
          </w:p>
        </w:tc>
      </w:tr>
      <w:tr w:rsidR="00CF3829" w:rsidRPr="00AB14D5" w:rsidTr="00BD5364">
        <w:trPr>
          <w:cantSplit/>
        </w:trPr>
        <w:tc>
          <w:tcPr>
            <w:tcW w:w="5387" w:type="dxa"/>
            <w:gridSpan w:val="2"/>
            <w:tcBorders>
              <w:top w:val="single" w:sz="4" w:space="0" w:color="auto"/>
              <w:left w:val="single" w:sz="6" w:space="0" w:color="auto"/>
              <w:right w:val="single" w:sz="6" w:space="0" w:color="auto"/>
            </w:tcBorders>
          </w:tcPr>
          <w:p w:rsidR="00CF3829" w:rsidRPr="00AB14D5" w:rsidRDefault="00CF3829" w:rsidP="00BD5364">
            <w:pPr>
              <w:rPr>
                <w:b/>
              </w:rPr>
            </w:pPr>
            <w:r w:rsidRPr="00AB14D5">
              <w:t>Responsible Officer:</w:t>
            </w:r>
          </w:p>
        </w:tc>
        <w:tc>
          <w:tcPr>
            <w:tcW w:w="1843" w:type="dxa"/>
            <w:tcBorders>
              <w:top w:val="single" w:sz="4" w:space="0" w:color="auto"/>
              <w:left w:val="single" w:sz="6" w:space="0" w:color="auto"/>
              <w:bottom w:val="single" w:sz="6" w:space="0" w:color="auto"/>
              <w:right w:val="single" w:sz="6" w:space="0" w:color="auto"/>
            </w:tcBorders>
          </w:tcPr>
          <w:p w:rsidR="00CF3829" w:rsidRPr="00AB14D5" w:rsidRDefault="00CF3829" w:rsidP="00BD5364">
            <w:r w:rsidRPr="00AB14D5">
              <w:t>Version:</w:t>
            </w:r>
          </w:p>
        </w:tc>
        <w:tc>
          <w:tcPr>
            <w:tcW w:w="2268" w:type="dxa"/>
            <w:tcBorders>
              <w:top w:val="single" w:sz="4" w:space="0" w:color="auto"/>
              <w:bottom w:val="single" w:sz="6" w:space="0" w:color="auto"/>
              <w:right w:val="single" w:sz="6" w:space="0" w:color="auto"/>
            </w:tcBorders>
          </w:tcPr>
          <w:p w:rsidR="00CF3829" w:rsidRPr="00AB14D5" w:rsidRDefault="00CF3829" w:rsidP="00BD5364">
            <w:r w:rsidRPr="00AB14D5">
              <w:t>04</w:t>
            </w:r>
          </w:p>
        </w:tc>
      </w:tr>
      <w:tr w:rsidR="00CF3829" w:rsidRPr="00AB14D5" w:rsidTr="00BD5364">
        <w:trPr>
          <w:cantSplit/>
        </w:trPr>
        <w:tc>
          <w:tcPr>
            <w:tcW w:w="5387" w:type="dxa"/>
            <w:gridSpan w:val="2"/>
            <w:tcBorders>
              <w:left w:val="single" w:sz="6" w:space="0" w:color="auto"/>
            </w:tcBorders>
          </w:tcPr>
          <w:p w:rsidR="00CF3829" w:rsidRPr="00AB14D5" w:rsidRDefault="00CF3829" w:rsidP="00BD5364">
            <w:pPr>
              <w:rPr>
                <w:b/>
              </w:rPr>
            </w:pPr>
            <w:r w:rsidRPr="00AB14D5">
              <w:rPr>
                <w:b/>
              </w:rPr>
              <w:t>Manager Environment and Waste Services</w:t>
            </w:r>
          </w:p>
        </w:tc>
        <w:tc>
          <w:tcPr>
            <w:tcW w:w="1843" w:type="dxa"/>
            <w:tcBorders>
              <w:top w:val="single" w:sz="6" w:space="0" w:color="auto"/>
              <w:left w:val="single" w:sz="6" w:space="0" w:color="auto"/>
              <w:right w:val="single" w:sz="6" w:space="0" w:color="auto"/>
            </w:tcBorders>
          </w:tcPr>
          <w:p w:rsidR="00CF3829" w:rsidRPr="00AB14D5" w:rsidRDefault="00CF3829" w:rsidP="00BD5364"/>
        </w:tc>
        <w:tc>
          <w:tcPr>
            <w:tcW w:w="2268" w:type="dxa"/>
            <w:tcBorders>
              <w:top w:val="single" w:sz="6" w:space="0" w:color="auto"/>
              <w:right w:val="single" w:sz="6" w:space="0" w:color="auto"/>
            </w:tcBorders>
          </w:tcPr>
          <w:p w:rsidR="00CF3829" w:rsidRPr="00AB14D5" w:rsidRDefault="00CF3829" w:rsidP="00BD5364"/>
        </w:tc>
      </w:tr>
      <w:tr w:rsidR="00CF3829" w:rsidRPr="00AB14D5" w:rsidTr="00BD5364">
        <w:trPr>
          <w:cantSplit/>
          <w:trHeight w:val="683"/>
        </w:trPr>
        <w:tc>
          <w:tcPr>
            <w:tcW w:w="2552" w:type="dxa"/>
            <w:tcBorders>
              <w:top w:val="single" w:sz="4" w:space="0" w:color="auto"/>
              <w:left w:val="single" w:sz="4" w:space="0" w:color="auto"/>
              <w:bottom w:val="single" w:sz="4" w:space="0" w:color="auto"/>
            </w:tcBorders>
            <w:vAlign w:val="center"/>
          </w:tcPr>
          <w:p w:rsidR="00CF3829" w:rsidRPr="00AB14D5" w:rsidRDefault="00CF3829" w:rsidP="00BD5364">
            <w:pPr>
              <w:ind w:left="2302" w:hanging="2302"/>
            </w:pPr>
            <w:bookmarkStart w:id="2" w:name="AuthorisedOfficer" w:colFirst="1" w:colLast="1"/>
            <w:r w:rsidRPr="00AB14D5">
              <w:t>Authorising Officer:</w:t>
            </w:r>
            <w:r w:rsidRPr="00AB14D5">
              <w:tab/>
            </w:r>
          </w:p>
        </w:tc>
        <w:tc>
          <w:tcPr>
            <w:tcW w:w="6946" w:type="dxa"/>
            <w:gridSpan w:val="3"/>
            <w:tcBorders>
              <w:top w:val="single" w:sz="4" w:space="0" w:color="auto"/>
              <w:left w:val="nil"/>
              <w:bottom w:val="single" w:sz="4" w:space="0" w:color="auto"/>
              <w:right w:val="single" w:sz="4" w:space="0" w:color="auto"/>
            </w:tcBorders>
            <w:vAlign w:val="center"/>
          </w:tcPr>
          <w:p w:rsidR="00CF3829" w:rsidRPr="00AB14D5" w:rsidRDefault="00CF3829" w:rsidP="00C05D92">
            <w:pPr>
              <w:ind w:left="2302" w:hanging="2302"/>
              <w:jc w:val="right"/>
              <w:rPr>
                <w:b/>
              </w:rPr>
            </w:pPr>
            <w:r w:rsidRPr="00AB14D5">
              <w:rPr>
                <w:b/>
              </w:rPr>
              <w:t>Chief Executive Officer</w:t>
            </w:r>
          </w:p>
        </w:tc>
      </w:tr>
      <w:bookmarkEnd w:id="2"/>
    </w:tbl>
    <w:p w:rsidR="00CF3829" w:rsidRPr="00AB14D5" w:rsidRDefault="00CF3829" w:rsidP="00CF3829"/>
    <w:p w:rsidR="00CF3829" w:rsidRPr="00AB14D5" w:rsidRDefault="00CF3829" w:rsidP="00CF3829">
      <w:pPr>
        <w:pStyle w:val="NumberedPara"/>
        <w:spacing w:after="160"/>
      </w:pPr>
      <w:r w:rsidRPr="00AB14D5">
        <w:t xml:space="preserve">PURPOSE </w:t>
      </w:r>
    </w:p>
    <w:p w:rsidR="00CF3829" w:rsidRPr="00AB14D5" w:rsidRDefault="00CF3829" w:rsidP="00CF3829">
      <w:r w:rsidRPr="00AB14D5">
        <w:t>To outline the principles and processes for the operation of Council’s kerbside residential recycling and waste collection system.</w:t>
      </w:r>
    </w:p>
    <w:p w:rsidR="00CF3829" w:rsidRPr="00AB14D5" w:rsidRDefault="00CF3829" w:rsidP="00CF3829">
      <w:pPr>
        <w:pStyle w:val="NumberedPara"/>
        <w:spacing w:after="160"/>
      </w:pPr>
      <w:r w:rsidRPr="00AB14D5">
        <w:t xml:space="preserve">SCOPE </w:t>
      </w:r>
    </w:p>
    <w:p w:rsidR="00CF3829" w:rsidRPr="00AB14D5" w:rsidRDefault="00CF3829" w:rsidP="00CF3829">
      <w:r w:rsidRPr="00AB14D5">
        <w:t>Applies to all properties with a residence that are charged the Waste Collection Charge.</w:t>
      </w:r>
    </w:p>
    <w:p w:rsidR="00CF3829" w:rsidRPr="00AB14D5" w:rsidRDefault="00CF3829" w:rsidP="00CF3829">
      <w:pPr>
        <w:pStyle w:val="NumberedPara"/>
        <w:spacing w:after="160"/>
      </w:pPr>
      <w:r w:rsidRPr="00AB14D5">
        <w:t>REFERENCES</w:t>
      </w:r>
    </w:p>
    <w:p w:rsidR="00CF3829" w:rsidRPr="00AB14D5" w:rsidRDefault="00CF3829" w:rsidP="00CF3829">
      <w:pPr>
        <w:rPr>
          <w:i/>
        </w:rPr>
      </w:pPr>
      <w:r w:rsidRPr="00AB14D5">
        <w:t xml:space="preserve">Neighbourhood Amenity Local Law 2014 – Part 1 and Clauses 29 to 31 </w:t>
      </w:r>
      <w:r w:rsidRPr="00AB14D5">
        <w:rPr>
          <w:i/>
        </w:rPr>
        <w:t>Your Waste Collection</w:t>
      </w:r>
    </w:p>
    <w:p w:rsidR="00CF3829" w:rsidRPr="00AB14D5" w:rsidRDefault="00CF3829" w:rsidP="00CF3829">
      <w:pPr>
        <w:pStyle w:val="NumberedPara"/>
        <w:spacing w:after="160"/>
      </w:pPr>
      <w:r w:rsidRPr="00AB14D5">
        <w:t>DEFINITIONS</w:t>
      </w:r>
    </w:p>
    <w:p w:rsidR="00CF3829" w:rsidRPr="00AB14D5" w:rsidRDefault="00CF3829" w:rsidP="00CF3829">
      <w:pPr>
        <w:numPr>
          <w:ilvl w:val="0"/>
          <w:numId w:val="17"/>
        </w:numPr>
        <w:tabs>
          <w:tab w:val="clear" w:pos="360"/>
          <w:tab w:val="num" w:pos="700"/>
        </w:tabs>
        <w:spacing w:after="120"/>
        <w:ind w:left="700"/>
        <w:jc w:val="both"/>
        <w:rPr>
          <w:szCs w:val="24"/>
        </w:rPr>
      </w:pPr>
      <w:r w:rsidRPr="00AB14D5">
        <w:rPr>
          <w:szCs w:val="24"/>
        </w:rPr>
        <w:t>Garbage -</w:t>
      </w:r>
      <w:r w:rsidRPr="00AB14D5">
        <w:rPr>
          <w:b/>
          <w:szCs w:val="24"/>
        </w:rPr>
        <w:t xml:space="preserve"> </w:t>
      </w:r>
      <w:r w:rsidRPr="00AB14D5">
        <w:rPr>
          <w:szCs w:val="24"/>
        </w:rPr>
        <w:t>means all waste generated or accumulated in or on any residential premises, but excludes any substance designated by Council from time to time not to constitute Waste for the purposes of Neighbourhood Amenity Local Law 2014;</w:t>
      </w:r>
    </w:p>
    <w:p w:rsidR="00CF3829" w:rsidRPr="00AB14D5" w:rsidRDefault="00CF3829" w:rsidP="00CF3829">
      <w:pPr>
        <w:numPr>
          <w:ilvl w:val="0"/>
          <w:numId w:val="17"/>
        </w:numPr>
        <w:tabs>
          <w:tab w:val="clear" w:pos="360"/>
          <w:tab w:val="num" w:pos="700"/>
        </w:tabs>
        <w:spacing w:after="120"/>
        <w:ind w:left="700"/>
        <w:jc w:val="both"/>
        <w:rPr>
          <w:szCs w:val="24"/>
        </w:rPr>
      </w:pPr>
      <w:r w:rsidRPr="00AB14D5">
        <w:rPr>
          <w:szCs w:val="24"/>
        </w:rPr>
        <w:t>Green Waste - means any substance which the Council designates from time to time as green waste material for the purposes of Neighbourhood Amenity Local Law 2014;</w:t>
      </w:r>
    </w:p>
    <w:p w:rsidR="00CF3829" w:rsidRPr="00AB14D5" w:rsidRDefault="00CF3829" w:rsidP="00CF3829">
      <w:pPr>
        <w:numPr>
          <w:ilvl w:val="0"/>
          <w:numId w:val="18"/>
        </w:numPr>
        <w:tabs>
          <w:tab w:val="clear" w:pos="360"/>
          <w:tab w:val="num" w:pos="700"/>
        </w:tabs>
        <w:spacing w:after="120"/>
        <w:ind w:left="700"/>
        <w:jc w:val="both"/>
        <w:rPr>
          <w:szCs w:val="24"/>
        </w:rPr>
      </w:pPr>
      <w:r w:rsidRPr="00AB14D5">
        <w:rPr>
          <w:szCs w:val="24"/>
        </w:rPr>
        <w:t>Litterbin - means a receptacle provided by Council, or with authority of Council, in a road, a reserve or other public place, for use by the public in depositing small items of litter;</w:t>
      </w:r>
    </w:p>
    <w:p w:rsidR="00CF3829" w:rsidRPr="00AB14D5" w:rsidRDefault="00CF3829" w:rsidP="00CF3829">
      <w:pPr>
        <w:numPr>
          <w:ilvl w:val="0"/>
          <w:numId w:val="18"/>
        </w:numPr>
        <w:tabs>
          <w:tab w:val="clear" w:pos="360"/>
          <w:tab w:val="num" w:pos="700"/>
        </w:tabs>
        <w:spacing w:after="120"/>
        <w:ind w:left="700"/>
        <w:jc w:val="both"/>
        <w:rPr>
          <w:szCs w:val="24"/>
        </w:rPr>
      </w:pPr>
      <w:r w:rsidRPr="00AB14D5">
        <w:rPr>
          <w:szCs w:val="24"/>
        </w:rPr>
        <w:t>MGB – Mobile Garbage Bin, for Waste, Recycling or Green Waste;</w:t>
      </w:r>
    </w:p>
    <w:p w:rsidR="00CF3829" w:rsidRPr="00AB14D5" w:rsidRDefault="00CF3829" w:rsidP="00CF3829">
      <w:pPr>
        <w:numPr>
          <w:ilvl w:val="0"/>
          <w:numId w:val="17"/>
        </w:numPr>
        <w:tabs>
          <w:tab w:val="clear" w:pos="360"/>
          <w:tab w:val="num" w:pos="700"/>
        </w:tabs>
        <w:spacing w:after="120"/>
        <w:ind w:left="700"/>
        <w:jc w:val="both"/>
        <w:rPr>
          <w:szCs w:val="24"/>
        </w:rPr>
      </w:pPr>
      <w:r w:rsidRPr="00AB14D5">
        <w:rPr>
          <w:szCs w:val="24"/>
        </w:rPr>
        <w:t xml:space="preserve">Recyclables - means any substances or articles, which the Council designates from time to time to be recyclables Neighbourhood Amenity Local Law 2014; </w:t>
      </w:r>
    </w:p>
    <w:p w:rsidR="00CF3829" w:rsidRPr="00AB14D5" w:rsidRDefault="00CF3829" w:rsidP="00CF3829">
      <w:pPr>
        <w:numPr>
          <w:ilvl w:val="0"/>
          <w:numId w:val="19"/>
        </w:numPr>
        <w:tabs>
          <w:tab w:val="clear" w:pos="360"/>
          <w:tab w:val="num" w:pos="700"/>
        </w:tabs>
        <w:spacing w:after="120"/>
        <w:ind w:left="700"/>
        <w:jc w:val="both"/>
        <w:rPr>
          <w:szCs w:val="24"/>
        </w:rPr>
      </w:pPr>
      <w:r w:rsidRPr="00AB14D5">
        <w:rPr>
          <w:szCs w:val="24"/>
        </w:rPr>
        <w:t>Residential -</w:t>
      </w:r>
      <w:r w:rsidRPr="00AB14D5">
        <w:rPr>
          <w:b/>
          <w:szCs w:val="24"/>
        </w:rPr>
        <w:t xml:space="preserve"> </w:t>
      </w:r>
      <w:r w:rsidRPr="00AB14D5">
        <w:rPr>
          <w:szCs w:val="24"/>
        </w:rPr>
        <w:t>includes all tenements used for residential purposes in whole or in part, and any other premise designated by Council from time to time;</w:t>
      </w:r>
    </w:p>
    <w:p w:rsidR="00CF3829" w:rsidRPr="00AB14D5" w:rsidRDefault="00CF3829" w:rsidP="00CF3829">
      <w:pPr>
        <w:numPr>
          <w:ilvl w:val="0"/>
          <w:numId w:val="20"/>
        </w:numPr>
        <w:tabs>
          <w:tab w:val="clear" w:pos="360"/>
          <w:tab w:val="num" w:pos="700"/>
        </w:tabs>
        <w:spacing w:after="160"/>
        <w:ind w:left="700"/>
        <w:jc w:val="both"/>
        <w:rPr>
          <w:szCs w:val="24"/>
        </w:rPr>
      </w:pPr>
      <w:r w:rsidRPr="00AB14D5">
        <w:rPr>
          <w:szCs w:val="24"/>
        </w:rPr>
        <w:t>Tenement - means a building or part of a building in separate occupation which is, or is capable of being, rated separately by Council.</w:t>
      </w:r>
    </w:p>
    <w:p w:rsidR="00CF3829" w:rsidRPr="00AB14D5" w:rsidRDefault="00CF3829" w:rsidP="00CF3829">
      <w:pPr>
        <w:rPr>
          <w:szCs w:val="24"/>
        </w:rPr>
      </w:pPr>
      <w:r w:rsidRPr="00AB14D5">
        <w:rPr>
          <w:szCs w:val="24"/>
        </w:rPr>
        <w:br w:type="page"/>
      </w:r>
    </w:p>
    <w:p w:rsidR="00CF3829" w:rsidRPr="00AB14D5" w:rsidRDefault="00CF3829" w:rsidP="00CF3829">
      <w:pPr>
        <w:pStyle w:val="NumberedPara"/>
        <w:spacing w:after="160"/>
      </w:pPr>
      <w:r w:rsidRPr="00AB14D5">
        <w:lastRenderedPageBreak/>
        <w:t xml:space="preserve">COUNCIL POLICY </w:t>
      </w:r>
    </w:p>
    <w:p w:rsidR="00CF3829" w:rsidRPr="00AB14D5" w:rsidRDefault="00CF3829" w:rsidP="00CF3829">
      <w:r w:rsidRPr="00AB14D5">
        <w:t xml:space="preserve">The City of Greater Geelong provides a standard recycling and waste collection system that utilises a three (3) bin kerbside service for recycling, green waste and garbage that use mobile bins provided by the City. There are options for variations to this standard service to meet specific requirements enabling a universal (whole of life) service to be provided to all residential properties. </w:t>
      </w:r>
    </w:p>
    <w:p w:rsidR="00CF3829" w:rsidRPr="00AB14D5" w:rsidRDefault="00CF3829" w:rsidP="00CF3829"/>
    <w:p w:rsidR="00CF3829" w:rsidRPr="00AB14D5" w:rsidRDefault="00CF3829" w:rsidP="00CF3829">
      <w:r w:rsidRPr="00AB14D5">
        <w:t>The following are key principles of the system.</w:t>
      </w:r>
    </w:p>
    <w:p w:rsidR="00CF3829" w:rsidRPr="00AB14D5" w:rsidRDefault="00CF3829" w:rsidP="00CF3829">
      <w:pPr>
        <w:pStyle w:val="NumberedPara1"/>
        <w:ind w:left="1134" w:hanging="737"/>
        <w:rPr>
          <w:b w:val="0"/>
          <w:u w:val="single"/>
        </w:rPr>
      </w:pPr>
      <w:r w:rsidRPr="00AB14D5">
        <w:rPr>
          <w:b w:val="0"/>
        </w:rPr>
        <w:t xml:space="preserve">All residential properties (dwellings) within the Municipality be charged for a standard three mobile garbage bin (MGB) service in line with </w:t>
      </w:r>
      <w:r w:rsidRPr="00AB14D5">
        <w:rPr>
          <w:b w:val="0"/>
          <w:u w:val="single"/>
        </w:rPr>
        <w:t>“</w:t>
      </w:r>
      <w:r w:rsidRPr="00AB14D5">
        <w:rPr>
          <w:b w:val="0"/>
          <w:i/>
          <w:u w:val="single"/>
        </w:rPr>
        <w:t>the City’s Rating Strategy”.</w:t>
      </w:r>
    </w:p>
    <w:p w:rsidR="00CF3829" w:rsidRPr="00AB14D5" w:rsidRDefault="00CF3829" w:rsidP="00CF3829">
      <w:pPr>
        <w:pStyle w:val="NumberedPara1"/>
        <w:ind w:left="1134" w:hanging="737"/>
        <w:rPr>
          <w:b w:val="0"/>
        </w:rPr>
      </w:pPr>
      <w:r w:rsidRPr="00AB14D5">
        <w:rPr>
          <w:b w:val="0"/>
        </w:rPr>
        <w:t>The standard domestic recycling and waste collection system is a weekly 140 litre MGB service, a fortnightly fully commingled recycling 240-litre MGB service and a fortnightly green waste 240 litre MGB service.</w:t>
      </w:r>
    </w:p>
    <w:p w:rsidR="00CF3829" w:rsidRPr="00AB14D5" w:rsidRDefault="00CF3829" w:rsidP="00CF3829">
      <w:pPr>
        <w:pStyle w:val="NumberedPara1"/>
        <w:ind w:left="1134" w:hanging="737"/>
        <w:rPr>
          <w:b w:val="0"/>
        </w:rPr>
      </w:pPr>
      <w:r w:rsidRPr="00AB14D5">
        <w:rPr>
          <w:b w:val="0"/>
        </w:rPr>
        <w:t>The Recycling and Waste Collection System must utilise MGB’s supplied by the City. Reference Neighbourhood Amenity Local Law 2014 – Part 1 clause 29(1) (a).</w:t>
      </w:r>
    </w:p>
    <w:p w:rsidR="00CF3829" w:rsidRPr="00AB14D5" w:rsidRDefault="00CF3829" w:rsidP="00CF3829">
      <w:pPr>
        <w:pStyle w:val="NumberedPara1"/>
        <w:ind w:left="1134" w:hanging="737"/>
        <w:rPr>
          <w:b w:val="0"/>
        </w:rPr>
      </w:pPr>
      <w:r w:rsidRPr="00AB14D5">
        <w:rPr>
          <w:b w:val="0"/>
        </w:rPr>
        <w:t xml:space="preserve">The recycling, green waste and garbage collection bins are allocated to and remain with the property as part of the residential garbage, recycling and green waste collection service. </w:t>
      </w:r>
    </w:p>
    <w:p w:rsidR="00CF3829" w:rsidRPr="00AB14D5" w:rsidRDefault="00CF3829" w:rsidP="00CF3829">
      <w:pPr>
        <w:pStyle w:val="NumberedPara1"/>
        <w:ind w:left="1134" w:hanging="737"/>
        <w:rPr>
          <w:b w:val="0"/>
        </w:rPr>
      </w:pPr>
      <w:r w:rsidRPr="00AB14D5">
        <w:rPr>
          <w:b w:val="0"/>
        </w:rPr>
        <w:t xml:space="preserve">A 120 litre MGB in lieu of 140-litre MGB can be provided to units to meet the specific needs of some residents for their garbage, recycling and green waste services. </w:t>
      </w:r>
    </w:p>
    <w:p w:rsidR="00CF3829" w:rsidRPr="00AB14D5" w:rsidRDefault="00CF3829" w:rsidP="00CF3829">
      <w:pPr>
        <w:pStyle w:val="NumberedPara1"/>
        <w:ind w:left="1134" w:hanging="737"/>
        <w:rPr>
          <w:b w:val="0"/>
        </w:rPr>
      </w:pPr>
      <w:r w:rsidRPr="00AB14D5">
        <w:rPr>
          <w:b w:val="0"/>
        </w:rPr>
        <w:t>Properties with flats or units may share a 240 litre bin for garbage, recycling and green waste.  Each flat or unit entitled to a minimum equivalent capacity of 120 litres for garbage, recycling and green waste service of 120 litres per flat or unit per week.</w:t>
      </w:r>
    </w:p>
    <w:p w:rsidR="00CF3829" w:rsidRPr="00AB14D5" w:rsidRDefault="00CF3829" w:rsidP="00CF3829">
      <w:pPr>
        <w:pStyle w:val="NumberedPara1"/>
        <w:ind w:left="1134" w:hanging="737"/>
        <w:rPr>
          <w:b w:val="0"/>
        </w:rPr>
      </w:pPr>
      <w:r w:rsidRPr="00AB14D5">
        <w:rPr>
          <w:b w:val="0"/>
        </w:rPr>
        <w:t xml:space="preserve">Upon compliance with the conditions outlined in the “Guidelines </w:t>
      </w:r>
      <w:r w:rsidRPr="00AB14D5">
        <w:rPr>
          <w:b w:val="0"/>
          <w:szCs w:val="24"/>
        </w:rPr>
        <w:t>for Provision of Additional Bins for Garbage, Recycling and Green Waste</w:t>
      </w:r>
      <w:r w:rsidRPr="00AB14D5">
        <w:rPr>
          <w:b w:val="0"/>
        </w:rPr>
        <w:t>” a resident may be granted an Additional Garbage, Recycling or Green Waste bin or any combination thereof provided the appropriate Annual Service Charge for additional bins is paid.  Additional bins are available and the property</w:t>
      </w:r>
      <w:r>
        <w:rPr>
          <w:b w:val="0"/>
        </w:rPr>
        <w:t xml:space="preserve"> pays a</w:t>
      </w:r>
      <w:r w:rsidRPr="00AB14D5">
        <w:rPr>
          <w:b w:val="0"/>
        </w:rPr>
        <w:t xml:space="preserve"> Residential Waste Charge.  </w:t>
      </w:r>
    </w:p>
    <w:p w:rsidR="00CF3829" w:rsidRPr="00AB14D5" w:rsidRDefault="00CF3829" w:rsidP="00CF3829">
      <w:pPr>
        <w:pStyle w:val="NumberedPara1"/>
        <w:numPr>
          <w:ilvl w:val="0"/>
          <w:numId w:val="0"/>
        </w:numPr>
        <w:ind w:left="1134"/>
        <w:rPr>
          <w:b w:val="0"/>
        </w:rPr>
      </w:pPr>
      <w:r w:rsidRPr="00AB14D5">
        <w:rPr>
          <w:b w:val="0"/>
        </w:rPr>
        <w:t>For new additional bin deliveries, the charge will be applied from the time of delivery and will become an Additional Waste Collection charge on their rates notice until the additional bins are retu</w:t>
      </w:r>
      <w:r>
        <w:rPr>
          <w:b w:val="0"/>
        </w:rPr>
        <w:t>r</w:t>
      </w:r>
      <w:r w:rsidRPr="00AB14D5">
        <w:rPr>
          <w:b w:val="0"/>
        </w:rPr>
        <w:t xml:space="preserve">ned.  The Additional Bin charge is a full year charge for bins delivered before 31 December or a half yearly charge for bins delivered after 01 January for the current financial year. </w:t>
      </w:r>
    </w:p>
    <w:p w:rsidR="00CF3829" w:rsidRPr="00AB14D5" w:rsidRDefault="00CF3829" w:rsidP="00CF3829">
      <w:pPr>
        <w:pStyle w:val="NumberedPara1"/>
        <w:ind w:left="1134" w:hanging="737"/>
        <w:rPr>
          <w:b w:val="0"/>
        </w:rPr>
      </w:pPr>
      <w:r w:rsidRPr="00AB14D5">
        <w:rPr>
          <w:b w:val="0"/>
        </w:rPr>
        <w:t>Additional Green Waste bins will only become available when the Green Organics processing facility is constructed and operational.</w:t>
      </w:r>
    </w:p>
    <w:p w:rsidR="00CF3829" w:rsidRPr="00AB14D5" w:rsidRDefault="00CF3829" w:rsidP="00CF3829">
      <w:pPr>
        <w:pStyle w:val="NumberedPara1"/>
        <w:ind w:left="1134" w:hanging="737"/>
        <w:rPr>
          <w:b w:val="0"/>
        </w:rPr>
      </w:pPr>
      <w:r w:rsidRPr="00AB14D5">
        <w:rPr>
          <w:b w:val="0"/>
        </w:rPr>
        <w:t>That a review of the collection system be undertaken on an annual basis to ensure that it continues to meet the needs of residents and that feedback be provided to Manager Environment and Waste Services and General Manager City Services on the overall performance of the system.</w:t>
      </w:r>
    </w:p>
    <w:p w:rsidR="00CF3829" w:rsidRPr="00AB14D5" w:rsidRDefault="00CF3829" w:rsidP="00CF3829">
      <w:pPr>
        <w:pStyle w:val="NumberedPara1"/>
        <w:ind w:left="1134" w:hanging="737"/>
        <w:rPr>
          <w:b w:val="0"/>
        </w:rPr>
      </w:pPr>
      <w:r w:rsidRPr="00AB14D5">
        <w:rPr>
          <w:b w:val="0"/>
        </w:rPr>
        <w:lastRenderedPageBreak/>
        <w:t>The body colour of the body of all residential MGB’s shall be dark green with lids coloured burgundy for garbage, yellow for recycling and nature green for green waste.</w:t>
      </w:r>
    </w:p>
    <w:p w:rsidR="00CF3829" w:rsidRPr="00AB14D5" w:rsidRDefault="00CF3829" w:rsidP="00CF3829">
      <w:pPr>
        <w:pStyle w:val="NumberedPara1"/>
        <w:ind w:left="1134" w:hanging="737"/>
        <w:rPr>
          <w:b w:val="0"/>
        </w:rPr>
      </w:pPr>
      <w:r w:rsidRPr="00AB14D5">
        <w:rPr>
          <w:b w:val="0"/>
        </w:rPr>
        <w:t>All residential MGB’s will be appropriately marked with;</w:t>
      </w:r>
    </w:p>
    <w:p w:rsidR="00CF3829" w:rsidRPr="00AB14D5" w:rsidRDefault="00CF3829" w:rsidP="00CF3829">
      <w:pPr>
        <w:pStyle w:val="NumberedPara2"/>
      </w:pPr>
      <w:r w:rsidRPr="00AB14D5">
        <w:t>The City logo, a property address label and embossed marking to reflect type of bin and serial number;</w:t>
      </w:r>
    </w:p>
    <w:p w:rsidR="00CF3829" w:rsidRPr="00AB14D5" w:rsidRDefault="00CF3829" w:rsidP="00CF3829">
      <w:pPr>
        <w:pStyle w:val="NumberedPara2"/>
      </w:pPr>
      <w:r w:rsidRPr="00AB14D5">
        <w:t xml:space="preserve"> having stickers to denote an additional bin; and </w:t>
      </w:r>
    </w:p>
    <w:p w:rsidR="00CF3829" w:rsidRPr="00AB14D5" w:rsidRDefault="00CF3829" w:rsidP="00CF3829">
      <w:pPr>
        <w:pStyle w:val="NumberedPara2"/>
      </w:pPr>
      <w:r w:rsidRPr="00AB14D5">
        <w:t>Stickers or embossing to provide information on contamination and type of material that can be placed in the MGB.</w:t>
      </w:r>
    </w:p>
    <w:p w:rsidR="00CF3829" w:rsidRPr="00AB14D5" w:rsidRDefault="00CF3829" w:rsidP="00CF3829">
      <w:pPr>
        <w:pStyle w:val="NumberedPara1"/>
        <w:ind w:left="1134" w:hanging="737"/>
        <w:rPr>
          <w:b w:val="0"/>
        </w:rPr>
      </w:pPr>
      <w:r w:rsidRPr="00AB14D5">
        <w:rPr>
          <w:b w:val="0"/>
        </w:rPr>
        <w:t>The rate notices to provide separate descriptions for the Residential Waste Charge and the Additional Bin Charge.</w:t>
      </w:r>
    </w:p>
    <w:p w:rsidR="00CF3829" w:rsidRPr="00AB14D5" w:rsidRDefault="00CF3829" w:rsidP="00CF3829">
      <w:pPr>
        <w:pStyle w:val="NumberedPara1"/>
        <w:ind w:left="1134" w:hanging="737"/>
        <w:rPr>
          <w:b w:val="0"/>
        </w:rPr>
      </w:pPr>
      <w:r w:rsidRPr="00AB14D5">
        <w:rPr>
          <w:b w:val="0"/>
        </w:rPr>
        <w:t>A Communication and Education Strategy be used to assist in the on-going operation of the system and to include:</w:t>
      </w:r>
    </w:p>
    <w:p w:rsidR="00CF3829" w:rsidRPr="00AB14D5" w:rsidRDefault="00CF3829" w:rsidP="00CF3829">
      <w:pPr>
        <w:pStyle w:val="NumberedPara1"/>
        <w:numPr>
          <w:ilvl w:val="0"/>
          <w:numId w:val="16"/>
        </w:numPr>
        <w:tabs>
          <w:tab w:val="clear" w:pos="757"/>
          <w:tab w:val="num" w:pos="1440"/>
        </w:tabs>
        <w:ind w:left="1440"/>
        <w:rPr>
          <w:b w:val="0"/>
        </w:rPr>
      </w:pPr>
      <w:r w:rsidRPr="00AB14D5">
        <w:rPr>
          <w:b w:val="0"/>
        </w:rPr>
        <w:t>encouragement of responsible home composting;</w:t>
      </w:r>
    </w:p>
    <w:p w:rsidR="00CF3829" w:rsidRPr="00AB14D5" w:rsidRDefault="00CF3829" w:rsidP="00CF3829">
      <w:pPr>
        <w:pStyle w:val="NumberedPara1"/>
        <w:numPr>
          <w:ilvl w:val="0"/>
          <w:numId w:val="16"/>
        </w:numPr>
        <w:tabs>
          <w:tab w:val="clear" w:pos="757"/>
          <w:tab w:val="num" w:pos="1440"/>
        </w:tabs>
        <w:ind w:left="1440"/>
        <w:rPr>
          <w:b w:val="0"/>
        </w:rPr>
      </w:pPr>
      <w:r w:rsidRPr="00AB14D5">
        <w:rPr>
          <w:b w:val="0"/>
        </w:rPr>
        <w:t xml:space="preserve">information on drop off points for extra recyclables and waste during seasonal peaks; and </w:t>
      </w:r>
    </w:p>
    <w:p w:rsidR="00CF3829" w:rsidRPr="00AB14D5" w:rsidRDefault="00CF3829" w:rsidP="00CF3829">
      <w:pPr>
        <w:pStyle w:val="NumberedPara1"/>
        <w:numPr>
          <w:ilvl w:val="0"/>
          <w:numId w:val="16"/>
        </w:numPr>
        <w:tabs>
          <w:tab w:val="clear" w:pos="757"/>
          <w:tab w:val="num" w:pos="1418"/>
        </w:tabs>
        <w:ind w:left="1440"/>
        <w:rPr>
          <w:b w:val="0"/>
        </w:rPr>
      </w:pPr>
      <w:r w:rsidRPr="00AB14D5">
        <w:rPr>
          <w:b w:val="0"/>
        </w:rPr>
        <w:t>a communication and education program to promote the recycling of green waste and the positive impact on the environment.</w:t>
      </w:r>
    </w:p>
    <w:p w:rsidR="00CF3829" w:rsidRPr="00AB14D5" w:rsidRDefault="00CF3829" w:rsidP="00CF3829">
      <w:pPr>
        <w:pStyle w:val="NumberedPara1"/>
        <w:ind w:left="1134" w:hanging="737"/>
        <w:rPr>
          <w:b w:val="0"/>
        </w:rPr>
      </w:pPr>
      <w:r w:rsidRPr="00AB14D5">
        <w:rPr>
          <w:b w:val="0"/>
        </w:rPr>
        <w:t>All rural properties entitled to the standard domestic recycling and waste collection system service shall be entitled to green waste service regardless of property size.</w:t>
      </w:r>
    </w:p>
    <w:p w:rsidR="00CF3829" w:rsidRPr="00AB14D5" w:rsidRDefault="00CF3829" w:rsidP="00CF3829">
      <w:pPr>
        <w:pStyle w:val="NumberedPara1"/>
        <w:ind w:left="1134" w:hanging="737"/>
        <w:rPr>
          <w:b w:val="0"/>
        </w:rPr>
      </w:pPr>
      <w:r w:rsidRPr="00AB14D5">
        <w:rPr>
          <w:b w:val="0"/>
        </w:rPr>
        <w:t>Criteria for the provision of a Special Needs Service be developed and maintained in accordance with the principles of Council’s Disability Action Plan.</w:t>
      </w:r>
    </w:p>
    <w:p w:rsidR="00CF3829" w:rsidRPr="00AB14D5" w:rsidRDefault="00CF3829" w:rsidP="00CF3829">
      <w:pPr>
        <w:pStyle w:val="NumberedPara1"/>
        <w:ind w:left="1134" w:hanging="737"/>
        <w:rPr>
          <w:b w:val="0"/>
        </w:rPr>
      </w:pPr>
      <w:r w:rsidRPr="00AB14D5">
        <w:rPr>
          <w:b w:val="0"/>
        </w:rPr>
        <w:t xml:space="preserve">Opportunity be provided for other properties (e.g. schools, small commercial business premises within collection areas) to be included within fully commingled recycling and green waste collection service on a fee for service basis.  This fee </w:t>
      </w:r>
      <w:r>
        <w:rPr>
          <w:b w:val="0"/>
        </w:rPr>
        <w:t>will</w:t>
      </w:r>
      <w:r w:rsidRPr="00AB14D5">
        <w:rPr>
          <w:b w:val="0"/>
        </w:rPr>
        <w:t xml:space="preserve"> be a “commercial bin collection charge” billed via accounts receivable.</w:t>
      </w:r>
    </w:p>
    <w:p w:rsidR="00CF3829" w:rsidRPr="00AB14D5" w:rsidRDefault="00CF3829" w:rsidP="00CF3829">
      <w:pPr>
        <w:pStyle w:val="NumberedPara1"/>
        <w:ind w:left="1134" w:hanging="737"/>
        <w:rPr>
          <w:b w:val="0"/>
        </w:rPr>
      </w:pPr>
      <w:r w:rsidRPr="00AB14D5">
        <w:rPr>
          <w:b w:val="0"/>
        </w:rPr>
        <w:t>Council reserves the right to remove Additional Recycling and Green Waste MGB’s where the additional bins contain ongoing and regular contamination.</w:t>
      </w:r>
    </w:p>
    <w:p w:rsidR="00BD5364" w:rsidRDefault="00BD5364">
      <w:pPr>
        <w:spacing w:after="200" w:line="276" w:lineRule="auto"/>
        <w:rPr>
          <w:b/>
        </w:rPr>
      </w:pPr>
      <w:r>
        <w:rPr>
          <w:b/>
        </w:rPr>
        <w:br w:type="page"/>
      </w:r>
    </w:p>
    <w:p w:rsidR="00CF3829" w:rsidRPr="00AB14D5" w:rsidRDefault="00CF3829" w:rsidP="00CF3829">
      <w:pPr>
        <w:rPr>
          <w:b/>
        </w:rPr>
      </w:pPr>
    </w:p>
    <w:p w:rsidR="00CF3829" w:rsidRPr="00AB14D5" w:rsidRDefault="00CF3829" w:rsidP="00CF3829">
      <w:pPr>
        <w:pStyle w:val="NumberedPara"/>
        <w:spacing w:after="160"/>
      </w:pPr>
      <w:r w:rsidRPr="00AB14D5">
        <w:t>QUALITY RECORDS</w:t>
      </w:r>
    </w:p>
    <w:p w:rsidR="00CF3829" w:rsidRPr="00AB14D5" w:rsidRDefault="00CF3829" w:rsidP="00CF3829">
      <w:pPr>
        <w:pStyle w:val="OfficerFile0"/>
      </w:pPr>
      <w:r w:rsidRPr="00AB14D5">
        <w:t>Quality Records shall be retained for at least the period shown below.</w:t>
      </w:r>
    </w:p>
    <w:p w:rsidR="00CF3829" w:rsidRPr="00AB14D5" w:rsidRDefault="00CF3829" w:rsidP="00CF3829">
      <w:pPr>
        <w:rPr>
          <w:b/>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127"/>
        <w:gridCol w:w="2268"/>
        <w:gridCol w:w="2126"/>
      </w:tblGrid>
      <w:tr w:rsidR="00CF3829" w:rsidRPr="00AB14D5" w:rsidTr="00BD5364">
        <w:tc>
          <w:tcPr>
            <w:tcW w:w="2835" w:type="dxa"/>
          </w:tcPr>
          <w:p w:rsidR="00CF3829" w:rsidRPr="00AB14D5" w:rsidRDefault="00CF3829" w:rsidP="00BD5364">
            <w:pPr>
              <w:rPr>
                <w:b/>
              </w:rPr>
            </w:pPr>
            <w:r w:rsidRPr="00AB14D5">
              <w:rPr>
                <w:b/>
              </w:rPr>
              <w:t>Record</w:t>
            </w:r>
          </w:p>
        </w:tc>
        <w:tc>
          <w:tcPr>
            <w:tcW w:w="2127" w:type="dxa"/>
          </w:tcPr>
          <w:p w:rsidR="00CF3829" w:rsidRPr="00AB14D5" w:rsidRDefault="00CF3829" w:rsidP="00BD5364">
            <w:pPr>
              <w:rPr>
                <w:b/>
              </w:rPr>
            </w:pPr>
            <w:r w:rsidRPr="00AB14D5">
              <w:rPr>
                <w:b/>
              </w:rPr>
              <w:t>Retention/Disposal Responsibility</w:t>
            </w:r>
          </w:p>
        </w:tc>
        <w:tc>
          <w:tcPr>
            <w:tcW w:w="2268" w:type="dxa"/>
          </w:tcPr>
          <w:p w:rsidR="00CF3829" w:rsidRPr="00AB14D5" w:rsidRDefault="00CF3829" w:rsidP="00BD5364">
            <w:pPr>
              <w:rPr>
                <w:b/>
              </w:rPr>
            </w:pPr>
            <w:r w:rsidRPr="00AB14D5">
              <w:rPr>
                <w:b/>
              </w:rPr>
              <w:t>Retention Period</w:t>
            </w:r>
          </w:p>
        </w:tc>
        <w:tc>
          <w:tcPr>
            <w:tcW w:w="2126" w:type="dxa"/>
          </w:tcPr>
          <w:p w:rsidR="00CF3829" w:rsidRPr="00AB14D5" w:rsidRDefault="00CF3829" w:rsidP="00BD5364">
            <w:pPr>
              <w:tabs>
                <w:tab w:val="left" w:pos="1735"/>
              </w:tabs>
              <w:rPr>
                <w:b/>
              </w:rPr>
            </w:pPr>
            <w:r w:rsidRPr="00AB14D5">
              <w:rPr>
                <w:b/>
              </w:rPr>
              <w:t>Location</w:t>
            </w:r>
          </w:p>
        </w:tc>
      </w:tr>
      <w:tr w:rsidR="00CF3829" w:rsidRPr="00AB14D5" w:rsidTr="00BD5364">
        <w:tc>
          <w:tcPr>
            <w:tcW w:w="2835" w:type="dxa"/>
          </w:tcPr>
          <w:p w:rsidR="00CF3829" w:rsidRPr="00AB14D5" w:rsidRDefault="00CF3829" w:rsidP="00BD5364">
            <w:r w:rsidRPr="00AB14D5">
              <w:t>Council Property Database for Residential Properties (refer Items 5.1, 5.4, 5.5 &amp; 5.6)</w:t>
            </w:r>
          </w:p>
        </w:tc>
        <w:tc>
          <w:tcPr>
            <w:tcW w:w="2127" w:type="dxa"/>
          </w:tcPr>
          <w:p w:rsidR="00CF3829" w:rsidRPr="00AB14D5" w:rsidRDefault="00CF3829" w:rsidP="00BD5364">
            <w:r w:rsidRPr="00AB14D5">
              <w:t>Finance Manager</w:t>
            </w:r>
          </w:p>
        </w:tc>
        <w:tc>
          <w:tcPr>
            <w:tcW w:w="2268" w:type="dxa"/>
          </w:tcPr>
          <w:p w:rsidR="00CF3829" w:rsidRPr="00AB14D5" w:rsidRDefault="00CF3829" w:rsidP="00BD5364">
            <w:r w:rsidRPr="00AB14D5">
              <w:t>7 years (i.e. duration of collection contracts)</w:t>
            </w:r>
          </w:p>
        </w:tc>
        <w:tc>
          <w:tcPr>
            <w:tcW w:w="2126" w:type="dxa"/>
          </w:tcPr>
          <w:p w:rsidR="00CF3829" w:rsidRPr="00AB14D5" w:rsidRDefault="00CF3829" w:rsidP="00BD5364">
            <w:r w:rsidRPr="00AB14D5">
              <w:t>Finance Department</w:t>
            </w:r>
          </w:p>
        </w:tc>
      </w:tr>
      <w:tr w:rsidR="00CF3829" w:rsidRPr="00AB14D5" w:rsidTr="00BD5364">
        <w:tc>
          <w:tcPr>
            <w:tcW w:w="2835" w:type="dxa"/>
          </w:tcPr>
          <w:p w:rsidR="00CF3829" w:rsidRPr="00AB14D5" w:rsidRDefault="00CF3829" w:rsidP="00BD5364">
            <w:r w:rsidRPr="00AB14D5">
              <w:t>File database for Additional Garbage and Recycling Services (refer Item 5.7)</w:t>
            </w:r>
          </w:p>
        </w:tc>
        <w:tc>
          <w:tcPr>
            <w:tcW w:w="2127" w:type="dxa"/>
          </w:tcPr>
          <w:p w:rsidR="00CF3829" w:rsidRPr="00AB14D5" w:rsidRDefault="00CF3829" w:rsidP="00BD5364">
            <w:r w:rsidRPr="00AB14D5">
              <w:t>Finance Manager</w:t>
            </w:r>
          </w:p>
        </w:tc>
        <w:tc>
          <w:tcPr>
            <w:tcW w:w="2268" w:type="dxa"/>
          </w:tcPr>
          <w:p w:rsidR="00CF3829" w:rsidRPr="00AB14D5" w:rsidRDefault="00CF3829" w:rsidP="00BD5364">
            <w:r w:rsidRPr="00AB14D5">
              <w:t>7 years (i.e. duration of collection contracts)</w:t>
            </w:r>
          </w:p>
        </w:tc>
        <w:tc>
          <w:tcPr>
            <w:tcW w:w="2126" w:type="dxa"/>
          </w:tcPr>
          <w:p w:rsidR="00CF3829" w:rsidRPr="00AB14D5" w:rsidRDefault="00CF3829" w:rsidP="00BD5364">
            <w:r w:rsidRPr="00AB14D5">
              <w:t>Finance Department</w:t>
            </w:r>
          </w:p>
        </w:tc>
      </w:tr>
      <w:tr w:rsidR="00CF3829" w:rsidRPr="00AB14D5" w:rsidTr="00BD5364">
        <w:tc>
          <w:tcPr>
            <w:tcW w:w="2835" w:type="dxa"/>
          </w:tcPr>
          <w:p w:rsidR="00CF3829" w:rsidRPr="00AB14D5" w:rsidRDefault="00CF3829" w:rsidP="00BD5364">
            <w:r w:rsidRPr="00AB14D5">
              <w:t>File database for Special Needs Service (refer Item 5.15)</w:t>
            </w:r>
          </w:p>
        </w:tc>
        <w:tc>
          <w:tcPr>
            <w:tcW w:w="2127" w:type="dxa"/>
          </w:tcPr>
          <w:p w:rsidR="00CF3829" w:rsidRPr="00AB14D5" w:rsidRDefault="00CF3829" w:rsidP="00BD5364">
            <w:r w:rsidRPr="00AB14D5">
              <w:t>Manager Environment and Waste Services</w:t>
            </w:r>
          </w:p>
        </w:tc>
        <w:tc>
          <w:tcPr>
            <w:tcW w:w="2268" w:type="dxa"/>
          </w:tcPr>
          <w:p w:rsidR="00CF3829" w:rsidRPr="00AB14D5" w:rsidRDefault="00CF3829" w:rsidP="00BD5364">
            <w:r w:rsidRPr="00AB14D5">
              <w:t>7 years (i.e. duration of collection contracts)</w:t>
            </w:r>
          </w:p>
        </w:tc>
        <w:tc>
          <w:tcPr>
            <w:tcW w:w="2126" w:type="dxa"/>
          </w:tcPr>
          <w:p w:rsidR="00CF3829" w:rsidRPr="00AB14D5" w:rsidRDefault="00CF3829" w:rsidP="00BD5364">
            <w:r w:rsidRPr="00AB14D5">
              <w:t>Waste Management Department</w:t>
            </w:r>
          </w:p>
        </w:tc>
      </w:tr>
    </w:tbl>
    <w:p w:rsidR="00CF3829" w:rsidRPr="00AB14D5" w:rsidRDefault="00CF3829" w:rsidP="00CF3829">
      <w:pPr>
        <w:tabs>
          <w:tab w:val="left" w:pos="709"/>
        </w:tabs>
      </w:pPr>
    </w:p>
    <w:p w:rsidR="00CF3829" w:rsidRPr="00AB14D5" w:rsidRDefault="00CF3829" w:rsidP="00CF3829">
      <w:pPr>
        <w:pStyle w:val="NumberedPara"/>
        <w:spacing w:after="160"/>
      </w:pPr>
      <w:r w:rsidRPr="00AB14D5">
        <w:t>ATTACHMENTS</w:t>
      </w:r>
    </w:p>
    <w:p w:rsidR="00CF3829" w:rsidRPr="00AB14D5" w:rsidRDefault="00CF3829" w:rsidP="00CF3829">
      <w:pPr>
        <w:pStyle w:val="BodyText"/>
        <w:rPr>
          <w:szCs w:val="24"/>
        </w:rPr>
      </w:pPr>
      <w:r w:rsidRPr="00AB14D5">
        <w:t xml:space="preserve">1) Guidelines </w:t>
      </w:r>
      <w:r w:rsidRPr="00AB14D5">
        <w:rPr>
          <w:szCs w:val="24"/>
        </w:rPr>
        <w:t>for Provision of Additional Bins for Recycling, Garbage and Green waste.</w:t>
      </w:r>
    </w:p>
    <w:p w:rsidR="00CF3829" w:rsidRPr="00AB14D5" w:rsidRDefault="00CF3829" w:rsidP="00CF3829">
      <w:pPr>
        <w:pStyle w:val="SumPoint"/>
        <w:numPr>
          <w:ilvl w:val="0"/>
          <w:numId w:val="0"/>
        </w:numPr>
        <w:ind w:left="340"/>
        <w:jc w:val="right"/>
        <w:rPr>
          <w:szCs w:val="24"/>
        </w:rPr>
      </w:pPr>
      <w:r w:rsidRPr="00AB14D5">
        <w:br w:type="page"/>
      </w:r>
    </w:p>
    <w:p w:rsidR="00CF3829" w:rsidRPr="00AB14D5" w:rsidRDefault="00CF3829" w:rsidP="00EA48B0">
      <w:pPr>
        <w:pStyle w:val="Heading1"/>
        <w:spacing w:after="120"/>
        <w:jc w:val="center"/>
        <w:rPr>
          <w:sz w:val="28"/>
        </w:rPr>
      </w:pPr>
      <w:smartTag w:uri="urn:schemas-microsoft-com:office:smarttags" w:element="stockticker">
        <w:r w:rsidRPr="00AB14D5">
          <w:rPr>
            <w:sz w:val="28"/>
          </w:rPr>
          <w:lastRenderedPageBreak/>
          <w:t>CITY</w:t>
        </w:r>
      </w:smartTag>
      <w:r w:rsidRPr="00AB14D5">
        <w:rPr>
          <w:sz w:val="28"/>
        </w:rPr>
        <w:t xml:space="preserve"> OF GREATER GEELONG</w:t>
      </w:r>
    </w:p>
    <w:p w:rsidR="00CF3829" w:rsidRPr="00AB14D5" w:rsidRDefault="00CF3829" w:rsidP="00CF3829">
      <w:pPr>
        <w:spacing w:after="120"/>
        <w:jc w:val="center"/>
        <w:rPr>
          <w:b/>
          <w:sz w:val="28"/>
          <w:szCs w:val="28"/>
        </w:rPr>
      </w:pPr>
      <w:r w:rsidRPr="00AB14D5">
        <w:rPr>
          <w:b/>
          <w:sz w:val="28"/>
          <w:szCs w:val="28"/>
        </w:rPr>
        <w:t xml:space="preserve">RECYCLING </w:t>
      </w:r>
      <w:smartTag w:uri="urn:schemas-microsoft-com:office:smarttags" w:element="stockticker">
        <w:r w:rsidRPr="00AB14D5">
          <w:rPr>
            <w:b/>
            <w:sz w:val="28"/>
            <w:szCs w:val="28"/>
          </w:rPr>
          <w:t>AND</w:t>
        </w:r>
      </w:smartTag>
      <w:r w:rsidRPr="00AB14D5">
        <w:rPr>
          <w:b/>
          <w:sz w:val="28"/>
          <w:szCs w:val="28"/>
        </w:rPr>
        <w:t xml:space="preserve"> WASTE COLLECTION SYSTEM</w:t>
      </w:r>
    </w:p>
    <w:p w:rsidR="00CF3829" w:rsidRPr="00AB14D5" w:rsidRDefault="00CF3829" w:rsidP="00CF3829">
      <w:pPr>
        <w:pStyle w:val="BodyText"/>
        <w:jc w:val="center"/>
        <w:rPr>
          <w:b/>
          <w:sz w:val="28"/>
          <w:szCs w:val="28"/>
        </w:rPr>
      </w:pPr>
      <w:r w:rsidRPr="00AB14D5">
        <w:rPr>
          <w:b/>
          <w:sz w:val="28"/>
          <w:szCs w:val="28"/>
        </w:rPr>
        <w:t xml:space="preserve">GUIDELINES FOR PROVISION OF ADDITIONAL BIN SERVICES </w:t>
      </w:r>
    </w:p>
    <w:p w:rsidR="00CF3829" w:rsidRPr="00AB14D5" w:rsidRDefault="00CF3829" w:rsidP="00CF3829">
      <w:pPr>
        <w:pStyle w:val="BodyText"/>
        <w:jc w:val="center"/>
        <w:rPr>
          <w:b/>
          <w:sz w:val="28"/>
          <w:szCs w:val="28"/>
        </w:rPr>
      </w:pPr>
      <w:r w:rsidRPr="00AB14D5">
        <w:rPr>
          <w:b/>
          <w:sz w:val="28"/>
          <w:szCs w:val="28"/>
        </w:rPr>
        <w:t>FOR</w:t>
      </w:r>
    </w:p>
    <w:p w:rsidR="00CF3829" w:rsidRPr="00AB14D5" w:rsidRDefault="00CF3829" w:rsidP="00CF3829">
      <w:pPr>
        <w:pStyle w:val="BodyText"/>
        <w:jc w:val="center"/>
        <w:rPr>
          <w:b/>
          <w:sz w:val="28"/>
          <w:szCs w:val="28"/>
        </w:rPr>
      </w:pPr>
      <w:r w:rsidRPr="00AB14D5">
        <w:rPr>
          <w:b/>
          <w:sz w:val="28"/>
          <w:szCs w:val="28"/>
        </w:rPr>
        <w:t xml:space="preserve"> GARBAGE, RECYCLING </w:t>
      </w:r>
      <w:smartTag w:uri="urn:schemas-microsoft-com:office:smarttags" w:element="stockticker">
        <w:r w:rsidRPr="00AB14D5">
          <w:rPr>
            <w:b/>
            <w:sz w:val="28"/>
            <w:szCs w:val="28"/>
          </w:rPr>
          <w:t>AND</w:t>
        </w:r>
      </w:smartTag>
      <w:r w:rsidRPr="00AB14D5">
        <w:rPr>
          <w:b/>
          <w:sz w:val="28"/>
          <w:szCs w:val="28"/>
        </w:rPr>
        <w:t xml:space="preserve"> GREEN WASTE </w:t>
      </w:r>
    </w:p>
    <w:p w:rsidR="00CF3829" w:rsidRPr="00AB14D5" w:rsidRDefault="00CF3829" w:rsidP="00CF3829">
      <w:pPr>
        <w:pStyle w:val="BodyText"/>
        <w:rPr>
          <w:szCs w:val="24"/>
        </w:rPr>
      </w:pPr>
    </w:p>
    <w:p w:rsidR="00CF3829" w:rsidRPr="00AB14D5" w:rsidRDefault="00CF3829" w:rsidP="00CF3829">
      <w:pPr>
        <w:pStyle w:val="BodyText"/>
        <w:jc w:val="left"/>
        <w:rPr>
          <w:szCs w:val="24"/>
          <w:u w:val="single"/>
        </w:rPr>
      </w:pPr>
      <w:r w:rsidRPr="00AB14D5">
        <w:rPr>
          <w:szCs w:val="24"/>
          <w:u w:val="single"/>
        </w:rPr>
        <w:t>Objectives</w:t>
      </w:r>
    </w:p>
    <w:p w:rsidR="00CF3829" w:rsidRPr="00AB14D5" w:rsidRDefault="00CF3829" w:rsidP="00CF3829">
      <w:pPr>
        <w:pStyle w:val="BodyText"/>
        <w:jc w:val="left"/>
        <w:rPr>
          <w:szCs w:val="24"/>
        </w:rPr>
      </w:pPr>
      <w:r w:rsidRPr="00AB14D5">
        <w:rPr>
          <w:szCs w:val="24"/>
        </w:rPr>
        <w:t>These guidelines have been prepared to:</w:t>
      </w:r>
    </w:p>
    <w:p w:rsidR="00CF3829" w:rsidRPr="00AB14D5" w:rsidRDefault="00CF3829" w:rsidP="00CF3829">
      <w:pPr>
        <w:pStyle w:val="BodyText"/>
        <w:jc w:val="left"/>
        <w:rPr>
          <w:szCs w:val="24"/>
        </w:rPr>
      </w:pPr>
    </w:p>
    <w:p w:rsidR="00CF3829" w:rsidRPr="00AB14D5" w:rsidRDefault="00CF3829" w:rsidP="00CF3829">
      <w:pPr>
        <w:pStyle w:val="BodyText"/>
        <w:numPr>
          <w:ilvl w:val="0"/>
          <w:numId w:val="22"/>
        </w:numPr>
        <w:tabs>
          <w:tab w:val="clear" w:pos="360"/>
          <w:tab w:val="num" w:pos="717"/>
        </w:tabs>
        <w:ind w:left="717"/>
        <w:jc w:val="left"/>
        <w:rPr>
          <w:strike/>
          <w:szCs w:val="24"/>
        </w:rPr>
      </w:pPr>
      <w:r w:rsidRPr="00AB14D5">
        <w:rPr>
          <w:szCs w:val="24"/>
        </w:rPr>
        <w:t>Ensure that the community is encouraged to embrace waste minimisation principles and maximise the separation of waste into the appropriate collection streams of recycling, green waste and waste;</w:t>
      </w:r>
    </w:p>
    <w:p w:rsidR="00CF3829" w:rsidRPr="00AB14D5" w:rsidRDefault="00CF3829" w:rsidP="00CF3829">
      <w:pPr>
        <w:pStyle w:val="BodyText"/>
        <w:numPr>
          <w:ilvl w:val="0"/>
          <w:numId w:val="22"/>
        </w:numPr>
        <w:tabs>
          <w:tab w:val="clear" w:pos="360"/>
          <w:tab w:val="num" w:pos="717"/>
        </w:tabs>
        <w:ind w:left="717"/>
        <w:jc w:val="left"/>
        <w:rPr>
          <w:szCs w:val="24"/>
        </w:rPr>
      </w:pPr>
      <w:r w:rsidRPr="00AB14D5">
        <w:rPr>
          <w:szCs w:val="24"/>
        </w:rPr>
        <w:t>Provide flexibility in the provision of waste, recycling and green waste bins so that the each property has services that meet the  needs of the occupants at any given time over a “whole of life concept”;</w:t>
      </w:r>
    </w:p>
    <w:p w:rsidR="00CF3829" w:rsidRPr="00AB14D5" w:rsidRDefault="00CF3829" w:rsidP="00CF3829">
      <w:pPr>
        <w:pStyle w:val="BodyText"/>
        <w:numPr>
          <w:ilvl w:val="0"/>
          <w:numId w:val="22"/>
        </w:numPr>
        <w:tabs>
          <w:tab w:val="clear" w:pos="360"/>
          <w:tab w:val="num" w:pos="717"/>
        </w:tabs>
        <w:ind w:left="717"/>
        <w:jc w:val="left"/>
        <w:rPr>
          <w:szCs w:val="24"/>
        </w:rPr>
      </w:pPr>
      <w:r w:rsidRPr="00AB14D5">
        <w:rPr>
          <w:szCs w:val="24"/>
        </w:rPr>
        <w:t>Enable the City to deliver its recycling and waste collection services in a socially just manner to members of the community who seek additional support to meet their needs for reasons which are reasonably outside their control (e</w:t>
      </w:r>
      <w:r>
        <w:rPr>
          <w:szCs w:val="24"/>
        </w:rPr>
        <w:t>.</w:t>
      </w:r>
      <w:r w:rsidRPr="00AB14D5">
        <w:rPr>
          <w:szCs w:val="24"/>
        </w:rPr>
        <w:t>g</w:t>
      </w:r>
      <w:r>
        <w:rPr>
          <w:szCs w:val="24"/>
        </w:rPr>
        <w:t>.</w:t>
      </w:r>
      <w:r w:rsidRPr="00AB14D5">
        <w:rPr>
          <w:szCs w:val="24"/>
        </w:rPr>
        <w:t xml:space="preserve"> medical conditions);</w:t>
      </w:r>
    </w:p>
    <w:p w:rsidR="00CF3829" w:rsidRPr="00AB14D5" w:rsidRDefault="00CF3829" w:rsidP="00CF3829">
      <w:pPr>
        <w:pStyle w:val="BodyText"/>
        <w:numPr>
          <w:ilvl w:val="0"/>
          <w:numId w:val="22"/>
        </w:numPr>
        <w:tabs>
          <w:tab w:val="clear" w:pos="360"/>
          <w:tab w:val="num" w:pos="717"/>
        </w:tabs>
        <w:ind w:left="717"/>
        <w:jc w:val="left"/>
        <w:rPr>
          <w:szCs w:val="24"/>
        </w:rPr>
      </w:pPr>
      <w:r w:rsidRPr="00AB14D5">
        <w:rPr>
          <w:szCs w:val="24"/>
        </w:rPr>
        <w:t>Provide Residential Recycling and Waste Services to residents that reflect the costs to the users of the service; and</w:t>
      </w:r>
    </w:p>
    <w:p w:rsidR="00CF3829" w:rsidRDefault="00CF3829" w:rsidP="00CF3829">
      <w:pPr>
        <w:pStyle w:val="BodyText"/>
        <w:numPr>
          <w:ilvl w:val="0"/>
          <w:numId w:val="22"/>
        </w:numPr>
        <w:tabs>
          <w:tab w:val="clear" w:pos="360"/>
          <w:tab w:val="num" w:pos="717"/>
        </w:tabs>
        <w:ind w:left="717"/>
        <w:jc w:val="left"/>
        <w:rPr>
          <w:szCs w:val="24"/>
        </w:rPr>
      </w:pPr>
      <w:r w:rsidRPr="00AB14D5">
        <w:rPr>
          <w:szCs w:val="24"/>
        </w:rPr>
        <w:t>Apply only to residential properties that use domestic MGB’s (2 wheel) and not Multi Unit developments that use industrial 4 wheel MGB’s.</w:t>
      </w:r>
    </w:p>
    <w:p w:rsidR="00CF3829" w:rsidRPr="00AB14D5" w:rsidRDefault="00CF3829" w:rsidP="00CF3829">
      <w:pPr>
        <w:pStyle w:val="BodyText"/>
        <w:jc w:val="left"/>
        <w:rPr>
          <w:szCs w:val="24"/>
        </w:rPr>
      </w:pPr>
    </w:p>
    <w:p w:rsidR="00CF3829" w:rsidRPr="00AB14D5" w:rsidRDefault="00CF3829" w:rsidP="00CF3829">
      <w:pPr>
        <w:pStyle w:val="BodyText"/>
        <w:jc w:val="left"/>
        <w:rPr>
          <w:szCs w:val="24"/>
          <w:u w:val="single"/>
        </w:rPr>
      </w:pPr>
      <w:r w:rsidRPr="00AB14D5">
        <w:rPr>
          <w:szCs w:val="24"/>
          <w:u w:val="single"/>
        </w:rPr>
        <w:t>Guidelines</w:t>
      </w:r>
    </w:p>
    <w:p w:rsidR="00CF3829" w:rsidRDefault="00CF3829" w:rsidP="00CF3829">
      <w:pPr>
        <w:pStyle w:val="BodyText"/>
        <w:jc w:val="left"/>
        <w:rPr>
          <w:szCs w:val="24"/>
        </w:rPr>
      </w:pPr>
      <w:r>
        <w:rPr>
          <w:szCs w:val="24"/>
        </w:rPr>
        <w:t>The following Additional Bins will be supplied to a tenement providing:</w:t>
      </w:r>
    </w:p>
    <w:p w:rsidR="00CF3829" w:rsidRDefault="00CF3829" w:rsidP="00CF3829">
      <w:pPr>
        <w:pStyle w:val="BodyText"/>
        <w:numPr>
          <w:ilvl w:val="0"/>
          <w:numId w:val="23"/>
        </w:numPr>
        <w:tabs>
          <w:tab w:val="clear" w:pos="360"/>
          <w:tab w:val="num" w:pos="1077"/>
        </w:tabs>
        <w:ind w:left="1077"/>
        <w:jc w:val="left"/>
        <w:rPr>
          <w:szCs w:val="24"/>
        </w:rPr>
      </w:pPr>
      <w:r w:rsidRPr="00AB14D5">
        <w:rPr>
          <w:szCs w:val="24"/>
        </w:rPr>
        <w:t>The property owner is willing to pay the appropriate Additional Bin Charge;</w:t>
      </w:r>
      <w:r w:rsidRPr="009B1CEA">
        <w:rPr>
          <w:szCs w:val="24"/>
        </w:rPr>
        <w:t xml:space="preserve"> </w:t>
      </w:r>
    </w:p>
    <w:p w:rsidR="00CF3829" w:rsidRPr="00AB14D5" w:rsidRDefault="00CF3829" w:rsidP="00CF3829">
      <w:pPr>
        <w:pStyle w:val="BodyText"/>
        <w:numPr>
          <w:ilvl w:val="0"/>
          <w:numId w:val="23"/>
        </w:numPr>
        <w:tabs>
          <w:tab w:val="clear" w:pos="360"/>
          <w:tab w:val="num" w:pos="1077"/>
        </w:tabs>
        <w:ind w:left="1077"/>
        <w:jc w:val="left"/>
        <w:rPr>
          <w:szCs w:val="24"/>
        </w:rPr>
      </w:pPr>
      <w:r>
        <w:rPr>
          <w:szCs w:val="24"/>
        </w:rPr>
        <w:t>A</w:t>
      </w:r>
      <w:r w:rsidRPr="00AB14D5">
        <w:rPr>
          <w:szCs w:val="24"/>
        </w:rPr>
        <w:t xml:space="preserve">ll ongoing </w:t>
      </w:r>
      <w:r>
        <w:rPr>
          <w:szCs w:val="24"/>
        </w:rPr>
        <w:t>and administrative costs service charges being paid;</w:t>
      </w:r>
    </w:p>
    <w:p w:rsidR="00CF3829" w:rsidRPr="00AB14D5" w:rsidRDefault="00CF3829" w:rsidP="00CF3829">
      <w:pPr>
        <w:pStyle w:val="BodyText"/>
        <w:numPr>
          <w:ilvl w:val="0"/>
          <w:numId w:val="23"/>
        </w:numPr>
        <w:tabs>
          <w:tab w:val="clear" w:pos="360"/>
          <w:tab w:val="num" w:pos="1077"/>
        </w:tabs>
        <w:ind w:left="1077"/>
        <w:jc w:val="left"/>
        <w:rPr>
          <w:szCs w:val="24"/>
        </w:rPr>
      </w:pPr>
      <w:r w:rsidRPr="00AB14D5">
        <w:rPr>
          <w:szCs w:val="24"/>
        </w:rPr>
        <w:t xml:space="preserve">Only one additional bin for each </w:t>
      </w:r>
      <w:r>
        <w:rPr>
          <w:szCs w:val="24"/>
        </w:rPr>
        <w:t xml:space="preserve">service is allowed per property; </w:t>
      </w:r>
    </w:p>
    <w:p w:rsidR="00CF3829" w:rsidRDefault="00CF3829" w:rsidP="00CF3829">
      <w:pPr>
        <w:pStyle w:val="BodyText"/>
        <w:numPr>
          <w:ilvl w:val="0"/>
          <w:numId w:val="23"/>
        </w:numPr>
        <w:tabs>
          <w:tab w:val="clear" w:pos="360"/>
          <w:tab w:val="num" w:pos="1077"/>
        </w:tabs>
        <w:ind w:left="1077"/>
        <w:jc w:val="left"/>
        <w:rPr>
          <w:szCs w:val="24"/>
        </w:rPr>
      </w:pPr>
      <w:r w:rsidRPr="00AB14D5">
        <w:rPr>
          <w:szCs w:val="24"/>
        </w:rPr>
        <w:t xml:space="preserve">The property owner or their authorised </w:t>
      </w:r>
      <w:r>
        <w:rPr>
          <w:szCs w:val="24"/>
        </w:rPr>
        <w:t>agent signs the Additional Bin Application Form;</w:t>
      </w:r>
    </w:p>
    <w:p w:rsidR="00CF3829" w:rsidRDefault="00CF3829" w:rsidP="00CF3829">
      <w:pPr>
        <w:pStyle w:val="BodyText"/>
        <w:numPr>
          <w:ilvl w:val="0"/>
          <w:numId w:val="23"/>
        </w:numPr>
        <w:tabs>
          <w:tab w:val="clear" w:pos="360"/>
          <w:tab w:val="num" w:pos="717"/>
        </w:tabs>
        <w:ind w:left="717"/>
        <w:jc w:val="left"/>
        <w:rPr>
          <w:szCs w:val="24"/>
        </w:rPr>
      </w:pPr>
      <w:r w:rsidRPr="00AB14D5">
        <w:rPr>
          <w:szCs w:val="24"/>
        </w:rPr>
        <w:t>A resident who provides a medical certificate that states they have a medical condition that is beyond their control (e</w:t>
      </w:r>
      <w:r>
        <w:rPr>
          <w:szCs w:val="24"/>
        </w:rPr>
        <w:t>.g.</w:t>
      </w:r>
      <w:r w:rsidRPr="00AB14D5">
        <w:rPr>
          <w:szCs w:val="24"/>
        </w:rPr>
        <w:t xml:space="preserve"> diabetic with dialysis waste) requiring disposal of a waste volume that is reasonably beyond the capacity of the standard service to accommodate will be provided with an appropriate Additional Bin at no cost.  The Resident must provide a Doctors certificate annually to retain the No Cost status for the Additional Bin or the A</w:t>
      </w:r>
      <w:r>
        <w:rPr>
          <w:szCs w:val="24"/>
        </w:rPr>
        <w:t>dditional bin will be removed; and</w:t>
      </w:r>
    </w:p>
    <w:p w:rsidR="00CF3829" w:rsidRPr="00AB14D5" w:rsidRDefault="00CF3829" w:rsidP="00CF3829">
      <w:pPr>
        <w:pStyle w:val="BodyText"/>
        <w:numPr>
          <w:ilvl w:val="0"/>
          <w:numId w:val="23"/>
        </w:numPr>
        <w:tabs>
          <w:tab w:val="clear" w:pos="360"/>
          <w:tab w:val="num" w:pos="717"/>
        </w:tabs>
        <w:ind w:left="717"/>
        <w:jc w:val="left"/>
        <w:rPr>
          <w:szCs w:val="24"/>
        </w:rPr>
      </w:pPr>
      <w:r w:rsidRPr="00AB14D5">
        <w:rPr>
          <w:szCs w:val="24"/>
        </w:rPr>
        <w:t xml:space="preserve">The Green Waste Additional Bin will only become available when the Green Organics processing facility is fully operational. </w:t>
      </w:r>
    </w:p>
    <w:p w:rsidR="00CF3829" w:rsidRDefault="00CF3829" w:rsidP="00CF3829">
      <w:pPr>
        <w:pStyle w:val="BodyText"/>
        <w:jc w:val="left"/>
        <w:rPr>
          <w:szCs w:val="24"/>
        </w:rPr>
      </w:pPr>
    </w:p>
    <w:p w:rsidR="00CF3829" w:rsidRDefault="00CF3829" w:rsidP="00CF3829">
      <w:pPr>
        <w:pStyle w:val="BodyText"/>
        <w:jc w:val="left"/>
        <w:rPr>
          <w:szCs w:val="24"/>
        </w:rPr>
      </w:pPr>
      <w:r>
        <w:rPr>
          <w:szCs w:val="24"/>
        </w:rPr>
        <w:lastRenderedPageBreak/>
        <w:t>The Additional Bins that are available are:</w:t>
      </w:r>
    </w:p>
    <w:p w:rsidR="00CF3829" w:rsidRDefault="00CF3829" w:rsidP="00CF3829">
      <w:pPr>
        <w:pStyle w:val="BodyText"/>
        <w:numPr>
          <w:ilvl w:val="0"/>
          <w:numId w:val="24"/>
        </w:numPr>
        <w:jc w:val="left"/>
        <w:rPr>
          <w:szCs w:val="24"/>
        </w:rPr>
      </w:pPr>
      <w:r>
        <w:rPr>
          <w:szCs w:val="24"/>
        </w:rPr>
        <w:t xml:space="preserve">Garbage being an </w:t>
      </w:r>
      <w:r w:rsidRPr="00AB14D5">
        <w:rPr>
          <w:szCs w:val="24"/>
        </w:rPr>
        <w:t xml:space="preserve">additional 140 litre garbage bin or the </w:t>
      </w:r>
      <w:r>
        <w:rPr>
          <w:szCs w:val="24"/>
        </w:rPr>
        <w:t xml:space="preserve">exchange </w:t>
      </w:r>
      <w:r w:rsidRPr="00AB14D5">
        <w:rPr>
          <w:szCs w:val="24"/>
        </w:rPr>
        <w:t xml:space="preserve">of </w:t>
      </w:r>
      <w:r>
        <w:rPr>
          <w:szCs w:val="24"/>
        </w:rPr>
        <w:t>a 140 </w:t>
      </w:r>
      <w:r w:rsidRPr="00AB14D5">
        <w:rPr>
          <w:szCs w:val="24"/>
        </w:rPr>
        <w:t>litre garbage bin with a 240 litre</w:t>
      </w:r>
      <w:r>
        <w:rPr>
          <w:szCs w:val="24"/>
        </w:rPr>
        <w:t xml:space="preserve"> garbage bin; and </w:t>
      </w:r>
    </w:p>
    <w:p w:rsidR="00CF3829" w:rsidRDefault="00CF3829" w:rsidP="00CF3829">
      <w:pPr>
        <w:pStyle w:val="BodyText"/>
        <w:numPr>
          <w:ilvl w:val="0"/>
          <w:numId w:val="24"/>
        </w:numPr>
        <w:jc w:val="left"/>
        <w:rPr>
          <w:szCs w:val="24"/>
        </w:rPr>
      </w:pPr>
      <w:r>
        <w:rPr>
          <w:szCs w:val="24"/>
        </w:rPr>
        <w:t xml:space="preserve">Recycling being a </w:t>
      </w:r>
      <w:r w:rsidRPr="00AB14D5">
        <w:rPr>
          <w:szCs w:val="24"/>
        </w:rPr>
        <w:t xml:space="preserve">240 litre recycling bin </w:t>
      </w:r>
    </w:p>
    <w:p w:rsidR="00CF3829" w:rsidRDefault="00CF3829" w:rsidP="00CF3829">
      <w:pPr>
        <w:pStyle w:val="BodyText"/>
        <w:numPr>
          <w:ilvl w:val="0"/>
          <w:numId w:val="24"/>
        </w:numPr>
        <w:jc w:val="left"/>
        <w:rPr>
          <w:szCs w:val="24"/>
        </w:rPr>
      </w:pPr>
      <w:proofErr w:type="spellStart"/>
      <w:r>
        <w:rPr>
          <w:szCs w:val="24"/>
        </w:rPr>
        <w:t>Greenwaste</w:t>
      </w:r>
      <w:proofErr w:type="spellEnd"/>
      <w:r>
        <w:rPr>
          <w:szCs w:val="24"/>
        </w:rPr>
        <w:t xml:space="preserve"> being a</w:t>
      </w:r>
      <w:r w:rsidRPr="00AB14D5">
        <w:rPr>
          <w:szCs w:val="24"/>
        </w:rPr>
        <w:t xml:space="preserve"> 240 litre green waste bin</w:t>
      </w:r>
    </w:p>
    <w:p w:rsidR="00CF3829" w:rsidRPr="00AB14D5" w:rsidRDefault="00CF3829" w:rsidP="00CF3829">
      <w:pPr>
        <w:pStyle w:val="BodyText"/>
        <w:jc w:val="left"/>
        <w:rPr>
          <w:szCs w:val="24"/>
        </w:rPr>
      </w:pPr>
    </w:p>
    <w:p w:rsidR="00CF3829" w:rsidRPr="00AB14D5" w:rsidRDefault="00CF3829" w:rsidP="00CF3829">
      <w:pPr>
        <w:pStyle w:val="BodyText"/>
        <w:jc w:val="left"/>
        <w:rPr>
          <w:szCs w:val="24"/>
          <w:u w:val="single"/>
        </w:rPr>
      </w:pPr>
      <w:r w:rsidRPr="00AB14D5">
        <w:rPr>
          <w:szCs w:val="24"/>
          <w:u w:val="single"/>
        </w:rPr>
        <w:t>Procedure for Application, Charges and Removal of Additional Bins</w:t>
      </w:r>
    </w:p>
    <w:p w:rsidR="00CF3829" w:rsidRPr="00AB14D5" w:rsidRDefault="00CF3829" w:rsidP="00CF3829">
      <w:pPr>
        <w:pStyle w:val="BodyText"/>
        <w:numPr>
          <w:ilvl w:val="0"/>
          <w:numId w:val="21"/>
        </w:numPr>
        <w:tabs>
          <w:tab w:val="clear" w:pos="720"/>
          <w:tab w:val="num" w:pos="993"/>
        </w:tabs>
        <w:ind w:left="992" w:hanging="567"/>
        <w:jc w:val="left"/>
        <w:rPr>
          <w:szCs w:val="24"/>
        </w:rPr>
      </w:pPr>
      <w:r w:rsidRPr="00AB14D5">
        <w:rPr>
          <w:szCs w:val="24"/>
        </w:rPr>
        <w:t>Provided the property owner agrees to pay:</w:t>
      </w:r>
    </w:p>
    <w:p w:rsidR="00CF3829" w:rsidRPr="00AB14D5" w:rsidRDefault="00CF3829" w:rsidP="00CF3829">
      <w:pPr>
        <w:pStyle w:val="BodyText"/>
        <w:numPr>
          <w:ilvl w:val="1"/>
          <w:numId w:val="21"/>
        </w:numPr>
        <w:jc w:val="left"/>
        <w:rPr>
          <w:szCs w:val="24"/>
        </w:rPr>
      </w:pPr>
      <w:r w:rsidRPr="00AB14D5">
        <w:rPr>
          <w:szCs w:val="24"/>
        </w:rPr>
        <w:t xml:space="preserve">The charge being either a full year charge or a half yearly charge for the current financial year upon application; </w:t>
      </w:r>
    </w:p>
    <w:p w:rsidR="00CF3829" w:rsidRPr="00AB14D5" w:rsidRDefault="00CF3829" w:rsidP="00CF3829">
      <w:pPr>
        <w:pStyle w:val="BodyText"/>
        <w:numPr>
          <w:ilvl w:val="1"/>
          <w:numId w:val="21"/>
        </w:numPr>
        <w:jc w:val="left"/>
        <w:rPr>
          <w:szCs w:val="24"/>
        </w:rPr>
      </w:pPr>
      <w:r w:rsidRPr="00AB14D5">
        <w:rPr>
          <w:szCs w:val="24"/>
        </w:rPr>
        <w:t xml:space="preserve">The ongoing additional charge in their rates notice; and </w:t>
      </w:r>
    </w:p>
    <w:p w:rsidR="00CF3829" w:rsidRPr="00AB14D5" w:rsidRDefault="00CF3829" w:rsidP="00CF3829">
      <w:pPr>
        <w:pStyle w:val="BodyText"/>
        <w:numPr>
          <w:ilvl w:val="1"/>
          <w:numId w:val="21"/>
        </w:numPr>
        <w:jc w:val="left"/>
        <w:rPr>
          <w:szCs w:val="24"/>
        </w:rPr>
      </w:pPr>
      <w:r w:rsidRPr="00AB14D5">
        <w:rPr>
          <w:szCs w:val="24"/>
        </w:rPr>
        <w:t>They shall be provided with additional bins which will be collected under the City’s residential kerbside collection system.</w:t>
      </w:r>
    </w:p>
    <w:p w:rsidR="00CF3829" w:rsidRPr="00AB14D5" w:rsidRDefault="00CF3829" w:rsidP="00CF3829">
      <w:pPr>
        <w:pStyle w:val="BodyText"/>
        <w:numPr>
          <w:ilvl w:val="0"/>
          <w:numId w:val="21"/>
        </w:numPr>
        <w:tabs>
          <w:tab w:val="clear" w:pos="720"/>
          <w:tab w:val="num" w:pos="993"/>
        </w:tabs>
        <w:ind w:left="992" w:hanging="567"/>
        <w:jc w:val="left"/>
        <w:rPr>
          <w:szCs w:val="24"/>
        </w:rPr>
      </w:pPr>
      <w:r w:rsidRPr="00AB14D5">
        <w:rPr>
          <w:szCs w:val="24"/>
        </w:rPr>
        <w:t>Shall be accompanied by education material to assist on correct recycling and effectively using the space in MGB’s;</w:t>
      </w:r>
    </w:p>
    <w:p w:rsidR="00CF3829" w:rsidRPr="00AB14D5" w:rsidRDefault="00CF3829" w:rsidP="00CF3829">
      <w:pPr>
        <w:pStyle w:val="BodyText"/>
        <w:numPr>
          <w:ilvl w:val="0"/>
          <w:numId w:val="21"/>
        </w:numPr>
        <w:tabs>
          <w:tab w:val="clear" w:pos="720"/>
          <w:tab w:val="num" w:pos="993"/>
        </w:tabs>
        <w:ind w:left="992" w:hanging="567"/>
        <w:jc w:val="left"/>
        <w:rPr>
          <w:szCs w:val="24"/>
        </w:rPr>
      </w:pPr>
      <w:r w:rsidRPr="00AB14D5">
        <w:rPr>
          <w:szCs w:val="24"/>
        </w:rPr>
        <w:t>The costs shall be reviewed annually as part of the annual budget process. The cost is to be generally a cost recovery rate but can also include a market signal in pricing.  Costs f</w:t>
      </w:r>
      <w:r>
        <w:rPr>
          <w:szCs w:val="24"/>
        </w:rPr>
        <w:t>or the additional bin service will</w:t>
      </w:r>
      <w:r w:rsidRPr="00AB14D5">
        <w:rPr>
          <w:szCs w:val="24"/>
        </w:rPr>
        <w:t xml:space="preserve"> include all additional administrative, management, delivery, retrieval and field inspection costs;</w:t>
      </w:r>
    </w:p>
    <w:p w:rsidR="00CF3829" w:rsidRPr="00AB14D5" w:rsidRDefault="00CF3829" w:rsidP="00CF3829">
      <w:pPr>
        <w:pStyle w:val="BodyText"/>
        <w:numPr>
          <w:ilvl w:val="0"/>
          <w:numId w:val="21"/>
        </w:numPr>
        <w:tabs>
          <w:tab w:val="clear" w:pos="720"/>
          <w:tab w:val="num" w:pos="993"/>
        </w:tabs>
        <w:ind w:left="992" w:hanging="567"/>
        <w:jc w:val="left"/>
        <w:rPr>
          <w:szCs w:val="24"/>
        </w:rPr>
      </w:pPr>
      <w:r w:rsidRPr="00AB14D5">
        <w:rPr>
          <w:szCs w:val="24"/>
        </w:rPr>
        <w:t>If an additional bin</w:t>
      </w:r>
      <w:r>
        <w:rPr>
          <w:szCs w:val="24"/>
        </w:rPr>
        <w:t xml:space="preserve"> is</w:t>
      </w:r>
      <w:r w:rsidRPr="00AB14D5">
        <w:rPr>
          <w:szCs w:val="24"/>
        </w:rPr>
        <w:t xml:space="preserve"> no longer required, an application to remove the bin</w:t>
      </w:r>
      <w:r>
        <w:rPr>
          <w:szCs w:val="24"/>
        </w:rPr>
        <w:t>(</w:t>
      </w:r>
      <w:r w:rsidRPr="00AB14D5">
        <w:rPr>
          <w:szCs w:val="24"/>
        </w:rPr>
        <w:t>s</w:t>
      </w:r>
      <w:r>
        <w:rPr>
          <w:szCs w:val="24"/>
        </w:rPr>
        <w:t>)</w:t>
      </w:r>
      <w:r w:rsidRPr="00AB14D5">
        <w:rPr>
          <w:szCs w:val="24"/>
        </w:rPr>
        <w:t xml:space="preserve"> must be made in writing by the property owner or their authorised agent.  No refund of the Additional Bin Service Charge will be made. The removal of an additional bin may incur a removal and administrative cost. </w:t>
      </w:r>
    </w:p>
    <w:p w:rsidR="00CF3829" w:rsidRDefault="00CF3829" w:rsidP="00CF3829">
      <w:pPr>
        <w:pStyle w:val="BodyText"/>
        <w:numPr>
          <w:ilvl w:val="0"/>
          <w:numId w:val="21"/>
        </w:numPr>
        <w:tabs>
          <w:tab w:val="clear" w:pos="720"/>
          <w:tab w:val="num" w:pos="993"/>
        </w:tabs>
        <w:ind w:left="992" w:hanging="567"/>
        <w:jc w:val="left"/>
        <w:rPr>
          <w:szCs w:val="24"/>
        </w:rPr>
      </w:pPr>
      <w:r w:rsidRPr="00AB14D5">
        <w:rPr>
          <w:szCs w:val="24"/>
        </w:rPr>
        <w:t>Removal of the additional bins will occur as soon as circumstances warrant following the request from the property owner or their authorised agent or the Additi</w:t>
      </w:r>
      <w:r w:rsidR="00EA48B0">
        <w:rPr>
          <w:szCs w:val="24"/>
        </w:rPr>
        <w:t>onal Bin charges not being paid.</w:t>
      </w:r>
    </w:p>
    <w:p w:rsidR="00EA48B0" w:rsidRPr="00AB14D5" w:rsidRDefault="00EA48B0" w:rsidP="00EA48B0">
      <w:pPr>
        <w:pStyle w:val="BodyText"/>
        <w:ind w:left="992"/>
        <w:jc w:val="left"/>
        <w:rPr>
          <w:szCs w:val="24"/>
        </w:rPr>
      </w:pPr>
    </w:p>
    <w:p w:rsidR="00CF3829" w:rsidRPr="00AB14D5" w:rsidRDefault="00CF3829" w:rsidP="00CF3829">
      <w:pPr>
        <w:pStyle w:val="BodyText"/>
        <w:jc w:val="left"/>
        <w:rPr>
          <w:b/>
          <w:szCs w:val="24"/>
          <w:u w:val="single"/>
        </w:rPr>
      </w:pPr>
      <w:r w:rsidRPr="00AB14D5">
        <w:rPr>
          <w:b/>
          <w:szCs w:val="24"/>
          <w:u w:val="single"/>
        </w:rPr>
        <w:t>Phase 2 – Non Paying Additional Bins Conversion to a User Pays System</w:t>
      </w:r>
    </w:p>
    <w:p w:rsidR="00CF3829" w:rsidRPr="00AB14D5" w:rsidRDefault="00CF3829" w:rsidP="00CF3829">
      <w:pPr>
        <w:pStyle w:val="BodyText"/>
        <w:numPr>
          <w:ilvl w:val="0"/>
          <w:numId w:val="25"/>
        </w:numPr>
        <w:jc w:val="left"/>
        <w:rPr>
          <w:szCs w:val="24"/>
        </w:rPr>
      </w:pPr>
      <w:r w:rsidRPr="00AB14D5">
        <w:rPr>
          <w:szCs w:val="24"/>
        </w:rPr>
        <w:t xml:space="preserve">The end of the transition period for properties with non paying additional bins service is 31 December 2017. This period is to allow property owners and residents a transition period before they must pay the Additional Bin Charge or return the bin(s).  </w:t>
      </w:r>
    </w:p>
    <w:p w:rsidR="00CF3829" w:rsidRPr="00AB14D5" w:rsidRDefault="00CF3829" w:rsidP="00CF3829">
      <w:pPr>
        <w:pStyle w:val="BodyText"/>
        <w:numPr>
          <w:ilvl w:val="0"/>
          <w:numId w:val="25"/>
        </w:numPr>
        <w:jc w:val="left"/>
        <w:rPr>
          <w:szCs w:val="24"/>
        </w:rPr>
      </w:pPr>
      <w:r w:rsidRPr="00AB14D5">
        <w:rPr>
          <w:szCs w:val="24"/>
        </w:rPr>
        <w:t>A property that has an existing</w:t>
      </w:r>
      <w:r>
        <w:rPr>
          <w:szCs w:val="24"/>
        </w:rPr>
        <w:t xml:space="preserve"> non paying </w:t>
      </w:r>
      <w:r w:rsidRPr="00AB14D5">
        <w:rPr>
          <w:szCs w:val="24"/>
        </w:rPr>
        <w:t xml:space="preserve"> Additional Bin may retain their additional bins at no cost </w:t>
      </w:r>
      <w:r>
        <w:rPr>
          <w:szCs w:val="24"/>
        </w:rPr>
        <w:t xml:space="preserve">until 31 December 2017; and </w:t>
      </w:r>
    </w:p>
    <w:p w:rsidR="00CF3829" w:rsidRPr="00AB14D5" w:rsidRDefault="00CF3829" w:rsidP="00CF3829">
      <w:pPr>
        <w:pStyle w:val="BodyText"/>
        <w:numPr>
          <w:ilvl w:val="0"/>
          <w:numId w:val="25"/>
        </w:numPr>
        <w:jc w:val="left"/>
        <w:rPr>
          <w:szCs w:val="24"/>
        </w:rPr>
      </w:pPr>
      <w:r w:rsidRPr="00AB14D5">
        <w:rPr>
          <w:szCs w:val="24"/>
        </w:rPr>
        <w:t>If the existing non paying additional bins are not returned then the Additional Bin Change will apply to the property where the bins are registered to from 01-January-2018</w:t>
      </w:r>
      <w:r>
        <w:rPr>
          <w:szCs w:val="24"/>
        </w:rPr>
        <w:t>.</w:t>
      </w:r>
    </w:p>
    <w:p w:rsidR="00EA48B0" w:rsidRDefault="00EA48B0">
      <w:pPr>
        <w:spacing w:after="200" w:line="276" w:lineRule="auto"/>
        <w:rPr>
          <w:rFonts w:eastAsia="Times New Roman" w:cs="Times New Roman"/>
          <w:b/>
          <w:sz w:val="24"/>
          <w:szCs w:val="24"/>
          <w:u w:val="single"/>
        </w:rPr>
      </w:pPr>
      <w:r>
        <w:rPr>
          <w:b/>
          <w:szCs w:val="24"/>
          <w:u w:val="single"/>
        </w:rPr>
        <w:br w:type="page"/>
      </w:r>
    </w:p>
    <w:p w:rsidR="00CF3829" w:rsidRPr="00A2667A" w:rsidRDefault="00CF3829" w:rsidP="00CF3829">
      <w:pPr>
        <w:pStyle w:val="BodyText"/>
        <w:numPr>
          <w:ilvl w:val="0"/>
          <w:numId w:val="25"/>
        </w:numPr>
        <w:jc w:val="left"/>
        <w:rPr>
          <w:szCs w:val="24"/>
        </w:rPr>
      </w:pPr>
      <w:r w:rsidRPr="00A2667A">
        <w:rPr>
          <w:szCs w:val="24"/>
        </w:rPr>
        <w:lastRenderedPageBreak/>
        <w:t>Where a property presents an unregistered additional bin</w:t>
      </w:r>
      <w:r>
        <w:rPr>
          <w:szCs w:val="24"/>
        </w:rPr>
        <w:t>(</w:t>
      </w:r>
      <w:r w:rsidRPr="00A2667A">
        <w:rPr>
          <w:szCs w:val="24"/>
        </w:rPr>
        <w:t>s</w:t>
      </w:r>
      <w:r>
        <w:rPr>
          <w:szCs w:val="24"/>
        </w:rPr>
        <w:t>)</w:t>
      </w:r>
      <w:r w:rsidRPr="00A2667A">
        <w:rPr>
          <w:szCs w:val="24"/>
        </w:rPr>
        <w:t xml:space="preserve"> the property owner will be offered the option of paying the Additional Bin Charge or surrendering the bins. If the property owner does not wish to pay the Additional Bin Charge  the Additional Bins are able to be reclaimed under the Neighbourhood Amenity Local Law 2014 </w:t>
      </w:r>
      <w:proofErr w:type="spellStart"/>
      <w:r w:rsidRPr="00A2667A">
        <w:rPr>
          <w:szCs w:val="24"/>
        </w:rPr>
        <w:t>Cl</w:t>
      </w:r>
      <w:proofErr w:type="spellEnd"/>
      <w:r w:rsidRPr="00A2667A">
        <w:rPr>
          <w:szCs w:val="24"/>
        </w:rPr>
        <w:t xml:space="preserve"> 29 (1) (t)</w:t>
      </w:r>
    </w:p>
    <w:p w:rsidR="00CF3829" w:rsidRPr="00AB14D5" w:rsidRDefault="00CF3829" w:rsidP="00CF3829">
      <w:pPr>
        <w:pStyle w:val="BodyText"/>
        <w:numPr>
          <w:ilvl w:val="0"/>
          <w:numId w:val="25"/>
        </w:numPr>
        <w:jc w:val="left"/>
        <w:rPr>
          <w:szCs w:val="24"/>
        </w:rPr>
      </w:pPr>
      <w:r>
        <w:rPr>
          <w:szCs w:val="24"/>
        </w:rPr>
        <w:t xml:space="preserve">Any appeal </w:t>
      </w:r>
      <w:r w:rsidRPr="00AB14D5">
        <w:rPr>
          <w:szCs w:val="24"/>
        </w:rPr>
        <w:t xml:space="preserve">of decisions relating to provision of the Additional Bin Services shall be made to the Waste Services Unit and be subject to review by the Manager Environment and Waste </w:t>
      </w:r>
      <w:r>
        <w:rPr>
          <w:szCs w:val="24"/>
        </w:rPr>
        <w:t xml:space="preserve">Services </w:t>
      </w:r>
      <w:r w:rsidRPr="00AB14D5">
        <w:rPr>
          <w:szCs w:val="24"/>
        </w:rPr>
        <w:t>and if requested the responsible Director.</w:t>
      </w:r>
    </w:p>
    <w:p w:rsidR="00CF3829" w:rsidRPr="00AB14D5" w:rsidRDefault="00CF3829" w:rsidP="00CF3829">
      <w:pPr>
        <w:rPr>
          <w:szCs w:val="24"/>
        </w:rPr>
      </w:pPr>
    </w:p>
    <w:p w:rsidR="00CF3829" w:rsidRPr="002C2030" w:rsidRDefault="00CF3829" w:rsidP="00AB7EC6">
      <w:pPr>
        <w:pStyle w:val="NormInd"/>
        <w:jc w:val="left"/>
        <w:rPr>
          <w:rStyle w:val="NormIndChar"/>
          <w:b/>
          <w:lang w:val="en-AU"/>
        </w:rPr>
      </w:pPr>
    </w:p>
    <w:sectPr w:rsidR="00CF3829" w:rsidRPr="002C2030" w:rsidSect="003B3574">
      <w:pgSz w:w="11906" w:h="16838"/>
      <w:pgMar w:top="1701"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17B" w:rsidRDefault="0044017B" w:rsidP="002314B5">
      <w:r>
        <w:separator/>
      </w:r>
    </w:p>
  </w:endnote>
  <w:endnote w:type="continuationSeparator" w:id="0">
    <w:p w:rsidR="0044017B" w:rsidRDefault="0044017B" w:rsidP="00231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17B" w:rsidRDefault="0044017B" w:rsidP="002314B5">
      <w:r>
        <w:separator/>
      </w:r>
    </w:p>
  </w:footnote>
  <w:footnote w:type="continuationSeparator" w:id="0">
    <w:p w:rsidR="0044017B" w:rsidRDefault="0044017B" w:rsidP="00231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0A9"/>
    <w:multiLevelType w:val="singleLevel"/>
    <w:tmpl w:val="F88004FC"/>
    <w:lvl w:ilvl="0">
      <w:start w:val="1"/>
      <w:numFmt w:val="bullet"/>
      <w:lvlText w:val=""/>
      <w:lvlJc w:val="left"/>
      <w:pPr>
        <w:tabs>
          <w:tab w:val="num" w:pos="360"/>
        </w:tabs>
        <w:ind w:left="360" w:hanging="360"/>
      </w:pPr>
      <w:rPr>
        <w:rFonts w:ascii="Symbol" w:hAnsi="Symbol" w:hint="default"/>
        <w:sz w:val="22"/>
      </w:rPr>
    </w:lvl>
  </w:abstractNum>
  <w:abstractNum w:abstractNumId="1">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59E248B"/>
    <w:multiLevelType w:val="multilevel"/>
    <w:tmpl w:val="D4425FE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4">
    <w:nsid w:val="0E0C0511"/>
    <w:multiLevelType w:val="singleLevel"/>
    <w:tmpl w:val="F88004FC"/>
    <w:lvl w:ilvl="0">
      <w:start w:val="1"/>
      <w:numFmt w:val="bullet"/>
      <w:lvlText w:val=""/>
      <w:lvlJc w:val="left"/>
      <w:pPr>
        <w:tabs>
          <w:tab w:val="num" w:pos="360"/>
        </w:tabs>
        <w:ind w:left="360" w:hanging="360"/>
      </w:pPr>
      <w:rPr>
        <w:rFonts w:ascii="Symbol" w:hAnsi="Symbol" w:hint="default"/>
        <w:sz w:val="22"/>
      </w:rPr>
    </w:lvl>
  </w:abstractNum>
  <w:abstractNum w:abstractNumId="5">
    <w:nsid w:val="11E06A90"/>
    <w:multiLevelType w:val="singleLevel"/>
    <w:tmpl w:val="F88004FC"/>
    <w:lvl w:ilvl="0">
      <w:start w:val="1"/>
      <w:numFmt w:val="bullet"/>
      <w:lvlText w:val=""/>
      <w:lvlJc w:val="left"/>
      <w:pPr>
        <w:tabs>
          <w:tab w:val="num" w:pos="360"/>
        </w:tabs>
        <w:ind w:left="360" w:hanging="360"/>
      </w:pPr>
      <w:rPr>
        <w:rFonts w:ascii="Symbol" w:hAnsi="Symbol" w:hint="default"/>
        <w:sz w:val="22"/>
      </w:rPr>
    </w:lvl>
  </w:abstractNum>
  <w:abstractNum w:abstractNumId="6">
    <w:nsid w:val="124D3C72"/>
    <w:multiLevelType w:val="hybridMultilevel"/>
    <w:tmpl w:val="4FEC6472"/>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7">
    <w:nsid w:val="16090F82"/>
    <w:multiLevelType w:val="hybridMultilevel"/>
    <w:tmpl w:val="1D98C7B6"/>
    <w:lvl w:ilvl="0" w:tplc="0C090017">
      <w:start w:val="1"/>
      <w:numFmt w:val="lowerLetter"/>
      <w:lvlText w:val="%1)"/>
      <w:lvlJc w:val="left"/>
      <w:pPr>
        <w:ind w:left="1467" w:hanging="360"/>
      </w:pPr>
    </w:lvl>
    <w:lvl w:ilvl="1" w:tplc="0C090019" w:tentative="1">
      <w:start w:val="1"/>
      <w:numFmt w:val="lowerLetter"/>
      <w:lvlText w:val="%2."/>
      <w:lvlJc w:val="left"/>
      <w:pPr>
        <w:ind w:left="2187" w:hanging="360"/>
      </w:pPr>
    </w:lvl>
    <w:lvl w:ilvl="2" w:tplc="0C09001B" w:tentative="1">
      <w:start w:val="1"/>
      <w:numFmt w:val="lowerRoman"/>
      <w:lvlText w:val="%3."/>
      <w:lvlJc w:val="right"/>
      <w:pPr>
        <w:ind w:left="2907" w:hanging="180"/>
      </w:pPr>
    </w:lvl>
    <w:lvl w:ilvl="3" w:tplc="0C09000F" w:tentative="1">
      <w:start w:val="1"/>
      <w:numFmt w:val="decimal"/>
      <w:lvlText w:val="%4."/>
      <w:lvlJc w:val="left"/>
      <w:pPr>
        <w:ind w:left="3627" w:hanging="360"/>
      </w:pPr>
    </w:lvl>
    <w:lvl w:ilvl="4" w:tplc="0C090019" w:tentative="1">
      <w:start w:val="1"/>
      <w:numFmt w:val="lowerLetter"/>
      <w:lvlText w:val="%5."/>
      <w:lvlJc w:val="left"/>
      <w:pPr>
        <w:ind w:left="4347" w:hanging="360"/>
      </w:pPr>
    </w:lvl>
    <w:lvl w:ilvl="5" w:tplc="0C09001B" w:tentative="1">
      <w:start w:val="1"/>
      <w:numFmt w:val="lowerRoman"/>
      <w:lvlText w:val="%6."/>
      <w:lvlJc w:val="right"/>
      <w:pPr>
        <w:ind w:left="5067" w:hanging="180"/>
      </w:pPr>
    </w:lvl>
    <w:lvl w:ilvl="6" w:tplc="0C09000F" w:tentative="1">
      <w:start w:val="1"/>
      <w:numFmt w:val="decimal"/>
      <w:lvlText w:val="%7."/>
      <w:lvlJc w:val="left"/>
      <w:pPr>
        <w:ind w:left="5787" w:hanging="360"/>
      </w:pPr>
    </w:lvl>
    <w:lvl w:ilvl="7" w:tplc="0C090019" w:tentative="1">
      <w:start w:val="1"/>
      <w:numFmt w:val="lowerLetter"/>
      <w:lvlText w:val="%8."/>
      <w:lvlJc w:val="left"/>
      <w:pPr>
        <w:ind w:left="6507" w:hanging="360"/>
      </w:pPr>
    </w:lvl>
    <w:lvl w:ilvl="8" w:tplc="0C09001B" w:tentative="1">
      <w:start w:val="1"/>
      <w:numFmt w:val="lowerRoman"/>
      <w:lvlText w:val="%9."/>
      <w:lvlJc w:val="right"/>
      <w:pPr>
        <w:ind w:left="7227" w:hanging="180"/>
      </w:pPr>
    </w:lvl>
  </w:abstractNum>
  <w:abstractNum w:abstractNumId="8">
    <w:nsid w:val="1A305225"/>
    <w:multiLevelType w:val="hybridMultilevel"/>
    <w:tmpl w:val="3C76F1E8"/>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nsid w:val="1DCF4CD3"/>
    <w:multiLevelType w:val="hybridMultilevel"/>
    <w:tmpl w:val="7910C3F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nsid w:val="1E0902F8"/>
    <w:multiLevelType w:val="hybridMultilevel"/>
    <w:tmpl w:val="34309D7A"/>
    <w:lvl w:ilvl="0" w:tplc="8BB89BC4">
      <w:start w:val="1"/>
      <w:numFmt w:val="bullet"/>
      <w:pStyle w:val="SummaryPoints"/>
      <w:lvlText w:val="•"/>
      <w:lvlJc w:val="left"/>
      <w:pPr>
        <w:ind w:left="1287" w:hanging="360"/>
      </w:pPr>
      <w:rPr>
        <w:rFonts w:ascii="Times" w:hAnsi="Times" w:cs="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1F763B7E"/>
    <w:multiLevelType w:val="hybridMultilevel"/>
    <w:tmpl w:val="165653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55E4351"/>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13">
    <w:nsid w:val="32F07084"/>
    <w:multiLevelType w:val="multilevel"/>
    <w:tmpl w:val="8910A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146569A"/>
    <w:multiLevelType w:val="singleLevel"/>
    <w:tmpl w:val="DFE841B6"/>
    <w:lvl w:ilvl="0">
      <w:start w:val="1"/>
      <w:numFmt w:val="decimal"/>
      <w:pStyle w:val="NumIndent"/>
      <w:lvlText w:val="%1)"/>
      <w:lvlJc w:val="left"/>
      <w:pPr>
        <w:tabs>
          <w:tab w:val="num" w:pos="360"/>
        </w:tabs>
        <w:ind w:left="360" w:hanging="360"/>
      </w:pPr>
    </w:lvl>
  </w:abstractNum>
  <w:abstractNum w:abstractNumId="15">
    <w:nsid w:val="4519217C"/>
    <w:multiLevelType w:val="hybridMultilevel"/>
    <w:tmpl w:val="9D2E93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461848FE"/>
    <w:multiLevelType w:val="hybridMultilevel"/>
    <w:tmpl w:val="F06CFD9A"/>
    <w:lvl w:ilvl="0" w:tplc="0C09000F">
      <w:start w:val="1"/>
      <w:numFmt w:val="decimal"/>
      <w:lvlText w:val="%1."/>
      <w:lvlJc w:val="left"/>
      <w:pPr>
        <w:ind w:left="1467" w:hanging="360"/>
      </w:pPr>
    </w:lvl>
    <w:lvl w:ilvl="1" w:tplc="0C090019" w:tentative="1">
      <w:start w:val="1"/>
      <w:numFmt w:val="lowerLetter"/>
      <w:lvlText w:val="%2."/>
      <w:lvlJc w:val="left"/>
      <w:pPr>
        <w:ind w:left="2187" w:hanging="360"/>
      </w:pPr>
    </w:lvl>
    <w:lvl w:ilvl="2" w:tplc="0C09001B" w:tentative="1">
      <w:start w:val="1"/>
      <w:numFmt w:val="lowerRoman"/>
      <w:lvlText w:val="%3."/>
      <w:lvlJc w:val="right"/>
      <w:pPr>
        <w:ind w:left="2907" w:hanging="180"/>
      </w:pPr>
    </w:lvl>
    <w:lvl w:ilvl="3" w:tplc="0C09000F" w:tentative="1">
      <w:start w:val="1"/>
      <w:numFmt w:val="decimal"/>
      <w:lvlText w:val="%4."/>
      <w:lvlJc w:val="left"/>
      <w:pPr>
        <w:ind w:left="3627" w:hanging="360"/>
      </w:pPr>
    </w:lvl>
    <w:lvl w:ilvl="4" w:tplc="0C090019" w:tentative="1">
      <w:start w:val="1"/>
      <w:numFmt w:val="lowerLetter"/>
      <w:lvlText w:val="%5."/>
      <w:lvlJc w:val="left"/>
      <w:pPr>
        <w:ind w:left="4347" w:hanging="360"/>
      </w:pPr>
    </w:lvl>
    <w:lvl w:ilvl="5" w:tplc="0C09001B" w:tentative="1">
      <w:start w:val="1"/>
      <w:numFmt w:val="lowerRoman"/>
      <w:lvlText w:val="%6."/>
      <w:lvlJc w:val="right"/>
      <w:pPr>
        <w:ind w:left="5067" w:hanging="180"/>
      </w:pPr>
    </w:lvl>
    <w:lvl w:ilvl="6" w:tplc="0C09000F" w:tentative="1">
      <w:start w:val="1"/>
      <w:numFmt w:val="decimal"/>
      <w:lvlText w:val="%7."/>
      <w:lvlJc w:val="left"/>
      <w:pPr>
        <w:ind w:left="5787" w:hanging="360"/>
      </w:pPr>
    </w:lvl>
    <w:lvl w:ilvl="7" w:tplc="0C090019" w:tentative="1">
      <w:start w:val="1"/>
      <w:numFmt w:val="lowerLetter"/>
      <w:lvlText w:val="%8."/>
      <w:lvlJc w:val="left"/>
      <w:pPr>
        <w:ind w:left="6507" w:hanging="360"/>
      </w:pPr>
    </w:lvl>
    <w:lvl w:ilvl="8" w:tplc="0C09001B" w:tentative="1">
      <w:start w:val="1"/>
      <w:numFmt w:val="lowerRoman"/>
      <w:lvlText w:val="%9."/>
      <w:lvlJc w:val="right"/>
      <w:pPr>
        <w:ind w:left="7227" w:hanging="180"/>
      </w:pPr>
    </w:lvl>
  </w:abstractNum>
  <w:abstractNum w:abstractNumId="17">
    <w:nsid w:val="4650328C"/>
    <w:multiLevelType w:val="multilevel"/>
    <w:tmpl w:val="D4425FE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EAF451F"/>
    <w:multiLevelType w:val="singleLevel"/>
    <w:tmpl w:val="43080B5A"/>
    <w:lvl w:ilvl="0">
      <w:start w:val="1"/>
      <w:numFmt w:val="bullet"/>
      <w:lvlText w:val="•"/>
      <w:lvlJc w:val="left"/>
      <w:pPr>
        <w:tabs>
          <w:tab w:val="num" w:pos="360"/>
        </w:tabs>
        <w:ind w:left="360" w:hanging="360"/>
      </w:pPr>
      <w:rPr>
        <w:rFonts w:ascii="Times" w:hAnsi="Times" w:hint="default"/>
      </w:rPr>
    </w:lvl>
  </w:abstractNum>
  <w:abstractNum w:abstractNumId="19">
    <w:nsid w:val="56D14A1F"/>
    <w:multiLevelType w:val="singleLevel"/>
    <w:tmpl w:val="BF8033E8"/>
    <w:lvl w:ilvl="0">
      <w:start w:val="1"/>
      <w:numFmt w:val="lowerLetter"/>
      <w:lvlText w:val="%1)"/>
      <w:lvlJc w:val="left"/>
      <w:pPr>
        <w:tabs>
          <w:tab w:val="num" w:pos="757"/>
        </w:tabs>
        <w:ind w:left="757" w:hanging="360"/>
      </w:pPr>
      <w:rPr>
        <w:rFonts w:hint="default"/>
      </w:rPr>
    </w:lvl>
  </w:abstractNum>
  <w:abstractNum w:abstractNumId="20">
    <w:nsid w:val="590D0E57"/>
    <w:multiLevelType w:val="singleLevel"/>
    <w:tmpl w:val="F88004FC"/>
    <w:lvl w:ilvl="0">
      <w:start w:val="1"/>
      <w:numFmt w:val="bullet"/>
      <w:lvlText w:val=""/>
      <w:lvlJc w:val="left"/>
      <w:pPr>
        <w:tabs>
          <w:tab w:val="num" w:pos="360"/>
        </w:tabs>
        <w:ind w:left="360" w:hanging="360"/>
      </w:pPr>
      <w:rPr>
        <w:rFonts w:ascii="Symbol" w:hAnsi="Symbol" w:hint="default"/>
        <w:sz w:val="22"/>
      </w:rPr>
    </w:lvl>
  </w:abstractNum>
  <w:abstractNum w:abstractNumId="21">
    <w:nsid w:val="681F3845"/>
    <w:multiLevelType w:val="singleLevel"/>
    <w:tmpl w:val="43080B5A"/>
    <w:lvl w:ilvl="0">
      <w:start w:val="1"/>
      <w:numFmt w:val="bullet"/>
      <w:lvlText w:val="•"/>
      <w:lvlJc w:val="left"/>
      <w:pPr>
        <w:tabs>
          <w:tab w:val="num" w:pos="360"/>
        </w:tabs>
        <w:ind w:left="360" w:hanging="360"/>
      </w:pPr>
      <w:rPr>
        <w:rFonts w:ascii="Times" w:hAnsi="Times" w:hint="default"/>
      </w:rPr>
    </w:lvl>
  </w:abstractNum>
  <w:abstractNum w:abstractNumId="22">
    <w:nsid w:val="73F4159F"/>
    <w:multiLevelType w:val="hybridMultilevel"/>
    <w:tmpl w:val="B8C623D2"/>
    <w:lvl w:ilvl="0" w:tplc="88BC3CB6">
      <w:start w:val="1"/>
      <w:numFmt w:val="bullet"/>
      <w:lvlText w:val="•"/>
      <w:lvlJc w:val="left"/>
      <w:pPr>
        <w:ind w:left="1287" w:hanging="360"/>
      </w:pPr>
      <w:rPr>
        <w:rFonts w:ascii="Times" w:hAnsi="Times" w:cs="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7B4B4C70"/>
    <w:multiLevelType w:val="hybridMultilevel"/>
    <w:tmpl w:val="F06CFD9A"/>
    <w:lvl w:ilvl="0" w:tplc="0C09000F">
      <w:start w:val="1"/>
      <w:numFmt w:val="decimal"/>
      <w:lvlText w:val="%1."/>
      <w:lvlJc w:val="left"/>
      <w:pPr>
        <w:ind w:left="1467" w:hanging="360"/>
      </w:pPr>
    </w:lvl>
    <w:lvl w:ilvl="1" w:tplc="0C090019" w:tentative="1">
      <w:start w:val="1"/>
      <w:numFmt w:val="lowerLetter"/>
      <w:lvlText w:val="%2."/>
      <w:lvlJc w:val="left"/>
      <w:pPr>
        <w:ind w:left="2187" w:hanging="360"/>
      </w:pPr>
    </w:lvl>
    <w:lvl w:ilvl="2" w:tplc="0C09001B" w:tentative="1">
      <w:start w:val="1"/>
      <w:numFmt w:val="lowerRoman"/>
      <w:lvlText w:val="%3."/>
      <w:lvlJc w:val="right"/>
      <w:pPr>
        <w:ind w:left="2907" w:hanging="180"/>
      </w:pPr>
    </w:lvl>
    <w:lvl w:ilvl="3" w:tplc="0C09000F" w:tentative="1">
      <w:start w:val="1"/>
      <w:numFmt w:val="decimal"/>
      <w:lvlText w:val="%4."/>
      <w:lvlJc w:val="left"/>
      <w:pPr>
        <w:ind w:left="3627" w:hanging="360"/>
      </w:pPr>
    </w:lvl>
    <w:lvl w:ilvl="4" w:tplc="0C090019" w:tentative="1">
      <w:start w:val="1"/>
      <w:numFmt w:val="lowerLetter"/>
      <w:lvlText w:val="%5."/>
      <w:lvlJc w:val="left"/>
      <w:pPr>
        <w:ind w:left="4347" w:hanging="360"/>
      </w:pPr>
    </w:lvl>
    <w:lvl w:ilvl="5" w:tplc="0C09001B" w:tentative="1">
      <w:start w:val="1"/>
      <w:numFmt w:val="lowerRoman"/>
      <w:lvlText w:val="%6."/>
      <w:lvlJc w:val="right"/>
      <w:pPr>
        <w:ind w:left="5067" w:hanging="180"/>
      </w:pPr>
    </w:lvl>
    <w:lvl w:ilvl="6" w:tplc="0C09000F" w:tentative="1">
      <w:start w:val="1"/>
      <w:numFmt w:val="decimal"/>
      <w:lvlText w:val="%7."/>
      <w:lvlJc w:val="left"/>
      <w:pPr>
        <w:ind w:left="5787" w:hanging="360"/>
      </w:pPr>
    </w:lvl>
    <w:lvl w:ilvl="7" w:tplc="0C090019" w:tentative="1">
      <w:start w:val="1"/>
      <w:numFmt w:val="lowerLetter"/>
      <w:lvlText w:val="%8."/>
      <w:lvlJc w:val="left"/>
      <w:pPr>
        <w:ind w:left="6507" w:hanging="360"/>
      </w:pPr>
    </w:lvl>
    <w:lvl w:ilvl="8" w:tplc="0C09001B" w:tentative="1">
      <w:start w:val="1"/>
      <w:numFmt w:val="lowerRoman"/>
      <w:lvlText w:val="%9."/>
      <w:lvlJc w:val="right"/>
      <w:pPr>
        <w:ind w:left="7227" w:hanging="180"/>
      </w:pPr>
    </w:lvl>
  </w:abstractNum>
  <w:abstractNum w:abstractNumId="24">
    <w:nsid w:val="7D4D3A6D"/>
    <w:multiLevelType w:val="singleLevel"/>
    <w:tmpl w:val="32E84938"/>
    <w:lvl w:ilvl="0">
      <w:start w:val="1"/>
      <w:numFmt w:val="decimal"/>
      <w:pStyle w:val="NumIndentBold"/>
      <w:lvlText w:val="%1)"/>
      <w:lvlJc w:val="left"/>
      <w:pPr>
        <w:tabs>
          <w:tab w:val="num" w:pos="360"/>
        </w:tabs>
        <w:ind w:left="360" w:hanging="360"/>
      </w:pPr>
    </w:lvl>
  </w:abstractNum>
  <w:abstractNum w:abstractNumId="25">
    <w:nsid w:val="7F9A1E24"/>
    <w:multiLevelType w:val="hybridMultilevel"/>
    <w:tmpl w:val="FBB4B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4"/>
  </w:num>
  <w:num w:numId="4">
    <w:abstractNumId w:val="14"/>
  </w:num>
  <w:num w:numId="5">
    <w:abstractNumId w:val="9"/>
  </w:num>
  <w:num w:numId="6">
    <w:abstractNumId w:val="25"/>
  </w:num>
  <w:num w:numId="7">
    <w:abstractNumId w:val="15"/>
  </w:num>
  <w:num w:numId="8">
    <w:abstractNumId w:val="6"/>
  </w:num>
  <w:num w:numId="9">
    <w:abstractNumId w:val="16"/>
  </w:num>
  <w:num w:numId="10">
    <w:abstractNumId w:val="23"/>
  </w:num>
  <w:num w:numId="11">
    <w:abstractNumId w:val="7"/>
  </w:num>
  <w:num w:numId="12">
    <w:abstractNumId w:val="11"/>
  </w:num>
  <w:num w:numId="13">
    <w:abstractNumId w:val="1"/>
  </w:num>
  <w:num w:numId="14">
    <w:abstractNumId w:val="3"/>
  </w:num>
  <w:num w:numId="15">
    <w:abstractNumId w:val="12"/>
  </w:num>
  <w:num w:numId="16">
    <w:abstractNumId w:val="19"/>
  </w:num>
  <w:num w:numId="17">
    <w:abstractNumId w:val="5"/>
  </w:num>
  <w:num w:numId="18">
    <w:abstractNumId w:val="20"/>
  </w:num>
  <w:num w:numId="19">
    <w:abstractNumId w:val="0"/>
  </w:num>
  <w:num w:numId="20">
    <w:abstractNumId w:val="4"/>
  </w:num>
  <w:num w:numId="21">
    <w:abstractNumId w:val="17"/>
  </w:num>
  <w:num w:numId="22">
    <w:abstractNumId w:val="21"/>
  </w:num>
  <w:num w:numId="23">
    <w:abstractNumId w:val="18"/>
  </w:num>
  <w:num w:numId="24">
    <w:abstractNumId w:val="8"/>
  </w:num>
  <w:num w:numId="25">
    <w:abstractNumId w:val="2"/>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ocumentProtection w:edit="readOnly" w:enforcement="0"/>
  <w:defaultTabStop w:val="720"/>
  <w:characterSpacingControl w:val="doNotCompress"/>
  <w:footnotePr>
    <w:footnote w:id="-1"/>
    <w:footnote w:id="0"/>
  </w:footnotePr>
  <w:endnotePr>
    <w:endnote w:id="-1"/>
    <w:endnote w:id="0"/>
  </w:endnotePr>
  <w:compat/>
  <w:rsids>
    <w:rsidRoot w:val="00A33D38"/>
    <w:rsid w:val="00006A60"/>
    <w:rsid w:val="00007E1A"/>
    <w:rsid w:val="00021ED5"/>
    <w:rsid w:val="0002484A"/>
    <w:rsid w:val="00032DB2"/>
    <w:rsid w:val="00032E3A"/>
    <w:rsid w:val="00036BDF"/>
    <w:rsid w:val="00040291"/>
    <w:rsid w:val="000601C7"/>
    <w:rsid w:val="000618FA"/>
    <w:rsid w:val="000627A2"/>
    <w:rsid w:val="00084DF7"/>
    <w:rsid w:val="000A046A"/>
    <w:rsid w:val="000B10E9"/>
    <w:rsid w:val="000B257B"/>
    <w:rsid w:val="000B5EAD"/>
    <w:rsid w:val="000C6B3F"/>
    <w:rsid w:val="000D1598"/>
    <w:rsid w:val="000D1E11"/>
    <w:rsid w:val="000D513B"/>
    <w:rsid w:val="000D7FA4"/>
    <w:rsid w:val="000E6344"/>
    <w:rsid w:val="000F2DC4"/>
    <w:rsid w:val="000F442D"/>
    <w:rsid w:val="00110FEE"/>
    <w:rsid w:val="00113685"/>
    <w:rsid w:val="001247F6"/>
    <w:rsid w:val="00130A15"/>
    <w:rsid w:val="00163E94"/>
    <w:rsid w:val="0016588C"/>
    <w:rsid w:val="00166265"/>
    <w:rsid w:val="001670B7"/>
    <w:rsid w:val="001A45D3"/>
    <w:rsid w:val="001C20EE"/>
    <w:rsid w:val="001C3E8C"/>
    <w:rsid w:val="001C6051"/>
    <w:rsid w:val="001D1DA6"/>
    <w:rsid w:val="001D6375"/>
    <w:rsid w:val="001F3076"/>
    <w:rsid w:val="001F4C67"/>
    <w:rsid w:val="00207940"/>
    <w:rsid w:val="002102D8"/>
    <w:rsid w:val="00211057"/>
    <w:rsid w:val="00224833"/>
    <w:rsid w:val="002314B5"/>
    <w:rsid w:val="002338AD"/>
    <w:rsid w:val="002445BC"/>
    <w:rsid w:val="00250DB9"/>
    <w:rsid w:val="002541C4"/>
    <w:rsid w:val="00261FEC"/>
    <w:rsid w:val="00274CBB"/>
    <w:rsid w:val="00274E35"/>
    <w:rsid w:val="00281801"/>
    <w:rsid w:val="00282DBF"/>
    <w:rsid w:val="00284621"/>
    <w:rsid w:val="002849BF"/>
    <w:rsid w:val="00285223"/>
    <w:rsid w:val="00285CB6"/>
    <w:rsid w:val="002A7489"/>
    <w:rsid w:val="002A7930"/>
    <w:rsid w:val="002B21F6"/>
    <w:rsid w:val="002C1E86"/>
    <w:rsid w:val="002C2030"/>
    <w:rsid w:val="002D0119"/>
    <w:rsid w:val="002D1D50"/>
    <w:rsid w:val="002F68BF"/>
    <w:rsid w:val="00301017"/>
    <w:rsid w:val="0030231D"/>
    <w:rsid w:val="003123F3"/>
    <w:rsid w:val="00317666"/>
    <w:rsid w:val="00321F20"/>
    <w:rsid w:val="00330DEE"/>
    <w:rsid w:val="003338E3"/>
    <w:rsid w:val="00337D29"/>
    <w:rsid w:val="00342CA2"/>
    <w:rsid w:val="0034786D"/>
    <w:rsid w:val="00354D51"/>
    <w:rsid w:val="003621DF"/>
    <w:rsid w:val="00362BDB"/>
    <w:rsid w:val="00371A6E"/>
    <w:rsid w:val="00376052"/>
    <w:rsid w:val="0038413C"/>
    <w:rsid w:val="003A2947"/>
    <w:rsid w:val="003A7AC4"/>
    <w:rsid w:val="003B2CF0"/>
    <w:rsid w:val="003B3574"/>
    <w:rsid w:val="003B3BCF"/>
    <w:rsid w:val="003C22B4"/>
    <w:rsid w:val="003D5AB2"/>
    <w:rsid w:val="003D705E"/>
    <w:rsid w:val="003D7112"/>
    <w:rsid w:val="003E0D62"/>
    <w:rsid w:val="003E43C0"/>
    <w:rsid w:val="003F2031"/>
    <w:rsid w:val="004013E9"/>
    <w:rsid w:val="0041042F"/>
    <w:rsid w:val="00424779"/>
    <w:rsid w:val="00426625"/>
    <w:rsid w:val="0044017B"/>
    <w:rsid w:val="00440881"/>
    <w:rsid w:val="00447A54"/>
    <w:rsid w:val="0045589A"/>
    <w:rsid w:val="0046388D"/>
    <w:rsid w:val="00481576"/>
    <w:rsid w:val="00482B4E"/>
    <w:rsid w:val="0049274B"/>
    <w:rsid w:val="004958E6"/>
    <w:rsid w:val="004965C6"/>
    <w:rsid w:val="004A068A"/>
    <w:rsid w:val="004A5BA5"/>
    <w:rsid w:val="004B4DE7"/>
    <w:rsid w:val="004C49F5"/>
    <w:rsid w:val="004D0F77"/>
    <w:rsid w:val="004F11B5"/>
    <w:rsid w:val="00503D75"/>
    <w:rsid w:val="005078F8"/>
    <w:rsid w:val="00507E63"/>
    <w:rsid w:val="0052168F"/>
    <w:rsid w:val="00527247"/>
    <w:rsid w:val="00530AD3"/>
    <w:rsid w:val="00536A09"/>
    <w:rsid w:val="0054599B"/>
    <w:rsid w:val="00552CE1"/>
    <w:rsid w:val="005A6797"/>
    <w:rsid w:val="005B145C"/>
    <w:rsid w:val="005B1654"/>
    <w:rsid w:val="005C378A"/>
    <w:rsid w:val="005C3FCD"/>
    <w:rsid w:val="005C5249"/>
    <w:rsid w:val="005D3DC6"/>
    <w:rsid w:val="005D529F"/>
    <w:rsid w:val="005D5AAA"/>
    <w:rsid w:val="005E65F6"/>
    <w:rsid w:val="005E725C"/>
    <w:rsid w:val="00602515"/>
    <w:rsid w:val="00611152"/>
    <w:rsid w:val="00611CF1"/>
    <w:rsid w:val="006172AF"/>
    <w:rsid w:val="0062135C"/>
    <w:rsid w:val="006364E1"/>
    <w:rsid w:val="00654F65"/>
    <w:rsid w:val="006553D3"/>
    <w:rsid w:val="00687171"/>
    <w:rsid w:val="00692B55"/>
    <w:rsid w:val="006A05E9"/>
    <w:rsid w:val="006B2E27"/>
    <w:rsid w:val="006C3B08"/>
    <w:rsid w:val="006C683F"/>
    <w:rsid w:val="006E2EFE"/>
    <w:rsid w:val="006F04FC"/>
    <w:rsid w:val="006F071F"/>
    <w:rsid w:val="006F6618"/>
    <w:rsid w:val="00706F21"/>
    <w:rsid w:val="00711BEB"/>
    <w:rsid w:val="00736746"/>
    <w:rsid w:val="00736B47"/>
    <w:rsid w:val="007441E5"/>
    <w:rsid w:val="00745B6F"/>
    <w:rsid w:val="00761C0D"/>
    <w:rsid w:val="007647A2"/>
    <w:rsid w:val="007806DE"/>
    <w:rsid w:val="007A4D94"/>
    <w:rsid w:val="007A5730"/>
    <w:rsid w:val="007A717D"/>
    <w:rsid w:val="007E4956"/>
    <w:rsid w:val="007E5DCE"/>
    <w:rsid w:val="007E7861"/>
    <w:rsid w:val="007F1219"/>
    <w:rsid w:val="00810795"/>
    <w:rsid w:val="00836568"/>
    <w:rsid w:val="00845A14"/>
    <w:rsid w:val="00847A4E"/>
    <w:rsid w:val="00857FC9"/>
    <w:rsid w:val="00862F2F"/>
    <w:rsid w:val="00867024"/>
    <w:rsid w:val="00875D56"/>
    <w:rsid w:val="00881D44"/>
    <w:rsid w:val="008A1BA2"/>
    <w:rsid w:val="008B1644"/>
    <w:rsid w:val="008B5CD3"/>
    <w:rsid w:val="008B7DE1"/>
    <w:rsid w:val="008C0F45"/>
    <w:rsid w:val="008C16D2"/>
    <w:rsid w:val="008C29FD"/>
    <w:rsid w:val="008C5893"/>
    <w:rsid w:val="008D5EC2"/>
    <w:rsid w:val="008D665D"/>
    <w:rsid w:val="008E11C3"/>
    <w:rsid w:val="008E20D7"/>
    <w:rsid w:val="008E6C53"/>
    <w:rsid w:val="008F0672"/>
    <w:rsid w:val="008F1807"/>
    <w:rsid w:val="008F7468"/>
    <w:rsid w:val="0090007F"/>
    <w:rsid w:val="00901D7F"/>
    <w:rsid w:val="009036F0"/>
    <w:rsid w:val="009062AF"/>
    <w:rsid w:val="00911C91"/>
    <w:rsid w:val="00915F3B"/>
    <w:rsid w:val="00937647"/>
    <w:rsid w:val="00961B4D"/>
    <w:rsid w:val="00972049"/>
    <w:rsid w:val="00976793"/>
    <w:rsid w:val="00992C7A"/>
    <w:rsid w:val="00997E79"/>
    <w:rsid w:val="009B1C73"/>
    <w:rsid w:val="009C13C7"/>
    <w:rsid w:val="009C16AC"/>
    <w:rsid w:val="009D09E0"/>
    <w:rsid w:val="009D36A0"/>
    <w:rsid w:val="009D7C50"/>
    <w:rsid w:val="009E17C0"/>
    <w:rsid w:val="009E7118"/>
    <w:rsid w:val="00A3244B"/>
    <w:rsid w:val="00A33D38"/>
    <w:rsid w:val="00A441D6"/>
    <w:rsid w:val="00A4550D"/>
    <w:rsid w:val="00A51190"/>
    <w:rsid w:val="00A522F9"/>
    <w:rsid w:val="00A52772"/>
    <w:rsid w:val="00A5752B"/>
    <w:rsid w:val="00A61C16"/>
    <w:rsid w:val="00A706F9"/>
    <w:rsid w:val="00A7655B"/>
    <w:rsid w:val="00A7757D"/>
    <w:rsid w:val="00A92015"/>
    <w:rsid w:val="00AB48C3"/>
    <w:rsid w:val="00AB7EC6"/>
    <w:rsid w:val="00AC21B6"/>
    <w:rsid w:val="00AC2A2F"/>
    <w:rsid w:val="00AC480D"/>
    <w:rsid w:val="00AC5190"/>
    <w:rsid w:val="00AC58D2"/>
    <w:rsid w:val="00AD57FC"/>
    <w:rsid w:val="00AD6B44"/>
    <w:rsid w:val="00AE29FF"/>
    <w:rsid w:val="00AF18CF"/>
    <w:rsid w:val="00B26703"/>
    <w:rsid w:val="00B318F3"/>
    <w:rsid w:val="00B322DB"/>
    <w:rsid w:val="00B40481"/>
    <w:rsid w:val="00B41064"/>
    <w:rsid w:val="00B563CF"/>
    <w:rsid w:val="00B56F17"/>
    <w:rsid w:val="00B72BBD"/>
    <w:rsid w:val="00B85530"/>
    <w:rsid w:val="00B93A05"/>
    <w:rsid w:val="00B96965"/>
    <w:rsid w:val="00BC45E6"/>
    <w:rsid w:val="00BC4F21"/>
    <w:rsid w:val="00BC7BF7"/>
    <w:rsid w:val="00BD5364"/>
    <w:rsid w:val="00BD5D3B"/>
    <w:rsid w:val="00BE23AC"/>
    <w:rsid w:val="00BE7CEF"/>
    <w:rsid w:val="00BF50E6"/>
    <w:rsid w:val="00BF7719"/>
    <w:rsid w:val="00C00AD6"/>
    <w:rsid w:val="00C01554"/>
    <w:rsid w:val="00C0160A"/>
    <w:rsid w:val="00C0314B"/>
    <w:rsid w:val="00C04C55"/>
    <w:rsid w:val="00C052B0"/>
    <w:rsid w:val="00C05D92"/>
    <w:rsid w:val="00C2260E"/>
    <w:rsid w:val="00C22FA8"/>
    <w:rsid w:val="00C2480E"/>
    <w:rsid w:val="00C2512C"/>
    <w:rsid w:val="00C33FF9"/>
    <w:rsid w:val="00C42C81"/>
    <w:rsid w:val="00C70695"/>
    <w:rsid w:val="00C75DBE"/>
    <w:rsid w:val="00C81255"/>
    <w:rsid w:val="00C836D5"/>
    <w:rsid w:val="00CA0F95"/>
    <w:rsid w:val="00CB28F8"/>
    <w:rsid w:val="00CB5014"/>
    <w:rsid w:val="00CE0193"/>
    <w:rsid w:val="00CE6010"/>
    <w:rsid w:val="00CF3829"/>
    <w:rsid w:val="00D01293"/>
    <w:rsid w:val="00D21D85"/>
    <w:rsid w:val="00D26C09"/>
    <w:rsid w:val="00D332EA"/>
    <w:rsid w:val="00D34675"/>
    <w:rsid w:val="00D44F43"/>
    <w:rsid w:val="00D45C1B"/>
    <w:rsid w:val="00D478BB"/>
    <w:rsid w:val="00D501F8"/>
    <w:rsid w:val="00D50C51"/>
    <w:rsid w:val="00D52F55"/>
    <w:rsid w:val="00D752F0"/>
    <w:rsid w:val="00D76931"/>
    <w:rsid w:val="00D83A6A"/>
    <w:rsid w:val="00DA0966"/>
    <w:rsid w:val="00DB2719"/>
    <w:rsid w:val="00DB2D60"/>
    <w:rsid w:val="00DD0EA4"/>
    <w:rsid w:val="00DD110D"/>
    <w:rsid w:val="00DE7B1B"/>
    <w:rsid w:val="00DF0EE4"/>
    <w:rsid w:val="00E1068C"/>
    <w:rsid w:val="00E166FE"/>
    <w:rsid w:val="00E21BCA"/>
    <w:rsid w:val="00E502EB"/>
    <w:rsid w:val="00E6327E"/>
    <w:rsid w:val="00E65371"/>
    <w:rsid w:val="00E662CA"/>
    <w:rsid w:val="00E66593"/>
    <w:rsid w:val="00E7372E"/>
    <w:rsid w:val="00E74D57"/>
    <w:rsid w:val="00E7625A"/>
    <w:rsid w:val="00EA46AF"/>
    <w:rsid w:val="00EA48B0"/>
    <w:rsid w:val="00EA6D54"/>
    <w:rsid w:val="00EB5473"/>
    <w:rsid w:val="00EC72B7"/>
    <w:rsid w:val="00ED5101"/>
    <w:rsid w:val="00ED6AD5"/>
    <w:rsid w:val="00EE2BF1"/>
    <w:rsid w:val="00EF5B6B"/>
    <w:rsid w:val="00F12CC2"/>
    <w:rsid w:val="00F149FD"/>
    <w:rsid w:val="00F160E6"/>
    <w:rsid w:val="00F23F66"/>
    <w:rsid w:val="00F265CC"/>
    <w:rsid w:val="00F3040C"/>
    <w:rsid w:val="00F457B9"/>
    <w:rsid w:val="00F50BC6"/>
    <w:rsid w:val="00F641EB"/>
    <w:rsid w:val="00F652F9"/>
    <w:rsid w:val="00F757EA"/>
    <w:rsid w:val="00F9252D"/>
    <w:rsid w:val="00FB491C"/>
    <w:rsid w:val="00FB4D58"/>
    <w:rsid w:val="00FD0E71"/>
    <w:rsid w:val="00FD2C1E"/>
    <w:rsid w:val="00FD2F35"/>
    <w:rsid w:val="00FE3DC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F2DC4"/>
    <w:pPr>
      <w:spacing w:after="0" w:line="240" w:lineRule="auto"/>
    </w:pPr>
    <w:rPr>
      <w:rFonts w:ascii="Arial" w:hAnsi="Arial"/>
    </w:rPr>
  </w:style>
  <w:style w:type="paragraph" w:styleId="Heading1">
    <w:name w:val="heading 1"/>
    <w:aliases w:val="MAIN_HEADING"/>
    <w:basedOn w:val="Normal"/>
    <w:next w:val="Normal"/>
    <w:link w:val="Heading1Char"/>
    <w:uiPriority w:val="9"/>
    <w:qFormat/>
    <w:rsid w:val="00E662CA"/>
    <w:pPr>
      <w:keepNext/>
      <w:keepLines/>
      <w:spacing w:before="480"/>
      <w:outlineLvl w:val="0"/>
    </w:pPr>
    <w:rPr>
      <w:rFonts w:eastAsiaTheme="majorEastAsia" w:cstheme="majorBidi"/>
      <w:b/>
      <w:bCs/>
      <w:caps/>
      <w:sz w:val="24"/>
      <w:szCs w:val="28"/>
    </w:rPr>
  </w:style>
  <w:style w:type="paragraph" w:styleId="Heading2">
    <w:name w:val="heading 2"/>
    <w:basedOn w:val="Normal"/>
    <w:link w:val="Heading2Char"/>
    <w:uiPriority w:val="9"/>
    <w:unhideWhenUsed/>
    <w:qFormat/>
    <w:rsid w:val="006A05E9"/>
    <w:pPr>
      <w:keepNext/>
      <w:spacing w:before="200"/>
      <w:outlineLvl w:val="1"/>
    </w:pPr>
    <w:rPr>
      <w:rFonts w:cs="Arial"/>
      <w:b/>
      <w:bCs/>
      <w:sz w:val="40"/>
      <w:szCs w:val="4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2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aliases w:val="MAIN_HEADING Char"/>
    <w:basedOn w:val="DefaultParagraphFont"/>
    <w:link w:val="Heading1"/>
    <w:uiPriority w:val="9"/>
    <w:rsid w:val="00E662CA"/>
    <w:rPr>
      <w:rFonts w:ascii="Arial" w:eastAsiaTheme="majorEastAsia" w:hAnsi="Arial" w:cstheme="majorBidi"/>
      <w:b/>
      <w:bCs/>
      <w:caps/>
      <w:sz w:val="24"/>
      <w:szCs w:val="28"/>
    </w:rPr>
  </w:style>
  <w:style w:type="paragraph" w:styleId="BalloonText">
    <w:name w:val="Balloon Text"/>
    <w:basedOn w:val="Normal"/>
    <w:link w:val="BalloonTextChar"/>
    <w:uiPriority w:val="99"/>
    <w:semiHidden/>
    <w:unhideWhenUsed/>
    <w:rsid w:val="008E11C3"/>
    <w:rPr>
      <w:rFonts w:ascii="Tahoma" w:hAnsi="Tahoma" w:cs="Tahoma"/>
      <w:sz w:val="16"/>
      <w:szCs w:val="16"/>
    </w:rPr>
  </w:style>
  <w:style w:type="character" w:customStyle="1" w:styleId="BalloonTextChar">
    <w:name w:val="Balloon Text Char"/>
    <w:basedOn w:val="DefaultParagraphFont"/>
    <w:link w:val="BalloonText"/>
    <w:uiPriority w:val="99"/>
    <w:semiHidden/>
    <w:rsid w:val="008E11C3"/>
    <w:rPr>
      <w:rFonts w:ascii="Tahoma" w:hAnsi="Tahoma" w:cs="Tahoma"/>
      <w:sz w:val="16"/>
      <w:szCs w:val="16"/>
    </w:rPr>
  </w:style>
  <w:style w:type="paragraph" w:customStyle="1" w:styleId="NumIndentBold">
    <w:name w:val="Num_Indent_Bold"/>
    <w:basedOn w:val="Normal"/>
    <w:rsid w:val="005B1654"/>
    <w:pPr>
      <w:numPr>
        <w:numId w:val="3"/>
      </w:numPr>
      <w:spacing w:after="160"/>
      <w:ind w:left="924" w:hanging="357"/>
      <w:jc w:val="both"/>
    </w:pPr>
    <w:rPr>
      <w:rFonts w:eastAsia="Times New Roman" w:cs="Times New Roman"/>
      <w:b/>
      <w:color w:val="000000"/>
      <w:szCs w:val="20"/>
      <w:lang w:val="en-GB" w:eastAsia="en-AU"/>
    </w:rPr>
  </w:style>
  <w:style w:type="character" w:customStyle="1" w:styleId="SubHeading1">
    <w:name w:val="Sub_Heading 1"/>
    <w:basedOn w:val="DefaultParagraphFont"/>
    <w:uiPriority w:val="1"/>
    <w:rsid w:val="0045589A"/>
    <w:rPr>
      <w:rFonts w:ascii="Arial" w:hAnsi="Arial"/>
      <w:sz w:val="24"/>
    </w:rPr>
  </w:style>
  <w:style w:type="paragraph" w:styleId="Header">
    <w:name w:val="header"/>
    <w:basedOn w:val="Normal"/>
    <w:link w:val="HeaderChar"/>
    <w:uiPriority w:val="99"/>
    <w:unhideWhenUsed/>
    <w:rsid w:val="002314B5"/>
    <w:pPr>
      <w:tabs>
        <w:tab w:val="center" w:pos="4513"/>
        <w:tab w:val="right" w:pos="9026"/>
      </w:tabs>
    </w:pPr>
  </w:style>
  <w:style w:type="character" w:customStyle="1" w:styleId="HeaderChar">
    <w:name w:val="Header Char"/>
    <w:basedOn w:val="DefaultParagraphFont"/>
    <w:link w:val="Header"/>
    <w:uiPriority w:val="99"/>
    <w:rsid w:val="002314B5"/>
  </w:style>
  <w:style w:type="paragraph" w:styleId="Footer">
    <w:name w:val="footer"/>
    <w:basedOn w:val="Normal"/>
    <w:link w:val="FooterChar"/>
    <w:uiPriority w:val="99"/>
    <w:semiHidden/>
    <w:unhideWhenUsed/>
    <w:rsid w:val="002314B5"/>
    <w:pPr>
      <w:tabs>
        <w:tab w:val="center" w:pos="4513"/>
        <w:tab w:val="right" w:pos="9026"/>
      </w:tabs>
    </w:pPr>
  </w:style>
  <w:style w:type="character" w:customStyle="1" w:styleId="FooterChar">
    <w:name w:val="Footer Char"/>
    <w:basedOn w:val="DefaultParagraphFont"/>
    <w:link w:val="Footer"/>
    <w:uiPriority w:val="99"/>
    <w:semiHidden/>
    <w:rsid w:val="002314B5"/>
  </w:style>
  <w:style w:type="paragraph" w:customStyle="1" w:styleId="MainHeading">
    <w:name w:val="Main_Heading"/>
    <w:basedOn w:val="Normal"/>
    <w:next w:val="Normal"/>
    <w:rsid w:val="00B41064"/>
    <w:pPr>
      <w:spacing w:after="240"/>
      <w:ind w:left="567" w:hanging="567"/>
    </w:pPr>
    <w:rPr>
      <w:rFonts w:eastAsia="Times New Roman" w:cs="Times New Roman"/>
      <w:b/>
      <w:caps/>
      <w:color w:val="000000"/>
      <w:sz w:val="24"/>
      <w:szCs w:val="20"/>
      <w:lang w:val="en-GB" w:eastAsia="en-AU"/>
    </w:rPr>
  </w:style>
  <w:style w:type="paragraph" w:customStyle="1" w:styleId="OfficerFile">
    <w:name w:val="Officer_File"/>
    <w:basedOn w:val="Normal"/>
    <w:rsid w:val="00D21D85"/>
    <w:pPr>
      <w:tabs>
        <w:tab w:val="left" w:pos="3119"/>
      </w:tabs>
      <w:ind w:left="567"/>
    </w:pPr>
    <w:rPr>
      <w:rFonts w:eastAsia="Times New Roman" w:cs="Times New Roman"/>
      <w:b/>
      <w:color w:val="000000"/>
      <w:szCs w:val="20"/>
      <w:lang w:val="en-GB" w:eastAsia="en-AU"/>
    </w:rPr>
  </w:style>
  <w:style w:type="paragraph" w:customStyle="1" w:styleId="SubHeading10">
    <w:name w:val="Sub_Heading1"/>
    <w:basedOn w:val="Normal"/>
    <w:next w:val="Normal"/>
    <w:link w:val="SubHeading1Char"/>
    <w:rsid w:val="00CE0193"/>
    <w:pPr>
      <w:spacing w:before="320" w:after="160"/>
      <w:ind w:left="567"/>
    </w:pPr>
    <w:rPr>
      <w:rFonts w:eastAsia="Times New Roman" w:cs="Times New Roman"/>
      <w:b/>
      <w:color w:val="000000"/>
      <w:sz w:val="24"/>
      <w:szCs w:val="20"/>
      <w:lang w:val="en-GB" w:eastAsia="en-AU"/>
    </w:rPr>
  </w:style>
  <w:style w:type="paragraph" w:customStyle="1" w:styleId="SubHeading2">
    <w:name w:val="Sub_Heading2"/>
    <w:basedOn w:val="SubHeading10"/>
    <w:next w:val="Normal"/>
    <w:rsid w:val="00B41064"/>
    <w:rPr>
      <w:i/>
      <w:sz w:val="20"/>
    </w:rPr>
  </w:style>
  <w:style w:type="paragraph" w:customStyle="1" w:styleId="SummaryPoints">
    <w:name w:val="Summary Points"/>
    <w:basedOn w:val="NormInd"/>
    <w:link w:val="SummaryPointsChar"/>
    <w:qFormat/>
    <w:rsid w:val="00110FEE"/>
    <w:pPr>
      <w:numPr>
        <w:numId w:val="2"/>
      </w:numPr>
      <w:ind w:left="992" w:hanging="425"/>
    </w:pPr>
  </w:style>
  <w:style w:type="paragraph" w:customStyle="1" w:styleId="RecommBody">
    <w:name w:val="Recomm_Body"/>
    <w:basedOn w:val="Normal"/>
    <w:next w:val="Normal"/>
    <w:rsid w:val="00D21D85"/>
    <w:pPr>
      <w:spacing w:after="160"/>
      <w:ind w:left="567"/>
      <w:jc w:val="both"/>
    </w:pPr>
    <w:rPr>
      <w:rFonts w:eastAsia="Times New Roman" w:cs="Times New Roman"/>
      <w:b/>
      <w:color w:val="000000"/>
      <w:szCs w:val="20"/>
      <w:lang w:val="en-GB" w:eastAsia="en-AU"/>
    </w:rPr>
  </w:style>
  <w:style w:type="paragraph" w:customStyle="1" w:styleId="NormInd">
    <w:name w:val="Norm_Ind"/>
    <w:basedOn w:val="Normal"/>
    <w:link w:val="NormIndChar"/>
    <w:rsid w:val="00B41064"/>
    <w:pPr>
      <w:spacing w:after="160"/>
      <w:ind w:left="567"/>
      <w:jc w:val="both"/>
    </w:pPr>
    <w:rPr>
      <w:rFonts w:eastAsia="Times New Roman" w:cs="Times New Roman"/>
      <w:color w:val="000000"/>
      <w:szCs w:val="20"/>
      <w:lang w:val="en-GB" w:eastAsia="en-AU"/>
    </w:rPr>
  </w:style>
  <w:style w:type="paragraph" w:customStyle="1" w:styleId="BoldBlue">
    <w:name w:val="Bold_Blue"/>
    <w:basedOn w:val="Normal"/>
    <w:next w:val="OfficerFile"/>
    <w:rsid w:val="00032E3A"/>
    <w:pPr>
      <w:tabs>
        <w:tab w:val="left" w:pos="3119"/>
      </w:tabs>
      <w:ind w:left="567"/>
    </w:pPr>
    <w:rPr>
      <w:rFonts w:eastAsia="Times New Roman" w:cs="Times New Roman"/>
      <w:b/>
      <w:color w:val="000080"/>
      <w:szCs w:val="20"/>
      <w:lang w:val="en-GB" w:eastAsia="en-AU"/>
    </w:rPr>
  </w:style>
  <w:style w:type="character" w:customStyle="1" w:styleId="NormIndChar">
    <w:name w:val="Norm_Ind Char"/>
    <w:basedOn w:val="DefaultParagraphFont"/>
    <w:link w:val="NormInd"/>
    <w:rsid w:val="00B41064"/>
    <w:rPr>
      <w:rFonts w:ascii="Arial" w:eastAsia="Times New Roman" w:hAnsi="Arial" w:cs="Times New Roman"/>
      <w:color w:val="000000"/>
      <w:szCs w:val="20"/>
      <w:lang w:val="en-GB" w:eastAsia="en-AU"/>
    </w:rPr>
  </w:style>
  <w:style w:type="character" w:customStyle="1" w:styleId="SummaryPointsChar">
    <w:name w:val="Summary Points Char"/>
    <w:basedOn w:val="NormIndChar"/>
    <w:link w:val="SummaryPoints"/>
    <w:rsid w:val="00110FEE"/>
  </w:style>
  <w:style w:type="paragraph" w:customStyle="1" w:styleId="NumIndent">
    <w:name w:val="Num_Indent"/>
    <w:basedOn w:val="Normal"/>
    <w:rsid w:val="008E11C3"/>
    <w:pPr>
      <w:numPr>
        <w:numId w:val="4"/>
      </w:numPr>
      <w:spacing w:after="160"/>
      <w:jc w:val="both"/>
    </w:pPr>
    <w:rPr>
      <w:rFonts w:eastAsia="Times New Roman" w:cs="Times New Roman"/>
      <w:color w:val="000000"/>
      <w:szCs w:val="20"/>
      <w:lang w:val="en-GB" w:eastAsia="en-AU"/>
    </w:rPr>
  </w:style>
  <w:style w:type="character" w:styleId="PlaceholderText">
    <w:name w:val="Placeholder Text"/>
    <w:basedOn w:val="DefaultParagraphFont"/>
    <w:uiPriority w:val="99"/>
    <w:semiHidden/>
    <w:rsid w:val="008C5893"/>
    <w:rPr>
      <w:color w:val="808080"/>
    </w:rPr>
  </w:style>
  <w:style w:type="paragraph" w:customStyle="1" w:styleId="Attachment">
    <w:name w:val="Attachment"/>
    <w:basedOn w:val="SubHeading10"/>
    <w:link w:val="AttachmentChar"/>
    <w:qFormat/>
    <w:rsid w:val="008A1BA2"/>
    <w:rPr>
      <w:sz w:val="22"/>
      <w:szCs w:val="22"/>
    </w:rPr>
  </w:style>
  <w:style w:type="character" w:customStyle="1" w:styleId="SubHeading1Char">
    <w:name w:val="Sub_Heading1 Char"/>
    <w:basedOn w:val="DefaultParagraphFont"/>
    <w:link w:val="SubHeading10"/>
    <w:rsid w:val="008A1BA2"/>
    <w:rPr>
      <w:rFonts w:ascii="Arial" w:eastAsia="Times New Roman" w:hAnsi="Arial" w:cs="Times New Roman"/>
      <w:b/>
      <w:color w:val="000000"/>
      <w:sz w:val="24"/>
      <w:szCs w:val="20"/>
      <w:lang w:val="en-GB" w:eastAsia="en-AU"/>
    </w:rPr>
  </w:style>
  <w:style w:type="character" w:customStyle="1" w:styleId="AttachmentChar">
    <w:name w:val="Attachment Char"/>
    <w:basedOn w:val="SubHeading1Char"/>
    <w:link w:val="Attachment"/>
    <w:rsid w:val="008A1BA2"/>
  </w:style>
  <w:style w:type="paragraph" w:styleId="ListParagraph">
    <w:name w:val="List Paragraph"/>
    <w:basedOn w:val="Normal"/>
    <w:uiPriority w:val="34"/>
    <w:qFormat/>
    <w:rsid w:val="009B1C73"/>
    <w:pPr>
      <w:ind w:left="720"/>
      <w:contextualSpacing/>
    </w:pPr>
    <w:rPr>
      <w:rFonts w:eastAsia="Times New Roman" w:cs="Times New Roman"/>
      <w:sz w:val="20"/>
      <w:szCs w:val="20"/>
    </w:rPr>
  </w:style>
  <w:style w:type="character" w:customStyle="1" w:styleId="Heading2Char">
    <w:name w:val="Heading 2 Char"/>
    <w:basedOn w:val="DefaultParagraphFont"/>
    <w:link w:val="Heading2"/>
    <w:uiPriority w:val="9"/>
    <w:rsid w:val="006A05E9"/>
    <w:rPr>
      <w:rFonts w:ascii="Arial" w:hAnsi="Arial" w:cs="Arial"/>
      <w:b/>
      <w:bCs/>
      <w:sz w:val="40"/>
      <w:szCs w:val="40"/>
      <w:lang w:eastAsia="en-AU"/>
    </w:rPr>
  </w:style>
  <w:style w:type="paragraph" w:customStyle="1" w:styleId="NumberedPara">
    <w:name w:val="Numbered Para"/>
    <w:basedOn w:val="Normal"/>
    <w:next w:val="Normal"/>
    <w:rsid w:val="008F1807"/>
    <w:pPr>
      <w:numPr>
        <w:numId w:val="13"/>
      </w:numPr>
      <w:spacing w:before="120" w:after="120"/>
      <w:jc w:val="both"/>
    </w:pPr>
    <w:rPr>
      <w:rFonts w:eastAsia="Times New Roman" w:cs="Times New Roman"/>
      <w:b/>
      <w:sz w:val="24"/>
      <w:szCs w:val="20"/>
    </w:rPr>
  </w:style>
  <w:style w:type="paragraph" w:customStyle="1" w:styleId="NumberedPara1">
    <w:name w:val="Numbered Para1"/>
    <w:basedOn w:val="Normal"/>
    <w:rsid w:val="008F1807"/>
    <w:pPr>
      <w:numPr>
        <w:ilvl w:val="1"/>
        <w:numId w:val="13"/>
      </w:numPr>
      <w:spacing w:before="120" w:after="120"/>
      <w:jc w:val="both"/>
    </w:pPr>
    <w:rPr>
      <w:rFonts w:eastAsia="Times New Roman" w:cs="Times New Roman"/>
      <w:b/>
      <w:sz w:val="24"/>
      <w:szCs w:val="20"/>
    </w:rPr>
  </w:style>
  <w:style w:type="paragraph" w:customStyle="1" w:styleId="NumberedPara2">
    <w:name w:val="Numbered Para2"/>
    <w:basedOn w:val="Normal"/>
    <w:rsid w:val="008F1807"/>
    <w:pPr>
      <w:numPr>
        <w:ilvl w:val="2"/>
        <w:numId w:val="13"/>
      </w:numPr>
      <w:spacing w:before="120" w:after="120"/>
      <w:jc w:val="both"/>
    </w:pPr>
    <w:rPr>
      <w:rFonts w:eastAsia="Times New Roman" w:cs="Times New Roman"/>
      <w:sz w:val="24"/>
      <w:szCs w:val="20"/>
    </w:rPr>
  </w:style>
  <w:style w:type="paragraph" w:customStyle="1" w:styleId="NumberedPara3">
    <w:name w:val="Numbered Para3"/>
    <w:basedOn w:val="Normal"/>
    <w:rsid w:val="008F1807"/>
    <w:pPr>
      <w:numPr>
        <w:ilvl w:val="3"/>
        <w:numId w:val="13"/>
      </w:numPr>
      <w:spacing w:before="120" w:after="120"/>
      <w:jc w:val="both"/>
    </w:pPr>
    <w:rPr>
      <w:rFonts w:eastAsia="Times New Roman" w:cs="Times New Roman"/>
      <w:sz w:val="24"/>
      <w:szCs w:val="20"/>
    </w:rPr>
  </w:style>
  <w:style w:type="paragraph" w:customStyle="1" w:styleId="NumberedPara4">
    <w:name w:val="Numbered Para4"/>
    <w:basedOn w:val="Normal"/>
    <w:rsid w:val="008F1807"/>
    <w:pPr>
      <w:numPr>
        <w:ilvl w:val="4"/>
        <w:numId w:val="13"/>
      </w:numPr>
      <w:spacing w:before="120" w:after="120"/>
      <w:jc w:val="both"/>
    </w:pPr>
    <w:rPr>
      <w:rFonts w:eastAsia="Times New Roman" w:cs="Times New Roman"/>
      <w:sz w:val="24"/>
      <w:szCs w:val="20"/>
    </w:rPr>
  </w:style>
  <w:style w:type="paragraph" w:customStyle="1" w:styleId="NumberedPara5">
    <w:name w:val="Numbered Para5"/>
    <w:basedOn w:val="Normal"/>
    <w:rsid w:val="008F1807"/>
    <w:pPr>
      <w:numPr>
        <w:ilvl w:val="5"/>
        <w:numId w:val="13"/>
      </w:numPr>
      <w:spacing w:before="120" w:after="120"/>
      <w:jc w:val="both"/>
    </w:pPr>
    <w:rPr>
      <w:rFonts w:eastAsia="Times New Roman" w:cs="Times New Roman"/>
      <w:sz w:val="24"/>
      <w:szCs w:val="20"/>
    </w:rPr>
  </w:style>
  <w:style w:type="paragraph" w:customStyle="1" w:styleId="OfficerFile0">
    <w:name w:val="Officer File"/>
    <w:basedOn w:val="Normal"/>
    <w:next w:val="Normal"/>
    <w:rsid w:val="00CF3829"/>
    <w:pPr>
      <w:jc w:val="both"/>
    </w:pPr>
    <w:rPr>
      <w:rFonts w:eastAsia="Times New Roman" w:cs="Times New Roman"/>
      <w:b/>
      <w:sz w:val="24"/>
      <w:szCs w:val="20"/>
    </w:rPr>
  </w:style>
  <w:style w:type="paragraph" w:customStyle="1" w:styleId="SumPoint">
    <w:name w:val="Sum Point"/>
    <w:basedOn w:val="Normal"/>
    <w:rsid w:val="00CF3829"/>
    <w:pPr>
      <w:numPr>
        <w:numId w:val="15"/>
      </w:numPr>
      <w:spacing w:after="160"/>
    </w:pPr>
    <w:rPr>
      <w:rFonts w:eastAsia="Times New Roman" w:cs="Times New Roman"/>
      <w:sz w:val="24"/>
      <w:szCs w:val="20"/>
    </w:rPr>
  </w:style>
  <w:style w:type="paragraph" w:customStyle="1" w:styleId="Sumpoint2">
    <w:name w:val="Sum point 2"/>
    <w:basedOn w:val="SummaryPoints"/>
    <w:rsid w:val="00CF3829"/>
    <w:pPr>
      <w:numPr>
        <w:numId w:val="14"/>
      </w:numPr>
      <w:tabs>
        <w:tab w:val="num" w:pos="2098"/>
      </w:tabs>
      <w:ind w:left="2098" w:hanging="510"/>
    </w:pPr>
    <w:rPr>
      <w:color w:val="auto"/>
      <w:sz w:val="24"/>
      <w:lang w:val="en-AU" w:eastAsia="en-US"/>
    </w:rPr>
  </w:style>
  <w:style w:type="paragraph" w:styleId="BodyText">
    <w:name w:val="Body Text"/>
    <w:basedOn w:val="Normal"/>
    <w:link w:val="BodyTextChar"/>
    <w:rsid w:val="00CF3829"/>
    <w:pPr>
      <w:spacing w:after="120"/>
      <w:ind w:left="357"/>
      <w:jc w:val="both"/>
    </w:pPr>
    <w:rPr>
      <w:rFonts w:eastAsia="Times New Roman" w:cs="Times New Roman"/>
      <w:sz w:val="24"/>
      <w:szCs w:val="20"/>
    </w:rPr>
  </w:style>
  <w:style w:type="character" w:customStyle="1" w:styleId="BodyTextChar">
    <w:name w:val="Body Text Char"/>
    <w:basedOn w:val="DefaultParagraphFont"/>
    <w:link w:val="BodyText"/>
    <w:rsid w:val="00CF3829"/>
    <w:rPr>
      <w:rFonts w:ascii="Arial" w:eastAsia="Times New Roman" w:hAnsi="Arial" w:cs="Times New Roman"/>
      <w:sz w:val="24"/>
      <w:szCs w:val="20"/>
    </w:rPr>
  </w:style>
  <w:style w:type="paragraph" w:styleId="NormalWeb">
    <w:name w:val="Normal (Web)"/>
    <w:basedOn w:val="Normal"/>
    <w:uiPriority w:val="99"/>
    <w:semiHidden/>
    <w:unhideWhenUsed/>
    <w:rsid w:val="00A3244B"/>
    <w:pPr>
      <w:spacing w:before="100" w:beforeAutospacing="1" w:after="100" w:afterAutospacing="1"/>
    </w:pPr>
    <w:rPr>
      <w:rFonts w:ascii="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624509351">
      <w:bodyDiv w:val="1"/>
      <w:marLeft w:val="0"/>
      <w:marRight w:val="0"/>
      <w:marTop w:val="0"/>
      <w:marBottom w:val="0"/>
      <w:divBdr>
        <w:top w:val="none" w:sz="0" w:space="0" w:color="auto"/>
        <w:left w:val="none" w:sz="0" w:space="0" w:color="auto"/>
        <w:bottom w:val="none" w:sz="0" w:space="0" w:color="auto"/>
        <w:right w:val="none" w:sz="0" w:space="0" w:color="auto"/>
      </w:divBdr>
    </w:div>
    <w:div w:id="19488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Council%20Report%20Template%20Admnistrato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6F6F2-3666-45E7-9FD7-5404CF6D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Report Template Admnistrators.dotx</Template>
  <TotalTime>1</TotalTime>
  <Pages>7</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rr11546</dc:creator>
  <cp:lastModifiedBy>an02141</cp:lastModifiedBy>
  <cp:revision>3</cp:revision>
  <cp:lastPrinted>2017-04-10T00:19:00Z</cp:lastPrinted>
  <dcterms:created xsi:type="dcterms:W3CDTF">2017-04-27T06:14:00Z</dcterms:created>
  <dcterms:modified xsi:type="dcterms:W3CDTF">2017-04-27T06:14:00Z</dcterms:modified>
</cp:coreProperties>
</file>