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19D" w:rsidRDefault="003C52D9">
      <w:pPr>
        <w:pStyle w:val="Heading1"/>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5.65pt;margin-top:-13.8pt;width:92.15pt;height:34.6pt;z-index:251657728;visibility:visible;mso-wrap-edited:f" o:allowincell="f" fillcolor="window">
            <v:imagedata r:id="rId8" o:title=""/>
          </v:shape>
          <o:OLEObject Type="Embed" ProgID="Word.Picture.8" ShapeID="_x0000_s1028" DrawAspect="Content" ObjectID="_1560580520" r:id="rId9"/>
        </w:object>
      </w:r>
      <w:r w:rsidR="001B619D">
        <w:rPr>
          <w:noProof/>
        </w:rPr>
        <w:t>COUNCIL POLICY</w:t>
      </w:r>
    </w:p>
    <w:p w:rsidR="001B619D" w:rsidRDefault="001B619D">
      <w:pPr>
        <w:jc w:val="center"/>
      </w:pPr>
    </w:p>
    <w:tbl>
      <w:tblPr>
        <w:tblW w:w="0" w:type="auto"/>
        <w:tblInd w:w="108" w:type="dxa"/>
        <w:tblLayout w:type="fixed"/>
        <w:tblLook w:val="0000" w:firstRow="0" w:lastRow="0" w:firstColumn="0" w:lastColumn="0" w:noHBand="0" w:noVBand="0"/>
      </w:tblPr>
      <w:tblGrid>
        <w:gridCol w:w="2552"/>
        <w:gridCol w:w="2835"/>
        <w:gridCol w:w="1843"/>
        <w:gridCol w:w="2126"/>
      </w:tblGrid>
      <w:tr w:rsidR="001B619D">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1B619D" w:rsidRDefault="00125561" w:rsidP="00125561">
            <w:pPr>
              <w:jc w:val="center"/>
              <w:rPr>
                <w:b/>
                <w:sz w:val="32"/>
              </w:rPr>
            </w:pPr>
            <w:bookmarkStart w:id="0" w:name="Title"/>
            <w:bookmarkStart w:id="1" w:name="DocNo" w:colFirst="2" w:colLast="2"/>
            <w:r>
              <w:rPr>
                <w:b/>
                <w:sz w:val="32"/>
              </w:rPr>
              <w:t xml:space="preserve">Sustainable Building Policy  </w:t>
            </w:r>
            <w:bookmarkEnd w:id="0"/>
          </w:p>
        </w:tc>
        <w:tc>
          <w:tcPr>
            <w:tcW w:w="1843" w:type="dxa"/>
            <w:tcBorders>
              <w:top w:val="single" w:sz="6" w:space="0" w:color="auto"/>
              <w:left w:val="single" w:sz="6" w:space="0" w:color="auto"/>
              <w:bottom w:val="single" w:sz="6" w:space="0" w:color="auto"/>
              <w:right w:val="single" w:sz="6" w:space="0" w:color="auto"/>
            </w:tcBorders>
          </w:tcPr>
          <w:p w:rsidR="001B619D" w:rsidRDefault="001B619D">
            <w:r>
              <w:t>Document No:</w:t>
            </w:r>
          </w:p>
        </w:tc>
        <w:tc>
          <w:tcPr>
            <w:tcW w:w="2126" w:type="dxa"/>
            <w:tcBorders>
              <w:top w:val="single" w:sz="6" w:space="0" w:color="auto"/>
              <w:bottom w:val="single" w:sz="6" w:space="0" w:color="auto"/>
              <w:right w:val="single" w:sz="6" w:space="0" w:color="auto"/>
            </w:tcBorders>
          </w:tcPr>
          <w:p w:rsidR="001B619D" w:rsidRDefault="00125561">
            <w:r>
              <w:t>CPL</w:t>
            </w:r>
            <w:r w:rsidR="00771BC9">
              <w:t>215.10</w:t>
            </w:r>
          </w:p>
        </w:tc>
      </w:tr>
      <w:bookmarkEnd w:id="1"/>
      <w:tr w:rsidR="001B619D">
        <w:trPr>
          <w:cantSplit/>
        </w:trPr>
        <w:tc>
          <w:tcPr>
            <w:tcW w:w="5387" w:type="dxa"/>
            <w:gridSpan w:val="2"/>
            <w:vMerge/>
            <w:tcBorders>
              <w:left w:val="single" w:sz="6" w:space="0" w:color="auto"/>
              <w:bottom w:val="nil"/>
              <w:right w:val="single" w:sz="6" w:space="0" w:color="auto"/>
            </w:tcBorders>
          </w:tcPr>
          <w:p w:rsidR="001B619D" w:rsidRDefault="001B619D"/>
        </w:tc>
        <w:tc>
          <w:tcPr>
            <w:tcW w:w="1843" w:type="dxa"/>
            <w:tcBorders>
              <w:top w:val="single" w:sz="6" w:space="0" w:color="auto"/>
              <w:left w:val="single" w:sz="6" w:space="0" w:color="auto"/>
              <w:right w:val="single" w:sz="6" w:space="0" w:color="auto"/>
            </w:tcBorders>
          </w:tcPr>
          <w:p w:rsidR="001B619D" w:rsidRDefault="001B619D">
            <w:r>
              <w:t xml:space="preserve">Approval Date:  </w:t>
            </w:r>
          </w:p>
        </w:tc>
        <w:tc>
          <w:tcPr>
            <w:tcW w:w="2126" w:type="dxa"/>
            <w:tcBorders>
              <w:top w:val="single" w:sz="6" w:space="0" w:color="auto"/>
              <w:right w:val="single" w:sz="6" w:space="0" w:color="auto"/>
            </w:tcBorders>
          </w:tcPr>
          <w:p w:rsidR="001B619D" w:rsidRDefault="002B3A51">
            <w:r>
              <w:t>27 June 2017</w:t>
            </w:r>
          </w:p>
        </w:tc>
      </w:tr>
      <w:tr w:rsidR="001B619D">
        <w:trPr>
          <w:cantSplit/>
        </w:trPr>
        <w:tc>
          <w:tcPr>
            <w:tcW w:w="5387" w:type="dxa"/>
            <w:gridSpan w:val="2"/>
            <w:vMerge/>
            <w:tcBorders>
              <w:left w:val="single" w:sz="6" w:space="0" w:color="auto"/>
              <w:bottom w:val="nil"/>
              <w:right w:val="single" w:sz="6" w:space="0" w:color="auto"/>
            </w:tcBorders>
          </w:tcPr>
          <w:p w:rsidR="001B619D" w:rsidRDefault="001B619D">
            <w:bookmarkStart w:id="2" w:name="ApprovedBy" w:colFirst="2" w:colLast="2"/>
          </w:p>
        </w:tc>
        <w:tc>
          <w:tcPr>
            <w:tcW w:w="1843" w:type="dxa"/>
            <w:tcBorders>
              <w:top w:val="single" w:sz="6" w:space="0" w:color="auto"/>
              <w:left w:val="single" w:sz="6" w:space="0" w:color="auto"/>
              <w:right w:val="single" w:sz="6" w:space="0" w:color="auto"/>
            </w:tcBorders>
          </w:tcPr>
          <w:p w:rsidR="001B619D" w:rsidRDefault="001B619D">
            <w:r>
              <w:t>Approved By:</w:t>
            </w:r>
          </w:p>
        </w:tc>
        <w:tc>
          <w:tcPr>
            <w:tcW w:w="2126" w:type="dxa"/>
            <w:tcBorders>
              <w:top w:val="single" w:sz="6" w:space="0" w:color="auto"/>
              <w:right w:val="single" w:sz="6" w:space="0" w:color="auto"/>
            </w:tcBorders>
          </w:tcPr>
          <w:p w:rsidR="001B619D" w:rsidRDefault="00125561">
            <w:r>
              <w:t>Council</w:t>
            </w:r>
          </w:p>
        </w:tc>
      </w:tr>
      <w:bookmarkEnd w:id="2"/>
      <w:tr w:rsidR="001B619D">
        <w:trPr>
          <w:cantSplit/>
          <w:trHeight w:val="548"/>
        </w:trPr>
        <w:tc>
          <w:tcPr>
            <w:tcW w:w="5387" w:type="dxa"/>
            <w:gridSpan w:val="2"/>
            <w:vMerge/>
            <w:tcBorders>
              <w:left w:val="single" w:sz="6" w:space="0" w:color="auto"/>
              <w:right w:val="single" w:sz="6" w:space="0" w:color="auto"/>
            </w:tcBorders>
          </w:tcPr>
          <w:p w:rsidR="001B619D" w:rsidRDefault="001B619D"/>
        </w:tc>
        <w:tc>
          <w:tcPr>
            <w:tcW w:w="1843" w:type="dxa"/>
            <w:tcBorders>
              <w:top w:val="single" w:sz="6" w:space="0" w:color="auto"/>
              <w:left w:val="single" w:sz="6" w:space="0" w:color="auto"/>
              <w:right w:val="single" w:sz="6" w:space="0" w:color="auto"/>
            </w:tcBorders>
          </w:tcPr>
          <w:p w:rsidR="001B619D" w:rsidRDefault="001B619D">
            <w:r>
              <w:t>Review Date:</w:t>
            </w:r>
          </w:p>
        </w:tc>
        <w:tc>
          <w:tcPr>
            <w:tcW w:w="2126" w:type="dxa"/>
            <w:tcBorders>
              <w:top w:val="single" w:sz="6" w:space="0" w:color="auto"/>
              <w:right w:val="single" w:sz="6" w:space="0" w:color="auto"/>
            </w:tcBorders>
          </w:tcPr>
          <w:p w:rsidR="001B619D" w:rsidRDefault="002B3A51">
            <w:r>
              <w:t>27 June 2020</w:t>
            </w:r>
          </w:p>
        </w:tc>
      </w:tr>
      <w:tr w:rsidR="001B619D">
        <w:trPr>
          <w:cantSplit/>
        </w:trPr>
        <w:tc>
          <w:tcPr>
            <w:tcW w:w="5387" w:type="dxa"/>
            <w:gridSpan w:val="2"/>
            <w:tcBorders>
              <w:top w:val="single" w:sz="4" w:space="0" w:color="auto"/>
              <w:left w:val="single" w:sz="6" w:space="0" w:color="auto"/>
              <w:right w:val="single" w:sz="6" w:space="0" w:color="auto"/>
            </w:tcBorders>
          </w:tcPr>
          <w:p w:rsidR="001B619D" w:rsidRDefault="001B619D">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tcPr>
          <w:p w:rsidR="001B619D" w:rsidRDefault="00BB26A3">
            <w:r>
              <w:t>Version No</w:t>
            </w:r>
          </w:p>
        </w:tc>
        <w:tc>
          <w:tcPr>
            <w:tcW w:w="2126" w:type="dxa"/>
            <w:tcBorders>
              <w:top w:val="single" w:sz="4" w:space="0" w:color="auto"/>
              <w:bottom w:val="single" w:sz="6" w:space="0" w:color="auto"/>
              <w:right w:val="single" w:sz="6" w:space="0" w:color="auto"/>
            </w:tcBorders>
          </w:tcPr>
          <w:p w:rsidR="001B619D" w:rsidRDefault="002B3A51">
            <w:r>
              <w:t>01</w:t>
            </w:r>
          </w:p>
        </w:tc>
      </w:tr>
      <w:tr w:rsidR="001B619D">
        <w:trPr>
          <w:cantSplit/>
        </w:trPr>
        <w:tc>
          <w:tcPr>
            <w:tcW w:w="5387" w:type="dxa"/>
            <w:gridSpan w:val="2"/>
            <w:tcBorders>
              <w:left w:val="single" w:sz="6" w:space="0" w:color="auto"/>
            </w:tcBorders>
          </w:tcPr>
          <w:p w:rsidR="001B619D" w:rsidRDefault="002B3A51">
            <w:pPr>
              <w:rPr>
                <w:b/>
              </w:rPr>
            </w:pPr>
            <w:r>
              <w:rPr>
                <w:b/>
              </w:rPr>
              <w:t>Director</w:t>
            </w:r>
            <w:r w:rsidR="00125561">
              <w:rPr>
                <w:b/>
              </w:rPr>
              <w:t xml:space="preserve"> City Services</w:t>
            </w:r>
          </w:p>
        </w:tc>
        <w:tc>
          <w:tcPr>
            <w:tcW w:w="1843" w:type="dxa"/>
            <w:tcBorders>
              <w:top w:val="single" w:sz="6" w:space="0" w:color="auto"/>
              <w:left w:val="single" w:sz="6" w:space="0" w:color="auto"/>
              <w:right w:val="single" w:sz="6" w:space="0" w:color="auto"/>
            </w:tcBorders>
          </w:tcPr>
          <w:p w:rsidR="001B619D" w:rsidRDefault="001B619D"/>
        </w:tc>
        <w:tc>
          <w:tcPr>
            <w:tcW w:w="2126" w:type="dxa"/>
            <w:tcBorders>
              <w:top w:val="single" w:sz="6" w:space="0" w:color="auto"/>
              <w:right w:val="single" w:sz="6" w:space="0" w:color="auto"/>
            </w:tcBorders>
          </w:tcPr>
          <w:p w:rsidR="001B619D" w:rsidRDefault="001B619D"/>
        </w:tc>
      </w:tr>
      <w:tr w:rsidR="001B619D">
        <w:trPr>
          <w:cantSplit/>
          <w:trHeight w:val="683"/>
        </w:trPr>
        <w:tc>
          <w:tcPr>
            <w:tcW w:w="2552" w:type="dxa"/>
            <w:tcBorders>
              <w:top w:val="single" w:sz="4" w:space="0" w:color="auto"/>
              <w:left w:val="single" w:sz="4" w:space="0" w:color="auto"/>
              <w:bottom w:val="single" w:sz="4" w:space="0" w:color="auto"/>
            </w:tcBorders>
            <w:vAlign w:val="center"/>
          </w:tcPr>
          <w:p w:rsidR="001B619D" w:rsidRDefault="001B619D">
            <w:pPr>
              <w:ind w:left="2302" w:hanging="2302"/>
            </w:pPr>
            <w:bookmarkStart w:id="3" w:name="AuthorisedOfficer" w:colFirst="1" w:colLast="1"/>
            <w:r>
              <w:t>Authorising Officer:</w:t>
            </w:r>
            <w:r>
              <w:tab/>
            </w:r>
          </w:p>
        </w:tc>
        <w:tc>
          <w:tcPr>
            <w:tcW w:w="6804" w:type="dxa"/>
            <w:gridSpan w:val="3"/>
            <w:tcBorders>
              <w:top w:val="single" w:sz="4" w:space="0" w:color="auto"/>
              <w:left w:val="nil"/>
              <w:bottom w:val="single" w:sz="4" w:space="0" w:color="auto"/>
              <w:right w:val="single" w:sz="4" w:space="0" w:color="auto"/>
            </w:tcBorders>
            <w:vAlign w:val="center"/>
          </w:tcPr>
          <w:p w:rsidR="001B619D" w:rsidRDefault="00125561">
            <w:pPr>
              <w:ind w:left="2302" w:hanging="2302"/>
              <w:jc w:val="right"/>
              <w:rPr>
                <w:b/>
              </w:rPr>
            </w:pPr>
            <w:r>
              <w:rPr>
                <w:b/>
              </w:rPr>
              <w:t>Chief Executive</w:t>
            </w:r>
            <w:r w:rsidR="00771BC9">
              <w:rPr>
                <w:b/>
              </w:rPr>
              <w:t xml:space="preserve"> Officer</w:t>
            </w:r>
          </w:p>
        </w:tc>
      </w:tr>
      <w:bookmarkEnd w:id="3"/>
    </w:tbl>
    <w:p w:rsidR="001B619D" w:rsidRDefault="001B619D"/>
    <w:p w:rsidR="001B619D" w:rsidRDefault="001B619D">
      <w:pPr>
        <w:pStyle w:val="NumberedPara"/>
      </w:pPr>
      <w:r>
        <w:t xml:space="preserve">PURPOSE </w:t>
      </w:r>
    </w:p>
    <w:p w:rsidR="001B619D" w:rsidRDefault="00BB6FBB" w:rsidP="00390098">
      <w:r>
        <w:t>The purpose</w:t>
      </w:r>
      <w:r w:rsidR="00125561">
        <w:t xml:space="preserve"> of the Sustainable Building </w:t>
      </w:r>
      <w:r w:rsidR="002C5934">
        <w:t>Policy is to guide</w:t>
      </w:r>
      <w:r w:rsidR="00125561">
        <w:t xml:space="preserve"> organisational practices to manage the social, environmental and financial aspects of Council Buildings. It will facilitate a coordinated approach to management of buildings by Council Departments and provide clear commitments to achieve sustainability standards in Council buildings. </w:t>
      </w:r>
    </w:p>
    <w:p w:rsidR="00390098" w:rsidRDefault="00390098" w:rsidP="00390098"/>
    <w:p w:rsidR="001B619D" w:rsidRDefault="001B619D">
      <w:pPr>
        <w:pStyle w:val="NumberedPara"/>
      </w:pPr>
      <w:r>
        <w:t xml:space="preserve">SCOPE </w:t>
      </w:r>
    </w:p>
    <w:p w:rsidR="00AF40B5" w:rsidRPr="00AF40B5" w:rsidRDefault="00AF40B5" w:rsidP="00AF53EA">
      <w:pPr>
        <w:spacing w:after="120"/>
        <w:rPr>
          <w:rFonts w:cs="Arial"/>
          <w:szCs w:val="24"/>
        </w:rPr>
      </w:pPr>
      <w:r w:rsidRPr="00AF40B5">
        <w:rPr>
          <w:rFonts w:cs="Arial"/>
          <w:szCs w:val="24"/>
        </w:rPr>
        <w:t xml:space="preserve">This Policy relates to buildings owned, leased or managed by Council. It does not cover sustainability standards for residential or commercial buildings through the planning scheme. The </w:t>
      </w:r>
      <w:r w:rsidRPr="00AF40B5">
        <w:rPr>
          <w:rFonts w:cs="Arial"/>
          <w:bCs/>
          <w:szCs w:val="24"/>
        </w:rPr>
        <w:t>Sustainable Building Policy</w:t>
      </w:r>
      <w:r w:rsidRPr="00AF40B5">
        <w:rPr>
          <w:rFonts w:cs="Arial"/>
          <w:szCs w:val="24"/>
        </w:rPr>
        <w:t xml:space="preserve"> sets minimum sustainability standards for Council’s:</w:t>
      </w:r>
    </w:p>
    <w:p w:rsidR="00AF40B5" w:rsidRPr="00AF40B5" w:rsidRDefault="00AF40B5" w:rsidP="00AF53EA">
      <w:pPr>
        <w:numPr>
          <w:ilvl w:val="0"/>
          <w:numId w:val="24"/>
        </w:numPr>
        <w:spacing w:after="60"/>
        <w:ind w:left="714" w:hanging="357"/>
        <w:rPr>
          <w:rFonts w:cs="Arial"/>
          <w:szCs w:val="24"/>
        </w:rPr>
      </w:pPr>
      <w:r w:rsidRPr="00AF40B5">
        <w:rPr>
          <w:rFonts w:cs="Arial"/>
          <w:szCs w:val="24"/>
        </w:rPr>
        <w:t xml:space="preserve">New buildings </w:t>
      </w:r>
    </w:p>
    <w:p w:rsidR="00AF40B5" w:rsidRPr="00AF40B5" w:rsidRDefault="00AF40B5" w:rsidP="00AF53EA">
      <w:pPr>
        <w:numPr>
          <w:ilvl w:val="0"/>
          <w:numId w:val="24"/>
        </w:numPr>
        <w:spacing w:after="60"/>
        <w:ind w:left="714" w:hanging="357"/>
        <w:rPr>
          <w:rFonts w:cs="Arial"/>
          <w:szCs w:val="24"/>
        </w:rPr>
      </w:pPr>
      <w:r w:rsidRPr="00AF40B5">
        <w:rPr>
          <w:rFonts w:cs="Arial"/>
          <w:szCs w:val="24"/>
        </w:rPr>
        <w:t>Renovations and retrofits of existing buildings</w:t>
      </w:r>
    </w:p>
    <w:p w:rsidR="00AF40B5" w:rsidRPr="00AF40B5" w:rsidRDefault="00AF40B5" w:rsidP="00AF53EA">
      <w:pPr>
        <w:numPr>
          <w:ilvl w:val="0"/>
          <w:numId w:val="24"/>
        </w:numPr>
        <w:spacing w:after="60"/>
        <w:ind w:left="714" w:hanging="357"/>
        <w:rPr>
          <w:rFonts w:cs="Arial"/>
          <w:szCs w:val="24"/>
        </w:rPr>
      </w:pPr>
      <w:r w:rsidRPr="00AF40B5">
        <w:rPr>
          <w:rFonts w:cs="Arial"/>
          <w:szCs w:val="24"/>
        </w:rPr>
        <w:t>Building maintenance and upgrades</w:t>
      </w:r>
    </w:p>
    <w:p w:rsidR="00AF40B5" w:rsidRPr="00AF40B5" w:rsidRDefault="00AF40B5" w:rsidP="00AF40B5">
      <w:pPr>
        <w:numPr>
          <w:ilvl w:val="0"/>
          <w:numId w:val="24"/>
        </w:numPr>
        <w:rPr>
          <w:rFonts w:cs="Arial"/>
          <w:szCs w:val="24"/>
        </w:rPr>
      </w:pPr>
      <w:r w:rsidRPr="00AF40B5">
        <w:rPr>
          <w:rFonts w:cs="Arial"/>
          <w:szCs w:val="24"/>
        </w:rPr>
        <w:t>Specific sustainability projects</w:t>
      </w:r>
    </w:p>
    <w:p w:rsidR="00AF40B5" w:rsidRDefault="00AF40B5" w:rsidP="00AF40B5">
      <w:pPr>
        <w:rPr>
          <w:rFonts w:cs="Arial"/>
          <w:szCs w:val="24"/>
        </w:rPr>
      </w:pPr>
    </w:p>
    <w:p w:rsidR="00AF40B5" w:rsidRPr="00AF40B5" w:rsidRDefault="00AF40B5" w:rsidP="00AF40B5">
      <w:pPr>
        <w:rPr>
          <w:rFonts w:cs="Arial"/>
          <w:szCs w:val="24"/>
        </w:rPr>
      </w:pPr>
      <w:r w:rsidRPr="00AF40B5">
        <w:rPr>
          <w:rFonts w:cs="Arial"/>
          <w:szCs w:val="24"/>
        </w:rPr>
        <w:t xml:space="preserve">The Sustainable Building Policy applies to all types of Council buildings including: administrative offices; leisure and aquatic facilities; libraries; community buildings; sports ground pavilions; town halls; child care and health centres; works depots; and other Council buildings. </w:t>
      </w:r>
    </w:p>
    <w:p w:rsidR="00AF40B5" w:rsidRPr="00AF40B5" w:rsidRDefault="00AF40B5" w:rsidP="00AF40B5">
      <w:pPr>
        <w:rPr>
          <w:rFonts w:cs="Arial"/>
          <w:szCs w:val="24"/>
        </w:rPr>
      </w:pPr>
    </w:p>
    <w:p w:rsidR="00AF40B5" w:rsidRPr="00AF40B5" w:rsidRDefault="002C5934" w:rsidP="00AF40B5">
      <w:pPr>
        <w:rPr>
          <w:rFonts w:cs="Arial"/>
          <w:szCs w:val="24"/>
        </w:rPr>
      </w:pPr>
      <w:r>
        <w:rPr>
          <w:rFonts w:cs="Arial"/>
          <w:szCs w:val="24"/>
        </w:rPr>
        <w:t>The aim is to improve sustainability</w:t>
      </w:r>
      <w:r w:rsidR="00AF40B5" w:rsidRPr="00AF40B5">
        <w:rPr>
          <w:rFonts w:cs="Arial"/>
          <w:szCs w:val="24"/>
        </w:rPr>
        <w:t xml:space="preserve"> thr</w:t>
      </w:r>
      <w:r>
        <w:rPr>
          <w:rFonts w:cs="Arial"/>
          <w:szCs w:val="24"/>
        </w:rPr>
        <w:t>oughout the full life cycle of Council</w:t>
      </w:r>
      <w:r w:rsidR="00AF40B5" w:rsidRPr="00AF40B5">
        <w:rPr>
          <w:rFonts w:cs="Arial"/>
          <w:szCs w:val="24"/>
        </w:rPr>
        <w:t xml:space="preserve"> building</w:t>
      </w:r>
      <w:r w:rsidR="0038282F">
        <w:rPr>
          <w:rFonts w:cs="Arial"/>
          <w:szCs w:val="24"/>
        </w:rPr>
        <w:t>s</w:t>
      </w:r>
      <w:r w:rsidR="00AF40B5" w:rsidRPr="00AF40B5">
        <w:rPr>
          <w:rFonts w:cs="Arial"/>
          <w:szCs w:val="24"/>
        </w:rPr>
        <w:t>, from concept and design, through to decommissioning.</w:t>
      </w:r>
    </w:p>
    <w:p w:rsidR="00AF40B5" w:rsidRPr="00AF40B5" w:rsidRDefault="00AF40B5" w:rsidP="00AF40B5">
      <w:pPr>
        <w:rPr>
          <w:rFonts w:cs="Arial"/>
          <w:szCs w:val="24"/>
        </w:rPr>
      </w:pPr>
    </w:p>
    <w:p w:rsidR="00AF40B5" w:rsidRPr="00B163F3" w:rsidRDefault="00AF40B5" w:rsidP="00AF40B5">
      <w:pPr>
        <w:rPr>
          <w:rFonts w:cs="Arial"/>
          <w:szCs w:val="24"/>
        </w:rPr>
      </w:pPr>
      <w:r w:rsidRPr="00B163F3">
        <w:rPr>
          <w:rFonts w:cs="Arial"/>
          <w:szCs w:val="24"/>
        </w:rPr>
        <w:t xml:space="preserve">The Policy will apply immediately from the date of adoption and </w:t>
      </w:r>
      <w:r w:rsidR="00B163F3" w:rsidRPr="00B163F3">
        <w:t xml:space="preserve">will be reviewed </w:t>
      </w:r>
      <w:r w:rsidR="00A37CC8">
        <w:rPr>
          <w:rFonts w:cs="Arial"/>
          <w:szCs w:val="24"/>
        </w:rPr>
        <w:t>every two</w:t>
      </w:r>
      <w:r w:rsidR="00A37CC8" w:rsidRPr="00B163F3">
        <w:rPr>
          <w:rFonts w:cs="Arial"/>
          <w:szCs w:val="24"/>
        </w:rPr>
        <w:t xml:space="preserve"> years </w:t>
      </w:r>
      <w:r w:rsidR="00B163F3" w:rsidRPr="00B163F3">
        <w:t>to help ensure that the building standards, financial implications, environmental outcomes and corporate processes are operating effectively and efficiently.</w:t>
      </w:r>
      <w:r w:rsidRPr="00B163F3">
        <w:rPr>
          <w:rFonts w:cs="Arial"/>
          <w:szCs w:val="24"/>
        </w:rPr>
        <w:t xml:space="preserve">  </w:t>
      </w:r>
    </w:p>
    <w:p w:rsidR="001B619D" w:rsidRDefault="001B619D"/>
    <w:p w:rsidR="001B619D" w:rsidRDefault="001B619D" w:rsidP="00AF40B5">
      <w:pPr>
        <w:pStyle w:val="NumberedPara"/>
      </w:pPr>
      <w:r>
        <w:t>REFERENCES</w:t>
      </w:r>
    </w:p>
    <w:p w:rsidR="00AF40B5" w:rsidRPr="002C5934" w:rsidRDefault="00AF40B5" w:rsidP="00AF53EA">
      <w:pPr>
        <w:numPr>
          <w:ilvl w:val="0"/>
          <w:numId w:val="25"/>
        </w:numPr>
        <w:spacing w:after="60"/>
        <w:ind w:left="714" w:hanging="357"/>
      </w:pPr>
      <w:r w:rsidRPr="002C5934">
        <w:t xml:space="preserve">City of Greater Geelong City Plan </w:t>
      </w:r>
    </w:p>
    <w:p w:rsidR="00852BEC" w:rsidRDefault="00852BEC" w:rsidP="00AF53EA">
      <w:pPr>
        <w:numPr>
          <w:ilvl w:val="0"/>
          <w:numId w:val="25"/>
        </w:numPr>
        <w:spacing w:after="60"/>
        <w:ind w:left="714" w:hanging="357"/>
      </w:pPr>
      <w:r>
        <w:t>City of Greater Geelong Procurement Policy</w:t>
      </w:r>
    </w:p>
    <w:p w:rsidR="00AF40B5" w:rsidRPr="002C5934" w:rsidRDefault="00AF40B5" w:rsidP="00AF53EA">
      <w:pPr>
        <w:numPr>
          <w:ilvl w:val="0"/>
          <w:numId w:val="25"/>
        </w:numPr>
        <w:spacing w:after="60"/>
        <w:ind w:left="714" w:hanging="357"/>
      </w:pPr>
      <w:r w:rsidRPr="002C5934">
        <w:t xml:space="preserve">City of Greater Geelong Environment Management Strategy </w:t>
      </w:r>
    </w:p>
    <w:p w:rsidR="00AF40B5" w:rsidRPr="002C5934" w:rsidRDefault="00AF40B5" w:rsidP="00AF53EA">
      <w:pPr>
        <w:numPr>
          <w:ilvl w:val="0"/>
          <w:numId w:val="25"/>
        </w:numPr>
        <w:spacing w:after="60"/>
        <w:ind w:left="714" w:hanging="357"/>
      </w:pPr>
      <w:r w:rsidRPr="002C5934">
        <w:t xml:space="preserve">City of Greater Geelong Greenhouse </w:t>
      </w:r>
      <w:r w:rsidR="00A37CC8">
        <w:t>Strategy</w:t>
      </w:r>
      <w:r w:rsidRPr="002C5934">
        <w:t xml:space="preserve"> </w:t>
      </w:r>
    </w:p>
    <w:p w:rsidR="00AF40B5" w:rsidRPr="002C5934" w:rsidRDefault="00AF40B5" w:rsidP="00AF53EA">
      <w:pPr>
        <w:numPr>
          <w:ilvl w:val="0"/>
          <w:numId w:val="25"/>
        </w:numPr>
        <w:spacing w:after="60"/>
        <w:ind w:left="714" w:hanging="357"/>
      </w:pPr>
      <w:r w:rsidRPr="002C5934">
        <w:t>City of Greater Geelong Climate Change Adaptation Strategy.</w:t>
      </w:r>
    </w:p>
    <w:p w:rsidR="00AF40B5" w:rsidRPr="002C5934" w:rsidRDefault="00AF40B5" w:rsidP="00AF53EA">
      <w:pPr>
        <w:numPr>
          <w:ilvl w:val="0"/>
          <w:numId w:val="25"/>
        </w:numPr>
        <w:spacing w:after="60"/>
        <w:ind w:left="714" w:hanging="357"/>
      </w:pPr>
      <w:r w:rsidRPr="002C5934">
        <w:lastRenderedPageBreak/>
        <w:t>City of Greater Geelong Sustainable Building Management Plan (Ironbark Sustainability)</w:t>
      </w:r>
    </w:p>
    <w:p w:rsidR="00AF40B5" w:rsidRPr="002C5934" w:rsidRDefault="00AF40B5" w:rsidP="00AF53EA">
      <w:pPr>
        <w:numPr>
          <w:ilvl w:val="0"/>
          <w:numId w:val="25"/>
        </w:numPr>
        <w:spacing w:after="60"/>
        <w:ind w:left="714" w:hanging="357"/>
      </w:pPr>
      <w:r w:rsidRPr="002C5934">
        <w:t>Geelong Buildings ESD Policy Report (Net Balance)</w:t>
      </w:r>
    </w:p>
    <w:p w:rsidR="00AF40B5" w:rsidRPr="002C5934" w:rsidRDefault="00AF40B5" w:rsidP="00AF53EA">
      <w:pPr>
        <w:numPr>
          <w:ilvl w:val="0"/>
          <w:numId w:val="25"/>
        </w:numPr>
        <w:spacing w:after="60"/>
        <w:ind w:left="714" w:hanging="357"/>
      </w:pPr>
      <w:r w:rsidRPr="002C5934">
        <w:t>Low Carbon Growth Plan</w:t>
      </w:r>
      <w:r w:rsidR="00EA580D">
        <w:t xml:space="preserve"> for Greater Geelong – Climate W</w:t>
      </w:r>
      <w:r w:rsidRPr="002C5934">
        <w:t>orks Australia</w:t>
      </w:r>
    </w:p>
    <w:p w:rsidR="00AF40B5" w:rsidRPr="002C5934" w:rsidRDefault="00AF40B5" w:rsidP="003C52D9">
      <w:pPr>
        <w:numPr>
          <w:ilvl w:val="0"/>
          <w:numId w:val="25"/>
        </w:numPr>
        <w:spacing w:after="60"/>
        <w:ind w:left="714" w:hanging="357"/>
      </w:pPr>
      <w:r w:rsidRPr="002C5934">
        <w:t>Green Building Council of Australia</w:t>
      </w:r>
      <w:r w:rsidR="00A37CC8">
        <w:t xml:space="preserve"> website</w:t>
      </w:r>
    </w:p>
    <w:p w:rsidR="001B619D" w:rsidRDefault="00AF40B5" w:rsidP="00AF53EA">
      <w:pPr>
        <w:numPr>
          <w:ilvl w:val="0"/>
          <w:numId w:val="25"/>
        </w:numPr>
        <w:spacing w:after="60"/>
        <w:ind w:left="714" w:hanging="357"/>
      </w:pPr>
      <w:r w:rsidRPr="002C5934">
        <w:t>Victorian Government Office Accommodation G</w:t>
      </w:r>
      <w:r w:rsidR="0099437E" w:rsidRPr="002C5934">
        <w:t>uidelines 2007 – Department of T</w:t>
      </w:r>
      <w:r w:rsidRPr="002C5934">
        <w:t>reasury and Finance.</w:t>
      </w:r>
    </w:p>
    <w:p w:rsidR="00A37CC8" w:rsidRDefault="00A37CC8" w:rsidP="00AF53EA">
      <w:pPr>
        <w:numPr>
          <w:ilvl w:val="0"/>
          <w:numId w:val="25"/>
        </w:numPr>
        <w:spacing w:after="60"/>
        <w:ind w:left="714" w:hanging="357"/>
      </w:pPr>
      <w:r>
        <w:t>Victorian Local Government Act 1989</w:t>
      </w:r>
    </w:p>
    <w:p w:rsidR="00A37CC8" w:rsidRDefault="00A37CC8" w:rsidP="00AF53EA">
      <w:pPr>
        <w:numPr>
          <w:ilvl w:val="0"/>
          <w:numId w:val="25"/>
        </w:numPr>
        <w:spacing w:after="60"/>
        <w:ind w:left="714" w:hanging="357"/>
      </w:pPr>
      <w:r>
        <w:t>City of Greater Geelong Social Infrastructure Plan</w:t>
      </w:r>
    </w:p>
    <w:p w:rsidR="00A37CC8" w:rsidRDefault="00A37CC8" w:rsidP="00AF53EA">
      <w:pPr>
        <w:numPr>
          <w:ilvl w:val="0"/>
          <w:numId w:val="25"/>
        </w:numPr>
        <w:spacing w:after="60"/>
        <w:ind w:left="714" w:hanging="357"/>
      </w:pPr>
      <w:r>
        <w:t xml:space="preserve">City of Greater Geelong </w:t>
      </w:r>
      <w:r w:rsidR="00D02EE2">
        <w:t>Children’s</w:t>
      </w:r>
      <w:r>
        <w:t xml:space="preserve"> Services Plan</w:t>
      </w:r>
    </w:p>
    <w:p w:rsidR="00A37CC8" w:rsidRDefault="00A37CC8" w:rsidP="00A37CC8">
      <w:pPr>
        <w:numPr>
          <w:ilvl w:val="0"/>
          <w:numId w:val="25"/>
        </w:numPr>
        <w:spacing w:after="60"/>
        <w:rPr>
          <w:rFonts w:cs="Arial"/>
          <w:szCs w:val="24"/>
        </w:rPr>
      </w:pPr>
      <w:r w:rsidRPr="00BD76C9">
        <w:rPr>
          <w:rFonts w:cs="Arial"/>
          <w:szCs w:val="24"/>
        </w:rPr>
        <w:t>Low Carbon Growth Plan for Geelong</w:t>
      </w:r>
    </w:p>
    <w:p w:rsidR="00A37CC8" w:rsidRDefault="00A37CC8" w:rsidP="00A37CC8">
      <w:pPr>
        <w:numPr>
          <w:ilvl w:val="0"/>
          <w:numId w:val="25"/>
        </w:numPr>
        <w:spacing w:after="60"/>
        <w:rPr>
          <w:rFonts w:cs="Arial"/>
          <w:szCs w:val="24"/>
        </w:rPr>
      </w:pPr>
      <w:r w:rsidRPr="00BD76C9">
        <w:rPr>
          <w:rFonts w:cs="Arial"/>
          <w:szCs w:val="24"/>
        </w:rPr>
        <w:t>Sustainable Water Use Plan</w:t>
      </w:r>
    </w:p>
    <w:p w:rsidR="00B66D3F" w:rsidRDefault="00A37CC8" w:rsidP="002B3A51">
      <w:pPr>
        <w:numPr>
          <w:ilvl w:val="0"/>
          <w:numId w:val="25"/>
        </w:numPr>
        <w:spacing w:after="60"/>
        <w:rPr>
          <w:rFonts w:cs="Arial"/>
          <w:szCs w:val="24"/>
        </w:rPr>
      </w:pPr>
      <w:r w:rsidRPr="00BD76C9">
        <w:rPr>
          <w:rFonts w:cs="Arial"/>
          <w:szCs w:val="24"/>
        </w:rPr>
        <w:t>Sustainable Communities Infrastructure Development Guidelines</w:t>
      </w:r>
    </w:p>
    <w:p w:rsidR="00AF40B5" w:rsidRDefault="00AF40B5"/>
    <w:p w:rsidR="001B619D" w:rsidRDefault="001B619D">
      <w:pPr>
        <w:pStyle w:val="NumberedPara"/>
      </w:pPr>
      <w:r>
        <w:t>DEFINITIONS</w:t>
      </w:r>
    </w:p>
    <w:p w:rsidR="00C24461" w:rsidRDefault="00C24461" w:rsidP="00C24461"/>
    <w:p w:rsidR="001B619D" w:rsidRDefault="00C24461" w:rsidP="00C24461">
      <w:r w:rsidRPr="00C24461">
        <w:t xml:space="preserve">Environmentally Sustainable </w:t>
      </w:r>
      <w:r w:rsidR="00D02EE2">
        <w:t>Development</w:t>
      </w:r>
      <w:r w:rsidR="004C23CF" w:rsidRPr="00C24461">
        <w:t xml:space="preserve"> </w:t>
      </w:r>
      <w:r w:rsidRPr="00C24461">
        <w:t xml:space="preserve">(ESD): </w:t>
      </w:r>
      <w:r w:rsidR="0089744F">
        <w:tab/>
      </w:r>
      <w:r w:rsidRPr="00C24461">
        <w:t>The design and development of property and infrastructure that attempts to minimise impact on the environment.</w:t>
      </w:r>
      <w:r>
        <w:t xml:space="preserve"> </w:t>
      </w:r>
      <w:r w:rsidR="004C23CF">
        <w:t>It</w:t>
      </w:r>
      <w:r w:rsidR="004C23CF" w:rsidRPr="004C23CF">
        <w:t xml:space="preserve"> </w:t>
      </w:r>
      <w:r w:rsidR="004C23CF" w:rsidRPr="00C24461">
        <w:t>meets the needs of the present without compromising the ability of future generations to meet their own needs.</w:t>
      </w:r>
    </w:p>
    <w:p w:rsidR="001B619D" w:rsidRDefault="001B619D"/>
    <w:p w:rsidR="0089744F" w:rsidRDefault="0089744F" w:rsidP="0089744F">
      <w:r>
        <w:t>5 Star Greenstar</w:t>
      </w:r>
      <w:r w:rsidR="00FA0FDF">
        <w:t xml:space="preserve"> </w:t>
      </w:r>
      <w:r>
        <w:t xml:space="preserve">Design and As Built:  </w:t>
      </w:r>
      <w:r>
        <w:tab/>
        <w:t>Building rating tool administered by Green Building Council of Australia, for large and high profile buildings which offers certification and promotion benefits.</w:t>
      </w:r>
    </w:p>
    <w:p w:rsidR="0089744F" w:rsidRDefault="0089744F" w:rsidP="0089744F"/>
    <w:p w:rsidR="0089744F" w:rsidRDefault="0089744F" w:rsidP="0089744F">
      <w:r>
        <w:t>BESS: Built Environment Sustainable Scorecard</w:t>
      </w:r>
      <w:r w:rsidR="00FA0FDF">
        <w:t xml:space="preserve"> tool to assess energy and water efficiency, thermal comfort, and overall sustainability performance of a new building or upgrade.</w:t>
      </w:r>
    </w:p>
    <w:p w:rsidR="0089744F" w:rsidRDefault="0089744F" w:rsidP="0089744F"/>
    <w:p w:rsidR="0089744F" w:rsidRDefault="0089744F" w:rsidP="0089744F">
      <w:r>
        <w:t xml:space="preserve">NABERS: National Australian Built Environment Rating System tool to measure ongoing performance of buildings in operation. </w:t>
      </w:r>
    </w:p>
    <w:p w:rsidR="00FA0FDF" w:rsidRDefault="00FA0FDF" w:rsidP="0089744F"/>
    <w:p w:rsidR="0089744F" w:rsidRDefault="00FA0FDF" w:rsidP="0089744F">
      <w:r>
        <w:t xml:space="preserve">Upgrades: Building works where, as a guide, at least </w:t>
      </w:r>
      <w:r w:rsidR="0089744F">
        <w:t>fifty percent of</w:t>
      </w:r>
      <w:r>
        <w:t xml:space="preserve"> the floor area is</w:t>
      </w:r>
      <w:r w:rsidR="0089744F">
        <w:t xml:space="preserve"> renovated</w:t>
      </w:r>
      <w:r>
        <w:t>.</w:t>
      </w:r>
    </w:p>
    <w:p w:rsidR="0089744F" w:rsidRDefault="0089744F" w:rsidP="0089744F"/>
    <w:p w:rsidR="0089744F" w:rsidRDefault="00FA0FDF" w:rsidP="0089744F">
      <w:r>
        <w:t>Large Buildings: Floor area</w:t>
      </w:r>
      <w:r w:rsidR="0089744F">
        <w:t xml:space="preserve"> greater than 1500m2</w:t>
      </w:r>
    </w:p>
    <w:p w:rsidR="0089744F" w:rsidRDefault="0089744F" w:rsidP="0089744F"/>
    <w:p w:rsidR="0089744F" w:rsidRDefault="0089744F" w:rsidP="0089744F">
      <w:r>
        <w:t xml:space="preserve">Small Buildings: Floor </w:t>
      </w:r>
      <w:r w:rsidR="00FA0FDF">
        <w:t>area</w:t>
      </w:r>
      <w:r>
        <w:t xml:space="preserve"> less than 1500m2</w:t>
      </w:r>
    </w:p>
    <w:p w:rsidR="0089744F" w:rsidRDefault="0089744F" w:rsidP="0089744F"/>
    <w:p w:rsidR="0089744F" w:rsidRDefault="00FA0FDF" w:rsidP="0089744F">
      <w:r>
        <w:t>Simple Payback P</w:t>
      </w:r>
      <w:r w:rsidR="0089744F">
        <w:t>eriod</w:t>
      </w:r>
      <w:r>
        <w:t xml:space="preserve">: </w:t>
      </w:r>
      <w:r>
        <w:rPr>
          <w:rStyle w:val="tgc"/>
          <w:color w:val="222222"/>
        </w:rPr>
        <w:t xml:space="preserve">the </w:t>
      </w:r>
      <w:r w:rsidR="00B66D3F" w:rsidRPr="002B3A51">
        <w:rPr>
          <w:rStyle w:val="tgc"/>
          <w:bCs/>
          <w:color w:val="222222"/>
        </w:rPr>
        <w:t>period</w:t>
      </w:r>
      <w:r w:rsidRPr="00FA0FDF">
        <w:rPr>
          <w:rStyle w:val="tgc"/>
          <w:color w:val="222222"/>
        </w:rPr>
        <w:t xml:space="preserve"> </w:t>
      </w:r>
      <w:r>
        <w:rPr>
          <w:rStyle w:val="tgc"/>
          <w:color w:val="222222"/>
        </w:rPr>
        <w:t>of time required to recoup the capital funds expended on an ESD investment</w:t>
      </w:r>
    </w:p>
    <w:p w:rsidR="0089744F" w:rsidRDefault="002B3A51">
      <w:r>
        <w:br w:type="page"/>
      </w:r>
    </w:p>
    <w:p w:rsidR="001B619D" w:rsidRDefault="001B619D">
      <w:pPr>
        <w:pStyle w:val="NumberedPara"/>
      </w:pPr>
      <w:r>
        <w:t xml:space="preserve">COUNCIL POLICY </w:t>
      </w:r>
    </w:p>
    <w:p w:rsidR="003F5D69" w:rsidRPr="0028783A" w:rsidRDefault="003F5D69" w:rsidP="0007503E">
      <w:pPr>
        <w:pStyle w:val="Heading3"/>
      </w:pPr>
      <w:r w:rsidRPr="0028783A">
        <w:t>5.1 Background</w:t>
      </w:r>
    </w:p>
    <w:p w:rsidR="003E13B4" w:rsidRPr="003F5D69" w:rsidRDefault="003F5D69" w:rsidP="00AF53EA">
      <w:pPr>
        <w:spacing w:after="120"/>
        <w:rPr>
          <w:rFonts w:cs="Arial"/>
          <w:szCs w:val="24"/>
        </w:rPr>
      </w:pPr>
      <w:r w:rsidRPr="003F5D69">
        <w:rPr>
          <w:rFonts w:cs="Arial"/>
          <w:szCs w:val="24"/>
        </w:rPr>
        <w:t xml:space="preserve">The City of Greater Geelong’s strategic directions for City Plan </w:t>
      </w:r>
      <w:r w:rsidR="00A37CC8">
        <w:rPr>
          <w:rFonts w:cs="Arial"/>
          <w:szCs w:val="24"/>
        </w:rPr>
        <w:t>2013 - 2017</w:t>
      </w:r>
      <w:r w:rsidRPr="003F5D69">
        <w:rPr>
          <w:rFonts w:cs="Arial"/>
          <w:szCs w:val="24"/>
        </w:rPr>
        <w:t xml:space="preserve">are: </w:t>
      </w:r>
    </w:p>
    <w:p w:rsidR="00B66D3F" w:rsidRDefault="003F5D69" w:rsidP="002B3A51">
      <w:pPr>
        <w:pStyle w:val="NoSpacing"/>
        <w:numPr>
          <w:ilvl w:val="0"/>
          <w:numId w:val="26"/>
        </w:numPr>
        <w:spacing w:after="60"/>
        <w:ind w:left="714" w:hanging="357"/>
        <w:rPr>
          <w:rFonts w:cs="Arial"/>
          <w:szCs w:val="24"/>
        </w:rPr>
      </w:pPr>
      <w:r w:rsidRPr="003F5D69">
        <w:rPr>
          <w:rFonts w:ascii="Arial" w:hAnsi="Arial" w:cs="Arial"/>
          <w:sz w:val="24"/>
          <w:szCs w:val="24"/>
        </w:rPr>
        <w:t>Community Wellbeing</w:t>
      </w:r>
      <w:r>
        <w:rPr>
          <w:rFonts w:ascii="Arial" w:hAnsi="Arial" w:cs="Arial"/>
          <w:sz w:val="24"/>
          <w:szCs w:val="24"/>
        </w:rPr>
        <w:t xml:space="preserve">. </w:t>
      </w:r>
      <w:r w:rsidRPr="00A37CC8">
        <w:rPr>
          <w:rFonts w:ascii="Arial" w:hAnsi="Arial" w:cs="Arial"/>
          <w:sz w:val="24"/>
          <w:szCs w:val="24"/>
        </w:rPr>
        <w:t xml:space="preserve">Growing the Economy. Sustainable Built and Natural Environment. </w:t>
      </w:r>
      <w:r w:rsidR="00A37CC8">
        <w:rPr>
          <w:rFonts w:ascii="Arial" w:hAnsi="Arial" w:cs="Arial"/>
          <w:sz w:val="24"/>
          <w:szCs w:val="24"/>
        </w:rPr>
        <w:t>How we do Business</w:t>
      </w:r>
    </w:p>
    <w:p w:rsidR="00B66D3F" w:rsidRDefault="00B66D3F" w:rsidP="002B3A51">
      <w:pPr>
        <w:pStyle w:val="NoSpacing"/>
        <w:spacing w:after="60"/>
        <w:ind w:left="714"/>
        <w:rPr>
          <w:rFonts w:cs="Arial"/>
          <w:szCs w:val="24"/>
        </w:rPr>
      </w:pPr>
    </w:p>
    <w:p w:rsidR="00C6138A" w:rsidRPr="00BD76C9" w:rsidRDefault="00C6138A" w:rsidP="00AF53EA">
      <w:pPr>
        <w:spacing w:after="120"/>
        <w:rPr>
          <w:rFonts w:cs="Arial"/>
          <w:szCs w:val="24"/>
        </w:rPr>
      </w:pPr>
      <w:r w:rsidRPr="00A37CC8">
        <w:rPr>
          <w:rFonts w:cs="Arial"/>
          <w:szCs w:val="24"/>
        </w:rPr>
        <w:t xml:space="preserve">This Policy has been prepared to help meet </w:t>
      </w:r>
      <w:r w:rsidRPr="00BD76C9">
        <w:rPr>
          <w:rFonts w:cs="Arial"/>
          <w:szCs w:val="24"/>
        </w:rPr>
        <w:t xml:space="preserve">the City of Greater Geelong’s strategic directions. It also supports the aims of existing Council Policies and Strategies </w:t>
      </w:r>
      <w:r w:rsidR="004C23CF">
        <w:rPr>
          <w:rFonts w:cs="Arial"/>
          <w:szCs w:val="24"/>
        </w:rPr>
        <w:t>which are listed in the References section of this policy document.</w:t>
      </w:r>
    </w:p>
    <w:p w:rsidR="001B619D" w:rsidRPr="00BD76C9" w:rsidRDefault="001B619D">
      <w:pPr>
        <w:rPr>
          <w:rFonts w:cs="Arial"/>
        </w:rPr>
      </w:pPr>
    </w:p>
    <w:p w:rsidR="00C6138A" w:rsidRPr="00BD76C9" w:rsidRDefault="00C6138A" w:rsidP="00C6138A">
      <w:pPr>
        <w:rPr>
          <w:rFonts w:cs="Arial"/>
          <w:szCs w:val="24"/>
        </w:rPr>
      </w:pPr>
      <w:r w:rsidRPr="00BD76C9">
        <w:rPr>
          <w:rFonts w:cs="Arial"/>
          <w:szCs w:val="24"/>
        </w:rPr>
        <w:t xml:space="preserve">The aim of the Sustainable Building Policy is to guide and influence organisational practices to manage the social, environmental and financial aspects of Council Buildings. It will facilitate a coordinated approach to management of buildings by Council Departments and provide clear commitments to achieve sustainability standards in Council buildings. </w:t>
      </w:r>
    </w:p>
    <w:p w:rsidR="00C6138A" w:rsidRPr="00BD76C9" w:rsidRDefault="00C6138A" w:rsidP="00C6138A">
      <w:pPr>
        <w:rPr>
          <w:rFonts w:cs="Arial"/>
          <w:szCs w:val="24"/>
        </w:rPr>
      </w:pPr>
    </w:p>
    <w:p w:rsidR="00C6138A" w:rsidRPr="00BD76C9" w:rsidRDefault="00C6138A" w:rsidP="00AF53EA">
      <w:pPr>
        <w:spacing w:after="120"/>
        <w:rPr>
          <w:rFonts w:cs="Arial"/>
          <w:szCs w:val="24"/>
        </w:rPr>
      </w:pPr>
      <w:r w:rsidRPr="00BD76C9">
        <w:rPr>
          <w:rFonts w:cs="Arial"/>
          <w:szCs w:val="24"/>
        </w:rPr>
        <w:t xml:space="preserve">The Policy will </w:t>
      </w:r>
      <w:r w:rsidR="002770B3">
        <w:rPr>
          <w:rFonts w:cs="Arial"/>
          <w:szCs w:val="24"/>
        </w:rPr>
        <w:t xml:space="preserve">aim to </w:t>
      </w:r>
      <w:r w:rsidRPr="00BD76C9">
        <w:rPr>
          <w:rFonts w:cs="Arial"/>
          <w:szCs w:val="24"/>
        </w:rPr>
        <w:t>deliver a range of improved sustainability outcomes and benefits to Council, the community and the environment including:</w:t>
      </w:r>
    </w:p>
    <w:p w:rsidR="00C6138A" w:rsidRPr="00BD76C9" w:rsidRDefault="00C6138A" w:rsidP="00AF53EA">
      <w:pPr>
        <w:spacing w:after="60"/>
        <w:rPr>
          <w:rFonts w:cs="Arial"/>
          <w:szCs w:val="24"/>
        </w:rPr>
      </w:pPr>
      <w:r w:rsidRPr="00BD76C9">
        <w:rPr>
          <w:rFonts w:cs="Arial"/>
          <w:szCs w:val="24"/>
        </w:rPr>
        <w:t xml:space="preserve">Social benefits </w:t>
      </w:r>
    </w:p>
    <w:p w:rsidR="00C6138A" w:rsidRPr="00BD76C9" w:rsidRDefault="00C6138A" w:rsidP="00AF53EA">
      <w:pPr>
        <w:numPr>
          <w:ilvl w:val="0"/>
          <w:numId w:val="28"/>
        </w:numPr>
        <w:spacing w:after="60"/>
        <w:ind w:left="714" w:hanging="357"/>
        <w:rPr>
          <w:rFonts w:cs="Arial"/>
          <w:szCs w:val="24"/>
        </w:rPr>
      </w:pPr>
      <w:r w:rsidRPr="00BD76C9">
        <w:rPr>
          <w:rFonts w:cs="Arial"/>
          <w:szCs w:val="24"/>
        </w:rPr>
        <w:t xml:space="preserve">A healthier workplace for staff </w:t>
      </w:r>
    </w:p>
    <w:p w:rsidR="00C6138A" w:rsidRPr="00BD76C9" w:rsidRDefault="00C6138A" w:rsidP="00AF53EA">
      <w:pPr>
        <w:numPr>
          <w:ilvl w:val="0"/>
          <w:numId w:val="28"/>
        </w:numPr>
        <w:spacing w:after="60"/>
        <w:ind w:left="714" w:hanging="357"/>
        <w:rPr>
          <w:rFonts w:cs="Arial"/>
          <w:szCs w:val="24"/>
        </w:rPr>
      </w:pPr>
      <w:r w:rsidRPr="00BD76C9">
        <w:rPr>
          <w:rFonts w:cs="Arial"/>
          <w:szCs w:val="24"/>
        </w:rPr>
        <w:t>Demonstration of corporate responsibility and leadership to the community on sustainability and environmental issues</w:t>
      </w:r>
    </w:p>
    <w:p w:rsidR="00C6138A" w:rsidRPr="00BD76C9" w:rsidRDefault="00C6138A" w:rsidP="00AF53EA">
      <w:pPr>
        <w:numPr>
          <w:ilvl w:val="0"/>
          <w:numId w:val="28"/>
        </w:numPr>
        <w:spacing w:after="60"/>
        <w:ind w:left="714" w:hanging="357"/>
        <w:rPr>
          <w:rFonts w:cs="Arial"/>
          <w:szCs w:val="24"/>
        </w:rPr>
      </w:pPr>
      <w:r w:rsidRPr="00BD76C9">
        <w:rPr>
          <w:rFonts w:cs="Arial"/>
          <w:szCs w:val="24"/>
        </w:rPr>
        <w:t>Improved Council reputation and a boost to staff and community pride</w:t>
      </w:r>
    </w:p>
    <w:p w:rsidR="00C6138A" w:rsidRDefault="00C6138A" w:rsidP="00AF53EA">
      <w:pPr>
        <w:numPr>
          <w:ilvl w:val="0"/>
          <w:numId w:val="28"/>
        </w:numPr>
        <w:spacing w:after="60"/>
        <w:ind w:left="714" w:hanging="357"/>
        <w:rPr>
          <w:rFonts w:cs="Arial"/>
          <w:szCs w:val="24"/>
        </w:rPr>
      </w:pPr>
      <w:r w:rsidRPr="0038282F">
        <w:rPr>
          <w:rFonts w:cs="Arial"/>
          <w:szCs w:val="24"/>
        </w:rPr>
        <w:t xml:space="preserve">Making Council buildings more resilient and comfortable </w:t>
      </w:r>
    </w:p>
    <w:p w:rsidR="0038282F" w:rsidRPr="0038282F" w:rsidRDefault="0038282F" w:rsidP="0038282F">
      <w:pPr>
        <w:ind w:left="720"/>
        <w:rPr>
          <w:rFonts w:cs="Arial"/>
          <w:szCs w:val="24"/>
        </w:rPr>
      </w:pPr>
    </w:p>
    <w:p w:rsidR="00C6138A" w:rsidRPr="00BD76C9" w:rsidRDefault="00C6138A" w:rsidP="00AF53EA">
      <w:pPr>
        <w:spacing w:after="60"/>
        <w:rPr>
          <w:rFonts w:cs="Arial"/>
          <w:szCs w:val="24"/>
        </w:rPr>
      </w:pPr>
      <w:r w:rsidRPr="00BD76C9">
        <w:rPr>
          <w:rFonts w:cs="Arial"/>
          <w:szCs w:val="24"/>
        </w:rPr>
        <w:t>Economic benefits</w:t>
      </w:r>
    </w:p>
    <w:p w:rsidR="00C6138A" w:rsidRPr="00BD76C9" w:rsidRDefault="00C6138A" w:rsidP="00AF53EA">
      <w:pPr>
        <w:numPr>
          <w:ilvl w:val="0"/>
          <w:numId w:val="29"/>
        </w:numPr>
        <w:spacing w:after="60"/>
        <w:rPr>
          <w:rFonts w:cs="Arial"/>
          <w:szCs w:val="24"/>
        </w:rPr>
      </w:pPr>
      <w:r w:rsidRPr="00BD76C9">
        <w:rPr>
          <w:rFonts w:cs="Arial"/>
          <w:szCs w:val="24"/>
        </w:rPr>
        <w:t>Future proofed assets</w:t>
      </w:r>
    </w:p>
    <w:p w:rsidR="00C6138A" w:rsidRPr="00BD76C9" w:rsidRDefault="00C6138A" w:rsidP="00AF53EA">
      <w:pPr>
        <w:numPr>
          <w:ilvl w:val="0"/>
          <w:numId w:val="29"/>
        </w:numPr>
        <w:spacing w:after="60"/>
        <w:rPr>
          <w:rFonts w:cs="Arial"/>
          <w:szCs w:val="24"/>
        </w:rPr>
      </w:pPr>
      <w:r w:rsidRPr="00BD76C9">
        <w:rPr>
          <w:rFonts w:cs="Arial"/>
          <w:szCs w:val="24"/>
        </w:rPr>
        <w:t>Lower operating costs through energy and water efficiencies</w:t>
      </w:r>
    </w:p>
    <w:p w:rsidR="00C6138A" w:rsidRPr="00BD76C9" w:rsidRDefault="00C6138A" w:rsidP="00AF53EA">
      <w:pPr>
        <w:numPr>
          <w:ilvl w:val="0"/>
          <w:numId w:val="29"/>
        </w:numPr>
        <w:spacing w:after="60"/>
        <w:rPr>
          <w:rFonts w:cs="Arial"/>
          <w:szCs w:val="24"/>
        </w:rPr>
      </w:pPr>
      <w:r w:rsidRPr="00BD76C9">
        <w:rPr>
          <w:rFonts w:cs="Arial"/>
          <w:szCs w:val="24"/>
        </w:rPr>
        <w:t>Management of the financial risks of rising utility prices</w:t>
      </w:r>
    </w:p>
    <w:p w:rsidR="00C6138A" w:rsidRPr="00BD76C9" w:rsidRDefault="00C6138A" w:rsidP="00AF53EA">
      <w:pPr>
        <w:numPr>
          <w:ilvl w:val="0"/>
          <w:numId w:val="29"/>
        </w:numPr>
        <w:spacing w:after="60"/>
        <w:rPr>
          <w:rFonts w:cs="Arial"/>
          <w:szCs w:val="24"/>
        </w:rPr>
      </w:pPr>
      <w:r w:rsidRPr="00BD76C9">
        <w:rPr>
          <w:rFonts w:cs="Arial"/>
          <w:szCs w:val="24"/>
        </w:rPr>
        <w:t>Improved financial perf</w:t>
      </w:r>
      <w:r w:rsidR="00B962D9">
        <w:rPr>
          <w:rFonts w:cs="Arial"/>
          <w:szCs w:val="24"/>
        </w:rPr>
        <w:t>ormance through a whole-of-life</w:t>
      </w:r>
      <w:r w:rsidRPr="00BD76C9">
        <w:rPr>
          <w:rFonts w:cs="Arial"/>
          <w:szCs w:val="24"/>
        </w:rPr>
        <w:t>cycle approach to managing Council buildings</w:t>
      </w:r>
    </w:p>
    <w:p w:rsidR="00C6138A" w:rsidRPr="00BD76C9" w:rsidRDefault="00C6138A" w:rsidP="00AF53EA">
      <w:pPr>
        <w:numPr>
          <w:ilvl w:val="0"/>
          <w:numId w:val="29"/>
        </w:numPr>
        <w:spacing w:after="60"/>
        <w:rPr>
          <w:rFonts w:cs="Arial"/>
          <w:szCs w:val="24"/>
        </w:rPr>
      </w:pPr>
      <w:r w:rsidRPr="00BD76C9">
        <w:rPr>
          <w:rFonts w:cs="Arial"/>
          <w:szCs w:val="24"/>
        </w:rPr>
        <w:t>Competitive advantage when applying for grants and funding opportunities</w:t>
      </w:r>
      <w:r w:rsidR="002770B3">
        <w:rPr>
          <w:rFonts w:cs="Arial"/>
          <w:szCs w:val="24"/>
        </w:rPr>
        <w:t xml:space="preserve"> which require ESD consideration</w:t>
      </w:r>
    </w:p>
    <w:p w:rsidR="00B66D3F" w:rsidRDefault="00C6138A" w:rsidP="002B3A51">
      <w:pPr>
        <w:spacing w:after="60"/>
        <w:ind w:left="720"/>
        <w:rPr>
          <w:rFonts w:cs="Arial"/>
          <w:szCs w:val="24"/>
        </w:rPr>
      </w:pPr>
      <w:r w:rsidRPr="00BD76C9">
        <w:rPr>
          <w:rFonts w:cs="Arial"/>
          <w:szCs w:val="24"/>
        </w:rPr>
        <w:t>A more productive workplace</w:t>
      </w:r>
    </w:p>
    <w:p w:rsidR="00C6138A" w:rsidRPr="002770B3" w:rsidRDefault="00C6138A" w:rsidP="00AF53EA">
      <w:pPr>
        <w:spacing w:after="60"/>
        <w:rPr>
          <w:rFonts w:cs="Arial"/>
          <w:szCs w:val="24"/>
        </w:rPr>
      </w:pPr>
      <w:r w:rsidRPr="002770B3">
        <w:rPr>
          <w:rFonts w:cs="Arial"/>
          <w:szCs w:val="24"/>
        </w:rPr>
        <w:t>Environmental benefits</w:t>
      </w:r>
    </w:p>
    <w:p w:rsidR="00C6138A" w:rsidRPr="00BD76C9" w:rsidRDefault="00C6138A" w:rsidP="00AF53EA">
      <w:pPr>
        <w:numPr>
          <w:ilvl w:val="0"/>
          <w:numId w:val="30"/>
        </w:numPr>
        <w:spacing w:after="60"/>
        <w:rPr>
          <w:rFonts w:cs="Arial"/>
          <w:szCs w:val="24"/>
        </w:rPr>
      </w:pPr>
      <w:r w:rsidRPr="002770B3">
        <w:rPr>
          <w:rFonts w:cs="Arial"/>
          <w:szCs w:val="24"/>
        </w:rPr>
        <w:t>Redu</w:t>
      </w:r>
      <w:r w:rsidRPr="00BD76C9">
        <w:rPr>
          <w:rFonts w:cs="Arial"/>
          <w:szCs w:val="24"/>
        </w:rPr>
        <w:t>ced demand for limited and non-renewable resources such as water, materials and fossil fuel based energy</w:t>
      </w:r>
    </w:p>
    <w:p w:rsidR="00C6138A" w:rsidRPr="00BD76C9" w:rsidRDefault="00C6138A" w:rsidP="00AF53EA">
      <w:pPr>
        <w:numPr>
          <w:ilvl w:val="0"/>
          <w:numId w:val="30"/>
        </w:numPr>
        <w:spacing w:after="60"/>
        <w:rPr>
          <w:rFonts w:cs="Arial"/>
          <w:szCs w:val="24"/>
        </w:rPr>
      </w:pPr>
      <w:r w:rsidRPr="00BD76C9">
        <w:rPr>
          <w:rFonts w:cs="Arial"/>
          <w:szCs w:val="24"/>
        </w:rPr>
        <w:t>Reduced greenhouse gas emissions</w:t>
      </w:r>
    </w:p>
    <w:p w:rsidR="00C6138A" w:rsidRDefault="00C6138A" w:rsidP="00AF53EA">
      <w:pPr>
        <w:numPr>
          <w:ilvl w:val="0"/>
          <w:numId w:val="30"/>
        </w:numPr>
        <w:spacing w:after="60"/>
        <w:rPr>
          <w:rFonts w:cs="Arial"/>
          <w:szCs w:val="24"/>
        </w:rPr>
      </w:pPr>
      <w:r w:rsidRPr="00BD76C9">
        <w:rPr>
          <w:rFonts w:cs="Arial"/>
          <w:szCs w:val="24"/>
        </w:rPr>
        <w:t>Reduced pollution, toxic by-products and waste production</w:t>
      </w:r>
    </w:p>
    <w:p w:rsidR="002770B3" w:rsidRPr="00BD76C9" w:rsidRDefault="002770B3" w:rsidP="00AF53EA">
      <w:pPr>
        <w:numPr>
          <w:ilvl w:val="0"/>
          <w:numId w:val="30"/>
        </w:numPr>
        <w:spacing w:after="60"/>
        <w:rPr>
          <w:rFonts w:cs="Arial"/>
          <w:szCs w:val="24"/>
        </w:rPr>
      </w:pPr>
      <w:r>
        <w:rPr>
          <w:rFonts w:cs="Arial"/>
          <w:szCs w:val="24"/>
        </w:rPr>
        <w:t>Provide leadership to the community</w:t>
      </w:r>
    </w:p>
    <w:p w:rsidR="00C6138A" w:rsidRDefault="00C6138A"/>
    <w:p w:rsidR="003407F8" w:rsidRPr="00AC4397" w:rsidRDefault="003407F8" w:rsidP="003407F8">
      <w:pPr>
        <w:rPr>
          <w:szCs w:val="24"/>
        </w:rPr>
      </w:pPr>
      <w:r w:rsidRPr="00AC4397">
        <w:rPr>
          <w:szCs w:val="24"/>
        </w:rPr>
        <w:t xml:space="preserve">The Policy is supported by the </w:t>
      </w:r>
      <w:r w:rsidRPr="006E0752">
        <w:rPr>
          <w:szCs w:val="24"/>
        </w:rPr>
        <w:t>Sustainable Building Management Plan</w:t>
      </w:r>
      <w:r w:rsidRPr="00AC4397">
        <w:rPr>
          <w:szCs w:val="24"/>
        </w:rPr>
        <w:t xml:space="preserve"> which provides a comprehensive overview of actions and processes to achieve sustainable Council buildings. It provides further detail to the Policy objectives and should be used as an ongoing resource for implementation, development and review of the Policy.</w:t>
      </w:r>
    </w:p>
    <w:p w:rsidR="003407F8" w:rsidRDefault="003407F8"/>
    <w:p w:rsidR="009629D8" w:rsidRPr="0028783A" w:rsidRDefault="0028783A" w:rsidP="0007503E">
      <w:pPr>
        <w:pStyle w:val="Heading3"/>
      </w:pPr>
      <w:bookmarkStart w:id="4" w:name="_Toc317158705"/>
      <w:r w:rsidRPr="0028783A">
        <w:lastRenderedPageBreak/>
        <w:t>5.2</w:t>
      </w:r>
      <w:r w:rsidR="009629D8" w:rsidRPr="0028783A">
        <w:t>. Guiding Principles</w:t>
      </w:r>
      <w:bookmarkEnd w:id="4"/>
    </w:p>
    <w:p w:rsidR="009629D8" w:rsidRPr="002C6083" w:rsidRDefault="0028783A" w:rsidP="009629D8">
      <w:pPr>
        <w:rPr>
          <w:rFonts w:cstheme="minorHAnsi"/>
          <w:szCs w:val="24"/>
        </w:rPr>
      </w:pPr>
      <w:bookmarkStart w:id="5" w:name="_Toc317158706"/>
      <w:r>
        <w:rPr>
          <w:rFonts w:cstheme="minorHAnsi"/>
          <w:szCs w:val="24"/>
        </w:rPr>
        <w:t>5.2</w:t>
      </w:r>
      <w:r w:rsidR="009629D8" w:rsidRPr="002C6083">
        <w:rPr>
          <w:rFonts w:cstheme="minorHAnsi"/>
          <w:szCs w:val="24"/>
        </w:rPr>
        <w:t>.1. Financial Responsibility</w:t>
      </w:r>
      <w:bookmarkEnd w:id="5"/>
    </w:p>
    <w:p w:rsidR="009629D8" w:rsidRPr="002C6083" w:rsidRDefault="009629D8" w:rsidP="009629D8">
      <w:pPr>
        <w:rPr>
          <w:rFonts w:cstheme="minorHAnsi"/>
          <w:szCs w:val="24"/>
        </w:rPr>
      </w:pPr>
      <w:r w:rsidRPr="002C6083">
        <w:rPr>
          <w:rFonts w:cstheme="minorHAnsi"/>
          <w:szCs w:val="24"/>
        </w:rPr>
        <w:t>Council has a financial responsibility to deliver sustainable buildings that are affordable and represent value for money</w:t>
      </w:r>
      <w:r w:rsidR="00B962D9">
        <w:rPr>
          <w:rFonts w:cstheme="minorHAnsi"/>
          <w:szCs w:val="24"/>
        </w:rPr>
        <w:t xml:space="preserve"> while achieving improvements in sustainability</w:t>
      </w:r>
      <w:r w:rsidRPr="002C6083">
        <w:rPr>
          <w:rFonts w:cstheme="minorHAnsi"/>
          <w:szCs w:val="24"/>
        </w:rPr>
        <w:t xml:space="preserve">. </w:t>
      </w:r>
    </w:p>
    <w:p w:rsidR="002B5793" w:rsidRDefault="002B5793" w:rsidP="009629D8">
      <w:pPr>
        <w:rPr>
          <w:rFonts w:cstheme="minorHAnsi"/>
          <w:szCs w:val="24"/>
        </w:rPr>
      </w:pPr>
    </w:p>
    <w:p w:rsidR="00B962D9" w:rsidRPr="002C6083" w:rsidRDefault="009629D8" w:rsidP="00B962D9">
      <w:pPr>
        <w:rPr>
          <w:rFonts w:cstheme="minorHAnsi"/>
          <w:szCs w:val="24"/>
        </w:rPr>
      </w:pPr>
      <w:r w:rsidRPr="002C6083">
        <w:rPr>
          <w:rFonts w:cstheme="minorHAnsi"/>
          <w:szCs w:val="24"/>
        </w:rPr>
        <w:t>The cost of buildi</w:t>
      </w:r>
      <w:r w:rsidR="00B962D9">
        <w:rPr>
          <w:rFonts w:cstheme="minorHAnsi"/>
          <w:szCs w:val="24"/>
        </w:rPr>
        <w:t xml:space="preserve">ngs </w:t>
      </w:r>
      <w:r w:rsidR="000E5154">
        <w:rPr>
          <w:rFonts w:cstheme="minorHAnsi"/>
          <w:szCs w:val="24"/>
        </w:rPr>
        <w:t xml:space="preserve">and upgrades </w:t>
      </w:r>
      <w:r w:rsidR="00B962D9">
        <w:rPr>
          <w:rFonts w:cstheme="minorHAnsi"/>
          <w:szCs w:val="24"/>
        </w:rPr>
        <w:t>will be considered on a whole-of-life</w:t>
      </w:r>
      <w:r w:rsidRPr="002C6083">
        <w:rPr>
          <w:rFonts w:cstheme="minorHAnsi"/>
          <w:szCs w:val="24"/>
        </w:rPr>
        <w:t>cycle basis when considering the benefits and financial costs.</w:t>
      </w:r>
      <w:r w:rsidR="00B962D9">
        <w:rPr>
          <w:rFonts w:cstheme="minorHAnsi"/>
          <w:szCs w:val="24"/>
        </w:rPr>
        <w:t xml:space="preserve"> </w:t>
      </w:r>
      <w:r w:rsidR="00B962D9" w:rsidRPr="002C6083">
        <w:rPr>
          <w:rFonts w:cstheme="minorHAnsi"/>
          <w:szCs w:val="24"/>
        </w:rPr>
        <w:t>The sustainable design features of a project should be considered as a</w:t>
      </w:r>
      <w:r w:rsidR="00B962D9" w:rsidRPr="00A478E8">
        <w:rPr>
          <w:rFonts w:cstheme="minorHAnsi"/>
          <w:szCs w:val="24"/>
          <w:lang w:val="en-GB"/>
        </w:rPr>
        <w:t xml:space="preserve"> </w:t>
      </w:r>
      <w:r w:rsidR="00A478E8" w:rsidRPr="00A478E8">
        <w:rPr>
          <w:rFonts w:cstheme="minorHAnsi"/>
          <w:szCs w:val="24"/>
        </w:rPr>
        <w:t>holistic</w:t>
      </w:r>
      <w:r w:rsidR="00B962D9" w:rsidRPr="002C6083">
        <w:rPr>
          <w:rFonts w:cstheme="minorHAnsi"/>
          <w:szCs w:val="24"/>
        </w:rPr>
        <w:t xml:space="preserve"> packa</w:t>
      </w:r>
      <w:r w:rsidR="000E5154">
        <w:rPr>
          <w:rFonts w:cstheme="minorHAnsi"/>
          <w:szCs w:val="24"/>
        </w:rPr>
        <w:t>ge which should aim to meet a 7</w:t>
      </w:r>
      <w:r w:rsidR="00B962D9" w:rsidRPr="002C6083">
        <w:rPr>
          <w:rFonts w:cstheme="minorHAnsi"/>
          <w:szCs w:val="24"/>
        </w:rPr>
        <w:t xml:space="preserve"> year simple payback period.</w:t>
      </w:r>
    </w:p>
    <w:p w:rsidR="002B5793" w:rsidRDefault="002B5793" w:rsidP="009629D8">
      <w:pPr>
        <w:rPr>
          <w:rFonts w:cstheme="minorHAnsi"/>
          <w:szCs w:val="24"/>
        </w:rPr>
      </w:pPr>
    </w:p>
    <w:p w:rsidR="009629D8" w:rsidRPr="002C6083" w:rsidRDefault="009629D8" w:rsidP="009629D8">
      <w:pPr>
        <w:rPr>
          <w:rFonts w:cstheme="minorHAnsi"/>
          <w:szCs w:val="24"/>
        </w:rPr>
      </w:pPr>
      <w:r w:rsidRPr="002C6083">
        <w:rPr>
          <w:rFonts w:cstheme="minorHAnsi"/>
          <w:szCs w:val="24"/>
        </w:rPr>
        <w:t>Council’s procurement will be carried out on the basis of obtaining value for money. Lowest cost is not necessarily an indicator of value for money and social and environmental factors should be balanced with economic considerations.</w:t>
      </w:r>
    </w:p>
    <w:p w:rsidR="009629D8" w:rsidRPr="002C6083" w:rsidRDefault="009629D8" w:rsidP="009629D8">
      <w:pPr>
        <w:rPr>
          <w:rFonts w:cstheme="minorHAnsi"/>
          <w:szCs w:val="24"/>
        </w:rPr>
      </w:pPr>
      <w:r w:rsidRPr="002C6083">
        <w:rPr>
          <w:rFonts w:cstheme="minorHAnsi"/>
          <w:szCs w:val="24"/>
        </w:rPr>
        <w:t>Ongoing maintenance and performance costs will be considered in the design and delivery of new buildings.</w:t>
      </w:r>
    </w:p>
    <w:p w:rsidR="0038282F" w:rsidRDefault="0038282F" w:rsidP="009629D8">
      <w:bookmarkStart w:id="6" w:name="_Toc317158707"/>
    </w:p>
    <w:p w:rsidR="009629D8" w:rsidRPr="00AC4397" w:rsidRDefault="0028783A" w:rsidP="009629D8">
      <w:r>
        <w:t>5.2</w:t>
      </w:r>
      <w:r w:rsidR="009629D8" w:rsidRPr="00AC4397">
        <w:t>.2. Sustainability</w:t>
      </w:r>
      <w:bookmarkEnd w:id="6"/>
    </w:p>
    <w:p w:rsidR="009629D8" w:rsidRPr="00AC4397" w:rsidRDefault="009629D8" w:rsidP="00B962D9">
      <w:r w:rsidRPr="00AC4397">
        <w:t>Sustainability is a balanced consideration of social, environmental and economic factors that meets the needs of the present without compromising the needs of future generations.</w:t>
      </w:r>
      <w:r w:rsidR="00B962D9">
        <w:t xml:space="preserve"> </w:t>
      </w:r>
    </w:p>
    <w:p w:rsidR="002B5793" w:rsidRDefault="002B5793" w:rsidP="009629D8">
      <w:bookmarkStart w:id="7" w:name="_Toc317158708"/>
    </w:p>
    <w:p w:rsidR="009629D8" w:rsidRPr="00AC4397" w:rsidRDefault="0028783A" w:rsidP="009629D8">
      <w:r>
        <w:t>5.2.3. Environmentally</w:t>
      </w:r>
      <w:r w:rsidR="009629D8" w:rsidRPr="00AC4397">
        <w:t xml:space="preserve"> Sustainable Building</w:t>
      </w:r>
      <w:bookmarkEnd w:id="7"/>
    </w:p>
    <w:p w:rsidR="009629D8" w:rsidRPr="002C6083" w:rsidRDefault="009629D8" w:rsidP="0038282F">
      <w:pPr>
        <w:spacing w:after="120"/>
        <w:rPr>
          <w:rFonts w:cstheme="minorHAnsi"/>
          <w:szCs w:val="24"/>
        </w:rPr>
      </w:pPr>
      <w:r w:rsidRPr="002C6083">
        <w:rPr>
          <w:rFonts w:cstheme="minorHAnsi"/>
          <w:szCs w:val="24"/>
        </w:rPr>
        <w:t>A</w:t>
      </w:r>
      <w:r w:rsidR="0028783A">
        <w:rPr>
          <w:rFonts w:cstheme="minorHAnsi"/>
          <w:szCs w:val="24"/>
        </w:rPr>
        <w:t xml:space="preserve">n environmentally </w:t>
      </w:r>
      <w:r w:rsidRPr="002C6083">
        <w:rPr>
          <w:rFonts w:cstheme="minorHAnsi"/>
          <w:szCs w:val="24"/>
        </w:rPr>
        <w:t>sustainable building combines design, construction and operational practices to significantly reduce negative impacts on both people and the environment by following the principles of:</w:t>
      </w:r>
    </w:p>
    <w:p w:rsidR="002B5793" w:rsidRDefault="009629D8" w:rsidP="00AF53EA">
      <w:pPr>
        <w:numPr>
          <w:ilvl w:val="0"/>
          <w:numId w:val="31"/>
        </w:numPr>
        <w:spacing w:after="60"/>
        <w:ind w:left="714" w:hanging="357"/>
        <w:rPr>
          <w:rFonts w:cstheme="minorHAnsi"/>
          <w:szCs w:val="24"/>
        </w:rPr>
      </w:pPr>
      <w:r w:rsidRPr="002C6083">
        <w:rPr>
          <w:rFonts w:cstheme="minorHAnsi"/>
          <w:szCs w:val="24"/>
        </w:rPr>
        <w:t>Energy efficiency</w:t>
      </w:r>
    </w:p>
    <w:p w:rsidR="002B5793" w:rsidRDefault="009629D8" w:rsidP="00AF53EA">
      <w:pPr>
        <w:numPr>
          <w:ilvl w:val="0"/>
          <w:numId w:val="31"/>
        </w:numPr>
        <w:spacing w:after="60"/>
        <w:ind w:left="714" w:hanging="357"/>
        <w:rPr>
          <w:rFonts w:cstheme="minorHAnsi"/>
          <w:szCs w:val="24"/>
        </w:rPr>
      </w:pPr>
      <w:r w:rsidRPr="002B5793">
        <w:rPr>
          <w:rFonts w:cstheme="minorHAnsi"/>
          <w:szCs w:val="24"/>
        </w:rPr>
        <w:t>Reduct</w:t>
      </w:r>
      <w:r w:rsidR="002B5793">
        <w:rPr>
          <w:rFonts w:cstheme="minorHAnsi"/>
          <w:szCs w:val="24"/>
        </w:rPr>
        <w:t>ion of greenhouse gas emissions</w:t>
      </w:r>
    </w:p>
    <w:p w:rsidR="002B5793" w:rsidRDefault="002B5793" w:rsidP="00AF53EA">
      <w:pPr>
        <w:numPr>
          <w:ilvl w:val="0"/>
          <w:numId w:val="31"/>
        </w:numPr>
        <w:spacing w:after="60"/>
        <w:ind w:left="714" w:hanging="357"/>
        <w:rPr>
          <w:rFonts w:cstheme="minorHAnsi"/>
          <w:szCs w:val="24"/>
        </w:rPr>
      </w:pPr>
      <w:r>
        <w:rPr>
          <w:rFonts w:cstheme="minorHAnsi"/>
          <w:szCs w:val="24"/>
        </w:rPr>
        <w:t>Water conservation</w:t>
      </w:r>
    </w:p>
    <w:p w:rsidR="002B5793" w:rsidRDefault="009629D8" w:rsidP="00AF53EA">
      <w:pPr>
        <w:numPr>
          <w:ilvl w:val="0"/>
          <w:numId w:val="31"/>
        </w:numPr>
        <w:spacing w:after="60"/>
        <w:ind w:left="714" w:hanging="357"/>
        <w:rPr>
          <w:rFonts w:cstheme="minorHAnsi"/>
          <w:szCs w:val="24"/>
        </w:rPr>
      </w:pPr>
      <w:r w:rsidRPr="002B5793">
        <w:rPr>
          <w:rFonts w:cstheme="minorHAnsi"/>
          <w:szCs w:val="24"/>
        </w:rPr>
        <w:t>Waste</w:t>
      </w:r>
      <w:r w:rsidR="002B5793">
        <w:rPr>
          <w:rFonts w:cstheme="minorHAnsi"/>
          <w:szCs w:val="24"/>
        </w:rPr>
        <w:t xml:space="preserve"> avoidance, reuse and recycling</w:t>
      </w:r>
    </w:p>
    <w:p w:rsidR="002B5793" w:rsidRDefault="002B5793" w:rsidP="00AF53EA">
      <w:pPr>
        <w:numPr>
          <w:ilvl w:val="0"/>
          <w:numId w:val="31"/>
        </w:numPr>
        <w:spacing w:after="60"/>
        <w:ind w:left="714" w:hanging="357"/>
        <w:rPr>
          <w:rFonts w:cstheme="minorHAnsi"/>
          <w:szCs w:val="24"/>
        </w:rPr>
      </w:pPr>
      <w:r>
        <w:rPr>
          <w:rFonts w:cstheme="minorHAnsi"/>
          <w:szCs w:val="24"/>
        </w:rPr>
        <w:t>Pollution prevention</w:t>
      </w:r>
    </w:p>
    <w:p w:rsidR="002B5793" w:rsidRDefault="002B5793" w:rsidP="00AF53EA">
      <w:pPr>
        <w:numPr>
          <w:ilvl w:val="0"/>
          <w:numId w:val="31"/>
        </w:numPr>
        <w:spacing w:after="60"/>
        <w:ind w:left="714" w:hanging="357"/>
        <w:rPr>
          <w:rFonts w:cstheme="minorHAnsi"/>
          <w:szCs w:val="24"/>
        </w:rPr>
      </w:pPr>
      <w:r>
        <w:rPr>
          <w:rFonts w:cstheme="minorHAnsi"/>
          <w:szCs w:val="24"/>
        </w:rPr>
        <w:t>Enhanced biodiversity</w:t>
      </w:r>
    </w:p>
    <w:p w:rsidR="002B5793" w:rsidRDefault="009629D8" w:rsidP="00AF53EA">
      <w:pPr>
        <w:numPr>
          <w:ilvl w:val="0"/>
          <w:numId w:val="31"/>
        </w:numPr>
        <w:spacing w:after="60"/>
        <w:ind w:left="714" w:hanging="357"/>
        <w:rPr>
          <w:rFonts w:cstheme="minorHAnsi"/>
          <w:szCs w:val="24"/>
        </w:rPr>
      </w:pPr>
      <w:r w:rsidRPr="002B5793">
        <w:rPr>
          <w:rFonts w:cstheme="minorHAnsi"/>
          <w:szCs w:val="24"/>
        </w:rPr>
        <w:t>Reduced natural r</w:t>
      </w:r>
      <w:r w:rsidR="002B5793">
        <w:rPr>
          <w:rFonts w:cstheme="minorHAnsi"/>
          <w:szCs w:val="24"/>
        </w:rPr>
        <w:t>esource consumption</w:t>
      </w:r>
    </w:p>
    <w:p w:rsidR="002B5793" w:rsidRDefault="009629D8" w:rsidP="00AF53EA">
      <w:pPr>
        <w:numPr>
          <w:ilvl w:val="0"/>
          <w:numId w:val="31"/>
        </w:numPr>
        <w:spacing w:after="60"/>
        <w:ind w:left="714" w:hanging="357"/>
        <w:rPr>
          <w:rFonts w:cstheme="minorHAnsi"/>
          <w:szCs w:val="24"/>
        </w:rPr>
      </w:pPr>
      <w:r w:rsidRPr="002B5793">
        <w:rPr>
          <w:rFonts w:cstheme="minorHAnsi"/>
          <w:szCs w:val="24"/>
        </w:rPr>
        <w:t>Prod</w:t>
      </w:r>
      <w:r w:rsidR="002B5793">
        <w:rPr>
          <w:rFonts w:cstheme="minorHAnsi"/>
          <w:szCs w:val="24"/>
        </w:rPr>
        <w:t>uctive and healthy environments</w:t>
      </w:r>
    </w:p>
    <w:p w:rsidR="002B5793" w:rsidRDefault="009629D8" w:rsidP="00AF53EA">
      <w:pPr>
        <w:numPr>
          <w:ilvl w:val="0"/>
          <w:numId w:val="31"/>
        </w:numPr>
        <w:spacing w:after="60"/>
        <w:ind w:left="714" w:hanging="357"/>
        <w:rPr>
          <w:rFonts w:cstheme="minorHAnsi"/>
          <w:szCs w:val="24"/>
        </w:rPr>
      </w:pPr>
      <w:r w:rsidRPr="002B5793">
        <w:rPr>
          <w:rFonts w:cstheme="minorHAnsi"/>
          <w:szCs w:val="24"/>
        </w:rPr>
        <w:t>Flexible and adaptable spaces</w:t>
      </w:r>
    </w:p>
    <w:p w:rsidR="00CD33E8" w:rsidRDefault="009629D8" w:rsidP="00AF53EA">
      <w:pPr>
        <w:numPr>
          <w:ilvl w:val="0"/>
          <w:numId w:val="31"/>
        </w:numPr>
        <w:spacing w:after="60"/>
        <w:ind w:left="714" w:hanging="357"/>
        <w:rPr>
          <w:rFonts w:cstheme="minorHAnsi"/>
          <w:szCs w:val="24"/>
        </w:rPr>
      </w:pPr>
      <w:r w:rsidRPr="002B5793">
        <w:rPr>
          <w:rFonts w:cstheme="minorHAnsi"/>
          <w:szCs w:val="24"/>
        </w:rPr>
        <w:t>Sustainable transport</w:t>
      </w:r>
    </w:p>
    <w:p w:rsidR="009629D8" w:rsidRPr="00CD33E8" w:rsidRDefault="009629D8" w:rsidP="00AF53EA">
      <w:pPr>
        <w:numPr>
          <w:ilvl w:val="0"/>
          <w:numId w:val="31"/>
        </w:numPr>
        <w:spacing w:after="60"/>
        <w:ind w:left="714" w:hanging="357"/>
        <w:rPr>
          <w:rFonts w:cstheme="minorHAnsi"/>
          <w:szCs w:val="24"/>
        </w:rPr>
      </w:pPr>
      <w:r w:rsidRPr="00CD33E8">
        <w:rPr>
          <w:rFonts w:cstheme="minorHAnsi"/>
          <w:szCs w:val="24"/>
        </w:rPr>
        <w:t>Built to last and resilient to climate change</w:t>
      </w:r>
    </w:p>
    <w:p w:rsidR="00CD33E8" w:rsidRDefault="00CD33E8" w:rsidP="009629D8">
      <w:pPr>
        <w:rPr>
          <w:rFonts w:cstheme="minorHAnsi"/>
          <w:szCs w:val="24"/>
        </w:rPr>
      </w:pPr>
      <w:bookmarkStart w:id="8" w:name="_Toc317158709"/>
    </w:p>
    <w:p w:rsidR="00B962D9" w:rsidRDefault="00B962D9" w:rsidP="0038282F">
      <w:pPr>
        <w:spacing w:after="120"/>
      </w:pPr>
      <w:r w:rsidRPr="00AC4397">
        <w:t>Sustainability will be considered</w:t>
      </w:r>
      <w:r>
        <w:t>:</w:t>
      </w:r>
    </w:p>
    <w:p w:rsidR="00B962D9" w:rsidRDefault="00AF53EA" w:rsidP="00AF53EA">
      <w:pPr>
        <w:numPr>
          <w:ilvl w:val="0"/>
          <w:numId w:val="39"/>
        </w:numPr>
        <w:spacing w:after="60"/>
        <w:ind w:left="714" w:hanging="357"/>
      </w:pPr>
      <w:r>
        <w:t>T</w:t>
      </w:r>
      <w:r w:rsidR="00B962D9">
        <w:t>hroughout the whole-life</w:t>
      </w:r>
      <w:r w:rsidR="00B962D9" w:rsidRPr="00AC4397">
        <w:t>cycle of a building</w:t>
      </w:r>
    </w:p>
    <w:p w:rsidR="00B962D9" w:rsidRPr="00B962D9" w:rsidRDefault="00AF53EA" w:rsidP="00AF53EA">
      <w:pPr>
        <w:numPr>
          <w:ilvl w:val="0"/>
          <w:numId w:val="39"/>
        </w:numPr>
        <w:spacing w:after="60"/>
        <w:ind w:left="714" w:hanging="357"/>
      </w:pPr>
      <w:r>
        <w:t>A</w:t>
      </w:r>
      <w:r w:rsidR="00B962D9" w:rsidRPr="00AC4397">
        <w:t xml:space="preserve">s </w:t>
      </w:r>
      <w:r w:rsidR="00B962D9">
        <w:t>an integral part of a building</w:t>
      </w:r>
    </w:p>
    <w:p w:rsidR="00B962D9" w:rsidRDefault="00B962D9" w:rsidP="009629D8">
      <w:pPr>
        <w:rPr>
          <w:rFonts w:cstheme="minorHAnsi"/>
          <w:szCs w:val="24"/>
        </w:rPr>
      </w:pPr>
    </w:p>
    <w:p w:rsidR="009629D8" w:rsidRPr="002C6083" w:rsidRDefault="0028783A" w:rsidP="009629D8">
      <w:pPr>
        <w:rPr>
          <w:rFonts w:cstheme="minorHAnsi"/>
          <w:szCs w:val="24"/>
        </w:rPr>
      </w:pPr>
      <w:r>
        <w:rPr>
          <w:rFonts w:cstheme="minorHAnsi"/>
          <w:szCs w:val="24"/>
        </w:rPr>
        <w:t>5.2</w:t>
      </w:r>
      <w:r w:rsidR="009629D8" w:rsidRPr="002C6083">
        <w:rPr>
          <w:rFonts w:cstheme="minorHAnsi"/>
          <w:szCs w:val="24"/>
        </w:rPr>
        <w:t>.4. Working Collaboratively</w:t>
      </w:r>
      <w:bookmarkEnd w:id="8"/>
    </w:p>
    <w:p w:rsidR="009629D8" w:rsidRPr="002C6083" w:rsidRDefault="009629D8" w:rsidP="0038282F">
      <w:pPr>
        <w:spacing w:after="120"/>
        <w:rPr>
          <w:rFonts w:cstheme="minorHAnsi"/>
          <w:szCs w:val="24"/>
        </w:rPr>
      </w:pPr>
      <w:r w:rsidRPr="002C6083">
        <w:rPr>
          <w:rFonts w:cstheme="minorHAnsi"/>
          <w:szCs w:val="24"/>
        </w:rPr>
        <w:t>The City of Greater Geelong is a large organisation with a complex, and often shared, division of responsibility fo</w:t>
      </w:r>
      <w:r w:rsidR="00B962D9">
        <w:rPr>
          <w:rFonts w:cstheme="minorHAnsi"/>
          <w:szCs w:val="24"/>
        </w:rPr>
        <w:t>r managing buildings over a whole-of-life</w:t>
      </w:r>
      <w:r w:rsidRPr="002C6083">
        <w:rPr>
          <w:rFonts w:cstheme="minorHAnsi"/>
          <w:szCs w:val="24"/>
        </w:rPr>
        <w:t>cycle. Council recognises that working collaboratively is vital to delivering sustainable buildings and will:</w:t>
      </w:r>
    </w:p>
    <w:p w:rsidR="009629D8" w:rsidRPr="002C6083" w:rsidRDefault="009629D8" w:rsidP="00CD33E8">
      <w:pPr>
        <w:numPr>
          <w:ilvl w:val="0"/>
          <w:numId w:val="32"/>
        </w:numPr>
        <w:rPr>
          <w:rFonts w:cstheme="minorHAnsi"/>
          <w:szCs w:val="24"/>
        </w:rPr>
      </w:pPr>
      <w:r w:rsidRPr="002C6083">
        <w:rPr>
          <w:rFonts w:cstheme="minorHAnsi"/>
          <w:szCs w:val="24"/>
        </w:rPr>
        <w:t xml:space="preserve">Work with an ethic of consultation and collaboration where stakeholders are involved in the relevant project stages, particularly in cases where </w:t>
      </w:r>
      <w:r w:rsidRPr="002C6083">
        <w:rPr>
          <w:rFonts w:cstheme="minorHAnsi"/>
          <w:szCs w:val="24"/>
        </w:rPr>
        <w:lastRenderedPageBreak/>
        <w:t xml:space="preserve">responsibility will be handed over to another Council Department or asset manager. </w:t>
      </w:r>
    </w:p>
    <w:p w:rsidR="009629D8" w:rsidRDefault="009629D8"/>
    <w:p w:rsidR="00152901" w:rsidRPr="0028783A" w:rsidRDefault="0028783A" w:rsidP="0007503E">
      <w:pPr>
        <w:pStyle w:val="Heading3"/>
      </w:pPr>
      <w:bookmarkStart w:id="9" w:name="_Toc317158710"/>
      <w:r w:rsidRPr="0028783A">
        <w:t>5.3</w:t>
      </w:r>
      <w:r w:rsidR="00152901" w:rsidRPr="0028783A">
        <w:t>. Policy: Sustainability Standards for Buildings</w:t>
      </w:r>
      <w:bookmarkEnd w:id="9"/>
    </w:p>
    <w:p w:rsidR="00152901" w:rsidRPr="00091E81" w:rsidRDefault="0028783A" w:rsidP="00152901">
      <w:bookmarkStart w:id="10" w:name="_Toc317158711"/>
      <w:r>
        <w:t>5.3</w:t>
      </w:r>
      <w:r w:rsidR="00152901" w:rsidRPr="00091E81">
        <w:t>.1. Building Design</w:t>
      </w:r>
      <w:bookmarkEnd w:id="10"/>
    </w:p>
    <w:p w:rsidR="00152901" w:rsidRPr="00091E81" w:rsidRDefault="00152901" w:rsidP="0038282F">
      <w:pPr>
        <w:spacing w:after="120"/>
      </w:pPr>
      <w:r w:rsidRPr="00091E81">
        <w:t xml:space="preserve">New buildings and </w:t>
      </w:r>
      <w:r w:rsidR="002770B3">
        <w:t>upgrades</w:t>
      </w:r>
      <w:r w:rsidRPr="00091E81">
        <w:t xml:space="preserve"> will be designed to meet the following minimum standards:</w:t>
      </w:r>
    </w:p>
    <w:p w:rsidR="00152901" w:rsidRPr="00091E81" w:rsidRDefault="00152901" w:rsidP="00267426">
      <w:pPr>
        <w:numPr>
          <w:ilvl w:val="0"/>
          <w:numId w:val="32"/>
        </w:numPr>
        <w:spacing w:afterLines="60" w:after="144"/>
        <w:ind w:left="714" w:hanging="357"/>
      </w:pPr>
      <w:r w:rsidRPr="00091E81">
        <w:t>Large buildings will meet a 5 Star GreenStar</w:t>
      </w:r>
      <w:r w:rsidR="002770B3">
        <w:t xml:space="preserve">Design and As Built </w:t>
      </w:r>
      <w:r w:rsidRPr="00091E81">
        <w:t xml:space="preserve">rating </w:t>
      </w:r>
      <w:r w:rsidR="00B962D9">
        <w:t>or equivalent</w:t>
      </w:r>
      <w:r w:rsidRPr="00091E81">
        <w:t>.</w:t>
      </w:r>
    </w:p>
    <w:p w:rsidR="00265482" w:rsidRDefault="00152901">
      <w:pPr>
        <w:numPr>
          <w:ilvl w:val="0"/>
          <w:numId w:val="32"/>
        </w:numPr>
        <w:spacing w:afterLines="60" w:after="144"/>
        <w:rPr>
          <w:rFonts w:cstheme="minorBidi"/>
          <w:sz w:val="22"/>
          <w:szCs w:val="22"/>
        </w:rPr>
      </w:pPr>
      <w:r w:rsidRPr="00091E81">
        <w:t xml:space="preserve">Small buildings will meet an ‘Excellent’ rating on the </w:t>
      </w:r>
      <w:r w:rsidR="002770B3">
        <w:t xml:space="preserve">Built Environment </w:t>
      </w:r>
      <w:r w:rsidRPr="00091E81">
        <w:t>Sustainab</w:t>
      </w:r>
      <w:r w:rsidR="002770B3">
        <w:t>ility</w:t>
      </w:r>
      <w:r w:rsidRPr="00091E81">
        <w:t xml:space="preserve"> Scorecard for design, or equivalent.</w:t>
      </w:r>
    </w:p>
    <w:p w:rsidR="0038282F" w:rsidRDefault="0038282F" w:rsidP="00152901">
      <w:bookmarkStart w:id="11" w:name="_Toc317158712"/>
    </w:p>
    <w:p w:rsidR="002B3A51" w:rsidRDefault="0028783A" w:rsidP="002B3A51">
      <w:pPr>
        <w:tabs>
          <w:tab w:val="left" w:pos="0"/>
        </w:tabs>
      </w:pPr>
      <w:r>
        <w:t>5.3</w:t>
      </w:r>
      <w:r w:rsidR="00152901" w:rsidRPr="00091E81">
        <w:t>.2. Building Performance</w:t>
      </w:r>
      <w:bookmarkEnd w:id="11"/>
    </w:p>
    <w:p w:rsidR="00B66D3F" w:rsidRDefault="00152901" w:rsidP="002B3A51">
      <w:pPr>
        <w:tabs>
          <w:tab w:val="left" w:pos="0"/>
        </w:tabs>
      </w:pPr>
      <w:r w:rsidRPr="00091E81">
        <w:t xml:space="preserve">Existing buildings will </w:t>
      </w:r>
      <w:r w:rsidR="002770B3">
        <w:t xml:space="preserve">aim to </w:t>
      </w:r>
      <w:r w:rsidR="002770B3" w:rsidRPr="00091E81">
        <w:t>meet and maintain a 4 Star NABERS rating</w:t>
      </w:r>
      <w:r w:rsidR="002770B3">
        <w:t xml:space="preserve"> or equivalent </w:t>
      </w:r>
      <w:r w:rsidR="002770B3" w:rsidRPr="00091E81">
        <w:t>when upgrades occur</w:t>
      </w:r>
      <w:r w:rsidR="002770B3">
        <w:t>.</w:t>
      </w:r>
    </w:p>
    <w:p w:rsidR="00B6400E" w:rsidRDefault="003C52D9" w:rsidP="003C52D9">
      <w:pPr>
        <w:spacing w:after="120"/>
      </w:pPr>
      <w:bookmarkStart w:id="12" w:name="_Toc317158713"/>
      <w:r>
        <w:t xml:space="preserve"> </w:t>
      </w:r>
    </w:p>
    <w:p w:rsidR="00152901" w:rsidRPr="00091E81" w:rsidRDefault="0028783A" w:rsidP="00152901">
      <w:r>
        <w:t>5.3</w:t>
      </w:r>
      <w:r w:rsidR="00152901" w:rsidRPr="00091E81">
        <w:t xml:space="preserve">.3. </w:t>
      </w:r>
      <w:bookmarkEnd w:id="12"/>
      <w:r w:rsidR="00485E23">
        <w:t>Appliances</w:t>
      </w:r>
    </w:p>
    <w:p w:rsidR="00152901" w:rsidRPr="00091E81" w:rsidRDefault="00152901" w:rsidP="0038282F">
      <w:pPr>
        <w:spacing w:after="120"/>
      </w:pPr>
      <w:r w:rsidRPr="00091E81">
        <w:t>Appliances replaced during building maintenance</w:t>
      </w:r>
      <w:r w:rsidR="00485E23">
        <w:t xml:space="preserve"> or installed in new buildings</w:t>
      </w:r>
      <w:r w:rsidRPr="00091E81">
        <w:t xml:space="preserve"> will meet the following standards:</w:t>
      </w:r>
    </w:p>
    <w:p w:rsidR="00152901" w:rsidRPr="00091E81" w:rsidRDefault="00152901" w:rsidP="0038282F">
      <w:pPr>
        <w:numPr>
          <w:ilvl w:val="0"/>
          <w:numId w:val="34"/>
        </w:numPr>
        <w:spacing w:after="60"/>
        <w:ind w:left="714" w:hanging="357"/>
      </w:pPr>
      <w:r w:rsidRPr="00091E81">
        <w:t>Electrical appliances w</w:t>
      </w:r>
      <w:r w:rsidR="009D0372">
        <w:t xml:space="preserve">ill meet a </w:t>
      </w:r>
      <w:r w:rsidR="00F33601" w:rsidRPr="00F33601">
        <w:t>4 Star Energy R</w:t>
      </w:r>
      <w:r w:rsidR="009D0372" w:rsidRPr="00F33601">
        <w:t>ating</w:t>
      </w:r>
      <w:r w:rsidRPr="00091E81">
        <w:t xml:space="preserve"> </w:t>
      </w:r>
      <w:r w:rsidR="00F33601">
        <w:t xml:space="preserve">Labelling </w:t>
      </w:r>
      <w:r w:rsidR="000C4916">
        <w:t xml:space="preserve">Scheme </w:t>
      </w:r>
      <w:r w:rsidRPr="00091E81">
        <w:t>or equivalent.</w:t>
      </w:r>
    </w:p>
    <w:p w:rsidR="00152901" w:rsidRPr="00091E81" w:rsidRDefault="00152901" w:rsidP="00B6400E">
      <w:pPr>
        <w:numPr>
          <w:ilvl w:val="0"/>
          <w:numId w:val="34"/>
        </w:numPr>
      </w:pPr>
      <w:r w:rsidRPr="00091E81">
        <w:t>Water appliances will meet a 4 Star Water Efficiency Labelling Scheme (WELS) rating or equivalent.</w:t>
      </w:r>
    </w:p>
    <w:p w:rsidR="0002445C" w:rsidRPr="00091E81" w:rsidRDefault="0002445C" w:rsidP="00152901"/>
    <w:p w:rsidR="00152901" w:rsidRPr="0028783A" w:rsidRDefault="0028783A" w:rsidP="0007503E">
      <w:pPr>
        <w:pStyle w:val="Heading3"/>
      </w:pPr>
      <w:bookmarkStart w:id="13" w:name="_Toc317158714"/>
      <w:r w:rsidRPr="0028783A">
        <w:t>5.4</w:t>
      </w:r>
      <w:r w:rsidR="00152901" w:rsidRPr="0028783A">
        <w:t>. When the Standards Will Apply</w:t>
      </w:r>
      <w:bookmarkEnd w:id="13"/>
    </w:p>
    <w:p w:rsidR="00152901" w:rsidRPr="00091E81" w:rsidRDefault="0028783A" w:rsidP="00442CA7">
      <w:pPr>
        <w:spacing w:after="60"/>
      </w:pPr>
      <w:r>
        <w:t xml:space="preserve">5.4.1 </w:t>
      </w:r>
      <w:r w:rsidR="00152901" w:rsidRPr="00091E81">
        <w:t xml:space="preserve">New buildings and </w:t>
      </w:r>
      <w:r w:rsidR="00485E23">
        <w:t>upgrades</w:t>
      </w:r>
      <w:r w:rsidR="00152901" w:rsidRPr="00091E81">
        <w:t xml:space="preserve"> </w:t>
      </w:r>
    </w:p>
    <w:p w:rsidR="00152901" w:rsidRPr="00091E81" w:rsidRDefault="00152901" w:rsidP="00442CA7">
      <w:pPr>
        <w:numPr>
          <w:ilvl w:val="0"/>
          <w:numId w:val="36"/>
        </w:numPr>
        <w:spacing w:after="60"/>
        <w:ind w:left="714" w:hanging="357"/>
      </w:pPr>
      <w:r w:rsidRPr="00091E81">
        <w:t xml:space="preserve">The standards </w:t>
      </w:r>
      <w:r w:rsidR="00571647">
        <w:t>for new building design</w:t>
      </w:r>
      <w:r w:rsidR="00C039B0">
        <w:t xml:space="preserve"> </w:t>
      </w:r>
      <w:r w:rsidRPr="00091E81">
        <w:t xml:space="preserve">will apply from the date of adoption of the Policy. </w:t>
      </w:r>
    </w:p>
    <w:p w:rsidR="00152901" w:rsidRPr="00091E81" w:rsidRDefault="00152901" w:rsidP="00442CA7">
      <w:pPr>
        <w:numPr>
          <w:ilvl w:val="0"/>
          <w:numId w:val="36"/>
        </w:numPr>
        <w:spacing w:after="60"/>
        <w:ind w:left="714" w:hanging="357"/>
      </w:pPr>
      <w:r w:rsidRPr="00091E81">
        <w:t>Will meet the ongoing building performance targets.</w:t>
      </w:r>
    </w:p>
    <w:p w:rsidR="00152901" w:rsidRPr="00091E81" w:rsidRDefault="00152901" w:rsidP="00442CA7">
      <w:pPr>
        <w:numPr>
          <w:ilvl w:val="0"/>
          <w:numId w:val="36"/>
        </w:numPr>
        <w:spacing w:after="60"/>
      </w:pPr>
      <w:r w:rsidRPr="00091E81">
        <w:t>Will meet the standards for appliances.</w:t>
      </w:r>
    </w:p>
    <w:p w:rsidR="00152901" w:rsidRPr="00091E81" w:rsidRDefault="00152901" w:rsidP="00152901"/>
    <w:p w:rsidR="00152901" w:rsidRPr="002C6083" w:rsidRDefault="0028783A" w:rsidP="00442CA7">
      <w:pPr>
        <w:spacing w:after="60"/>
        <w:rPr>
          <w:rFonts w:cstheme="minorHAnsi"/>
          <w:szCs w:val="24"/>
        </w:rPr>
      </w:pPr>
      <w:r>
        <w:rPr>
          <w:rFonts w:cstheme="minorHAnsi"/>
          <w:szCs w:val="24"/>
        </w:rPr>
        <w:t xml:space="preserve">5.4.2 </w:t>
      </w:r>
      <w:r w:rsidR="00152901" w:rsidRPr="002C6083">
        <w:rPr>
          <w:rFonts w:cstheme="minorHAnsi"/>
          <w:szCs w:val="24"/>
        </w:rPr>
        <w:t xml:space="preserve">Existing buildings </w:t>
      </w:r>
    </w:p>
    <w:p w:rsidR="00152901" w:rsidRPr="002C6083" w:rsidRDefault="00152901" w:rsidP="00442CA7">
      <w:pPr>
        <w:numPr>
          <w:ilvl w:val="0"/>
          <w:numId w:val="37"/>
        </w:numPr>
        <w:spacing w:after="60"/>
        <w:ind w:left="714" w:hanging="357"/>
        <w:rPr>
          <w:rFonts w:cstheme="minorHAnsi"/>
          <w:szCs w:val="24"/>
        </w:rPr>
      </w:pPr>
      <w:r w:rsidRPr="002C6083">
        <w:rPr>
          <w:rFonts w:cstheme="minorHAnsi"/>
          <w:szCs w:val="24"/>
        </w:rPr>
        <w:t xml:space="preserve">The City of Greater Geelong has a large existing building stock. To make a manageable transition to a more sustainable portfolio of buildings, the building performance standards will apply when building upgrades occur. </w:t>
      </w:r>
    </w:p>
    <w:p w:rsidR="00152901" w:rsidRPr="002C6083" w:rsidRDefault="00152901" w:rsidP="00442CA7">
      <w:pPr>
        <w:numPr>
          <w:ilvl w:val="0"/>
          <w:numId w:val="37"/>
        </w:numPr>
        <w:spacing w:after="60"/>
        <w:ind w:left="714" w:hanging="357"/>
        <w:rPr>
          <w:rFonts w:cstheme="minorHAnsi"/>
          <w:szCs w:val="24"/>
        </w:rPr>
      </w:pPr>
      <w:r w:rsidRPr="002C6083">
        <w:rPr>
          <w:rFonts w:cstheme="minorHAnsi"/>
          <w:szCs w:val="24"/>
        </w:rPr>
        <w:t xml:space="preserve">The </w:t>
      </w:r>
      <w:r w:rsidR="00485E23">
        <w:rPr>
          <w:rFonts w:cstheme="minorHAnsi"/>
          <w:szCs w:val="24"/>
        </w:rPr>
        <w:t>Appliance</w:t>
      </w:r>
      <w:r w:rsidR="00485E23" w:rsidRPr="002C6083">
        <w:rPr>
          <w:rFonts w:cstheme="minorHAnsi"/>
          <w:szCs w:val="24"/>
        </w:rPr>
        <w:t xml:space="preserve"> </w:t>
      </w:r>
      <w:r w:rsidRPr="002C6083">
        <w:rPr>
          <w:rFonts w:cstheme="minorHAnsi"/>
          <w:szCs w:val="24"/>
        </w:rPr>
        <w:t>standards will apply when appliances are replaced.</w:t>
      </w:r>
    </w:p>
    <w:p w:rsidR="00152901" w:rsidRPr="002C6083" w:rsidRDefault="00152901" w:rsidP="00152901">
      <w:pPr>
        <w:rPr>
          <w:rFonts w:cstheme="minorHAnsi"/>
          <w:szCs w:val="24"/>
        </w:rPr>
      </w:pPr>
    </w:p>
    <w:p w:rsidR="00152901" w:rsidRPr="002C6083" w:rsidRDefault="0028783A" w:rsidP="00152901">
      <w:pPr>
        <w:rPr>
          <w:rFonts w:cstheme="minorHAnsi"/>
          <w:szCs w:val="24"/>
        </w:rPr>
      </w:pPr>
      <w:r>
        <w:rPr>
          <w:rFonts w:cstheme="minorHAnsi"/>
          <w:szCs w:val="24"/>
        </w:rPr>
        <w:t xml:space="preserve">5.4.3 </w:t>
      </w:r>
      <w:r w:rsidR="00152901" w:rsidRPr="002C6083">
        <w:rPr>
          <w:rFonts w:cstheme="minorHAnsi"/>
          <w:szCs w:val="24"/>
        </w:rPr>
        <w:t>Special considerations</w:t>
      </w:r>
    </w:p>
    <w:p w:rsidR="00152901" w:rsidRPr="002C6083" w:rsidRDefault="00152901" w:rsidP="00E462E5">
      <w:pPr>
        <w:spacing w:after="120"/>
        <w:rPr>
          <w:rFonts w:cstheme="minorHAnsi"/>
          <w:szCs w:val="24"/>
        </w:rPr>
      </w:pPr>
      <w:r w:rsidRPr="002C6083">
        <w:rPr>
          <w:rFonts w:cstheme="minorHAnsi"/>
          <w:szCs w:val="24"/>
        </w:rPr>
        <w:t xml:space="preserve">There are some cases where the </w:t>
      </w:r>
      <w:r w:rsidR="00B66D3F" w:rsidRPr="002B3A51">
        <w:rPr>
          <w:rFonts w:cstheme="minorHAnsi"/>
          <w:szCs w:val="24"/>
        </w:rPr>
        <w:t>sustainability</w:t>
      </w:r>
      <w:r w:rsidR="00372C92" w:rsidRPr="002B3A51">
        <w:rPr>
          <w:rFonts w:cstheme="minorHAnsi"/>
          <w:szCs w:val="24"/>
        </w:rPr>
        <w:t xml:space="preserve"> </w:t>
      </w:r>
      <w:r w:rsidR="00D02EE2" w:rsidRPr="002B3A51">
        <w:rPr>
          <w:rFonts w:cstheme="minorHAnsi"/>
          <w:szCs w:val="24"/>
        </w:rPr>
        <w:t>standards</w:t>
      </w:r>
      <w:r w:rsidR="00B66D3F" w:rsidRPr="002B3A51">
        <w:rPr>
          <w:rFonts w:cstheme="minorHAnsi"/>
          <w:szCs w:val="24"/>
        </w:rPr>
        <w:t xml:space="preserve"> or certain ESD items </w:t>
      </w:r>
      <w:r w:rsidRPr="002B3A51">
        <w:rPr>
          <w:rFonts w:cstheme="minorHAnsi"/>
          <w:szCs w:val="24"/>
        </w:rPr>
        <w:t>may not be achievable or practical</w:t>
      </w:r>
      <w:r w:rsidR="003C4F97" w:rsidRPr="002B3A51">
        <w:rPr>
          <w:rFonts w:cstheme="minorHAnsi"/>
          <w:szCs w:val="24"/>
        </w:rPr>
        <w:t xml:space="preserve"> </w:t>
      </w:r>
      <w:r w:rsidR="00B66D3F" w:rsidRPr="002B3A51">
        <w:rPr>
          <w:rFonts w:cstheme="minorHAnsi"/>
          <w:szCs w:val="24"/>
        </w:rPr>
        <w:t>to deliver</w:t>
      </w:r>
      <w:r w:rsidRPr="002B3A51">
        <w:rPr>
          <w:rFonts w:cstheme="minorHAnsi"/>
          <w:szCs w:val="24"/>
        </w:rPr>
        <w:t>. In the following cases Council will aim</w:t>
      </w:r>
      <w:r w:rsidRPr="002C6083">
        <w:rPr>
          <w:rFonts w:cstheme="minorHAnsi"/>
          <w:szCs w:val="24"/>
        </w:rPr>
        <w:t xml:space="preserve"> to reach the standards while recognising that the standards remain as aspiration targets</w:t>
      </w:r>
      <w:r w:rsidR="003C4F97">
        <w:rPr>
          <w:rFonts w:cstheme="minorHAnsi"/>
          <w:szCs w:val="24"/>
        </w:rPr>
        <w:t>.</w:t>
      </w:r>
    </w:p>
    <w:p w:rsidR="00152901" w:rsidRPr="002C6083" w:rsidRDefault="00152901" w:rsidP="00E462E5">
      <w:pPr>
        <w:numPr>
          <w:ilvl w:val="0"/>
          <w:numId w:val="35"/>
        </w:numPr>
        <w:spacing w:after="60"/>
        <w:ind w:left="714" w:hanging="357"/>
        <w:rPr>
          <w:rFonts w:cstheme="minorHAnsi"/>
          <w:szCs w:val="24"/>
        </w:rPr>
      </w:pPr>
      <w:r w:rsidRPr="002C6083">
        <w:rPr>
          <w:rFonts w:cstheme="minorHAnsi"/>
          <w:szCs w:val="24"/>
        </w:rPr>
        <w:t xml:space="preserve">Heritage Buildings – Due to building construction techniques and heritage protection guidelines it may not be possible, or practical, to reach the standards. </w:t>
      </w:r>
    </w:p>
    <w:p w:rsidR="002D65A8" w:rsidRPr="002B3A51" w:rsidRDefault="00152901" w:rsidP="002D65A8">
      <w:pPr>
        <w:numPr>
          <w:ilvl w:val="0"/>
          <w:numId w:val="35"/>
        </w:numPr>
        <w:rPr>
          <w:rFonts w:cstheme="minorHAnsi"/>
          <w:szCs w:val="24"/>
        </w:rPr>
      </w:pPr>
      <w:r w:rsidRPr="002C6083">
        <w:rPr>
          <w:rFonts w:cstheme="minorHAnsi"/>
          <w:szCs w:val="24"/>
        </w:rPr>
        <w:t xml:space="preserve">Buildings leased by Council (Council as tenant) – Council may not be able to meet building performance standards due to market forces or other factors. In such cases Council will try to reach the standards and advocate for property </w:t>
      </w:r>
      <w:r w:rsidRPr="002B3A51">
        <w:rPr>
          <w:rFonts w:cstheme="minorHAnsi"/>
          <w:szCs w:val="24"/>
        </w:rPr>
        <w:t xml:space="preserve">owners to meet the standards. </w:t>
      </w:r>
      <w:bookmarkStart w:id="14" w:name="_Toc317158715"/>
    </w:p>
    <w:p w:rsidR="003C4F97" w:rsidRPr="002B3A51" w:rsidRDefault="00B66D3F" w:rsidP="002D65A8">
      <w:pPr>
        <w:numPr>
          <w:ilvl w:val="0"/>
          <w:numId w:val="35"/>
        </w:numPr>
        <w:rPr>
          <w:rFonts w:cstheme="minorHAnsi"/>
          <w:szCs w:val="24"/>
        </w:rPr>
      </w:pPr>
      <w:r w:rsidRPr="002B3A51">
        <w:rPr>
          <w:rFonts w:cstheme="minorHAnsi"/>
          <w:szCs w:val="24"/>
        </w:rPr>
        <w:lastRenderedPageBreak/>
        <w:t>W</w:t>
      </w:r>
      <w:r w:rsidR="0014078F" w:rsidRPr="002B3A51">
        <w:rPr>
          <w:rFonts w:cstheme="minorHAnsi"/>
          <w:szCs w:val="24"/>
        </w:rPr>
        <w:t>here compliance with sustainability</w:t>
      </w:r>
      <w:r w:rsidRPr="002B3A51">
        <w:rPr>
          <w:rFonts w:cstheme="minorHAnsi"/>
          <w:szCs w:val="24"/>
        </w:rPr>
        <w:t xml:space="preserve"> standards or components of them </w:t>
      </w:r>
      <w:r w:rsidR="002B4267" w:rsidRPr="002B3A51">
        <w:rPr>
          <w:rFonts w:cstheme="minorHAnsi"/>
          <w:szCs w:val="24"/>
        </w:rPr>
        <w:t>have been assessed</w:t>
      </w:r>
      <w:r w:rsidRPr="002B3A51">
        <w:rPr>
          <w:rFonts w:cstheme="minorHAnsi"/>
          <w:szCs w:val="24"/>
        </w:rPr>
        <w:t xml:space="preserve"> to provide inadequate </w:t>
      </w:r>
      <w:r w:rsidR="00A94A04" w:rsidRPr="002B3A51">
        <w:rPr>
          <w:rFonts w:cstheme="minorHAnsi"/>
          <w:szCs w:val="24"/>
        </w:rPr>
        <w:t>environmental, social or</w:t>
      </w:r>
      <w:r w:rsidR="002B4267" w:rsidRPr="002B3A51">
        <w:rPr>
          <w:rFonts w:cstheme="minorHAnsi"/>
          <w:szCs w:val="24"/>
        </w:rPr>
        <w:t xml:space="preserve"> economic </w:t>
      </w:r>
      <w:r w:rsidRPr="002B3A51">
        <w:rPr>
          <w:rFonts w:cstheme="minorHAnsi"/>
          <w:szCs w:val="24"/>
        </w:rPr>
        <w:t xml:space="preserve">benefit to warrant the investment required. </w:t>
      </w:r>
      <w:r w:rsidR="002B4267" w:rsidRPr="002B3A51">
        <w:rPr>
          <w:rFonts w:cstheme="minorHAnsi"/>
          <w:szCs w:val="24"/>
        </w:rPr>
        <w:t xml:space="preserve">This assessment will be made by relevant officers </w:t>
      </w:r>
      <w:r w:rsidR="00267426" w:rsidRPr="002B3A51">
        <w:rPr>
          <w:rFonts w:cstheme="minorHAnsi"/>
          <w:szCs w:val="24"/>
        </w:rPr>
        <w:t xml:space="preserve">with representation from Council’s Environment unit </w:t>
      </w:r>
      <w:r w:rsidR="00A94A04" w:rsidRPr="002B3A51">
        <w:rPr>
          <w:rFonts w:cstheme="minorHAnsi"/>
          <w:szCs w:val="24"/>
        </w:rPr>
        <w:t>and</w:t>
      </w:r>
      <w:r w:rsidR="00267426" w:rsidRPr="002B3A51">
        <w:rPr>
          <w:rFonts w:cstheme="minorHAnsi"/>
          <w:szCs w:val="24"/>
        </w:rPr>
        <w:t>,</w:t>
      </w:r>
      <w:r w:rsidR="00A94A04" w:rsidRPr="002B3A51">
        <w:rPr>
          <w:rFonts w:cstheme="minorHAnsi"/>
          <w:szCs w:val="24"/>
        </w:rPr>
        <w:t xml:space="preserve"> where appropriate, </w:t>
      </w:r>
      <w:r w:rsidR="002B4267" w:rsidRPr="002B3A51">
        <w:rPr>
          <w:rFonts w:cstheme="minorHAnsi"/>
          <w:szCs w:val="24"/>
        </w:rPr>
        <w:t xml:space="preserve">with input from a suitably qualified person in sustainable building design.  </w:t>
      </w:r>
      <w:r w:rsidRPr="002B3A51">
        <w:rPr>
          <w:rFonts w:cstheme="minorHAnsi"/>
          <w:szCs w:val="24"/>
        </w:rPr>
        <w:t>Th</w:t>
      </w:r>
      <w:r w:rsidR="002B4267" w:rsidRPr="002B3A51">
        <w:rPr>
          <w:rFonts w:cstheme="minorHAnsi"/>
          <w:szCs w:val="24"/>
        </w:rPr>
        <w:t>e</w:t>
      </w:r>
      <w:r w:rsidRPr="002B3A51">
        <w:rPr>
          <w:rFonts w:cstheme="minorHAnsi"/>
          <w:szCs w:val="24"/>
        </w:rPr>
        <w:t xml:space="preserve"> decision </w:t>
      </w:r>
      <w:r w:rsidR="00A94A04" w:rsidRPr="002B3A51">
        <w:rPr>
          <w:rFonts w:cstheme="minorHAnsi"/>
          <w:szCs w:val="24"/>
        </w:rPr>
        <w:t xml:space="preserve">to apply special considerations in this regard will be </w:t>
      </w:r>
      <w:r w:rsidRPr="002B3A51">
        <w:rPr>
          <w:rFonts w:cstheme="minorHAnsi"/>
          <w:szCs w:val="24"/>
        </w:rPr>
        <w:t xml:space="preserve">made by the relevant </w:t>
      </w:r>
      <w:r w:rsidR="00DE1DFB" w:rsidRPr="002B3A51">
        <w:rPr>
          <w:rFonts w:cstheme="minorHAnsi"/>
          <w:szCs w:val="24"/>
        </w:rPr>
        <w:t>Director</w:t>
      </w:r>
      <w:r w:rsidRPr="002B3A51">
        <w:rPr>
          <w:rFonts w:cstheme="minorHAnsi"/>
          <w:szCs w:val="24"/>
        </w:rPr>
        <w:t xml:space="preserve">. </w:t>
      </w:r>
    </w:p>
    <w:p w:rsidR="0002445C" w:rsidRDefault="0002445C" w:rsidP="002D65A8">
      <w:pPr>
        <w:rPr>
          <w:rFonts w:cstheme="minorHAnsi"/>
          <w:szCs w:val="24"/>
        </w:rPr>
      </w:pPr>
    </w:p>
    <w:p w:rsidR="002D65A8" w:rsidRPr="0002445C" w:rsidRDefault="0002445C" w:rsidP="0007503E">
      <w:pPr>
        <w:pStyle w:val="Heading3"/>
      </w:pPr>
      <w:r w:rsidRPr="0002445C">
        <w:t>5.5</w:t>
      </w:r>
      <w:r w:rsidR="002D65A8" w:rsidRPr="0002445C">
        <w:t>. Responsibility</w:t>
      </w:r>
      <w:bookmarkEnd w:id="14"/>
    </w:p>
    <w:p w:rsidR="002D65A8" w:rsidRPr="00D30457" w:rsidRDefault="002D65A8" w:rsidP="002D65A8">
      <w:r w:rsidRPr="00D30457">
        <w:t>The responsibility for actions and standards is assigned to relevant Council depart</w:t>
      </w:r>
      <w:r w:rsidR="0099287C">
        <w:t>ments as outlined in Section 5.5</w:t>
      </w:r>
      <w:r w:rsidRPr="00D30457">
        <w:t>.</w:t>
      </w:r>
      <w:r w:rsidR="0099287C">
        <w:t>1</w:t>
      </w:r>
      <w:r w:rsidRPr="00D30457">
        <w:t xml:space="preserve"> Action Plan.  Where responsibility for an action is assigned to a Council Department it also involves a responsibility to follow the gui</w:t>
      </w:r>
      <w:r w:rsidR="0099287C">
        <w:t>ding principle in section 5.2.4</w:t>
      </w:r>
      <w:r w:rsidRPr="00D30457">
        <w:t xml:space="preserve"> Working Collaboratively.</w:t>
      </w:r>
    </w:p>
    <w:p w:rsidR="00442CA7" w:rsidRDefault="00442CA7" w:rsidP="00FC5F55">
      <w:pPr>
        <w:rPr>
          <w:rFonts w:cstheme="minorHAnsi"/>
          <w:szCs w:val="24"/>
        </w:rPr>
      </w:pPr>
      <w:bookmarkStart w:id="15" w:name="_Toc317158716"/>
    </w:p>
    <w:p w:rsidR="00FC5F55" w:rsidRPr="002C6083" w:rsidRDefault="0002445C" w:rsidP="00FC5F55">
      <w:pPr>
        <w:rPr>
          <w:rFonts w:cstheme="minorHAnsi"/>
          <w:szCs w:val="24"/>
        </w:rPr>
      </w:pPr>
      <w:r>
        <w:rPr>
          <w:rFonts w:cstheme="minorHAnsi"/>
          <w:szCs w:val="24"/>
        </w:rPr>
        <w:t>5.5</w:t>
      </w:r>
      <w:r w:rsidR="00FC5F55" w:rsidRPr="002C6083">
        <w:rPr>
          <w:rFonts w:cstheme="minorHAnsi"/>
          <w:szCs w:val="24"/>
        </w:rPr>
        <w:t>.1. Action Plan</w:t>
      </w:r>
      <w:bookmarkEnd w:id="15"/>
    </w:p>
    <w:p w:rsidR="004B7D24" w:rsidRDefault="004B7D24" w:rsidP="00FC5F55">
      <w:pPr>
        <w:rPr>
          <w:rFonts w:cstheme="minorHAnsi"/>
          <w:szCs w:val="24"/>
        </w:rPr>
      </w:pPr>
    </w:p>
    <w:p w:rsidR="00FC5F55" w:rsidRDefault="00FC5F55" w:rsidP="00FC5F55">
      <w:pPr>
        <w:rPr>
          <w:rFonts w:cstheme="minorHAnsi"/>
          <w:szCs w:val="24"/>
        </w:rPr>
      </w:pPr>
      <w:r w:rsidRPr="002C6083">
        <w:rPr>
          <w:rFonts w:cstheme="minorHAnsi"/>
          <w:szCs w:val="24"/>
        </w:rPr>
        <w:t>Action Area: Organisational Processes</w:t>
      </w:r>
    </w:p>
    <w:tbl>
      <w:tblPr>
        <w:tblStyle w:val="TableGrid"/>
        <w:tblW w:w="0" w:type="auto"/>
        <w:shd w:val="clear" w:color="auto" w:fill="D9D9D9" w:themeFill="background1" w:themeFillShade="D9"/>
        <w:tblLook w:val="04A0" w:firstRow="1" w:lastRow="0" w:firstColumn="1" w:lastColumn="0" w:noHBand="0" w:noVBand="1"/>
      </w:tblPr>
      <w:tblGrid>
        <w:gridCol w:w="6062"/>
        <w:gridCol w:w="3225"/>
      </w:tblGrid>
      <w:tr w:rsidR="00FC5F55" w:rsidTr="0099287C">
        <w:tc>
          <w:tcPr>
            <w:tcW w:w="6062" w:type="dxa"/>
            <w:shd w:val="clear" w:color="auto" w:fill="A6A6A6" w:themeFill="background1" w:themeFillShade="A6"/>
          </w:tcPr>
          <w:p w:rsidR="00FC5F55" w:rsidRDefault="00FC5F55" w:rsidP="00FC5F55">
            <w:pPr>
              <w:rPr>
                <w:rFonts w:cstheme="minorHAnsi"/>
                <w:szCs w:val="24"/>
              </w:rPr>
            </w:pPr>
            <w:r w:rsidRPr="00D30457">
              <w:t>Action</w:t>
            </w:r>
          </w:p>
        </w:tc>
        <w:tc>
          <w:tcPr>
            <w:tcW w:w="3225" w:type="dxa"/>
            <w:shd w:val="clear" w:color="auto" w:fill="A6A6A6" w:themeFill="background1" w:themeFillShade="A6"/>
          </w:tcPr>
          <w:p w:rsidR="00FC5F55" w:rsidRDefault="00FC5F55" w:rsidP="00FC5F55">
            <w:pPr>
              <w:rPr>
                <w:rFonts w:cstheme="minorHAnsi"/>
                <w:szCs w:val="24"/>
              </w:rPr>
            </w:pPr>
            <w:r w:rsidRPr="00D30457">
              <w:t>Department</w:t>
            </w:r>
          </w:p>
        </w:tc>
      </w:tr>
      <w:tr w:rsidR="00FC5F55" w:rsidTr="001A4259">
        <w:tc>
          <w:tcPr>
            <w:tcW w:w="6062" w:type="dxa"/>
            <w:shd w:val="clear" w:color="auto" w:fill="D9D9D9" w:themeFill="background1" w:themeFillShade="D9"/>
          </w:tcPr>
          <w:p w:rsidR="00FC5F55" w:rsidRDefault="001423DD" w:rsidP="00FC5F55">
            <w:pPr>
              <w:rPr>
                <w:rFonts w:cstheme="minorHAnsi"/>
                <w:szCs w:val="24"/>
              </w:rPr>
            </w:pPr>
            <w:r>
              <w:t>Policy d</w:t>
            </w:r>
            <w:r w:rsidR="00FC5F55" w:rsidRPr="00D30457">
              <w:t>evelopment</w:t>
            </w:r>
          </w:p>
        </w:tc>
        <w:tc>
          <w:tcPr>
            <w:tcW w:w="3225" w:type="dxa"/>
            <w:shd w:val="clear" w:color="auto" w:fill="D9D9D9" w:themeFill="background1" w:themeFillShade="D9"/>
          </w:tcPr>
          <w:p w:rsidR="00FC5F55" w:rsidRDefault="00FC5F55" w:rsidP="00FC5F55">
            <w:pPr>
              <w:rPr>
                <w:rFonts w:cstheme="minorHAnsi"/>
                <w:szCs w:val="24"/>
              </w:rPr>
            </w:pPr>
            <w:r w:rsidRPr="00D30457">
              <w:t>Environment</w:t>
            </w:r>
          </w:p>
        </w:tc>
      </w:tr>
      <w:tr w:rsidR="00FC5F55" w:rsidTr="001A4259">
        <w:tc>
          <w:tcPr>
            <w:tcW w:w="6062" w:type="dxa"/>
            <w:shd w:val="clear" w:color="auto" w:fill="D9D9D9" w:themeFill="background1" w:themeFillShade="D9"/>
          </w:tcPr>
          <w:p w:rsidR="00FC5F55" w:rsidRDefault="00FC5F55" w:rsidP="00FC5F55">
            <w:pPr>
              <w:rPr>
                <w:rFonts w:cstheme="minorHAnsi"/>
                <w:szCs w:val="24"/>
              </w:rPr>
            </w:pPr>
            <w:r w:rsidRPr="00D30457">
              <w:t>Policy implementation</w:t>
            </w:r>
          </w:p>
        </w:tc>
        <w:tc>
          <w:tcPr>
            <w:tcW w:w="3225" w:type="dxa"/>
            <w:shd w:val="clear" w:color="auto" w:fill="D9D9D9" w:themeFill="background1" w:themeFillShade="D9"/>
          </w:tcPr>
          <w:p w:rsidR="00FC5F55" w:rsidRDefault="006C5B62" w:rsidP="00FC5F55">
            <w:pPr>
              <w:rPr>
                <w:rFonts w:cstheme="minorHAnsi"/>
                <w:szCs w:val="24"/>
              </w:rPr>
            </w:pPr>
            <w:r>
              <w:t>All service managers</w:t>
            </w:r>
          </w:p>
        </w:tc>
      </w:tr>
      <w:tr w:rsidR="00FC5F55" w:rsidTr="001A4259">
        <w:tc>
          <w:tcPr>
            <w:tcW w:w="6062" w:type="dxa"/>
            <w:shd w:val="clear" w:color="auto" w:fill="D9D9D9" w:themeFill="background1" w:themeFillShade="D9"/>
          </w:tcPr>
          <w:p w:rsidR="00FC5F55" w:rsidRDefault="00FC5F55" w:rsidP="00FC5F55">
            <w:pPr>
              <w:rPr>
                <w:rFonts w:cstheme="minorHAnsi"/>
                <w:szCs w:val="24"/>
              </w:rPr>
            </w:pPr>
            <w:r w:rsidRPr="00D30457">
              <w:t>Working group</w:t>
            </w:r>
          </w:p>
        </w:tc>
        <w:tc>
          <w:tcPr>
            <w:tcW w:w="3225" w:type="dxa"/>
            <w:shd w:val="clear" w:color="auto" w:fill="D9D9D9" w:themeFill="background1" w:themeFillShade="D9"/>
          </w:tcPr>
          <w:p w:rsidR="00FC5F55" w:rsidRDefault="00FC5F55" w:rsidP="00FC5F55">
            <w:pPr>
              <w:rPr>
                <w:rFonts w:cstheme="minorHAnsi"/>
                <w:szCs w:val="24"/>
              </w:rPr>
            </w:pPr>
            <w:r w:rsidRPr="00D30457">
              <w:t>All service managers</w:t>
            </w:r>
          </w:p>
        </w:tc>
      </w:tr>
      <w:tr w:rsidR="00FC5F55" w:rsidTr="001A4259">
        <w:tc>
          <w:tcPr>
            <w:tcW w:w="6062" w:type="dxa"/>
            <w:shd w:val="clear" w:color="auto" w:fill="D9D9D9" w:themeFill="background1" w:themeFillShade="D9"/>
          </w:tcPr>
          <w:p w:rsidR="00FC5F55" w:rsidRDefault="00FC5F55" w:rsidP="00FC5F55">
            <w:pPr>
              <w:rPr>
                <w:rFonts w:cstheme="minorHAnsi"/>
                <w:szCs w:val="24"/>
              </w:rPr>
            </w:pPr>
            <w:r w:rsidRPr="00D30457">
              <w:t>Monitoring &amp; reporting</w:t>
            </w:r>
          </w:p>
        </w:tc>
        <w:tc>
          <w:tcPr>
            <w:tcW w:w="3225" w:type="dxa"/>
            <w:shd w:val="clear" w:color="auto" w:fill="D9D9D9" w:themeFill="background1" w:themeFillShade="D9"/>
          </w:tcPr>
          <w:p w:rsidR="00FC5F55" w:rsidRDefault="00B96F20" w:rsidP="00FC5F55">
            <w:pPr>
              <w:rPr>
                <w:rFonts w:cstheme="minorHAnsi"/>
                <w:szCs w:val="24"/>
              </w:rPr>
            </w:pPr>
            <w:r w:rsidRPr="00D30457">
              <w:t>Environment</w:t>
            </w:r>
          </w:p>
        </w:tc>
      </w:tr>
      <w:tr w:rsidR="00FC5F55" w:rsidTr="001A4259">
        <w:tc>
          <w:tcPr>
            <w:tcW w:w="6062" w:type="dxa"/>
            <w:shd w:val="clear" w:color="auto" w:fill="D9D9D9" w:themeFill="background1" w:themeFillShade="D9"/>
          </w:tcPr>
          <w:p w:rsidR="00FC5F55" w:rsidRDefault="00FC5F55" w:rsidP="00FC5F55">
            <w:pPr>
              <w:rPr>
                <w:rFonts w:cstheme="minorHAnsi"/>
                <w:szCs w:val="24"/>
              </w:rPr>
            </w:pPr>
            <w:r w:rsidRPr="00D30457">
              <w:t>Senior management responsibility for policy</w:t>
            </w:r>
          </w:p>
        </w:tc>
        <w:tc>
          <w:tcPr>
            <w:tcW w:w="3225" w:type="dxa"/>
            <w:shd w:val="clear" w:color="auto" w:fill="D9D9D9" w:themeFill="background1" w:themeFillShade="D9"/>
          </w:tcPr>
          <w:p w:rsidR="00FC5F55" w:rsidRDefault="003C52D9" w:rsidP="00FC5F55">
            <w:pPr>
              <w:rPr>
                <w:rFonts w:cstheme="minorHAnsi"/>
                <w:szCs w:val="24"/>
              </w:rPr>
            </w:pPr>
            <w:r>
              <w:t>Director</w:t>
            </w:r>
            <w:bookmarkStart w:id="16" w:name="_GoBack"/>
            <w:bookmarkEnd w:id="16"/>
            <w:r w:rsidR="00680A45">
              <w:t xml:space="preserve"> City Services</w:t>
            </w:r>
          </w:p>
        </w:tc>
      </w:tr>
      <w:tr w:rsidR="003E070B" w:rsidTr="001A4259">
        <w:tc>
          <w:tcPr>
            <w:tcW w:w="6062" w:type="dxa"/>
            <w:shd w:val="clear" w:color="auto" w:fill="D9D9D9" w:themeFill="background1" w:themeFillShade="D9"/>
          </w:tcPr>
          <w:p w:rsidR="003E070B" w:rsidRPr="003E070B" w:rsidRDefault="003E070B" w:rsidP="00FC5F55">
            <w:pPr>
              <w:rPr>
                <w:rFonts w:cs="Arial"/>
                <w:szCs w:val="24"/>
              </w:rPr>
            </w:pPr>
            <w:r w:rsidRPr="003E070B">
              <w:rPr>
                <w:rFonts w:cs="Arial"/>
                <w:szCs w:val="24"/>
              </w:rPr>
              <w:t>Behaviour change initiatives</w:t>
            </w:r>
          </w:p>
        </w:tc>
        <w:tc>
          <w:tcPr>
            <w:tcW w:w="3225" w:type="dxa"/>
            <w:shd w:val="clear" w:color="auto" w:fill="D9D9D9" w:themeFill="background1" w:themeFillShade="D9"/>
          </w:tcPr>
          <w:p w:rsidR="003E070B" w:rsidRDefault="003E070B" w:rsidP="00FC5F55">
            <w:r w:rsidRPr="00D30457">
              <w:t>All service managers</w:t>
            </w:r>
          </w:p>
        </w:tc>
      </w:tr>
    </w:tbl>
    <w:p w:rsidR="00FC5F55" w:rsidRDefault="00FC5F55" w:rsidP="00FC5F55">
      <w:pPr>
        <w:rPr>
          <w:rFonts w:cstheme="minorHAnsi"/>
          <w:szCs w:val="24"/>
        </w:rPr>
      </w:pPr>
    </w:p>
    <w:p w:rsidR="0002445C" w:rsidRPr="002C6083" w:rsidRDefault="0002445C" w:rsidP="00FC5F55">
      <w:pPr>
        <w:rPr>
          <w:rFonts w:cstheme="minorHAnsi"/>
          <w:szCs w:val="24"/>
        </w:rPr>
      </w:pPr>
    </w:p>
    <w:p w:rsidR="00FC5F55" w:rsidRPr="00B96F20" w:rsidRDefault="00FC5F55" w:rsidP="00FC5F55">
      <w:pPr>
        <w:pStyle w:val="NoSpacing"/>
        <w:rPr>
          <w:rFonts w:ascii="Arial" w:hAnsi="Arial" w:cs="Arial"/>
          <w:sz w:val="24"/>
          <w:szCs w:val="24"/>
        </w:rPr>
      </w:pPr>
      <w:r w:rsidRPr="00B96F20">
        <w:rPr>
          <w:rFonts w:ascii="Arial" w:hAnsi="Arial" w:cs="Arial"/>
          <w:sz w:val="24"/>
          <w:szCs w:val="24"/>
        </w:rPr>
        <w:t xml:space="preserve">Action Area: New Buildings &amp; </w:t>
      </w:r>
      <w:r w:rsidR="00485E23">
        <w:rPr>
          <w:rFonts w:ascii="Arial" w:hAnsi="Arial" w:cs="Arial"/>
          <w:sz w:val="24"/>
          <w:szCs w:val="24"/>
        </w:rPr>
        <w:t>Upgrades</w:t>
      </w:r>
    </w:p>
    <w:tbl>
      <w:tblPr>
        <w:tblStyle w:val="TableGrid"/>
        <w:tblW w:w="0" w:type="auto"/>
        <w:shd w:val="clear" w:color="auto" w:fill="D9D9D9" w:themeFill="background1" w:themeFillShade="D9"/>
        <w:tblLook w:val="04A0" w:firstRow="1" w:lastRow="0" w:firstColumn="1" w:lastColumn="0" w:noHBand="0" w:noVBand="1"/>
      </w:tblPr>
      <w:tblGrid>
        <w:gridCol w:w="6062"/>
        <w:gridCol w:w="3225"/>
      </w:tblGrid>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Design</w:t>
            </w:r>
            <w:r w:rsidR="00485E23">
              <w:rPr>
                <w:rFonts w:ascii="Arial" w:hAnsi="Arial" w:cs="Arial"/>
                <w:sz w:val="24"/>
                <w:szCs w:val="24"/>
              </w:rPr>
              <w:t xml:space="preserve"> ,Construction and Building Performance</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Specification</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Tender documents</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 Procurement</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Commissioning</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Technical specifications for fittings &amp; appliances</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Building efficiency management plans (BEMPS)</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B96F20" w:rsidTr="001A4259">
        <w:tc>
          <w:tcPr>
            <w:tcW w:w="6062"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Staff training &amp; development</w:t>
            </w:r>
          </w:p>
        </w:tc>
        <w:tc>
          <w:tcPr>
            <w:tcW w:w="3225" w:type="dxa"/>
            <w:shd w:val="clear" w:color="auto" w:fill="D9D9D9" w:themeFill="background1" w:themeFillShade="D9"/>
          </w:tcPr>
          <w:p w:rsidR="00B96F20" w:rsidRPr="00B96F20" w:rsidRDefault="00B96F20" w:rsidP="00FC5F55">
            <w:pPr>
              <w:pStyle w:val="NoSpacing"/>
              <w:rPr>
                <w:rFonts w:ascii="Arial" w:hAnsi="Arial" w:cs="Arial"/>
                <w:sz w:val="24"/>
                <w:szCs w:val="24"/>
              </w:rPr>
            </w:pPr>
            <w:r w:rsidRPr="00B96F20">
              <w:rPr>
                <w:rFonts w:ascii="Arial" w:hAnsi="Arial" w:cs="Arial"/>
                <w:sz w:val="24"/>
                <w:szCs w:val="24"/>
              </w:rPr>
              <w:t>Capital Projects</w:t>
            </w:r>
          </w:p>
        </w:tc>
      </w:tr>
      <w:tr w:rsidR="000E5154" w:rsidTr="001A4259">
        <w:tc>
          <w:tcPr>
            <w:tcW w:w="6062" w:type="dxa"/>
            <w:shd w:val="clear" w:color="auto" w:fill="D9D9D9" w:themeFill="background1" w:themeFillShade="D9"/>
          </w:tcPr>
          <w:p w:rsidR="000E5154" w:rsidRPr="00B96F20" w:rsidRDefault="000E5154" w:rsidP="00FC5F55">
            <w:pPr>
              <w:pStyle w:val="NoSpacing"/>
              <w:rPr>
                <w:rFonts w:ascii="Arial" w:hAnsi="Arial" w:cs="Arial"/>
                <w:sz w:val="24"/>
                <w:szCs w:val="24"/>
              </w:rPr>
            </w:pPr>
            <w:r>
              <w:rPr>
                <w:rFonts w:ascii="Arial" w:hAnsi="Arial" w:cs="Arial"/>
                <w:sz w:val="24"/>
                <w:szCs w:val="24"/>
              </w:rPr>
              <w:t>Funding &amp; business case development</w:t>
            </w:r>
          </w:p>
        </w:tc>
        <w:tc>
          <w:tcPr>
            <w:tcW w:w="3225" w:type="dxa"/>
            <w:shd w:val="clear" w:color="auto" w:fill="D9D9D9" w:themeFill="background1" w:themeFillShade="D9"/>
          </w:tcPr>
          <w:p w:rsidR="000E5154" w:rsidRPr="00B96F20" w:rsidRDefault="000E5154" w:rsidP="000E5154">
            <w:pPr>
              <w:pStyle w:val="NoSpacing"/>
              <w:rPr>
                <w:rFonts w:ascii="Arial" w:hAnsi="Arial" w:cs="Arial"/>
                <w:sz w:val="24"/>
                <w:szCs w:val="24"/>
              </w:rPr>
            </w:pPr>
            <w:r>
              <w:rPr>
                <w:rFonts w:ascii="Arial" w:hAnsi="Arial" w:cs="Arial"/>
                <w:sz w:val="24"/>
                <w:szCs w:val="24"/>
              </w:rPr>
              <w:t>Service Managers/Capital Projects</w:t>
            </w:r>
          </w:p>
        </w:tc>
      </w:tr>
    </w:tbl>
    <w:p w:rsidR="00B96F20" w:rsidRDefault="00B96F20" w:rsidP="00FC5F55">
      <w:pPr>
        <w:pStyle w:val="NoSpacing"/>
        <w:rPr>
          <w:rFonts w:ascii="Arial" w:hAnsi="Arial" w:cs="Arial"/>
        </w:rPr>
      </w:pPr>
    </w:p>
    <w:p w:rsidR="0002445C" w:rsidRPr="00B96F20" w:rsidRDefault="0002445C" w:rsidP="00FC5F55">
      <w:pPr>
        <w:pStyle w:val="NoSpacing"/>
        <w:rPr>
          <w:rFonts w:ascii="Arial" w:hAnsi="Arial" w:cs="Arial"/>
        </w:rPr>
      </w:pPr>
    </w:p>
    <w:p w:rsidR="00FC5F55" w:rsidRPr="00B96F20" w:rsidRDefault="00FC5F55" w:rsidP="00FC5F55">
      <w:pPr>
        <w:pStyle w:val="NoSpacing"/>
        <w:rPr>
          <w:rFonts w:ascii="Arial" w:hAnsi="Arial" w:cs="Arial"/>
          <w:sz w:val="24"/>
          <w:szCs w:val="24"/>
        </w:rPr>
      </w:pPr>
      <w:r w:rsidRPr="00B96F20">
        <w:rPr>
          <w:rFonts w:ascii="Arial" w:hAnsi="Arial" w:cs="Arial"/>
          <w:sz w:val="24"/>
          <w:szCs w:val="24"/>
        </w:rPr>
        <w:t>Action Area: Management of Existing Buildings &amp; Leases</w:t>
      </w:r>
    </w:p>
    <w:tbl>
      <w:tblPr>
        <w:tblStyle w:val="TableGrid"/>
        <w:tblW w:w="0" w:type="auto"/>
        <w:shd w:val="clear" w:color="auto" w:fill="D9D9D9" w:themeFill="background1" w:themeFillShade="D9"/>
        <w:tblLook w:val="04A0" w:firstRow="1" w:lastRow="0" w:firstColumn="1" w:lastColumn="0" w:noHBand="0" w:noVBand="1"/>
      </w:tblPr>
      <w:tblGrid>
        <w:gridCol w:w="6062"/>
        <w:gridCol w:w="3225"/>
      </w:tblGrid>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Maintenance</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Ongoing building performance</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Aquatic and leisure</w:t>
            </w:r>
            <w:r w:rsidRPr="00A478E8">
              <w:rPr>
                <w:rFonts w:ascii="Arial" w:hAnsi="Arial" w:cs="Arial"/>
                <w:sz w:val="24"/>
                <w:szCs w:val="24"/>
                <w:lang w:val="en-AU"/>
              </w:rPr>
              <w:t xml:space="preserve"> centres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Minor retrofits &amp; upgrades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F463BA" w:rsidRPr="00CD412D" w:rsidRDefault="00F463BA" w:rsidP="00F463BA">
            <w:pPr>
              <w:pStyle w:val="NoSpacing"/>
              <w:rPr>
                <w:rFonts w:ascii="Arial" w:hAnsi="Arial" w:cs="Arial"/>
                <w:sz w:val="24"/>
                <w:szCs w:val="24"/>
              </w:rPr>
            </w:pPr>
            <w:r w:rsidRPr="00CD412D">
              <w:rPr>
                <w:rFonts w:ascii="Arial" w:hAnsi="Arial" w:cs="Arial"/>
                <w:sz w:val="24"/>
                <w:szCs w:val="24"/>
              </w:rPr>
              <w:t>Heating ventilation &amp; cooling (HVAC) systems</w:t>
            </w:r>
          </w:p>
          <w:p w:rsidR="00B96F20" w:rsidRPr="00CD412D" w:rsidRDefault="00F463BA" w:rsidP="00F463BA">
            <w:pPr>
              <w:pStyle w:val="NoSpacing"/>
              <w:rPr>
                <w:rFonts w:ascii="Arial" w:hAnsi="Arial" w:cs="Arial"/>
                <w:sz w:val="24"/>
                <w:szCs w:val="24"/>
              </w:rPr>
            </w:pPr>
            <w:r w:rsidRPr="00CD412D">
              <w:rPr>
                <w:rFonts w:ascii="Arial" w:hAnsi="Arial" w:cs="Arial"/>
                <w:sz w:val="24"/>
                <w:szCs w:val="24"/>
              </w:rPr>
              <w:t>*Except leisure</w:t>
            </w:r>
            <w:r w:rsidRPr="00A478E8">
              <w:rPr>
                <w:rFonts w:ascii="Arial" w:hAnsi="Arial" w:cs="Arial"/>
                <w:sz w:val="24"/>
                <w:szCs w:val="24"/>
                <w:lang w:val="en-AU"/>
              </w:rPr>
              <w:t xml:space="preserve"> centres</w:t>
            </w:r>
            <w:r w:rsidRPr="00CD412D">
              <w:rPr>
                <w:rFonts w:ascii="Arial" w:hAnsi="Arial" w:cs="Arial"/>
                <w:sz w:val="24"/>
                <w:szCs w:val="24"/>
              </w:rPr>
              <w:t xml:space="preserve"> HVAC - Managed by Leisure Services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Technical specifications for fixtures &amp; fittings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Advice to clubs/community group tenants on fittings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Staff training &amp; development</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Building efficiency management plans (BEMPS)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Specific sustainability projects &amp; upgrades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Environment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Performance measurement &amp; reporting</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B96F20" w:rsidTr="001A4259">
        <w:tc>
          <w:tcPr>
            <w:tcW w:w="6062"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lastRenderedPageBreak/>
              <w:t>Develop Green Lease Schedules</w:t>
            </w:r>
          </w:p>
        </w:tc>
        <w:tc>
          <w:tcPr>
            <w:tcW w:w="3225" w:type="dxa"/>
            <w:shd w:val="clear" w:color="auto" w:fill="D9D9D9" w:themeFill="background1" w:themeFillShade="D9"/>
          </w:tcPr>
          <w:p w:rsidR="00B96F20"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r w:rsidR="00F463BA" w:rsidTr="001A4259">
        <w:tc>
          <w:tcPr>
            <w:tcW w:w="6062" w:type="dxa"/>
            <w:shd w:val="clear" w:color="auto" w:fill="D9D9D9" w:themeFill="background1" w:themeFillShade="D9"/>
          </w:tcPr>
          <w:p w:rsidR="00F463BA" w:rsidRPr="00CD412D" w:rsidRDefault="00F463BA" w:rsidP="00FC5F55">
            <w:pPr>
              <w:pStyle w:val="NoSpacing"/>
              <w:rPr>
                <w:rFonts w:ascii="Arial" w:hAnsi="Arial" w:cs="Arial"/>
                <w:sz w:val="24"/>
                <w:szCs w:val="24"/>
              </w:rPr>
            </w:pPr>
            <w:r w:rsidRPr="00CD412D">
              <w:rPr>
                <w:rFonts w:ascii="Arial" w:hAnsi="Arial" w:cs="Arial"/>
                <w:sz w:val="24"/>
                <w:szCs w:val="24"/>
              </w:rPr>
              <w:t>Dev</w:t>
            </w:r>
            <w:r w:rsidR="004B7D24">
              <w:rPr>
                <w:rFonts w:ascii="Arial" w:hAnsi="Arial" w:cs="Arial"/>
                <w:sz w:val="24"/>
                <w:szCs w:val="24"/>
              </w:rPr>
              <w:t xml:space="preserve">elop </w:t>
            </w:r>
            <w:r w:rsidR="004B7D24" w:rsidRPr="00A478E8">
              <w:rPr>
                <w:rFonts w:ascii="Arial" w:hAnsi="Arial" w:cs="Arial"/>
                <w:sz w:val="24"/>
                <w:szCs w:val="24"/>
                <w:lang w:val="en-AU"/>
              </w:rPr>
              <w:t>centralised</w:t>
            </w:r>
            <w:r w:rsidR="004B7D24">
              <w:rPr>
                <w:rFonts w:ascii="Arial" w:hAnsi="Arial" w:cs="Arial"/>
                <w:sz w:val="24"/>
                <w:szCs w:val="24"/>
              </w:rPr>
              <w:t xml:space="preserve"> management and </w:t>
            </w:r>
            <w:r w:rsidRPr="00CD412D">
              <w:rPr>
                <w:rFonts w:ascii="Arial" w:hAnsi="Arial" w:cs="Arial"/>
                <w:sz w:val="24"/>
                <w:szCs w:val="24"/>
              </w:rPr>
              <w:t>standards for clubs/community ‘self help’ works</w:t>
            </w:r>
          </w:p>
        </w:tc>
        <w:tc>
          <w:tcPr>
            <w:tcW w:w="3225" w:type="dxa"/>
            <w:shd w:val="clear" w:color="auto" w:fill="D9D9D9" w:themeFill="background1" w:themeFillShade="D9"/>
          </w:tcPr>
          <w:p w:rsidR="00F463BA" w:rsidRPr="00CD412D" w:rsidRDefault="00F463BA" w:rsidP="00FC5F55">
            <w:pPr>
              <w:pStyle w:val="NoSpacing"/>
              <w:rPr>
                <w:rFonts w:ascii="Arial" w:hAnsi="Arial" w:cs="Arial"/>
                <w:sz w:val="24"/>
                <w:szCs w:val="24"/>
              </w:rPr>
            </w:pPr>
            <w:r w:rsidRPr="00CD412D">
              <w:rPr>
                <w:rFonts w:ascii="Arial" w:hAnsi="Arial" w:cs="Arial"/>
                <w:sz w:val="24"/>
                <w:szCs w:val="24"/>
              </w:rPr>
              <w:t>Property</w:t>
            </w:r>
            <w:r w:rsidR="00485E23">
              <w:rPr>
                <w:rFonts w:ascii="Arial" w:hAnsi="Arial" w:cs="Arial"/>
                <w:sz w:val="24"/>
                <w:szCs w:val="24"/>
              </w:rPr>
              <w:t xml:space="preserve"> </w:t>
            </w:r>
            <w:r w:rsidR="00485E23" w:rsidRPr="00485E23">
              <w:rPr>
                <w:rFonts w:ascii="Arial" w:hAnsi="Arial" w:cs="Arial"/>
                <w:sz w:val="24"/>
                <w:szCs w:val="24"/>
              </w:rPr>
              <w:t>and Procurement</w:t>
            </w:r>
          </w:p>
        </w:tc>
      </w:tr>
    </w:tbl>
    <w:p w:rsidR="00B96F20" w:rsidRPr="00D30457" w:rsidRDefault="00B96F20" w:rsidP="00FC5F55">
      <w:pPr>
        <w:pStyle w:val="NoSpacing"/>
      </w:pPr>
    </w:p>
    <w:p w:rsidR="00152901" w:rsidRDefault="00152901"/>
    <w:p w:rsidR="001B619D" w:rsidRDefault="001B619D">
      <w:pPr>
        <w:pStyle w:val="NumberedPara"/>
      </w:pPr>
      <w:r>
        <w:t>QUALITY RECORDS</w:t>
      </w:r>
    </w:p>
    <w:p w:rsidR="001B619D" w:rsidRDefault="001B619D">
      <w:pPr>
        <w:pStyle w:val="OfficerFile"/>
      </w:pPr>
      <w:r>
        <w:t>Quality Records shall be retained for at least the period shown below.</w:t>
      </w:r>
    </w:p>
    <w:p w:rsidR="001B619D" w:rsidRDefault="001B619D"/>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552"/>
        <w:gridCol w:w="1843"/>
        <w:gridCol w:w="2126"/>
      </w:tblGrid>
      <w:tr w:rsidR="001B619D" w:rsidTr="001627B3">
        <w:tc>
          <w:tcPr>
            <w:tcW w:w="2835" w:type="dxa"/>
          </w:tcPr>
          <w:p w:rsidR="001B619D" w:rsidRDefault="001B619D">
            <w:pPr>
              <w:rPr>
                <w:b/>
              </w:rPr>
            </w:pPr>
            <w:r>
              <w:rPr>
                <w:b/>
              </w:rPr>
              <w:t>Record</w:t>
            </w:r>
          </w:p>
        </w:tc>
        <w:tc>
          <w:tcPr>
            <w:tcW w:w="2552" w:type="dxa"/>
          </w:tcPr>
          <w:p w:rsidR="001B619D" w:rsidRDefault="001B619D">
            <w:pPr>
              <w:rPr>
                <w:b/>
              </w:rPr>
            </w:pPr>
            <w:r>
              <w:rPr>
                <w:b/>
              </w:rPr>
              <w:t>Retention/Disposal Responsibility</w:t>
            </w:r>
          </w:p>
        </w:tc>
        <w:tc>
          <w:tcPr>
            <w:tcW w:w="1843" w:type="dxa"/>
          </w:tcPr>
          <w:p w:rsidR="001B619D" w:rsidRDefault="001B619D">
            <w:pPr>
              <w:rPr>
                <w:b/>
              </w:rPr>
            </w:pPr>
            <w:r>
              <w:rPr>
                <w:b/>
              </w:rPr>
              <w:t>Retention Period</w:t>
            </w:r>
          </w:p>
        </w:tc>
        <w:tc>
          <w:tcPr>
            <w:tcW w:w="2126" w:type="dxa"/>
          </w:tcPr>
          <w:p w:rsidR="001B619D" w:rsidRDefault="001B619D">
            <w:pPr>
              <w:tabs>
                <w:tab w:val="left" w:pos="1735"/>
              </w:tabs>
              <w:rPr>
                <w:b/>
              </w:rPr>
            </w:pPr>
            <w:r>
              <w:rPr>
                <w:b/>
              </w:rPr>
              <w:t>Location</w:t>
            </w:r>
          </w:p>
        </w:tc>
      </w:tr>
      <w:tr w:rsidR="001B619D" w:rsidTr="001627B3">
        <w:tc>
          <w:tcPr>
            <w:tcW w:w="2835" w:type="dxa"/>
          </w:tcPr>
          <w:p w:rsidR="00C97A4E" w:rsidRDefault="00C97A4E" w:rsidP="003D2869">
            <w:pPr>
              <w:jc w:val="left"/>
              <w:rPr>
                <w:sz w:val="20"/>
              </w:rPr>
            </w:pPr>
            <w:r>
              <w:rPr>
                <w:sz w:val="20"/>
              </w:rPr>
              <w:t>Design plans</w:t>
            </w:r>
          </w:p>
          <w:p w:rsidR="00C97A4E" w:rsidRDefault="00C97A4E" w:rsidP="003D2869">
            <w:pPr>
              <w:jc w:val="left"/>
              <w:rPr>
                <w:sz w:val="20"/>
              </w:rPr>
            </w:pPr>
          </w:p>
          <w:p w:rsidR="00C97A4E" w:rsidRDefault="00C97A4E" w:rsidP="00C97A4E">
            <w:pPr>
              <w:jc w:val="left"/>
              <w:rPr>
                <w:sz w:val="20"/>
              </w:rPr>
            </w:pPr>
            <w:r w:rsidRPr="001627B3">
              <w:rPr>
                <w:sz w:val="20"/>
              </w:rPr>
              <w:t>Technical documents associated with commissioning a building and/or  equipment</w:t>
            </w:r>
          </w:p>
          <w:p w:rsidR="00C97A4E" w:rsidRDefault="00C97A4E" w:rsidP="003D2869">
            <w:pPr>
              <w:jc w:val="left"/>
              <w:rPr>
                <w:sz w:val="20"/>
              </w:rPr>
            </w:pPr>
          </w:p>
          <w:p w:rsidR="00C97A4E" w:rsidRDefault="00C97A4E" w:rsidP="003D2869">
            <w:pPr>
              <w:jc w:val="left"/>
              <w:rPr>
                <w:sz w:val="20"/>
              </w:rPr>
            </w:pPr>
          </w:p>
          <w:p w:rsidR="00C97A4E" w:rsidRDefault="00C97A4E" w:rsidP="003D2869">
            <w:pPr>
              <w:jc w:val="left"/>
              <w:rPr>
                <w:sz w:val="20"/>
              </w:rPr>
            </w:pPr>
            <w:r>
              <w:rPr>
                <w:sz w:val="20"/>
              </w:rPr>
              <w:t>Building Efficiency Management Plans</w:t>
            </w:r>
          </w:p>
          <w:p w:rsidR="00C97A4E" w:rsidRPr="001627B3" w:rsidRDefault="00C97A4E" w:rsidP="003D2869">
            <w:pPr>
              <w:jc w:val="left"/>
              <w:rPr>
                <w:sz w:val="20"/>
              </w:rPr>
            </w:pPr>
          </w:p>
        </w:tc>
        <w:tc>
          <w:tcPr>
            <w:tcW w:w="2552" w:type="dxa"/>
          </w:tcPr>
          <w:p w:rsidR="001B619D" w:rsidRPr="001627B3" w:rsidRDefault="001627B3">
            <w:pPr>
              <w:rPr>
                <w:sz w:val="20"/>
              </w:rPr>
            </w:pPr>
            <w:r w:rsidRPr="001627B3">
              <w:rPr>
                <w:b/>
                <w:bCs/>
                <w:sz w:val="20"/>
              </w:rPr>
              <w:t xml:space="preserve">PROS 07/01 – 14.4.1.  </w:t>
            </w:r>
            <w:r w:rsidRPr="001627B3">
              <w:rPr>
                <w:sz w:val="20"/>
              </w:rPr>
              <w:t>Records documenting construction &amp; renovation activities carried out on government owned properties</w:t>
            </w:r>
          </w:p>
        </w:tc>
        <w:tc>
          <w:tcPr>
            <w:tcW w:w="1843" w:type="dxa"/>
          </w:tcPr>
          <w:p w:rsidR="001B619D" w:rsidRPr="001627B3" w:rsidRDefault="00C97A4E">
            <w:pPr>
              <w:rPr>
                <w:sz w:val="20"/>
              </w:rPr>
            </w:pPr>
            <w:r>
              <w:rPr>
                <w:sz w:val="20"/>
              </w:rPr>
              <w:t>Permanent</w:t>
            </w:r>
          </w:p>
        </w:tc>
        <w:tc>
          <w:tcPr>
            <w:tcW w:w="2126" w:type="dxa"/>
          </w:tcPr>
          <w:p w:rsidR="001B619D" w:rsidRPr="001627B3" w:rsidRDefault="00C97A4E" w:rsidP="00A43FF2">
            <w:pPr>
              <w:rPr>
                <w:sz w:val="20"/>
              </w:rPr>
            </w:pPr>
            <w:r>
              <w:rPr>
                <w:sz w:val="20"/>
              </w:rPr>
              <w:t>ReX</w:t>
            </w:r>
          </w:p>
        </w:tc>
      </w:tr>
      <w:tr w:rsidR="001B619D" w:rsidTr="001627B3">
        <w:tc>
          <w:tcPr>
            <w:tcW w:w="2835" w:type="dxa"/>
          </w:tcPr>
          <w:p w:rsidR="001B619D" w:rsidRPr="001627B3" w:rsidRDefault="00C97A4E" w:rsidP="003D2869">
            <w:pPr>
              <w:jc w:val="left"/>
              <w:rPr>
                <w:sz w:val="20"/>
              </w:rPr>
            </w:pPr>
            <w:r>
              <w:rPr>
                <w:sz w:val="20"/>
              </w:rPr>
              <w:t>General</w:t>
            </w:r>
          </w:p>
        </w:tc>
        <w:tc>
          <w:tcPr>
            <w:tcW w:w="2552" w:type="dxa"/>
          </w:tcPr>
          <w:p w:rsidR="001B619D" w:rsidRPr="001627B3" w:rsidRDefault="001627B3">
            <w:pPr>
              <w:rPr>
                <w:sz w:val="20"/>
              </w:rPr>
            </w:pPr>
            <w:r w:rsidRPr="001627B3">
              <w:rPr>
                <w:b/>
                <w:bCs/>
                <w:sz w:val="20"/>
              </w:rPr>
              <w:t>PROS 07/01 – 14.4.2.</w:t>
            </w:r>
            <w:r w:rsidRPr="001627B3">
              <w:rPr>
                <w:sz w:val="20"/>
              </w:rPr>
              <w:t xml:space="preserve">  Records documenting construction &amp; renovation activities carried out on </w:t>
            </w:r>
            <w:r w:rsidRPr="001627B3">
              <w:rPr>
                <w:b/>
                <w:bCs/>
                <w:sz w:val="20"/>
              </w:rPr>
              <w:t>non</w:t>
            </w:r>
            <w:r w:rsidRPr="001627B3">
              <w:rPr>
                <w:sz w:val="20"/>
              </w:rPr>
              <w:t>-government owned properties</w:t>
            </w:r>
          </w:p>
        </w:tc>
        <w:tc>
          <w:tcPr>
            <w:tcW w:w="1843" w:type="dxa"/>
          </w:tcPr>
          <w:p w:rsidR="001B619D" w:rsidRPr="001627B3" w:rsidRDefault="001627B3">
            <w:pPr>
              <w:rPr>
                <w:sz w:val="20"/>
              </w:rPr>
            </w:pPr>
            <w:r w:rsidRPr="001627B3">
              <w:rPr>
                <w:b/>
                <w:bCs/>
                <w:sz w:val="20"/>
              </w:rPr>
              <w:t>Temporary</w:t>
            </w:r>
            <w:r w:rsidRPr="001627B3">
              <w:rPr>
                <w:sz w:val="20"/>
              </w:rPr>
              <w:t xml:space="preserve"> – destroy 15 years after property is no longer occupied</w:t>
            </w:r>
          </w:p>
        </w:tc>
        <w:tc>
          <w:tcPr>
            <w:tcW w:w="2126" w:type="dxa"/>
          </w:tcPr>
          <w:p w:rsidR="001B619D" w:rsidRPr="001627B3" w:rsidRDefault="00C97A4E" w:rsidP="00A43FF2">
            <w:pPr>
              <w:rPr>
                <w:sz w:val="20"/>
              </w:rPr>
            </w:pPr>
            <w:r>
              <w:rPr>
                <w:sz w:val="20"/>
              </w:rPr>
              <w:t>ReX</w:t>
            </w:r>
          </w:p>
        </w:tc>
      </w:tr>
      <w:tr w:rsidR="001B619D" w:rsidTr="001627B3">
        <w:tc>
          <w:tcPr>
            <w:tcW w:w="2835" w:type="dxa"/>
          </w:tcPr>
          <w:p w:rsidR="001B619D" w:rsidRPr="001627B3" w:rsidRDefault="001627B3" w:rsidP="001627B3">
            <w:pPr>
              <w:jc w:val="left"/>
              <w:rPr>
                <w:sz w:val="20"/>
              </w:rPr>
            </w:pPr>
            <w:r w:rsidRPr="001627B3">
              <w:rPr>
                <w:sz w:val="20"/>
              </w:rPr>
              <w:t>Performance measuring and monitoring</w:t>
            </w:r>
          </w:p>
        </w:tc>
        <w:tc>
          <w:tcPr>
            <w:tcW w:w="2552" w:type="dxa"/>
          </w:tcPr>
          <w:p w:rsidR="001B619D" w:rsidRPr="001627B3" w:rsidRDefault="001627B3">
            <w:pPr>
              <w:rPr>
                <w:sz w:val="20"/>
              </w:rPr>
            </w:pPr>
            <w:r w:rsidRPr="001627B3">
              <w:rPr>
                <w:b/>
                <w:bCs/>
                <w:sz w:val="20"/>
              </w:rPr>
              <w:t xml:space="preserve">PROS 09/05 – 7.5.2. </w:t>
            </w:r>
            <w:r w:rsidRPr="001627B3">
              <w:rPr>
                <w:sz w:val="20"/>
              </w:rPr>
              <w:t> Records relating to the development and implementation of routine sustainability initiatives within a municipal jurisdiction</w:t>
            </w:r>
          </w:p>
        </w:tc>
        <w:tc>
          <w:tcPr>
            <w:tcW w:w="1843" w:type="dxa"/>
          </w:tcPr>
          <w:p w:rsidR="001B619D" w:rsidRPr="001627B3" w:rsidRDefault="001627B3">
            <w:pPr>
              <w:rPr>
                <w:sz w:val="20"/>
              </w:rPr>
            </w:pPr>
            <w:r w:rsidRPr="001627B3">
              <w:rPr>
                <w:sz w:val="20"/>
              </w:rPr>
              <w:t>Temporary – destroy 15 years following conclusion of initiative</w:t>
            </w:r>
          </w:p>
        </w:tc>
        <w:tc>
          <w:tcPr>
            <w:tcW w:w="2126" w:type="dxa"/>
          </w:tcPr>
          <w:p w:rsidR="001B619D" w:rsidRPr="001627B3" w:rsidRDefault="00C97A4E">
            <w:pPr>
              <w:rPr>
                <w:sz w:val="20"/>
              </w:rPr>
            </w:pPr>
            <w:r>
              <w:rPr>
                <w:sz w:val="20"/>
              </w:rPr>
              <w:t>ReX</w:t>
            </w:r>
          </w:p>
        </w:tc>
      </w:tr>
      <w:tr w:rsidR="00C97A4E" w:rsidTr="002B3A51">
        <w:trPr>
          <w:trHeight w:val="1069"/>
        </w:trPr>
        <w:tc>
          <w:tcPr>
            <w:tcW w:w="2835" w:type="dxa"/>
          </w:tcPr>
          <w:p w:rsidR="00C97A4E" w:rsidRPr="001627B3" w:rsidRDefault="00C97A4E" w:rsidP="001627B3">
            <w:pPr>
              <w:jc w:val="left"/>
              <w:rPr>
                <w:sz w:val="20"/>
              </w:rPr>
            </w:pPr>
          </w:p>
        </w:tc>
        <w:tc>
          <w:tcPr>
            <w:tcW w:w="2552" w:type="dxa"/>
          </w:tcPr>
          <w:p w:rsidR="00C97A4E" w:rsidRPr="001627B3" w:rsidRDefault="00C97A4E">
            <w:pPr>
              <w:rPr>
                <w:b/>
                <w:bCs/>
                <w:sz w:val="20"/>
              </w:rPr>
            </w:pPr>
            <w:r>
              <w:rPr>
                <w:b/>
                <w:bCs/>
                <w:sz w:val="20"/>
              </w:rPr>
              <w:t>PROS 09/05 – 7.5.1</w:t>
            </w:r>
            <w:r w:rsidRPr="001627B3">
              <w:rPr>
                <w:b/>
                <w:bCs/>
                <w:sz w:val="20"/>
              </w:rPr>
              <w:t xml:space="preserve">. </w:t>
            </w:r>
            <w:r w:rsidRPr="001627B3">
              <w:rPr>
                <w:sz w:val="20"/>
              </w:rPr>
              <w:t xml:space="preserve">Records relating to the development and implementation of </w:t>
            </w:r>
            <w:r>
              <w:rPr>
                <w:sz w:val="20"/>
              </w:rPr>
              <w:t>significant and unique</w:t>
            </w:r>
            <w:r w:rsidRPr="001627B3">
              <w:rPr>
                <w:sz w:val="20"/>
              </w:rPr>
              <w:t xml:space="preserve"> sustainability initiatives within a municipal jurisdiction</w:t>
            </w:r>
          </w:p>
        </w:tc>
        <w:tc>
          <w:tcPr>
            <w:tcW w:w="1843" w:type="dxa"/>
          </w:tcPr>
          <w:p w:rsidR="00C97A4E" w:rsidRPr="001627B3" w:rsidRDefault="00C97A4E">
            <w:pPr>
              <w:rPr>
                <w:sz w:val="20"/>
              </w:rPr>
            </w:pPr>
            <w:r>
              <w:rPr>
                <w:sz w:val="20"/>
              </w:rPr>
              <w:t>Temporary – destroy 2</w:t>
            </w:r>
            <w:r w:rsidRPr="001627B3">
              <w:rPr>
                <w:sz w:val="20"/>
              </w:rPr>
              <w:t>5 years following conclusion of initiative</w:t>
            </w:r>
          </w:p>
        </w:tc>
        <w:tc>
          <w:tcPr>
            <w:tcW w:w="2126" w:type="dxa"/>
          </w:tcPr>
          <w:p w:rsidR="00C97A4E" w:rsidRPr="001627B3" w:rsidRDefault="00C97A4E">
            <w:pPr>
              <w:rPr>
                <w:sz w:val="20"/>
              </w:rPr>
            </w:pPr>
            <w:r>
              <w:rPr>
                <w:sz w:val="20"/>
              </w:rPr>
              <w:t>ReX</w:t>
            </w:r>
          </w:p>
        </w:tc>
      </w:tr>
    </w:tbl>
    <w:p w:rsidR="001B619D" w:rsidRDefault="001B619D">
      <w:pPr>
        <w:tabs>
          <w:tab w:val="left" w:pos="709"/>
        </w:tabs>
      </w:pPr>
    </w:p>
    <w:p w:rsidR="001627B3" w:rsidRDefault="001627B3">
      <w:pPr>
        <w:tabs>
          <w:tab w:val="left" w:pos="709"/>
        </w:tabs>
      </w:pPr>
    </w:p>
    <w:p w:rsidR="001627B3" w:rsidRDefault="002B3A51">
      <w:pPr>
        <w:tabs>
          <w:tab w:val="left" w:pos="709"/>
        </w:tabs>
      </w:pPr>
      <w:r>
        <w:br w:type="page"/>
      </w:r>
    </w:p>
    <w:p w:rsidR="001627B3" w:rsidRDefault="001627B3">
      <w:pPr>
        <w:tabs>
          <w:tab w:val="left" w:pos="709"/>
        </w:tabs>
      </w:pPr>
    </w:p>
    <w:p w:rsidR="004B7D24" w:rsidRDefault="001B619D" w:rsidP="004B7D24">
      <w:pPr>
        <w:pStyle w:val="NumberedPara"/>
      </w:pPr>
      <w:r>
        <w:t>ATTACHMENTS</w:t>
      </w:r>
    </w:p>
    <w:p w:rsidR="004B7D24" w:rsidRDefault="004B7D24" w:rsidP="004B7D24"/>
    <w:p w:rsidR="004B7D24" w:rsidRPr="00104C33" w:rsidRDefault="00666D46" w:rsidP="00104C33">
      <w:pPr>
        <w:pStyle w:val="Heading3"/>
      </w:pPr>
      <w:r>
        <w:t>ATACHMENT 1: OVERVIEW OF BUILDING RATING STANDARDS</w:t>
      </w:r>
    </w:p>
    <w:p w:rsidR="004B7D24" w:rsidRPr="00E715A0" w:rsidRDefault="004B7D24" w:rsidP="004B7D24">
      <w:pPr>
        <w:rPr>
          <w:rFonts w:cstheme="minorBidi"/>
          <w:szCs w:val="24"/>
        </w:rPr>
      </w:pPr>
      <w:r w:rsidRPr="005000D2">
        <w:rPr>
          <w:szCs w:val="24"/>
        </w:rPr>
        <w:t>There are a number of different rating tools and standards that apply to a sustainable built environment. Unfortunately there is not one rating that covers the design, build and operational performance of buildings. The purpose and level of detail covered must be matched to the size and type of building as well as the life stage of building. It is necessary to choose the right rating for the right purpose, even though it might appear simpler to use one rating standard across all building types and stages.</w:t>
      </w:r>
      <w:r w:rsidR="00E715A0">
        <w:rPr>
          <w:rFonts w:cstheme="minorBidi"/>
          <w:szCs w:val="24"/>
        </w:rPr>
        <w:t xml:space="preserve"> </w:t>
      </w:r>
      <w:r w:rsidRPr="002C6083">
        <w:rPr>
          <w:rFonts w:cstheme="minorHAnsi"/>
          <w:szCs w:val="24"/>
        </w:rPr>
        <w:t xml:space="preserve">GreenStar and NABERS, for example, are suitable </w:t>
      </w:r>
      <w:r w:rsidR="007023E0">
        <w:rPr>
          <w:rFonts w:cstheme="minorHAnsi"/>
          <w:szCs w:val="24"/>
        </w:rPr>
        <w:t>too</w:t>
      </w:r>
      <w:r w:rsidRPr="002C6083">
        <w:rPr>
          <w:rFonts w:cstheme="minorHAnsi"/>
          <w:szCs w:val="24"/>
        </w:rPr>
        <w:t>ls for large buildings but may be too onerous (and expensive) to apply to small buildings. The following table provides a simple guide:</w:t>
      </w:r>
    </w:p>
    <w:p w:rsidR="00646142" w:rsidRPr="004B7D24" w:rsidRDefault="00646142" w:rsidP="004B7D24"/>
    <w:p w:rsidR="004B7D24" w:rsidRPr="0002445C" w:rsidRDefault="004B7D24" w:rsidP="004B7D24">
      <w:bookmarkStart w:id="17" w:name="_Toc311656257"/>
      <w:r w:rsidRPr="0002445C">
        <w:t>Sustainability tools for Local Government in Victoria</w:t>
      </w:r>
      <w:bookmarkEnd w:id="17"/>
    </w:p>
    <w:tbl>
      <w:tblPr>
        <w:tblStyle w:val="TableGrid"/>
        <w:tblW w:w="0" w:type="auto"/>
        <w:shd w:val="clear" w:color="auto" w:fill="D9D9D9" w:themeFill="background1" w:themeFillShade="D9"/>
        <w:tblLook w:val="04A0" w:firstRow="1" w:lastRow="0" w:firstColumn="1" w:lastColumn="0" w:noHBand="0" w:noVBand="1"/>
      </w:tblPr>
      <w:tblGrid>
        <w:gridCol w:w="3095"/>
        <w:gridCol w:w="3096"/>
        <w:gridCol w:w="3096"/>
      </w:tblGrid>
      <w:tr w:rsidR="004B7D24" w:rsidTr="0099287C">
        <w:tc>
          <w:tcPr>
            <w:tcW w:w="3095" w:type="dxa"/>
            <w:tcBorders>
              <w:bottom w:val="single" w:sz="18" w:space="0" w:color="000000" w:themeColor="text1"/>
              <w:right w:val="single" w:sz="18" w:space="0" w:color="000000" w:themeColor="text1"/>
            </w:tcBorders>
            <w:shd w:val="clear" w:color="auto" w:fill="A6A6A6" w:themeFill="background1" w:themeFillShade="A6"/>
          </w:tcPr>
          <w:p w:rsidR="004B7D24" w:rsidRDefault="004B7D24" w:rsidP="006A3383">
            <w:pPr>
              <w:jc w:val="left"/>
            </w:pPr>
          </w:p>
        </w:tc>
        <w:tc>
          <w:tcPr>
            <w:tcW w:w="3096" w:type="dxa"/>
            <w:tcBorders>
              <w:left w:val="single" w:sz="18" w:space="0" w:color="000000" w:themeColor="text1"/>
              <w:bottom w:val="single" w:sz="18" w:space="0" w:color="000000" w:themeColor="text1"/>
            </w:tcBorders>
            <w:shd w:val="clear" w:color="auto" w:fill="A6A6A6" w:themeFill="background1" w:themeFillShade="A6"/>
          </w:tcPr>
          <w:p w:rsidR="004B7D24" w:rsidRDefault="004B7D24" w:rsidP="006A3383">
            <w:pPr>
              <w:jc w:val="left"/>
              <w:rPr>
                <w:rFonts w:cstheme="minorHAnsi"/>
                <w:szCs w:val="24"/>
              </w:rPr>
            </w:pPr>
            <w:r w:rsidRPr="004B7D24">
              <w:rPr>
                <w:rFonts w:cstheme="minorHAnsi"/>
                <w:szCs w:val="24"/>
              </w:rPr>
              <w:t>Large facilities (&gt;</w:t>
            </w:r>
            <w:r w:rsidR="00093C1E">
              <w:rPr>
                <w:rFonts w:cstheme="minorHAnsi"/>
                <w:szCs w:val="24"/>
              </w:rPr>
              <w:t>1500</w:t>
            </w:r>
            <w:r w:rsidR="00093C1E" w:rsidRPr="004B7D24">
              <w:rPr>
                <w:rFonts w:cstheme="minorHAnsi"/>
                <w:szCs w:val="24"/>
              </w:rPr>
              <w:t>m</w:t>
            </w:r>
            <w:r w:rsidR="00093C1E" w:rsidRPr="004B7D24">
              <w:rPr>
                <w:rFonts w:cstheme="minorHAnsi"/>
                <w:szCs w:val="24"/>
                <w:vertAlign w:val="superscript"/>
              </w:rPr>
              <w:t>2</w:t>
            </w:r>
            <w:r w:rsidRPr="004B7D24">
              <w:rPr>
                <w:rFonts w:cstheme="minorHAnsi"/>
                <w:szCs w:val="24"/>
              </w:rPr>
              <w:t>)</w:t>
            </w:r>
          </w:p>
          <w:p w:rsidR="00104C33" w:rsidRDefault="00104C33" w:rsidP="006A3383">
            <w:pPr>
              <w:jc w:val="left"/>
            </w:pPr>
          </w:p>
        </w:tc>
        <w:tc>
          <w:tcPr>
            <w:tcW w:w="3096" w:type="dxa"/>
            <w:tcBorders>
              <w:bottom w:val="single" w:sz="18" w:space="0" w:color="000000" w:themeColor="text1"/>
            </w:tcBorders>
            <w:shd w:val="clear" w:color="auto" w:fill="A6A6A6" w:themeFill="background1" w:themeFillShade="A6"/>
          </w:tcPr>
          <w:p w:rsidR="004B7D24" w:rsidRDefault="004B7D24" w:rsidP="00093C1E">
            <w:pPr>
              <w:jc w:val="left"/>
            </w:pPr>
            <w:r w:rsidRPr="004B7D24">
              <w:rPr>
                <w:rFonts w:cstheme="minorHAnsi"/>
                <w:szCs w:val="24"/>
              </w:rPr>
              <w:t>Small facilities (&lt;</w:t>
            </w:r>
            <w:r w:rsidR="00093C1E">
              <w:rPr>
                <w:rFonts w:cstheme="minorHAnsi"/>
                <w:szCs w:val="24"/>
              </w:rPr>
              <w:t>1500</w:t>
            </w:r>
            <w:r w:rsidR="00093C1E" w:rsidRPr="004B7D24">
              <w:rPr>
                <w:rFonts w:cstheme="minorHAnsi"/>
                <w:szCs w:val="24"/>
              </w:rPr>
              <w:t>m</w:t>
            </w:r>
            <w:r w:rsidR="00093C1E" w:rsidRPr="004B7D24">
              <w:rPr>
                <w:rFonts w:cstheme="minorHAnsi"/>
                <w:szCs w:val="24"/>
                <w:vertAlign w:val="superscript"/>
              </w:rPr>
              <w:t>2</w:t>
            </w:r>
            <w:r w:rsidRPr="004B7D24">
              <w:rPr>
                <w:rFonts w:cstheme="minorHAnsi"/>
                <w:szCs w:val="24"/>
              </w:rPr>
              <w:t>)</w:t>
            </w:r>
          </w:p>
        </w:tc>
      </w:tr>
      <w:tr w:rsidR="004B7D24" w:rsidTr="00666D46">
        <w:tc>
          <w:tcPr>
            <w:tcW w:w="3095" w:type="dxa"/>
            <w:tcBorders>
              <w:top w:val="single" w:sz="18" w:space="0" w:color="000000" w:themeColor="text1"/>
              <w:right w:val="single" w:sz="18" w:space="0" w:color="000000" w:themeColor="text1"/>
            </w:tcBorders>
            <w:shd w:val="clear" w:color="auto" w:fill="D9D9D9" w:themeFill="background1" w:themeFillShade="D9"/>
          </w:tcPr>
          <w:p w:rsidR="004B7D24" w:rsidRDefault="004B7D24" w:rsidP="006A3383">
            <w:pPr>
              <w:jc w:val="left"/>
            </w:pPr>
            <w:r w:rsidRPr="004B7D24">
              <w:rPr>
                <w:rFonts w:cstheme="minorHAnsi"/>
                <w:szCs w:val="24"/>
              </w:rPr>
              <w:t>Design &amp; Build</w:t>
            </w:r>
          </w:p>
        </w:tc>
        <w:tc>
          <w:tcPr>
            <w:tcW w:w="3096" w:type="dxa"/>
            <w:tcBorders>
              <w:top w:val="single" w:sz="18" w:space="0" w:color="000000" w:themeColor="text1"/>
              <w:left w:val="single" w:sz="18" w:space="0" w:color="000000" w:themeColor="text1"/>
            </w:tcBorders>
            <w:shd w:val="clear" w:color="auto" w:fill="D9D9D9" w:themeFill="background1" w:themeFillShade="D9"/>
          </w:tcPr>
          <w:p w:rsidR="004B7D24" w:rsidRDefault="004B7D24" w:rsidP="006A3383">
            <w:pPr>
              <w:jc w:val="left"/>
            </w:pPr>
            <w:r w:rsidRPr="004B7D24">
              <w:rPr>
                <w:rFonts w:cstheme="minorHAnsi"/>
                <w:szCs w:val="24"/>
              </w:rPr>
              <w:t>Green Star</w:t>
            </w:r>
          </w:p>
        </w:tc>
        <w:tc>
          <w:tcPr>
            <w:tcW w:w="3096" w:type="dxa"/>
            <w:tcBorders>
              <w:top w:val="single" w:sz="18" w:space="0" w:color="000000" w:themeColor="text1"/>
            </w:tcBorders>
            <w:shd w:val="clear" w:color="auto" w:fill="D9D9D9" w:themeFill="background1" w:themeFillShade="D9"/>
          </w:tcPr>
          <w:p w:rsidR="004B7D24" w:rsidRDefault="00093C1E" w:rsidP="006A3383">
            <w:pPr>
              <w:jc w:val="left"/>
              <w:rPr>
                <w:rFonts w:cstheme="minorHAnsi"/>
                <w:szCs w:val="24"/>
              </w:rPr>
            </w:pPr>
            <w:r>
              <w:rPr>
                <w:rFonts w:cstheme="minorHAnsi"/>
                <w:szCs w:val="24"/>
              </w:rPr>
              <w:t xml:space="preserve">Built Environment </w:t>
            </w:r>
            <w:r w:rsidR="004B7D24" w:rsidRPr="004B7D24">
              <w:rPr>
                <w:rFonts w:cstheme="minorHAnsi"/>
                <w:szCs w:val="24"/>
              </w:rPr>
              <w:t>S</w:t>
            </w:r>
            <w:r w:rsidR="004B7D24">
              <w:rPr>
                <w:rFonts w:cstheme="minorHAnsi"/>
                <w:szCs w:val="24"/>
              </w:rPr>
              <w:t>ustainab</w:t>
            </w:r>
            <w:r>
              <w:rPr>
                <w:rFonts w:cstheme="minorHAnsi"/>
                <w:szCs w:val="24"/>
              </w:rPr>
              <w:t>ility</w:t>
            </w:r>
            <w:r w:rsidR="004B7D24" w:rsidRPr="004B7D24">
              <w:rPr>
                <w:rFonts w:cstheme="minorHAnsi"/>
                <w:szCs w:val="24"/>
              </w:rPr>
              <w:t xml:space="preserve"> </w:t>
            </w:r>
            <w:r w:rsidR="004B7D24">
              <w:rPr>
                <w:rFonts w:cstheme="minorHAnsi"/>
                <w:szCs w:val="24"/>
              </w:rPr>
              <w:t xml:space="preserve"> </w:t>
            </w:r>
            <w:r w:rsidR="004B7D24" w:rsidRPr="004B7D24">
              <w:rPr>
                <w:rFonts w:cstheme="minorHAnsi"/>
                <w:szCs w:val="24"/>
              </w:rPr>
              <w:t>Scorecard (</w:t>
            </w:r>
            <w:r>
              <w:rPr>
                <w:rFonts w:cstheme="minorHAnsi"/>
                <w:szCs w:val="24"/>
              </w:rPr>
              <w:t>BESS</w:t>
            </w:r>
            <w:r w:rsidR="004B7D24" w:rsidRPr="004B7D24">
              <w:rPr>
                <w:rFonts w:cstheme="minorHAnsi"/>
                <w:szCs w:val="24"/>
              </w:rPr>
              <w:t>)</w:t>
            </w:r>
          </w:p>
          <w:p w:rsidR="004B7D24" w:rsidRDefault="004B7D24" w:rsidP="006A3383">
            <w:pPr>
              <w:jc w:val="left"/>
            </w:pPr>
          </w:p>
        </w:tc>
      </w:tr>
      <w:tr w:rsidR="004B7D24" w:rsidTr="00666D46">
        <w:tc>
          <w:tcPr>
            <w:tcW w:w="3095" w:type="dxa"/>
            <w:tcBorders>
              <w:right w:val="single" w:sz="18" w:space="0" w:color="000000" w:themeColor="text1"/>
            </w:tcBorders>
            <w:shd w:val="clear" w:color="auto" w:fill="D9D9D9" w:themeFill="background1" w:themeFillShade="D9"/>
          </w:tcPr>
          <w:p w:rsidR="004B7D24" w:rsidRDefault="004B7D24" w:rsidP="006A3383">
            <w:pPr>
              <w:jc w:val="left"/>
            </w:pPr>
            <w:r w:rsidRPr="004B7D24">
              <w:rPr>
                <w:rFonts w:cstheme="minorHAnsi"/>
                <w:szCs w:val="24"/>
              </w:rPr>
              <w:t>Operational performance</w:t>
            </w:r>
          </w:p>
        </w:tc>
        <w:tc>
          <w:tcPr>
            <w:tcW w:w="3096" w:type="dxa"/>
            <w:tcBorders>
              <w:left w:val="single" w:sz="18" w:space="0" w:color="000000" w:themeColor="text1"/>
            </w:tcBorders>
            <w:shd w:val="clear" w:color="auto" w:fill="D9D9D9" w:themeFill="background1" w:themeFillShade="D9"/>
          </w:tcPr>
          <w:p w:rsidR="004B7D24" w:rsidRDefault="004B7D24" w:rsidP="006A3383">
            <w:pPr>
              <w:jc w:val="left"/>
            </w:pPr>
            <w:r w:rsidRPr="004B7D24">
              <w:rPr>
                <w:rFonts w:cstheme="minorHAnsi"/>
                <w:szCs w:val="24"/>
              </w:rPr>
              <w:t>NABERS</w:t>
            </w:r>
          </w:p>
        </w:tc>
        <w:tc>
          <w:tcPr>
            <w:tcW w:w="3096" w:type="dxa"/>
            <w:shd w:val="clear" w:color="auto" w:fill="D9D9D9" w:themeFill="background1" w:themeFillShade="D9"/>
          </w:tcPr>
          <w:p w:rsidR="004B7D24" w:rsidRPr="004B7D24" w:rsidRDefault="004B7D24" w:rsidP="006A3383">
            <w:pPr>
              <w:jc w:val="left"/>
              <w:rPr>
                <w:rFonts w:cstheme="minorHAnsi"/>
                <w:szCs w:val="24"/>
              </w:rPr>
            </w:pPr>
            <w:r w:rsidRPr="004B7D24">
              <w:rPr>
                <w:rFonts w:cstheme="minorHAnsi"/>
                <w:szCs w:val="24"/>
              </w:rPr>
              <w:t xml:space="preserve">NABERS or equivalent </w:t>
            </w:r>
          </w:p>
          <w:p w:rsidR="004B7D24" w:rsidRDefault="004B7D24" w:rsidP="006A3383">
            <w:pPr>
              <w:jc w:val="left"/>
              <w:rPr>
                <w:rFonts w:cstheme="minorHAnsi"/>
                <w:szCs w:val="24"/>
              </w:rPr>
            </w:pPr>
            <w:r w:rsidRPr="004B7D24">
              <w:rPr>
                <w:rFonts w:cstheme="minorHAnsi"/>
                <w:szCs w:val="24"/>
              </w:rPr>
              <w:t>(such as Engeneous)</w:t>
            </w:r>
          </w:p>
          <w:p w:rsidR="004B7D24" w:rsidRDefault="004B7D24" w:rsidP="006A3383">
            <w:pPr>
              <w:jc w:val="left"/>
            </w:pPr>
          </w:p>
        </w:tc>
      </w:tr>
    </w:tbl>
    <w:p w:rsidR="001B619D" w:rsidRDefault="001B619D"/>
    <w:p w:rsidR="004B7D24" w:rsidRDefault="004B7D24" w:rsidP="004B7D24">
      <w:pPr>
        <w:rPr>
          <w:rFonts w:cstheme="minorHAnsi"/>
          <w:szCs w:val="24"/>
        </w:rPr>
      </w:pPr>
      <w:r w:rsidRPr="002C6083">
        <w:rPr>
          <w:rFonts w:cstheme="minorHAnsi"/>
          <w:szCs w:val="24"/>
        </w:rPr>
        <w:t xml:space="preserve">Further detail of the tools is provided in the </w:t>
      </w:r>
      <w:r w:rsidRPr="001E43DD">
        <w:rPr>
          <w:rFonts w:cstheme="minorHAnsi"/>
          <w:szCs w:val="24"/>
        </w:rPr>
        <w:t>Sustainable Building Management Plan</w:t>
      </w:r>
      <w:r w:rsidRPr="002C6083">
        <w:rPr>
          <w:rFonts w:cstheme="minorHAnsi"/>
          <w:szCs w:val="24"/>
        </w:rPr>
        <w:t xml:space="preserve"> prepared by Ironbark Sustainability.</w:t>
      </w:r>
    </w:p>
    <w:p w:rsidR="004B7D24" w:rsidRDefault="004B7D24" w:rsidP="001E43DD">
      <w:pPr>
        <w:pStyle w:val="Heading3"/>
      </w:pPr>
    </w:p>
    <w:sectPr w:rsidR="004B7D24" w:rsidSect="001E43DD">
      <w:pgSz w:w="11907" w:h="16840" w:code="184"/>
      <w:pgMar w:top="851" w:right="1418" w:bottom="851" w:left="1418" w:header="567" w:footer="56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CF" w:rsidRDefault="004C23CF" w:rsidP="00AF40B5">
      <w:r>
        <w:separator/>
      </w:r>
    </w:p>
  </w:endnote>
  <w:endnote w:type="continuationSeparator" w:id="0">
    <w:p w:rsidR="004C23CF" w:rsidRDefault="004C23CF" w:rsidP="00AF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CF" w:rsidRDefault="004C23CF" w:rsidP="00AF40B5">
      <w:r>
        <w:separator/>
      </w:r>
    </w:p>
  </w:footnote>
  <w:footnote w:type="continuationSeparator" w:id="0">
    <w:p w:rsidR="004C23CF" w:rsidRDefault="004C23CF" w:rsidP="00AF4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5E6073F"/>
    <w:multiLevelType w:val="hybridMultilevel"/>
    <w:tmpl w:val="B9FCA4EE"/>
    <w:lvl w:ilvl="0" w:tplc="D53E244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9">
    <w:nsid w:val="0FE871FA"/>
    <w:multiLevelType w:val="hybridMultilevel"/>
    <w:tmpl w:val="578607E2"/>
    <w:lvl w:ilvl="0" w:tplc="A3D838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11">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3">
    <w:nsid w:val="1CBC0452"/>
    <w:multiLevelType w:val="hybridMultilevel"/>
    <w:tmpl w:val="5B0C4C96"/>
    <w:lvl w:ilvl="0" w:tplc="A9D4D7A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15">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16">
    <w:nsid w:val="31471D2D"/>
    <w:multiLevelType w:val="hybridMultilevel"/>
    <w:tmpl w:val="D994925C"/>
    <w:lvl w:ilvl="0" w:tplc="66CC0ED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CC5675"/>
    <w:multiLevelType w:val="hybridMultilevel"/>
    <w:tmpl w:val="DE46ABEC"/>
    <w:lvl w:ilvl="0" w:tplc="2A0A415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CBE02CE"/>
    <w:multiLevelType w:val="hybridMultilevel"/>
    <w:tmpl w:val="B9EE7C5A"/>
    <w:lvl w:ilvl="0" w:tplc="285CBCA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56604F"/>
    <w:multiLevelType w:val="hybridMultilevel"/>
    <w:tmpl w:val="558A25A0"/>
    <w:lvl w:ilvl="0" w:tplc="C1241D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3D6BED"/>
    <w:multiLevelType w:val="hybridMultilevel"/>
    <w:tmpl w:val="7DBE5386"/>
    <w:lvl w:ilvl="0" w:tplc="CA24840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685D8D"/>
    <w:multiLevelType w:val="hybridMultilevel"/>
    <w:tmpl w:val="125244E2"/>
    <w:lvl w:ilvl="0" w:tplc="0FB620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367258"/>
    <w:multiLevelType w:val="hybridMultilevel"/>
    <w:tmpl w:val="2A86BCE8"/>
    <w:lvl w:ilvl="0" w:tplc="7FE045A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5">
    <w:nsid w:val="59EB575A"/>
    <w:multiLevelType w:val="hybridMultilevel"/>
    <w:tmpl w:val="8DB01AE2"/>
    <w:lvl w:ilvl="0" w:tplc="DA5A3BAA">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30F2"/>
    <w:multiLevelType w:val="hybridMultilevel"/>
    <w:tmpl w:val="FDDC9F74"/>
    <w:lvl w:ilvl="0" w:tplc="A614D98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607AFD"/>
    <w:multiLevelType w:val="hybridMultilevel"/>
    <w:tmpl w:val="EFFC6098"/>
    <w:lvl w:ilvl="0" w:tplc="27AC396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756A28"/>
    <w:multiLevelType w:val="hybridMultilevel"/>
    <w:tmpl w:val="A6B61464"/>
    <w:lvl w:ilvl="0" w:tplc="0C09000F">
      <w:start w:val="1"/>
      <w:numFmt w:val="decimal"/>
      <w:lvlText w:val="%1."/>
      <w:lvlJc w:val="left"/>
      <w:pPr>
        <w:ind w:left="781" w:hanging="360"/>
      </w:pPr>
    </w:lvl>
    <w:lvl w:ilvl="1" w:tplc="0C090019" w:tentative="1">
      <w:start w:val="1"/>
      <w:numFmt w:val="lowerLetter"/>
      <w:lvlText w:val="%2."/>
      <w:lvlJc w:val="left"/>
      <w:pPr>
        <w:ind w:left="1501" w:hanging="360"/>
      </w:pPr>
    </w:lvl>
    <w:lvl w:ilvl="2" w:tplc="0C09001B" w:tentative="1">
      <w:start w:val="1"/>
      <w:numFmt w:val="lowerRoman"/>
      <w:lvlText w:val="%3."/>
      <w:lvlJc w:val="right"/>
      <w:pPr>
        <w:ind w:left="2221" w:hanging="180"/>
      </w:pPr>
    </w:lvl>
    <w:lvl w:ilvl="3" w:tplc="0C09000F" w:tentative="1">
      <w:start w:val="1"/>
      <w:numFmt w:val="decimal"/>
      <w:lvlText w:val="%4."/>
      <w:lvlJc w:val="left"/>
      <w:pPr>
        <w:ind w:left="2941" w:hanging="360"/>
      </w:pPr>
    </w:lvl>
    <w:lvl w:ilvl="4" w:tplc="0C090019" w:tentative="1">
      <w:start w:val="1"/>
      <w:numFmt w:val="lowerLetter"/>
      <w:lvlText w:val="%5."/>
      <w:lvlJc w:val="left"/>
      <w:pPr>
        <w:ind w:left="3661" w:hanging="360"/>
      </w:pPr>
    </w:lvl>
    <w:lvl w:ilvl="5" w:tplc="0C09001B" w:tentative="1">
      <w:start w:val="1"/>
      <w:numFmt w:val="lowerRoman"/>
      <w:lvlText w:val="%6."/>
      <w:lvlJc w:val="right"/>
      <w:pPr>
        <w:ind w:left="4381" w:hanging="180"/>
      </w:pPr>
    </w:lvl>
    <w:lvl w:ilvl="6" w:tplc="0C09000F" w:tentative="1">
      <w:start w:val="1"/>
      <w:numFmt w:val="decimal"/>
      <w:lvlText w:val="%7."/>
      <w:lvlJc w:val="left"/>
      <w:pPr>
        <w:ind w:left="5101" w:hanging="360"/>
      </w:pPr>
    </w:lvl>
    <w:lvl w:ilvl="7" w:tplc="0C090019" w:tentative="1">
      <w:start w:val="1"/>
      <w:numFmt w:val="lowerLetter"/>
      <w:lvlText w:val="%8."/>
      <w:lvlJc w:val="left"/>
      <w:pPr>
        <w:ind w:left="5821" w:hanging="360"/>
      </w:pPr>
    </w:lvl>
    <w:lvl w:ilvl="8" w:tplc="0C09001B" w:tentative="1">
      <w:start w:val="1"/>
      <w:numFmt w:val="lowerRoman"/>
      <w:lvlText w:val="%9."/>
      <w:lvlJc w:val="right"/>
      <w:pPr>
        <w:ind w:left="6541" w:hanging="180"/>
      </w:pPr>
    </w:lvl>
  </w:abstractNum>
  <w:abstractNum w:abstractNumId="29">
    <w:nsid w:val="754C2F0C"/>
    <w:multiLevelType w:val="hybridMultilevel"/>
    <w:tmpl w:val="411AD62E"/>
    <w:lvl w:ilvl="0" w:tplc="60FABAE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58671B8"/>
    <w:multiLevelType w:val="hybridMultilevel"/>
    <w:tmpl w:val="2810524A"/>
    <w:lvl w:ilvl="0" w:tplc="41721A5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32">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33">
    <w:nsid w:val="7D4D3A6D"/>
    <w:multiLevelType w:val="singleLevel"/>
    <w:tmpl w:val="AA8AE748"/>
    <w:lvl w:ilvl="0">
      <w:start w:val="1"/>
      <w:numFmt w:val="decimal"/>
      <w:pStyle w:val="MLstyle"/>
      <w:lvlText w:val="%1)"/>
      <w:lvlJc w:val="left"/>
      <w:pPr>
        <w:tabs>
          <w:tab w:val="num" w:pos="927"/>
        </w:tabs>
        <w:ind w:left="924" w:hanging="357"/>
      </w:pPr>
    </w:lvl>
  </w:abstractNum>
  <w:num w:numId="1">
    <w:abstractNumId w:val="10"/>
  </w:num>
  <w:num w:numId="2">
    <w:abstractNumId w:val="4"/>
  </w:num>
  <w:num w:numId="3">
    <w:abstractNumId w:val="3"/>
  </w:num>
  <w:num w:numId="4">
    <w:abstractNumId w:val="1"/>
  </w:num>
  <w:num w:numId="5">
    <w:abstractNumId w:val="2"/>
  </w:num>
  <w:num w:numId="6">
    <w:abstractNumId w:val="0"/>
  </w:num>
  <w:num w:numId="7">
    <w:abstractNumId w:val="33"/>
  </w:num>
  <w:num w:numId="8">
    <w:abstractNumId w:val="11"/>
  </w:num>
  <w:num w:numId="9">
    <w:abstractNumId w:val="18"/>
  </w:num>
  <w:num w:numId="10">
    <w:abstractNumId w:val="6"/>
  </w:num>
  <w:num w:numId="11">
    <w:abstractNumId w:val="6"/>
  </w:num>
  <w:num w:numId="12">
    <w:abstractNumId w:val="6"/>
  </w:num>
  <w:num w:numId="13">
    <w:abstractNumId w:val="6"/>
  </w:num>
  <w:num w:numId="14">
    <w:abstractNumId w:val="6"/>
  </w:num>
  <w:num w:numId="15">
    <w:abstractNumId w:val="6"/>
  </w:num>
  <w:num w:numId="16">
    <w:abstractNumId w:val="24"/>
  </w:num>
  <w:num w:numId="17">
    <w:abstractNumId w:val="32"/>
  </w:num>
  <w:num w:numId="18">
    <w:abstractNumId w:val="5"/>
  </w:num>
  <w:num w:numId="19">
    <w:abstractNumId w:val="8"/>
  </w:num>
  <w:num w:numId="20">
    <w:abstractNumId w:val="31"/>
  </w:num>
  <w:num w:numId="21">
    <w:abstractNumId w:val="12"/>
  </w:num>
  <w:num w:numId="22">
    <w:abstractNumId w:val="15"/>
  </w:num>
  <w:num w:numId="23">
    <w:abstractNumId w:val="14"/>
  </w:num>
  <w:num w:numId="24">
    <w:abstractNumId w:val="26"/>
  </w:num>
  <w:num w:numId="25">
    <w:abstractNumId w:val="22"/>
  </w:num>
  <w:num w:numId="26">
    <w:abstractNumId w:val="30"/>
  </w:num>
  <w:num w:numId="27">
    <w:abstractNumId w:val="7"/>
  </w:num>
  <w:num w:numId="28">
    <w:abstractNumId w:val="19"/>
  </w:num>
  <w:num w:numId="29">
    <w:abstractNumId w:val="29"/>
  </w:num>
  <w:num w:numId="30">
    <w:abstractNumId w:val="23"/>
  </w:num>
  <w:num w:numId="31">
    <w:abstractNumId w:val="25"/>
  </w:num>
  <w:num w:numId="32">
    <w:abstractNumId w:val="27"/>
  </w:num>
  <w:num w:numId="33">
    <w:abstractNumId w:val="9"/>
  </w:num>
  <w:num w:numId="34">
    <w:abstractNumId w:val="16"/>
  </w:num>
  <w:num w:numId="35">
    <w:abstractNumId w:val="20"/>
  </w:num>
  <w:num w:numId="36">
    <w:abstractNumId w:val="17"/>
  </w:num>
  <w:num w:numId="37">
    <w:abstractNumId w:val="13"/>
  </w:num>
  <w:num w:numId="38">
    <w:abstractNumId w:val="28"/>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doNotShadeFormData/>
  <w:noPunctuationKerning/>
  <w:characterSpacingControl w:val="doNotCompress"/>
  <w:hdrShapeDefaults>
    <o:shapedefaults v:ext="edit" spidmax="522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104"/>
    <w:rsid w:val="0002445C"/>
    <w:rsid w:val="0007503E"/>
    <w:rsid w:val="0008755C"/>
    <w:rsid w:val="00093C1E"/>
    <w:rsid w:val="000A53D9"/>
    <w:rsid w:val="000C4916"/>
    <w:rsid w:val="000C7FBC"/>
    <w:rsid w:val="000E5154"/>
    <w:rsid w:val="0010262D"/>
    <w:rsid w:val="00104C33"/>
    <w:rsid w:val="0011696F"/>
    <w:rsid w:val="00121F23"/>
    <w:rsid w:val="00125561"/>
    <w:rsid w:val="00127283"/>
    <w:rsid w:val="00137104"/>
    <w:rsid w:val="0014078F"/>
    <w:rsid w:val="001423DD"/>
    <w:rsid w:val="00143C7C"/>
    <w:rsid w:val="00152901"/>
    <w:rsid w:val="001627B3"/>
    <w:rsid w:val="00166A6B"/>
    <w:rsid w:val="001A4259"/>
    <w:rsid w:val="001B619D"/>
    <w:rsid w:val="001E43DD"/>
    <w:rsid w:val="00264EC8"/>
    <w:rsid w:val="00265482"/>
    <w:rsid w:val="00267426"/>
    <w:rsid w:val="002770B3"/>
    <w:rsid w:val="00287625"/>
    <w:rsid w:val="0028783A"/>
    <w:rsid w:val="002A01E9"/>
    <w:rsid w:val="002B3A51"/>
    <w:rsid w:val="002B4267"/>
    <w:rsid w:val="002B5793"/>
    <w:rsid w:val="002C5934"/>
    <w:rsid w:val="002D5EA7"/>
    <w:rsid w:val="002D65A8"/>
    <w:rsid w:val="002F2126"/>
    <w:rsid w:val="002F4A6E"/>
    <w:rsid w:val="00302C30"/>
    <w:rsid w:val="003173D4"/>
    <w:rsid w:val="003248DC"/>
    <w:rsid w:val="00324A48"/>
    <w:rsid w:val="003407F8"/>
    <w:rsid w:val="003566CD"/>
    <w:rsid w:val="00372C92"/>
    <w:rsid w:val="0038282F"/>
    <w:rsid w:val="00390098"/>
    <w:rsid w:val="003C4F97"/>
    <w:rsid w:val="003C52D9"/>
    <w:rsid w:val="003D2869"/>
    <w:rsid w:val="003E070B"/>
    <w:rsid w:val="003E13B4"/>
    <w:rsid w:val="003F0DE7"/>
    <w:rsid w:val="003F5D69"/>
    <w:rsid w:val="003F7151"/>
    <w:rsid w:val="00442CA7"/>
    <w:rsid w:val="004452ED"/>
    <w:rsid w:val="004707AD"/>
    <w:rsid w:val="00471A14"/>
    <w:rsid w:val="004842E4"/>
    <w:rsid w:val="00485E23"/>
    <w:rsid w:val="004968C8"/>
    <w:rsid w:val="004B7D24"/>
    <w:rsid w:val="004C23CF"/>
    <w:rsid w:val="004E1DC2"/>
    <w:rsid w:val="00520D89"/>
    <w:rsid w:val="00526447"/>
    <w:rsid w:val="00541DF9"/>
    <w:rsid w:val="0056659E"/>
    <w:rsid w:val="00571647"/>
    <w:rsid w:val="005E0405"/>
    <w:rsid w:val="005E72AE"/>
    <w:rsid w:val="005E7A31"/>
    <w:rsid w:val="005F1C9E"/>
    <w:rsid w:val="0061455D"/>
    <w:rsid w:val="00635E54"/>
    <w:rsid w:val="00646142"/>
    <w:rsid w:val="00666D46"/>
    <w:rsid w:val="00670B84"/>
    <w:rsid w:val="00680A45"/>
    <w:rsid w:val="00690F9B"/>
    <w:rsid w:val="006949EA"/>
    <w:rsid w:val="00695D97"/>
    <w:rsid w:val="006A301E"/>
    <w:rsid w:val="006A3383"/>
    <w:rsid w:val="006A7135"/>
    <w:rsid w:val="006C2CD7"/>
    <w:rsid w:val="006C5B62"/>
    <w:rsid w:val="006D420B"/>
    <w:rsid w:val="006E0752"/>
    <w:rsid w:val="007023E0"/>
    <w:rsid w:val="0070276A"/>
    <w:rsid w:val="00770D47"/>
    <w:rsid w:val="00771BC9"/>
    <w:rsid w:val="007A5C94"/>
    <w:rsid w:val="007A6E09"/>
    <w:rsid w:val="00811840"/>
    <w:rsid w:val="00824C19"/>
    <w:rsid w:val="00837109"/>
    <w:rsid w:val="00852BEC"/>
    <w:rsid w:val="00855685"/>
    <w:rsid w:val="0088071D"/>
    <w:rsid w:val="00883721"/>
    <w:rsid w:val="0089744F"/>
    <w:rsid w:val="008B411A"/>
    <w:rsid w:val="008F0BDA"/>
    <w:rsid w:val="00911A17"/>
    <w:rsid w:val="00951B01"/>
    <w:rsid w:val="009521E5"/>
    <w:rsid w:val="009629D8"/>
    <w:rsid w:val="0098047E"/>
    <w:rsid w:val="0099287C"/>
    <w:rsid w:val="0099437E"/>
    <w:rsid w:val="009C0281"/>
    <w:rsid w:val="009D0372"/>
    <w:rsid w:val="009E5848"/>
    <w:rsid w:val="00A37CC8"/>
    <w:rsid w:val="00A43FF2"/>
    <w:rsid w:val="00A4717C"/>
    <w:rsid w:val="00A478E8"/>
    <w:rsid w:val="00A60CC6"/>
    <w:rsid w:val="00A84625"/>
    <w:rsid w:val="00A85618"/>
    <w:rsid w:val="00A94A04"/>
    <w:rsid w:val="00AC28C3"/>
    <w:rsid w:val="00AE2FD3"/>
    <w:rsid w:val="00AE6575"/>
    <w:rsid w:val="00AF2E74"/>
    <w:rsid w:val="00AF40B5"/>
    <w:rsid w:val="00AF53EA"/>
    <w:rsid w:val="00B163F3"/>
    <w:rsid w:val="00B22D10"/>
    <w:rsid w:val="00B35C6B"/>
    <w:rsid w:val="00B6400E"/>
    <w:rsid w:val="00B66D3F"/>
    <w:rsid w:val="00B8744C"/>
    <w:rsid w:val="00B962D9"/>
    <w:rsid w:val="00B96F20"/>
    <w:rsid w:val="00BA33AF"/>
    <w:rsid w:val="00BB26A3"/>
    <w:rsid w:val="00BB6FBB"/>
    <w:rsid w:val="00BD76C9"/>
    <w:rsid w:val="00C012A5"/>
    <w:rsid w:val="00C039B0"/>
    <w:rsid w:val="00C043EC"/>
    <w:rsid w:val="00C10C84"/>
    <w:rsid w:val="00C211ED"/>
    <w:rsid w:val="00C24461"/>
    <w:rsid w:val="00C6138A"/>
    <w:rsid w:val="00C92A3A"/>
    <w:rsid w:val="00C97A4E"/>
    <w:rsid w:val="00CC1F95"/>
    <w:rsid w:val="00CC6645"/>
    <w:rsid w:val="00CD33E8"/>
    <w:rsid w:val="00CD412D"/>
    <w:rsid w:val="00CD6E27"/>
    <w:rsid w:val="00CF4420"/>
    <w:rsid w:val="00CF469A"/>
    <w:rsid w:val="00D02EE2"/>
    <w:rsid w:val="00D14EB0"/>
    <w:rsid w:val="00D437EF"/>
    <w:rsid w:val="00D83077"/>
    <w:rsid w:val="00D87980"/>
    <w:rsid w:val="00D90ECE"/>
    <w:rsid w:val="00DE1DFB"/>
    <w:rsid w:val="00E3495C"/>
    <w:rsid w:val="00E44E3D"/>
    <w:rsid w:val="00E462E5"/>
    <w:rsid w:val="00E715A0"/>
    <w:rsid w:val="00EA580D"/>
    <w:rsid w:val="00EE707E"/>
    <w:rsid w:val="00F15950"/>
    <w:rsid w:val="00F15C2B"/>
    <w:rsid w:val="00F166E9"/>
    <w:rsid w:val="00F33601"/>
    <w:rsid w:val="00F463BA"/>
    <w:rsid w:val="00F612D5"/>
    <w:rsid w:val="00F8516A"/>
    <w:rsid w:val="00FA0FDF"/>
    <w:rsid w:val="00FB7217"/>
    <w:rsid w:val="00FC5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D6AC69B2-A6E9-4594-909F-866C87E8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04"/>
    <w:pPr>
      <w:jc w:val="both"/>
    </w:pPr>
    <w:rPr>
      <w:rFonts w:ascii="Arial" w:hAnsi="Arial"/>
      <w:sz w:val="24"/>
    </w:rPr>
  </w:style>
  <w:style w:type="paragraph" w:styleId="Heading1">
    <w:name w:val="heading 1"/>
    <w:basedOn w:val="Normal"/>
    <w:next w:val="Normal"/>
    <w:qFormat/>
    <w:rsid w:val="00137104"/>
    <w:pPr>
      <w:keepNext/>
      <w:jc w:val="center"/>
      <w:outlineLvl w:val="0"/>
    </w:pPr>
    <w:rPr>
      <w:b/>
      <w:sz w:val="36"/>
    </w:rPr>
  </w:style>
  <w:style w:type="paragraph" w:styleId="Heading2">
    <w:name w:val="heading 2"/>
    <w:basedOn w:val="Normal"/>
    <w:next w:val="Normal"/>
    <w:qFormat/>
    <w:rsid w:val="00137104"/>
    <w:pPr>
      <w:keepNext/>
      <w:jc w:val="center"/>
      <w:outlineLvl w:val="1"/>
    </w:pPr>
    <w:rPr>
      <w:b/>
      <w:sz w:val="40"/>
    </w:rPr>
  </w:style>
  <w:style w:type="paragraph" w:styleId="Heading3">
    <w:name w:val="heading 3"/>
    <w:basedOn w:val="Normal"/>
    <w:next w:val="Normal"/>
    <w:qFormat/>
    <w:rsid w:val="00137104"/>
    <w:pPr>
      <w:keepNext/>
      <w:spacing w:before="60" w:after="60"/>
      <w:outlineLvl w:val="2"/>
    </w:pPr>
    <w:rPr>
      <w:b/>
    </w:rPr>
  </w:style>
  <w:style w:type="paragraph" w:styleId="Heading4">
    <w:name w:val="heading 4"/>
    <w:basedOn w:val="Normal"/>
    <w:next w:val="Normal"/>
    <w:qFormat/>
    <w:rsid w:val="00137104"/>
    <w:pPr>
      <w:keepNext/>
      <w:outlineLvl w:val="3"/>
    </w:pPr>
    <w:rPr>
      <w:b/>
    </w:rPr>
  </w:style>
  <w:style w:type="paragraph" w:styleId="Heading5">
    <w:name w:val="heading 5"/>
    <w:basedOn w:val="Normal"/>
    <w:next w:val="Normal"/>
    <w:qFormat/>
    <w:rsid w:val="00137104"/>
    <w:pPr>
      <w:keepNext/>
      <w:ind w:left="397"/>
      <w:outlineLvl w:val="4"/>
    </w:pPr>
    <w:rPr>
      <w:b/>
    </w:rPr>
  </w:style>
  <w:style w:type="paragraph" w:styleId="Heading6">
    <w:name w:val="heading 6"/>
    <w:basedOn w:val="Normal"/>
    <w:next w:val="Normal"/>
    <w:qFormat/>
    <w:rsid w:val="00137104"/>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137104"/>
    <w:pPr>
      <w:keepNext/>
      <w:jc w:val="center"/>
      <w:outlineLvl w:val="6"/>
    </w:pPr>
    <w:rPr>
      <w:rFonts w:ascii="Times New Roman" w:hAnsi="Times New Roman"/>
      <w:b/>
      <w:sz w:val="28"/>
      <w:lang w:val="en-GB"/>
    </w:rPr>
  </w:style>
  <w:style w:type="paragraph" w:styleId="Heading8">
    <w:name w:val="heading 8"/>
    <w:basedOn w:val="Normal"/>
    <w:next w:val="Normal"/>
    <w:qFormat/>
    <w:rsid w:val="00137104"/>
    <w:pPr>
      <w:keepNext/>
      <w:ind w:left="851"/>
      <w:outlineLvl w:val="7"/>
    </w:pPr>
    <w:rPr>
      <w:b/>
    </w:rPr>
  </w:style>
  <w:style w:type="paragraph" w:styleId="Heading9">
    <w:name w:val="heading 9"/>
    <w:basedOn w:val="Heading5"/>
    <w:next w:val="Normal"/>
    <w:qFormat/>
    <w:rsid w:val="00137104"/>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7104"/>
    <w:pPr>
      <w:tabs>
        <w:tab w:val="center" w:pos="4320"/>
        <w:tab w:val="right" w:pos="8640"/>
      </w:tabs>
    </w:pPr>
  </w:style>
  <w:style w:type="paragraph" w:styleId="ListBullet">
    <w:name w:val="List Bullet"/>
    <w:basedOn w:val="Normal"/>
    <w:autoRedefine/>
    <w:rsid w:val="00137104"/>
    <w:pPr>
      <w:numPr>
        <w:numId w:val="3"/>
      </w:numPr>
      <w:tabs>
        <w:tab w:val="clear" w:pos="360"/>
        <w:tab w:val="num" w:pos="3005"/>
      </w:tabs>
      <w:ind w:left="3005" w:hanging="453"/>
    </w:pPr>
  </w:style>
  <w:style w:type="paragraph" w:customStyle="1" w:styleId="NumberedPara">
    <w:name w:val="Numbered Para"/>
    <w:basedOn w:val="Normal"/>
    <w:next w:val="Normal"/>
    <w:rsid w:val="00137104"/>
    <w:pPr>
      <w:numPr>
        <w:numId w:val="10"/>
      </w:numPr>
      <w:spacing w:before="120" w:after="120"/>
    </w:pPr>
    <w:rPr>
      <w:b/>
    </w:rPr>
  </w:style>
  <w:style w:type="paragraph" w:styleId="ListBullet2">
    <w:name w:val="List Bullet 2"/>
    <w:basedOn w:val="Normal"/>
    <w:autoRedefine/>
    <w:rsid w:val="00137104"/>
    <w:pPr>
      <w:numPr>
        <w:numId w:val="4"/>
      </w:numPr>
      <w:tabs>
        <w:tab w:val="clear" w:pos="643"/>
        <w:tab w:val="num" w:pos="644"/>
      </w:tabs>
      <w:ind w:left="641" w:hanging="357"/>
    </w:pPr>
  </w:style>
  <w:style w:type="paragraph" w:styleId="ListNumber">
    <w:name w:val="List Number"/>
    <w:basedOn w:val="Normal"/>
    <w:rsid w:val="00137104"/>
    <w:pPr>
      <w:numPr>
        <w:numId w:val="5"/>
      </w:numPr>
      <w:tabs>
        <w:tab w:val="clear" w:pos="360"/>
        <w:tab w:val="num" w:pos="927"/>
      </w:tabs>
      <w:spacing w:after="60"/>
      <w:ind w:left="924" w:hanging="357"/>
    </w:pPr>
  </w:style>
  <w:style w:type="paragraph" w:styleId="Footer">
    <w:name w:val="footer"/>
    <w:basedOn w:val="Normal"/>
    <w:rsid w:val="00137104"/>
    <w:pPr>
      <w:tabs>
        <w:tab w:val="center" w:pos="4320"/>
        <w:tab w:val="right" w:pos="8640"/>
      </w:tabs>
    </w:pPr>
  </w:style>
  <w:style w:type="paragraph" w:styleId="BodyTextIndent">
    <w:name w:val="Body Text Indent"/>
    <w:basedOn w:val="Normal"/>
    <w:rsid w:val="00137104"/>
    <w:pPr>
      <w:ind w:left="397"/>
    </w:pPr>
  </w:style>
  <w:style w:type="paragraph" w:styleId="BodyTextIndent2">
    <w:name w:val="Body Text Indent 2"/>
    <w:basedOn w:val="Normal"/>
    <w:rsid w:val="00137104"/>
    <w:pPr>
      <w:ind w:left="794"/>
    </w:pPr>
  </w:style>
  <w:style w:type="paragraph" w:styleId="NormalIndent">
    <w:name w:val="Normal Indent"/>
    <w:basedOn w:val="Normal"/>
    <w:rsid w:val="00137104"/>
    <w:pPr>
      <w:spacing w:after="120"/>
      <w:ind w:left="397"/>
    </w:pPr>
  </w:style>
  <w:style w:type="paragraph" w:customStyle="1" w:styleId="NormalIndent1">
    <w:name w:val="Normal Indent 1"/>
    <w:basedOn w:val="NormalIndent"/>
    <w:rsid w:val="00137104"/>
    <w:pPr>
      <w:ind w:left="1134"/>
    </w:pPr>
  </w:style>
  <w:style w:type="paragraph" w:customStyle="1" w:styleId="NumIndentBold">
    <w:name w:val="Num_Indent_Bold"/>
    <w:basedOn w:val="Normal"/>
    <w:rsid w:val="00137104"/>
    <w:pPr>
      <w:numPr>
        <w:numId w:val="9"/>
      </w:numPr>
    </w:pPr>
    <w:rPr>
      <w:b/>
    </w:rPr>
  </w:style>
  <w:style w:type="paragraph" w:customStyle="1" w:styleId="NumberedPara1">
    <w:name w:val="Numbered Para1"/>
    <w:basedOn w:val="Normal"/>
    <w:rsid w:val="00137104"/>
    <w:pPr>
      <w:numPr>
        <w:ilvl w:val="1"/>
        <w:numId w:val="11"/>
      </w:numPr>
      <w:spacing w:before="120" w:after="120"/>
      <w:ind w:left="1117" w:hanging="720"/>
    </w:pPr>
    <w:rPr>
      <w:b/>
    </w:rPr>
  </w:style>
  <w:style w:type="paragraph" w:customStyle="1" w:styleId="NumberedPara2">
    <w:name w:val="Numbered Para2"/>
    <w:basedOn w:val="Normal"/>
    <w:rsid w:val="00137104"/>
    <w:pPr>
      <w:numPr>
        <w:ilvl w:val="2"/>
        <w:numId w:val="12"/>
      </w:numPr>
      <w:spacing w:before="120" w:after="120"/>
    </w:pPr>
  </w:style>
  <w:style w:type="paragraph" w:customStyle="1" w:styleId="NumberedPara3">
    <w:name w:val="Numbered Para3"/>
    <w:basedOn w:val="Normal"/>
    <w:rsid w:val="00137104"/>
    <w:pPr>
      <w:numPr>
        <w:ilvl w:val="3"/>
        <w:numId w:val="13"/>
      </w:numPr>
      <w:spacing w:before="120" w:after="120"/>
    </w:pPr>
  </w:style>
  <w:style w:type="paragraph" w:customStyle="1" w:styleId="NumberedPara4">
    <w:name w:val="Numbered Para4"/>
    <w:basedOn w:val="Normal"/>
    <w:rsid w:val="00137104"/>
    <w:pPr>
      <w:numPr>
        <w:ilvl w:val="4"/>
        <w:numId w:val="14"/>
      </w:numPr>
      <w:spacing w:before="120" w:after="120"/>
    </w:pPr>
  </w:style>
  <w:style w:type="paragraph" w:customStyle="1" w:styleId="NumberedPara5">
    <w:name w:val="Numbered Para5"/>
    <w:basedOn w:val="Normal"/>
    <w:rsid w:val="00137104"/>
    <w:pPr>
      <w:numPr>
        <w:ilvl w:val="5"/>
        <w:numId w:val="15"/>
      </w:numPr>
      <w:tabs>
        <w:tab w:val="left" w:pos="5387"/>
      </w:tabs>
      <w:spacing w:before="120" w:after="120"/>
    </w:pPr>
  </w:style>
  <w:style w:type="paragraph" w:customStyle="1" w:styleId="OfficerFile">
    <w:name w:val="Officer File"/>
    <w:basedOn w:val="Normal"/>
    <w:next w:val="Normal"/>
    <w:rsid w:val="00137104"/>
    <w:rPr>
      <w:b/>
    </w:rPr>
  </w:style>
  <w:style w:type="paragraph" w:customStyle="1" w:styleId="RecommendedBody">
    <w:name w:val="Recommended Body"/>
    <w:basedOn w:val="Normal"/>
    <w:rsid w:val="00137104"/>
    <w:pPr>
      <w:spacing w:after="160"/>
    </w:pPr>
  </w:style>
  <w:style w:type="paragraph" w:customStyle="1" w:styleId="SubHeading1">
    <w:name w:val="Sub_Heading 1"/>
    <w:basedOn w:val="Normal"/>
    <w:next w:val="Normal"/>
    <w:rsid w:val="00137104"/>
    <w:pPr>
      <w:spacing w:after="160"/>
    </w:pPr>
    <w:rPr>
      <w:b/>
      <w:sz w:val="28"/>
    </w:rPr>
  </w:style>
  <w:style w:type="paragraph" w:customStyle="1" w:styleId="SubHeading2">
    <w:name w:val="Sub_Heading 2"/>
    <w:basedOn w:val="Normal"/>
    <w:next w:val="Normal"/>
    <w:rsid w:val="00137104"/>
    <w:pPr>
      <w:spacing w:after="160"/>
    </w:pPr>
    <w:rPr>
      <w:b/>
      <w:i/>
    </w:rPr>
  </w:style>
  <w:style w:type="paragraph" w:customStyle="1" w:styleId="SummaryPoints">
    <w:name w:val="Summary Points"/>
    <w:basedOn w:val="Normal"/>
    <w:rsid w:val="00137104"/>
    <w:pPr>
      <w:numPr>
        <w:numId w:val="22"/>
      </w:numPr>
      <w:spacing w:after="160"/>
    </w:pPr>
  </w:style>
  <w:style w:type="paragraph" w:customStyle="1" w:styleId="SummaryPointsIndent">
    <w:name w:val="Summary Points_Indent"/>
    <w:basedOn w:val="SummaryPoints"/>
    <w:rsid w:val="00137104"/>
    <w:pPr>
      <w:numPr>
        <w:numId w:val="23"/>
      </w:numPr>
      <w:ind w:left="714" w:hanging="357"/>
    </w:pPr>
  </w:style>
  <w:style w:type="character" w:styleId="CommentReference">
    <w:name w:val="annotation reference"/>
    <w:basedOn w:val="DefaultParagraphFont"/>
    <w:semiHidden/>
    <w:rsid w:val="00137104"/>
    <w:rPr>
      <w:sz w:val="16"/>
    </w:rPr>
  </w:style>
  <w:style w:type="paragraph" w:styleId="CommentText">
    <w:name w:val="annotation text"/>
    <w:basedOn w:val="Normal"/>
    <w:semiHidden/>
    <w:rsid w:val="00137104"/>
    <w:rPr>
      <w:sz w:val="20"/>
    </w:rPr>
  </w:style>
  <w:style w:type="paragraph" w:customStyle="1" w:styleId="DocumentHeader">
    <w:name w:val="Document Header"/>
    <w:basedOn w:val="Normal"/>
    <w:rsid w:val="00137104"/>
    <w:pPr>
      <w:jc w:val="center"/>
    </w:pPr>
    <w:rPr>
      <w:b/>
      <w:caps/>
      <w:sz w:val="36"/>
    </w:rPr>
  </w:style>
  <w:style w:type="paragraph" w:styleId="DocumentMap">
    <w:name w:val="Document Map"/>
    <w:basedOn w:val="Normal"/>
    <w:semiHidden/>
    <w:rsid w:val="00137104"/>
    <w:pPr>
      <w:shd w:val="clear" w:color="auto" w:fill="000080"/>
    </w:pPr>
    <w:rPr>
      <w:rFonts w:ascii="Tahoma" w:hAnsi="Tahoma"/>
    </w:rPr>
  </w:style>
  <w:style w:type="paragraph" w:customStyle="1" w:styleId="NormalPara1">
    <w:name w:val="Normal Para1"/>
    <w:basedOn w:val="NormalIndent"/>
    <w:rsid w:val="00137104"/>
    <w:rPr>
      <w:b/>
    </w:rPr>
  </w:style>
  <w:style w:type="character" w:styleId="PageNumber">
    <w:name w:val="page number"/>
    <w:basedOn w:val="DefaultParagraphFont"/>
    <w:rsid w:val="00137104"/>
  </w:style>
  <w:style w:type="paragraph" w:customStyle="1" w:styleId="Style1">
    <w:name w:val="Style1"/>
    <w:basedOn w:val="Normal"/>
    <w:rsid w:val="00137104"/>
    <w:pPr>
      <w:numPr>
        <w:numId w:val="16"/>
      </w:numPr>
      <w:spacing w:before="120" w:after="120"/>
      <w:jc w:val="left"/>
    </w:pPr>
    <w:rPr>
      <w:rFonts w:ascii="Times New Roman" w:hAnsi="Times New Roman"/>
      <w:b/>
      <w:caps/>
      <w:lang w:val="en-GB"/>
    </w:rPr>
  </w:style>
  <w:style w:type="paragraph" w:customStyle="1" w:styleId="Style3">
    <w:name w:val="Style3"/>
    <w:basedOn w:val="Normal"/>
    <w:rsid w:val="00137104"/>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137104"/>
    <w:pPr>
      <w:numPr>
        <w:numId w:val="0"/>
      </w:numPr>
      <w:tabs>
        <w:tab w:val="num" w:pos="360"/>
      </w:tabs>
      <w:ind w:left="714" w:hanging="357"/>
    </w:pPr>
  </w:style>
  <w:style w:type="paragraph" w:customStyle="1" w:styleId="SumPoint">
    <w:name w:val="Sum Point"/>
    <w:basedOn w:val="SumPointIndent1"/>
    <w:rsid w:val="00137104"/>
    <w:pPr>
      <w:numPr>
        <w:numId w:val="18"/>
      </w:numPr>
      <w:jc w:val="left"/>
    </w:pPr>
  </w:style>
  <w:style w:type="paragraph" w:customStyle="1" w:styleId="Sumpoint2">
    <w:name w:val="Sum point 2"/>
    <w:basedOn w:val="SummaryPoints"/>
    <w:rsid w:val="00137104"/>
    <w:pPr>
      <w:numPr>
        <w:numId w:val="19"/>
      </w:numPr>
      <w:tabs>
        <w:tab w:val="num" w:pos="2098"/>
      </w:tabs>
      <w:ind w:left="2098" w:hanging="510"/>
    </w:pPr>
  </w:style>
  <w:style w:type="paragraph" w:customStyle="1" w:styleId="Sumpoint3">
    <w:name w:val="Sum point 3"/>
    <w:basedOn w:val="Normal"/>
    <w:rsid w:val="00137104"/>
    <w:pPr>
      <w:numPr>
        <w:numId w:val="20"/>
      </w:numPr>
    </w:pPr>
  </w:style>
  <w:style w:type="paragraph" w:customStyle="1" w:styleId="Sumpoint35">
    <w:name w:val="Sum point 3.5"/>
    <w:basedOn w:val="Normal"/>
    <w:rsid w:val="00137104"/>
    <w:pPr>
      <w:numPr>
        <w:numId w:val="21"/>
      </w:numPr>
      <w:spacing w:after="40"/>
    </w:pPr>
  </w:style>
  <w:style w:type="paragraph" w:customStyle="1" w:styleId="Table">
    <w:name w:val="Table"/>
    <w:basedOn w:val="Normal"/>
    <w:rsid w:val="00137104"/>
    <w:pPr>
      <w:jc w:val="left"/>
    </w:pPr>
    <w:rPr>
      <w:rFonts w:ascii="Times New Roman" w:hAnsi="Times New Roman"/>
      <w:lang w:val="en-GB"/>
    </w:rPr>
  </w:style>
  <w:style w:type="paragraph" w:styleId="Title">
    <w:name w:val="Title"/>
    <w:basedOn w:val="Normal"/>
    <w:qFormat/>
    <w:rsid w:val="00137104"/>
    <w:pPr>
      <w:jc w:val="center"/>
    </w:pPr>
    <w:rPr>
      <w:rFonts w:ascii="Times New Roman" w:hAnsi="Times New Roman"/>
      <w:b/>
      <w:caps/>
      <w:sz w:val="20"/>
      <w:lang w:val="en-US"/>
    </w:rPr>
  </w:style>
  <w:style w:type="paragraph" w:styleId="BodyText">
    <w:name w:val="Body Text"/>
    <w:basedOn w:val="Normal"/>
    <w:rsid w:val="00137104"/>
    <w:pPr>
      <w:spacing w:after="120"/>
      <w:ind w:left="357"/>
    </w:pPr>
  </w:style>
  <w:style w:type="paragraph" w:customStyle="1" w:styleId="ListLetter">
    <w:name w:val="List Letter"/>
    <w:basedOn w:val="ListNumber"/>
    <w:rsid w:val="00137104"/>
    <w:pPr>
      <w:numPr>
        <w:numId w:val="1"/>
      </w:numPr>
    </w:pPr>
  </w:style>
  <w:style w:type="paragraph" w:styleId="BodyTextFirstIndent">
    <w:name w:val="Body Text First Indent"/>
    <w:basedOn w:val="BodyText"/>
    <w:rsid w:val="00137104"/>
    <w:pPr>
      <w:ind w:left="794" w:right="794"/>
    </w:pPr>
  </w:style>
  <w:style w:type="paragraph" w:styleId="BodyTextFirstIndent2">
    <w:name w:val="Body Text First Indent 2"/>
    <w:basedOn w:val="BodyTextIndent"/>
    <w:rsid w:val="00137104"/>
    <w:pPr>
      <w:ind w:left="1588"/>
    </w:pPr>
  </w:style>
  <w:style w:type="paragraph" w:customStyle="1" w:styleId="BodyTextFirstIndent3">
    <w:name w:val="Body Text First Indent 3"/>
    <w:basedOn w:val="BodyTextFirstIndent2"/>
    <w:rsid w:val="00137104"/>
    <w:pPr>
      <w:ind w:left="2552"/>
    </w:pPr>
  </w:style>
  <w:style w:type="paragraph" w:customStyle="1" w:styleId="BodyTextFirstIndent4">
    <w:name w:val="Body Text First Indent 4"/>
    <w:basedOn w:val="BodyTextFirstIndent3"/>
    <w:rsid w:val="00137104"/>
    <w:pPr>
      <w:ind w:left="3969"/>
    </w:pPr>
  </w:style>
  <w:style w:type="paragraph" w:customStyle="1" w:styleId="BodyTextFirstIndent5">
    <w:name w:val="Body Text First Indent 5"/>
    <w:basedOn w:val="BodyTextFirstIndent4"/>
    <w:rsid w:val="00137104"/>
    <w:pPr>
      <w:ind w:left="5387"/>
    </w:pPr>
  </w:style>
  <w:style w:type="paragraph" w:styleId="BodyTextIndent3">
    <w:name w:val="Body Text Indent 3"/>
    <w:basedOn w:val="Normal"/>
    <w:rsid w:val="00137104"/>
    <w:pPr>
      <w:ind w:left="426"/>
    </w:pPr>
  </w:style>
  <w:style w:type="character" w:styleId="Hyperlink">
    <w:name w:val="Hyperlink"/>
    <w:basedOn w:val="DefaultParagraphFont"/>
    <w:rsid w:val="00137104"/>
    <w:rPr>
      <w:color w:val="0000FF"/>
      <w:u w:val="single"/>
    </w:rPr>
  </w:style>
  <w:style w:type="paragraph" w:styleId="ListNumber2">
    <w:name w:val="List Number 2"/>
    <w:basedOn w:val="Normal"/>
    <w:rsid w:val="00137104"/>
    <w:pPr>
      <w:numPr>
        <w:numId w:val="6"/>
      </w:numPr>
      <w:spacing w:after="120"/>
    </w:pPr>
  </w:style>
  <w:style w:type="paragraph" w:customStyle="1" w:styleId="TableNormal0">
    <w:name w:val="TableNormal"/>
    <w:rsid w:val="00137104"/>
    <w:rPr>
      <w:rFonts w:ascii="Arial" w:hAnsi="Arial"/>
      <w:noProof/>
      <w:sz w:val="24"/>
    </w:rPr>
  </w:style>
  <w:style w:type="paragraph" w:customStyle="1" w:styleId="LogoNorm">
    <w:name w:val="LogoNorm"/>
    <w:basedOn w:val="TableNormal0"/>
    <w:rsid w:val="00137104"/>
  </w:style>
  <w:style w:type="paragraph" w:customStyle="1" w:styleId="MLstyle">
    <w:name w:val="MLstyle"/>
    <w:basedOn w:val="NumIndentBold"/>
    <w:next w:val="Normal"/>
    <w:rsid w:val="00137104"/>
    <w:pPr>
      <w:numPr>
        <w:numId w:val="7"/>
      </w:numPr>
      <w:spacing w:after="160"/>
    </w:pPr>
    <w:rPr>
      <w:color w:val="000000"/>
      <w:sz w:val="28"/>
      <w:lang w:val="en-GB"/>
    </w:rPr>
  </w:style>
  <w:style w:type="paragraph" w:customStyle="1" w:styleId="NormalPara1bold">
    <w:name w:val="Normal Para1_bold"/>
    <w:basedOn w:val="NormalIndent"/>
    <w:rsid w:val="00137104"/>
    <w:rPr>
      <w:b/>
    </w:rPr>
  </w:style>
  <w:style w:type="paragraph" w:customStyle="1" w:styleId="num">
    <w:name w:val="num"/>
    <w:basedOn w:val="Normal"/>
    <w:next w:val="Normal"/>
    <w:rsid w:val="00137104"/>
    <w:pPr>
      <w:numPr>
        <w:numId w:val="8"/>
      </w:numPr>
      <w:spacing w:before="120" w:after="120"/>
    </w:pPr>
  </w:style>
  <w:style w:type="paragraph" w:customStyle="1" w:styleId="NumberedPara10">
    <w:name w:val="Numbered Para 1"/>
    <w:basedOn w:val="Normal"/>
    <w:next w:val="BodyTextFirstIndent"/>
    <w:rsid w:val="00137104"/>
    <w:pPr>
      <w:tabs>
        <w:tab w:val="left" w:pos="799"/>
      </w:tabs>
      <w:spacing w:before="120" w:after="120"/>
      <w:ind w:left="851" w:hanging="454"/>
    </w:pPr>
    <w:rPr>
      <w:b/>
    </w:rPr>
  </w:style>
  <w:style w:type="character" w:styleId="Strong">
    <w:name w:val="Strong"/>
    <w:basedOn w:val="DefaultParagraphFont"/>
    <w:qFormat/>
    <w:rsid w:val="00137104"/>
    <w:rPr>
      <w:b/>
    </w:rPr>
  </w:style>
  <w:style w:type="paragraph" w:customStyle="1" w:styleId="Sumpointindentindent">
    <w:name w:val="Sum point indent indent"/>
    <w:basedOn w:val="SummaryPointsIndent"/>
    <w:rsid w:val="00137104"/>
    <w:pPr>
      <w:numPr>
        <w:numId w:val="0"/>
      </w:numPr>
      <w:tabs>
        <w:tab w:val="left" w:pos="1151"/>
      </w:tabs>
      <w:ind w:left="1151" w:hanging="357"/>
    </w:pPr>
  </w:style>
  <w:style w:type="paragraph" w:customStyle="1" w:styleId="SummaryPointsIndent2">
    <w:name w:val="Summary Points_Indent 2"/>
    <w:basedOn w:val="SummaryPointsIndent"/>
    <w:rsid w:val="00137104"/>
    <w:pPr>
      <w:numPr>
        <w:numId w:val="0"/>
      </w:numPr>
      <w:tabs>
        <w:tab w:val="num" w:pos="1494"/>
      </w:tabs>
      <w:ind w:left="1491" w:hanging="357"/>
    </w:pPr>
  </w:style>
  <w:style w:type="paragraph" w:styleId="BalloonText">
    <w:name w:val="Balloon Text"/>
    <w:basedOn w:val="Normal"/>
    <w:semiHidden/>
    <w:rsid w:val="00BB26A3"/>
    <w:rPr>
      <w:rFonts w:ascii="Tahoma" w:hAnsi="Tahoma" w:cs="Tahoma"/>
      <w:sz w:val="16"/>
      <w:szCs w:val="16"/>
    </w:rPr>
  </w:style>
  <w:style w:type="paragraph" w:styleId="NoSpacing">
    <w:name w:val="No Spacing"/>
    <w:link w:val="NoSpacingChar"/>
    <w:uiPriority w:val="1"/>
    <w:qFormat/>
    <w:rsid w:val="003F5D69"/>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3F5D69"/>
    <w:rPr>
      <w:rFonts w:asciiTheme="minorHAnsi" w:eastAsiaTheme="minorEastAsia" w:hAnsiTheme="minorHAnsi" w:cstheme="minorBidi"/>
      <w:sz w:val="22"/>
      <w:szCs w:val="22"/>
      <w:lang w:val="en-US" w:eastAsia="en-US" w:bidi="en-US"/>
    </w:rPr>
  </w:style>
  <w:style w:type="paragraph" w:styleId="FootnoteText">
    <w:name w:val="footnote text"/>
    <w:basedOn w:val="Normal"/>
    <w:link w:val="FootnoteTextChar"/>
    <w:uiPriority w:val="99"/>
    <w:unhideWhenUsed/>
    <w:rsid w:val="00152901"/>
    <w:pPr>
      <w:jc w:val="left"/>
    </w:pPr>
    <w:rPr>
      <w:rFonts w:asciiTheme="minorHAnsi" w:eastAsiaTheme="minorEastAsia" w:hAnsiTheme="minorHAnsi" w:cstheme="minorBidi"/>
      <w:sz w:val="20"/>
      <w:lang w:val="en-US" w:eastAsia="en-US"/>
    </w:rPr>
  </w:style>
  <w:style w:type="character" w:customStyle="1" w:styleId="FootnoteTextChar">
    <w:name w:val="Footnote Text Char"/>
    <w:basedOn w:val="DefaultParagraphFont"/>
    <w:link w:val="FootnoteText"/>
    <w:uiPriority w:val="99"/>
    <w:rsid w:val="00152901"/>
    <w:rPr>
      <w:rFonts w:asciiTheme="minorHAnsi" w:eastAsiaTheme="minorEastAsia" w:hAnsiTheme="minorHAnsi" w:cstheme="minorBidi"/>
      <w:lang w:val="en-US" w:eastAsia="en-US"/>
    </w:rPr>
  </w:style>
  <w:style w:type="character" w:styleId="FootnoteReference">
    <w:name w:val="footnote reference"/>
    <w:basedOn w:val="DefaultParagraphFont"/>
    <w:uiPriority w:val="99"/>
    <w:semiHidden/>
    <w:unhideWhenUsed/>
    <w:rsid w:val="00152901"/>
    <w:rPr>
      <w:vertAlign w:val="superscript"/>
    </w:rPr>
  </w:style>
  <w:style w:type="table" w:styleId="MediumGrid1-Accent1">
    <w:name w:val="Medium Grid 1 Accent 1"/>
    <w:basedOn w:val="TableNormal"/>
    <w:uiPriority w:val="67"/>
    <w:rsid w:val="00FC5F55"/>
    <w:rPr>
      <w:rFonts w:asciiTheme="minorHAnsi" w:eastAsiaTheme="minorEastAsia" w:hAnsiTheme="minorHAnsi" w:cstheme="minorBidi"/>
      <w:sz w:val="22"/>
      <w:szCs w:val="22"/>
      <w:lang w:val="en-US" w:eastAsia="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FC5F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gc">
    <w:name w:val="_tgc"/>
    <w:basedOn w:val="DefaultParagraphFont"/>
    <w:rsid w:val="00FA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99642">
      <w:bodyDiv w:val="1"/>
      <w:marLeft w:val="0"/>
      <w:marRight w:val="0"/>
      <w:marTop w:val="0"/>
      <w:marBottom w:val="0"/>
      <w:divBdr>
        <w:top w:val="none" w:sz="0" w:space="0" w:color="auto"/>
        <w:left w:val="none" w:sz="0" w:space="0" w:color="auto"/>
        <w:bottom w:val="none" w:sz="0" w:space="0" w:color="auto"/>
        <w:right w:val="none" w:sz="0" w:space="0" w:color="auto"/>
      </w:divBdr>
    </w:div>
    <w:div w:id="679967505">
      <w:bodyDiv w:val="1"/>
      <w:marLeft w:val="0"/>
      <w:marRight w:val="0"/>
      <w:marTop w:val="0"/>
      <w:marBottom w:val="0"/>
      <w:divBdr>
        <w:top w:val="none" w:sz="0" w:space="0" w:color="auto"/>
        <w:left w:val="none" w:sz="0" w:space="0" w:color="auto"/>
        <w:bottom w:val="none" w:sz="0" w:space="0" w:color="auto"/>
        <w:right w:val="none" w:sz="0" w:space="0" w:color="auto"/>
      </w:divBdr>
    </w:div>
    <w:div w:id="806624134">
      <w:bodyDiv w:val="1"/>
      <w:marLeft w:val="0"/>
      <w:marRight w:val="0"/>
      <w:marTop w:val="0"/>
      <w:marBottom w:val="0"/>
      <w:divBdr>
        <w:top w:val="none" w:sz="0" w:space="0" w:color="auto"/>
        <w:left w:val="none" w:sz="0" w:space="0" w:color="auto"/>
        <w:bottom w:val="none" w:sz="0" w:space="0" w:color="auto"/>
        <w:right w:val="none" w:sz="0" w:space="0" w:color="auto"/>
      </w:divBdr>
    </w:div>
    <w:div w:id="865798512">
      <w:bodyDiv w:val="1"/>
      <w:marLeft w:val="0"/>
      <w:marRight w:val="0"/>
      <w:marTop w:val="0"/>
      <w:marBottom w:val="0"/>
      <w:divBdr>
        <w:top w:val="none" w:sz="0" w:space="0" w:color="auto"/>
        <w:left w:val="none" w:sz="0" w:space="0" w:color="auto"/>
        <w:bottom w:val="none" w:sz="0" w:space="0" w:color="auto"/>
        <w:right w:val="none" w:sz="0" w:space="0" w:color="auto"/>
      </w:divBdr>
    </w:div>
    <w:div w:id="14659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C2D70-C05D-4FBE-AC37-AE6025E1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Policy.dot</Template>
  <TotalTime>348</TotalTime>
  <Pages>8</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15086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subject/>
  <dc:creator>Administrator</dc:creator>
  <cp:keywords/>
  <dc:description/>
  <cp:lastModifiedBy>Anne Noonan</cp:lastModifiedBy>
  <cp:revision>24</cp:revision>
  <cp:lastPrinted>2012-09-12T03:59:00Z</cp:lastPrinted>
  <dcterms:created xsi:type="dcterms:W3CDTF">2012-09-12T03:59:00Z</dcterms:created>
  <dcterms:modified xsi:type="dcterms:W3CDTF">2017-07-02T23:49:00Z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DWDocPrecis">
    <vt:lpwstr>11/09/2012 Council Agenda - Sustainable Building Policy - Council Policy</vt:lpwstr>
  </property>
  <property fmtid="{D5CDD505-2E9C-101B-9397-08002B2CF9AE}" pid="8" name="DWDocClass">
    <vt:lpwstr>OPENACC</vt:lpwstr>
  </property>
  <property fmtid="{D5CDD505-2E9C-101B-9397-08002B2CF9AE}" pid="9" name="DWDocType">
    <vt:lpwstr>MS Word 2007</vt:lpwstr>
  </property>
  <property fmtid="{D5CDD505-2E9C-101B-9397-08002B2CF9AE}" pid="10" name="DWDocAuthor">
    <vt:lpwstr/>
  </property>
  <property fmtid="{D5CDD505-2E9C-101B-9397-08002B2CF9AE}" pid="11" name="DWDocNo">
    <vt:i4>4995314</vt:i4>
  </property>
  <property fmtid="{D5CDD505-2E9C-101B-9397-08002B2CF9AE}" pid="12" name="DWDocSetID">
    <vt:i4>3664991</vt:i4>
  </property>
  <property fmtid="{D5CDD505-2E9C-101B-9397-08002B2CF9AE}" pid="13" name="DWDocVersion">
    <vt:i4>7</vt:i4>
  </property>
</Properties>
</file>