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74" w:rsidRPr="00EE5449" w:rsidRDefault="00943B74" w:rsidP="00422998">
      <w:pPr>
        <w:pStyle w:val="SubHead1"/>
        <w:pBdr>
          <w:bottom w:val="none" w:sz="0" w:space="0" w:color="auto"/>
        </w:pBdr>
        <w:spacing w:before="0" w:after="120"/>
        <w:rPr>
          <w:rFonts w:ascii="Arial Narrow" w:hAnsi="Arial Narrow"/>
          <w:b/>
        </w:rPr>
      </w:pPr>
      <w:r w:rsidRPr="00EE5449">
        <w:rPr>
          <w:rFonts w:ascii="Arial Narrow" w:hAnsi="Arial Narrow"/>
          <w:b/>
        </w:rPr>
        <w:t>OTHER STRATEGIES</w:t>
      </w:r>
    </w:p>
    <w:p w:rsidR="00943B74" w:rsidRPr="00EE5449" w:rsidRDefault="00943B74" w:rsidP="00943B74">
      <w:pPr>
        <w:pStyle w:val="BodyText"/>
        <w:rPr>
          <w:sz w:val="24"/>
          <w:szCs w:val="24"/>
        </w:rPr>
      </w:pPr>
      <w:r w:rsidRPr="00EE5449">
        <w:rPr>
          <w:sz w:val="24"/>
          <w:szCs w:val="24"/>
        </w:rPr>
        <w:t>In developing the Strategic Resource Plan, strategies have also been developed for Borrowings, Infrastru</w:t>
      </w:r>
      <w:r w:rsidR="00D34499" w:rsidRPr="00EE5449">
        <w:rPr>
          <w:sz w:val="24"/>
          <w:szCs w:val="24"/>
        </w:rPr>
        <w:t xml:space="preserve">cture, Service Delivery and </w:t>
      </w:r>
      <w:r w:rsidR="00054A9F" w:rsidRPr="00EE5449">
        <w:rPr>
          <w:sz w:val="24"/>
          <w:szCs w:val="24"/>
        </w:rPr>
        <w:t>Environmental Management</w:t>
      </w:r>
      <w:r w:rsidRPr="00EE5449">
        <w:rPr>
          <w:sz w:val="24"/>
          <w:szCs w:val="24"/>
        </w:rPr>
        <w:t>.</w:t>
      </w:r>
    </w:p>
    <w:p w:rsidR="00F116CD" w:rsidRPr="008604E1" w:rsidRDefault="00943B74" w:rsidP="00ED5C9B">
      <w:pPr>
        <w:pStyle w:val="SubHead1"/>
        <w:pBdr>
          <w:bottom w:val="none" w:sz="0" w:space="0" w:color="auto"/>
        </w:pBdr>
        <w:spacing w:before="240" w:after="120"/>
        <w:rPr>
          <w:rFonts w:ascii="Arial Narrow" w:hAnsi="Arial Narrow"/>
          <w:b/>
        </w:rPr>
      </w:pPr>
      <w:r w:rsidRPr="008604E1">
        <w:rPr>
          <w:rFonts w:ascii="Arial Narrow" w:hAnsi="Arial Narrow"/>
          <w:b/>
        </w:rPr>
        <w:t>BORROWING STRATEGY</w:t>
      </w:r>
    </w:p>
    <w:p w:rsidR="00F116CD" w:rsidRPr="00A52C3B" w:rsidRDefault="00A52C3B" w:rsidP="003D079A">
      <w:pPr>
        <w:pStyle w:val="SubHead2"/>
        <w:spacing w:before="120"/>
        <w:rPr>
          <w:rFonts w:ascii="Arial Narrow" w:hAnsi="Arial Narrow"/>
          <w:b/>
          <w:sz w:val="24"/>
          <w:szCs w:val="24"/>
        </w:rPr>
      </w:pPr>
      <w:r w:rsidRPr="00A52C3B">
        <w:rPr>
          <w:rFonts w:ascii="Arial Narrow" w:hAnsi="Arial Narrow"/>
          <w:b/>
          <w:sz w:val="24"/>
          <w:szCs w:val="24"/>
        </w:rPr>
        <w:t>Loan Balance History</w:t>
      </w:r>
    </w:p>
    <w:p w:rsidR="00F116CD" w:rsidRPr="00745E85" w:rsidRDefault="00A52C3B">
      <w:pPr>
        <w:pStyle w:val="BodyText"/>
        <w:rPr>
          <w:color w:val="FF0000"/>
        </w:rPr>
      </w:pPr>
      <w:r w:rsidRPr="00A52C3B">
        <w:t>Loan balances recorded as at June 1999 were $38.19</w:t>
      </w:r>
      <w:r w:rsidR="00515F95">
        <w:t>M</w:t>
      </w:r>
      <w:r w:rsidRPr="00A52C3B">
        <w:t xml:space="preserve"> and over the years to June 2005 reduced to $12.49</w:t>
      </w:r>
      <w:r w:rsidR="00515F95">
        <w:t>M</w:t>
      </w:r>
      <w:r w:rsidRPr="00A52C3B">
        <w:t xml:space="preserve"> as part of a deliberate </w:t>
      </w:r>
      <w:r w:rsidR="00F116CD" w:rsidRPr="00A52C3B">
        <w:t>strateg</w:t>
      </w:r>
      <w:r>
        <w:t>y of reducing outstanding loans with</w:t>
      </w:r>
      <w:r w:rsidR="00F116CD" w:rsidRPr="00745E85">
        <w:rPr>
          <w:color w:val="FF0000"/>
        </w:rPr>
        <w:t xml:space="preserve"> </w:t>
      </w:r>
      <w:r w:rsidR="006239FD" w:rsidRPr="00A52C3B">
        <w:t xml:space="preserve">reduced </w:t>
      </w:r>
      <w:r w:rsidRPr="00A52C3B">
        <w:t>debt servicing costs providing</w:t>
      </w:r>
      <w:r w:rsidR="00F116CD" w:rsidRPr="00A52C3B">
        <w:t xml:space="preserve"> increase</w:t>
      </w:r>
      <w:r w:rsidR="006239FD" w:rsidRPr="00A52C3B">
        <w:t>d</w:t>
      </w:r>
      <w:r w:rsidRPr="00A52C3B">
        <w:t xml:space="preserve"> funding</w:t>
      </w:r>
      <w:r w:rsidR="00F116CD" w:rsidRPr="00A52C3B">
        <w:t xml:space="preserve"> for recurrent services.  </w:t>
      </w:r>
    </w:p>
    <w:p w:rsidR="00C03BD9" w:rsidRPr="00EE5449" w:rsidRDefault="0058391D" w:rsidP="00440FA7">
      <w:pPr>
        <w:pStyle w:val="BodyText"/>
      </w:pPr>
      <w:r w:rsidRPr="00EE5449">
        <w:t xml:space="preserve">A new loan of $7M </w:t>
      </w:r>
      <w:r w:rsidR="008D1DE9" w:rsidRPr="00EE5449">
        <w:t xml:space="preserve">was taken out in May 2006 in order to restore </w:t>
      </w:r>
      <w:r w:rsidR="00E81D11" w:rsidRPr="00EE5449">
        <w:t>w</w:t>
      </w:r>
      <w:r w:rsidR="00D34499" w:rsidRPr="00EE5449">
        <w:t xml:space="preserve">orking capital balances </w:t>
      </w:r>
      <w:r w:rsidR="00A52C3B">
        <w:t>(</w:t>
      </w:r>
      <w:r w:rsidR="00561499">
        <w:t xml:space="preserve">Unfunded superannuation payment) </w:t>
      </w:r>
      <w:r w:rsidR="00D34499" w:rsidRPr="00EE5449">
        <w:t xml:space="preserve">and in </w:t>
      </w:r>
      <w:r w:rsidR="00AC3348" w:rsidRPr="00EE5449">
        <w:t xml:space="preserve">June </w:t>
      </w:r>
      <w:r w:rsidR="00D34499" w:rsidRPr="00EE5449">
        <w:t xml:space="preserve">2007 a </w:t>
      </w:r>
      <w:r w:rsidR="00237D1C" w:rsidRPr="00EE5449">
        <w:t>$5M</w:t>
      </w:r>
      <w:r w:rsidR="00D34499" w:rsidRPr="00EE5449">
        <w:t xml:space="preserve"> loan was taken out to commence funding of the Leisurelink </w:t>
      </w:r>
      <w:r w:rsidR="009A127D" w:rsidRPr="00EE5449">
        <w:t>Facility Replacement</w:t>
      </w:r>
      <w:r w:rsidR="00D34499" w:rsidRPr="00EE5449">
        <w:t>.</w:t>
      </w:r>
      <w:r w:rsidR="00241FB8" w:rsidRPr="00EE5449">
        <w:t xml:space="preserve">  </w:t>
      </w:r>
      <w:r w:rsidR="000758E6" w:rsidRPr="00EE5449">
        <w:t>In June 2008 a $3.125M</w:t>
      </w:r>
      <w:r w:rsidR="00561499">
        <w:t xml:space="preserve"> loan was taken out to fund </w:t>
      </w:r>
      <w:r w:rsidR="000758E6" w:rsidRPr="00EE5449">
        <w:t xml:space="preserve"> the Bellarine Aquatic Centre and a loan of $12.675M was taken out in June 2009 to continue funding construction of the Leisurelink Facility Replacement.  </w:t>
      </w:r>
      <w:r w:rsidR="00440FA7" w:rsidRPr="00EE5449">
        <w:t>The final loan for Leisurel</w:t>
      </w:r>
      <w:r w:rsidR="00596A99" w:rsidRPr="00EE5449">
        <w:t>ink of $12.5M was taken out in February 2010.</w:t>
      </w:r>
      <w:r w:rsidR="00020AA3">
        <w:t xml:space="preserve">  A new loan of $10.85</w:t>
      </w:r>
      <w:r w:rsidR="00515F95">
        <w:t>M</w:t>
      </w:r>
      <w:r w:rsidR="00020AA3">
        <w:t xml:space="preserve"> is being taken out in May 2013 to fund Community Facilities and </w:t>
      </w:r>
      <w:r w:rsidR="00561499">
        <w:t>commence funding of the new</w:t>
      </w:r>
      <w:r w:rsidR="00020AA3">
        <w:t xml:space="preserve"> </w:t>
      </w:r>
      <w:r w:rsidR="00D03C87">
        <w:t>Geelong</w:t>
      </w:r>
      <w:r w:rsidR="00020AA3">
        <w:t xml:space="preserve"> Library</w:t>
      </w:r>
      <w:r w:rsidR="00D03C87">
        <w:t xml:space="preserve"> &amp; Heritage Centre</w:t>
      </w:r>
      <w:r w:rsidR="00020AA3">
        <w:t>.</w:t>
      </w:r>
    </w:p>
    <w:p w:rsidR="009745D3" w:rsidRPr="00C81E80" w:rsidRDefault="00C03BD9" w:rsidP="00440FA7">
      <w:pPr>
        <w:pStyle w:val="BodyText"/>
      </w:pPr>
      <w:r w:rsidRPr="00C81E80">
        <w:t xml:space="preserve">New </w:t>
      </w:r>
      <w:r w:rsidR="00397E8F" w:rsidRPr="00C81E80">
        <w:t>Loans of $</w:t>
      </w:r>
      <w:r w:rsidR="00020AA3" w:rsidRPr="00C81E80">
        <w:t>32.1</w:t>
      </w:r>
      <w:r w:rsidR="00252F39" w:rsidRPr="00C81E80">
        <w:t>M</w:t>
      </w:r>
      <w:r w:rsidR="00397E8F" w:rsidRPr="00C81E80">
        <w:t xml:space="preserve"> are included in the 201</w:t>
      </w:r>
      <w:r w:rsidR="00020AA3" w:rsidRPr="00C81E80">
        <w:t>3</w:t>
      </w:r>
      <w:r w:rsidR="00252F39" w:rsidRPr="00C81E80">
        <w:t>-201</w:t>
      </w:r>
      <w:r w:rsidR="00020AA3" w:rsidRPr="00C81E80">
        <w:t>4</w:t>
      </w:r>
      <w:r w:rsidR="00397E8F" w:rsidRPr="00C81E80">
        <w:t xml:space="preserve"> </w:t>
      </w:r>
      <w:r w:rsidR="00440FA7" w:rsidRPr="00C81E80">
        <w:t>B</w:t>
      </w:r>
      <w:r w:rsidR="00397E8F" w:rsidRPr="00C81E80">
        <w:t xml:space="preserve">udget to fund </w:t>
      </w:r>
      <w:r w:rsidR="008604E1" w:rsidRPr="00C81E80">
        <w:t xml:space="preserve">Leopold Community Hub, Ocean Grove ICC, Grovedale ICC, Drysdale Landfill Cells, Lara Town Centre, Central Geelong </w:t>
      </w:r>
      <w:r w:rsidR="00C81E80" w:rsidRPr="00C81E80">
        <w:t xml:space="preserve">Revitalisation, </w:t>
      </w:r>
      <w:r w:rsidR="00252F39" w:rsidRPr="00C81E80">
        <w:t xml:space="preserve">the </w:t>
      </w:r>
      <w:r w:rsidR="00D03C87">
        <w:t>Geelong</w:t>
      </w:r>
      <w:r w:rsidR="00252F39" w:rsidRPr="00C81E80">
        <w:t xml:space="preserve"> Library</w:t>
      </w:r>
      <w:r w:rsidR="00C81E80" w:rsidRPr="00C81E80">
        <w:t xml:space="preserve"> </w:t>
      </w:r>
      <w:r w:rsidR="00D03C87">
        <w:t xml:space="preserve">&amp; Heritage Centre </w:t>
      </w:r>
      <w:r w:rsidR="00C81E80" w:rsidRPr="00C81E80">
        <w:t>and Unfunded Superannuation.</w:t>
      </w:r>
    </w:p>
    <w:p w:rsidR="00E81D11" w:rsidRPr="003B5358" w:rsidRDefault="00E81D11" w:rsidP="009745D3">
      <w:pPr>
        <w:pStyle w:val="BodyText"/>
      </w:pPr>
      <w:r w:rsidRPr="003B5358">
        <w:t xml:space="preserve">The following table tracks </w:t>
      </w:r>
      <w:r w:rsidR="00241FB8" w:rsidRPr="003B5358">
        <w:t xml:space="preserve">the </w:t>
      </w:r>
      <w:r w:rsidRPr="003B5358">
        <w:t xml:space="preserve">outstanding loan balance since </w:t>
      </w:r>
      <w:r w:rsidR="00244622" w:rsidRPr="003B5358">
        <w:t>200</w:t>
      </w:r>
      <w:r w:rsidR="00C81E80" w:rsidRPr="003B5358">
        <w:t>5</w:t>
      </w:r>
      <w:r w:rsidR="00244622" w:rsidRPr="003B5358">
        <w:t>-200</w:t>
      </w:r>
      <w:r w:rsidR="00C81E80" w:rsidRPr="003B5358">
        <w:t>6</w:t>
      </w:r>
      <w:r w:rsidR="00083C93" w:rsidRPr="003B5358">
        <w:t>.</w:t>
      </w:r>
    </w:p>
    <w:p w:rsidR="00596A99" w:rsidRDefault="00561499" w:rsidP="00515F95">
      <w:pPr>
        <w:pStyle w:val="BodyText"/>
        <w:jc w:val="center"/>
        <w:rPr>
          <w:noProof/>
          <w:color w:val="FF000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3876040" cy="2258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D11" w:rsidRPr="00366ECB" w:rsidRDefault="00F116CD" w:rsidP="00E81D11">
      <w:pPr>
        <w:pStyle w:val="BodyText"/>
        <w:rPr>
          <w:rFonts w:ascii="Arial Narrow" w:hAnsi="Arial Narrow"/>
          <w:sz w:val="24"/>
          <w:szCs w:val="24"/>
        </w:rPr>
      </w:pPr>
      <w:r w:rsidRPr="00366ECB">
        <w:rPr>
          <w:rFonts w:ascii="Arial Narrow" w:hAnsi="Arial Narrow"/>
          <w:b/>
          <w:sz w:val="24"/>
          <w:szCs w:val="24"/>
        </w:rPr>
        <w:t>Capital Funding Gap Analysis</w:t>
      </w:r>
      <w:r w:rsidR="00D34499" w:rsidRPr="00366ECB">
        <w:rPr>
          <w:rFonts w:ascii="Arial Narrow" w:hAnsi="Arial Narrow"/>
          <w:b/>
          <w:sz w:val="24"/>
          <w:szCs w:val="24"/>
        </w:rPr>
        <w:t xml:space="preserve"> 20</w:t>
      </w:r>
      <w:r w:rsidR="00596A99" w:rsidRPr="00366ECB">
        <w:rPr>
          <w:rFonts w:ascii="Arial Narrow" w:hAnsi="Arial Narrow"/>
          <w:b/>
          <w:sz w:val="24"/>
          <w:szCs w:val="24"/>
        </w:rPr>
        <w:t>1</w:t>
      </w:r>
      <w:r w:rsidR="00366ECB" w:rsidRPr="00366ECB">
        <w:rPr>
          <w:rFonts w:ascii="Arial Narrow" w:hAnsi="Arial Narrow"/>
          <w:b/>
          <w:sz w:val="24"/>
          <w:szCs w:val="24"/>
        </w:rPr>
        <w:t>3</w:t>
      </w:r>
      <w:r w:rsidR="006B130F" w:rsidRPr="00366ECB">
        <w:rPr>
          <w:rFonts w:ascii="Arial Narrow" w:hAnsi="Arial Narrow"/>
          <w:b/>
          <w:sz w:val="24"/>
          <w:szCs w:val="24"/>
        </w:rPr>
        <w:t>-20</w:t>
      </w:r>
      <w:r w:rsidR="00083C93" w:rsidRPr="00366ECB">
        <w:rPr>
          <w:rFonts w:ascii="Arial Narrow" w:hAnsi="Arial Narrow"/>
          <w:b/>
          <w:sz w:val="24"/>
          <w:szCs w:val="24"/>
        </w:rPr>
        <w:t>1</w:t>
      </w:r>
      <w:r w:rsidR="00366ECB" w:rsidRPr="00366ECB">
        <w:rPr>
          <w:rFonts w:ascii="Arial Narrow" w:hAnsi="Arial Narrow"/>
          <w:b/>
          <w:sz w:val="24"/>
          <w:szCs w:val="24"/>
        </w:rPr>
        <w:t>4</w:t>
      </w:r>
    </w:p>
    <w:p w:rsidR="00E81D11" w:rsidRPr="00366ECB" w:rsidRDefault="00E81D11" w:rsidP="00E81D11">
      <w:pPr>
        <w:pStyle w:val="BodyText"/>
      </w:pPr>
      <w:r w:rsidRPr="00366ECB">
        <w:t>In recent years Council has approved capital programs in excess of the internal operating cash generation. The following table provides analysis of internal funding available for capital versus</w:t>
      </w:r>
      <w:r w:rsidR="0064190C" w:rsidRPr="00366ECB">
        <w:t xml:space="preserve"> proposed</w:t>
      </w:r>
      <w:r w:rsidRPr="00366ECB">
        <w:t xml:space="preserve"> net capital expenditure.  </w:t>
      </w:r>
    </w:p>
    <w:tbl>
      <w:tblPr>
        <w:tblW w:w="0" w:type="auto"/>
        <w:tblLayout w:type="fixed"/>
        <w:tblLook w:val="0000"/>
      </w:tblPr>
      <w:tblGrid>
        <w:gridCol w:w="6912"/>
        <w:gridCol w:w="1630"/>
        <w:gridCol w:w="1631"/>
      </w:tblGrid>
      <w:tr w:rsidR="00F116CD" w:rsidRPr="00745E85" w:rsidTr="00D93901">
        <w:trPr>
          <w:trHeight w:val="57"/>
        </w:trPr>
        <w:tc>
          <w:tcPr>
            <w:tcW w:w="6912" w:type="dxa"/>
            <w:shd w:val="clear" w:color="auto" w:fill="CCCCCC"/>
          </w:tcPr>
          <w:p w:rsidR="00F116CD" w:rsidRPr="00745E85" w:rsidRDefault="00F116CD">
            <w:pPr>
              <w:pStyle w:val="Heading7"/>
              <w:rPr>
                <w:color w:val="FF0000"/>
                <w:sz w:val="20"/>
              </w:rPr>
            </w:pPr>
          </w:p>
        </w:tc>
        <w:tc>
          <w:tcPr>
            <w:tcW w:w="1630" w:type="dxa"/>
            <w:shd w:val="clear" w:color="auto" w:fill="CCCCCC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631" w:type="dxa"/>
            <w:shd w:val="clear" w:color="auto" w:fill="CCCCCC"/>
          </w:tcPr>
          <w:p w:rsidR="00F116CD" w:rsidRPr="00D804E7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D804E7">
              <w:rPr>
                <w:color w:val="auto"/>
                <w:sz w:val="20"/>
              </w:rPr>
              <w:t>$M</w:t>
            </w:r>
            <w:r w:rsidR="00440FA7" w:rsidRPr="00D804E7">
              <w:rPr>
                <w:color w:val="auto"/>
                <w:sz w:val="20"/>
              </w:rPr>
              <w:t xml:space="preserve"> </w:t>
            </w:r>
            <w:r w:rsidRPr="00D804E7">
              <w:rPr>
                <w:color w:val="auto"/>
                <w:sz w:val="20"/>
              </w:rPr>
              <w:t>Net</w:t>
            </w:r>
          </w:p>
        </w:tc>
      </w:tr>
      <w:tr w:rsidR="00F116CD" w:rsidRPr="00745E85" w:rsidTr="00D93901">
        <w:tc>
          <w:tcPr>
            <w:tcW w:w="6912" w:type="dxa"/>
          </w:tcPr>
          <w:p w:rsidR="00F116CD" w:rsidRPr="00D804E7" w:rsidRDefault="00F116CD" w:rsidP="00EF1922">
            <w:pPr>
              <w:pStyle w:val="BodyText"/>
              <w:spacing w:after="0"/>
            </w:pPr>
            <w:r w:rsidRPr="00D804E7">
              <w:t>Depreciation</w:t>
            </w:r>
          </w:p>
        </w:tc>
        <w:tc>
          <w:tcPr>
            <w:tcW w:w="1630" w:type="dxa"/>
          </w:tcPr>
          <w:p w:rsidR="00F116CD" w:rsidRPr="00745E85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  <w:color w:val="FF0000"/>
              </w:rPr>
            </w:pPr>
          </w:p>
        </w:tc>
        <w:tc>
          <w:tcPr>
            <w:tcW w:w="1631" w:type="dxa"/>
          </w:tcPr>
          <w:p w:rsidR="00F116CD" w:rsidRPr="00D804E7" w:rsidRDefault="00D804E7" w:rsidP="00EF1922">
            <w:pPr>
              <w:pStyle w:val="BodyText"/>
              <w:spacing w:after="0"/>
              <w:jc w:val="right"/>
            </w:pPr>
            <w:r w:rsidRPr="00D804E7">
              <w:t>49.58</w:t>
            </w:r>
          </w:p>
        </w:tc>
      </w:tr>
      <w:tr w:rsidR="00497598" w:rsidRPr="00745E85">
        <w:trPr>
          <w:trHeight w:val="200"/>
        </w:trPr>
        <w:tc>
          <w:tcPr>
            <w:tcW w:w="6912" w:type="dxa"/>
          </w:tcPr>
          <w:p w:rsidR="00497598" w:rsidRPr="00D804E7" w:rsidRDefault="00497598" w:rsidP="00EF1922">
            <w:pPr>
              <w:pStyle w:val="BodyText"/>
              <w:spacing w:after="0"/>
            </w:pPr>
            <w:r w:rsidRPr="00D804E7">
              <w:t>Loan Repayments</w:t>
            </w:r>
          </w:p>
        </w:tc>
        <w:tc>
          <w:tcPr>
            <w:tcW w:w="1630" w:type="dxa"/>
          </w:tcPr>
          <w:p w:rsidR="00497598" w:rsidRPr="00745E85" w:rsidRDefault="00497598" w:rsidP="00EF1922">
            <w:pPr>
              <w:pStyle w:val="BodyText"/>
              <w:spacing w:after="0"/>
              <w:jc w:val="right"/>
              <w:rPr>
                <w:rFonts w:ascii="Arial Narrow" w:hAnsi="Arial Narrow"/>
                <w:color w:val="FF0000"/>
              </w:rPr>
            </w:pPr>
          </w:p>
        </w:tc>
        <w:tc>
          <w:tcPr>
            <w:tcW w:w="1631" w:type="dxa"/>
          </w:tcPr>
          <w:p w:rsidR="00497598" w:rsidRPr="00D804E7" w:rsidRDefault="00497598" w:rsidP="00EF1922">
            <w:pPr>
              <w:pStyle w:val="BodyText"/>
              <w:spacing w:after="0"/>
              <w:jc w:val="right"/>
            </w:pPr>
            <w:r w:rsidRPr="00D804E7">
              <w:t>(</w:t>
            </w:r>
            <w:r w:rsidR="00D804E7" w:rsidRPr="00D804E7">
              <w:t>9.69</w:t>
            </w:r>
            <w:r w:rsidRPr="00D804E7">
              <w:t>)</w:t>
            </w:r>
          </w:p>
        </w:tc>
      </w:tr>
      <w:tr w:rsidR="00F116CD" w:rsidRPr="00745E85">
        <w:trPr>
          <w:trHeight w:val="200"/>
        </w:trPr>
        <w:tc>
          <w:tcPr>
            <w:tcW w:w="6912" w:type="dxa"/>
          </w:tcPr>
          <w:p w:rsidR="00F116CD" w:rsidRDefault="00497598" w:rsidP="00EF1922">
            <w:pPr>
              <w:pStyle w:val="BodyText"/>
              <w:spacing w:after="0"/>
            </w:pPr>
            <w:r w:rsidRPr="002745E7">
              <w:t>Unfunded Superannuation</w:t>
            </w:r>
          </w:p>
          <w:p w:rsidR="002745E7" w:rsidRPr="002745E7" w:rsidRDefault="002745E7" w:rsidP="00EF1922">
            <w:pPr>
              <w:pStyle w:val="BodyText"/>
              <w:spacing w:after="0"/>
            </w:pPr>
            <w:r>
              <w:t>Recurrent Operating Surplus (33% of Surplus)</w:t>
            </w:r>
          </w:p>
        </w:tc>
        <w:tc>
          <w:tcPr>
            <w:tcW w:w="1630" w:type="dxa"/>
          </w:tcPr>
          <w:p w:rsidR="00F116CD" w:rsidRPr="002745E7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31" w:type="dxa"/>
          </w:tcPr>
          <w:p w:rsidR="008F70E6" w:rsidRDefault="00D34499" w:rsidP="00EF1922">
            <w:pPr>
              <w:pStyle w:val="BodyText"/>
              <w:spacing w:after="0"/>
              <w:jc w:val="right"/>
            </w:pPr>
            <w:r w:rsidRPr="002745E7">
              <w:t>(</w:t>
            </w:r>
            <w:r w:rsidR="00D804E7" w:rsidRPr="002745E7">
              <w:t>1.74</w:t>
            </w:r>
            <w:r w:rsidR="008F70E6" w:rsidRPr="002745E7">
              <w:t>)</w:t>
            </w:r>
          </w:p>
          <w:p w:rsidR="002745E7" w:rsidRPr="002745E7" w:rsidRDefault="002745E7" w:rsidP="00EF1922">
            <w:pPr>
              <w:pStyle w:val="BodyText"/>
              <w:spacing w:after="0"/>
              <w:jc w:val="right"/>
            </w:pPr>
            <w:r>
              <w:t>0.33</w:t>
            </w:r>
          </w:p>
        </w:tc>
      </w:tr>
      <w:tr w:rsidR="00F116CD" w:rsidRPr="00745E85">
        <w:trPr>
          <w:trHeight w:val="310"/>
        </w:trPr>
        <w:tc>
          <w:tcPr>
            <w:tcW w:w="6912" w:type="dxa"/>
            <w:tcBorders>
              <w:top w:val="single" w:sz="8" w:space="0" w:color="auto"/>
            </w:tcBorders>
          </w:tcPr>
          <w:p w:rsidR="00F116CD" w:rsidRPr="002745E7" w:rsidRDefault="00F116CD" w:rsidP="00EF1922">
            <w:pPr>
              <w:pStyle w:val="BodyText"/>
              <w:spacing w:after="0"/>
              <w:rPr>
                <w:b/>
              </w:rPr>
            </w:pPr>
            <w:r w:rsidRPr="002745E7">
              <w:rPr>
                <w:b/>
              </w:rPr>
              <w:t>Internal Funding Available for Capital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F116CD" w:rsidRPr="002745E7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31" w:type="dxa"/>
            <w:tcBorders>
              <w:top w:val="single" w:sz="8" w:space="0" w:color="auto"/>
            </w:tcBorders>
          </w:tcPr>
          <w:p w:rsidR="00F116CD" w:rsidRPr="002745E7" w:rsidRDefault="00D804E7" w:rsidP="00EF1922">
            <w:pPr>
              <w:pStyle w:val="BodyText"/>
              <w:spacing w:after="0"/>
              <w:jc w:val="right"/>
              <w:rPr>
                <w:b/>
              </w:rPr>
            </w:pPr>
            <w:r w:rsidRPr="002745E7">
              <w:rPr>
                <w:b/>
              </w:rPr>
              <w:t>38.</w:t>
            </w:r>
            <w:r w:rsidR="002745E7" w:rsidRPr="002745E7">
              <w:rPr>
                <w:b/>
              </w:rPr>
              <w:t>48</w:t>
            </w:r>
          </w:p>
        </w:tc>
      </w:tr>
      <w:tr w:rsidR="00F116CD" w:rsidRPr="00745E85">
        <w:tc>
          <w:tcPr>
            <w:tcW w:w="6912" w:type="dxa"/>
          </w:tcPr>
          <w:p w:rsidR="00F116CD" w:rsidRPr="00D804E7" w:rsidRDefault="00F116CD" w:rsidP="00EF1922">
            <w:pPr>
              <w:pStyle w:val="BodyText"/>
              <w:spacing w:after="0"/>
            </w:pPr>
            <w:r w:rsidRPr="00D804E7">
              <w:t>20</w:t>
            </w:r>
            <w:r w:rsidR="00596A99" w:rsidRPr="00D804E7">
              <w:t>1</w:t>
            </w:r>
            <w:r w:rsidR="00366ECB" w:rsidRPr="00D804E7">
              <w:t>3</w:t>
            </w:r>
            <w:r w:rsidRPr="00D804E7">
              <w:t>-20</w:t>
            </w:r>
            <w:r w:rsidR="00993F07" w:rsidRPr="00D804E7">
              <w:t>1</w:t>
            </w:r>
            <w:r w:rsidR="00366ECB" w:rsidRPr="00D804E7">
              <w:t>4</w:t>
            </w:r>
            <w:r w:rsidRPr="00D804E7">
              <w:t xml:space="preserve"> </w:t>
            </w:r>
            <w:r w:rsidR="006C44F0" w:rsidRPr="00D804E7">
              <w:t xml:space="preserve">Net </w:t>
            </w:r>
            <w:r w:rsidRPr="00D804E7">
              <w:t>Capital Program</w:t>
            </w:r>
          </w:p>
        </w:tc>
        <w:tc>
          <w:tcPr>
            <w:tcW w:w="1630" w:type="dxa"/>
          </w:tcPr>
          <w:p w:rsidR="00F116CD" w:rsidRPr="00D804E7" w:rsidRDefault="00F116CD" w:rsidP="00EF1922">
            <w:pPr>
              <w:pStyle w:val="BodyText"/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31" w:type="dxa"/>
          </w:tcPr>
          <w:p w:rsidR="00F116CD" w:rsidRPr="00D804E7" w:rsidRDefault="00D804E7" w:rsidP="00EF1922">
            <w:pPr>
              <w:pStyle w:val="BodyText"/>
              <w:spacing w:after="0"/>
              <w:jc w:val="right"/>
            </w:pPr>
            <w:r w:rsidRPr="00D804E7">
              <w:t>64.72</w:t>
            </w:r>
          </w:p>
        </w:tc>
      </w:tr>
      <w:tr w:rsidR="00F116CD" w:rsidRPr="00745E85">
        <w:tc>
          <w:tcPr>
            <w:tcW w:w="6912" w:type="dxa"/>
          </w:tcPr>
          <w:p w:rsidR="00F116CD" w:rsidRPr="00D804E7" w:rsidRDefault="00E54442" w:rsidP="00EF1922">
            <w:pPr>
              <w:pStyle w:val="BodyText"/>
              <w:spacing w:after="0"/>
            </w:pPr>
            <w:r w:rsidRPr="00D804E7">
              <w:t xml:space="preserve">Property </w:t>
            </w:r>
            <w:r w:rsidR="00F116CD" w:rsidRPr="00D804E7">
              <w:t xml:space="preserve">Asset Sales </w:t>
            </w:r>
          </w:p>
        </w:tc>
        <w:tc>
          <w:tcPr>
            <w:tcW w:w="1630" w:type="dxa"/>
          </w:tcPr>
          <w:p w:rsidR="00F116CD" w:rsidRPr="00D804E7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31" w:type="dxa"/>
          </w:tcPr>
          <w:p w:rsidR="00F116CD" w:rsidRPr="00D804E7" w:rsidRDefault="00CD4A92" w:rsidP="00EF1922">
            <w:pPr>
              <w:pStyle w:val="BodyText"/>
              <w:spacing w:after="0"/>
              <w:jc w:val="right"/>
            </w:pPr>
            <w:r w:rsidRPr="00D804E7">
              <w:t>(</w:t>
            </w:r>
            <w:r w:rsidR="00D804E7" w:rsidRPr="00D804E7">
              <w:t>1.95</w:t>
            </w:r>
            <w:r w:rsidR="00335947" w:rsidRPr="00D804E7">
              <w:t>)</w:t>
            </w:r>
          </w:p>
        </w:tc>
      </w:tr>
      <w:tr w:rsidR="00F116CD" w:rsidRPr="00745E85">
        <w:tc>
          <w:tcPr>
            <w:tcW w:w="6912" w:type="dxa"/>
          </w:tcPr>
          <w:p w:rsidR="00F116CD" w:rsidRPr="00D804E7" w:rsidRDefault="00F116CD" w:rsidP="00EF1922">
            <w:pPr>
              <w:pStyle w:val="BodyText"/>
              <w:spacing w:after="0"/>
            </w:pPr>
            <w:r w:rsidRPr="00D804E7">
              <w:t>Developer Contributions</w:t>
            </w:r>
          </w:p>
        </w:tc>
        <w:tc>
          <w:tcPr>
            <w:tcW w:w="1630" w:type="dxa"/>
          </w:tcPr>
          <w:p w:rsidR="00F116CD" w:rsidRPr="00D804E7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</w:rPr>
            </w:pPr>
          </w:p>
        </w:tc>
        <w:tc>
          <w:tcPr>
            <w:tcW w:w="1631" w:type="dxa"/>
          </w:tcPr>
          <w:p w:rsidR="00F116CD" w:rsidRPr="00D804E7" w:rsidRDefault="00335947" w:rsidP="00EF1922">
            <w:pPr>
              <w:pStyle w:val="BodyText"/>
              <w:spacing w:after="0"/>
              <w:jc w:val="right"/>
            </w:pPr>
            <w:r w:rsidRPr="00D804E7">
              <w:t>(</w:t>
            </w:r>
            <w:r w:rsidR="00D804E7" w:rsidRPr="00D804E7">
              <w:t>2.16</w:t>
            </w:r>
            <w:r w:rsidRPr="00D804E7">
              <w:t>)</w:t>
            </w:r>
          </w:p>
        </w:tc>
      </w:tr>
      <w:tr w:rsidR="00F116CD" w:rsidRPr="00745E85">
        <w:tc>
          <w:tcPr>
            <w:tcW w:w="69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16CD" w:rsidRPr="00D804E7" w:rsidRDefault="00F116CD" w:rsidP="00EF1922">
            <w:pPr>
              <w:pStyle w:val="BodyText"/>
              <w:spacing w:after="0"/>
              <w:rPr>
                <w:b/>
              </w:rPr>
            </w:pPr>
            <w:r w:rsidRPr="00D804E7">
              <w:rPr>
                <w:b/>
              </w:rPr>
              <w:t>Total Funding Required for Capital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16CD" w:rsidRPr="00D804E7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C3960" w:rsidRPr="00D804E7" w:rsidRDefault="00D804E7" w:rsidP="00EF1922">
            <w:pPr>
              <w:pStyle w:val="BodyText"/>
              <w:spacing w:after="0"/>
              <w:jc w:val="right"/>
              <w:rPr>
                <w:b/>
              </w:rPr>
            </w:pPr>
            <w:r w:rsidRPr="00D804E7">
              <w:rPr>
                <w:b/>
              </w:rPr>
              <w:t>60.61</w:t>
            </w:r>
          </w:p>
        </w:tc>
      </w:tr>
      <w:tr w:rsidR="00F116CD" w:rsidRPr="00745E85">
        <w:tc>
          <w:tcPr>
            <w:tcW w:w="69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16CD" w:rsidRPr="002745E7" w:rsidRDefault="00497598" w:rsidP="00EF1922">
            <w:pPr>
              <w:pStyle w:val="BodyText"/>
              <w:spacing w:after="0"/>
              <w:rPr>
                <w:b/>
              </w:rPr>
            </w:pPr>
            <w:r w:rsidRPr="002745E7">
              <w:rPr>
                <w:b/>
              </w:rPr>
              <w:t>Difference required to be funded by loan in 201</w:t>
            </w:r>
            <w:r w:rsidR="00366ECB" w:rsidRPr="002745E7">
              <w:rPr>
                <w:b/>
              </w:rPr>
              <w:t>3</w:t>
            </w:r>
            <w:r w:rsidRPr="002745E7">
              <w:rPr>
                <w:b/>
              </w:rPr>
              <w:t>-201</w:t>
            </w:r>
            <w:r w:rsidR="00366ECB" w:rsidRPr="002745E7">
              <w:rPr>
                <w:b/>
              </w:rPr>
              <w:t>4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16CD" w:rsidRPr="00745E85" w:rsidRDefault="00F116CD" w:rsidP="00EF1922">
            <w:pPr>
              <w:pStyle w:val="BodyText"/>
              <w:spacing w:after="0"/>
              <w:jc w:val="righ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116CD" w:rsidRPr="002745E7" w:rsidRDefault="002745E7" w:rsidP="00EF1922">
            <w:pPr>
              <w:pStyle w:val="BodyText"/>
              <w:spacing w:after="0"/>
              <w:jc w:val="right"/>
              <w:rPr>
                <w:b/>
              </w:rPr>
            </w:pPr>
            <w:r w:rsidRPr="002745E7">
              <w:rPr>
                <w:b/>
              </w:rPr>
              <w:t>22.13</w:t>
            </w:r>
          </w:p>
        </w:tc>
      </w:tr>
      <w:tr w:rsidR="002745E7" w:rsidRPr="00745E85">
        <w:tc>
          <w:tcPr>
            <w:tcW w:w="69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2745E7" w:rsidRDefault="002745E7" w:rsidP="00EF1922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Unfunded Superannuation Loan (to replenish Working Capital)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745E85" w:rsidRDefault="002745E7" w:rsidP="00EF1922">
            <w:pPr>
              <w:pStyle w:val="BodyText"/>
              <w:spacing w:after="0"/>
              <w:jc w:val="righ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2745E7" w:rsidRDefault="002745E7" w:rsidP="00EF1922">
            <w:pPr>
              <w:pStyle w:val="BodyText"/>
              <w:spacing w:after="0"/>
              <w:jc w:val="right"/>
              <w:rPr>
                <w:b/>
              </w:rPr>
            </w:pPr>
            <w:r>
              <w:rPr>
                <w:b/>
              </w:rPr>
              <w:t>10.00</w:t>
            </w:r>
          </w:p>
        </w:tc>
      </w:tr>
      <w:tr w:rsidR="002745E7" w:rsidRPr="00745E85">
        <w:tc>
          <w:tcPr>
            <w:tcW w:w="69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2745E7" w:rsidRDefault="002745E7" w:rsidP="00EF1922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Total Borrowings for 2013-2014</w:t>
            </w:r>
          </w:p>
        </w:tc>
        <w:tc>
          <w:tcPr>
            <w:tcW w:w="1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745E85" w:rsidRDefault="002745E7" w:rsidP="00EF1922">
            <w:pPr>
              <w:pStyle w:val="BodyText"/>
              <w:spacing w:after="0"/>
              <w:jc w:val="right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745E7" w:rsidRPr="002745E7" w:rsidRDefault="002745E7" w:rsidP="00EF1922">
            <w:pPr>
              <w:pStyle w:val="BodyText"/>
              <w:spacing w:after="0"/>
              <w:jc w:val="right"/>
              <w:rPr>
                <w:b/>
              </w:rPr>
            </w:pPr>
            <w:r>
              <w:rPr>
                <w:b/>
              </w:rPr>
              <w:t>32.13</w:t>
            </w:r>
          </w:p>
        </w:tc>
      </w:tr>
    </w:tbl>
    <w:p w:rsidR="00497598" w:rsidRPr="00745E85" w:rsidRDefault="00497598">
      <w:pPr>
        <w:pStyle w:val="BodyText"/>
        <w:rPr>
          <w:color w:val="FF0000"/>
        </w:rPr>
      </w:pPr>
    </w:p>
    <w:p w:rsidR="00BE44D8" w:rsidRPr="00931619" w:rsidRDefault="008F70E6">
      <w:pPr>
        <w:pStyle w:val="BodyText"/>
      </w:pPr>
      <w:r w:rsidRPr="00931619">
        <w:lastRenderedPageBreak/>
        <w:t>The 20</w:t>
      </w:r>
      <w:r w:rsidR="00596A99" w:rsidRPr="00931619">
        <w:t>1</w:t>
      </w:r>
      <w:r w:rsidR="00366ECB" w:rsidRPr="00931619">
        <w:t>3</w:t>
      </w:r>
      <w:r w:rsidRPr="00931619">
        <w:t>-20</w:t>
      </w:r>
      <w:r w:rsidR="00083C93" w:rsidRPr="00931619">
        <w:t>1</w:t>
      </w:r>
      <w:r w:rsidR="00366ECB" w:rsidRPr="00931619">
        <w:t>4</w:t>
      </w:r>
      <w:r w:rsidRPr="00931619">
        <w:t xml:space="preserve"> program includes $</w:t>
      </w:r>
      <w:r w:rsidR="00931619" w:rsidRPr="00931619">
        <w:t>25</w:t>
      </w:r>
      <w:r w:rsidR="005B23B9" w:rsidRPr="00931619">
        <w:t>.0M</w:t>
      </w:r>
      <w:r w:rsidR="000C3960" w:rsidRPr="00931619">
        <w:t xml:space="preserve"> </w:t>
      </w:r>
      <w:r w:rsidR="00BE44D8" w:rsidRPr="00931619">
        <w:t>of capi</w:t>
      </w:r>
      <w:r w:rsidRPr="00931619">
        <w:t>tal works carried over from 20</w:t>
      </w:r>
      <w:r w:rsidR="00252F39" w:rsidRPr="00931619">
        <w:t>1</w:t>
      </w:r>
      <w:r w:rsidR="00366ECB" w:rsidRPr="00931619">
        <w:t>2</w:t>
      </w:r>
      <w:r w:rsidRPr="00931619">
        <w:t>-20</w:t>
      </w:r>
      <w:r w:rsidR="00596A99" w:rsidRPr="00931619">
        <w:t>1</w:t>
      </w:r>
      <w:r w:rsidR="00366ECB" w:rsidRPr="00931619">
        <w:t>3</w:t>
      </w:r>
      <w:r w:rsidR="00BE44D8" w:rsidRPr="00931619">
        <w:t xml:space="preserve"> and $</w:t>
      </w:r>
      <w:r w:rsidR="00252F39" w:rsidRPr="00931619">
        <w:t>19</w:t>
      </w:r>
      <w:r w:rsidR="00AF2A8E" w:rsidRPr="00931619">
        <w:t>.0</w:t>
      </w:r>
      <w:r w:rsidR="00555012" w:rsidRPr="00931619">
        <w:t>M</w:t>
      </w:r>
      <w:r w:rsidRPr="00931619">
        <w:t xml:space="preserve"> of works carried over to 20</w:t>
      </w:r>
      <w:r w:rsidR="00083C93" w:rsidRPr="00931619">
        <w:t>1</w:t>
      </w:r>
      <w:r w:rsidR="00366ECB" w:rsidRPr="00931619">
        <w:t>4</w:t>
      </w:r>
      <w:r w:rsidRPr="00931619">
        <w:t>-20</w:t>
      </w:r>
      <w:r w:rsidR="00083C93" w:rsidRPr="00931619">
        <w:t>1</w:t>
      </w:r>
      <w:r w:rsidR="00366ECB" w:rsidRPr="00931619">
        <w:t>5</w:t>
      </w:r>
      <w:r w:rsidR="00BE44D8" w:rsidRPr="00931619">
        <w:t xml:space="preserve">. </w:t>
      </w:r>
    </w:p>
    <w:p w:rsidR="00F116CD" w:rsidRPr="00366ECB" w:rsidRDefault="00F116CD">
      <w:pPr>
        <w:pStyle w:val="BodyText"/>
      </w:pPr>
      <w:r w:rsidRPr="00366ECB">
        <w:t xml:space="preserve">The following table shows the total borrowings and available cash and investments over the last </w:t>
      </w:r>
      <w:r w:rsidR="00241FB8" w:rsidRPr="00366ECB">
        <w:t>eight</w:t>
      </w:r>
      <w:r w:rsidRPr="00366ECB">
        <w:t xml:space="preserve"> years. Council</w:t>
      </w:r>
      <w:r w:rsidR="00B36497">
        <w:t>’</w:t>
      </w:r>
      <w:r w:rsidRPr="00366ECB">
        <w:t xml:space="preserve">s debt position has been within the prudential limits required by the State Government. </w:t>
      </w:r>
      <w:r w:rsidR="006B130F" w:rsidRPr="00366ECB">
        <w:t xml:space="preserve">The reduction in the current ratio </w:t>
      </w:r>
      <w:r w:rsidR="00770D1F" w:rsidRPr="00366ECB">
        <w:t xml:space="preserve">is a measure of Council’s current assets to current liabilities and is influenced by the timing of borrowings and the change in accounting treatment of long service leave. </w:t>
      </w: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1323"/>
        <w:gridCol w:w="264"/>
        <w:gridCol w:w="1059"/>
        <w:gridCol w:w="529"/>
        <w:gridCol w:w="794"/>
        <w:gridCol w:w="1323"/>
        <w:gridCol w:w="1228"/>
        <w:gridCol w:w="95"/>
        <w:gridCol w:w="1323"/>
      </w:tblGrid>
      <w:tr w:rsidR="00F116CD" w:rsidRPr="00745E85" w:rsidTr="00D93901">
        <w:trPr>
          <w:trHeight w:hRule="exact" w:val="6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left"/>
              <w:rPr>
                <w:color w:val="FF0000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F116CD" w:rsidRPr="00745E85" w:rsidRDefault="00F116CD">
            <w:pPr>
              <w:pStyle w:val="Heading7"/>
              <w:jc w:val="right"/>
              <w:rPr>
                <w:color w:val="FF0000"/>
                <w:sz w:val="20"/>
              </w:rPr>
            </w:pPr>
          </w:p>
        </w:tc>
      </w:tr>
      <w:tr w:rsidR="00F116CD" w:rsidRPr="00745E85" w:rsidTr="00D93901">
        <w:trPr>
          <w:cantSplit/>
        </w:trPr>
        <w:tc>
          <w:tcPr>
            <w:tcW w:w="2127" w:type="dxa"/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left"/>
              <w:rPr>
                <w:color w:val="auto"/>
                <w:sz w:val="20"/>
              </w:rPr>
            </w:pPr>
          </w:p>
        </w:tc>
        <w:tc>
          <w:tcPr>
            <w:tcW w:w="1587" w:type="dxa"/>
            <w:gridSpan w:val="2"/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</w:p>
        </w:tc>
        <w:tc>
          <w:tcPr>
            <w:tcW w:w="1588" w:type="dxa"/>
            <w:gridSpan w:val="2"/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</w:p>
        </w:tc>
        <w:tc>
          <w:tcPr>
            <w:tcW w:w="794" w:type="dxa"/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F116CD" w:rsidRPr="00EA6BAA" w:rsidRDefault="00F116CD">
            <w:pPr>
              <w:pStyle w:val="Heading7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Debt Management</w:t>
            </w:r>
          </w:p>
        </w:tc>
        <w:tc>
          <w:tcPr>
            <w:tcW w:w="1418" w:type="dxa"/>
            <w:gridSpan w:val="2"/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</w:p>
        </w:tc>
      </w:tr>
      <w:tr w:rsidR="00F116CD" w:rsidRPr="00745E85" w:rsidTr="00D93901">
        <w:trPr>
          <w:trHeight w:val="658"/>
        </w:trPr>
        <w:tc>
          <w:tcPr>
            <w:tcW w:w="2127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lef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Year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Outstanding Loans</w:t>
            </w:r>
          </w:p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$M’s</w:t>
            </w:r>
          </w:p>
        </w:tc>
        <w:tc>
          <w:tcPr>
            <w:tcW w:w="1323" w:type="dxa"/>
            <w:gridSpan w:val="2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Cash and Investments</w:t>
            </w:r>
          </w:p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$M’s</w:t>
            </w:r>
          </w:p>
        </w:tc>
        <w:tc>
          <w:tcPr>
            <w:tcW w:w="1323" w:type="dxa"/>
            <w:gridSpan w:val="2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Current</w:t>
            </w:r>
          </w:p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Ratio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Total Debt Repayments/ Rates</w:t>
            </w:r>
          </w:p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%</w:t>
            </w:r>
          </w:p>
        </w:tc>
        <w:tc>
          <w:tcPr>
            <w:tcW w:w="1323" w:type="dxa"/>
            <w:gridSpan w:val="2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>Debt Servicing Costs / Revenue  %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F116CD" w:rsidRPr="00EA6BAA" w:rsidRDefault="00F116CD">
            <w:pPr>
              <w:pStyle w:val="Heading7"/>
              <w:jc w:val="right"/>
              <w:rPr>
                <w:color w:val="auto"/>
                <w:sz w:val="20"/>
              </w:rPr>
            </w:pPr>
            <w:r w:rsidRPr="00EA6BAA">
              <w:rPr>
                <w:color w:val="auto"/>
                <w:sz w:val="20"/>
              </w:rPr>
              <w:t xml:space="preserve">Realisable Assets / Liabilities </w:t>
            </w:r>
          </w:p>
        </w:tc>
      </w:tr>
      <w:tr w:rsidR="00252F39" w:rsidRPr="00745E85"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200</w:t>
            </w:r>
            <w:r w:rsidR="00EA6BAA" w:rsidRPr="00EA6BAA">
              <w:t>6</w:t>
            </w:r>
            <w:r w:rsidRPr="00EA6BAA">
              <w:t>-200</w:t>
            </w:r>
            <w:r w:rsidR="00EA6BAA" w:rsidRPr="00EA6BAA">
              <w:t>7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</w:t>
            </w:r>
            <w:r w:rsidR="00EA6BAA" w:rsidRPr="00EA6BAA">
              <w:t>6.58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31.93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1.</w:t>
            </w:r>
            <w:r w:rsidR="00EA6BAA" w:rsidRPr="00EA6BAA">
              <w:t>13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4.</w:t>
            </w:r>
            <w:r w:rsidR="00EA6BAA" w:rsidRPr="00EA6BAA">
              <w:t>05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0.37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10.17</w:t>
            </w:r>
          </w:p>
        </w:tc>
      </w:tr>
      <w:tr w:rsidR="00252F39" w:rsidRPr="00745E85"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200</w:t>
            </w:r>
            <w:r w:rsidR="00EA6BAA" w:rsidRPr="00EA6BAA">
              <w:t>7</w:t>
            </w:r>
            <w:r w:rsidRPr="00EA6BAA">
              <w:t>-200</w:t>
            </w:r>
            <w:r w:rsidR="00EA6BAA" w:rsidRPr="00EA6BAA">
              <w:t>8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</w:t>
            </w:r>
            <w:r w:rsidR="00EA6BAA" w:rsidRPr="00EA6BAA">
              <w:t>4.73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3</w:t>
            </w:r>
            <w:r w:rsidR="00EA6BAA" w:rsidRPr="00EA6BAA">
              <w:t>0.16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1.</w:t>
            </w:r>
            <w:r w:rsidR="00EA6BAA" w:rsidRPr="00EA6BAA">
              <w:t>36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4.</w:t>
            </w:r>
            <w:r w:rsidR="00EA6BAA" w:rsidRPr="00EA6BAA">
              <w:t>30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0.</w:t>
            </w:r>
            <w:r w:rsidR="00EA6BAA" w:rsidRPr="00EA6BAA">
              <w:t>40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</w:t>
            </w:r>
            <w:r w:rsidR="00EA6BAA" w:rsidRPr="00EA6BAA">
              <w:t>1.37</w:t>
            </w:r>
          </w:p>
        </w:tc>
      </w:tr>
      <w:tr w:rsidR="00252F39" w:rsidRPr="00745E85"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200</w:t>
            </w:r>
            <w:r w:rsidR="00EA6BAA" w:rsidRPr="00EA6BAA">
              <w:t>8</w:t>
            </w:r>
            <w:r w:rsidRPr="00EA6BAA">
              <w:t>-200</w:t>
            </w:r>
            <w:r w:rsidR="00EA6BAA" w:rsidRPr="00EA6BAA">
              <w:t>9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26.22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53.13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1.82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1.71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0.38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9.44</w:t>
            </w:r>
          </w:p>
        </w:tc>
      </w:tr>
      <w:tr w:rsidR="00252F39" w:rsidRPr="00745E85">
        <w:trPr>
          <w:cantSplit/>
        </w:trPr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200</w:t>
            </w:r>
            <w:r w:rsidR="00EA6BAA" w:rsidRPr="00EA6BAA">
              <w:t>9</w:t>
            </w:r>
            <w:r w:rsidRPr="00EA6BAA">
              <w:t>-20</w:t>
            </w:r>
            <w:r w:rsidR="00EA6BAA" w:rsidRPr="00EA6BAA">
              <w:t>10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36.28</w:t>
            </w:r>
          </w:p>
        </w:tc>
        <w:tc>
          <w:tcPr>
            <w:tcW w:w="1323" w:type="dxa"/>
            <w:gridSpan w:val="2"/>
            <w:tcBorders>
              <w:left w:val="nil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5</w:t>
            </w:r>
            <w:r w:rsidR="00EA6BAA" w:rsidRPr="00EA6BAA">
              <w:t>8.64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1.</w:t>
            </w:r>
            <w:r w:rsidR="00EA6BAA" w:rsidRPr="00EA6BAA">
              <w:t>79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3.56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0.</w:t>
            </w:r>
            <w:r w:rsidR="00EA6BAA" w:rsidRPr="00EA6BAA">
              <w:t>79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9.</w:t>
            </w:r>
            <w:r w:rsidR="00EA6BAA" w:rsidRPr="00EA6BAA">
              <w:t>51</w:t>
            </w:r>
          </w:p>
        </w:tc>
      </w:tr>
      <w:tr w:rsidR="00252F39" w:rsidRPr="00745E85">
        <w:trPr>
          <w:cantSplit/>
        </w:trPr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</w:t>
            </w:r>
            <w:r w:rsidR="00EA6BAA" w:rsidRPr="00EA6BAA">
              <w:t>10</w:t>
            </w:r>
            <w:r w:rsidRPr="00EA6BAA">
              <w:t>-201</w:t>
            </w:r>
            <w:r w:rsidR="00EA6BAA" w:rsidRPr="00EA6BAA">
              <w:t>1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31.51</w:t>
            </w:r>
          </w:p>
        </w:tc>
        <w:tc>
          <w:tcPr>
            <w:tcW w:w="1323" w:type="dxa"/>
            <w:gridSpan w:val="2"/>
            <w:tcBorders>
              <w:left w:val="nil"/>
            </w:tcBorders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66.30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1.7</w:t>
            </w:r>
            <w:r w:rsidR="00EA6BAA" w:rsidRPr="00EA6BAA">
              <w:t>4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4.86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0.</w:t>
            </w:r>
            <w:r w:rsidR="00EA6BAA" w:rsidRPr="00EA6BAA">
              <w:t>80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9.</w:t>
            </w:r>
            <w:r w:rsidR="00EA6BAA" w:rsidRPr="00EA6BAA">
              <w:t>45</w:t>
            </w:r>
          </w:p>
        </w:tc>
      </w:tr>
      <w:tr w:rsidR="00252F39" w:rsidRPr="00745E85" w:rsidTr="00613540">
        <w:trPr>
          <w:cantSplit/>
          <w:trHeight w:val="165"/>
        </w:trPr>
        <w:tc>
          <w:tcPr>
            <w:tcW w:w="2127" w:type="dxa"/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201</w:t>
            </w:r>
            <w:r w:rsidR="00EA6BAA" w:rsidRPr="00EA6BAA">
              <w:t>1</w:t>
            </w:r>
            <w:r w:rsidRPr="00EA6BAA">
              <w:t>-201</w:t>
            </w:r>
            <w:r w:rsidR="00EA6BAA" w:rsidRPr="00EA6BAA">
              <w:t>2</w:t>
            </w:r>
            <w:r w:rsidRPr="00EA6BAA">
              <w:t xml:space="preserve"> Actual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26.74</w:t>
            </w:r>
          </w:p>
        </w:tc>
        <w:tc>
          <w:tcPr>
            <w:tcW w:w="1323" w:type="dxa"/>
            <w:gridSpan w:val="2"/>
            <w:tcBorders>
              <w:left w:val="nil"/>
            </w:tcBorders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74.20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1.</w:t>
            </w:r>
            <w:r w:rsidR="00EA6BAA" w:rsidRPr="00EA6BAA">
              <w:t>6</w:t>
            </w:r>
            <w:r w:rsidR="00876310" w:rsidRPr="00EA6BAA">
              <w:t>4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876310" w:rsidP="000758E6">
            <w:pPr>
              <w:pStyle w:val="TableText10"/>
              <w:jc w:val="right"/>
            </w:pPr>
            <w:r w:rsidRPr="00EA6BAA">
              <w:t>4.</w:t>
            </w:r>
            <w:r w:rsidR="00EA6BAA" w:rsidRPr="00EA6BAA">
              <w:t>51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0.</w:t>
            </w:r>
            <w:r w:rsidR="00EA6BAA" w:rsidRPr="00EA6BAA">
              <w:t>67</w:t>
            </w:r>
          </w:p>
        </w:tc>
        <w:tc>
          <w:tcPr>
            <w:tcW w:w="1323" w:type="dxa"/>
            <w:shd w:val="clear" w:color="auto" w:fill="auto"/>
          </w:tcPr>
          <w:p w:rsidR="00252F39" w:rsidRPr="00EA6BAA" w:rsidRDefault="00EA6BAA" w:rsidP="000758E6">
            <w:pPr>
              <w:pStyle w:val="TableText10"/>
              <w:jc w:val="right"/>
            </w:pPr>
            <w:r w:rsidRPr="00EA6BAA">
              <w:t>8.17</w:t>
            </w:r>
          </w:p>
        </w:tc>
      </w:tr>
      <w:tr w:rsidR="00252F39" w:rsidRPr="00745E85">
        <w:trPr>
          <w:cantSplit/>
        </w:trPr>
        <w:tc>
          <w:tcPr>
            <w:tcW w:w="2127" w:type="dxa"/>
            <w:shd w:val="clear" w:color="auto" w:fill="auto"/>
          </w:tcPr>
          <w:p w:rsidR="00252F39" w:rsidRPr="00D8348A" w:rsidRDefault="00252F39" w:rsidP="000758E6">
            <w:pPr>
              <w:pStyle w:val="TableText10"/>
            </w:pPr>
            <w:r w:rsidRPr="00D8348A">
              <w:t>201</w:t>
            </w:r>
            <w:r w:rsidR="00EA6BAA" w:rsidRPr="00D8348A">
              <w:t>2</w:t>
            </w:r>
            <w:r w:rsidRPr="00D8348A">
              <w:t>-201</w:t>
            </w:r>
            <w:r w:rsidR="00EA6BAA" w:rsidRPr="00D8348A">
              <w:t>3</w:t>
            </w:r>
            <w:r w:rsidRPr="00D8348A">
              <w:t xml:space="preserve"> Projection</w:t>
            </w:r>
          </w:p>
        </w:tc>
        <w:tc>
          <w:tcPr>
            <w:tcW w:w="1323" w:type="dxa"/>
            <w:shd w:val="clear" w:color="auto" w:fill="auto"/>
          </w:tcPr>
          <w:p w:rsidR="00252F39" w:rsidRPr="00D8348A" w:rsidRDefault="00370924" w:rsidP="000758E6">
            <w:pPr>
              <w:pStyle w:val="TableText10"/>
              <w:jc w:val="right"/>
            </w:pPr>
            <w:r w:rsidRPr="00D8348A">
              <w:t>31.99</w:t>
            </w:r>
          </w:p>
        </w:tc>
        <w:tc>
          <w:tcPr>
            <w:tcW w:w="1323" w:type="dxa"/>
            <w:gridSpan w:val="2"/>
            <w:tcBorders>
              <w:left w:val="nil"/>
            </w:tcBorders>
            <w:shd w:val="clear" w:color="auto" w:fill="auto"/>
          </w:tcPr>
          <w:p w:rsidR="00252F39" w:rsidRPr="00D8348A" w:rsidRDefault="00370924" w:rsidP="000758E6">
            <w:pPr>
              <w:pStyle w:val="TableText10"/>
              <w:jc w:val="right"/>
            </w:pPr>
            <w:r w:rsidRPr="00D8348A">
              <w:t>44.77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D804E7" w:rsidRDefault="00370924" w:rsidP="000758E6">
            <w:pPr>
              <w:pStyle w:val="TableText10"/>
              <w:jc w:val="right"/>
            </w:pPr>
            <w:r w:rsidRPr="00D804E7">
              <w:t>1.06</w:t>
            </w:r>
          </w:p>
        </w:tc>
        <w:tc>
          <w:tcPr>
            <w:tcW w:w="1323" w:type="dxa"/>
            <w:shd w:val="clear" w:color="auto" w:fill="auto"/>
          </w:tcPr>
          <w:p w:rsidR="00252F39" w:rsidRPr="00613540" w:rsidRDefault="00370924" w:rsidP="000758E6">
            <w:pPr>
              <w:pStyle w:val="TableText10"/>
              <w:jc w:val="right"/>
            </w:pPr>
            <w:r w:rsidRPr="00613540">
              <w:t>4.75</w:t>
            </w:r>
          </w:p>
        </w:tc>
        <w:tc>
          <w:tcPr>
            <w:tcW w:w="1323" w:type="dxa"/>
            <w:gridSpan w:val="2"/>
            <w:shd w:val="clear" w:color="auto" w:fill="auto"/>
          </w:tcPr>
          <w:p w:rsidR="00252F39" w:rsidRPr="00613540" w:rsidRDefault="00370924" w:rsidP="000758E6">
            <w:pPr>
              <w:pStyle w:val="TableText10"/>
              <w:jc w:val="right"/>
            </w:pPr>
            <w:r w:rsidRPr="00613540">
              <w:t>0.64</w:t>
            </w:r>
          </w:p>
        </w:tc>
        <w:tc>
          <w:tcPr>
            <w:tcW w:w="1323" w:type="dxa"/>
            <w:shd w:val="clear" w:color="auto" w:fill="auto"/>
          </w:tcPr>
          <w:p w:rsidR="00252F39" w:rsidRPr="006035A5" w:rsidRDefault="006035A5" w:rsidP="000758E6">
            <w:pPr>
              <w:pStyle w:val="TableText10"/>
              <w:jc w:val="right"/>
            </w:pPr>
            <w:r w:rsidRPr="006035A5">
              <w:t>10.</w:t>
            </w:r>
            <w:r w:rsidR="00C8622F">
              <w:t>3</w:t>
            </w:r>
            <w:r w:rsidRPr="006035A5">
              <w:t>1</w:t>
            </w:r>
          </w:p>
        </w:tc>
      </w:tr>
      <w:tr w:rsidR="00252F39" w:rsidRPr="00745E85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52F39" w:rsidRPr="00D8348A" w:rsidRDefault="00252F39" w:rsidP="000758E6">
            <w:pPr>
              <w:pStyle w:val="TableText10"/>
            </w:pPr>
            <w:r w:rsidRPr="00D8348A">
              <w:t>201</w:t>
            </w:r>
            <w:r w:rsidR="00EA6BAA" w:rsidRPr="00D8348A">
              <w:t>3</w:t>
            </w:r>
            <w:r w:rsidRPr="00D8348A">
              <w:t>-201</w:t>
            </w:r>
            <w:r w:rsidR="00EA6BAA" w:rsidRPr="00D8348A">
              <w:t>4</w:t>
            </w:r>
            <w:r w:rsidRPr="00D8348A">
              <w:t xml:space="preserve"> Budget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D8348A" w:rsidRDefault="00370924" w:rsidP="000758E6">
            <w:pPr>
              <w:pStyle w:val="TableText10"/>
              <w:jc w:val="right"/>
            </w:pPr>
            <w:r w:rsidRPr="00D8348A">
              <w:t>54.44</w:t>
            </w:r>
          </w:p>
        </w:tc>
        <w:tc>
          <w:tcPr>
            <w:tcW w:w="132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52F39" w:rsidRPr="00D8348A" w:rsidRDefault="00370924" w:rsidP="000758E6">
            <w:pPr>
              <w:pStyle w:val="TableText10"/>
              <w:jc w:val="right"/>
            </w:pPr>
            <w:r w:rsidRPr="00D8348A">
              <w:t>51.2</w:t>
            </w:r>
            <w:r w:rsidR="00D8348A" w:rsidRPr="00D8348A"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F39" w:rsidRPr="00D804E7" w:rsidRDefault="00370924" w:rsidP="000758E6">
            <w:pPr>
              <w:pStyle w:val="TableText10"/>
              <w:jc w:val="right"/>
            </w:pPr>
            <w:r w:rsidRPr="00D804E7">
              <w:t>1.13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613540" w:rsidRDefault="00370924" w:rsidP="000758E6">
            <w:pPr>
              <w:pStyle w:val="TableText10"/>
              <w:jc w:val="right"/>
            </w:pPr>
            <w:r w:rsidRPr="00613540">
              <w:t>7.63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F39" w:rsidRPr="00613540" w:rsidRDefault="00370924" w:rsidP="000758E6">
            <w:pPr>
              <w:pStyle w:val="TableText10"/>
              <w:jc w:val="right"/>
            </w:pPr>
            <w:r w:rsidRPr="00613540">
              <w:t>1.0</w:t>
            </w:r>
            <w:r w:rsidR="00613540" w:rsidRPr="00613540">
              <w:t>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6035A5" w:rsidRDefault="006035A5" w:rsidP="000758E6">
            <w:pPr>
              <w:pStyle w:val="TableText10"/>
              <w:jc w:val="right"/>
            </w:pPr>
            <w:r w:rsidRPr="006035A5">
              <w:t>9.</w:t>
            </w:r>
            <w:r w:rsidR="00C8622F">
              <w:t>43</w:t>
            </w:r>
          </w:p>
        </w:tc>
      </w:tr>
      <w:tr w:rsidR="00252F39" w:rsidRPr="00EA6BAA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</w:pPr>
            <w:r w:rsidRPr="00EA6BAA">
              <w:t>Tolerances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</w:p>
        </w:tc>
        <w:tc>
          <w:tcPr>
            <w:tcW w:w="132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&gt;1.00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728FB" w:rsidP="000758E6">
            <w:pPr>
              <w:pStyle w:val="TableText10"/>
              <w:jc w:val="right"/>
            </w:pPr>
            <w:r w:rsidRPr="00EA6BAA">
              <w:t>&lt;8</w:t>
            </w:r>
            <w:r w:rsidR="00252F39" w:rsidRPr="00EA6BAA">
              <w:t>.00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&lt;5.00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252F39" w:rsidRPr="00EA6BAA" w:rsidRDefault="00252F39" w:rsidP="000758E6">
            <w:pPr>
              <w:pStyle w:val="TableText10"/>
              <w:jc w:val="right"/>
            </w:pPr>
            <w:r w:rsidRPr="00EA6BAA">
              <w:t>&gt;1.50</w:t>
            </w:r>
          </w:p>
        </w:tc>
      </w:tr>
    </w:tbl>
    <w:p w:rsidR="00F116CD" w:rsidRPr="00F37017" w:rsidRDefault="00F116CD">
      <w:pPr>
        <w:pStyle w:val="SubHead2"/>
        <w:rPr>
          <w:rFonts w:ascii="Arial Narrow" w:hAnsi="Arial Narrow"/>
          <w:b/>
          <w:sz w:val="24"/>
          <w:szCs w:val="24"/>
        </w:rPr>
      </w:pPr>
      <w:r w:rsidRPr="00F37017">
        <w:rPr>
          <w:rFonts w:ascii="Arial Narrow" w:hAnsi="Arial Narrow"/>
          <w:b/>
          <w:sz w:val="24"/>
          <w:szCs w:val="24"/>
        </w:rPr>
        <w:t>Future Borrowings</w:t>
      </w:r>
    </w:p>
    <w:p w:rsidR="008734B6" w:rsidRPr="00745E85" w:rsidRDefault="008734B6" w:rsidP="00F37017">
      <w:pPr>
        <w:pStyle w:val="SubHead5"/>
      </w:pPr>
      <w:r w:rsidRPr="00745E85">
        <w:t>It is planned that the capital program for non commercial facilities will be generally funded from specific grants and charges and internally from funds maintained through depreciation.</w:t>
      </w:r>
      <w:r w:rsidR="006A07FF" w:rsidRPr="00745E85">
        <w:t xml:space="preserve"> For </w:t>
      </w:r>
      <w:r w:rsidR="00C03BD9" w:rsidRPr="00745E85">
        <w:t xml:space="preserve">new </w:t>
      </w:r>
      <w:r w:rsidR="006A07FF" w:rsidRPr="00745E85">
        <w:t>long life assets</w:t>
      </w:r>
      <w:r w:rsidR="00C03BD9" w:rsidRPr="00745E85">
        <w:t xml:space="preserve"> required in response to Council commitments</w:t>
      </w:r>
      <w:r w:rsidR="006A07FF" w:rsidRPr="00745E85">
        <w:t>, it is recognised that Council’s contribution may need to be funded via borrowings to avoid impacting on other 10 year capital works priorities.</w:t>
      </w:r>
    </w:p>
    <w:p w:rsidR="006A07FF" w:rsidRPr="00745E85" w:rsidRDefault="008734B6" w:rsidP="00F37017">
      <w:pPr>
        <w:pStyle w:val="SubHead5"/>
      </w:pPr>
      <w:r w:rsidRPr="00745E85">
        <w:t xml:space="preserve">Where Council is developing commercial facilities which will generate future income to pay back the initial investment, Council will </w:t>
      </w:r>
      <w:r w:rsidR="00C03BD9" w:rsidRPr="00745E85">
        <w:t xml:space="preserve">also </w:t>
      </w:r>
      <w:r w:rsidRPr="00745E85">
        <w:t xml:space="preserve">borrow to develop those facilities. </w:t>
      </w:r>
    </w:p>
    <w:p w:rsidR="002B1579" w:rsidRPr="00745E85" w:rsidRDefault="00AE2590" w:rsidP="00F37017">
      <w:pPr>
        <w:pStyle w:val="SubHead5"/>
      </w:pPr>
      <w:r w:rsidRPr="00745E85">
        <w:t xml:space="preserve">Council has identified the future development of the </w:t>
      </w:r>
      <w:r w:rsidR="00D03C87">
        <w:t>Geelong</w:t>
      </w:r>
      <w:r w:rsidR="009945A9" w:rsidRPr="00745E85">
        <w:t xml:space="preserve"> Library</w:t>
      </w:r>
      <w:r w:rsidR="00D03C87">
        <w:t xml:space="preserve"> &amp; Heritage Centre</w:t>
      </w:r>
      <w:r w:rsidR="009945A9" w:rsidRPr="00745E85">
        <w:t xml:space="preserve">, </w:t>
      </w:r>
      <w:r w:rsidR="00F947E8" w:rsidRPr="00745E85">
        <w:t>Armstrong Creek</w:t>
      </w:r>
      <w:r w:rsidR="0064190C" w:rsidRPr="00745E85">
        <w:t>,</w:t>
      </w:r>
      <w:r w:rsidR="009945A9" w:rsidRPr="00745E85">
        <w:t xml:space="preserve"> Community Facilities </w:t>
      </w:r>
      <w:r w:rsidR="0064190C" w:rsidRPr="00745E85">
        <w:t xml:space="preserve">and Landfill rehabilitation </w:t>
      </w:r>
      <w:r w:rsidRPr="00745E85">
        <w:t>as projects to be funded by loans.</w:t>
      </w:r>
    </w:p>
    <w:p w:rsidR="00B71B4B" w:rsidRPr="00745E85" w:rsidRDefault="00B71B4B" w:rsidP="00761A94">
      <w:pPr>
        <w:jc w:val="both"/>
        <w:rPr>
          <w:rFonts w:ascii="Arial" w:hAnsi="Arial"/>
          <w:color w:val="FF0000"/>
          <w:sz w:val="20"/>
          <w:lang w:val="en-US"/>
        </w:rPr>
      </w:pPr>
    </w:p>
    <w:tbl>
      <w:tblPr>
        <w:tblW w:w="8319" w:type="dxa"/>
        <w:tblInd w:w="720" w:type="dxa"/>
        <w:tblLook w:val="0000"/>
      </w:tblPr>
      <w:tblGrid>
        <w:gridCol w:w="833"/>
        <w:gridCol w:w="3091"/>
        <w:gridCol w:w="1098"/>
        <w:gridCol w:w="1099"/>
        <w:gridCol w:w="1099"/>
        <w:gridCol w:w="1099"/>
      </w:tblGrid>
      <w:tr w:rsidR="0008780E" w:rsidRPr="00745E85">
        <w:trPr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745E85" w:rsidRDefault="0008780E" w:rsidP="00AC4A7D">
            <w:pPr>
              <w:rPr>
                <w:rFonts w:ascii="Arial Narrow" w:hAnsi="Arial Narrow"/>
                <w:color w:val="FF0000"/>
                <w:sz w:val="20"/>
                <w:lang w:val="en-US"/>
              </w:rPr>
            </w:pPr>
            <w:r w:rsidRPr="00745E85">
              <w:rPr>
                <w:rFonts w:ascii="Arial Narrow" w:hAnsi="Arial Narrow"/>
                <w:color w:val="FF0000"/>
                <w:sz w:val="20"/>
                <w:lang w:val="en-US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745E85" w:rsidRDefault="0008780E" w:rsidP="00AC4A7D">
            <w:pPr>
              <w:rPr>
                <w:rFonts w:ascii="Arial Narrow" w:hAnsi="Arial Narrow"/>
                <w:color w:val="FF0000"/>
                <w:sz w:val="20"/>
                <w:lang w:val="en-US"/>
              </w:rPr>
            </w:pPr>
            <w:r w:rsidRPr="00745E85">
              <w:rPr>
                <w:rFonts w:ascii="Arial Narrow" w:hAnsi="Arial Narrow"/>
                <w:color w:val="FF0000"/>
                <w:sz w:val="20"/>
                <w:lang w:val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67134B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3</w:t>
            </w: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-201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67134B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4</w:t>
            </w: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-201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67134B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5</w:t>
            </w: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-201</w:t>
            </w:r>
            <w:r w:rsidR="0067134B"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67134B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201</w:t>
            </w:r>
            <w:r w:rsidR="008D0D5C">
              <w:rPr>
                <w:rFonts w:ascii="Arial Narrow" w:hAnsi="Arial Narrow"/>
                <w:b/>
                <w:bCs/>
                <w:sz w:val="20"/>
                <w:lang w:val="en-US"/>
              </w:rPr>
              <w:t>6</w:t>
            </w: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-201</w:t>
            </w:r>
            <w:r w:rsidR="008D0D5C">
              <w:rPr>
                <w:rFonts w:ascii="Arial Narrow" w:hAnsi="Arial Narrow"/>
                <w:b/>
                <w:bCs/>
                <w:sz w:val="20"/>
                <w:lang w:val="en-US"/>
              </w:rPr>
              <w:t>7</w:t>
            </w:r>
          </w:p>
        </w:tc>
      </w:tr>
      <w:tr w:rsidR="0008780E" w:rsidRPr="00745E85">
        <w:trPr>
          <w:trHeight w:val="255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745E85" w:rsidRDefault="0008780E" w:rsidP="00AC4A7D">
            <w:pPr>
              <w:rPr>
                <w:rFonts w:ascii="Arial Narrow" w:hAnsi="Arial Narrow"/>
                <w:color w:val="FF0000"/>
                <w:sz w:val="20"/>
                <w:lang w:val="en-US"/>
              </w:rPr>
            </w:pPr>
            <w:r w:rsidRPr="00745E85">
              <w:rPr>
                <w:rFonts w:ascii="Arial Narrow" w:hAnsi="Arial Narrow"/>
                <w:color w:val="FF0000"/>
                <w:sz w:val="20"/>
                <w:lang w:val="en-US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745E85" w:rsidRDefault="0008780E" w:rsidP="00AC4A7D">
            <w:pPr>
              <w:rPr>
                <w:rFonts w:ascii="Arial Narrow" w:hAnsi="Arial Narrow"/>
                <w:color w:val="FF0000"/>
                <w:sz w:val="20"/>
                <w:lang w:val="en-US"/>
              </w:rPr>
            </w:pPr>
            <w:r w:rsidRPr="00745E85">
              <w:rPr>
                <w:rFonts w:ascii="Arial Narrow" w:hAnsi="Arial Narrow"/>
                <w:color w:val="FF0000"/>
                <w:sz w:val="20"/>
                <w:lang w:val="en-US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252F39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$'000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252F39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$'000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252F39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$'000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08780E" w:rsidRPr="0067134B" w:rsidRDefault="0008780E" w:rsidP="00AC4A7D">
            <w:pPr>
              <w:jc w:val="right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67134B">
              <w:rPr>
                <w:rFonts w:ascii="Arial Narrow" w:hAnsi="Arial Narrow"/>
                <w:b/>
                <w:bCs/>
                <w:sz w:val="20"/>
                <w:lang w:val="en-US"/>
              </w:rPr>
              <w:t>$'000</w:t>
            </w:r>
          </w:p>
        </w:tc>
      </w:tr>
      <w:tr w:rsidR="001A7993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993" w:rsidRPr="005A6BEA" w:rsidRDefault="00FA20A7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Community Facilities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3,928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13,567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4,200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4,875</w:t>
            </w:r>
          </w:p>
        </w:tc>
      </w:tr>
      <w:tr w:rsidR="001A7993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7993" w:rsidRPr="005A6BEA" w:rsidRDefault="00D03C87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Geelong Library &amp; Heritage Centre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9,900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7,100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2,110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7993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5A6BEA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6BEA" w:rsidRPr="005A6BEA" w:rsidRDefault="005A6BEA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Central Geelong Revitalisation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2,500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2,500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5A6BEA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6BEA" w:rsidRPr="005A6BEA" w:rsidRDefault="005A6BEA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Lara Town Centre Expansion Project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1,800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5A6BEA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A6BEA" w:rsidRPr="005A6BEA" w:rsidRDefault="005A6BEA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Drysdale Landfill Cells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4,000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2,900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BEA" w:rsidRPr="005A6BEA" w:rsidRDefault="005A6BEA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5,000</w:t>
            </w:r>
          </w:p>
        </w:tc>
      </w:tr>
      <w:tr w:rsidR="00E75590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5590" w:rsidRDefault="00E75590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Unfunded Superannuation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10,000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E75590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5590" w:rsidRPr="005A6BEA" w:rsidRDefault="00E75590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Geelong Ring Road Employment Precinct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1,050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1,050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E75590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5590" w:rsidRDefault="00AF7B82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Ocean Grove</w:t>
            </w:r>
            <w:r w:rsidR="00E75590" w:rsidRPr="005A6BEA">
              <w:rPr>
                <w:rFonts w:ascii="Arial" w:hAnsi="Arial"/>
                <w:sz w:val="20"/>
                <w:lang w:val="en-US"/>
              </w:rPr>
              <w:t xml:space="preserve"> Infrastructure</w:t>
            </w:r>
            <w:r>
              <w:rPr>
                <w:rFonts w:ascii="Arial" w:hAnsi="Arial"/>
                <w:sz w:val="20"/>
                <w:lang w:val="en-US"/>
              </w:rPr>
              <w:t xml:space="preserve"> Plan</w:t>
            </w:r>
          </w:p>
          <w:p w:rsidR="00AF7B82" w:rsidRPr="005A6BEA" w:rsidRDefault="00AF7B82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Leisurelink Expansion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  <w:p w:rsidR="00AF7B82" w:rsidRPr="005A6BEA" w:rsidRDefault="00AF7B82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AF7B82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  <w:p w:rsidR="00AF7B82" w:rsidRPr="005A6BEA" w:rsidRDefault="00AF7B82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1,900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3,000</w:t>
            </w:r>
          </w:p>
          <w:p w:rsidR="00AF7B82" w:rsidRPr="005A6BEA" w:rsidRDefault="00AF7B82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  <w:p w:rsidR="00AF7B82" w:rsidRPr="005A6BEA" w:rsidRDefault="00AF7B82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E75590" w:rsidRPr="00745E85"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5590" w:rsidRPr="005A6BEA" w:rsidRDefault="00E75590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Armstrong Creek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4,513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3,140</w:t>
            </w:r>
          </w:p>
        </w:tc>
      </w:tr>
      <w:tr w:rsidR="00E75590" w:rsidRPr="00745E85" w:rsidTr="00C7599B">
        <w:tc>
          <w:tcPr>
            <w:tcW w:w="3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75590" w:rsidRPr="005A6BEA" w:rsidRDefault="00E75590" w:rsidP="000758E6">
            <w:pPr>
              <w:spacing w:before="40" w:after="40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Corio Landfill Rehabilitation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5</w:t>
            </w:r>
            <w:r>
              <w:rPr>
                <w:rFonts w:ascii="Arial" w:hAnsi="Arial"/>
                <w:sz w:val="20"/>
                <w:lang w:val="en-US"/>
              </w:rPr>
              <w:t>,37</w:t>
            </w:r>
            <w:r w:rsidRPr="005A6BEA">
              <w:rPr>
                <w:rFonts w:ascii="Arial" w:hAnsi="Arial"/>
                <w:sz w:val="20"/>
                <w:lang w:val="en-US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590" w:rsidRPr="005A6BEA" w:rsidRDefault="00E75590" w:rsidP="000758E6">
            <w:pPr>
              <w:spacing w:before="40" w:after="40"/>
              <w:jc w:val="right"/>
              <w:rPr>
                <w:rFonts w:ascii="Arial" w:hAnsi="Arial"/>
                <w:sz w:val="20"/>
                <w:lang w:val="en-US"/>
              </w:rPr>
            </w:pPr>
            <w:r w:rsidRPr="005A6BEA">
              <w:rPr>
                <w:rFonts w:ascii="Arial" w:hAnsi="Arial"/>
                <w:sz w:val="20"/>
                <w:lang w:val="en-US"/>
              </w:rPr>
              <w:t>0</w:t>
            </w:r>
          </w:p>
        </w:tc>
      </w:tr>
      <w:tr w:rsidR="00E75590" w:rsidRPr="00745E85" w:rsidTr="00C7599B">
        <w:tc>
          <w:tcPr>
            <w:tcW w:w="392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E75590" w:rsidRPr="00946F73" w:rsidRDefault="00E75590" w:rsidP="000758E6">
            <w:pPr>
              <w:spacing w:before="40" w:after="40"/>
              <w:rPr>
                <w:rFonts w:ascii="Arial" w:hAnsi="Arial"/>
                <w:b/>
                <w:sz w:val="20"/>
                <w:lang w:val="en-US"/>
              </w:rPr>
            </w:pPr>
            <w:r w:rsidRPr="00946F73">
              <w:rPr>
                <w:rFonts w:ascii="Arial" w:hAnsi="Arial"/>
                <w:b/>
                <w:sz w:val="20"/>
                <w:lang w:val="en-US"/>
              </w:rPr>
              <w:t>Total Loans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75590" w:rsidRPr="00946F73" w:rsidRDefault="00E75590" w:rsidP="000758E6">
            <w:pPr>
              <w:spacing w:before="40" w:after="40"/>
              <w:jc w:val="right"/>
              <w:rPr>
                <w:rFonts w:ascii="Arial" w:hAnsi="Arial"/>
                <w:b/>
                <w:bCs/>
                <w:sz w:val="20"/>
                <w:lang w:val="en-US"/>
              </w:rPr>
            </w:pPr>
            <w:r w:rsidRPr="00946F73">
              <w:rPr>
                <w:rFonts w:ascii="Arial" w:hAnsi="Arial"/>
                <w:b/>
                <w:bCs/>
                <w:sz w:val="20"/>
                <w:lang w:val="en-US"/>
              </w:rPr>
              <w:t>32,128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75590" w:rsidRPr="00946F73" w:rsidRDefault="00E75590" w:rsidP="000758E6">
            <w:pPr>
              <w:spacing w:before="40" w:after="40"/>
              <w:jc w:val="right"/>
              <w:rPr>
                <w:rFonts w:ascii="Arial" w:hAnsi="Arial"/>
                <w:b/>
                <w:bCs/>
                <w:sz w:val="20"/>
                <w:lang w:val="en-US"/>
              </w:rPr>
            </w:pPr>
            <w:r w:rsidRPr="00946F73">
              <w:rPr>
                <w:rFonts w:ascii="Arial" w:hAnsi="Arial"/>
                <w:b/>
                <w:bCs/>
                <w:sz w:val="20"/>
                <w:lang w:val="en-US"/>
              </w:rPr>
              <w:t>38,907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75590" w:rsidRPr="00946F73" w:rsidRDefault="00E75590" w:rsidP="000758E6">
            <w:pPr>
              <w:spacing w:before="40" w:after="40"/>
              <w:jc w:val="right"/>
              <w:rPr>
                <w:rFonts w:ascii="Arial" w:hAnsi="Arial"/>
                <w:b/>
                <w:bCs/>
                <w:sz w:val="20"/>
                <w:lang w:val="en-US"/>
              </w:rPr>
            </w:pPr>
            <w:r w:rsidRPr="00946F73">
              <w:rPr>
                <w:rFonts w:ascii="Arial" w:hAnsi="Arial"/>
                <w:b/>
                <w:bCs/>
                <w:sz w:val="20"/>
                <w:lang w:val="en-US"/>
              </w:rPr>
              <w:t>10,360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E75590" w:rsidRPr="00946F73" w:rsidRDefault="00E75590" w:rsidP="000758E6">
            <w:pPr>
              <w:spacing w:before="40" w:after="40"/>
              <w:jc w:val="right"/>
              <w:rPr>
                <w:rFonts w:ascii="Arial" w:hAnsi="Arial"/>
                <w:b/>
                <w:bCs/>
                <w:sz w:val="20"/>
                <w:lang w:val="en-US"/>
              </w:rPr>
            </w:pPr>
            <w:r w:rsidRPr="00946F73">
              <w:rPr>
                <w:rFonts w:ascii="Arial" w:hAnsi="Arial"/>
                <w:b/>
                <w:bCs/>
                <w:sz w:val="20"/>
                <w:lang w:val="en-US"/>
              </w:rPr>
              <w:t>13,015</w:t>
            </w:r>
          </w:p>
        </w:tc>
      </w:tr>
    </w:tbl>
    <w:p w:rsidR="000758E6" w:rsidRDefault="000758E6" w:rsidP="00F37017">
      <w:pPr>
        <w:pStyle w:val="SubHead5"/>
      </w:pPr>
    </w:p>
    <w:p w:rsidR="00F116CD" w:rsidRPr="00745E85" w:rsidRDefault="00F116CD" w:rsidP="00F37017">
      <w:pPr>
        <w:pStyle w:val="SubHead5"/>
      </w:pPr>
      <w:r w:rsidRPr="00745E85">
        <w:t>Council ha</w:t>
      </w:r>
      <w:r w:rsidR="0064190C" w:rsidRPr="00745E85">
        <w:t>s</w:t>
      </w:r>
      <w:r w:rsidRPr="00745E85">
        <w:t xml:space="preserve"> committed to maintain loans at a level to </w:t>
      </w:r>
      <w:r w:rsidR="00D34728" w:rsidRPr="00745E85">
        <w:t>e</w:t>
      </w:r>
      <w:r w:rsidRPr="00745E85">
        <w:t>nsure Council is at all times within the tolerances on the above ratios assessed by the State Government.</w:t>
      </w:r>
    </w:p>
    <w:p w:rsidR="009745D3" w:rsidRDefault="009745D3" w:rsidP="00F37017">
      <w:pPr>
        <w:pStyle w:val="SubHead5"/>
      </w:pPr>
      <w:r w:rsidRPr="00745E85">
        <w:t>The following table sets out future proposed borrowings, based on the</w:t>
      </w:r>
      <w:r w:rsidR="00565C9B" w:rsidRPr="00745E85">
        <w:t xml:space="preserve"> projected </w:t>
      </w:r>
      <w:r w:rsidRPr="00745E85">
        <w:t>financial position of Council as at 30 June 20</w:t>
      </w:r>
      <w:r w:rsidR="000A27B7" w:rsidRPr="00745E85">
        <w:t>1</w:t>
      </w:r>
      <w:r w:rsidR="0067134B">
        <w:t>3</w:t>
      </w:r>
      <w:r w:rsidRPr="00745E85">
        <w:t>.</w:t>
      </w:r>
      <w:r w:rsidR="00C7599B" w:rsidRPr="00745E85">
        <w:t xml:space="preserve"> The loan balance can be compared to the net debt position which recognises Council’s significant cash balances.</w:t>
      </w:r>
    </w:p>
    <w:p w:rsidR="00DE7C61" w:rsidRPr="00745E85" w:rsidRDefault="00DE7C61" w:rsidP="00F37017">
      <w:pPr>
        <w:pStyle w:val="SubHead5"/>
      </w:pPr>
    </w:p>
    <w:p w:rsidR="00B727FF" w:rsidRPr="00745E85" w:rsidRDefault="00B727FF" w:rsidP="00F37017">
      <w:pPr>
        <w:pStyle w:val="SubHead5"/>
      </w:pPr>
    </w:p>
    <w:tbl>
      <w:tblPr>
        <w:tblW w:w="9391" w:type="dxa"/>
        <w:jc w:val="center"/>
        <w:tblInd w:w="720" w:type="dxa"/>
        <w:tblLook w:val="01E0"/>
      </w:tblPr>
      <w:tblGrid>
        <w:gridCol w:w="1417"/>
        <w:gridCol w:w="1594"/>
        <w:gridCol w:w="1595"/>
        <w:gridCol w:w="1595"/>
        <w:gridCol w:w="1595"/>
        <w:gridCol w:w="1595"/>
      </w:tblGrid>
      <w:tr w:rsidR="00C7599B" w:rsidRPr="00745E85" w:rsidTr="00C7599B">
        <w:trPr>
          <w:jc w:val="center"/>
        </w:trPr>
        <w:tc>
          <w:tcPr>
            <w:tcW w:w="1417" w:type="dxa"/>
            <w:shd w:val="clear" w:color="auto" w:fill="CCCCCC"/>
            <w:vAlign w:val="bottom"/>
          </w:tcPr>
          <w:p w:rsidR="00C7599B" w:rsidRPr="00D8348A" w:rsidRDefault="00C7599B" w:rsidP="00FB4D0F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Year</w:t>
            </w:r>
          </w:p>
        </w:tc>
        <w:tc>
          <w:tcPr>
            <w:tcW w:w="1594" w:type="dxa"/>
            <w:shd w:val="clear" w:color="auto" w:fill="CCCCCC"/>
            <w:vAlign w:val="bottom"/>
          </w:tcPr>
          <w:p w:rsidR="00C7599B" w:rsidRPr="00D8348A" w:rsidRDefault="00C7599B" w:rsidP="004141E8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New Borrowings $’000</w:t>
            </w:r>
          </w:p>
        </w:tc>
        <w:tc>
          <w:tcPr>
            <w:tcW w:w="1595" w:type="dxa"/>
            <w:shd w:val="clear" w:color="auto" w:fill="CCCCCC"/>
            <w:vAlign w:val="bottom"/>
          </w:tcPr>
          <w:p w:rsidR="00C7599B" w:rsidRPr="00D8348A" w:rsidRDefault="00C7599B" w:rsidP="004141E8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Principal Repayment</w:t>
            </w:r>
          </w:p>
          <w:p w:rsidR="00C7599B" w:rsidRPr="00D8348A" w:rsidRDefault="00C7599B" w:rsidP="004141E8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$’000</w:t>
            </w:r>
          </w:p>
        </w:tc>
        <w:tc>
          <w:tcPr>
            <w:tcW w:w="1595" w:type="dxa"/>
            <w:shd w:val="clear" w:color="auto" w:fill="CCCCCC"/>
            <w:vAlign w:val="bottom"/>
          </w:tcPr>
          <w:p w:rsidR="00C7599B" w:rsidRPr="00D8348A" w:rsidRDefault="00C7599B" w:rsidP="004141E8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Interest Repayments $’000</w:t>
            </w:r>
          </w:p>
        </w:tc>
        <w:tc>
          <w:tcPr>
            <w:tcW w:w="1595" w:type="dxa"/>
            <w:shd w:val="clear" w:color="auto" w:fill="CCCCCC"/>
            <w:vAlign w:val="bottom"/>
          </w:tcPr>
          <w:p w:rsidR="00C7599B" w:rsidRPr="00D8348A" w:rsidRDefault="00C7599B" w:rsidP="004141E8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>Loan Balance $’000</w:t>
            </w:r>
          </w:p>
        </w:tc>
        <w:tc>
          <w:tcPr>
            <w:tcW w:w="1595" w:type="dxa"/>
            <w:shd w:val="clear" w:color="auto" w:fill="CCCCCC"/>
            <w:vAlign w:val="bottom"/>
          </w:tcPr>
          <w:p w:rsidR="00C7599B" w:rsidRPr="00D8348A" w:rsidRDefault="004A324B" w:rsidP="00C7599B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r w:rsidRPr="00D8348A">
              <w:rPr>
                <w:rFonts w:ascii="Arial Narrow" w:hAnsi="Arial Narrow"/>
                <w:b/>
                <w:sz w:val="20"/>
                <w:lang w:val="en-US"/>
              </w:rPr>
              <w:t xml:space="preserve">Net Debt       </w:t>
            </w:r>
            <w:r w:rsidR="00C7599B" w:rsidRPr="00D8348A">
              <w:rPr>
                <w:rFonts w:ascii="Arial Narrow" w:hAnsi="Arial Narrow"/>
                <w:b/>
                <w:sz w:val="20"/>
                <w:lang w:val="en-US"/>
              </w:rPr>
              <w:t>$’000</w:t>
            </w:r>
          </w:p>
        </w:tc>
      </w:tr>
      <w:tr w:rsidR="00C7599B" w:rsidRPr="00745E85" w:rsidTr="00C7599B">
        <w:trPr>
          <w:jc w:val="center"/>
        </w:trPr>
        <w:tc>
          <w:tcPr>
            <w:tcW w:w="1417" w:type="dxa"/>
          </w:tcPr>
          <w:p w:rsidR="00C7599B" w:rsidRPr="00745E85" w:rsidRDefault="00C7599B" w:rsidP="00F37017">
            <w:pPr>
              <w:pStyle w:val="SubHead5"/>
            </w:pPr>
            <w:r w:rsidRPr="00745E85">
              <w:t>201</w:t>
            </w:r>
            <w:r w:rsidR="00F37017">
              <w:t>2</w:t>
            </w:r>
            <w:r w:rsidRPr="00745E85">
              <w:t>-201</w:t>
            </w:r>
            <w:r w:rsidR="00F37017">
              <w:t>3</w:t>
            </w:r>
          </w:p>
        </w:tc>
        <w:tc>
          <w:tcPr>
            <w:tcW w:w="1594" w:type="dxa"/>
          </w:tcPr>
          <w:p w:rsidR="00C7599B" w:rsidRPr="00745E85" w:rsidRDefault="00946F73" w:rsidP="00946F73">
            <w:pPr>
              <w:pStyle w:val="SubHead5"/>
              <w:jc w:val="right"/>
            </w:pPr>
            <w:r>
              <w:t>10,848</w:t>
            </w:r>
          </w:p>
        </w:tc>
        <w:tc>
          <w:tcPr>
            <w:tcW w:w="1595" w:type="dxa"/>
          </w:tcPr>
          <w:p w:rsidR="00C7599B" w:rsidRPr="00745E85" w:rsidRDefault="00C7599B" w:rsidP="00946F73">
            <w:pPr>
              <w:pStyle w:val="SubHead5"/>
              <w:jc w:val="right"/>
            </w:pPr>
            <w:r w:rsidRPr="00745E85">
              <w:t>(</w:t>
            </w:r>
            <w:r w:rsidR="00946F73">
              <w:t>5,593</w:t>
            </w:r>
            <w:r w:rsidRPr="00745E85">
              <w:t>)</w:t>
            </w:r>
          </w:p>
        </w:tc>
        <w:tc>
          <w:tcPr>
            <w:tcW w:w="1595" w:type="dxa"/>
          </w:tcPr>
          <w:p w:rsidR="00C7599B" w:rsidRPr="00745E85" w:rsidRDefault="00C7599B" w:rsidP="00946F73">
            <w:pPr>
              <w:pStyle w:val="SubHead5"/>
              <w:jc w:val="right"/>
            </w:pPr>
            <w:r w:rsidRPr="00745E85">
              <w:t>(</w:t>
            </w:r>
            <w:r w:rsidR="00946F73">
              <w:t>2,046</w:t>
            </w:r>
            <w:r w:rsidRPr="00745E85">
              <w:t>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31,992</w:t>
            </w:r>
          </w:p>
        </w:tc>
        <w:tc>
          <w:tcPr>
            <w:tcW w:w="1595" w:type="dxa"/>
          </w:tcPr>
          <w:p w:rsidR="00C7599B" w:rsidRPr="00745E85" w:rsidRDefault="00D8348A" w:rsidP="00946F73">
            <w:pPr>
              <w:pStyle w:val="SubHead5"/>
              <w:jc w:val="right"/>
            </w:pPr>
            <w:r>
              <w:t>12,773</w:t>
            </w:r>
          </w:p>
        </w:tc>
      </w:tr>
      <w:tr w:rsidR="00C7599B" w:rsidRPr="00745E85" w:rsidTr="00C7599B">
        <w:trPr>
          <w:jc w:val="center"/>
        </w:trPr>
        <w:tc>
          <w:tcPr>
            <w:tcW w:w="1417" w:type="dxa"/>
          </w:tcPr>
          <w:p w:rsidR="00C7599B" w:rsidRPr="00745E85" w:rsidRDefault="00C7599B" w:rsidP="00F37017">
            <w:pPr>
              <w:pStyle w:val="SubHead5"/>
            </w:pPr>
            <w:r w:rsidRPr="00745E85">
              <w:t>201</w:t>
            </w:r>
            <w:r w:rsidR="00F37017">
              <w:t>3</w:t>
            </w:r>
            <w:r w:rsidRPr="00745E85">
              <w:t>-201</w:t>
            </w:r>
            <w:r w:rsidR="00F37017">
              <w:t>4</w:t>
            </w:r>
          </w:p>
        </w:tc>
        <w:tc>
          <w:tcPr>
            <w:tcW w:w="1594" w:type="dxa"/>
          </w:tcPr>
          <w:p w:rsidR="00C7599B" w:rsidRPr="00745E85" w:rsidRDefault="00946F73" w:rsidP="00946F73">
            <w:pPr>
              <w:pStyle w:val="SubHead5"/>
              <w:jc w:val="right"/>
            </w:pPr>
            <w:r>
              <w:t>32,128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(9,686)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(3,333)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54,435</w:t>
            </w:r>
          </w:p>
        </w:tc>
        <w:tc>
          <w:tcPr>
            <w:tcW w:w="1595" w:type="dxa"/>
          </w:tcPr>
          <w:p w:rsidR="00C7599B" w:rsidRPr="00745E85" w:rsidRDefault="00D8348A" w:rsidP="00946F73">
            <w:pPr>
              <w:pStyle w:val="SubHead5"/>
              <w:jc w:val="right"/>
            </w:pPr>
            <w:r>
              <w:t>(3,201)</w:t>
            </w:r>
          </w:p>
        </w:tc>
      </w:tr>
      <w:tr w:rsidR="00C7599B" w:rsidRPr="00745E85" w:rsidTr="00C7599B">
        <w:trPr>
          <w:jc w:val="center"/>
        </w:trPr>
        <w:tc>
          <w:tcPr>
            <w:tcW w:w="1417" w:type="dxa"/>
          </w:tcPr>
          <w:p w:rsidR="00C7599B" w:rsidRPr="00745E85" w:rsidRDefault="00C7599B" w:rsidP="00F37017">
            <w:pPr>
              <w:pStyle w:val="SubHead5"/>
            </w:pPr>
            <w:r w:rsidRPr="00745E85">
              <w:t>201</w:t>
            </w:r>
            <w:r w:rsidR="00F37017">
              <w:t>4</w:t>
            </w:r>
            <w:r w:rsidRPr="00745E85">
              <w:t>-201</w:t>
            </w:r>
            <w:r w:rsidR="00F37017">
              <w:t>5</w:t>
            </w:r>
          </w:p>
        </w:tc>
        <w:tc>
          <w:tcPr>
            <w:tcW w:w="1594" w:type="dxa"/>
          </w:tcPr>
          <w:p w:rsidR="00C7599B" w:rsidRPr="00745E85" w:rsidRDefault="00946F73" w:rsidP="00946F73">
            <w:pPr>
              <w:pStyle w:val="SubHead5"/>
              <w:jc w:val="right"/>
            </w:pPr>
            <w:r>
              <w:t>38,907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(12,441)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(4,712)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80,901</w:t>
            </w:r>
          </w:p>
        </w:tc>
        <w:tc>
          <w:tcPr>
            <w:tcW w:w="1595" w:type="dxa"/>
          </w:tcPr>
          <w:p w:rsidR="00C7599B" w:rsidRPr="00745E85" w:rsidRDefault="00D8348A" w:rsidP="00946F73">
            <w:pPr>
              <w:pStyle w:val="SubHead5"/>
              <w:jc w:val="right"/>
            </w:pPr>
            <w:r>
              <w:t>(31,669)</w:t>
            </w:r>
          </w:p>
        </w:tc>
      </w:tr>
      <w:tr w:rsidR="00C7599B" w:rsidRPr="00745E85" w:rsidTr="00C7599B">
        <w:trPr>
          <w:jc w:val="center"/>
        </w:trPr>
        <w:tc>
          <w:tcPr>
            <w:tcW w:w="1417" w:type="dxa"/>
          </w:tcPr>
          <w:p w:rsidR="00C7599B" w:rsidRPr="00745E85" w:rsidRDefault="00C7599B" w:rsidP="00F37017">
            <w:pPr>
              <w:pStyle w:val="SubHead5"/>
            </w:pPr>
            <w:r w:rsidRPr="00745E85">
              <w:t>201</w:t>
            </w:r>
            <w:r w:rsidR="00F37017">
              <w:t>5</w:t>
            </w:r>
            <w:r w:rsidRPr="00745E85">
              <w:t>-201</w:t>
            </w:r>
            <w:r w:rsidR="00F37017">
              <w:t>6</w:t>
            </w:r>
          </w:p>
        </w:tc>
        <w:tc>
          <w:tcPr>
            <w:tcW w:w="1594" w:type="dxa"/>
          </w:tcPr>
          <w:p w:rsidR="00C7599B" w:rsidRPr="00745E85" w:rsidRDefault="00946F73" w:rsidP="00946F73">
            <w:pPr>
              <w:pStyle w:val="SubHead5"/>
              <w:jc w:val="right"/>
            </w:pPr>
            <w:r>
              <w:t>10,360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(12,377)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(5,238)</w:t>
            </w:r>
          </w:p>
        </w:tc>
        <w:tc>
          <w:tcPr>
            <w:tcW w:w="1595" w:type="dxa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78,884</w:t>
            </w:r>
          </w:p>
        </w:tc>
        <w:tc>
          <w:tcPr>
            <w:tcW w:w="1595" w:type="dxa"/>
          </w:tcPr>
          <w:p w:rsidR="00C7599B" w:rsidRPr="00745E85" w:rsidRDefault="00D8348A" w:rsidP="00946F73">
            <w:pPr>
              <w:pStyle w:val="SubHead5"/>
              <w:jc w:val="right"/>
            </w:pPr>
            <w:r>
              <w:t>(21,038)</w:t>
            </w:r>
          </w:p>
        </w:tc>
      </w:tr>
      <w:tr w:rsidR="00C7599B" w:rsidRPr="00745E85" w:rsidTr="00C7599B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7599B" w:rsidRPr="00745E85" w:rsidRDefault="00C7599B" w:rsidP="00F37017">
            <w:pPr>
              <w:pStyle w:val="SubHead5"/>
            </w:pPr>
            <w:r w:rsidRPr="00745E85">
              <w:t>201</w:t>
            </w:r>
            <w:r w:rsidR="00F37017">
              <w:t>6</w:t>
            </w:r>
            <w:r w:rsidRPr="00745E85">
              <w:t>-201</w:t>
            </w:r>
            <w:r w:rsidR="00F37017">
              <w:t>7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7599B" w:rsidRPr="00745E85" w:rsidRDefault="00946F73" w:rsidP="00946F73">
            <w:pPr>
              <w:pStyle w:val="SubHead5"/>
              <w:jc w:val="right"/>
            </w:pPr>
            <w:r>
              <w:t>13,015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(13,793)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(5,290)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C7599B" w:rsidRPr="00745E85" w:rsidRDefault="008E2728" w:rsidP="00946F73">
            <w:pPr>
              <w:pStyle w:val="SubHead5"/>
              <w:jc w:val="right"/>
            </w:pPr>
            <w:r>
              <w:t>78,106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C7599B" w:rsidRPr="00745E85" w:rsidRDefault="00D8348A" w:rsidP="00946F73">
            <w:pPr>
              <w:pStyle w:val="SubHead5"/>
              <w:jc w:val="right"/>
            </w:pPr>
            <w:r>
              <w:t>(18,902)</w:t>
            </w:r>
          </w:p>
        </w:tc>
      </w:tr>
    </w:tbl>
    <w:p w:rsidR="00565C9B" w:rsidRPr="00745E85" w:rsidRDefault="00565C9B" w:rsidP="00F37017">
      <w:pPr>
        <w:pStyle w:val="SubHead5"/>
      </w:pPr>
    </w:p>
    <w:p w:rsidR="001D370D" w:rsidRPr="00F37017" w:rsidRDefault="001D370D" w:rsidP="00F37017">
      <w:pPr>
        <w:pStyle w:val="SubHead5"/>
      </w:pPr>
      <w:r w:rsidRPr="00F37017">
        <w:t xml:space="preserve">These principal </w:t>
      </w:r>
      <w:r w:rsidR="00B727FF" w:rsidRPr="00F37017">
        <w:t>and</w:t>
      </w:r>
      <w:r w:rsidRPr="00F37017">
        <w:t xml:space="preserve"> interest loan repayments have been factored into the strategic resource plan estimates.</w:t>
      </w:r>
      <w:r w:rsidR="00C03BD9" w:rsidRPr="00F37017">
        <w:t xml:space="preserve"> The impact of future loan borrowings and repayments on future budgets will be significant.</w:t>
      </w:r>
    </w:p>
    <w:sectPr w:rsidR="001D370D" w:rsidRPr="00F37017" w:rsidSect="00757F28">
      <w:footerReference w:type="even" r:id="rId8"/>
      <w:footerReference w:type="default" r:id="rId9"/>
      <w:pgSz w:w="11907" w:h="16840" w:code="9"/>
      <w:pgMar w:top="1077" w:right="794" w:bottom="992" w:left="1077" w:header="284" w:footer="539" w:gutter="0"/>
      <w:paperSrc w:first="15" w:other="15"/>
      <w:pgNumType w:start="1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3B" w:rsidRDefault="00A52C3B" w:rsidP="004141E8">
      <w:r>
        <w:separator/>
      </w:r>
    </w:p>
  </w:endnote>
  <w:endnote w:type="continuationSeparator" w:id="0">
    <w:p w:rsidR="00A52C3B" w:rsidRDefault="00A52C3B" w:rsidP="00414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Erie">
    <w:altName w:val="ESRI NIMA VMAP1&amp;2 P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3B" w:rsidRDefault="005D3939" w:rsidP="00ED5C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52C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C3B">
      <w:rPr>
        <w:rStyle w:val="PageNumber"/>
        <w:noProof/>
      </w:rPr>
      <w:t>17</w:t>
    </w:r>
    <w:r>
      <w:rPr>
        <w:rStyle w:val="PageNumber"/>
      </w:rPr>
      <w:fldChar w:fldCharType="end"/>
    </w:r>
  </w:p>
  <w:p w:rsidR="00A52C3B" w:rsidRDefault="00A52C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3B" w:rsidRPr="00ED5C9B" w:rsidRDefault="00A52C3B" w:rsidP="00ED5C9B">
    <w:pPr>
      <w:pStyle w:val="Footer"/>
      <w:framePr w:wrap="around" w:vAnchor="text" w:hAnchor="margin" w:xAlign="center" w:y="1"/>
      <w:rPr>
        <w:rStyle w:val="PageNumber"/>
        <w:rFonts w:cs="Arial"/>
        <w:szCs w:val="16"/>
      </w:rPr>
    </w:pPr>
    <w:r w:rsidRPr="00ED5C9B">
      <w:rPr>
        <w:rStyle w:val="PageNumber"/>
        <w:rFonts w:cs="Arial"/>
        <w:szCs w:val="16"/>
      </w:rPr>
      <w:t>3-</w:t>
    </w:r>
    <w:r w:rsidR="005D3939" w:rsidRPr="00ED5C9B">
      <w:rPr>
        <w:rStyle w:val="PageNumber"/>
        <w:rFonts w:cs="Arial"/>
        <w:szCs w:val="16"/>
      </w:rPr>
      <w:fldChar w:fldCharType="begin"/>
    </w:r>
    <w:r w:rsidRPr="00ED5C9B">
      <w:rPr>
        <w:rStyle w:val="PageNumber"/>
        <w:rFonts w:cs="Arial"/>
        <w:szCs w:val="16"/>
      </w:rPr>
      <w:instrText xml:space="preserve">PAGE  </w:instrText>
    </w:r>
    <w:r w:rsidR="005D3939" w:rsidRPr="00ED5C9B">
      <w:rPr>
        <w:rStyle w:val="PageNumber"/>
        <w:rFonts w:cs="Arial"/>
        <w:szCs w:val="16"/>
      </w:rPr>
      <w:fldChar w:fldCharType="separate"/>
    </w:r>
    <w:r w:rsidR="00D03C87">
      <w:rPr>
        <w:rStyle w:val="PageNumber"/>
        <w:rFonts w:cs="Arial"/>
        <w:noProof/>
        <w:szCs w:val="16"/>
      </w:rPr>
      <w:t>19</w:t>
    </w:r>
    <w:r w:rsidR="005D3939" w:rsidRPr="00ED5C9B">
      <w:rPr>
        <w:rStyle w:val="PageNumber"/>
        <w:rFonts w:cs="Arial"/>
        <w:szCs w:val="16"/>
      </w:rPr>
      <w:fldChar w:fldCharType="end"/>
    </w:r>
  </w:p>
  <w:p w:rsidR="00A52C3B" w:rsidRPr="00FE3C56" w:rsidRDefault="00A52C3B" w:rsidP="00ED5C9B">
    <w:pPr>
      <w:pStyle w:val="Footer"/>
      <w:jc w:val="center"/>
      <w:rPr>
        <w:rFonts w:ascii="Arial" w:hAnsi="Arial" w:cs="Arial"/>
        <w:sz w:val="16"/>
        <w:szCs w:val="16"/>
      </w:rPr>
    </w:pPr>
  </w:p>
  <w:p w:rsidR="00A52C3B" w:rsidRPr="00FE3C56" w:rsidRDefault="00A52C3B" w:rsidP="00FD7F29">
    <w:pPr>
      <w:pStyle w:val="Footer"/>
      <w:jc w:val="center"/>
      <w:rPr>
        <w:rFonts w:ascii="Arial" w:hAnsi="Arial" w:cs="Arial"/>
        <w:sz w:val="16"/>
        <w:szCs w:val="16"/>
      </w:rPr>
    </w:pPr>
    <w:r w:rsidRPr="00FE3C56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13</w:t>
    </w:r>
    <w:r w:rsidRPr="00FE3C56">
      <w:rPr>
        <w:rFonts w:ascii="Arial" w:hAnsi="Arial" w:cs="Arial"/>
        <w:sz w:val="16"/>
        <w:szCs w:val="16"/>
      </w:rPr>
      <w:t>-20</w:t>
    </w:r>
    <w:r>
      <w:rPr>
        <w:rFonts w:ascii="Arial" w:hAnsi="Arial" w:cs="Arial"/>
        <w:sz w:val="16"/>
        <w:szCs w:val="16"/>
      </w:rPr>
      <w:t>14 Budget</w:t>
    </w:r>
    <w:r w:rsidRPr="00FE3C56">
      <w:rPr>
        <w:rFonts w:ascii="Arial" w:hAnsi="Arial" w:cs="Arial"/>
        <w:sz w:val="16"/>
        <w:szCs w:val="16"/>
      </w:rPr>
      <w:t xml:space="preserve"> - City of Greater </w:t>
    </w:r>
    <w:smartTag w:uri="urn:schemas-microsoft-com:office:smarttags" w:element="City">
      <w:smartTag w:uri="urn:schemas-microsoft-com:office:smarttags" w:element="place">
        <w:r w:rsidRPr="00FE3C56">
          <w:rPr>
            <w:rFonts w:ascii="Arial" w:hAnsi="Arial" w:cs="Arial"/>
            <w:sz w:val="16"/>
            <w:szCs w:val="16"/>
          </w:rPr>
          <w:t>Geelong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3B" w:rsidRDefault="00A52C3B" w:rsidP="004141E8">
      <w:r>
        <w:separator/>
      </w:r>
    </w:p>
  </w:footnote>
  <w:footnote w:type="continuationSeparator" w:id="0">
    <w:p w:rsidR="00A52C3B" w:rsidRDefault="00A52C3B" w:rsidP="00414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C17"/>
    <w:multiLevelType w:val="singleLevel"/>
    <w:tmpl w:val="1D6648A2"/>
    <w:lvl w:ilvl="0">
      <w:start w:val="1"/>
      <w:numFmt w:val="bullet"/>
      <w:pStyle w:val="BodyTextIden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D252E45"/>
    <w:multiLevelType w:val="singleLevel"/>
    <w:tmpl w:val="F6C43D5C"/>
    <w:lvl w:ilvl="0">
      <w:start w:val="1"/>
      <w:numFmt w:val="bullet"/>
      <w:pStyle w:val="ListBullet"/>
      <w:lvlText w:val=""/>
      <w:lvlJc w:val="left"/>
      <w:pPr>
        <w:tabs>
          <w:tab w:val="num" w:pos="567"/>
        </w:tabs>
        <w:ind w:left="567" w:hanging="567"/>
      </w:pPr>
      <w:rPr>
        <w:rFonts w:ascii="Monotype Sorts" w:hAnsi="Monotype Sorts" w:hint="default"/>
        <w:sz w:val="18"/>
      </w:rPr>
    </w:lvl>
  </w:abstractNum>
  <w:abstractNum w:abstractNumId="2">
    <w:nsid w:val="61A66B61"/>
    <w:multiLevelType w:val="singleLevel"/>
    <w:tmpl w:val="0372A38E"/>
    <w:lvl w:ilvl="0">
      <w:start w:val="1"/>
      <w:numFmt w:val="bullet"/>
      <w:pStyle w:val="bullet10"/>
      <w:lvlText w:val=""/>
      <w:lvlJc w:val="left"/>
      <w:pPr>
        <w:tabs>
          <w:tab w:val="num" w:pos="360"/>
        </w:tabs>
        <w:ind w:left="113" w:hanging="113"/>
      </w:pPr>
      <w:rPr>
        <w:rFonts w:ascii="Monotype Sorts" w:hAnsi="Monotype Sorts" w:hint="default"/>
        <w:sz w:val="16"/>
      </w:rPr>
    </w:lvl>
  </w:abstractNum>
  <w:abstractNum w:abstractNumId="3">
    <w:nsid w:val="7D4D3A6D"/>
    <w:multiLevelType w:val="singleLevel"/>
    <w:tmpl w:val="70E47C64"/>
    <w:lvl w:ilvl="0">
      <w:start w:val="1"/>
      <w:numFmt w:val="decimal"/>
      <w:pStyle w:val="NumIndentBold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D587E14"/>
    <w:multiLevelType w:val="singleLevel"/>
    <w:tmpl w:val="A238BB96"/>
    <w:lvl w:ilvl="0">
      <w:start w:val="1"/>
      <w:numFmt w:val="bullet"/>
      <w:pStyle w:val="SumPoin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GrammaticalErrors/>
  <w:activeWritingStyle w:appName="MSWord" w:lang="en-AU" w:vendorID="8" w:dllVersion="513" w:checkStyle="1"/>
  <w:activeWritingStyle w:appName="MSWord" w:lang="en-GB" w:vendorID="8" w:dllVersion="513" w:checkStyle="1"/>
  <w:activeWritingStyle w:appName="MSWord" w:lang="en-US" w:vendorID="8" w:dllVersion="513" w:checkStyle="1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D81402"/>
    <w:rsid w:val="00010B83"/>
    <w:rsid w:val="00020AA3"/>
    <w:rsid w:val="00054A9F"/>
    <w:rsid w:val="00057584"/>
    <w:rsid w:val="00060ACE"/>
    <w:rsid w:val="000700D4"/>
    <w:rsid w:val="000758E6"/>
    <w:rsid w:val="0007759F"/>
    <w:rsid w:val="00083C93"/>
    <w:rsid w:val="00085525"/>
    <w:rsid w:val="0008780E"/>
    <w:rsid w:val="000A27B7"/>
    <w:rsid w:val="000C3960"/>
    <w:rsid w:val="000C5933"/>
    <w:rsid w:val="000F798A"/>
    <w:rsid w:val="00112908"/>
    <w:rsid w:val="001129DB"/>
    <w:rsid w:val="001223B4"/>
    <w:rsid w:val="00124B98"/>
    <w:rsid w:val="00126419"/>
    <w:rsid w:val="00135E9C"/>
    <w:rsid w:val="001A662A"/>
    <w:rsid w:val="001A7993"/>
    <w:rsid w:val="001B58EB"/>
    <w:rsid w:val="001C3994"/>
    <w:rsid w:val="001D370D"/>
    <w:rsid w:val="001F6B4F"/>
    <w:rsid w:val="001F7EC2"/>
    <w:rsid w:val="00202716"/>
    <w:rsid w:val="00211E2A"/>
    <w:rsid w:val="00214B5A"/>
    <w:rsid w:val="002209BA"/>
    <w:rsid w:val="002261B3"/>
    <w:rsid w:val="00226E48"/>
    <w:rsid w:val="00235C96"/>
    <w:rsid w:val="00236FB1"/>
    <w:rsid w:val="00237D1C"/>
    <w:rsid w:val="00241FB8"/>
    <w:rsid w:val="00244622"/>
    <w:rsid w:val="00252F39"/>
    <w:rsid w:val="0026127A"/>
    <w:rsid w:val="002728FB"/>
    <w:rsid w:val="002745E7"/>
    <w:rsid w:val="002918BE"/>
    <w:rsid w:val="002A1CF8"/>
    <w:rsid w:val="002B1579"/>
    <w:rsid w:val="002B286B"/>
    <w:rsid w:val="002B5012"/>
    <w:rsid w:val="002B638F"/>
    <w:rsid w:val="002E460C"/>
    <w:rsid w:val="00304E33"/>
    <w:rsid w:val="00335947"/>
    <w:rsid w:val="003411E0"/>
    <w:rsid w:val="00366ECB"/>
    <w:rsid w:val="00370924"/>
    <w:rsid w:val="00370B0B"/>
    <w:rsid w:val="00397E8F"/>
    <w:rsid w:val="003A4AF3"/>
    <w:rsid w:val="003B5358"/>
    <w:rsid w:val="003C2D9F"/>
    <w:rsid w:val="003D06B9"/>
    <w:rsid w:val="003D079A"/>
    <w:rsid w:val="003D761C"/>
    <w:rsid w:val="003E3ABE"/>
    <w:rsid w:val="003E6093"/>
    <w:rsid w:val="003E6CEC"/>
    <w:rsid w:val="004141E8"/>
    <w:rsid w:val="00422998"/>
    <w:rsid w:val="004233FB"/>
    <w:rsid w:val="00440FA7"/>
    <w:rsid w:val="0045775F"/>
    <w:rsid w:val="00474CC0"/>
    <w:rsid w:val="00497598"/>
    <w:rsid w:val="004A324B"/>
    <w:rsid w:val="004A5207"/>
    <w:rsid w:val="004F7EAE"/>
    <w:rsid w:val="00515F95"/>
    <w:rsid w:val="005243F9"/>
    <w:rsid w:val="00542C39"/>
    <w:rsid w:val="00555012"/>
    <w:rsid w:val="00555AB1"/>
    <w:rsid w:val="00561499"/>
    <w:rsid w:val="00565C9B"/>
    <w:rsid w:val="005677A1"/>
    <w:rsid w:val="0058391D"/>
    <w:rsid w:val="00596A99"/>
    <w:rsid w:val="00597921"/>
    <w:rsid w:val="005A6BEA"/>
    <w:rsid w:val="005B23B9"/>
    <w:rsid w:val="005D3939"/>
    <w:rsid w:val="005D7BB0"/>
    <w:rsid w:val="006035A5"/>
    <w:rsid w:val="00613540"/>
    <w:rsid w:val="006239FD"/>
    <w:rsid w:val="00624E40"/>
    <w:rsid w:val="0063678A"/>
    <w:rsid w:val="0064190C"/>
    <w:rsid w:val="0067134B"/>
    <w:rsid w:val="0069358E"/>
    <w:rsid w:val="006A07FF"/>
    <w:rsid w:val="006B0BB4"/>
    <w:rsid w:val="006B130F"/>
    <w:rsid w:val="006C44F0"/>
    <w:rsid w:val="007265C5"/>
    <w:rsid w:val="007320C2"/>
    <w:rsid w:val="00733EE1"/>
    <w:rsid w:val="00734B20"/>
    <w:rsid w:val="00745E85"/>
    <w:rsid w:val="00757F28"/>
    <w:rsid w:val="00761A94"/>
    <w:rsid w:val="00770D1F"/>
    <w:rsid w:val="007A57F9"/>
    <w:rsid w:val="007A714D"/>
    <w:rsid w:val="007B5C27"/>
    <w:rsid w:val="007D0FEF"/>
    <w:rsid w:val="007D691F"/>
    <w:rsid w:val="008015B2"/>
    <w:rsid w:val="00802BBD"/>
    <w:rsid w:val="00805C36"/>
    <w:rsid w:val="00815F84"/>
    <w:rsid w:val="008604E1"/>
    <w:rsid w:val="008623FA"/>
    <w:rsid w:val="008734B6"/>
    <w:rsid w:val="0087548C"/>
    <w:rsid w:val="00876310"/>
    <w:rsid w:val="008C1526"/>
    <w:rsid w:val="008D0D5C"/>
    <w:rsid w:val="008D1DE9"/>
    <w:rsid w:val="008E2728"/>
    <w:rsid w:val="008E7282"/>
    <w:rsid w:val="008F2AC4"/>
    <w:rsid w:val="008F3109"/>
    <w:rsid w:val="008F3858"/>
    <w:rsid w:val="008F70E6"/>
    <w:rsid w:val="00915854"/>
    <w:rsid w:val="00915A62"/>
    <w:rsid w:val="0093053F"/>
    <w:rsid w:val="00931619"/>
    <w:rsid w:val="00935892"/>
    <w:rsid w:val="009410BB"/>
    <w:rsid w:val="00943B74"/>
    <w:rsid w:val="00946F73"/>
    <w:rsid w:val="00954C02"/>
    <w:rsid w:val="00970A01"/>
    <w:rsid w:val="009745D3"/>
    <w:rsid w:val="00990645"/>
    <w:rsid w:val="00993F07"/>
    <w:rsid w:val="009945A9"/>
    <w:rsid w:val="0099707B"/>
    <w:rsid w:val="009A127D"/>
    <w:rsid w:val="009A240F"/>
    <w:rsid w:val="009D0107"/>
    <w:rsid w:val="00A10328"/>
    <w:rsid w:val="00A40D28"/>
    <w:rsid w:val="00A445F4"/>
    <w:rsid w:val="00A52C3B"/>
    <w:rsid w:val="00A71E7F"/>
    <w:rsid w:val="00AC3348"/>
    <w:rsid w:val="00AC484B"/>
    <w:rsid w:val="00AC4A7D"/>
    <w:rsid w:val="00AE2590"/>
    <w:rsid w:val="00AE70AD"/>
    <w:rsid w:val="00AF2A8E"/>
    <w:rsid w:val="00AF7B82"/>
    <w:rsid w:val="00B24BC3"/>
    <w:rsid w:val="00B36497"/>
    <w:rsid w:val="00B37E3E"/>
    <w:rsid w:val="00B71B4B"/>
    <w:rsid w:val="00B727FF"/>
    <w:rsid w:val="00B81F89"/>
    <w:rsid w:val="00BC08D0"/>
    <w:rsid w:val="00BD70CD"/>
    <w:rsid w:val="00BE44D8"/>
    <w:rsid w:val="00BF49D8"/>
    <w:rsid w:val="00C03BD9"/>
    <w:rsid w:val="00C23C79"/>
    <w:rsid w:val="00C52080"/>
    <w:rsid w:val="00C72848"/>
    <w:rsid w:val="00C7599B"/>
    <w:rsid w:val="00C81E80"/>
    <w:rsid w:val="00C850EF"/>
    <w:rsid w:val="00C8622F"/>
    <w:rsid w:val="00CC1707"/>
    <w:rsid w:val="00CD4A92"/>
    <w:rsid w:val="00CE0933"/>
    <w:rsid w:val="00CE49DB"/>
    <w:rsid w:val="00D03C87"/>
    <w:rsid w:val="00D12CBA"/>
    <w:rsid w:val="00D32BC5"/>
    <w:rsid w:val="00D34499"/>
    <w:rsid w:val="00D34728"/>
    <w:rsid w:val="00D62C0A"/>
    <w:rsid w:val="00D775F7"/>
    <w:rsid w:val="00D804E7"/>
    <w:rsid w:val="00D81402"/>
    <w:rsid w:val="00D8337A"/>
    <w:rsid w:val="00D8348A"/>
    <w:rsid w:val="00D93901"/>
    <w:rsid w:val="00DB4041"/>
    <w:rsid w:val="00DE7C61"/>
    <w:rsid w:val="00DF3BD7"/>
    <w:rsid w:val="00E064D8"/>
    <w:rsid w:val="00E3088D"/>
    <w:rsid w:val="00E401AF"/>
    <w:rsid w:val="00E4322C"/>
    <w:rsid w:val="00E44693"/>
    <w:rsid w:val="00E54442"/>
    <w:rsid w:val="00E5520D"/>
    <w:rsid w:val="00E73675"/>
    <w:rsid w:val="00E75590"/>
    <w:rsid w:val="00E81890"/>
    <w:rsid w:val="00E81D11"/>
    <w:rsid w:val="00E968BD"/>
    <w:rsid w:val="00EA6BAA"/>
    <w:rsid w:val="00EC521E"/>
    <w:rsid w:val="00ED5C9B"/>
    <w:rsid w:val="00EE5449"/>
    <w:rsid w:val="00EF1922"/>
    <w:rsid w:val="00EF7880"/>
    <w:rsid w:val="00EF7F16"/>
    <w:rsid w:val="00F116CD"/>
    <w:rsid w:val="00F16DFC"/>
    <w:rsid w:val="00F37017"/>
    <w:rsid w:val="00F40D6B"/>
    <w:rsid w:val="00F74C29"/>
    <w:rsid w:val="00F9393A"/>
    <w:rsid w:val="00F947E8"/>
    <w:rsid w:val="00FA0265"/>
    <w:rsid w:val="00FA20A7"/>
    <w:rsid w:val="00FB4D0F"/>
    <w:rsid w:val="00FC1423"/>
    <w:rsid w:val="00FD7F29"/>
    <w:rsid w:val="00FE3C56"/>
    <w:rsid w:val="00FE713B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1,TableText"/>
    <w:qFormat/>
    <w:rsid w:val="00A445F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445F4"/>
    <w:pPr>
      <w:keepNext/>
      <w:spacing w:before="360" w:after="240"/>
      <w:outlineLvl w:val="0"/>
    </w:pPr>
    <w:rPr>
      <w:rFonts w:ascii="Erie" w:hAnsi="Erie"/>
      <w:b/>
      <w:kern w:val="28"/>
      <w:sz w:val="32"/>
      <w:lang w:val="en-GB"/>
    </w:rPr>
  </w:style>
  <w:style w:type="paragraph" w:styleId="Heading2">
    <w:name w:val="heading 2"/>
    <w:basedOn w:val="Normal"/>
    <w:next w:val="Normal"/>
    <w:qFormat/>
    <w:rsid w:val="00A445F4"/>
    <w:pPr>
      <w:keepNext/>
      <w:spacing w:before="240" w:after="120"/>
      <w:outlineLvl w:val="1"/>
    </w:pPr>
    <w:rPr>
      <w:rFonts w:ascii="Erie" w:hAnsi="Erie"/>
      <w:b/>
      <w:sz w:val="28"/>
      <w:lang w:val="en-GB"/>
    </w:rPr>
  </w:style>
  <w:style w:type="paragraph" w:styleId="Heading3">
    <w:name w:val="heading 3"/>
    <w:basedOn w:val="Normal"/>
    <w:next w:val="Normal"/>
    <w:qFormat/>
    <w:rsid w:val="00A445F4"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A445F4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45F4"/>
    <w:pPr>
      <w:spacing w:before="120" w:after="120"/>
      <w:outlineLvl w:val="4"/>
    </w:pPr>
    <w:rPr>
      <w:rFonts w:ascii="Erie" w:hAnsi="Erie"/>
      <w:i/>
    </w:rPr>
  </w:style>
  <w:style w:type="paragraph" w:styleId="Heading6">
    <w:name w:val="heading 6"/>
    <w:basedOn w:val="Normal"/>
    <w:next w:val="Normal"/>
    <w:qFormat/>
    <w:rsid w:val="00A445F4"/>
    <w:pPr>
      <w:keepNext/>
      <w:jc w:val="right"/>
      <w:outlineLvl w:val="5"/>
    </w:pPr>
    <w:rPr>
      <w:rFonts w:ascii="Arial Narrow" w:hAnsi="Arial Narrow"/>
      <w:b/>
      <w:snapToGrid w:val="0"/>
      <w:color w:val="000000"/>
    </w:rPr>
  </w:style>
  <w:style w:type="paragraph" w:styleId="Heading7">
    <w:name w:val="heading 7"/>
    <w:basedOn w:val="Normal"/>
    <w:next w:val="Normal"/>
    <w:qFormat/>
    <w:rsid w:val="00A445F4"/>
    <w:pPr>
      <w:keepNext/>
      <w:jc w:val="center"/>
      <w:outlineLvl w:val="6"/>
    </w:pPr>
    <w:rPr>
      <w:rFonts w:ascii="Arial Narrow" w:hAnsi="Arial Narrow"/>
      <w:b/>
      <w:snapToGrid w:val="0"/>
      <w:color w:val="000000"/>
    </w:rPr>
  </w:style>
  <w:style w:type="paragraph" w:styleId="Heading8">
    <w:name w:val="heading 8"/>
    <w:basedOn w:val="Normal"/>
    <w:next w:val="Normal"/>
    <w:qFormat/>
    <w:rsid w:val="00A445F4"/>
    <w:pPr>
      <w:keepNext/>
      <w:ind w:right="112"/>
      <w:outlineLvl w:val="7"/>
    </w:pPr>
    <w:rPr>
      <w:rFonts w:ascii="Arial Narrow" w:hAnsi="Arial Narrow"/>
      <w:b/>
      <w:snapToGrid w:val="0"/>
      <w:color w:val="000000"/>
    </w:rPr>
  </w:style>
  <w:style w:type="paragraph" w:styleId="Heading9">
    <w:name w:val="heading 9"/>
    <w:basedOn w:val="Normal"/>
    <w:next w:val="Normal"/>
    <w:qFormat/>
    <w:rsid w:val="00A445F4"/>
    <w:pPr>
      <w:spacing w:before="240" w:after="120"/>
      <w:outlineLvl w:val="8"/>
    </w:pPr>
    <w:rPr>
      <w:rFonts w:ascii="Arial Rounded MT Bold" w:hAnsi="Arial Rounded MT Bold"/>
      <w:b/>
      <w:spacing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_Head_1"/>
    <w:basedOn w:val="Normal"/>
    <w:next w:val="BodyText"/>
    <w:rsid w:val="00A445F4"/>
    <w:pPr>
      <w:pBdr>
        <w:bottom w:val="single" w:sz="18" w:space="1" w:color="auto"/>
      </w:pBdr>
      <w:spacing w:before="360" w:after="240"/>
      <w:outlineLvl w:val="0"/>
    </w:pPr>
    <w:rPr>
      <w:rFonts w:ascii="Arial Black" w:hAnsi="Arial Black"/>
      <w:sz w:val="32"/>
    </w:rPr>
  </w:style>
  <w:style w:type="paragraph" w:customStyle="1" w:styleId="BodyText">
    <w:name w:val="Body_Text"/>
    <w:basedOn w:val="Normal"/>
    <w:rsid w:val="00A445F4"/>
    <w:pPr>
      <w:spacing w:after="160"/>
      <w:jc w:val="both"/>
    </w:pPr>
    <w:rPr>
      <w:rFonts w:ascii="Arial" w:hAnsi="Arial"/>
      <w:sz w:val="20"/>
    </w:rPr>
  </w:style>
  <w:style w:type="paragraph" w:customStyle="1" w:styleId="SubHead2">
    <w:name w:val="Sub_Head_2"/>
    <w:basedOn w:val="Normal"/>
    <w:rsid w:val="00A445F4"/>
    <w:pPr>
      <w:spacing w:before="240" w:after="120"/>
      <w:jc w:val="both"/>
    </w:pPr>
    <w:rPr>
      <w:rFonts w:ascii="Arial Black" w:hAnsi="Arial Black"/>
      <w:sz w:val="28"/>
    </w:rPr>
  </w:style>
  <w:style w:type="paragraph" w:customStyle="1" w:styleId="SubHead3">
    <w:name w:val="Sub_Head_3"/>
    <w:basedOn w:val="Normal"/>
    <w:rsid w:val="00A445F4"/>
    <w:pPr>
      <w:spacing w:before="240" w:after="120"/>
      <w:jc w:val="both"/>
    </w:pPr>
    <w:rPr>
      <w:rFonts w:ascii="Arial Black" w:hAnsi="Arial Black"/>
    </w:rPr>
  </w:style>
  <w:style w:type="paragraph" w:customStyle="1" w:styleId="ListBullet">
    <w:name w:val="List_Bullet"/>
    <w:basedOn w:val="Normal"/>
    <w:rsid w:val="00A445F4"/>
    <w:pPr>
      <w:numPr>
        <w:numId w:val="5"/>
      </w:numPr>
      <w:spacing w:after="160"/>
      <w:jc w:val="both"/>
    </w:pPr>
  </w:style>
  <w:style w:type="character" w:styleId="PageNumber">
    <w:name w:val="page number"/>
    <w:basedOn w:val="DefaultParagraphFont"/>
    <w:rsid w:val="00A445F4"/>
    <w:rPr>
      <w:rFonts w:ascii="Arial" w:hAnsi="Arial"/>
      <w:sz w:val="16"/>
    </w:rPr>
  </w:style>
  <w:style w:type="paragraph" w:styleId="DocumentMap">
    <w:name w:val="Document Map"/>
    <w:basedOn w:val="Normal"/>
    <w:semiHidden/>
    <w:rsid w:val="00A445F4"/>
    <w:pPr>
      <w:shd w:val="clear" w:color="auto" w:fill="000080"/>
    </w:pPr>
    <w:rPr>
      <w:rFonts w:ascii="Tahoma" w:hAnsi="Tahoma"/>
    </w:rPr>
  </w:style>
  <w:style w:type="paragraph" w:customStyle="1" w:styleId="SubHead4">
    <w:name w:val="Sub_Head_4"/>
    <w:basedOn w:val="SubHead3"/>
    <w:autoRedefine/>
    <w:rsid w:val="00A445F4"/>
    <w:pPr>
      <w:spacing w:before="0" w:after="160"/>
    </w:pPr>
    <w:rPr>
      <w:rFonts w:ascii="Arial" w:hAnsi="Arial"/>
      <w:b/>
    </w:rPr>
  </w:style>
  <w:style w:type="paragraph" w:customStyle="1" w:styleId="SubHead5">
    <w:name w:val="Sub_Head_5"/>
    <w:basedOn w:val="SubHead4"/>
    <w:autoRedefine/>
    <w:rsid w:val="00F37017"/>
    <w:pPr>
      <w:spacing w:before="80" w:after="40"/>
    </w:pPr>
    <w:rPr>
      <w:rFonts w:cs="Arial"/>
      <w:b w:val="0"/>
      <w:sz w:val="20"/>
    </w:rPr>
  </w:style>
  <w:style w:type="paragraph" w:styleId="BodyText0">
    <w:name w:val="Body Text"/>
    <w:basedOn w:val="Normal"/>
    <w:rsid w:val="00A445F4"/>
    <w:pPr>
      <w:jc w:val="both"/>
    </w:pPr>
  </w:style>
  <w:style w:type="paragraph" w:customStyle="1" w:styleId="SummaryPoints">
    <w:name w:val="SummaryPoints"/>
    <w:basedOn w:val="Normal"/>
    <w:rsid w:val="00A445F4"/>
    <w:pPr>
      <w:spacing w:after="160"/>
      <w:ind w:left="992" w:hanging="425"/>
      <w:jc w:val="both"/>
    </w:pPr>
    <w:rPr>
      <w:rFonts w:ascii="Arial" w:hAnsi="Arial"/>
      <w:color w:val="000000"/>
      <w:sz w:val="22"/>
      <w:lang w:val="en-GB"/>
    </w:rPr>
  </w:style>
  <w:style w:type="paragraph" w:customStyle="1" w:styleId="NumIndentBold">
    <w:name w:val="Num_Indent_Bold"/>
    <w:basedOn w:val="Normal"/>
    <w:rsid w:val="00A445F4"/>
    <w:pPr>
      <w:numPr>
        <w:numId w:val="1"/>
      </w:numPr>
      <w:tabs>
        <w:tab w:val="clear" w:pos="360"/>
        <w:tab w:val="num" w:pos="993"/>
      </w:tabs>
      <w:spacing w:after="160"/>
      <w:ind w:left="993" w:hanging="426"/>
      <w:jc w:val="both"/>
    </w:pPr>
    <w:rPr>
      <w:rFonts w:ascii="Arial" w:hAnsi="Arial"/>
      <w:b/>
      <w:color w:val="000000"/>
      <w:sz w:val="22"/>
      <w:lang w:val="en-GB"/>
    </w:rPr>
  </w:style>
  <w:style w:type="paragraph" w:styleId="Header">
    <w:name w:val="header"/>
    <w:basedOn w:val="Normal"/>
    <w:rsid w:val="00A445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F4"/>
    <w:pPr>
      <w:tabs>
        <w:tab w:val="center" w:pos="4153"/>
        <w:tab w:val="right" w:pos="8306"/>
      </w:tabs>
    </w:pPr>
  </w:style>
  <w:style w:type="paragraph" w:customStyle="1" w:styleId="TableText10">
    <w:name w:val="Table_Text_10"/>
    <w:basedOn w:val="BodyText"/>
    <w:rsid w:val="00A445F4"/>
    <w:pPr>
      <w:spacing w:before="40" w:after="40"/>
      <w:jc w:val="left"/>
    </w:pPr>
    <w:rPr>
      <w:snapToGrid w:val="0"/>
    </w:rPr>
  </w:style>
  <w:style w:type="paragraph" w:customStyle="1" w:styleId="TableText100">
    <w:name w:val="Table_Text10"/>
    <w:basedOn w:val="Normal"/>
    <w:autoRedefine/>
    <w:rsid w:val="00A445F4"/>
    <w:pPr>
      <w:spacing w:before="40" w:after="40"/>
      <w:jc w:val="both"/>
    </w:pPr>
  </w:style>
  <w:style w:type="paragraph" w:customStyle="1" w:styleId="TableText12">
    <w:name w:val="Table_Text12"/>
    <w:basedOn w:val="TableText100"/>
    <w:autoRedefine/>
    <w:rsid w:val="00A445F4"/>
  </w:style>
  <w:style w:type="paragraph" w:customStyle="1" w:styleId="TableTextHead">
    <w:name w:val="Table_Text_Head"/>
    <w:basedOn w:val="Heading7"/>
    <w:rsid w:val="00A445F4"/>
    <w:pPr>
      <w:jc w:val="right"/>
    </w:pPr>
    <w:rPr>
      <w:b w:val="0"/>
    </w:rPr>
  </w:style>
  <w:style w:type="paragraph" w:customStyle="1" w:styleId="Question">
    <w:name w:val="Question"/>
    <w:basedOn w:val="Normal"/>
    <w:rsid w:val="00A445F4"/>
    <w:rPr>
      <w:b/>
      <w:i/>
      <w:sz w:val="18"/>
    </w:rPr>
  </w:style>
  <w:style w:type="paragraph" w:styleId="MacroText">
    <w:name w:val="macro"/>
    <w:semiHidden/>
    <w:rsid w:val="00A445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eastAsia="en-US"/>
    </w:rPr>
  </w:style>
  <w:style w:type="paragraph" w:styleId="TOC2">
    <w:name w:val="toc 2"/>
    <w:basedOn w:val="BodyText0"/>
    <w:next w:val="Normal"/>
    <w:autoRedefine/>
    <w:semiHidden/>
    <w:rsid w:val="00A445F4"/>
    <w:pPr>
      <w:tabs>
        <w:tab w:val="left" w:leader="underscore" w:pos="8505"/>
      </w:tabs>
      <w:spacing w:before="240" w:after="40"/>
      <w:ind w:left="2126"/>
    </w:pPr>
    <w:rPr>
      <w:rFonts w:ascii="Arial" w:hAnsi="Arial"/>
      <w:noProof/>
    </w:rPr>
  </w:style>
  <w:style w:type="paragraph" w:styleId="TOC1">
    <w:name w:val="toc 1"/>
    <w:basedOn w:val="BodyText0"/>
    <w:next w:val="Normal"/>
    <w:autoRedefine/>
    <w:semiHidden/>
    <w:rsid w:val="00A445F4"/>
    <w:pPr>
      <w:tabs>
        <w:tab w:val="left" w:leader="underscore" w:pos="8505"/>
      </w:tabs>
      <w:spacing w:before="360" w:after="40"/>
      <w:ind w:left="216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A445F4"/>
    <w:pPr>
      <w:tabs>
        <w:tab w:val="left" w:pos="2552"/>
        <w:tab w:val="left" w:leader="dot" w:pos="8505"/>
        <w:tab w:val="right" w:leader="dot" w:pos="9498"/>
      </w:tabs>
      <w:spacing w:before="20" w:after="20"/>
      <w:ind w:left="2552"/>
    </w:pPr>
    <w:rPr>
      <w:i/>
      <w:noProof/>
      <w:snapToGrid w:val="0"/>
    </w:rPr>
  </w:style>
  <w:style w:type="paragraph" w:customStyle="1" w:styleId="BodyTextIndentItalic">
    <w:name w:val="Body Text Indent Italic"/>
    <w:basedOn w:val="BodyTextIndent"/>
    <w:rsid w:val="00A445F4"/>
    <w:pPr>
      <w:spacing w:after="0"/>
      <w:ind w:left="1134"/>
    </w:pPr>
  </w:style>
  <w:style w:type="paragraph" w:styleId="BodyTextIndent">
    <w:name w:val="Body Text Indent"/>
    <w:basedOn w:val="Normal"/>
    <w:rsid w:val="00A445F4"/>
    <w:pPr>
      <w:spacing w:after="120"/>
      <w:ind w:left="283"/>
    </w:pPr>
  </w:style>
  <w:style w:type="paragraph" w:customStyle="1" w:styleId="BodyTextIdentBullet">
    <w:name w:val="Body Text Ident Bullet"/>
    <w:basedOn w:val="BodyTextIndent"/>
    <w:rsid w:val="00A445F4"/>
    <w:pPr>
      <w:numPr>
        <w:numId w:val="2"/>
      </w:numPr>
    </w:pPr>
  </w:style>
  <w:style w:type="paragraph" w:customStyle="1" w:styleId="bullet10">
    <w:name w:val="bullet 10"/>
    <w:basedOn w:val="BodyText0"/>
    <w:autoRedefine/>
    <w:rsid w:val="00A445F4"/>
    <w:pPr>
      <w:numPr>
        <w:numId w:val="3"/>
      </w:numPr>
      <w:tabs>
        <w:tab w:val="clear" w:pos="360"/>
        <w:tab w:val="num" w:pos="426"/>
      </w:tabs>
      <w:spacing w:before="20" w:after="20"/>
      <w:ind w:left="425" w:hanging="425"/>
      <w:jc w:val="left"/>
    </w:pPr>
    <w:rPr>
      <w:rFonts w:ascii="Arial" w:hAnsi="Arial"/>
      <w:color w:val="000000"/>
      <w:sz w:val="20"/>
    </w:rPr>
  </w:style>
  <w:style w:type="paragraph" w:customStyle="1" w:styleId="SubHead6">
    <w:name w:val="Sub_Head6"/>
    <w:basedOn w:val="Normal"/>
    <w:autoRedefine/>
    <w:rsid w:val="00A445F4"/>
    <w:pPr>
      <w:spacing w:before="80"/>
    </w:pPr>
    <w:rPr>
      <w:b/>
      <w:i/>
    </w:rPr>
  </w:style>
  <w:style w:type="paragraph" w:customStyle="1" w:styleId="SumPoint1">
    <w:name w:val="Sum Point1"/>
    <w:basedOn w:val="Normal"/>
    <w:rsid w:val="00A445F4"/>
    <w:pPr>
      <w:numPr>
        <w:numId w:val="4"/>
      </w:numPr>
      <w:spacing w:before="40" w:after="40"/>
    </w:pPr>
  </w:style>
  <w:style w:type="paragraph" w:customStyle="1" w:styleId="Bodytext1">
    <w:name w:val="Body text"/>
    <w:basedOn w:val="Normal"/>
    <w:rsid w:val="00A445F4"/>
    <w:pPr>
      <w:tabs>
        <w:tab w:val="num" w:pos="360"/>
      </w:tabs>
      <w:spacing w:before="20" w:after="20"/>
      <w:ind w:left="113" w:hanging="113"/>
    </w:pPr>
    <w:rPr>
      <w:rFonts w:ascii="Arial" w:hAnsi="Arial"/>
      <w:color w:val="000000"/>
      <w:sz w:val="20"/>
    </w:rPr>
  </w:style>
  <w:style w:type="table" w:styleId="TableGrid">
    <w:name w:val="Table Grid"/>
    <w:basedOn w:val="TableNormal"/>
    <w:rsid w:val="00211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1998/99 BUDGET</vt:lpstr>
    </vt:vector>
  </TitlesOfParts>
  <Company>COGG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1998/99 BUDGET</dc:title>
  <dc:creator>Vanessa Mackay</dc:creator>
  <cp:lastModifiedBy>vm9663</cp:lastModifiedBy>
  <cp:revision>7</cp:revision>
  <cp:lastPrinted>2013-05-09T00:34:00Z</cp:lastPrinted>
  <dcterms:created xsi:type="dcterms:W3CDTF">2013-05-07T03:38:00Z</dcterms:created>
  <dcterms:modified xsi:type="dcterms:W3CDTF">2013-05-09T00:34:00Z</dcterms:modified>
</cp:coreProperties>
</file>