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78C" w:rsidRPr="00314A48" w:rsidRDefault="00F3678C" w:rsidP="00D61689">
      <w:pPr>
        <w:rPr>
          <w:rFonts w:ascii="Arial Narrow" w:hAnsi="Arial Narrow" w:cs="Arial"/>
          <w:b/>
          <w:sz w:val="32"/>
          <w:szCs w:val="32"/>
        </w:rPr>
      </w:pPr>
      <w:r w:rsidRPr="00314A48">
        <w:rPr>
          <w:rFonts w:ascii="Arial Narrow" w:hAnsi="Arial Narrow" w:cs="Arial"/>
          <w:b/>
          <w:sz w:val="32"/>
          <w:szCs w:val="32"/>
        </w:rPr>
        <w:t xml:space="preserve">Rating </w:t>
      </w:r>
      <w:r w:rsidR="008F56A4">
        <w:rPr>
          <w:rFonts w:ascii="Arial Narrow" w:hAnsi="Arial Narrow" w:cs="Arial"/>
          <w:b/>
          <w:sz w:val="32"/>
          <w:szCs w:val="32"/>
        </w:rPr>
        <w:t>Information</w:t>
      </w:r>
    </w:p>
    <w:p w:rsidR="00B91F55" w:rsidRPr="00314A48" w:rsidRDefault="00B0096F" w:rsidP="00A24880">
      <w:pPr>
        <w:tabs>
          <w:tab w:val="left" w:pos="284"/>
        </w:tabs>
        <w:rPr>
          <w:rFonts w:ascii="Arial Narrow" w:hAnsi="Arial Narrow" w:cs="Arial"/>
          <w:b/>
          <w:sz w:val="24"/>
          <w:szCs w:val="24"/>
        </w:rPr>
      </w:pPr>
      <w:r w:rsidRPr="00314A48">
        <w:rPr>
          <w:rFonts w:ascii="Arial Narrow" w:hAnsi="Arial Narrow" w:cs="Arial"/>
          <w:b/>
          <w:sz w:val="24"/>
          <w:szCs w:val="24"/>
        </w:rPr>
        <w:t xml:space="preserve">1.  Rating </w:t>
      </w:r>
      <w:r>
        <w:rPr>
          <w:rFonts w:ascii="Arial Narrow" w:hAnsi="Arial Narrow" w:cs="Arial"/>
          <w:b/>
          <w:sz w:val="24"/>
          <w:szCs w:val="24"/>
        </w:rPr>
        <w:t xml:space="preserve">Context </w:t>
      </w:r>
      <w:r w:rsidRPr="00314A48">
        <w:rPr>
          <w:rFonts w:ascii="Arial Narrow" w:hAnsi="Arial Narrow" w:cs="Arial"/>
          <w:b/>
          <w:sz w:val="24"/>
          <w:szCs w:val="24"/>
        </w:rPr>
        <w:t>2013-2014</w:t>
      </w:r>
    </w:p>
    <w:p w:rsidR="00BD5E47" w:rsidRPr="00314A48" w:rsidRDefault="00BD5E47" w:rsidP="00E50632">
      <w:pPr>
        <w:spacing w:before="80"/>
        <w:jc w:val="both"/>
        <w:rPr>
          <w:rFonts w:cs="Arial"/>
          <w:i/>
          <w:sz w:val="24"/>
          <w:szCs w:val="24"/>
        </w:rPr>
      </w:pPr>
      <w:r w:rsidRPr="00314A48">
        <w:rPr>
          <w:rFonts w:cs="Arial"/>
          <w:i/>
          <w:sz w:val="24"/>
          <w:szCs w:val="24"/>
        </w:rPr>
        <w:t>City Plan</w:t>
      </w:r>
    </w:p>
    <w:p w:rsidR="00BD5E47" w:rsidRDefault="00BD5E47" w:rsidP="00B17170">
      <w:pPr>
        <w:spacing w:after="160"/>
        <w:jc w:val="both"/>
        <w:rPr>
          <w:rFonts w:cs="Arial"/>
        </w:rPr>
      </w:pPr>
      <w:r w:rsidRPr="00314A48">
        <w:rPr>
          <w:rFonts w:cs="Arial"/>
        </w:rPr>
        <w:t>Rates and Charges are the major source of C</w:t>
      </w:r>
      <w:r w:rsidR="00AE7040" w:rsidRPr="00314A48">
        <w:rPr>
          <w:rFonts w:cs="Arial"/>
        </w:rPr>
        <w:t>ouncil revenue accounting for 6</w:t>
      </w:r>
      <w:r w:rsidR="00314A48">
        <w:rPr>
          <w:rFonts w:cs="Arial"/>
        </w:rPr>
        <w:t>2</w:t>
      </w:r>
      <w:r w:rsidRPr="00314A48">
        <w:rPr>
          <w:rFonts w:cs="Arial"/>
        </w:rPr>
        <w:t xml:space="preserve">% of the total revenue </w:t>
      </w:r>
      <w:r w:rsidR="00B17170" w:rsidRPr="00314A48">
        <w:rPr>
          <w:rFonts w:cs="Arial"/>
        </w:rPr>
        <w:t xml:space="preserve">for Council </w:t>
      </w:r>
      <w:r w:rsidRPr="00314A48">
        <w:rPr>
          <w:rFonts w:cs="Arial"/>
        </w:rPr>
        <w:t xml:space="preserve">annually. Increases in rate income </w:t>
      </w:r>
      <w:r w:rsidR="006D0BD9" w:rsidRPr="00314A48">
        <w:rPr>
          <w:rFonts w:cs="Arial"/>
        </w:rPr>
        <w:t>are</w:t>
      </w:r>
      <w:r w:rsidRPr="00314A48">
        <w:rPr>
          <w:rFonts w:cs="Arial"/>
        </w:rPr>
        <w:t xml:space="preserve"> required to meet the objectives of Council aspirations and community expectations for new infrastructure. City Plan advocates rate increases over the </w:t>
      </w:r>
      <w:r w:rsidR="00B91F55" w:rsidRPr="00314A48">
        <w:rPr>
          <w:rFonts w:cs="Arial"/>
        </w:rPr>
        <w:t>Council term</w:t>
      </w:r>
      <w:r w:rsidRPr="00314A48">
        <w:rPr>
          <w:rFonts w:cs="Arial"/>
        </w:rPr>
        <w:t>, required to fund new initiatives and maintain existing service levels.</w:t>
      </w:r>
    </w:p>
    <w:p w:rsidR="00CB2603" w:rsidRPr="00DB6619" w:rsidRDefault="00CB2603" w:rsidP="00CB2603">
      <w:pPr>
        <w:spacing w:after="160"/>
        <w:jc w:val="both"/>
        <w:rPr>
          <w:rFonts w:cs="Arial"/>
        </w:rPr>
      </w:pPr>
      <w:r w:rsidRPr="00DB6619">
        <w:rPr>
          <w:rFonts w:cs="Arial"/>
        </w:rPr>
        <w:t>Council continues to monitor the relativity of the City’s residential rates to other comparable municipalities.</w:t>
      </w:r>
    </w:p>
    <w:tbl>
      <w:tblPr>
        <w:tblW w:w="10076" w:type="dxa"/>
        <w:tblInd w:w="97" w:type="dxa"/>
        <w:tblLayout w:type="fixed"/>
        <w:tblLook w:val="04A0"/>
      </w:tblPr>
      <w:tblGrid>
        <w:gridCol w:w="2138"/>
        <w:gridCol w:w="567"/>
        <w:gridCol w:w="567"/>
        <w:gridCol w:w="567"/>
        <w:gridCol w:w="567"/>
        <w:gridCol w:w="567"/>
        <w:gridCol w:w="567"/>
        <w:gridCol w:w="567"/>
        <w:gridCol w:w="567"/>
        <w:gridCol w:w="567"/>
        <w:gridCol w:w="567"/>
        <w:gridCol w:w="1134"/>
        <w:gridCol w:w="1134"/>
      </w:tblGrid>
      <w:tr w:rsidR="00AC1EF1" w:rsidRPr="00A5308B" w:rsidTr="00AC1EF1">
        <w:trPr>
          <w:trHeight w:val="315"/>
        </w:trPr>
        <w:tc>
          <w:tcPr>
            <w:tcW w:w="4973" w:type="dxa"/>
            <w:gridSpan w:val="6"/>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i/>
                <w:iCs/>
                <w:color w:val="000000"/>
                <w:sz w:val="24"/>
                <w:szCs w:val="24"/>
                <w:lang w:eastAsia="en-AU"/>
              </w:rPr>
            </w:pPr>
            <w:bookmarkStart w:id="0" w:name="RANGE!C1:S25"/>
            <w:r w:rsidRPr="00A5308B">
              <w:rPr>
                <w:rFonts w:ascii="Arial Narrow" w:hAnsi="Arial Narrow" w:cs="Arial"/>
                <w:i/>
                <w:iCs/>
                <w:color w:val="000000"/>
                <w:sz w:val="24"/>
                <w:szCs w:val="24"/>
                <w:lang w:eastAsia="en-AU"/>
              </w:rPr>
              <w:t>Average Rates &amp; Charges</w:t>
            </w:r>
            <w:bookmarkEnd w:id="0"/>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1134"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c>
          <w:tcPr>
            <w:tcW w:w="1134"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sz w:val="24"/>
                <w:szCs w:val="24"/>
                <w:lang w:eastAsia="en-AU"/>
              </w:rPr>
            </w:pPr>
          </w:p>
        </w:tc>
      </w:tr>
      <w:tr w:rsidR="00AC1EF1" w:rsidRPr="00A5308B" w:rsidTr="00AC1EF1">
        <w:trPr>
          <w:trHeight w:val="90"/>
        </w:trPr>
        <w:tc>
          <w:tcPr>
            <w:tcW w:w="2138"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p>
        </w:tc>
        <w:tc>
          <w:tcPr>
            <w:tcW w:w="567" w:type="dxa"/>
            <w:tcBorders>
              <w:top w:val="nil"/>
              <w:left w:val="nil"/>
              <w:bottom w:val="nil"/>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p>
        </w:tc>
        <w:tc>
          <w:tcPr>
            <w:tcW w:w="1134" w:type="dxa"/>
            <w:tcBorders>
              <w:top w:val="nil"/>
              <w:left w:val="nil"/>
              <w:bottom w:val="nil"/>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p>
        </w:tc>
        <w:tc>
          <w:tcPr>
            <w:tcW w:w="1134" w:type="dxa"/>
            <w:tcBorders>
              <w:top w:val="nil"/>
              <w:left w:val="nil"/>
              <w:bottom w:val="single" w:sz="4" w:space="0" w:color="D8D8D8"/>
              <w:right w:val="nil"/>
            </w:tcBorders>
            <w:shd w:val="clear" w:color="000000" w:fill="auto"/>
            <w:noWrap/>
            <w:vAlign w:val="bottom"/>
            <w:hideMark/>
          </w:tcPr>
          <w:p w:rsidR="00B0096F" w:rsidRPr="00A5308B" w:rsidRDefault="00B0096F" w:rsidP="00A5308B">
            <w:pPr>
              <w:spacing w:after="0"/>
              <w:jc w:val="right"/>
              <w:rPr>
                <w:rFonts w:ascii="Arial Narrow" w:hAnsi="Arial Narrow" w:cs="Arial"/>
                <w:i/>
                <w:iCs/>
                <w:color w:val="000000"/>
                <w:sz w:val="16"/>
                <w:szCs w:val="16"/>
                <w:lang w:eastAsia="en-AU"/>
              </w:rPr>
            </w:pPr>
            <w:r w:rsidRPr="00A5308B">
              <w:rPr>
                <w:rFonts w:ascii="Arial Narrow" w:hAnsi="Arial Narrow" w:cs="Arial"/>
                <w:i/>
                <w:iCs/>
                <w:color w:val="000000"/>
                <w:sz w:val="16"/>
                <w:szCs w:val="16"/>
                <w:lang w:eastAsia="en-AU"/>
              </w:rPr>
              <w:t> </w:t>
            </w:r>
          </w:p>
        </w:tc>
      </w:tr>
      <w:tr w:rsidR="00AC1EF1" w:rsidRPr="00A5308B" w:rsidTr="00AC1EF1">
        <w:trPr>
          <w:trHeight w:val="450"/>
        </w:trPr>
        <w:tc>
          <w:tcPr>
            <w:tcW w:w="2138" w:type="dxa"/>
            <w:tcBorders>
              <w:top w:val="nil"/>
              <w:left w:val="nil"/>
              <w:bottom w:val="nil"/>
              <w:right w:val="nil"/>
            </w:tcBorders>
            <w:shd w:val="clear" w:color="000000" w:fill="auto"/>
            <w:noWrap/>
            <w:vAlign w:val="bottom"/>
            <w:hideMark/>
          </w:tcPr>
          <w:p w:rsidR="00B0096F" w:rsidRPr="00A5308B" w:rsidRDefault="00B0096F" w:rsidP="00A5308B">
            <w:pPr>
              <w:spacing w:after="0"/>
              <w:rPr>
                <w:rFonts w:ascii="Arial Narrow" w:hAnsi="Arial Narrow" w:cs="Arial"/>
                <w:color w:val="000000"/>
                <w:lang w:eastAsia="en-AU"/>
              </w:rPr>
            </w:pPr>
          </w:p>
        </w:tc>
        <w:tc>
          <w:tcPr>
            <w:tcW w:w="1134" w:type="dxa"/>
            <w:gridSpan w:val="2"/>
            <w:tcBorders>
              <w:top w:val="single" w:sz="4" w:space="0" w:color="D8D8D8"/>
              <w:left w:val="single" w:sz="4" w:space="0" w:color="D8D8D8"/>
              <w:bottom w:val="nil"/>
              <w:right w:val="single" w:sz="4" w:space="0" w:color="D8D8D8"/>
            </w:tcBorders>
            <w:shd w:val="clear" w:color="000000" w:fill="FFFFFF"/>
            <w:vAlign w:val="bottom"/>
            <w:hideMark/>
          </w:tcPr>
          <w:p w:rsidR="00B0096F" w:rsidRPr="00AC1EF1" w:rsidRDefault="00B0096F" w:rsidP="00A5308B">
            <w:pPr>
              <w:spacing w:after="0"/>
              <w:jc w:val="center"/>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2007-2008</w:t>
            </w:r>
            <w:r w:rsidRPr="00AC1EF1">
              <w:rPr>
                <w:rFonts w:ascii="Arial Narrow" w:hAnsi="Arial Narrow" w:cs="Arial"/>
                <w:b/>
                <w:bCs/>
                <w:color w:val="000000"/>
                <w:sz w:val="16"/>
                <w:szCs w:val="16"/>
                <w:lang w:eastAsia="en-AU"/>
              </w:rPr>
              <w:br/>
              <w:t>Annual Report</w:t>
            </w:r>
          </w:p>
        </w:tc>
        <w:tc>
          <w:tcPr>
            <w:tcW w:w="1134" w:type="dxa"/>
            <w:gridSpan w:val="2"/>
            <w:tcBorders>
              <w:top w:val="single" w:sz="4" w:space="0" w:color="D8D8D8"/>
              <w:left w:val="nil"/>
              <w:bottom w:val="nil"/>
              <w:right w:val="single" w:sz="4" w:space="0" w:color="D8D8D8"/>
            </w:tcBorders>
            <w:shd w:val="clear" w:color="000000" w:fill="FFFFFF"/>
            <w:vAlign w:val="bottom"/>
            <w:hideMark/>
          </w:tcPr>
          <w:p w:rsidR="00B0096F" w:rsidRPr="00AC1EF1" w:rsidRDefault="00B0096F" w:rsidP="00A5308B">
            <w:pPr>
              <w:spacing w:after="0"/>
              <w:jc w:val="center"/>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2008-2009</w:t>
            </w:r>
            <w:r w:rsidRPr="00AC1EF1">
              <w:rPr>
                <w:rFonts w:ascii="Arial Narrow" w:hAnsi="Arial Narrow" w:cs="Arial"/>
                <w:b/>
                <w:bCs/>
                <w:color w:val="000000"/>
                <w:sz w:val="16"/>
                <w:szCs w:val="16"/>
                <w:lang w:eastAsia="en-AU"/>
              </w:rPr>
              <w:br/>
              <w:t>Annual Report</w:t>
            </w:r>
          </w:p>
        </w:tc>
        <w:tc>
          <w:tcPr>
            <w:tcW w:w="1134" w:type="dxa"/>
            <w:gridSpan w:val="2"/>
            <w:tcBorders>
              <w:top w:val="single" w:sz="4" w:space="0" w:color="D8D8D8"/>
              <w:left w:val="nil"/>
              <w:bottom w:val="nil"/>
              <w:right w:val="single" w:sz="4" w:space="0" w:color="D8D8D8"/>
            </w:tcBorders>
            <w:shd w:val="clear" w:color="000000" w:fill="FFFFFF"/>
            <w:vAlign w:val="bottom"/>
            <w:hideMark/>
          </w:tcPr>
          <w:p w:rsidR="00B0096F" w:rsidRPr="00AC1EF1" w:rsidRDefault="00B0096F" w:rsidP="00A5308B">
            <w:pPr>
              <w:spacing w:after="0"/>
              <w:jc w:val="center"/>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2009-2010</w:t>
            </w:r>
            <w:r w:rsidRPr="00AC1EF1">
              <w:rPr>
                <w:rFonts w:ascii="Arial Narrow" w:hAnsi="Arial Narrow" w:cs="Arial"/>
                <w:b/>
                <w:bCs/>
                <w:color w:val="000000"/>
                <w:sz w:val="16"/>
                <w:szCs w:val="16"/>
                <w:lang w:eastAsia="en-AU"/>
              </w:rPr>
              <w:br/>
              <w:t>Annual Report</w:t>
            </w:r>
          </w:p>
        </w:tc>
        <w:tc>
          <w:tcPr>
            <w:tcW w:w="1134" w:type="dxa"/>
            <w:gridSpan w:val="2"/>
            <w:tcBorders>
              <w:top w:val="single" w:sz="4" w:space="0" w:color="D8D8D8"/>
              <w:left w:val="nil"/>
              <w:bottom w:val="nil"/>
              <w:right w:val="single" w:sz="4" w:space="0" w:color="D8D8D8"/>
            </w:tcBorders>
            <w:shd w:val="clear" w:color="000000" w:fill="FFFFFF"/>
            <w:vAlign w:val="bottom"/>
            <w:hideMark/>
          </w:tcPr>
          <w:p w:rsidR="00B0096F" w:rsidRPr="00AC1EF1" w:rsidRDefault="00B0096F" w:rsidP="00A5308B">
            <w:pPr>
              <w:spacing w:after="0"/>
              <w:jc w:val="center"/>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2010-2011</w:t>
            </w:r>
            <w:r w:rsidRPr="00AC1EF1">
              <w:rPr>
                <w:rFonts w:ascii="Arial Narrow" w:hAnsi="Arial Narrow" w:cs="Arial"/>
                <w:b/>
                <w:bCs/>
                <w:color w:val="000000"/>
                <w:sz w:val="16"/>
                <w:szCs w:val="16"/>
                <w:lang w:eastAsia="en-AU"/>
              </w:rPr>
              <w:br/>
              <w:t>Annual Report</w:t>
            </w:r>
          </w:p>
        </w:tc>
        <w:tc>
          <w:tcPr>
            <w:tcW w:w="1134" w:type="dxa"/>
            <w:gridSpan w:val="2"/>
            <w:tcBorders>
              <w:top w:val="single" w:sz="4" w:space="0" w:color="D8D8D8"/>
              <w:left w:val="nil"/>
              <w:bottom w:val="nil"/>
              <w:right w:val="single" w:sz="4" w:space="0" w:color="D8D8D8"/>
            </w:tcBorders>
            <w:shd w:val="clear" w:color="000000" w:fill="FFFFFF"/>
            <w:vAlign w:val="bottom"/>
            <w:hideMark/>
          </w:tcPr>
          <w:p w:rsidR="00B0096F" w:rsidRPr="00AC1EF1" w:rsidRDefault="00B0096F" w:rsidP="00A5308B">
            <w:pPr>
              <w:spacing w:after="0"/>
              <w:jc w:val="center"/>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2011-2012</w:t>
            </w:r>
            <w:r w:rsidRPr="00AC1EF1">
              <w:rPr>
                <w:rFonts w:ascii="Arial Narrow" w:hAnsi="Arial Narrow" w:cs="Arial"/>
                <w:b/>
                <w:bCs/>
                <w:color w:val="000000"/>
                <w:sz w:val="16"/>
                <w:szCs w:val="16"/>
                <w:lang w:eastAsia="en-AU"/>
              </w:rPr>
              <w:br/>
              <w:t>Annual Report</w:t>
            </w:r>
          </w:p>
        </w:tc>
        <w:tc>
          <w:tcPr>
            <w:tcW w:w="1134" w:type="dxa"/>
            <w:vMerge w:val="restart"/>
            <w:tcBorders>
              <w:top w:val="single" w:sz="4" w:space="0" w:color="D8D8D8"/>
              <w:left w:val="single" w:sz="4" w:space="0" w:color="D8D8D8"/>
              <w:bottom w:val="single" w:sz="4" w:space="0" w:color="D8D8D8"/>
              <w:right w:val="single" w:sz="4" w:space="0" w:color="D8D8D8"/>
            </w:tcBorders>
            <w:shd w:val="clear" w:color="000000" w:fill="A5A5A5"/>
            <w:vAlign w:val="bottom"/>
            <w:hideMark/>
          </w:tcPr>
          <w:p w:rsidR="00B0096F" w:rsidRPr="00AC1EF1" w:rsidRDefault="00B0096F" w:rsidP="00A5308B">
            <w:pPr>
              <w:spacing w:after="0"/>
              <w:jc w:val="right"/>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Residential</w:t>
            </w:r>
            <w:r w:rsidRPr="00AC1EF1">
              <w:rPr>
                <w:rFonts w:ascii="Arial Narrow" w:hAnsi="Arial Narrow" w:cs="Arial"/>
                <w:b/>
                <w:bCs/>
                <w:color w:val="000000"/>
                <w:sz w:val="16"/>
                <w:szCs w:val="16"/>
                <w:lang w:eastAsia="en-AU"/>
              </w:rPr>
              <w:br/>
              <w:t>2011-2012</w:t>
            </w:r>
            <w:r w:rsidRPr="00AC1EF1">
              <w:rPr>
                <w:rFonts w:ascii="Arial Narrow" w:hAnsi="Arial Narrow" w:cs="Arial"/>
                <w:b/>
                <w:bCs/>
                <w:color w:val="000000"/>
                <w:sz w:val="16"/>
                <w:szCs w:val="16"/>
                <w:lang w:eastAsia="en-AU"/>
              </w:rPr>
              <w:br/>
              <w:t xml:space="preserve">on </w:t>
            </w:r>
            <w:r w:rsidRPr="00AC1EF1">
              <w:rPr>
                <w:rFonts w:ascii="Arial Narrow" w:hAnsi="Arial Narrow" w:cs="Arial"/>
                <w:b/>
                <w:bCs/>
                <w:color w:val="000000"/>
                <w:sz w:val="16"/>
                <w:szCs w:val="16"/>
                <w:lang w:eastAsia="en-AU"/>
              </w:rPr>
              <w:br/>
              <w:t>2010-2011</w:t>
            </w:r>
            <w:r w:rsidRPr="00AC1EF1">
              <w:rPr>
                <w:rFonts w:ascii="Arial Narrow" w:hAnsi="Arial Narrow" w:cs="Arial"/>
                <w:b/>
                <w:bCs/>
                <w:color w:val="000000"/>
                <w:sz w:val="16"/>
                <w:szCs w:val="16"/>
                <w:lang w:eastAsia="en-AU"/>
              </w:rPr>
              <w:br/>
              <w:t>% increase</w:t>
            </w:r>
          </w:p>
        </w:tc>
        <w:tc>
          <w:tcPr>
            <w:tcW w:w="1134" w:type="dxa"/>
            <w:vMerge w:val="restart"/>
            <w:tcBorders>
              <w:top w:val="nil"/>
              <w:left w:val="single" w:sz="4" w:space="0" w:color="D8D8D8"/>
              <w:bottom w:val="single" w:sz="4" w:space="0" w:color="D8D8D8"/>
              <w:right w:val="single" w:sz="4" w:space="0" w:color="D8D8D8"/>
            </w:tcBorders>
            <w:shd w:val="clear" w:color="000000" w:fill="A5A5A5"/>
            <w:vAlign w:val="bottom"/>
            <w:hideMark/>
          </w:tcPr>
          <w:p w:rsidR="00B0096F" w:rsidRPr="00AC1EF1" w:rsidRDefault="00B0096F" w:rsidP="00A5308B">
            <w:pPr>
              <w:spacing w:after="0"/>
              <w:jc w:val="right"/>
              <w:rPr>
                <w:rFonts w:ascii="Arial Narrow" w:hAnsi="Arial Narrow" w:cs="Arial"/>
                <w:b/>
                <w:bCs/>
                <w:color w:val="000000"/>
                <w:sz w:val="16"/>
                <w:szCs w:val="16"/>
                <w:lang w:eastAsia="en-AU"/>
              </w:rPr>
            </w:pPr>
            <w:r w:rsidRPr="00AC1EF1">
              <w:rPr>
                <w:rFonts w:ascii="Arial Narrow" w:hAnsi="Arial Narrow" w:cs="Arial"/>
                <w:b/>
                <w:bCs/>
                <w:color w:val="000000"/>
                <w:sz w:val="16"/>
                <w:szCs w:val="16"/>
                <w:lang w:eastAsia="en-AU"/>
              </w:rPr>
              <w:t>Residential</w:t>
            </w:r>
            <w:r w:rsidRPr="00AC1EF1">
              <w:rPr>
                <w:rFonts w:ascii="Arial Narrow" w:hAnsi="Arial Narrow" w:cs="Arial"/>
                <w:b/>
                <w:bCs/>
                <w:color w:val="000000"/>
                <w:sz w:val="16"/>
                <w:szCs w:val="16"/>
                <w:lang w:eastAsia="en-AU"/>
              </w:rPr>
              <w:br/>
              <w:t>Gross % Movement</w:t>
            </w:r>
            <w:r w:rsidRPr="00AC1EF1">
              <w:rPr>
                <w:rFonts w:ascii="Arial Narrow" w:hAnsi="Arial Narrow" w:cs="Arial"/>
                <w:b/>
                <w:bCs/>
                <w:color w:val="000000"/>
                <w:sz w:val="16"/>
                <w:szCs w:val="16"/>
                <w:lang w:eastAsia="en-AU"/>
              </w:rPr>
              <w:br/>
              <w:t>5 Years</w:t>
            </w:r>
          </w:p>
        </w:tc>
      </w:tr>
      <w:tr w:rsidR="00AC1EF1" w:rsidRPr="00A5308B" w:rsidTr="00AC1EF1">
        <w:trPr>
          <w:trHeight w:val="975"/>
        </w:trPr>
        <w:tc>
          <w:tcPr>
            <w:tcW w:w="2138" w:type="dxa"/>
            <w:tcBorders>
              <w:top w:val="single" w:sz="4" w:space="0" w:color="D8D8D8"/>
              <w:left w:val="single" w:sz="4" w:space="0" w:color="D8D8D8"/>
              <w:bottom w:val="single" w:sz="4" w:space="0" w:color="D8D8D8"/>
              <w:right w:val="single" w:sz="4" w:space="0" w:color="808080"/>
            </w:tcBorders>
            <w:shd w:val="clear" w:color="000000" w:fill="C0C0C0"/>
            <w:vAlign w:val="bottom"/>
            <w:hideMark/>
          </w:tcPr>
          <w:p w:rsidR="00B0096F" w:rsidRPr="00A5308B" w:rsidRDefault="00B0096F" w:rsidP="00A5308B">
            <w:pPr>
              <w:spacing w:after="0"/>
              <w:rPr>
                <w:rFonts w:ascii="Arial Narrow" w:hAnsi="Arial Narrow" w:cs="Arial"/>
                <w:b/>
                <w:bCs/>
                <w:color w:val="000000"/>
                <w:lang w:eastAsia="en-AU"/>
              </w:rPr>
            </w:pPr>
            <w:r w:rsidRPr="00A5308B">
              <w:rPr>
                <w:rFonts w:ascii="Arial Narrow" w:hAnsi="Arial Narrow" w:cs="Arial"/>
                <w:b/>
                <w:bCs/>
                <w:color w:val="000000"/>
                <w:lang w:eastAsia="en-AU"/>
              </w:rPr>
              <w:t>Regional Cities</w:t>
            </w:r>
          </w:p>
        </w:tc>
        <w:tc>
          <w:tcPr>
            <w:tcW w:w="567" w:type="dxa"/>
            <w:tcBorders>
              <w:top w:val="nil"/>
              <w:left w:val="single" w:sz="4" w:space="0" w:color="D8D8D8"/>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Assessment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Residential</w:t>
            </w:r>
            <w:r w:rsidRPr="00A5308B">
              <w:rPr>
                <w:rFonts w:ascii="Arial Narrow" w:hAnsi="Arial Narrow" w:cs="Arial"/>
                <w:color w:val="000000"/>
                <w:sz w:val="14"/>
                <w:szCs w:val="14"/>
                <w:lang w:eastAsia="en-AU"/>
              </w:rPr>
              <w:br/>
            </w:r>
            <w:r w:rsidR="00AC1EF1" w:rsidRPr="00A5308B">
              <w:rPr>
                <w:rFonts w:ascii="Arial Narrow" w:hAnsi="Arial Narrow" w:cs="Arial"/>
                <w:color w:val="000000"/>
                <w:sz w:val="14"/>
                <w:szCs w:val="14"/>
                <w:lang w:eastAsia="en-AU"/>
              </w:rPr>
              <w:t>Assessment</w:t>
            </w:r>
            <w:r w:rsidRPr="00A5308B">
              <w:rPr>
                <w:rFonts w:ascii="Arial Narrow" w:hAnsi="Arial Narrow" w:cs="Arial"/>
                <w:color w:val="000000"/>
                <w:sz w:val="14"/>
                <w:szCs w:val="14"/>
                <w:lang w:eastAsia="en-AU"/>
              </w:rPr>
              <w:t xml:space="preserve">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Assessment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Residential</w:t>
            </w:r>
            <w:r w:rsidRPr="00A5308B">
              <w:rPr>
                <w:rFonts w:ascii="Arial Narrow" w:hAnsi="Arial Narrow" w:cs="Arial"/>
                <w:color w:val="000000"/>
                <w:sz w:val="14"/>
                <w:szCs w:val="14"/>
                <w:lang w:eastAsia="en-AU"/>
              </w:rPr>
              <w:br/>
            </w:r>
            <w:r w:rsidR="00AC1EF1" w:rsidRPr="00A5308B">
              <w:rPr>
                <w:rFonts w:ascii="Arial Narrow" w:hAnsi="Arial Narrow" w:cs="Arial"/>
                <w:color w:val="000000"/>
                <w:sz w:val="14"/>
                <w:szCs w:val="14"/>
                <w:lang w:eastAsia="en-AU"/>
              </w:rPr>
              <w:t>Assessment</w:t>
            </w:r>
            <w:r w:rsidRPr="00A5308B">
              <w:rPr>
                <w:rFonts w:ascii="Arial Narrow" w:hAnsi="Arial Narrow" w:cs="Arial"/>
                <w:color w:val="000000"/>
                <w:sz w:val="14"/>
                <w:szCs w:val="14"/>
                <w:lang w:eastAsia="en-AU"/>
              </w:rPr>
              <w:t xml:space="preserve">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Assessment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Residential</w:t>
            </w:r>
            <w:r w:rsidRPr="00A5308B">
              <w:rPr>
                <w:rFonts w:ascii="Arial Narrow" w:hAnsi="Arial Narrow" w:cs="Arial"/>
                <w:color w:val="000000"/>
                <w:sz w:val="14"/>
                <w:szCs w:val="14"/>
                <w:lang w:eastAsia="en-AU"/>
              </w:rPr>
              <w:br/>
            </w:r>
            <w:r w:rsidR="00AC1EF1" w:rsidRPr="00A5308B">
              <w:rPr>
                <w:rFonts w:ascii="Arial Narrow" w:hAnsi="Arial Narrow" w:cs="Arial"/>
                <w:color w:val="000000"/>
                <w:sz w:val="14"/>
                <w:szCs w:val="14"/>
                <w:lang w:eastAsia="en-AU"/>
              </w:rPr>
              <w:t>Assessment</w:t>
            </w:r>
            <w:r w:rsidRPr="00A5308B">
              <w:rPr>
                <w:rFonts w:ascii="Arial Narrow" w:hAnsi="Arial Narrow" w:cs="Arial"/>
                <w:color w:val="000000"/>
                <w:sz w:val="14"/>
                <w:szCs w:val="14"/>
                <w:lang w:eastAsia="en-AU"/>
              </w:rPr>
              <w:t xml:space="preserve">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Assessment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Residential</w:t>
            </w:r>
            <w:r w:rsidRPr="00A5308B">
              <w:rPr>
                <w:rFonts w:ascii="Arial Narrow" w:hAnsi="Arial Narrow" w:cs="Arial"/>
                <w:color w:val="000000"/>
                <w:sz w:val="14"/>
                <w:szCs w:val="14"/>
                <w:lang w:eastAsia="en-AU"/>
              </w:rPr>
              <w:br/>
            </w:r>
            <w:r w:rsidR="00AC1EF1" w:rsidRPr="00A5308B">
              <w:rPr>
                <w:rFonts w:ascii="Arial Narrow" w:hAnsi="Arial Narrow" w:cs="Arial"/>
                <w:color w:val="000000"/>
                <w:sz w:val="14"/>
                <w:szCs w:val="14"/>
                <w:lang w:eastAsia="en-AU"/>
              </w:rPr>
              <w:t>Assessment</w:t>
            </w:r>
            <w:r w:rsidRPr="00A5308B">
              <w:rPr>
                <w:rFonts w:ascii="Arial Narrow" w:hAnsi="Arial Narrow" w:cs="Arial"/>
                <w:color w:val="000000"/>
                <w:sz w:val="14"/>
                <w:szCs w:val="14"/>
                <w:lang w:eastAsia="en-AU"/>
              </w:rPr>
              <w:t xml:space="preserve">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Assessment $</w:t>
            </w:r>
          </w:p>
        </w:tc>
        <w:tc>
          <w:tcPr>
            <w:tcW w:w="567" w:type="dxa"/>
            <w:tcBorders>
              <w:top w:val="nil"/>
              <w:left w:val="nil"/>
              <w:bottom w:val="single" w:sz="4" w:space="0" w:color="D8D8D8"/>
              <w:right w:val="single" w:sz="4" w:space="0" w:color="D8D8D8"/>
            </w:tcBorders>
            <w:shd w:val="clear" w:color="000000" w:fill="C0C0C0"/>
            <w:textDirection w:val="btLr"/>
            <w:vAlign w:val="bottom"/>
            <w:hideMark/>
          </w:tcPr>
          <w:p w:rsidR="00B0096F" w:rsidRPr="00A5308B" w:rsidRDefault="00B0096F" w:rsidP="00410915">
            <w:pPr>
              <w:spacing w:after="0"/>
              <w:rPr>
                <w:rFonts w:ascii="Arial Narrow" w:hAnsi="Arial Narrow" w:cs="Arial"/>
                <w:color w:val="000000"/>
                <w:sz w:val="14"/>
                <w:szCs w:val="14"/>
                <w:lang w:eastAsia="en-AU"/>
              </w:rPr>
            </w:pPr>
            <w:r w:rsidRPr="00A5308B">
              <w:rPr>
                <w:rFonts w:ascii="Arial Narrow" w:hAnsi="Arial Narrow" w:cs="Arial"/>
                <w:color w:val="000000"/>
                <w:sz w:val="14"/>
                <w:szCs w:val="14"/>
                <w:lang w:eastAsia="en-AU"/>
              </w:rPr>
              <w:t>per Residential Assessment $</w:t>
            </w:r>
          </w:p>
        </w:tc>
        <w:tc>
          <w:tcPr>
            <w:tcW w:w="1134" w:type="dxa"/>
            <w:vMerge/>
            <w:tcBorders>
              <w:top w:val="single" w:sz="4" w:space="0" w:color="D8D8D8"/>
              <w:left w:val="single" w:sz="4" w:space="0" w:color="D8D8D8"/>
              <w:bottom w:val="single" w:sz="4" w:space="0" w:color="D8D8D8"/>
              <w:right w:val="single" w:sz="4" w:space="0" w:color="D8D8D8"/>
            </w:tcBorders>
            <w:vAlign w:val="center"/>
            <w:hideMark/>
          </w:tcPr>
          <w:p w:rsidR="00B0096F" w:rsidRPr="00A5308B" w:rsidRDefault="00B0096F" w:rsidP="00A5308B">
            <w:pPr>
              <w:spacing w:after="0"/>
              <w:rPr>
                <w:rFonts w:ascii="Arial Narrow" w:hAnsi="Arial Narrow" w:cs="Arial"/>
                <w:b/>
                <w:bCs/>
                <w:color w:val="000000"/>
                <w:sz w:val="14"/>
                <w:szCs w:val="14"/>
                <w:lang w:eastAsia="en-AU"/>
              </w:rPr>
            </w:pPr>
          </w:p>
        </w:tc>
        <w:tc>
          <w:tcPr>
            <w:tcW w:w="1134" w:type="dxa"/>
            <w:vMerge/>
            <w:tcBorders>
              <w:top w:val="nil"/>
              <w:left w:val="single" w:sz="4" w:space="0" w:color="D8D8D8"/>
              <w:bottom w:val="single" w:sz="4" w:space="0" w:color="D8D8D8"/>
              <w:right w:val="single" w:sz="4" w:space="0" w:color="D8D8D8"/>
            </w:tcBorders>
            <w:vAlign w:val="center"/>
            <w:hideMark/>
          </w:tcPr>
          <w:p w:rsidR="00B0096F" w:rsidRPr="00A5308B" w:rsidRDefault="00B0096F" w:rsidP="00A5308B">
            <w:pPr>
              <w:spacing w:after="0"/>
              <w:rPr>
                <w:rFonts w:ascii="Arial Narrow" w:hAnsi="Arial Narrow" w:cs="Arial"/>
                <w:b/>
                <w:bCs/>
                <w:color w:val="000000"/>
                <w:sz w:val="14"/>
                <w:szCs w:val="14"/>
                <w:lang w:eastAsia="en-AU"/>
              </w:rPr>
            </w:pP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Wodonga</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1,507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1,310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1,372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1,615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1,375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1,735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1,466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1,877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1,569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7.0%</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19.8%</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Horsham</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1,139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1,211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1,233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1,303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1,409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1,434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1,527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1,358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-5.3%</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19.2%</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Wangaratta</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1,204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1,060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1,290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1,124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1,338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1,165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1,398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1,228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1,490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1,278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4.1%</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20.6%</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Warrnambool</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1,282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1,102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1,367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1,218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1,438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1,542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1,388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1,655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1,389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0.1%</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26.0%</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Latrobe</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1,289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1,022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1,351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1,032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1,402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1,483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1,159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1,582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1,250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7.9%</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22.3%</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b/>
                <w:bCs/>
                <w:color w:val="000000"/>
                <w:lang w:eastAsia="en-AU"/>
              </w:rPr>
            </w:pPr>
            <w:r w:rsidRPr="00A5308B">
              <w:rPr>
                <w:rFonts w:ascii="Arial Narrow" w:hAnsi="Arial Narrow" w:cs="Arial"/>
                <w:b/>
                <w:bCs/>
                <w:color w:val="000000"/>
                <w:lang w:eastAsia="en-AU"/>
              </w:rPr>
              <w:t>Greater Geelong</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1,157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977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1,227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1,028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1,293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1,079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1,347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1,129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1,423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1,182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4.7%</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21.0%</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Ballarat</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1,229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955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1,348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1,016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1,410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1,061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1,454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1,125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1,561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1,193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6.0%</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24.9%</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Greater Bendigo</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1,140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906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1,197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996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1,344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1,098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1,332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1,131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1,404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1,218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7.7%</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A24880">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34.4%</w:t>
            </w:r>
          </w:p>
        </w:tc>
      </w:tr>
      <w:tr w:rsidR="00B0096F" w:rsidRPr="00A5308B" w:rsidTr="00AC1EF1">
        <w:trPr>
          <w:trHeight w:val="300"/>
        </w:trPr>
        <w:tc>
          <w:tcPr>
            <w:tcW w:w="10076" w:type="dxa"/>
            <w:gridSpan w:val="13"/>
            <w:tcBorders>
              <w:top w:val="single" w:sz="4" w:space="0" w:color="D8D8D8"/>
              <w:left w:val="single" w:sz="4" w:space="0" w:color="D8D8D8"/>
              <w:bottom w:val="single" w:sz="4" w:space="0" w:color="D8D8D8"/>
              <w:right w:val="single" w:sz="4" w:space="0" w:color="808080"/>
            </w:tcBorders>
            <w:shd w:val="clear" w:color="000000" w:fill="C0C0C0"/>
            <w:noWrap/>
            <w:vAlign w:val="bottom"/>
            <w:hideMark/>
          </w:tcPr>
          <w:p w:rsidR="00B0096F" w:rsidRPr="00A5308B" w:rsidRDefault="00183305" w:rsidP="00183305">
            <w:pPr>
              <w:spacing w:after="0"/>
              <w:rPr>
                <w:rFonts w:ascii="Arial Narrow" w:hAnsi="Arial Narrow" w:cs="Arial"/>
                <w:b/>
                <w:bCs/>
                <w:color w:val="000000"/>
                <w:lang w:eastAsia="en-AU"/>
              </w:rPr>
            </w:pPr>
            <w:r>
              <w:rPr>
                <w:rFonts w:ascii="Arial Narrow" w:hAnsi="Arial Narrow" w:cs="Arial"/>
                <w:b/>
                <w:bCs/>
                <w:color w:val="000000"/>
                <w:lang w:eastAsia="en-AU"/>
              </w:rPr>
              <w:t>Neighbouring Councils</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Borough of Queenscliffe</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1,419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1,354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1,529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1,483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1,597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1,542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1,693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1,626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1,770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1,711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5.2%</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26.4%</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SurfCoast</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1,384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1,326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1,487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1,589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1,698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1,638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1,804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1,749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6.8%</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31.9%</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Wyndham</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1,080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1,344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1,087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1,476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1,582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1,168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1,668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1,258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7.7%</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16.5%</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Golden Plains</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975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886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1,068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929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1,150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1,063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1,306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1,200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1,402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1,268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5.7%</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43.1%</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Colac Otway</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1,151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1,090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1,228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1,000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1,288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1,031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1,400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1,151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1,474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1,222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6.2%</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12.1%</w:t>
            </w:r>
          </w:p>
        </w:tc>
      </w:tr>
      <w:tr w:rsidR="00B0096F" w:rsidRPr="00A5308B" w:rsidTr="00AC1EF1">
        <w:trPr>
          <w:trHeight w:val="300"/>
        </w:trPr>
        <w:tc>
          <w:tcPr>
            <w:tcW w:w="10076" w:type="dxa"/>
            <w:gridSpan w:val="13"/>
            <w:tcBorders>
              <w:top w:val="single" w:sz="4" w:space="0" w:color="D8D8D8"/>
              <w:left w:val="single" w:sz="4" w:space="0" w:color="D8D8D8"/>
              <w:bottom w:val="single" w:sz="4" w:space="0" w:color="D8D8D8"/>
              <w:right w:val="single" w:sz="4" w:space="0" w:color="808080"/>
            </w:tcBorders>
            <w:shd w:val="clear" w:color="000000" w:fill="C0C0C0"/>
            <w:noWrap/>
            <w:vAlign w:val="bottom"/>
            <w:hideMark/>
          </w:tcPr>
          <w:p w:rsidR="00B0096F" w:rsidRPr="00A5308B" w:rsidRDefault="00B0096F" w:rsidP="00A5308B">
            <w:pPr>
              <w:spacing w:after="0"/>
              <w:rPr>
                <w:rFonts w:ascii="Arial Narrow" w:hAnsi="Arial Narrow" w:cs="Arial"/>
                <w:b/>
                <w:bCs/>
                <w:color w:val="000000"/>
                <w:lang w:eastAsia="en-AU"/>
              </w:rPr>
            </w:pPr>
            <w:r w:rsidRPr="00A5308B">
              <w:rPr>
                <w:rFonts w:ascii="Arial Narrow" w:hAnsi="Arial Narrow" w:cs="Arial"/>
                <w:b/>
                <w:bCs/>
                <w:color w:val="000000"/>
                <w:lang w:eastAsia="en-AU"/>
              </w:rPr>
              <w:t>Metropolitan Councils</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Maribyrnong</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1,496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1,174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1,616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1,288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1,687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1,341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1,812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1,442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1,911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1,523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5.6%</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29.7%</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Whittlesea</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1,238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975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1,312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1,308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1,058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1,413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1,114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1,367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1,166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4.7%</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19.6%</w:t>
            </w:r>
          </w:p>
        </w:tc>
      </w:tr>
      <w:tr w:rsidR="00AC1EF1" w:rsidRPr="00A5308B" w:rsidTr="00AC1EF1">
        <w:trPr>
          <w:trHeight w:val="300"/>
        </w:trPr>
        <w:tc>
          <w:tcPr>
            <w:tcW w:w="2138" w:type="dxa"/>
            <w:tcBorders>
              <w:top w:val="nil"/>
              <w:left w:val="single" w:sz="4" w:space="0" w:color="D8D8D8"/>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lang w:eastAsia="en-AU"/>
              </w:rPr>
            </w:pPr>
            <w:r w:rsidRPr="00A5308B">
              <w:rPr>
                <w:rFonts w:ascii="Arial Narrow" w:hAnsi="Arial Narrow" w:cs="Arial"/>
                <w:color w:val="000000"/>
                <w:lang w:eastAsia="en-AU"/>
              </w:rPr>
              <w:t>City of Port Phillip</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1,178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   966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1,230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1,017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1,258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1,068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1,310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1,131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1,391 </w:t>
            </w:r>
          </w:p>
        </w:tc>
        <w:tc>
          <w:tcPr>
            <w:tcW w:w="567"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A24880">
            <w:pPr>
              <w:spacing w:after="0"/>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 xml:space="preserve">1,199 </w:t>
            </w:r>
          </w:p>
        </w:tc>
        <w:tc>
          <w:tcPr>
            <w:tcW w:w="1134" w:type="dxa"/>
            <w:tcBorders>
              <w:top w:val="nil"/>
              <w:left w:val="nil"/>
              <w:bottom w:val="single" w:sz="4" w:space="0" w:color="D8D8D8"/>
              <w:right w:val="single" w:sz="4" w:space="0" w:color="808080"/>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6.0%</w:t>
            </w:r>
          </w:p>
        </w:tc>
        <w:tc>
          <w:tcPr>
            <w:tcW w:w="1134" w:type="dxa"/>
            <w:tcBorders>
              <w:top w:val="nil"/>
              <w:left w:val="nil"/>
              <w:bottom w:val="single" w:sz="4" w:space="0" w:color="D8D8D8"/>
              <w:right w:val="single" w:sz="4" w:space="0" w:color="D8D8D8"/>
            </w:tcBorders>
            <w:shd w:val="clear" w:color="000000" w:fill="FFFFFF"/>
            <w:noWrap/>
            <w:vAlign w:val="center"/>
            <w:hideMark/>
          </w:tcPr>
          <w:p w:rsidR="00B0096F" w:rsidRPr="00A5308B" w:rsidRDefault="00B0096F" w:rsidP="00D5431E">
            <w:pPr>
              <w:spacing w:after="0"/>
              <w:jc w:val="right"/>
              <w:rPr>
                <w:rFonts w:ascii="Arial Narrow" w:hAnsi="Arial Narrow" w:cs="Arial"/>
                <w:color w:val="000000"/>
                <w:sz w:val="16"/>
                <w:szCs w:val="16"/>
                <w:lang w:eastAsia="en-AU"/>
              </w:rPr>
            </w:pPr>
            <w:r w:rsidRPr="00A5308B">
              <w:rPr>
                <w:rFonts w:ascii="Arial Narrow" w:hAnsi="Arial Narrow" w:cs="Arial"/>
                <w:color w:val="000000"/>
                <w:sz w:val="16"/>
                <w:szCs w:val="16"/>
                <w:lang w:eastAsia="en-AU"/>
              </w:rPr>
              <w:t>24.1%</w:t>
            </w:r>
          </w:p>
        </w:tc>
      </w:tr>
      <w:tr w:rsidR="00B0096F" w:rsidRPr="00A5308B" w:rsidTr="00AC1EF1">
        <w:trPr>
          <w:trHeight w:val="300"/>
        </w:trPr>
        <w:tc>
          <w:tcPr>
            <w:tcW w:w="6674" w:type="dxa"/>
            <w:gridSpan w:val="9"/>
            <w:tcBorders>
              <w:top w:val="nil"/>
              <w:left w:val="nil"/>
              <w:bottom w:val="nil"/>
              <w:right w:val="nil"/>
            </w:tcBorders>
            <w:shd w:val="clear" w:color="000000" w:fill="FFFFFF"/>
            <w:noWrap/>
            <w:vAlign w:val="bottom"/>
            <w:hideMark/>
          </w:tcPr>
          <w:p w:rsidR="00B0096F" w:rsidRPr="00A5308B" w:rsidRDefault="00B0096F" w:rsidP="00A5308B">
            <w:pPr>
              <w:spacing w:after="0"/>
              <w:rPr>
                <w:rFonts w:ascii="Arial Narrow" w:hAnsi="Arial Narrow" w:cs="Arial"/>
                <w:i/>
                <w:iCs/>
                <w:color w:val="000000"/>
                <w:sz w:val="16"/>
                <w:szCs w:val="16"/>
                <w:lang w:eastAsia="en-AU"/>
              </w:rPr>
            </w:pPr>
            <w:r w:rsidRPr="00A5308B">
              <w:rPr>
                <w:rFonts w:ascii="Arial Narrow" w:hAnsi="Arial Narrow" w:cs="Arial"/>
                <w:i/>
                <w:iCs/>
                <w:color w:val="000000"/>
                <w:sz w:val="16"/>
                <w:szCs w:val="16"/>
                <w:vertAlign w:val="superscript"/>
                <w:lang w:eastAsia="en-AU"/>
              </w:rPr>
              <w:t xml:space="preserve">1 </w:t>
            </w:r>
            <w:r w:rsidRPr="00A5308B">
              <w:rPr>
                <w:rFonts w:ascii="Arial Narrow" w:hAnsi="Arial Narrow" w:cs="Arial"/>
                <w:i/>
                <w:iCs/>
                <w:color w:val="000000"/>
                <w:sz w:val="16"/>
                <w:szCs w:val="16"/>
                <w:lang w:eastAsia="en-AU"/>
              </w:rPr>
              <w:t>Figures Include: Rates, Municipal Charge &amp; Garbage Charge</w:t>
            </w:r>
          </w:p>
        </w:tc>
        <w:tc>
          <w:tcPr>
            <w:tcW w:w="567" w:type="dxa"/>
            <w:tcBorders>
              <w:top w:val="nil"/>
              <w:left w:val="nil"/>
              <w:bottom w:val="nil"/>
              <w:right w:val="nil"/>
            </w:tcBorders>
            <w:shd w:val="clear" w:color="000000" w:fill="FFFFFF"/>
            <w:noWrap/>
            <w:vAlign w:val="bottom"/>
            <w:hideMark/>
          </w:tcPr>
          <w:p w:rsidR="00B0096F" w:rsidRPr="00A5308B" w:rsidRDefault="00B0096F" w:rsidP="00A5308B">
            <w:pPr>
              <w:spacing w:after="0"/>
              <w:rPr>
                <w:rFonts w:ascii="Arial Narrow" w:hAnsi="Arial Narrow" w:cs="Arial"/>
                <w:color w:val="000000"/>
                <w:lang w:eastAsia="en-AU"/>
              </w:rPr>
            </w:pPr>
            <w:r w:rsidRPr="00A5308B">
              <w:rPr>
                <w:rFonts w:ascii="Arial Narrow" w:hAnsi="Arial Narrow" w:cs="Arial"/>
                <w:color w:val="000000"/>
                <w:lang w:eastAsia="en-AU"/>
              </w:rPr>
              <w:t> </w:t>
            </w:r>
          </w:p>
        </w:tc>
        <w:tc>
          <w:tcPr>
            <w:tcW w:w="567" w:type="dxa"/>
            <w:tcBorders>
              <w:top w:val="nil"/>
              <w:left w:val="nil"/>
              <w:bottom w:val="nil"/>
              <w:right w:val="nil"/>
            </w:tcBorders>
            <w:shd w:val="clear" w:color="000000" w:fill="FFFFFF"/>
            <w:noWrap/>
            <w:vAlign w:val="bottom"/>
            <w:hideMark/>
          </w:tcPr>
          <w:p w:rsidR="00B0096F" w:rsidRPr="00A5308B" w:rsidRDefault="00B0096F" w:rsidP="00A5308B">
            <w:pPr>
              <w:spacing w:after="0"/>
              <w:rPr>
                <w:rFonts w:ascii="Arial Narrow" w:hAnsi="Arial Narrow" w:cs="Arial"/>
                <w:color w:val="000000"/>
                <w:lang w:eastAsia="en-AU"/>
              </w:rPr>
            </w:pPr>
            <w:r w:rsidRPr="00A5308B">
              <w:rPr>
                <w:rFonts w:ascii="Arial Narrow" w:hAnsi="Arial Narrow" w:cs="Arial"/>
                <w:color w:val="000000"/>
                <w:lang w:eastAsia="en-AU"/>
              </w:rPr>
              <w:t> </w:t>
            </w:r>
          </w:p>
        </w:tc>
        <w:tc>
          <w:tcPr>
            <w:tcW w:w="1134" w:type="dxa"/>
            <w:tcBorders>
              <w:top w:val="nil"/>
              <w:left w:val="nil"/>
              <w:bottom w:val="nil"/>
              <w:right w:val="nil"/>
            </w:tcBorders>
            <w:shd w:val="clear" w:color="000000" w:fill="FFFFFF"/>
            <w:noWrap/>
            <w:vAlign w:val="bottom"/>
            <w:hideMark/>
          </w:tcPr>
          <w:p w:rsidR="00B0096F" w:rsidRPr="00A5308B" w:rsidRDefault="00B0096F" w:rsidP="00A5308B">
            <w:pPr>
              <w:spacing w:after="0"/>
              <w:rPr>
                <w:rFonts w:ascii="Arial Narrow" w:hAnsi="Arial Narrow" w:cs="Arial"/>
                <w:color w:val="000000"/>
                <w:lang w:eastAsia="en-AU"/>
              </w:rPr>
            </w:pPr>
            <w:r w:rsidRPr="00A5308B">
              <w:rPr>
                <w:rFonts w:ascii="Arial Narrow" w:hAnsi="Arial Narrow" w:cs="Arial"/>
                <w:color w:val="000000"/>
                <w:lang w:eastAsia="en-AU"/>
              </w:rPr>
              <w:t> </w:t>
            </w:r>
          </w:p>
        </w:tc>
        <w:tc>
          <w:tcPr>
            <w:tcW w:w="1134" w:type="dxa"/>
            <w:tcBorders>
              <w:top w:val="nil"/>
              <w:left w:val="nil"/>
              <w:bottom w:val="nil"/>
              <w:right w:val="nil"/>
            </w:tcBorders>
            <w:shd w:val="clear" w:color="000000" w:fill="FFFFFF"/>
            <w:noWrap/>
            <w:vAlign w:val="bottom"/>
            <w:hideMark/>
          </w:tcPr>
          <w:p w:rsidR="00B0096F" w:rsidRPr="00A5308B" w:rsidRDefault="00B0096F" w:rsidP="00A5308B">
            <w:pPr>
              <w:spacing w:after="0"/>
              <w:rPr>
                <w:rFonts w:ascii="Arial Narrow" w:hAnsi="Arial Narrow" w:cs="Arial"/>
                <w:color w:val="000000"/>
                <w:lang w:eastAsia="en-AU"/>
              </w:rPr>
            </w:pPr>
            <w:r w:rsidRPr="00A5308B">
              <w:rPr>
                <w:rFonts w:ascii="Arial Narrow" w:hAnsi="Arial Narrow" w:cs="Arial"/>
                <w:color w:val="000000"/>
                <w:lang w:eastAsia="en-AU"/>
              </w:rPr>
              <w:t> </w:t>
            </w:r>
          </w:p>
        </w:tc>
      </w:tr>
    </w:tbl>
    <w:p w:rsidR="00EA1F5E" w:rsidRDefault="00EA1F5E" w:rsidP="00A24906">
      <w:pPr>
        <w:spacing w:after="0"/>
        <w:jc w:val="both"/>
        <w:rPr>
          <w:rFonts w:cs="Arial"/>
        </w:rPr>
      </w:pPr>
    </w:p>
    <w:p w:rsidR="00CB2603" w:rsidRDefault="00CB2603" w:rsidP="00B17170">
      <w:pPr>
        <w:spacing w:after="160"/>
        <w:jc w:val="both"/>
        <w:rPr>
          <w:rFonts w:cs="Arial"/>
        </w:rPr>
      </w:pPr>
      <w:r>
        <w:rPr>
          <w:rFonts w:cs="Arial"/>
        </w:rPr>
        <w:t xml:space="preserve">The table indicates that Council’s average residential assessment </w:t>
      </w:r>
      <w:r w:rsidR="00C6273D">
        <w:rPr>
          <w:rFonts w:cs="Arial"/>
        </w:rPr>
        <w:t xml:space="preserve">compares favourably to other </w:t>
      </w:r>
      <w:r w:rsidR="004D38B0">
        <w:rPr>
          <w:rFonts w:cs="Arial"/>
        </w:rPr>
        <w:t>r</w:t>
      </w:r>
      <w:r w:rsidR="00E47BD8">
        <w:rPr>
          <w:rFonts w:cs="Arial"/>
        </w:rPr>
        <w:t xml:space="preserve">egional </w:t>
      </w:r>
      <w:r w:rsidR="004D38B0">
        <w:rPr>
          <w:rFonts w:cs="Arial"/>
        </w:rPr>
        <w:t>c</w:t>
      </w:r>
      <w:r w:rsidR="00E47BD8">
        <w:rPr>
          <w:rFonts w:cs="Arial"/>
        </w:rPr>
        <w:t>ities,</w:t>
      </w:r>
      <w:r>
        <w:rPr>
          <w:rFonts w:cs="Arial"/>
        </w:rPr>
        <w:t xml:space="preserve"> and is </w:t>
      </w:r>
      <w:r w:rsidR="00E47BD8">
        <w:rPr>
          <w:rFonts w:cs="Arial"/>
        </w:rPr>
        <w:t>in the</w:t>
      </w:r>
      <w:r>
        <w:rPr>
          <w:rFonts w:cs="Arial"/>
        </w:rPr>
        <w:t xml:space="preserve"> lowe</w:t>
      </w:r>
      <w:r w:rsidR="00E47BD8">
        <w:rPr>
          <w:rFonts w:cs="Arial"/>
        </w:rPr>
        <w:t>r</w:t>
      </w:r>
      <w:r>
        <w:rPr>
          <w:rFonts w:cs="Arial"/>
        </w:rPr>
        <w:t xml:space="preserve"> </w:t>
      </w:r>
      <w:r w:rsidR="00E47BD8">
        <w:rPr>
          <w:rFonts w:cs="Arial"/>
        </w:rPr>
        <w:t xml:space="preserve">half of </w:t>
      </w:r>
      <w:r>
        <w:rPr>
          <w:rFonts w:cs="Arial"/>
        </w:rPr>
        <w:t>residential movement</w:t>
      </w:r>
      <w:r w:rsidR="00E47BD8">
        <w:rPr>
          <w:rFonts w:cs="Arial"/>
        </w:rPr>
        <w:t>s</w:t>
      </w:r>
      <w:r>
        <w:rPr>
          <w:rFonts w:cs="Arial"/>
        </w:rPr>
        <w:t xml:space="preserve"> over the last </w:t>
      </w:r>
      <w:r w:rsidR="004D38B0">
        <w:rPr>
          <w:rFonts w:cs="Arial"/>
        </w:rPr>
        <w:t>five</w:t>
      </w:r>
      <w:r>
        <w:rPr>
          <w:rFonts w:cs="Arial"/>
        </w:rPr>
        <w:t xml:space="preserve"> years.</w:t>
      </w:r>
    </w:p>
    <w:p w:rsidR="00F513C1" w:rsidRPr="006E4BED" w:rsidRDefault="00F513C1" w:rsidP="006E4BED">
      <w:pPr>
        <w:spacing w:before="80"/>
        <w:jc w:val="both"/>
        <w:rPr>
          <w:rFonts w:cs="Arial"/>
          <w:i/>
          <w:sz w:val="24"/>
          <w:szCs w:val="24"/>
        </w:rPr>
      </w:pPr>
      <w:r w:rsidRPr="006E4BED">
        <w:rPr>
          <w:rFonts w:cs="Arial"/>
          <w:i/>
          <w:sz w:val="24"/>
          <w:szCs w:val="24"/>
        </w:rPr>
        <w:t>Cost Indicators – Local Government Index</w:t>
      </w:r>
    </w:p>
    <w:tbl>
      <w:tblPr>
        <w:tblW w:w="9223" w:type="dxa"/>
        <w:tblInd w:w="96" w:type="dxa"/>
        <w:tblLook w:val="04A0"/>
      </w:tblPr>
      <w:tblGrid>
        <w:gridCol w:w="1001"/>
        <w:gridCol w:w="1026"/>
        <w:gridCol w:w="1026"/>
        <w:gridCol w:w="1040"/>
        <w:gridCol w:w="4090"/>
        <w:gridCol w:w="1040"/>
      </w:tblGrid>
      <w:tr w:rsidR="00F513C1" w:rsidRPr="00022B9B" w:rsidTr="00EA1F5E">
        <w:trPr>
          <w:trHeight w:val="315"/>
        </w:trPr>
        <w:tc>
          <w:tcPr>
            <w:tcW w:w="8183" w:type="dxa"/>
            <w:gridSpan w:val="5"/>
            <w:tcBorders>
              <w:top w:val="nil"/>
              <w:left w:val="nil"/>
              <w:bottom w:val="nil"/>
              <w:right w:val="nil"/>
            </w:tcBorders>
            <w:shd w:val="clear" w:color="auto" w:fill="auto"/>
            <w:noWrap/>
            <w:vAlign w:val="bottom"/>
            <w:hideMark/>
          </w:tcPr>
          <w:p w:rsidR="00F513C1" w:rsidRPr="004F0FA1" w:rsidRDefault="00F513C1" w:rsidP="00AC1EF1">
            <w:pPr>
              <w:spacing w:after="0"/>
              <w:ind w:left="-96"/>
              <w:rPr>
                <w:rFonts w:ascii="Arial Narrow" w:hAnsi="Arial Narrow" w:cs="Arial"/>
                <w:i/>
                <w:iCs/>
                <w:lang w:eastAsia="en-AU"/>
              </w:rPr>
            </w:pPr>
            <w:r w:rsidRPr="004F0FA1">
              <w:rPr>
                <w:rFonts w:ascii="Arial Narrow" w:hAnsi="Arial Narrow" w:cs="Arial"/>
                <w:i/>
                <w:iCs/>
                <w:lang w:eastAsia="en-AU"/>
              </w:rPr>
              <w:t>Movements in CPI &amp; LGCI (Source: MAV Local Government Cost Index 2012)</w:t>
            </w:r>
          </w:p>
        </w:tc>
        <w:tc>
          <w:tcPr>
            <w:tcW w:w="1040" w:type="dxa"/>
            <w:tcBorders>
              <w:top w:val="nil"/>
              <w:left w:val="nil"/>
              <w:bottom w:val="nil"/>
              <w:right w:val="nil"/>
            </w:tcBorders>
            <w:shd w:val="clear" w:color="auto" w:fill="auto"/>
            <w:noWrap/>
            <w:vAlign w:val="bottom"/>
            <w:hideMark/>
          </w:tcPr>
          <w:p w:rsidR="00F513C1" w:rsidRPr="004F0FA1" w:rsidRDefault="00F513C1" w:rsidP="00670FD3">
            <w:pPr>
              <w:spacing w:after="0"/>
              <w:rPr>
                <w:rFonts w:ascii="Arial Narrow" w:hAnsi="Arial Narrow" w:cs="Arial"/>
                <w:lang w:eastAsia="en-AU"/>
              </w:rPr>
            </w:pPr>
          </w:p>
        </w:tc>
      </w:tr>
      <w:tr w:rsidR="00EA1F5E" w:rsidRPr="00022B9B" w:rsidTr="00EA1F5E">
        <w:trPr>
          <w:gridAfter w:val="2"/>
          <w:wAfter w:w="5130" w:type="dxa"/>
          <w:trHeight w:val="390"/>
        </w:trPr>
        <w:tc>
          <w:tcPr>
            <w:tcW w:w="1001" w:type="dxa"/>
            <w:tcBorders>
              <w:top w:val="single" w:sz="4" w:space="0" w:color="C0C0C0"/>
              <w:left w:val="single" w:sz="4" w:space="0" w:color="C0C0C0"/>
              <w:bottom w:val="single" w:sz="4" w:space="0" w:color="C0C0C0"/>
              <w:right w:val="single" w:sz="4" w:space="0" w:color="C0C0C0"/>
            </w:tcBorders>
            <w:shd w:val="clear" w:color="000000" w:fill="C0C0C0"/>
            <w:noWrap/>
            <w:vAlign w:val="center"/>
            <w:hideMark/>
          </w:tcPr>
          <w:p w:rsidR="00EA1F5E" w:rsidRPr="004F0FA1" w:rsidRDefault="00EA1F5E" w:rsidP="00670FD3">
            <w:pPr>
              <w:spacing w:after="0"/>
              <w:rPr>
                <w:rFonts w:ascii="Arial Narrow" w:hAnsi="Arial Narrow" w:cs="Arial"/>
                <w:b/>
                <w:bCs/>
                <w:lang w:eastAsia="en-AU"/>
              </w:rPr>
            </w:pPr>
            <w:r w:rsidRPr="004F0FA1">
              <w:rPr>
                <w:rFonts w:ascii="Arial Narrow" w:hAnsi="Arial Narrow" w:cs="Arial"/>
                <w:b/>
                <w:bCs/>
                <w:lang w:eastAsia="en-AU"/>
              </w:rPr>
              <w:t>% Growth</w:t>
            </w:r>
          </w:p>
        </w:tc>
        <w:tc>
          <w:tcPr>
            <w:tcW w:w="1026" w:type="dxa"/>
            <w:tcBorders>
              <w:top w:val="nil"/>
              <w:left w:val="nil"/>
              <w:bottom w:val="single" w:sz="4" w:space="0" w:color="C0C0C0"/>
              <w:right w:val="single" w:sz="4" w:space="0" w:color="C0C0C0"/>
            </w:tcBorders>
            <w:shd w:val="clear" w:color="000000" w:fill="C0C0C0"/>
            <w:noWrap/>
            <w:vAlign w:val="center"/>
            <w:hideMark/>
          </w:tcPr>
          <w:p w:rsidR="00EA1F5E" w:rsidRPr="004F0FA1" w:rsidRDefault="00EA1F5E" w:rsidP="00670FD3">
            <w:pPr>
              <w:spacing w:after="0"/>
              <w:jc w:val="right"/>
              <w:rPr>
                <w:rFonts w:ascii="Arial Narrow" w:hAnsi="Arial Narrow" w:cs="Arial"/>
                <w:b/>
                <w:bCs/>
                <w:lang w:eastAsia="en-AU"/>
              </w:rPr>
            </w:pPr>
            <w:r w:rsidRPr="004F0FA1">
              <w:rPr>
                <w:rFonts w:ascii="Arial Narrow" w:hAnsi="Arial Narrow" w:cs="Arial"/>
                <w:b/>
                <w:bCs/>
                <w:lang w:eastAsia="en-AU"/>
              </w:rPr>
              <w:t>2010-2011</w:t>
            </w:r>
          </w:p>
        </w:tc>
        <w:tc>
          <w:tcPr>
            <w:tcW w:w="1026" w:type="dxa"/>
            <w:tcBorders>
              <w:top w:val="nil"/>
              <w:left w:val="nil"/>
              <w:bottom w:val="single" w:sz="4" w:space="0" w:color="C0C0C0"/>
              <w:right w:val="single" w:sz="4" w:space="0" w:color="C0C0C0"/>
            </w:tcBorders>
            <w:shd w:val="clear" w:color="000000" w:fill="C0C0C0"/>
            <w:noWrap/>
            <w:vAlign w:val="center"/>
            <w:hideMark/>
          </w:tcPr>
          <w:p w:rsidR="00EA1F5E" w:rsidRPr="004F0FA1" w:rsidRDefault="00EA1F5E" w:rsidP="00670FD3">
            <w:pPr>
              <w:spacing w:after="0"/>
              <w:jc w:val="right"/>
              <w:rPr>
                <w:rFonts w:ascii="Arial Narrow" w:hAnsi="Arial Narrow" w:cs="Arial"/>
                <w:b/>
                <w:bCs/>
                <w:lang w:eastAsia="en-AU"/>
              </w:rPr>
            </w:pPr>
            <w:r w:rsidRPr="004F0FA1">
              <w:rPr>
                <w:rFonts w:ascii="Arial Narrow" w:hAnsi="Arial Narrow" w:cs="Arial"/>
                <w:b/>
                <w:bCs/>
                <w:lang w:eastAsia="en-AU"/>
              </w:rPr>
              <w:t>2011-2012</w:t>
            </w:r>
          </w:p>
        </w:tc>
        <w:tc>
          <w:tcPr>
            <w:tcW w:w="1040" w:type="dxa"/>
            <w:tcBorders>
              <w:top w:val="nil"/>
              <w:left w:val="nil"/>
              <w:bottom w:val="single" w:sz="4" w:space="0" w:color="C0C0C0"/>
              <w:right w:val="single" w:sz="4" w:space="0" w:color="C0C0C0"/>
            </w:tcBorders>
            <w:shd w:val="clear" w:color="000000" w:fill="C0C0C0"/>
            <w:noWrap/>
            <w:vAlign w:val="center"/>
            <w:hideMark/>
          </w:tcPr>
          <w:p w:rsidR="00EA1F5E" w:rsidRPr="004F0FA1" w:rsidRDefault="00EA1F5E" w:rsidP="00670FD3">
            <w:pPr>
              <w:spacing w:after="0"/>
              <w:jc w:val="right"/>
              <w:rPr>
                <w:rFonts w:ascii="Arial Narrow" w:hAnsi="Arial Narrow" w:cs="Arial"/>
                <w:b/>
                <w:bCs/>
                <w:lang w:eastAsia="en-AU"/>
              </w:rPr>
            </w:pPr>
            <w:r w:rsidRPr="004F0FA1">
              <w:rPr>
                <w:rFonts w:ascii="Arial Narrow" w:hAnsi="Arial Narrow" w:cs="Arial"/>
                <w:b/>
                <w:bCs/>
                <w:lang w:eastAsia="en-AU"/>
              </w:rPr>
              <w:t>2012-2013</w:t>
            </w:r>
          </w:p>
        </w:tc>
      </w:tr>
      <w:tr w:rsidR="00EA1F5E" w:rsidRPr="00022B9B" w:rsidTr="00EA1F5E">
        <w:trPr>
          <w:gridAfter w:val="2"/>
          <w:wAfter w:w="5130" w:type="dxa"/>
          <w:trHeight w:val="390"/>
        </w:trPr>
        <w:tc>
          <w:tcPr>
            <w:tcW w:w="1001" w:type="dxa"/>
            <w:tcBorders>
              <w:top w:val="nil"/>
              <w:left w:val="single" w:sz="4" w:space="0" w:color="C0C0C0"/>
              <w:bottom w:val="single" w:sz="4" w:space="0" w:color="C0C0C0"/>
              <w:right w:val="single" w:sz="4" w:space="0" w:color="C0C0C0"/>
            </w:tcBorders>
            <w:shd w:val="clear" w:color="auto" w:fill="auto"/>
            <w:noWrap/>
            <w:vAlign w:val="center"/>
            <w:hideMark/>
          </w:tcPr>
          <w:p w:rsidR="00EA1F5E" w:rsidRPr="004F0FA1" w:rsidRDefault="00EA1F5E" w:rsidP="00670FD3">
            <w:pPr>
              <w:spacing w:after="0"/>
              <w:rPr>
                <w:rFonts w:ascii="Arial Narrow" w:hAnsi="Arial Narrow" w:cs="Arial"/>
                <w:lang w:eastAsia="en-AU"/>
              </w:rPr>
            </w:pPr>
            <w:r w:rsidRPr="004F0FA1">
              <w:rPr>
                <w:rFonts w:ascii="Arial Narrow" w:hAnsi="Arial Narrow" w:cs="Arial"/>
                <w:lang w:eastAsia="en-AU"/>
              </w:rPr>
              <w:t>CPI</w:t>
            </w:r>
          </w:p>
        </w:tc>
        <w:tc>
          <w:tcPr>
            <w:tcW w:w="1026"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670FD3">
            <w:pPr>
              <w:spacing w:after="0"/>
              <w:jc w:val="right"/>
              <w:rPr>
                <w:rFonts w:ascii="Arial Narrow" w:hAnsi="Arial Narrow" w:cs="Arial"/>
                <w:lang w:eastAsia="en-AU"/>
              </w:rPr>
            </w:pPr>
            <w:r w:rsidRPr="004F0FA1">
              <w:rPr>
                <w:rFonts w:ascii="Arial Narrow" w:hAnsi="Arial Narrow" w:cs="Arial"/>
                <w:lang w:eastAsia="en-AU"/>
              </w:rPr>
              <w:t>2.5%</w:t>
            </w:r>
          </w:p>
        </w:tc>
        <w:tc>
          <w:tcPr>
            <w:tcW w:w="1026"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670FD3">
            <w:pPr>
              <w:spacing w:after="0"/>
              <w:jc w:val="right"/>
              <w:rPr>
                <w:rFonts w:ascii="Arial Narrow" w:hAnsi="Arial Narrow" w:cs="Arial"/>
                <w:lang w:eastAsia="en-AU"/>
              </w:rPr>
            </w:pPr>
            <w:r w:rsidRPr="004F0FA1">
              <w:rPr>
                <w:rFonts w:ascii="Arial Narrow" w:hAnsi="Arial Narrow" w:cs="Arial"/>
                <w:lang w:eastAsia="en-AU"/>
              </w:rPr>
              <w:t>2.5%</w:t>
            </w:r>
          </w:p>
        </w:tc>
        <w:tc>
          <w:tcPr>
            <w:tcW w:w="1040"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EA1F5E">
            <w:pPr>
              <w:spacing w:after="0"/>
              <w:jc w:val="right"/>
              <w:rPr>
                <w:rFonts w:ascii="Arial Narrow" w:hAnsi="Arial Narrow" w:cs="Arial"/>
                <w:lang w:eastAsia="en-AU"/>
              </w:rPr>
            </w:pPr>
            <w:r>
              <w:rPr>
                <w:rFonts w:ascii="Arial Narrow" w:hAnsi="Arial Narrow" w:cs="Arial"/>
                <w:lang w:eastAsia="en-AU"/>
              </w:rPr>
              <w:t>3.7%</w:t>
            </w:r>
            <w:r w:rsidR="00A24906">
              <w:rPr>
                <w:rFonts w:ascii="Arial Narrow" w:hAnsi="Arial Narrow" w:cs="Arial"/>
                <w:lang w:eastAsia="en-AU"/>
              </w:rPr>
              <w:t>*</w:t>
            </w:r>
          </w:p>
        </w:tc>
      </w:tr>
      <w:tr w:rsidR="00EA1F5E" w:rsidRPr="00022B9B" w:rsidTr="00EA1F5E">
        <w:trPr>
          <w:gridAfter w:val="2"/>
          <w:wAfter w:w="5130" w:type="dxa"/>
          <w:trHeight w:val="390"/>
        </w:trPr>
        <w:tc>
          <w:tcPr>
            <w:tcW w:w="1001" w:type="dxa"/>
            <w:tcBorders>
              <w:top w:val="nil"/>
              <w:left w:val="single" w:sz="4" w:space="0" w:color="C0C0C0"/>
              <w:bottom w:val="single" w:sz="4" w:space="0" w:color="C0C0C0"/>
              <w:right w:val="single" w:sz="4" w:space="0" w:color="C0C0C0"/>
            </w:tcBorders>
            <w:shd w:val="clear" w:color="auto" w:fill="auto"/>
            <w:noWrap/>
            <w:vAlign w:val="center"/>
            <w:hideMark/>
          </w:tcPr>
          <w:p w:rsidR="00EA1F5E" w:rsidRPr="004F0FA1" w:rsidRDefault="00EA1F5E" w:rsidP="00670FD3">
            <w:pPr>
              <w:spacing w:after="0"/>
              <w:rPr>
                <w:rFonts w:ascii="Arial Narrow" w:hAnsi="Arial Narrow" w:cs="Arial"/>
                <w:lang w:eastAsia="en-AU"/>
              </w:rPr>
            </w:pPr>
            <w:r w:rsidRPr="004F0FA1">
              <w:rPr>
                <w:rFonts w:ascii="Arial Narrow" w:hAnsi="Arial Narrow" w:cs="Arial"/>
                <w:lang w:eastAsia="en-AU"/>
              </w:rPr>
              <w:t>LGCI</w:t>
            </w:r>
          </w:p>
        </w:tc>
        <w:tc>
          <w:tcPr>
            <w:tcW w:w="1026"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EA1F5E">
            <w:pPr>
              <w:spacing w:after="0"/>
              <w:jc w:val="right"/>
              <w:rPr>
                <w:rFonts w:ascii="Arial Narrow" w:hAnsi="Arial Narrow" w:cs="Arial"/>
                <w:lang w:eastAsia="en-AU"/>
              </w:rPr>
            </w:pPr>
            <w:r w:rsidRPr="004F0FA1">
              <w:rPr>
                <w:rFonts w:ascii="Arial Narrow" w:hAnsi="Arial Narrow" w:cs="Arial"/>
                <w:lang w:eastAsia="en-AU"/>
              </w:rPr>
              <w:t>3.</w:t>
            </w:r>
            <w:r>
              <w:rPr>
                <w:rFonts w:ascii="Arial Narrow" w:hAnsi="Arial Narrow" w:cs="Arial"/>
                <w:lang w:eastAsia="en-AU"/>
              </w:rPr>
              <w:t>5</w:t>
            </w:r>
            <w:r w:rsidRPr="004F0FA1">
              <w:rPr>
                <w:rFonts w:ascii="Arial Narrow" w:hAnsi="Arial Narrow" w:cs="Arial"/>
                <w:lang w:eastAsia="en-AU"/>
              </w:rPr>
              <w:t>%</w:t>
            </w:r>
          </w:p>
        </w:tc>
        <w:tc>
          <w:tcPr>
            <w:tcW w:w="1026"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EA1F5E">
            <w:pPr>
              <w:spacing w:after="0"/>
              <w:jc w:val="right"/>
              <w:rPr>
                <w:rFonts w:ascii="Arial Narrow" w:hAnsi="Arial Narrow" w:cs="Arial"/>
                <w:lang w:eastAsia="en-AU"/>
              </w:rPr>
            </w:pPr>
            <w:r w:rsidRPr="004F0FA1">
              <w:rPr>
                <w:rFonts w:ascii="Arial Narrow" w:hAnsi="Arial Narrow" w:cs="Arial"/>
                <w:lang w:eastAsia="en-AU"/>
              </w:rPr>
              <w:t>3.</w:t>
            </w:r>
            <w:r>
              <w:rPr>
                <w:rFonts w:ascii="Arial Narrow" w:hAnsi="Arial Narrow" w:cs="Arial"/>
                <w:lang w:eastAsia="en-AU"/>
              </w:rPr>
              <w:t>25</w:t>
            </w:r>
            <w:r w:rsidRPr="004F0FA1">
              <w:rPr>
                <w:rFonts w:ascii="Arial Narrow" w:hAnsi="Arial Narrow" w:cs="Arial"/>
                <w:lang w:eastAsia="en-AU"/>
              </w:rPr>
              <w:t>%</w:t>
            </w:r>
          </w:p>
        </w:tc>
        <w:tc>
          <w:tcPr>
            <w:tcW w:w="1040" w:type="dxa"/>
            <w:tcBorders>
              <w:top w:val="nil"/>
              <w:left w:val="nil"/>
              <w:bottom w:val="single" w:sz="4" w:space="0" w:color="C0C0C0"/>
              <w:right w:val="single" w:sz="4" w:space="0" w:color="C0C0C0"/>
            </w:tcBorders>
            <w:shd w:val="clear" w:color="auto" w:fill="auto"/>
            <w:noWrap/>
            <w:vAlign w:val="center"/>
            <w:hideMark/>
          </w:tcPr>
          <w:p w:rsidR="00EA1F5E" w:rsidRPr="004F0FA1" w:rsidRDefault="00EA1F5E" w:rsidP="00670FD3">
            <w:pPr>
              <w:spacing w:after="0"/>
              <w:jc w:val="right"/>
              <w:rPr>
                <w:rFonts w:ascii="Arial Narrow" w:hAnsi="Arial Narrow" w:cs="Arial"/>
                <w:lang w:eastAsia="en-AU"/>
              </w:rPr>
            </w:pPr>
            <w:r w:rsidRPr="004F0FA1">
              <w:rPr>
                <w:rFonts w:ascii="Arial Narrow" w:hAnsi="Arial Narrow" w:cs="Arial"/>
                <w:lang w:eastAsia="en-AU"/>
              </w:rPr>
              <w:t>3.9%</w:t>
            </w:r>
          </w:p>
        </w:tc>
      </w:tr>
    </w:tbl>
    <w:p w:rsidR="00A24906" w:rsidRDefault="00E96B74" w:rsidP="00F513C1">
      <w:pPr>
        <w:spacing w:after="120"/>
      </w:pPr>
      <w:r>
        <w:t>The MAV Local Government Cost Index is a Consumer Price Index (CPI) comparison that forecasts the change in costs to deliver goods and services provided by Victorian Local Government.</w:t>
      </w:r>
      <w:r w:rsidR="00EA1F5E">
        <w:t xml:space="preserve"> </w:t>
      </w:r>
    </w:p>
    <w:p w:rsidR="00E96B74" w:rsidRDefault="00A24906" w:rsidP="00F513C1">
      <w:pPr>
        <w:spacing w:after="120"/>
      </w:pPr>
      <w:r>
        <w:t>*</w:t>
      </w:r>
      <w:r w:rsidR="00EA1F5E">
        <w:t>The CPI increase for 2012-2013 is currently forecast at 2.5%. The LGCI is likely to be less than 3.9% given reduced impact of carbon tax.</w:t>
      </w:r>
    </w:p>
    <w:p w:rsidR="00E96B74" w:rsidRDefault="00E96B74" w:rsidP="00F513C1">
      <w:pPr>
        <w:spacing w:after="120"/>
      </w:pPr>
      <w:r>
        <w:lastRenderedPageBreak/>
        <w:t xml:space="preserve">Local </w:t>
      </w:r>
      <w:r w:rsidR="00B0096F">
        <w:t>G</w:t>
      </w:r>
      <w:r>
        <w:t>overnment expenses are different to household expenses. CPI measures price movements in a standard basket of common household goods and services. A ‘basket’ of common council services is primarily affected by the growth in construction, material and wage costs, not CPI.</w:t>
      </w:r>
    </w:p>
    <w:p w:rsidR="00E96B74" w:rsidRDefault="00E96B74" w:rsidP="00F513C1">
      <w:pPr>
        <w:spacing w:after="120"/>
      </w:pPr>
      <w:r>
        <w:t>The Local Government Cost Index uses a combination of established Government and industry indexes to reflect average wages, construction and material costs that best represent councils’ spending profile.</w:t>
      </w:r>
    </w:p>
    <w:p w:rsidR="00010848" w:rsidRDefault="00010848" w:rsidP="00A24880">
      <w:pPr>
        <w:tabs>
          <w:tab w:val="left" w:pos="284"/>
        </w:tabs>
        <w:rPr>
          <w:rFonts w:ascii="Arial Narrow" w:hAnsi="Arial Narrow" w:cs="Arial"/>
          <w:b/>
          <w:sz w:val="24"/>
          <w:szCs w:val="24"/>
        </w:rPr>
      </w:pPr>
    </w:p>
    <w:p w:rsidR="00777A28" w:rsidRDefault="00E5205E" w:rsidP="00A24880">
      <w:pPr>
        <w:tabs>
          <w:tab w:val="left" w:pos="284"/>
        </w:tabs>
        <w:rPr>
          <w:rFonts w:ascii="Arial Narrow" w:hAnsi="Arial Narrow" w:cs="Arial"/>
          <w:b/>
          <w:sz w:val="24"/>
          <w:szCs w:val="24"/>
        </w:rPr>
      </w:pPr>
      <w:r w:rsidRPr="00314A48">
        <w:rPr>
          <w:rFonts w:ascii="Arial Narrow" w:hAnsi="Arial Narrow" w:cs="Arial"/>
          <w:b/>
          <w:sz w:val="24"/>
          <w:szCs w:val="24"/>
        </w:rPr>
        <w:t>2</w:t>
      </w:r>
      <w:r w:rsidR="00A24880">
        <w:rPr>
          <w:rFonts w:ascii="Arial Narrow" w:hAnsi="Arial Narrow" w:cs="Arial"/>
          <w:b/>
          <w:sz w:val="24"/>
          <w:szCs w:val="24"/>
        </w:rPr>
        <w:t xml:space="preserve">. </w:t>
      </w:r>
      <w:r w:rsidR="00A24880">
        <w:rPr>
          <w:rFonts w:ascii="Arial Narrow" w:hAnsi="Arial Narrow" w:cs="Arial"/>
          <w:b/>
          <w:sz w:val="24"/>
          <w:szCs w:val="24"/>
        </w:rPr>
        <w:tab/>
      </w:r>
      <w:r w:rsidR="006E4BED">
        <w:rPr>
          <w:rFonts w:ascii="Arial Narrow" w:hAnsi="Arial Narrow" w:cs="Arial"/>
          <w:b/>
          <w:sz w:val="24"/>
          <w:szCs w:val="24"/>
        </w:rPr>
        <w:t>Current year rate increases</w:t>
      </w:r>
    </w:p>
    <w:p w:rsidR="00CB2603" w:rsidRDefault="00CB2603" w:rsidP="004D38B0">
      <w:pPr>
        <w:jc w:val="both"/>
        <w:rPr>
          <w:rFonts w:cs="Arial"/>
        </w:rPr>
      </w:pPr>
      <w:r>
        <w:rPr>
          <w:rFonts w:cs="Arial"/>
        </w:rPr>
        <w:t xml:space="preserve">In order to achieve Council’s objectives while maintaining service levels and a strong capital expenditure program, general rates will increase by </w:t>
      </w:r>
      <w:r w:rsidR="00706692">
        <w:rPr>
          <w:rFonts w:cs="Arial"/>
        </w:rPr>
        <w:t>$10M</w:t>
      </w:r>
      <w:r>
        <w:rPr>
          <w:rFonts w:cs="Arial"/>
        </w:rPr>
        <w:t xml:space="preserve"> in 2013-2014 raising a total of $169M.</w:t>
      </w:r>
    </w:p>
    <w:p w:rsidR="00CB2603" w:rsidRPr="00B0096F" w:rsidRDefault="00CB2603" w:rsidP="00B0096F">
      <w:pPr>
        <w:spacing w:before="80"/>
        <w:jc w:val="both"/>
        <w:rPr>
          <w:rFonts w:cs="Arial"/>
          <w:i/>
          <w:sz w:val="24"/>
          <w:szCs w:val="24"/>
        </w:rPr>
      </w:pPr>
      <w:r w:rsidRPr="00B0096F">
        <w:rPr>
          <w:rFonts w:cs="Arial"/>
          <w:i/>
          <w:sz w:val="24"/>
          <w:szCs w:val="24"/>
        </w:rPr>
        <w:t>Rating Model</w:t>
      </w:r>
    </w:p>
    <w:p w:rsidR="00CB2603" w:rsidRPr="006E4BED" w:rsidRDefault="006A3901" w:rsidP="00C05E68">
      <w:pPr>
        <w:numPr>
          <w:ilvl w:val="0"/>
          <w:numId w:val="2"/>
        </w:numPr>
        <w:tabs>
          <w:tab w:val="num" w:pos="360"/>
        </w:tabs>
        <w:spacing w:after="160"/>
        <w:ind w:left="360"/>
        <w:jc w:val="both"/>
        <w:rPr>
          <w:rFonts w:cs="Arial"/>
        </w:rPr>
      </w:pPr>
      <w:r w:rsidRPr="006E4BED">
        <w:rPr>
          <w:rFonts w:cs="Arial"/>
        </w:rPr>
        <w:t xml:space="preserve">Rates and charges on a </w:t>
      </w:r>
      <w:r w:rsidR="00D61689" w:rsidRPr="006E4BED">
        <w:rPr>
          <w:rFonts w:cs="Arial"/>
        </w:rPr>
        <w:t xml:space="preserve">residential </w:t>
      </w:r>
      <w:r w:rsidR="00367E95" w:rsidRPr="006E4BED">
        <w:rPr>
          <w:rFonts w:cs="Arial"/>
        </w:rPr>
        <w:t xml:space="preserve">property </w:t>
      </w:r>
      <w:r w:rsidR="00D61689" w:rsidRPr="006E4BED">
        <w:rPr>
          <w:rFonts w:cs="Arial"/>
        </w:rPr>
        <w:t xml:space="preserve">will increase </w:t>
      </w:r>
      <w:r w:rsidR="00367E95" w:rsidRPr="006E4BED">
        <w:rPr>
          <w:rFonts w:cs="Arial"/>
        </w:rPr>
        <w:t xml:space="preserve">overall </w:t>
      </w:r>
      <w:r w:rsidR="00D61689" w:rsidRPr="006E4BED">
        <w:rPr>
          <w:rFonts w:cs="Arial"/>
        </w:rPr>
        <w:t xml:space="preserve">by </w:t>
      </w:r>
      <w:r w:rsidR="003E0BF7" w:rsidRPr="006E4BED">
        <w:rPr>
          <w:rFonts w:cs="Arial"/>
        </w:rPr>
        <w:t>4.45</w:t>
      </w:r>
      <w:r w:rsidR="00367E95" w:rsidRPr="006E4BED">
        <w:rPr>
          <w:rFonts w:cs="Arial"/>
        </w:rPr>
        <w:t xml:space="preserve">%, including rate in $ movement 4.7%, Municipal charge movement 3%, and Waste </w:t>
      </w:r>
      <w:r w:rsidR="004D38B0">
        <w:rPr>
          <w:rFonts w:cs="Arial"/>
        </w:rPr>
        <w:t>C</w:t>
      </w:r>
      <w:r w:rsidR="00367E95" w:rsidRPr="006E4BED">
        <w:rPr>
          <w:rFonts w:cs="Arial"/>
        </w:rPr>
        <w:t xml:space="preserve">ollection </w:t>
      </w:r>
      <w:r w:rsidR="006E4BED" w:rsidRPr="006E4BED">
        <w:rPr>
          <w:rFonts w:cs="Arial"/>
        </w:rPr>
        <w:t>S</w:t>
      </w:r>
      <w:r w:rsidR="00367E95" w:rsidRPr="006E4BED">
        <w:rPr>
          <w:rFonts w:cs="Arial"/>
        </w:rPr>
        <w:t xml:space="preserve">ervice </w:t>
      </w:r>
      <w:r w:rsidR="006E4BED" w:rsidRPr="006E4BED">
        <w:rPr>
          <w:rFonts w:cs="Arial"/>
        </w:rPr>
        <w:t>C</w:t>
      </w:r>
      <w:r w:rsidR="00367E95" w:rsidRPr="006E4BED">
        <w:rPr>
          <w:rFonts w:cs="Arial"/>
        </w:rPr>
        <w:t>harge 3.8%</w:t>
      </w:r>
      <w:r w:rsidR="006E4BED" w:rsidRPr="006E4BED">
        <w:rPr>
          <w:rFonts w:cs="Arial"/>
        </w:rPr>
        <w:t xml:space="preserve">. </w:t>
      </w:r>
      <w:r w:rsidR="00CB2603" w:rsidRPr="006E4BED">
        <w:rPr>
          <w:rFonts w:cs="Arial"/>
        </w:rPr>
        <w:t>The residential rate has been set at $0.002665 per $ of CIV valuation</w:t>
      </w:r>
      <w:r w:rsidR="006E4BED">
        <w:rPr>
          <w:rFonts w:cs="Arial"/>
        </w:rPr>
        <w:t>.</w:t>
      </w:r>
    </w:p>
    <w:p w:rsidR="00CB2603" w:rsidRDefault="00CB2603" w:rsidP="00C05E68">
      <w:pPr>
        <w:numPr>
          <w:ilvl w:val="0"/>
          <w:numId w:val="2"/>
        </w:numPr>
        <w:tabs>
          <w:tab w:val="num" w:pos="360"/>
        </w:tabs>
        <w:spacing w:after="160"/>
        <w:ind w:left="360"/>
        <w:jc w:val="both"/>
        <w:rPr>
          <w:rFonts w:cs="Arial"/>
        </w:rPr>
      </w:pPr>
      <w:r>
        <w:rPr>
          <w:rFonts w:cs="Arial"/>
        </w:rPr>
        <w:t xml:space="preserve">Vacant </w:t>
      </w:r>
      <w:r w:rsidR="004D38B0">
        <w:rPr>
          <w:rFonts w:cs="Arial"/>
        </w:rPr>
        <w:t>L</w:t>
      </w:r>
      <w:r>
        <w:rPr>
          <w:rFonts w:cs="Arial"/>
        </w:rPr>
        <w:t>and rate in the dollar will increase to 140% of residential in order to encourage building activity and development.</w:t>
      </w:r>
    </w:p>
    <w:p w:rsidR="00746C84" w:rsidRDefault="00746C84" w:rsidP="00C05E68">
      <w:pPr>
        <w:numPr>
          <w:ilvl w:val="0"/>
          <w:numId w:val="2"/>
        </w:numPr>
        <w:tabs>
          <w:tab w:val="num" w:pos="360"/>
        </w:tabs>
        <w:spacing w:after="160"/>
        <w:ind w:left="360"/>
        <w:jc w:val="both"/>
        <w:rPr>
          <w:rFonts w:cs="Arial"/>
        </w:rPr>
      </w:pPr>
      <w:r w:rsidRPr="00B30660">
        <w:rPr>
          <w:color w:val="000000" w:themeColor="text1"/>
        </w:rPr>
        <w:t xml:space="preserve">The </w:t>
      </w:r>
      <w:r>
        <w:rPr>
          <w:color w:val="000000" w:themeColor="text1"/>
        </w:rPr>
        <w:t xml:space="preserve">Local Government Legislation Amendment (Miscellaneous) Act 2012 imposes changes to Differential rating. The late licence differential is being discontinued in response to the Ministerial </w:t>
      </w:r>
      <w:r w:rsidR="00AC1EF1">
        <w:rPr>
          <w:color w:val="000000" w:themeColor="text1"/>
        </w:rPr>
        <w:t>G</w:t>
      </w:r>
      <w:r>
        <w:rPr>
          <w:color w:val="000000" w:themeColor="text1"/>
        </w:rPr>
        <w:t>uidelines. The Commercial rate in $ will therefore increase by 7%.</w:t>
      </w:r>
    </w:p>
    <w:p w:rsidR="00CB2603" w:rsidRPr="00CB2603" w:rsidRDefault="00CB2603" w:rsidP="00C05E68">
      <w:pPr>
        <w:numPr>
          <w:ilvl w:val="0"/>
          <w:numId w:val="2"/>
        </w:numPr>
        <w:tabs>
          <w:tab w:val="num" w:pos="360"/>
        </w:tabs>
        <w:spacing w:after="160"/>
        <w:ind w:left="360"/>
        <w:jc w:val="both"/>
        <w:rPr>
          <w:rFonts w:cs="Arial"/>
        </w:rPr>
      </w:pPr>
      <w:r w:rsidRPr="00CB2603">
        <w:rPr>
          <w:rFonts w:cs="Arial"/>
        </w:rPr>
        <w:t>Automobile, Petroleum and Aluminium differentials have been aligned to the same rate in the $. Council</w:t>
      </w:r>
      <w:r w:rsidR="00AC1EF1">
        <w:rPr>
          <w:rFonts w:cs="Arial"/>
        </w:rPr>
        <w:t>’</w:t>
      </w:r>
      <w:r w:rsidRPr="00CB2603">
        <w:rPr>
          <w:rFonts w:cs="Arial"/>
        </w:rPr>
        <w:t xml:space="preserve">s objective is to reduce the gap between the rate in $ for these differentials and the Industrial differential. </w:t>
      </w:r>
      <w:r w:rsidR="00EC7F1F">
        <w:rPr>
          <w:rFonts w:cs="Arial"/>
        </w:rPr>
        <w:t>The Industrial rate increases by 7.7%.</w:t>
      </w:r>
    </w:p>
    <w:p w:rsidR="00D61689" w:rsidRPr="001C2192" w:rsidRDefault="00D61689" w:rsidP="00C05E68">
      <w:pPr>
        <w:numPr>
          <w:ilvl w:val="0"/>
          <w:numId w:val="2"/>
        </w:numPr>
        <w:tabs>
          <w:tab w:val="num" w:pos="360"/>
        </w:tabs>
        <w:spacing w:after="160"/>
        <w:ind w:left="360"/>
        <w:jc w:val="both"/>
        <w:rPr>
          <w:rFonts w:cs="Arial"/>
        </w:rPr>
      </w:pPr>
      <w:r w:rsidRPr="00BC159B">
        <w:rPr>
          <w:rFonts w:cs="Arial"/>
        </w:rPr>
        <w:t>The Waste Collection Service charge is calculated based on a fee for service, including direct, indirect and overhead costs.</w:t>
      </w:r>
      <w:r w:rsidR="003C006D" w:rsidRPr="00BC159B">
        <w:rPr>
          <w:rFonts w:cs="Arial"/>
        </w:rPr>
        <w:t xml:space="preserve"> </w:t>
      </w:r>
      <w:r w:rsidR="00BC159B" w:rsidRPr="00BC159B">
        <w:t>The</w:t>
      </w:r>
      <w:r w:rsidR="00BC159B" w:rsidRPr="002D6617">
        <w:t xml:space="preserve"> charge is impacted by cost estimates of </w:t>
      </w:r>
      <w:r w:rsidR="009D5029">
        <w:t xml:space="preserve">EPA levy $24.55 and </w:t>
      </w:r>
      <w:r w:rsidR="00BC159B" w:rsidRPr="002D6617">
        <w:t>Carbon Tax of $</w:t>
      </w:r>
      <w:r w:rsidR="009D5029">
        <w:t>2.23</w:t>
      </w:r>
      <w:r w:rsidR="00BC159B" w:rsidRPr="002D6617">
        <w:t xml:space="preserve"> per </w:t>
      </w:r>
      <w:r w:rsidR="009D5029">
        <w:t>tenement</w:t>
      </w:r>
      <w:r w:rsidR="00BC159B" w:rsidRPr="002D6617">
        <w:t>.</w:t>
      </w:r>
      <w:r w:rsidR="00BC159B">
        <w:t xml:space="preserve"> </w:t>
      </w:r>
      <w:r w:rsidRPr="001C2192">
        <w:rPr>
          <w:rFonts w:cs="Arial"/>
        </w:rPr>
        <w:t xml:space="preserve">The charge </w:t>
      </w:r>
      <w:r w:rsidR="00815E28" w:rsidRPr="001C2192">
        <w:rPr>
          <w:rFonts w:cs="Arial"/>
        </w:rPr>
        <w:t>for</w:t>
      </w:r>
      <w:r w:rsidRPr="001C2192">
        <w:rPr>
          <w:rFonts w:cs="Arial"/>
        </w:rPr>
        <w:t xml:space="preserve"> 20</w:t>
      </w:r>
      <w:r w:rsidR="00FB7D11" w:rsidRPr="001C2192">
        <w:rPr>
          <w:rFonts w:cs="Arial"/>
        </w:rPr>
        <w:t>1</w:t>
      </w:r>
      <w:r w:rsidR="001C2192" w:rsidRPr="001C2192">
        <w:rPr>
          <w:rFonts w:cs="Arial"/>
        </w:rPr>
        <w:t>3</w:t>
      </w:r>
      <w:r w:rsidR="008020CF" w:rsidRPr="001C2192">
        <w:rPr>
          <w:rFonts w:cs="Arial"/>
        </w:rPr>
        <w:noBreakHyphen/>
      </w:r>
      <w:r w:rsidRPr="001C2192">
        <w:rPr>
          <w:rFonts w:cs="Arial"/>
        </w:rPr>
        <w:t>20</w:t>
      </w:r>
      <w:r w:rsidR="00FB7D11" w:rsidRPr="001C2192">
        <w:rPr>
          <w:rFonts w:cs="Arial"/>
        </w:rPr>
        <w:t>1</w:t>
      </w:r>
      <w:r w:rsidR="001C2192" w:rsidRPr="001C2192">
        <w:rPr>
          <w:rFonts w:cs="Arial"/>
        </w:rPr>
        <w:t>4</w:t>
      </w:r>
      <w:r w:rsidRPr="001C2192">
        <w:rPr>
          <w:rFonts w:cs="Arial"/>
        </w:rPr>
        <w:t xml:space="preserve"> </w:t>
      </w:r>
      <w:r w:rsidR="00060DB7" w:rsidRPr="001C2192">
        <w:rPr>
          <w:rFonts w:cs="Arial"/>
        </w:rPr>
        <w:t xml:space="preserve">will </w:t>
      </w:r>
      <w:r w:rsidRPr="001C2192">
        <w:rPr>
          <w:rFonts w:cs="Arial"/>
        </w:rPr>
        <w:t>increase from $</w:t>
      </w:r>
      <w:r w:rsidR="001C2192" w:rsidRPr="001C2192">
        <w:rPr>
          <w:rFonts w:cs="Arial"/>
        </w:rPr>
        <w:t>226.00</w:t>
      </w:r>
      <w:r w:rsidRPr="001C2192">
        <w:rPr>
          <w:rFonts w:cs="Arial"/>
        </w:rPr>
        <w:t xml:space="preserve"> to </w:t>
      </w:r>
      <w:r w:rsidR="00334A40" w:rsidRPr="001C2192">
        <w:rPr>
          <w:rFonts w:cs="Arial"/>
        </w:rPr>
        <w:t>$</w:t>
      </w:r>
      <w:r w:rsidR="001C2192" w:rsidRPr="001C2192">
        <w:rPr>
          <w:rFonts w:cs="Arial"/>
        </w:rPr>
        <w:t>234.50</w:t>
      </w:r>
      <w:r w:rsidR="00334A40" w:rsidRPr="001C2192">
        <w:rPr>
          <w:rFonts w:cs="Arial"/>
        </w:rPr>
        <w:t xml:space="preserve"> or </w:t>
      </w:r>
      <w:r w:rsidR="001C2192" w:rsidRPr="001C2192">
        <w:rPr>
          <w:rFonts w:cs="Arial"/>
        </w:rPr>
        <w:t>3.8</w:t>
      </w:r>
      <w:r w:rsidR="006A2FAA" w:rsidRPr="001C2192">
        <w:rPr>
          <w:rFonts w:cs="Arial"/>
        </w:rPr>
        <w:t>%</w:t>
      </w:r>
      <w:r w:rsidR="00A5742E" w:rsidRPr="001C2192">
        <w:rPr>
          <w:rFonts w:cs="Arial"/>
        </w:rPr>
        <w:t>.</w:t>
      </w:r>
    </w:p>
    <w:p w:rsidR="00BC159B" w:rsidRDefault="0090690D" w:rsidP="00C05E68">
      <w:pPr>
        <w:numPr>
          <w:ilvl w:val="0"/>
          <w:numId w:val="2"/>
        </w:numPr>
        <w:tabs>
          <w:tab w:val="num" w:pos="360"/>
        </w:tabs>
        <w:spacing w:after="160"/>
        <w:ind w:left="360"/>
        <w:jc w:val="both"/>
        <w:rPr>
          <w:rFonts w:cs="Arial"/>
        </w:rPr>
      </w:pPr>
      <w:r>
        <w:rPr>
          <w:rFonts w:cs="Arial"/>
        </w:rPr>
        <w:t>The M</w:t>
      </w:r>
      <w:r w:rsidR="00D61689" w:rsidRPr="001C2192">
        <w:rPr>
          <w:rFonts w:cs="Arial"/>
        </w:rPr>
        <w:t>unicipal charge represents a fee on all rateable assessments as a contribution to the fixed and unavoidable costs of governance.</w:t>
      </w:r>
      <w:r w:rsidR="006A2FAA" w:rsidRPr="001C2192">
        <w:rPr>
          <w:rFonts w:cs="Arial"/>
        </w:rPr>
        <w:t xml:space="preserve"> T</w:t>
      </w:r>
      <w:r w:rsidR="008C2408" w:rsidRPr="001C2192">
        <w:rPr>
          <w:rFonts w:cs="Arial"/>
        </w:rPr>
        <w:t xml:space="preserve">he municipal charge </w:t>
      </w:r>
      <w:r w:rsidR="006A2FAA" w:rsidRPr="001C2192">
        <w:rPr>
          <w:rFonts w:cs="Arial"/>
        </w:rPr>
        <w:t xml:space="preserve">is to increase from </w:t>
      </w:r>
      <w:r w:rsidR="008C2408" w:rsidRPr="001C2192">
        <w:rPr>
          <w:rFonts w:cs="Arial"/>
        </w:rPr>
        <w:t>$</w:t>
      </w:r>
      <w:r w:rsidR="001C2192">
        <w:rPr>
          <w:rFonts w:cs="Arial"/>
        </w:rPr>
        <w:t>86.33</w:t>
      </w:r>
      <w:r w:rsidR="006A2FAA" w:rsidRPr="001C2192">
        <w:rPr>
          <w:rFonts w:cs="Arial"/>
        </w:rPr>
        <w:t xml:space="preserve"> to $</w:t>
      </w:r>
      <w:r w:rsidR="001C2192">
        <w:rPr>
          <w:rFonts w:cs="Arial"/>
        </w:rPr>
        <w:t>88.90</w:t>
      </w:r>
      <w:r w:rsidR="00C75A31" w:rsidRPr="001C2192">
        <w:rPr>
          <w:rFonts w:cs="Arial"/>
        </w:rPr>
        <w:t xml:space="preserve"> or </w:t>
      </w:r>
      <w:r w:rsidR="001C2192">
        <w:rPr>
          <w:rFonts w:cs="Arial"/>
        </w:rPr>
        <w:t>3</w:t>
      </w:r>
      <w:r w:rsidR="00C75A31" w:rsidRPr="001C2192">
        <w:rPr>
          <w:rFonts w:cs="Arial"/>
        </w:rPr>
        <w:t>%</w:t>
      </w:r>
      <w:r w:rsidR="006A2FAA" w:rsidRPr="001C2192">
        <w:rPr>
          <w:rFonts w:cs="Arial"/>
        </w:rPr>
        <w:t>.</w:t>
      </w:r>
    </w:p>
    <w:p w:rsidR="00BC159B" w:rsidRPr="00CB2603" w:rsidRDefault="00BC159B" w:rsidP="00C05E68">
      <w:pPr>
        <w:numPr>
          <w:ilvl w:val="0"/>
          <w:numId w:val="2"/>
        </w:numPr>
        <w:tabs>
          <w:tab w:val="num" w:pos="360"/>
        </w:tabs>
        <w:spacing w:after="160"/>
        <w:ind w:left="360"/>
        <w:jc w:val="both"/>
        <w:rPr>
          <w:rFonts w:cs="Arial"/>
        </w:rPr>
      </w:pPr>
      <w:r w:rsidRPr="00D576C5">
        <w:t xml:space="preserve">The Farm rebate will </w:t>
      </w:r>
      <w:r>
        <w:t>remain</w:t>
      </w:r>
      <w:r w:rsidRPr="00D576C5">
        <w:t xml:space="preserve"> </w:t>
      </w:r>
      <w:r>
        <w:t>at</w:t>
      </w:r>
      <w:r w:rsidRPr="00D576C5">
        <w:t xml:space="preserve"> 36.2% with av</w:t>
      </w:r>
      <w:r>
        <w:t>erage rates increasing by 4.</w:t>
      </w:r>
      <w:r w:rsidR="00746C84">
        <w:t>45</w:t>
      </w:r>
      <w:r>
        <w:t>%</w:t>
      </w:r>
      <w:r w:rsidR="00746C84">
        <w:t xml:space="preserve"> (as per residential)</w:t>
      </w:r>
      <w:r>
        <w:t xml:space="preserve">. </w:t>
      </w:r>
      <w:r w:rsidRPr="00D576C5">
        <w:t>This rebate provides ongoing rate relief to farmers (33% rebate 2006</w:t>
      </w:r>
      <w:r w:rsidRPr="00D576C5">
        <w:noBreakHyphen/>
        <w:t>2007, 40% rebate 2007-2008, 45% 2008</w:t>
      </w:r>
      <w:r w:rsidR="00AC1EF1">
        <w:noBreakHyphen/>
      </w:r>
      <w:r w:rsidRPr="00D576C5">
        <w:t>2010, 45% for 2009-2010, 46.5% for 2010-2011, 46.5% for 2011-2012</w:t>
      </w:r>
      <w:r>
        <w:t>, 36.2% for 2012-2013</w:t>
      </w:r>
      <w:r w:rsidRPr="00D576C5">
        <w:t>). In 201</w:t>
      </w:r>
      <w:r>
        <w:t>3</w:t>
      </w:r>
      <w:r w:rsidRPr="00D576C5">
        <w:noBreakHyphen/>
        <w:t>201</w:t>
      </w:r>
      <w:r>
        <w:t>4</w:t>
      </w:r>
      <w:r w:rsidRPr="00D576C5">
        <w:t xml:space="preserve"> a 36.2% rebate represents a cost to Council of $1.3</w:t>
      </w:r>
      <w:r>
        <w:t>84</w:t>
      </w:r>
      <w:r w:rsidRPr="00D576C5">
        <w:t>M.</w:t>
      </w:r>
    </w:p>
    <w:p w:rsidR="00CB2603" w:rsidRPr="00BC159B" w:rsidRDefault="00CB2603" w:rsidP="00C05E68">
      <w:pPr>
        <w:numPr>
          <w:ilvl w:val="0"/>
          <w:numId w:val="2"/>
        </w:numPr>
        <w:tabs>
          <w:tab w:val="num" w:pos="360"/>
        </w:tabs>
        <w:spacing w:after="160"/>
        <w:ind w:left="360"/>
        <w:jc w:val="both"/>
        <w:rPr>
          <w:rFonts w:cs="Arial"/>
        </w:rPr>
      </w:pPr>
      <w:r>
        <w:t xml:space="preserve">The housing </w:t>
      </w:r>
      <w:r w:rsidR="00706692">
        <w:t>support reba</w:t>
      </w:r>
      <w:r>
        <w:t>te</w:t>
      </w:r>
      <w:r w:rsidR="00746C84">
        <w:t xml:space="preserve"> for eligible Charitable Housing </w:t>
      </w:r>
      <w:r>
        <w:t xml:space="preserve">will be </w:t>
      </w:r>
      <w:r w:rsidR="00706692">
        <w:t xml:space="preserve">replaced with a </w:t>
      </w:r>
      <w:r w:rsidR="00EC7F1F">
        <w:t xml:space="preserve">rates </w:t>
      </w:r>
      <w:r>
        <w:t>waiver for 2013-2014</w:t>
      </w:r>
      <w:r w:rsidR="00706692">
        <w:t>.</w:t>
      </w:r>
    </w:p>
    <w:p w:rsidR="00C75A31" w:rsidRDefault="00C75A31" w:rsidP="00C05E68">
      <w:pPr>
        <w:numPr>
          <w:ilvl w:val="0"/>
          <w:numId w:val="2"/>
        </w:numPr>
        <w:tabs>
          <w:tab w:val="num" w:pos="360"/>
        </w:tabs>
        <w:spacing w:after="160"/>
        <w:ind w:left="360"/>
        <w:jc w:val="both"/>
        <w:rPr>
          <w:rFonts w:cs="Arial"/>
        </w:rPr>
      </w:pPr>
      <w:r w:rsidRPr="00BC159B">
        <w:rPr>
          <w:rFonts w:cs="Arial"/>
        </w:rPr>
        <w:t xml:space="preserve">The transitional rebate </w:t>
      </w:r>
      <w:r w:rsidR="00D61E1D" w:rsidRPr="00BC159B">
        <w:rPr>
          <w:rFonts w:cs="Arial"/>
        </w:rPr>
        <w:t xml:space="preserve">introduced in 2010-2011 for nominated charitable housing properties will </w:t>
      </w:r>
      <w:r w:rsidR="00BC159B" w:rsidRPr="00BC159B">
        <w:rPr>
          <w:rFonts w:cs="Arial"/>
        </w:rPr>
        <w:t>remain at a</w:t>
      </w:r>
      <w:r w:rsidR="00D61E1D" w:rsidRPr="00BC159B">
        <w:rPr>
          <w:rFonts w:cs="Arial"/>
        </w:rPr>
        <w:t xml:space="preserve"> 50% rebate in 201</w:t>
      </w:r>
      <w:r w:rsidR="00BC159B" w:rsidRPr="00BC159B">
        <w:rPr>
          <w:rFonts w:cs="Arial"/>
        </w:rPr>
        <w:t>3</w:t>
      </w:r>
      <w:r w:rsidR="00D61E1D" w:rsidRPr="00BC159B">
        <w:rPr>
          <w:rFonts w:cs="Arial"/>
        </w:rPr>
        <w:t>-201</w:t>
      </w:r>
      <w:r w:rsidR="00BC159B" w:rsidRPr="00BC159B">
        <w:rPr>
          <w:rFonts w:cs="Arial"/>
        </w:rPr>
        <w:t>4</w:t>
      </w:r>
      <w:r w:rsidR="00D61E1D" w:rsidRPr="00BC159B">
        <w:rPr>
          <w:rFonts w:cs="Arial"/>
        </w:rPr>
        <w:t>.</w:t>
      </w:r>
    </w:p>
    <w:p w:rsidR="00CB2603" w:rsidRDefault="00CB2603" w:rsidP="00C05E68">
      <w:pPr>
        <w:numPr>
          <w:ilvl w:val="0"/>
          <w:numId w:val="2"/>
        </w:numPr>
        <w:tabs>
          <w:tab w:val="num" w:pos="360"/>
        </w:tabs>
        <w:spacing w:after="160"/>
        <w:ind w:left="360"/>
        <w:jc w:val="both"/>
        <w:rPr>
          <w:rFonts w:cs="Arial"/>
        </w:rPr>
      </w:pPr>
      <w:r>
        <w:rPr>
          <w:rFonts w:cs="Arial"/>
        </w:rPr>
        <w:t xml:space="preserve">A </w:t>
      </w:r>
      <w:r w:rsidR="00EC7F1F">
        <w:rPr>
          <w:rFonts w:cs="Arial"/>
        </w:rPr>
        <w:t xml:space="preserve">rates </w:t>
      </w:r>
      <w:r>
        <w:rPr>
          <w:rFonts w:cs="Arial"/>
        </w:rPr>
        <w:t xml:space="preserve">waiver </w:t>
      </w:r>
      <w:r w:rsidR="00BB580F">
        <w:rPr>
          <w:rFonts w:cs="Arial"/>
        </w:rPr>
        <w:t>has been</w:t>
      </w:r>
      <w:r>
        <w:rPr>
          <w:rFonts w:cs="Arial"/>
        </w:rPr>
        <w:t xml:space="preserve"> introduced for the New Corio Estate from 2013-2014</w:t>
      </w:r>
      <w:r w:rsidR="00EC7F1F">
        <w:rPr>
          <w:rFonts w:cs="Arial"/>
        </w:rPr>
        <w:t xml:space="preserve"> recognising this inappropriate subdivision and Planning Scheme Amendment C243.</w:t>
      </w:r>
    </w:p>
    <w:p w:rsidR="00364A1D" w:rsidRPr="00BC159B" w:rsidRDefault="00364A1D" w:rsidP="00C05E68">
      <w:pPr>
        <w:numPr>
          <w:ilvl w:val="0"/>
          <w:numId w:val="2"/>
        </w:numPr>
        <w:tabs>
          <w:tab w:val="num" w:pos="360"/>
        </w:tabs>
        <w:spacing w:after="160"/>
        <w:ind w:left="360"/>
        <w:jc w:val="both"/>
        <w:rPr>
          <w:rFonts w:cs="Arial"/>
        </w:rPr>
      </w:pPr>
      <w:r w:rsidRPr="00BC159B">
        <w:rPr>
          <w:rFonts w:cs="Arial"/>
        </w:rPr>
        <w:t xml:space="preserve">The pensioner concession </w:t>
      </w:r>
      <w:r w:rsidR="00492B86" w:rsidRPr="00BC159B">
        <w:rPr>
          <w:rFonts w:cs="Arial"/>
        </w:rPr>
        <w:t>will</w:t>
      </w:r>
      <w:r w:rsidR="00C75A31" w:rsidRPr="00BC159B">
        <w:rPr>
          <w:rFonts w:cs="Arial"/>
        </w:rPr>
        <w:t xml:space="preserve"> increase from $</w:t>
      </w:r>
      <w:r w:rsidR="00BC159B" w:rsidRPr="00BC159B">
        <w:rPr>
          <w:rFonts w:cs="Arial"/>
        </w:rPr>
        <w:t>198.00</w:t>
      </w:r>
      <w:r w:rsidR="00C75A31" w:rsidRPr="00BC159B">
        <w:rPr>
          <w:rFonts w:cs="Arial"/>
        </w:rPr>
        <w:t xml:space="preserve"> in accordance with </w:t>
      </w:r>
      <w:r w:rsidRPr="00BC159B">
        <w:rPr>
          <w:rFonts w:cs="Arial"/>
        </w:rPr>
        <w:t xml:space="preserve">movement in </w:t>
      </w:r>
      <w:smartTag w:uri="urn:schemas-microsoft-com:office:smarttags" w:element="stockticker">
        <w:r w:rsidRPr="00BC159B">
          <w:rPr>
            <w:rFonts w:cs="Arial"/>
          </w:rPr>
          <w:t>CPI</w:t>
        </w:r>
      </w:smartTag>
      <w:r w:rsidRPr="00BC159B">
        <w:rPr>
          <w:rFonts w:cs="Arial"/>
        </w:rPr>
        <w:t xml:space="preserve"> </w:t>
      </w:r>
      <w:r w:rsidR="00B13F12" w:rsidRPr="00BC159B">
        <w:rPr>
          <w:rFonts w:cs="Arial"/>
        </w:rPr>
        <w:t>for Melbourne as advised by the Australian Bureau of Statistics</w:t>
      </w:r>
      <w:r w:rsidR="00EF64BC">
        <w:rPr>
          <w:rFonts w:cs="Arial"/>
        </w:rPr>
        <w:t xml:space="preserve"> to $202.</w:t>
      </w:r>
      <w:r w:rsidR="00B02BC0">
        <w:rPr>
          <w:rFonts w:cs="Arial"/>
        </w:rPr>
        <w:t>9</w:t>
      </w:r>
      <w:r w:rsidR="00EF64BC">
        <w:rPr>
          <w:rFonts w:cs="Arial"/>
        </w:rPr>
        <w:t>0.</w:t>
      </w:r>
    </w:p>
    <w:p w:rsidR="00D61689" w:rsidRPr="00DC18FF" w:rsidRDefault="00D61689" w:rsidP="00E50632">
      <w:pPr>
        <w:spacing w:before="80"/>
        <w:jc w:val="both"/>
        <w:rPr>
          <w:rFonts w:cs="Arial"/>
          <w:i/>
          <w:sz w:val="24"/>
          <w:szCs w:val="24"/>
        </w:rPr>
      </w:pPr>
      <w:r w:rsidRPr="00DC18FF">
        <w:rPr>
          <w:rFonts w:cs="Arial"/>
          <w:i/>
          <w:sz w:val="24"/>
          <w:szCs w:val="24"/>
        </w:rPr>
        <w:t>Residential Rates and Charges</w:t>
      </w:r>
    </w:p>
    <w:p w:rsidR="00DC18FF" w:rsidRPr="00D576C5" w:rsidRDefault="00DC18FF" w:rsidP="00DC18FF">
      <w:pPr>
        <w:spacing w:after="160"/>
        <w:jc w:val="both"/>
        <w:rPr>
          <w:rFonts w:cs="Arial"/>
          <w:color w:val="000000" w:themeColor="text1"/>
        </w:rPr>
      </w:pPr>
      <w:r>
        <w:rPr>
          <w:rFonts w:cs="Arial"/>
          <w:color w:val="000000" w:themeColor="text1"/>
        </w:rPr>
        <w:t>T</w:t>
      </w:r>
      <w:r w:rsidRPr="00D576C5">
        <w:rPr>
          <w:rFonts w:cs="Arial"/>
          <w:color w:val="000000" w:themeColor="text1"/>
        </w:rPr>
        <w:t xml:space="preserve">he average Capital Improved Value of residential properties within the municipality </w:t>
      </w:r>
      <w:r>
        <w:rPr>
          <w:rFonts w:cs="Arial"/>
          <w:color w:val="000000" w:themeColor="text1"/>
        </w:rPr>
        <w:t xml:space="preserve">has increased </w:t>
      </w:r>
      <w:r w:rsidRPr="00D576C5">
        <w:rPr>
          <w:rFonts w:cs="Arial"/>
          <w:color w:val="000000" w:themeColor="text1"/>
        </w:rPr>
        <w:t>from $</w:t>
      </w:r>
      <w:r>
        <w:rPr>
          <w:rFonts w:cs="Arial"/>
          <w:color w:val="000000" w:themeColor="text1"/>
        </w:rPr>
        <w:t>363,800</w:t>
      </w:r>
      <w:r w:rsidRPr="00D576C5">
        <w:rPr>
          <w:rFonts w:cs="Arial"/>
          <w:color w:val="000000" w:themeColor="text1"/>
        </w:rPr>
        <w:t xml:space="preserve"> to $</w:t>
      </w:r>
      <w:r>
        <w:rPr>
          <w:rFonts w:cs="Arial"/>
          <w:color w:val="000000" w:themeColor="text1"/>
        </w:rPr>
        <w:t>365,610</w:t>
      </w:r>
      <w:r w:rsidRPr="00D576C5">
        <w:rPr>
          <w:rFonts w:cs="Arial"/>
          <w:color w:val="000000" w:themeColor="text1"/>
        </w:rPr>
        <w:t>.</w:t>
      </w:r>
      <w:r w:rsidR="00367E95">
        <w:rPr>
          <w:rFonts w:cs="Arial"/>
          <w:color w:val="000000" w:themeColor="text1"/>
        </w:rPr>
        <w:t xml:space="preserve"> This reflects a 2% growth in the numbe</w:t>
      </w:r>
      <w:r w:rsidR="006C1C86">
        <w:rPr>
          <w:rFonts w:cs="Arial"/>
          <w:color w:val="000000" w:themeColor="text1"/>
        </w:rPr>
        <w:t>r of residential properties together with growth of 2.5% in Residential Capital Improved Value.</w:t>
      </w:r>
    </w:p>
    <w:p w:rsidR="00DC18FF" w:rsidRPr="00D576C5" w:rsidRDefault="00DC18FF" w:rsidP="00DC18FF">
      <w:pPr>
        <w:spacing w:after="160"/>
        <w:jc w:val="both"/>
        <w:rPr>
          <w:rFonts w:cs="Arial"/>
          <w:color w:val="000000" w:themeColor="text1"/>
        </w:rPr>
      </w:pPr>
      <w:r w:rsidRPr="00D576C5">
        <w:rPr>
          <w:rFonts w:cs="Arial"/>
          <w:color w:val="000000" w:themeColor="text1"/>
        </w:rPr>
        <w:t>The total increase in rates and charges for the average property with a capital improved value of $</w:t>
      </w:r>
      <w:r>
        <w:rPr>
          <w:rFonts w:cs="Arial"/>
          <w:color w:val="000000" w:themeColor="text1"/>
        </w:rPr>
        <w:t>365,610</w:t>
      </w:r>
      <w:r w:rsidRPr="00D576C5">
        <w:rPr>
          <w:rFonts w:cs="Arial"/>
          <w:color w:val="000000" w:themeColor="text1"/>
        </w:rPr>
        <w:t xml:space="preserve"> is $</w:t>
      </w:r>
      <w:r>
        <w:rPr>
          <w:rFonts w:cs="Arial"/>
          <w:color w:val="000000" w:themeColor="text1"/>
        </w:rPr>
        <w:t>55.24</w:t>
      </w:r>
      <w:r w:rsidRPr="00D576C5">
        <w:rPr>
          <w:rFonts w:cs="Arial"/>
          <w:color w:val="000000" w:themeColor="text1"/>
        </w:rPr>
        <w:t xml:space="preserve"> or </w:t>
      </w:r>
      <w:r>
        <w:rPr>
          <w:rFonts w:cs="Arial"/>
          <w:color w:val="000000" w:themeColor="text1"/>
        </w:rPr>
        <w:t>4.45</w:t>
      </w:r>
      <w:r w:rsidRPr="00D576C5">
        <w:rPr>
          <w:rFonts w:cs="Arial"/>
          <w:color w:val="000000" w:themeColor="text1"/>
        </w:rPr>
        <w:t>%. This increase is made up of $</w:t>
      </w:r>
      <w:r>
        <w:rPr>
          <w:rFonts w:cs="Arial"/>
          <w:color w:val="000000" w:themeColor="text1"/>
        </w:rPr>
        <w:t>44.17</w:t>
      </w:r>
      <w:r w:rsidRPr="00D576C5">
        <w:rPr>
          <w:rFonts w:cs="Arial"/>
          <w:color w:val="000000" w:themeColor="text1"/>
        </w:rPr>
        <w:t xml:space="preserve"> for General Rates, $</w:t>
      </w:r>
      <w:r>
        <w:rPr>
          <w:rFonts w:cs="Arial"/>
          <w:color w:val="000000" w:themeColor="text1"/>
        </w:rPr>
        <w:t>2.57</w:t>
      </w:r>
      <w:r w:rsidRPr="00D576C5">
        <w:rPr>
          <w:rFonts w:cs="Arial"/>
          <w:color w:val="000000" w:themeColor="text1"/>
        </w:rPr>
        <w:t xml:space="preserve"> for Municipal Charge and $</w:t>
      </w:r>
      <w:r>
        <w:rPr>
          <w:rFonts w:cs="Arial"/>
          <w:color w:val="000000" w:themeColor="text1"/>
        </w:rPr>
        <w:t>8.50</w:t>
      </w:r>
      <w:r w:rsidRPr="00D576C5">
        <w:rPr>
          <w:rFonts w:cs="Arial"/>
          <w:color w:val="000000" w:themeColor="text1"/>
        </w:rPr>
        <w:t xml:space="preserve"> for the Waste Collection </w:t>
      </w:r>
      <w:r w:rsidR="009367F0">
        <w:rPr>
          <w:rFonts w:cs="Arial"/>
          <w:color w:val="000000" w:themeColor="text1"/>
        </w:rPr>
        <w:t>S</w:t>
      </w:r>
      <w:r w:rsidRPr="00D576C5">
        <w:rPr>
          <w:rFonts w:cs="Arial"/>
          <w:color w:val="000000" w:themeColor="text1"/>
        </w:rPr>
        <w:t>ervice.</w:t>
      </w:r>
    </w:p>
    <w:p w:rsidR="00DC18FF" w:rsidRPr="00D576C5" w:rsidRDefault="00517183" w:rsidP="00DC18FF">
      <w:pPr>
        <w:rPr>
          <w:rFonts w:cs="Arial"/>
          <w:color w:val="000000" w:themeColor="text1"/>
        </w:rPr>
      </w:pPr>
      <w:r>
        <w:rPr>
          <w:rFonts w:cs="Arial"/>
          <w:color w:val="000000" w:themeColor="text1"/>
        </w:rPr>
        <w:br w:type="page"/>
      </w:r>
    </w:p>
    <w:tbl>
      <w:tblPr>
        <w:tblW w:w="0" w:type="auto"/>
        <w:tblLook w:val="01E0"/>
      </w:tblPr>
      <w:tblGrid>
        <w:gridCol w:w="3916"/>
        <w:gridCol w:w="728"/>
        <w:gridCol w:w="284"/>
        <w:gridCol w:w="1748"/>
        <w:gridCol w:w="1748"/>
        <w:gridCol w:w="1749"/>
      </w:tblGrid>
      <w:tr w:rsidR="006C1C86" w:rsidRPr="00AC1EF1" w:rsidTr="006B5DCE">
        <w:tc>
          <w:tcPr>
            <w:tcW w:w="3916" w:type="dxa"/>
            <w:shd w:val="clear" w:color="auto" w:fill="D9D9D9"/>
            <w:vAlign w:val="bottom"/>
          </w:tcPr>
          <w:p w:rsidR="006C1C86" w:rsidRPr="00AC1EF1" w:rsidRDefault="006C1C86" w:rsidP="00AC1EF1">
            <w:pPr>
              <w:spacing w:before="20" w:after="20"/>
              <w:rPr>
                <w:rFonts w:ascii="Arial Narrow" w:hAnsi="Arial Narrow" w:cs="Arial"/>
                <w:b/>
                <w:color w:val="000000" w:themeColor="text1"/>
              </w:rPr>
            </w:pPr>
            <w:r w:rsidRPr="00AC1EF1">
              <w:rPr>
                <w:rFonts w:ascii="Arial Narrow" w:hAnsi="Arial Narrow" w:cs="Arial"/>
                <w:b/>
                <w:color w:val="000000" w:themeColor="text1"/>
              </w:rPr>
              <w:lastRenderedPageBreak/>
              <w:t>Residential Properties</w:t>
            </w:r>
          </w:p>
        </w:tc>
        <w:tc>
          <w:tcPr>
            <w:tcW w:w="728" w:type="dxa"/>
            <w:shd w:val="clear" w:color="auto" w:fill="D9D9D9"/>
            <w:vAlign w:val="bottom"/>
          </w:tcPr>
          <w:p w:rsidR="006C1C86" w:rsidRPr="00AC1EF1" w:rsidRDefault="006C1C86" w:rsidP="00AC1EF1">
            <w:pPr>
              <w:spacing w:before="20" w:after="20"/>
              <w:jc w:val="right"/>
              <w:rPr>
                <w:rFonts w:ascii="Arial Narrow" w:hAnsi="Arial Narrow" w:cs="Arial"/>
                <w:b/>
                <w:color w:val="000000" w:themeColor="text1"/>
              </w:rPr>
            </w:pPr>
          </w:p>
        </w:tc>
        <w:tc>
          <w:tcPr>
            <w:tcW w:w="284" w:type="dxa"/>
            <w:shd w:val="clear" w:color="auto" w:fill="auto"/>
            <w:vAlign w:val="bottom"/>
          </w:tcPr>
          <w:p w:rsidR="006C1C86" w:rsidRPr="00AC1EF1" w:rsidRDefault="006C1C86" w:rsidP="00AC1EF1">
            <w:pPr>
              <w:spacing w:before="20" w:after="20"/>
              <w:jc w:val="right"/>
              <w:rPr>
                <w:rFonts w:ascii="Arial Narrow" w:hAnsi="Arial Narrow" w:cs="Arial"/>
                <w:b/>
                <w:color w:val="000000" w:themeColor="text1"/>
              </w:rPr>
            </w:pPr>
          </w:p>
        </w:tc>
        <w:tc>
          <w:tcPr>
            <w:tcW w:w="1748" w:type="dxa"/>
            <w:shd w:val="clear" w:color="auto" w:fill="D9D9D9"/>
            <w:vAlign w:val="bottom"/>
          </w:tcPr>
          <w:p w:rsidR="006C1C86" w:rsidRPr="00AC1EF1" w:rsidRDefault="006C1C86" w:rsidP="00AC1EF1">
            <w:pPr>
              <w:spacing w:before="20" w:after="20"/>
              <w:jc w:val="right"/>
              <w:rPr>
                <w:rFonts w:ascii="Arial Narrow" w:hAnsi="Arial Narrow" w:cs="Arial"/>
                <w:b/>
                <w:color w:val="000000" w:themeColor="text1"/>
              </w:rPr>
            </w:pPr>
            <w:r w:rsidRPr="00AC1EF1">
              <w:rPr>
                <w:rFonts w:ascii="Arial Narrow" w:hAnsi="Arial Narrow" w:cs="Arial"/>
                <w:b/>
                <w:color w:val="000000" w:themeColor="text1"/>
              </w:rPr>
              <w:t>2012-2013</w:t>
            </w:r>
          </w:p>
          <w:p w:rsidR="006C1C86" w:rsidRPr="00AC1EF1" w:rsidRDefault="006C1C86" w:rsidP="00AC1EF1">
            <w:pPr>
              <w:spacing w:before="20" w:after="20"/>
              <w:jc w:val="right"/>
              <w:rPr>
                <w:rFonts w:ascii="Arial Narrow" w:hAnsi="Arial Narrow" w:cs="Arial"/>
                <w:b/>
                <w:color w:val="000000" w:themeColor="text1"/>
              </w:rPr>
            </w:pPr>
            <w:r w:rsidRPr="00AC1EF1">
              <w:rPr>
                <w:rFonts w:ascii="Arial Narrow" w:hAnsi="Arial Narrow" w:cs="Arial"/>
                <w:b/>
                <w:color w:val="000000" w:themeColor="text1"/>
              </w:rPr>
              <w:t xml:space="preserve">Rates </w:t>
            </w:r>
            <w:r w:rsidR="0071196E" w:rsidRPr="00AC1EF1">
              <w:rPr>
                <w:rFonts w:ascii="Arial Narrow" w:hAnsi="Arial Narrow" w:cs="Arial"/>
                <w:b/>
                <w:color w:val="000000" w:themeColor="text1"/>
              </w:rPr>
              <w:t>on Average CIV</w:t>
            </w:r>
            <w:r w:rsidR="00AC1EF1">
              <w:rPr>
                <w:rFonts w:ascii="Arial Narrow" w:hAnsi="Arial Narrow" w:cs="Arial"/>
                <w:b/>
                <w:color w:val="000000" w:themeColor="text1"/>
              </w:rPr>
              <w:t xml:space="preserve"> $</w:t>
            </w:r>
            <w:r w:rsidRPr="00AC1EF1">
              <w:rPr>
                <w:rFonts w:ascii="Arial Narrow" w:hAnsi="Arial Narrow" w:cs="Arial"/>
                <w:b/>
                <w:color w:val="000000" w:themeColor="text1"/>
              </w:rPr>
              <w:t xml:space="preserve"> </w:t>
            </w:r>
          </w:p>
        </w:tc>
        <w:tc>
          <w:tcPr>
            <w:tcW w:w="1748" w:type="dxa"/>
            <w:shd w:val="clear" w:color="auto" w:fill="D9D9D9"/>
            <w:vAlign w:val="bottom"/>
          </w:tcPr>
          <w:p w:rsidR="006C1C86" w:rsidRPr="00AC1EF1" w:rsidRDefault="006C1C86" w:rsidP="00AC1EF1">
            <w:pPr>
              <w:spacing w:before="20" w:after="20"/>
              <w:jc w:val="right"/>
              <w:rPr>
                <w:rFonts w:ascii="Arial Narrow" w:hAnsi="Arial Narrow" w:cs="Arial"/>
                <w:b/>
                <w:color w:val="000000" w:themeColor="text1"/>
              </w:rPr>
            </w:pPr>
            <w:r w:rsidRPr="00AC1EF1">
              <w:rPr>
                <w:rFonts w:ascii="Arial Narrow" w:hAnsi="Arial Narrow" w:cs="Arial"/>
                <w:b/>
                <w:color w:val="000000" w:themeColor="text1"/>
              </w:rPr>
              <w:t>2013-2014</w:t>
            </w:r>
            <w:r w:rsidRPr="00AC1EF1">
              <w:rPr>
                <w:rFonts w:ascii="Arial Narrow" w:hAnsi="Arial Narrow" w:cs="Arial"/>
                <w:b/>
                <w:color w:val="000000" w:themeColor="text1"/>
              </w:rPr>
              <w:br/>
              <w:t>Budget</w:t>
            </w:r>
            <w:r w:rsidR="00AC1EF1">
              <w:rPr>
                <w:rFonts w:ascii="Arial Narrow" w:hAnsi="Arial Narrow" w:cs="Arial"/>
                <w:b/>
                <w:color w:val="000000" w:themeColor="text1"/>
              </w:rPr>
              <w:t xml:space="preserve"> </w:t>
            </w:r>
            <w:r w:rsidR="00BB580F" w:rsidRPr="00AC1EF1">
              <w:rPr>
                <w:rFonts w:ascii="Arial Narrow" w:hAnsi="Arial Narrow" w:cs="Arial"/>
                <w:b/>
                <w:color w:val="000000" w:themeColor="text1"/>
              </w:rPr>
              <w:t xml:space="preserve">Rates on </w:t>
            </w:r>
            <w:r w:rsidRPr="00AC1EF1">
              <w:rPr>
                <w:rFonts w:ascii="Arial Narrow" w:hAnsi="Arial Narrow" w:cs="Arial"/>
                <w:b/>
                <w:color w:val="000000" w:themeColor="text1"/>
              </w:rPr>
              <w:t>Average</w:t>
            </w:r>
            <w:r w:rsidRPr="00AC1EF1">
              <w:rPr>
                <w:rFonts w:ascii="Arial Narrow" w:hAnsi="Arial Narrow" w:cs="Arial"/>
                <w:b/>
                <w:color w:val="000000" w:themeColor="text1"/>
              </w:rPr>
              <w:br/>
            </w:r>
            <w:r w:rsidR="00BB580F" w:rsidRPr="00AC1EF1">
              <w:rPr>
                <w:rFonts w:ascii="Arial Narrow" w:hAnsi="Arial Narrow" w:cs="Arial"/>
                <w:b/>
                <w:color w:val="000000" w:themeColor="text1"/>
              </w:rPr>
              <w:t>CIV</w:t>
            </w:r>
            <w:r w:rsidRPr="00AC1EF1">
              <w:rPr>
                <w:rFonts w:ascii="Arial Narrow" w:hAnsi="Arial Narrow" w:cs="Arial"/>
                <w:b/>
                <w:color w:val="000000" w:themeColor="text1"/>
              </w:rPr>
              <w:t xml:space="preserve"> $</w:t>
            </w:r>
          </w:p>
        </w:tc>
        <w:tc>
          <w:tcPr>
            <w:tcW w:w="1749" w:type="dxa"/>
            <w:shd w:val="clear" w:color="auto" w:fill="D9D9D9"/>
            <w:vAlign w:val="bottom"/>
          </w:tcPr>
          <w:p w:rsidR="006C1C86" w:rsidRPr="00AC1EF1" w:rsidRDefault="006C1C86" w:rsidP="00AC1EF1">
            <w:pPr>
              <w:spacing w:before="20" w:after="20"/>
              <w:jc w:val="right"/>
              <w:rPr>
                <w:rFonts w:ascii="Arial Narrow" w:hAnsi="Arial Narrow" w:cs="Arial"/>
                <w:b/>
                <w:color w:val="000000" w:themeColor="text1"/>
              </w:rPr>
            </w:pPr>
            <w:r w:rsidRPr="00AC1EF1">
              <w:rPr>
                <w:rFonts w:ascii="Arial Narrow" w:hAnsi="Arial Narrow" w:cs="Arial"/>
                <w:b/>
                <w:color w:val="000000" w:themeColor="text1"/>
              </w:rPr>
              <w:t>Increase %</w:t>
            </w:r>
          </w:p>
        </w:tc>
      </w:tr>
      <w:tr w:rsidR="006C1C86" w:rsidRPr="00D576C5" w:rsidTr="006B5DCE">
        <w:tc>
          <w:tcPr>
            <w:tcW w:w="3916" w:type="dxa"/>
            <w:shd w:val="clear" w:color="auto" w:fill="auto"/>
          </w:tcPr>
          <w:p w:rsidR="006C1C86" w:rsidRPr="00D576C5" w:rsidRDefault="006C1C86" w:rsidP="006E4BED">
            <w:pPr>
              <w:spacing w:before="20" w:after="20"/>
              <w:rPr>
                <w:rFonts w:cs="Arial"/>
                <w:color w:val="000000" w:themeColor="text1"/>
                <w:lang w:val="en-US"/>
              </w:rPr>
            </w:pPr>
            <w:r w:rsidRPr="00D576C5">
              <w:rPr>
                <w:rFonts w:cs="Arial"/>
                <w:color w:val="000000" w:themeColor="text1"/>
              </w:rPr>
              <w:t xml:space="preserve">General Rates </w:t>
            </w:r>
            <w:smartTag w:uri="urn:schemas-microsoft-com:office:smarttags" w:element="stockticker">
              <w:r w:rsidRPr="00D576C5">
                <w:rPr>
                  <w:rFonts w:cs="Arial"/>
                  <w:color w:val="000000" w:themeColor="text1"/>
                </w:rPr>
                <w:t>CIV</w:t>
              </w:r>
            </w:smartTag>
            <w:r w:rsidRPr="00D576C5">
              <w:rPr>
                <w:rFonts w:cs="Arial"/>
                <w:color w:val="000000" w:themeColor="text1"/>
              </w:rPr>
              <w:t xml:space="preserve"> x Rate in $</w:t>
            </w:r>
          </w:p>
        </w:tc>
        <w:tc>
          <w:tcPr>
            <w:tcW w:w="728" w:type="dxa"/>
            <w:shd w:val="clear" w:color="auto" w:fill="auto"/>
          </w:tcPr>
          <w:p w:rsidR="006C1C86" w:rsidRPr="00D576C5" w:rsidRDefault="006C1C86" w:rsidP="00295D99">
            <w:pPr>
              <w:spacing w:before="20" w:after="20"/>
              <w:jc w:val="right"/>
              <w:rPr>
                <w:rFonts w:cs="Arial"/>
                <w:color w:val="000000" w:themeColor="text1"/>
              </w:rPr>
            </w:pPr>
          </w:p>
        </w:tc>
        <w:tc>
          <w:tcPr>
            <w:tcW w:w="284" w:type="dxa"/>
            <w:shd w:val="clear" w:color="auto" w:fill="auto"/>
          </w:tcPr>
          <w:p w:rsidR="006C1C86" w:rsidRDefault="006C1C86" w:rsidP="00295D99">
            <w:pPr>
              <w:spacing w:before="20" w:after="20"/>
              <w:jc w:val="right"/>
              <w:rPr>
                <w:rFonts w:cs="Arial"/>
                <w:color w:val="000000" w:themeColor="text1"/>
              </w:rPr>
            </w:pPr>
          </w:p>
        </w:tc>
        <w:tc>
          <w:tcPr>
            <w:tcW w:w="1748" w:type="dxa"/>
          </w:tcPr>
          <w:p w:rsidR="006C1C86" w:rsidRDefault="006C1C86" w:rsidP="00295D99">
            <w:pPr>
              <w:spacing w:before="20" w:after="20"/>
              <w:jc w:val="right"/>
              <w:rPr>
                <w:rFonts w:cs="Arial"/>
                <w:color w:val="000000" w:themeColor="text1"/>
              </w:rPr>
            </w:pPr>
            <w:r>
              <w:rPr>
                <w:rFonts w:cs="Arial"/>
                <w:color w:val="000000" w:themeColor="text1"/>
              </w:rPr>
              <w:t>930.11</w:t>
            </w:r>
          </w:p>
        </w:tc>
        <w:tc>
          <w:tcPr>
            <w:tcW w:w="1748" w:type="dxa"/>
          </w:tcPr>
          <w:p w:rsidR="006C1C86" w:rsidRPr="00D576C5" w:rsidRDefault="006C1C86" w:rsidP="00295D99">
            <w:pPr>
              <w:spacing w:before="20" w:after="20"/>
              <w:jc w:val="right"/>
              <w:rPr>
                <w:rFonts w:cs="Arial"/>
                <w:color w:val="000000" w:themeColor="text1"/>
              </w:rPr>
            </w:pPr>
            <w:r>
              <w:rPr>
                <w:rFonts w:cs="Arial"/>
                <w:color w:val="000000" w:themeColor="text1"/>
              </w:rPr>
              <w:t>974.28</w:t>
            </w:r>
          </w:p>
        </w:tc>
        <w:tc>
          <w:tcPr>
            <w:tcW w:w="1749" w:type="dxa"/>
          </w:tcPr>
          <w:p w:rsidR="006C1C86" w:rsidRPr="00D576C5" w:rsidRDefault="006C1C86" w:rsidP="00295D99">
            <w:pPr>
              <w:spacing w:before="20" w:after="20"/>
              <w:jc w:val="right"/>
              <w:rPr>
                <w:rFonts w:cs="Arial"/>
                <w:color w:val="000000" w:themeColor="text1"/>
              </w:rPr>
            </w:pPr>
            <w:r>
              <w:rPr>
                <w:rFonts w:cs="Arial"/>
                <w:color w:val="000000" w:themeColor="text1"/>
              </w:rPr>
              <w:t>4.75%</w:t>
            </w:r>
          </w:p>
        </w:tc>
      </w:tr>
      <w:tr w:rsidR="006C1C86" w:rsidRPr="00D576C5" w:rsidTr="006B5DCE">
        <w:tc>
          <w:tcPr>
            <w:tcW w:w="3916" w:type="dxa"/>
            <w:shd w:val="clear" w:color="auto" w:fill="auto"/>
          </w:tcPr>
          <w:p w:rsidR="006C1C86" w:rsidRPr="00D576C5" w:rsidRDefault="006C1C86" w:rsidP="006E4BED">
            <w:pPr>
              <w:spacing w:before="20" w:after="20"/>
              <w:rPr>
                <w:rFonts w:cs="Arial"/>
                <w:color w:val="000000" w:themeColor="text1"/>
              </w:rPr>
            </w:pPr>
            <w:r w:rsidRPr="00D576C5">
              <w:rPr>
                <w:rFonts w:cs="Arial"/>
                <w:color w:val="000000" w:themeColor="text1"/>
              </w:rPr>
              <w:t>Municipal Charge</w:t>
            </w:r>
          </w:p>
        </w:tc>
        <w:tc>
          <w:tcPr>
            <w:tcW w:w="728" w:type="dxa"/>
            <w:shd w:val="clear" w:color="auto" w:fill="auto"/>
          </w:tcPr>
          <w:p w:rsidR="006C1C86" w:rsidRPr="00D576C5" w:rsidRDefault="006C1C86" w:rsidP="00295D99">
            <w:pPr>
              <w:spacing w:before="20" w:after="20"/>
              <w:jc w:val="right"/>
              <w:rPr>
                <w:rFonts w:cs="Arial"/>
                <w:color w:val="000000" w:themeColor="text1"/>
              </w:rPr>
            </w:pPr>
          </w:p>
        </w:tc>
        <w:tc>
          <w:tcPr>
            <w:tcW w:w="284" w:type="dxa"/>
            <w:shd w:val="clear" w:color="auto" w:fill="auto"/>
          </w:tcPr>
          <w:p w:rsidR="006C1C86" w:rsidRDefault="006C1C86" w:rsidP="00295D99">
            <w:pPr>
              <w:spacing w:before="20" w:after="20"/>
              <w:jc w:val="right"/>
              <w:rPr>
                <w:rFonts w:cs="Arial"/>
                <w:color w:val="000000" w:themeColor="text1"/>
              </w:rPr>
            </w:pPr>
          </w:p>
        </w:tc>
        <w:tc>
          <w:tcPr>
            <w:tcW w:w="1748" w:type="dxa"/>
          </w:tcPr>
          <w:p w:rsidR="006C1C86" w:rsidRDefault="006C1C86" w:rsidP="00295D99">
            <w:pPr>
              <w:spacing w:before="20" w:after="20"/>
              <w:jc w:val="right"/>
              <w:rPr>
                <w:rFonts w:cs="Arial"/>
                <w:color w:val="000000" w:themeColor="text1"/>
              </w:rPr>
            </w:pPr>
            <w:r>
              <w:rPr>
                <w:rFonts w:cs="Arial"/>
                <w:color w:val="000000" w:themeColor="text1"/>
              </w:rPr>
              <w:t>86.33</w:t>
            </w:r>
          </w:p>
        </w:tc>
        <w:tc>
          <w:tcPr>
            <w:tcW w:w="1748" w:type="dxa"/>
          </w:tcPr>
          <w:p w:rsidR="006C1C86" w:rsidRPr="00D576C5" w:rsidRDefault="006C1C86" w:rsidP="00295D99">
            <w:pPr>
              <w:spacing w:before="20" w:after="20"/>
              <w:jc w:val="right"/>
              <w:rPr>
                <w:rFonts w:cs="Arial"/>
                <w:color w:val="000000" w:themeColor="text1"/>
              </w:rPr>
            </w:pPr>
            <w:r>
              <w:rPr>
                <w:rFonts w:cs="Arial"/>
                <w:color w:val="000000" w:themeColor="text1"/>
              </w:rPr>
              <w:t>88.90</w:t>
            </w:r>
          </w:p>
        </w:tc>
        <w:tc>
          <w:tcPr>
            <w:tcW w:w="1749" w:type="dxa"/>
          </w:tcPr>
          <w:p w:rsidR="006C1C86" w:rsidRPr="00D576C5" w:rsidRDefault="006C1C86" w:rsidP="00295D99">
            <w:pPr>
              <w:spacing w:before="20" w:after="20"/>
              <w:jc w:val="right"/>
              <w:rPr>
                <w:rFonts w:cs="Arial"/>
                <w:color w:val="000000" w:themeColor="text1"/>
              </w:rPr>
            </w:pPr>
            <w:r>
              <w:rPr>
                <w:rFonts w:cs="Arial"/>
                <w:color w:val="000000" w:themeColor="text1"/>
              </w:rPr>
              <w:t>2.98%</w:t>
            </w:r>
          </w:p>
        </w:tc>
      </w:tr>
      <w:tr w:rsidR="006C1C86" w:rsidRPr="00D576C5" w:rsidTr="006B5DCE">
        <w:tc>
          <w:tcPr>
            <w:tcW w:w="3916" w:type="dxa"/>
            <w:shd w:val="clear" w:color="auto" w:fill="auto"/>
          </w:tcPr>
          <w:p w:rsidR="006C1C86" w:rsidRPr="00D576C5" w:rsidRDefault="006C1C86" w:rsidP="006E4BED">
            <w:pPr>
              <w:spacing w:before="20" w:after="20"/>
              <w:rPr>
                <w:rFonts w:cs="Arial"/>
                <w:color w:val="000000" w:themeColor="text1"/>
              </w:rPr>
            </w:pPr>
            <w:r w:rsidRPr="00D576C5">
              <w:rPr>
                <w:rFonts w:cs="Arial"/>
                <w:color w:val="000000" w:themeColor="text1"/>
              </w:rPr>
              <w:t>Waste Collection Service</w:t>
            </w:r>
          </w:p>
        </w:tc>
        <w:tc>
          <w:tcPr>
            <w:tcW w:w="728" w:type="dxa"/>
            <w:shd w:val="clear" w:color="auto" w:fill="auto"/>
          </w:tcPr>
          <w:p w:rsidR="006C1C86" w:rsidRPr="00D576C5" w:rsidRDefault="006C1C86" w:rsidP="00295D99">
            <w:pPr>
              <w:spacing w:before="20" w:after="20"/>
              <w:jc w:val="right"/>
              <w:rPr>
                <w:rFonts w:cs="Arial"/>
                <w:color w:val="000000" w:themeColor="text1"/>
              </w:rPr>
            </w:pPr>
          </w:p>
        </w:tc>
        <w:tc>
          <w:tcPr>
            <w:tcW w:w="284" w:type="dxa"/>
            <w:shd w:val="clear" w:color="auto" w:fill="auto"/>
          </w:tcPr>
          <w:p w:rsidR="006C1C86" w:rsidRDefault="006C1C86" w:rsidP="00295D99">
            <w:pPr>
              <w:spacing w:before="20" w:after="20"/>
              <w:jc w:val="right"/>
              <w:rPr>
                <w:rFonts w:cs="Arial"/>
                <w:color w:val="000000" w:themeColor="text1"/>
              </w:rPr>
            </w:pPr>
          </w:p>
        </w:tc>
        <w:tc>
          <w:tcPr>
            <w:tcW w:w="1748" w:type="dxa"/>
          </w:tcPr>
          <w:p w:rsidR="006C1C86" w:rsidRDefault="006C1C86" w:rsidP="00295D99">
            <w:pPr>
              <w:spacing w:before="20" w:after="20"/>
              <w:jc w:val="right"/>
              <w:rPr>
                <w:rFonts w:cs="Arial"/>
                <w:color w:val="000000" w:themeColor="text1"/>
              </w:rPr>
            </w:pPr>
            <w:r>
              <w:rPr>
                <w:rFonts w:cs="Arial"/>
                <w:color w:val="000000" w:themeColor="text1"/>
              </w:rPr>
              <w:t>226.00</w:t>
            </w:r>
          </w:p>
        </w:tc>
        <w:tc>
          <w:tcPr>
            <w:tcW w:w="1748" w:type="dxa"/>
          </w:tcPr>
          <w:p w:rsidR="006C1C86" w:rsidRPr="00D576C5" w:rsidRDefault="006C1C86" w:rsidP="00295D99">
            <w:pPr>
              <w:spacing w:before="20" w:after="20"/>
              <w:jc w:val="right"/>
              <w:rPr>
                <w:rFonts w:cs="Arial"/>
                <w:color w:val="000000" w:themeColor="text1"/>
              </w:rPr>
            </w:pPr>
            <w:r>
              <w:rPr>
                <w:rFonts w:cs="Arial"/>
                <w:color w:val="000000" w:themeColor="text1"/>
              </w:rPr>
              <w:t>234.50</w:t>
            </w:r>
          </w:p>
        </w:tc>
        <w:tc>
          <w:tcPr>
            <w:tcW w:w="1749" w:type="dxa"/>
          </w:tcPr>
          <w:p w:rsidR="006C1C86" w:rsidRPr="00D576C5" w:rsidRDefault="006C1C86" w:rsidP="00295D99">
            <w:pPr>
              <w:spacing w:before="20" w:after="20"/>
              <w:jc w:val="right"/>
              <w:rPr>
                <w:rFonts w:cs="Arial"/>
                <w:color w:val="000000" w:themeColor="text1"/>
              </w:rPr>
            </w:pPr>
            <w:r>
              <w:rPr>
                <w:rFonts w:cs="Arial"/>
                <w:color w:val="000000" w:themeColor="text1"/>
              </w:rPr>
              <w:t>3.76%</w:t>
            </w:r>
          </w:p>
        </w:tc>
      </w:tr>
      <w:tr w:rsidR="006C1C86" w:rsidRPr="00D576C5" w:rsidTr="006B5DCE">
        <w:tc>
          <w:tcPr>
            <w:tcW w:w="3916" w:type="dxa"/>
            <w:tcBorders>
              <w:bottom w:val="single" w:sz="4" w:space="0" w:color="auto"/>
            </w:tcBorders>
            <w:shd w:val="clear" w:color="auto" w:fill="auto"/>
          </w:tcPr>
          <w:p w:rsidR="006C1C86" w:rsidRPr="00D576C5" w:rsidRDefault="006C1C86" w:rsidP="006E4BED">
            <w:pPr>
              <w:spacing w:before="20" w:after="20"/>
              <w:rPr>
                <w:rFonts w:cs="Arial"/>
                <w:b/>
                <w:color w:val="000000" w:themeColor="text1"/>
              </w:rPr>
            </w:pPr>
            <w:r w:rsidRPr="00D576C5">
              <w:rPr>
                <w:rFonts w:cs="Arial"/>
                <w:b/>
                <w:color w:val="000000" w:themeColor="text1"/>
              </w:rPr>
              <w:t>Total Rates and Charges</w:t>
            </w:r>
          </w:p>
        </w:tc>
        <w:tc>
          <w:tcPr>
            <w:tcW w:w="728" w:type="dxa"/>
            <w:tcBorders>
              <w:bottom w:val="single" w:sz="4" w:space="0" w:color="auto"/>
            </w:tcBorders>
            <w:shd w:val="clear" w:color="auto" w:fill="auto"/>
          </w:tcPr>
          <w:p w:rsidR="006C1C86" w:rsidRPr="00D576C5" w:rsidRDefault="006C1C86" w:rsidP="00134DEC">
            <w:pPr>
              <w:spacing w:before="20" w:after="20"/>
              <w:jc w:val="right"/>
              <w:rPr>
                <w:rFonts w:cs="Arial"/>
                <w:b/>
                <w:color w:val="000000" w:themeColor="text1"/>
              </w:rPr>
            </w:pPr>
          </w:p>
        </w:tc>
        <w:tc>
          <w:tcPr>
            <w:tcW w:w="284" w:type="dxa"/>
            <w:shd w:val="clear" w:color="auto" w:fill="auto"/>
          </w:tcPr>
          <w:p w:rsidR="006C1C86" w:rsidRDefault="006C1C86" w:rsidP="00295D99">
            <w:pPr>
              <w:spacing w:before="20" w:after="20"/>
              <w:jc w:val="right"/>
              <w:rPr>
                <w:rFonts w:cs="Arial"/>
                <w:b/>
                <w:color w:val="000000" w:themeColor="text1"/>
              </w:rPr>
            </w:pPr>
          </w:p>
        </w:tc>
        <w:tc>
          <w:tcPr>
            <w:tcW w:w="1748" w:type="dxa"/>
            <w:tcBorders>
              <w:bottom w:val="single" w:sz="4" w:space="0" w:color="auto"/>
            </w:tcBorders>
          </w:tcPr>
          <w:p w:rsidR="006C1C86" w:rsidRDefault="006C1C86" w:rsidP="00295D99">
            <w:pPr>
              <w:spacing w:before="20" w:after="20"/>
              <w:jc w:val="right"/>
              <w:rPr>
                <w:rFonts w:cs="Arial"/>
                <w:b/>
                <w:color w:val="000000" w:themeColor="text1"/>
              </w:rPr>
            </w:pPr>
            <w:r>
              <w:rPr>
                <w:rFonts w:cs="Arial"/>
                <w:b/>
                <w:color w:val="000000" w:themeColor="text1"/>
              </w:rPr>
              <w:t>1,242.44</w:t>
            </w:r>
          </w:p>
        </w:tc>
        <w:tc>
          <w:tcPr>
            <w:tcW w:w="1748" w:type="dxa"/>
            <w:tcBorders>
              <w:bottom w:val="single" w:sz="4" w:space="0" w:color="auto"/>
            </w:tcBorders>
          </w:tcPr>
          <w:p w:rsidR="006C1C86" w:rsidRPr="00D576C5" w:rsidRDefault="006C1C86" w:rsidP="00295D99">
            <w:pPr>
              <w:spacing w:before="20" w:after="20"/>
              <w:jc w:val="right"/>
              <w:rPr>
                <w:rFonts w:cs="Arial"/>
                <w:b/>
                <w:color w:val="000000" w:themeColor="text1"/>
              </w:rPr>
            </w:pPr>
            <w:r>
              <w:rPr>
                <w:rFonts w:cs="Arial"/>
                <w:b/>
                <w:color w:val="000000" w:themeColor="text1"/>
              </w:rPr>
              <w:t>1,297.68</w:t>
            </w:r>
          </w:p>
        </w:tc>
        <w:tc>
          <w:tcPr>
            <w:tcW w:w="1749" w:type="dxa"/>
            <w:tcBorders>
              <w:bottom w:val="single" w:sz="4" w:space="0" w:color="auto"/>
            </w:tcBorders>
          </w:tcPr>
          <w:p w:rsidR="006C1C86" w:rsidRPr="00D576C5" w:rsidRDefault="006C1C86" w:rsidP="00295D99">
            <w:pPr>
              <w:spacing w:before="20" w:after="20"/>
              <w:jc w:val="right"/>
              <w:rPr>
                <w:rFonts w:cs="Arial"/>
                <w:b/>
                <w:color w:val="000000" w:themeColor="text1"/>
              </w:rPr>
            </w:pPr>
            <w:r>
              <w:rPr>
                <w:rFonts w:cs="Arial"/>
                <w:b/>
                <w:color w:val="000000" w:themeColor="text1"/>
              </w:rPr>
              <w:t>4.45%</w:t>
            </w:r>
          </w:p>
        </w:tc>
      </w:tr>
    </w:tbl>
    <w:p w:rsidR="006A2FAA" w:rsidRPr="00632002" w:rsidRDefault="006A2FAA" w:rsidP="006A2FAA">
      <w:pPr>
        <w:rPr>
          <w:rFonts w:cs="Arial"/>
          <w:color w:val="FF0000"/>
        </w:rPr>
      </w:pPr>
    </w:p>
    <w:p w:rsidR="00010848" w:rsidRDefault="00010848" w:rsidP="00053D1F">
      <w:pPr>
        <w:spacing w:after="120"/>
        <w:rPr>
          <w:rFonts w:cs="Arial"/>
          <w:b/>
          <w:sz w:val="24"/>
          <w:szCs w:val="24"/>
        </w:rPr>
      </w:pPr>
    </w:p>
    <w:p w:rsidR="00015AC4" w:rsidRPr="00A51B9B" w:rsidRDefault="00CD6C4E" w:rsidP="00053D1F">
      <w:pPr>
        <w:spacing w:after="120"/>
        <w:rPr>
          <w:rFonts w:ascii="Arial Narrow" w:hAnsi="Arial Narrow" w:cs="Arial"/>
          <w:b/>
          <w:sz w:val="24"/>
          <w:szCs w:val="24"/>
        </w:rPr>
      </w:pPr>
      <w:r w:rsidRPr="00A51B9B">
        <w:rPr>
          <w:rFonts w:cs="Arial"/>
          <w:b/>
          <w:sz w:val="24"/>
          <w:szCs w:val="24"/>
        </w:rPr>
        <w:t>3</w:t>
      </w:r>
      <w:r w:rsidR="00777A28" w:rsidRPr="00A51B9B">
        <w:rPr>
          <w:rFonts w:ascii="Arial Narrow" w:hAnsi="Arial Narrow" w:cs="Arial"/>
          <w:b/>
          <w:sz w:val="24"/>
          <w:szCs w:val="24"/>
        </w:rPr>
        <w:t xml:space="preserve">.  </w:t>
      </w:r>
      <w:r w:rsidR="00015AC4" w:rsidRPr="00A51B9B">
        <w:rPr>
          <w:rFonts w:ascii="Arial Narrow" w:hAnsi="Arial Narrow" w:cs="Arial"/>
          <w:b/>
          <w:sz w:val="24"/>
          <w:szCs w:val="24"/>
        </w:rPr>
        <w:t>Rating Structure</w:t>
      </w:r>
    </w:p>
    <w:p w:rsidR="00015AC4" w:rsidRPr="006E4BED" w:rsidRDefault="00015AC4" w:rsidP="00A94AE6">
      <w:pPr>
        <w:spacing w:after="160"/>
        <w:jc w:val="both"/>
        <w:rPr>
          <w:rFonts w:cs="Arial"/>
          <w:color w:val="000000" w:themeColor="text1"/>
        </w:rPr>
      </w:pPr>
      <w:r w:rsidRPr="006E4BED">
        <w:rPr>
          <w:rFonts w:cs="Arial"/>
          <w:color w:val="000000" w:themeColor="text1"/>
        </w:rPr>
        <w:t>All rating is made with respect to the Local Government Act 1989</w:t>
      </w:r>
      <w:r w:rsidR="00E308A7">
        <w:rPr>
          <w:rFonts w:cs="Arial"/>
          <w:color w:val="000000" w:themeColor="text1"/>
        </w:rPr>
        <w:t xml:space="preserve"> (LGA)</w:t>
      </w:r>
      <w:r w:rsidRPr="006E4BED">
        <w:rPr>
          <w:rFonts w:cs="Arial"/>
          <w:color w:val="000000" w:themeColor="text1"/>
        </w:rPr>
        <w:t>, Section 154 to Section 181.</w:t>
      </w:r>
    </w:p>
    <w:p w:rsidR="00CB2603" w:rsidRPr="006E4BED" w:rsidRDefault="00582EE6" w:rsidP="00A94AE6">
      <w:pPr>
        <w:spacing w:after="160"/>
        <w:jc w:val="both"/>
        <w:rPr>
          <w:rFonts w:cs="Arial"/>
          <w:color w:val="000000" w:themeColor="text1"/>
        </w:rPr>
      </w:pPr>
      <w:r w:rsidRPr="006E4BED">
        <w:rPr>
          <w:rFonts w:cs="Arial"/>
          <w:color w:val="000000" w:themeColor="text1"/>
        </w:rPr>
        <w:t>The rating s</w:t>
      </w:r>
      <w:r w:rsidR="00420C4A" w:rsidRPr="006E4BED">
        <w:rPr>
          <w:rFonts w:cs="Arial"/>
          <w:color w:val="000000" w:themeColor="text1"/>
        </w:rPr>
        <w:t xml:space="preserve">tructure </w:t>
      </w:r>
      <w:r w:rsidR="00CB2603" w:rsidRPr="006E4BED">
        <w:rPr>
          <w:rFonts w:cs="Arial"/>
          <w:color w:val="000000" w:themeColor="text1"/>
        </w:rPr>
        <w:t xml:space="preserve">is comprised of three </w:t>
      </w:r>
      <w:r w:rsidR="00420C4A" w:rsidRPr="006E4BED">
        <w:rPr>
          <w:rFonts w:cs="Arial"/>
          <w:color w:val="000000" w:themeColor="text1"/>
        </w:rPr>
        <w:t>key</w:t>
      </w:r>
      <w:r w:rsidR="00CB2603" w:rsidRPr="006E4BED">
        <w:rPr>
          <w:rFonts w:cs="Arial"/>
          <w:color w:val="000000" w:themeColor="text1"/>
        </w:rPr>
        <w:t xml:space="preserve"> elements. Striking a proper balance between these elements provides equity in the distribution of the rate burden across residents.</w:t>
      </w:r>
    </w:p>
    <w:p w:rsidR="00CB2603" w:rsidRPr="00A24880" w:rsidRDefault="00CB2603" w:rsidP="00C05E68">
      <w:pPr>
        <w:numPr>
          <w:ilvl w:val="0"/>
          <w:numId w:val="1"/>
        </w:numPr>
        <w:tabs>
          <w:tab w:val="clear" w:pos="720"/>
          <w:tab w:val="num" w:pos="284"/>
        </w:tabs>
        <w:spacing w:after="160"/>
        <w:ind w:left="284" w:hanging="284"/>
        <w:jc w:val="both"/>
        <w:rPr>
          <w:rFonts w:cs="Arial"/>
        </w:rPr>
      </w:pPr>
      <w:r w:rsidRPr="00A24880">
        <w:rPr>
          <w:rFonts w:cs="Arial"/>
        </w:rPr>
        <w:t>Using the</w:t>
      </w:r>
      <w:r w:rsidR="00015AC4" w:rsidRPr="00A24880">
        <w:rPr>
          <w:rFonts w:cs="Arial"/>
        </w:rPr>
        <w:t xml:space="preserve"> Capital Improved Valuation</w:t>
      </w:r>
      <w:r w:rsidRPr="00A24880">
        <w:rPr>
          <w:rFonts w:cs="Arial"/>
        </w:rPr>
        <w:t xml:space="preserve"> system of valuing land, a rate in the dollar is applied.</w:t>
      </w:r>
      <w:r w:rsidR="00A24880" w:rsidRPr="00A24880">
        <w:rPr>
          <w:rFonts w:cs="Arial"/>
        </w:rPr>
        <w:t xml:space="preserve"> </w:t>
      </w:r>
      <w:r w:rsidR="009367F0">
        <w:rPr>
          <w:rFonts w:cs="Arial"/>
        </w:rPr>
        <w:t>Thirteen</w:t>
      </w:r>
      <w:r w:rsidR="00420C4A" w:rsidRPr="00A24880">
        <w:rPr>
          <w:rFonts w:cs="Arial"/>
        </w:rPr>
        <w:t xml:space="preserve"> differential r</w:t>
      </w:r>
      <w:r w:rsidRPr="00A24880">
        <w:rPr>
          <w:rFonts w:cs="Arial"/>
        </w:rPr>
        <w:t>ates are proposed for 2013-2014.</w:t>
      </w:r>
      <w:r w:rsidR="00A24880">
        <w:rPr>
          <w:rFonts w:cs="Arial"/>
        </w:rPr>
        <w:t xml:space="preserve"> </w:t>
      </w:r>
      <w:r w:rsidRPr="00A24880">
        <w:rPr>
          <w:rFonts w:cs="Arial"/>
        </w:rPr>
        <w:t xml:space="preserve">In </w:t>
      </w:r>
      <w:r w:rsidR="00F513C1" w:rsidRPr="00A24880">
        <w:rPr>
          <w:rFonts w:cs="Arial"/>
        </w:rPr>
        <w:t>reviewing</w:t>
      </w:r>
      <w:r w:rsidRPr="00A24880">
        <w:rPr>
          <w:rFonts w:cs="Arial"/>
        </w:rPr>
        <w:t xml:space="preserve"> these differentials, Council have considered the objectives, the suitable uses and the types </w:t>
      </w:r>
      <w:r w:rsidR="006E4BED" w:rsidRPr="00A24880">
        <w:rPr>
          <w:rFonts w:cs="Arial"/>
        </w:rPr>
        <w:t xml:space="preserve">and classes </w:t>
      </w:r>
      <w:r w:rsidRPr="00A24880">
        <w:rPr>
          <w:rFonts w:cs="Arial"/>
        </w:rPr>
        <w:t>of land.</w:t>
      </w:r>
    </w:p>
    <w:p w:rsidR="00582EE6" w:rsidRPr="00A24880" w:rsidRDefault="00A94AE6" w:rsidP="00C05E68">
      <w:pPr>
        <w:numPr>
          <w:ilvl w:val="0"/>
          <w:numId w:val="1"/>
        </w:numPr>
        <w:tabs>
          <w:tab w:val="clear" w:pos="720"/>
          <w:tab w:val="num" w:pos="284"/>
        </w:tabs>
        <w:spacing w:after="160"/>
        <w:ind w:left="284" w:hanging="284"/>
        <w:jc w:val="both"/>
        <w:rPr>
          <w:rFonts w:cs="Arial"/>
        </w:rPr>
      </w:pPr>
      <w:r w:rsidRPr="00A24880">
        <w:rPr>
          <w:rFonts w:cs="Arial"/>
        </w:rPr>
        <w:t>The Municipal Charge (</w:t>
      </w:r>
      <w:r w:rsidR="00A303FC" w:rsidRPr="00A24880">
        <w:rPr>
          <w:rFonts w:cs="Arial"/>
        </w:rPr>
        <w:t>a</w:t>
      </w:r>
      <w:r w:rsidRPr="00A24880">
        <w:rPr>
          <w:rFonts w:cs="Arial"/>
        </w:rPr>
        <w:t xml:space="preserve"> fixed contribution </w:t>
      </w:r>
      <w:r w:rsidR="00372A51" w:rsidRPr="00A24880">
        <w:rPr>
          <w:rFonts w:cs="Arial"/>
        </w:rPr>
        <w:t>per property to cover some of the</w:t>
      </w:r>
      <w:r w:rsidRPr="00A24880">
        <w:rPr>
          <w:rFonts w:cs="Arial"/>
        </w:rPr>
        <w:t xml:space="preserve"> governance costs of Council).</w:t>
      </w:r>
      <w:r w:rsidR="00A24880" w:rsidRPr="00A24880">
        <w:rPr>
          <w:rFonts w:cs="Arial"/>
        </w:rPr>
        <w:t xml:space="preserve"> </w:t>
      </w:r>
      <w:r w:rsidR="00582EE6" w:rsidRPr="00A24880">
        <w:rPr>
          <w:rFonts w:cs="Arial"/>
        </w:rPr>
        <w:t>The purpose of the municipal charge is to recover some of the administrative costs of the Council. The charge is applied to all rateable properties and is proposed to be increased from $86.33 to $88.90.</w:t>
      </w:r>
      <w:r w:rsidR="00A24880" w:rsidRPr="00A24880">
        <w:rPr>
          <w:rFonts w:cs="Arial"/>
        </w:rPr>
        <w:t xml:space="preserve"> </w:t>
      </w:r>
      <w:r w:rsidR="00582EE6" w:rsidRPr="00A24880">
        <w:rPr>
          <w:rFonts w:cs="Arial"/>
        </w:rPr>
        <w:t xml:space="preserve">Where rates are a variable charge levied on </w:t>
      </w:r>
      <w:smartTag w:uri="urn:schemas-microsoft-com:office:smarttags" w:element="stockticker">
        <w:r w:rsidR="00582EE6" w:rsidRPr="00A24880">
          <w:rPr>
            <w:rFonts w:cs="Arial"/>
          </w:rPr>
          <w:t>CIV</w:t>
        </w:r>
      </w:smartTag>
      <w:r w:rsidR="00582EE6" w:rsidRPr="00A24880">
        <w:rPr>
          <w:rFonts w:cs="Arial"/>
        </w:rPr>
        <w:t xml:space="preserve"> at a rate in the dollar, the municipal charge is a fixed contribution on all ratepayers. </w:t>
      </w:r>
    </w:p>
    <w:p w:rsidR="00582EE6" w:rsidRPr="00582EE6" w:rsidRDefault="00015AC4" w:rsidP="00C05E68">
      <w:pPr>
        <w:numPr>
          <w:ilvl w:val="0"/>
          <w:numId w:val="1"/>
        </w:numPr>
        <w:tabs>
          <w:tab w:val="clear" w:pos="720"/>
          <w:tab w:val="num" w:pos="360"/>
        </w:tabs>
        <w:spacing w:after="160"/>
        <w:ind w:left="0" w:firstLine="0"/>
        <w:jc w:val="both"/>
        <w:rPr>
          <w:rFonts w:cs="Arial"/>
        </w:rPr>
      </w:pPr>
      <w:r w:rsidRPr="00A51B9B">
        <w:rPr>
          <w:rFonts w:cs="Arial"/>
        </w:rPr>
        <w:t>A fee for a separate component to reflect usage of services provided (</w:t>
      </w:r>
      <w:r w:rsidR="00396665" w:rsidRPr="00A51B9B">
        <w:rPr>
          <w:rFonts w:cs="Arial"/>
        </w:rPr>
        <w:t>ie.</w:t>
      </w:r>
      <w:r w:rsidRPr="00A51B9B">
        <w:rPr>
          <w:rFonts w:cs="Arial"/>
        </w:rPr>
        <w:t xml:space="preserve"> Waste Services)</w:t>
      </w:r>
      <w:r w:rsidR="000C455E" w:rsidRPr="00A51B9B">
        <w:rPr>
          <w:rFonts w:cs="Arial"/>
        </w:rPr>
        <w:t>.</w:t>
      </w:r>
    </w:p>
    <w:p w:rsidR="00582EE6" w:rsidRPr="006E4BED" w:rsidRDefault="00582EE6" w:rsidP="00582EE6">
      <w:pPr>
        <w:spacing w:before="80"/>
        <w:jc w:val="both"/>
        <w:rPr>
          <w:rFonts w:cs="Arial"/>
          <w:i/>
          <w:sz w:val="24"/>
          <w:szCs w:val="24"/>
        </w:rPr>
      </w:pPr>
      <w:r w:rsidRPr="006E4BED">
        <w:rPr>
          <w:rFonts w:cs="Arial"/>
          <w:i/>
          <w:sz w:val="24"/>
          <w:szCs w:val="24"/>
        </w:rPr>
        <w:t>Recycling and Waste Collection Service Charge</w:t>
      </w:r>
    </w:p>
    <w:p w:rsidR="00582EE6" w:rsidRPr="00D576C5" w:rsidRDefault="00582EE6" w:rsidP="00582EE6">
      <w:pPr>
        <w:spacing w:before="80"/>
        <w:jc w:val="both"/>
        <w:rPr>
          <w:color w:val="000000" w:themeColor="text1"/>
          <w:lang w:val="en-US"/>
        </w:rPr>
      </w:pPr>
      <w:r w:rsidRPr="00D576C5">
        <w:rPr>
          <w:color w:val="000000" w:themeColor="text1"/>
        </w:rPr>
        <w:t>The Annual Service Charge is proposed at $</w:t>
      </w:r>
      <w:r>
        <w:rPr>
          <w:color w:val="000000" w:themeColor="text1"/>
        </w:rPr>
        <w:t>234.50</w:t>
      </w:r>
      <w:r w:rsidRPr="00D576C5">
        <w:rPr>
          <w:color w:val="000000" w:themeColor="text1"/>
        </w:rPr>
        <w:t xml:space="preserve"> for each rateable land and non-rateable land. The charge </w:t>
      </w:r>
      <w:r w:rsidR="00F513C1">
        <w:rPr>
          <w:color w:val="000000" w:themeColor="text1"/>
        </w:rPr>
        <w:t>is</w:t>
      </w:r>
      <w:r w:rsidRPr="00D576C5">
        <w:rPr>
          <w:color w:val="000000" w:themeColor="text1"/>
        </w:rPr>
        <w:t xml:space="preserve"> levied on the following criteria:</w:t>
      </w:r>
    </w:p>
    <w:p w:rsidR="00582EE6" w:rsidRPr="00D576C5" w:rsidRDefault="00582EE6" w:rsidP="00C05E68">
      <w:pPr>
        <w:numPr>
          <w:ilvl w:val="0"/>
          <w:numId w:val="3"/>
        </w:numPr>
        <w:tabs>
          <w:tab w:val="clear" w:pos="720"/>
          <w:tab w:val="num" w:pos="0"/>
          <w:tab w:val="num" w:pos="284"/>
        </w:tabs>
        <w:spacing w:before="80"/>
        <w:ind w:left="284" w:hanging="284"/>
        <w:jc w:val="both"/>
        <w:rPr>
          <w:color w:val="000000" w:themeColor="text1"/>
        </w:rPr>
      </w:pPr>
      <w:r w:rsidRPr="00D576C5">
        <w:rPr>
          <w:color w:val="000000" w:themeColor="text1"/>
        </w:rPr>
        <w:t xml:space="preserve">Geographic existence within those areas of the municipal district in which Council provides a domestic refuse collection and disposal service. </w:t>
      </w:r>
    </w:p>
    <w:p w:rsidR="00582EE6" w:rsidRPr="00D576C5" w:rsidRDefault="00582EE6" w:rsidP="00C05E68">
      <w:pPr>
        <w:numPr>
          <w:ilvl w:val="0"/>
          <w:numId w:val="3"/>
        </w:numPr>
        <w:tabs>
          <w:tab w:val="clear" w:pos="720"/>
          <w:tab w:val="num" w:pos="0"/>
          <w:tab w:val="num" w:pos="284"/>
        </w:tabs>
        <w:spacing w:before="80"/>
        <w:ind w:left="284" w:hanging="284"/>
        <w:jc w:val="both"/>
        <w:rPr>
          <w:color w:val="000000" w:themeColor="text1"/>
        </w:rPr>
      </w:pPr>
      <w:r w:rsidRPr="00D576C5">
        <w:rPr>
          <w:color w:val="000000" w:themeColor="text1"/>
        </w:rPr>
        <w:t>The charge will be raised irrespective of whether the service is used or not.</w:t>
      </w:r>
    </w:p>
    <w:p w:rsidR="00582EE6" w:rsidRPr="00B0096F" w:rsidRDefault="00582EE6" w:rsidP="00B0096F">
      <w:pPr>
        <w:spacing w:after="120"/>
        <w:ind w:left="284"/>
        <w:jc w:val="both"/>
      </w:pPr>
      <w:r w:rsidRPr="00B0096F">
        <w:t xml:space="preserve">The Waste Collection Service charge is calculated based on a fee for service, including direct, indirect </w:t>
      </w:r>
      <w:r w:rsidRPr="00B0096F">
        <w:tab/>
      </w:r>
      <w:r w:rsidR="00B0096F">
        <w:t>and o</w:t>
      </w:r>
      <w:r w:rsidRPr="00B0096F">
        <w:t>verhead costs.  The charge for 2013</w:t>
      </w:r>
      <w:r w:rsidRPr="00B0096F">
        <w:noBreakHyphen/>
        <w:t>2014 will increase from $226.00 to $234.50 or 3.8%.</w:t>
      </w:r>
    </w:p>
    <w:p w:rsidR="00582EE6" w:rsidRDefault="00582EE6" w:rsidP="00A24880">
      <w:pPr>
        <w:spacing w:before="80"/>
        <w:ind w:left="284"/>
        <w:jc w:val="both"/>
        <w:rPr>
          <w:color w:val="000000" w:themeColor="text1"/>
        </w:rPr>
      </w:pPr>
      <w:r>
        <w:rPr>
          <w:color w:val="000000" w:themeColor="text1"/>
        </w:rPr>
        <w:t>Part of the standard service will be altered as part of the new waste collection contract for 2013-2014.</w:t>
      </w:r>
      <w:r w:rsidR="00B0096F">
        <w:rPr>
          <w:color w:val="000000" w:themeColor="text1"/>
        </w:rPr>
        <w:t xml:space="preserve"> </w:t>
      </w:r>
      <w:r>
        <w:rPr>
          <w:color w:val="000000" w:themeColor="text1"/>
        </w:rPr>
        <w:t>There will be a provision for a 660 litre bin for multi unit premises where presentation and storage is an issue. This bin will be available for general, recycling and green waste. The default</w:t>
      </w:r>
      <w:r w:rsidR="00B0096F">
        <w:rPr>
          <w:color w:val="000000" w:themeColor="text1"/>
        </w:rPr>
        <w:t xml:space="preserve"> collection is fortnightly for</w:t>
      </w:r>
      <w:r w:rsidR="009367F0">
        <w:rPr>
          <w:color w:val="000000" w:themeColor="text1"/>
        </w:rPr>
        <w:t xml:space="preserve"> </w:t>
      </w:r>
      <w:r>
        <w:rPr>
          <w:color w:val="000000" w:themeColor="text1"/>
        </w:rPr>
        <w:t>recycling and green waste and weekly for garbage. Each unit within t</w:t>
      </w:r>
      <w:r w:rsidR="00B0096F">
        <w:rPr>
          <w:color w:val="000000" w:themeColor="text1"/>
        </w:rPr>
        <w:t xml:space="preserve">he complex will be charged the </w:t>
      </w:r>
      <w:r>
        <w:rPr>
          <w:color w:val="000000" w:themeColor="text1"/>
        </w:rPr>
        <w:t>residential waste charge.</w:t>
      </w:r>
    </w:p>
    <w:p w:rsidR="00582EE6" w:rsidRDefault="00582EE6" w:rsidP="00A24880">
      <w:pPr>
        <w:spacing w:before="80"/>
        <w:ind w:left="284"/>
        <w:jc w:val="both"/>
        <w:rPr>
          <w:color w:val="000000" w:themeColor="text1"/>
        </w:rPr>
      </w:pPr>
      <w:r>
        <w:rPr>
          <w:color w:val="000000" w:themeColor="text1"/>
        </w:rPr>
        <w:t xml:space="preserve">Larger 140 litre general waste bins will be </w:t>
      </w:r>
      <w:r w:rsidR="003D54AD">
        <w:rPr>
          <w:color w:val="000000" w:themeColor="text1"/>
        </w:rPr>
        <w:t>introduced in 2013-2014.</w:t>
      </w:r>
      <w:r>
        <w:rPr>
          <w:color w:val="000000" w:themeColor="text1"/>
        </w:rPr>
        <w:t xml:space="preserve"> These bins replace damaged or stolen 120 litre bins. There will be no additional charge to the ratepayer for this increased service.</w:t>
      </w:r>
    </w:p>
    <w:p w:rsidR="00582EE6" w:rsidRDefault="00582EE6" w:rsidP="00A24880">
      <w:pPr>
        <w:spacing w:before="80"/>
        <w:ind w:left="284"/>
        <w:jc w:val="both"/>
        <w:rPr>
          <w:color w:val="000000" w:themeColor="text1"/>
        </w:rPr>
      </w:pPr>
      <w:r>
        <w:rPr>
          <w:color w:val="000000" w:themeColor="text1"/>
        </w:rPr>
        <w:t xml:space="preserve">The Waste Voucher system will continue in 2013-2014 </w:t>
      </w:r>
      <w:r w:rsidR="003D54AD">
        <w:rPr>
          <w:color w:val="000000" w:themeColor="text1"/>
        </w:rPr>
        <w:t xml:space="preserve">either as a boot load or half a trailer </w:t>
      </w:r>
      <w:r w:rsidR="00A24880">
        <w:rPr>
          <w:color w:val="000000" w:themeColor="text1"/>
        </w:rPr>
        <w:t xml:space="preserve">and be issued </w:t>
      </w:r>
      <w:r>
        <w:rPr>
          <w:color w:val="000000" w:themeColor="text1"/>
        </w:rPr>
        <w:t>to the occupier instead of the ratepayer. Each voucher has a value of</w:t>
      </w:r>
      <w:r w:rsidR="00A24880">
        <w:rPr>
          <w:color w:val="000000" w:themeColor="text1"/>
        </w:rPr>
        <w:t xml:space="preserve"> $18.50 compared to $17.00 for </w:t>
      </w:r>
      <w:r>
        <w:rPr>
          <w:color w:val="000000" w:themeColor="text1"/>
        </w:rPr>
        <w:t>2012-2013.</w:t>
      </w:r>
    </w:p>
    <w:p w:rsidR="003D54AD" w:rsidRDefault="00582EE6" w:rsidP="00A24880">
      <w:pPr>
        <w:spacing w:before="80"/>
        <w:ind w:left="284"/>
        <w:jc w:val="both"/>
        <w:rPr>
          <w:color w:val="000000" w:themeColor="text1"/>
        </w:rPr>
      </w:pPr>
      <w:r>
        <w:rPr>
          <w:color w:val="000000" w:themeColor="text1"/>
        </w:rPr>
        <w:t xml:space="preserve">Provision has been made for a HACC support program for residents </w:t>
      </w:r>
      <w:r w:rsidR="00A24880">
        <w:rPr>
          <w:color w:val="000000" w:themeColor="text1"/>
        </w:rPr>
        <w:t xml:space="preserve">requiring assistance with waste </w:t>
      </w:r>
      <w:r>
        <w:rPr>
          <w:color w:val="000000" w:themeColor="text1"/>
        </w:rPr>
        <w:t>removal.</w:t>
      </w:r>
      <w:r w:rsidR="00A24880">
        <w:rPr>
          <w:color w:val="000000" w:themeColor="text1"/>
        </w:rPr>
        <w:t xml:space="preserve"> </w:t>
      </w:r>
    </w:p>
    <w:p w:rsidR="00420C4A" w:rsidRPr="006C2980" w:rsidRDefault="00420C4A" w:rsidP="00A24880">
      <w:pPr>
        <w:spacing w:before="80"/>
        <w:ind w:left="284"/>
        <w:jc w:val="both"/>
        <w:rPr>
          <w:color w:val="000000" w:themeColor="text1"/>
        </w:rPr>
      </w:pPr>
      <w:r>
        <w:rPr>
          <w:color w:val="000000" w:themeColor="text1"/>
        </w:rPr>
        <w:t>The rating structure also includes provision for Rates Waivers, Rebates and incentives</w:t>
      </w:r>
      <w:r w:rsidR="009367F0">
        <w:rPr>
          <w:color w:val="000000" w:themeColor="text1"/>
        </w:rPr>
        <w:t>.</w:t>
      </w:r>
    </w:p>
    <w:p w:rsidR="00582EE6" w:rsidRPr="00B30660" w:rsidRDefault="00582EE6" w:rsidP="00582EE6">
      <w:pPr>
        <w:spacing w:before="80"/>
        <w:jc w:val="both"/>
        <w:rPr>
          <w:rFonts w:cs="Arial"/>
          <w:i/>
          <w:sz w:val="24"/>
          <w:szCs w:val="24"/>
        </w:rPr>
      </w:pPr>
      <w:r w:rsidRPr="00B30660">
        <w:rPr>
          <w:rFonts w:cs="Arial"/>
          <w:i/>
          <w:sz w:val="24"/>
          <w:szCs w:val="24"/>
        </w:rPr>
        <w:t>Charitable Housing</w:t>
      </w:r>
    </w:p>
    <w:p w:rsidR="00582EE6" w:rsidRPr="00D576C5" w:rsidRDefault="00582EE6" w:rsidP="00582EE6">
      <w:pPr>
        <w:spacing w:before="80"/>
        <w:jc w:val="both"/>
        <w:rPr>
          <w:color w:val="000000" w:themeColor="text1"/>
        </w:rPr>
      </w:pPr>
      <w:r w:rsidRPr="00D576C5">
        <w:rPr>
          <w:color w:val="000000" w:themeColor="text1"/>
        </w:rPr>
        <w:t xml:space="preserve">Prior to the 2011-2012 </w:t>
      </w:r>
      <w:r w:rsidR="009367F0">
        <w:rPr>
          <w:color w:val="000000" w:themeColor="text1"/>
        </w:rPr>
        <w:t>B</w:t>
      </w:r>
      <w:r w:rsidRPr="00D576C5">
        <w:rPr>
          <w:color w:val="000000" w:themeColor="text1"/>
        </w:rPr>
        <w:t>udget</w:t>
      </w:r>
      <w:r w:rsidR="009367F0">
        <w:rPr>
          <w:color w:val="000000" w:themeColor="text1"/>
        </w:rPr>
        <w:t>,</w:t>
      </w:r>
      <w:r w:rsidRPr="00D576C5">
        <w:rPr>
          <w:color w:val="000000" w:themeColor="text1"/>
        </w:rPr>
        <w:t xml:space="preserve"> a review was conducted of housing provided for social, community or charitable purposes. Commencing from 2011-2012 all housing provided by Housing Associations, charitable</w:t>
      </w:r>
      <w:r w:rsidR="00B0096F">
        <w:rPr>
          <w:color w:val="000000" w:themeColor="text1"/>
        </w:rPr>
        <w:t xml:space="preserve"> </w:t>
      </w:r>
      <w:r w:rsidRPr="00D576C5">
        <w:rPr>
          <w:color w:val="000000" w:themeColor="text1"/>
        </w:rPr>
        <w:t xml:space="preserve">or government organisations will be rated in accordance with legal precedent and the Local </w:t>
      </w:r>
      <w:r w:rsidR="00B0096F">
        <w:rPr>
          <w:color w:val="000000" w:themeColor="text1"/>
        </w:rPr>
        <w:t>Government Act.</w:t>
      </w:r>
    </w:p>
    <w:p w:rsidR="00582EE6" w:rsidRPr="00D03D36" w:rsidRDefault="00582EE6" w:rsidP="00A24880">
      <w:pPr>
        <w:pStyle w:val="BodyText0"/>
        <w:ind w:left="0"/>
        <w:jc w:val="both"/>
        <w:rPr>
          <w:sz w:val="21"/>
          <w:szCs w:val="21"/>
        </w:rPr>
      </w:pPr>
      <w:r w:rsidRPr="00D576C5">
        <w:rPr>
          <w:color w:val="000000" w:themeColor="text1"/>
        </w:rPr>
        <w:t xml:space="preserve">A Housing Support </w:t>
      </w:r>
      <w:r>
        <w:rPr>
          <w:color w:val="000000" w:themeColor="text1"/>
        </w:rPr>
        <w:t>waiver</w:t>
      </w:r>
      <w:r w:rsidRPr="00D576C5">
        <w:rPr>
          <w:color w:val="000000" w:themeColor="text1"/>
        </w:rPr>
        <w:t xml:space="preserve"> will </w:t>
      </w:r>
      <w:r>
        <w:rPr>
          <w:color w:val="000000" w:themeColor="text1"/>
        </w:rPr>
        <w:t>b</w:t>
      </w:r>
      <w:r w:rsidRPr="00D576C5">
        <w:rPr>
          <w:color w:val="000000" w:themeColor="text1"/>
        </w:rPr>
        <w:t xml:space="preserve">e provided for Transitional, Crisis or Emergency housing provided by charitable organisations. The </w:t>
      </w:r>
      <w:r>
        <w:rPr>
          <w:color w:val="000000" w:themeColor="text1"/>
        </w:rPr>
        <w:t>waiver</w:t>
      </w:r>
      <w:r w:rsidRPr="00D576C5">
        <w:rPr>
          <w:color w:val="000000" w:themeColor="text1"/>
        </w:rPr>
        <w:t xml:space="preserve"> will also be provided for housing provided</w:t>
      </w:r>
      <w:r w:rsidR="00A24880">
        <w:rPr>
          <w:color w:val="000000" w:themeColor="text1"/>
        </w:rPr>
        <w:t xml:space="preserve"> </w:t>
      </w:r>
      <w:r w:rsidRPr="00D576C5">
        <w:rPr>
          <w:color w:val="000000" w:themeColor="text1"/>
        </w:rPr>
        <w:t xml:space="preserve">by Geelong Legacy Club or the RSL and housing provided by charitable organisations to support disabled people. </w:t>
      </w:r>
      <w:r>
        <w:rPr>
          <w:color w:val="000000" w:themeColor="text1"/>
        </w:rPr>
        <w:t>Waivers</w:t>
      </w:r>
      <w:r w:rsidRPr="00D576C5">
        <w:rPr>
          <w:color w:val="000000" w:themeColor="text1"/>
        </w:rPr>
        <w:t xml:space="preserve"> will be for 100% of general rates and the municipal charge. </w:t>
      </w:r>
      <w:r>
        <w:rPr>
          <w:color w:val="000000" w:themeColor="text1"/>
        </w:rPr>
        <w:t xml:space="preserve">Previously, a rebate was provided. </w:t>
      </w:r>
    </w:p>
    <w:p w:rsidR="003D54AD" w:rsidRPr="00F108A2" w:rsidRDefault="00582EE6" w:rsidP="003D54AD">
      <w:pPr>
        <w:autoSpaceDE w:val="0"/>
        <w:autoSpaceDN w:val="0"/>
        <w:adjustRightInd w:val="0"/>
        <w:jc w:val="both"/>
        <w:rPr>
          <w:rFonts w:cs="Arial"/>
          <w:lang w:val="en-US"/>
        </w:rPr>
      </w:pPr>
      <w:r w:rsidRPr="00D576C5">
        <w:rPr>
          <w:color w:val="000000" w:themeColor="text1"/>
        </w:rPr>
        <w:t>A Transitional rebate of 50% of general rates and municipal charges will be provided in 201</w:t>
      </w:r>
      <w:r>
        <w:rPr>
          <w:color w:val="000000" w:themeColor="text1"/>
        </w:rPr>
        <w:t>3</w:t>
      </w:r>
      <w:r w:rsidRPr="00D576C5">
        <w:rPr>
          <w:color w:val="000000" w:themeColor="text1"/>
        </w:rPr>
        <w:t>-201</w:t>
      </w:r>
      <w:r>
        <w:rPr>
          <w:color w:val="000000" w:themeColor="text1"/>
        </w:rPr>
        <w:t>4</w:t>
      </w:r>
      <w:r w:rsidRPr="00D576C5">
        <w:rPr>
          <w:color w:val="000000" w:themeColor="text1"/>
        </w:rPr>
        <w:t xml:space="preserve"> for nominated charitable housing properties that have previously not been rated to allow for a smooth transition in the rateable </w:t>
      </w:r>
      <w:r w:rsidRPr="00D576C5">
        <w:rPr>
          <w:color w:val="000000" w:themeColor="text1"/>
        </w:rPr>
        <w:lastRenderedPageBreak/>
        <w:t xml:space="preserve">status of these properties. </w:t>
      </w:r>
      <w:r w:rsidR="00B0096F" w:rsidRPr="00F108A2">
        <w:rPr>
          <w:rFonts w:cs="Arial"/>
          <w:lang w:val="en-US"/>
        </w:rPr>
        <w:t>It had been Councils intention to continue the transition process and reduce the rebate</w:t>
      </w:r>
      <w:r w:rsidR="003D54AD" w:rsidRPr="00F108A2">
        <w:rPr>
          <w:rFonts w:cs="Arial"/>
          <w:lang w:val="en-US"/>
        </w:rPr>
        <w:t>. However, with the introduction of the</w:t>
      </w:r>
      <w:r w:rsidR="00BB580F" w:rsidRPr="00F108A2">
        <w:rPr>
          <w:rFonts w:cs="Arial"/>
          <w:lang w:val="en-US"/>
        </w:rPr>
        <w:t xml:space="preserve"> State Government</w:t>
      </w:r>
      <w:r w:rsidR="003D54AD" w:rsidRPr="00F108A2">
        <w:rPr>
          <w:rFonts w:cs="Arial"/>
          <w:lang w:val="en-US"/>
        </w:rPr>
        <w:t xml:space="preserve"> </w:t>
      </w:r>
      <w:r w:rsidR="00B0096F" w:rsidRPr="00F108A2">
        <w:rPr>
          <w:rFonts w:cs="Arial"/>
          <w:lang w:val="en-US"/>
        </w:rPr>
        <w:t xml:space="preserve">Fire Services Property Levy, </w:t>
      </w:r>
      <w:r w:rsidR="003D54AD" w:rsidRPr="00F108A2">
        <w:rPr>
          <w:rFonts w:cs="Arial"/>
          <w:lang w:val="en-US"/>
        </w:rPr>
        <w:t>it is proposed to retain the rebate at 50% for 2013-2014.</w:t>
      </w:r>
    </w:p>
    <w:p w:rsidR="00582EE6" w:rsidRPr="00B30660" w:rsidRDefault="00582EE6" w:rsidP="00582EE6">
      <w:pPr>
        <w:spacing w:before="80"/>
        <w:jc w:val="both"/>
        <w:rPr>
          <w:rFonts w:cs="Arial"/>
          <w:i/>
          <w:sz w:val="24"/>
          <w:szCs w:val="24"/>
        </w:rPr>
      </w:pPr>
      <w:r w:rsidRPr="00B30660">
        <w:rPr>
          <w:rFonts w:cs="Arial"/>
          <w:i/>
          <w:sz w:val="24"/>
          <w:szCs w:val="24"/>
        </w:rPr>
        <w:t xml:space="preserve">Rates Assistance </w:t>
      </w:r>
    </w:p>
    <w:p w:rsidR="00C51E93" w:rsidRPr="00C51E93" w:rsidRDefault="00582EE6" w:rsidP="00C51E93">
      <w:pPr>
        <w:spacing w:before="80"/>
        <w:jc w:val="both"/>
        <w:rPr>
          <w:rFonts w:cs="Arial"/>
          <w:color w:val="000000" w:themeColor="text1"/>
        </w:rPr>
      </w:pPr>
      <w:r w:rsidRPr="00D576C5">
        <w:rPr>
          <w:color w:val="000000" w:themeColor="text1"/>
        </w:rPr>
        <w:t>It is proposed to continue the rate relief provisions to allow for the continuation of a one</w:t>
      </w:r>
      <w:r w:rsidRPr="00D576C5">
        <w:rPr>
          <w:color w:val="000000" w:themeColor="text1"/>
        </w:rPr>
        <w:noBreakHyphen/>
        <w:t xml:space="preserve">off waiver for residential and farm properties </w:t>
      </w:r>
      <w:r w:rsidR="00C51E93" w:rsidRPr="00C51E93">
        <w:rPr>
          <w:rFonts w:cs="Arial"/>
          <w:color w:val="000000" w:themeColor="text1"/>
        </w:rPr>
        <w:t>where the valuation of the assessment has increased between the 2010 valuation and the 2012 valuation by 50% or more and that increase is purely attributable to market factors, not attributable, in whole or in part, to improvements made to the assessment by the owner (or occupier). The amount of the waiver be set at:</w:t>
      </w:r>
    </w:p>
    <w:p w:rsidR="00C51E93" w:rsidRPr="00C51E93" w:rsidRDefault="00C51E93" w:rsidP="00010848">
      <w:pPr>
        <w:pStyle w:val="NormInd"/>
        <w:numPr>
          <w:ilvl w:val="0"/>
          <w:numId w:val="45"/>
        </w:numPr>
        <w:ind w:left="360"/>
        <w:rPr>
          <w:rFonts w:cs="Arial"/>
          <w:color w:val="000000" w:themeColor="text1"/>
          <w:sz w:val="20"/>
        </w:rPr>
      </w:pPr>
      <w:r w:rsidRPr="00C51E93">
        <w:rPr>
          <w:rFonts w:cs="Arial"/>
          <w:color w:val="000000" w:themeColor="text1"/>
          <w:sz w:val="20"/>
        </w:rPr>
        <w:t>between 25%  and 49.99% of the general rates payable for the 2013-2014 financial year, increasing pro rata according to the valuation increase, for valuation increases between 50% and 59.99%; and</w:t>
      </w:r>
    </w:p>
    <w:p w:rsidR="00C51E93" w:rsidRPr="00C51E93" w:rsidRDefault="00C51E93" w:rsidP="00010848">
      <w:pPr>
        <w:pStyle w:val="NormInd"/>
        <w:numPr>
          <w:ilvl w:val="0"/>
          <w:numId w:val="45"/>
        </w:numPr>
        <w:ind w:left="360"/>
        <w:rPr>
          <w:rFonts w:cs="Arial"/>
          <w:color w:val="000000" w:themeColor="text1"/>
          <w:sz w:val="20"/>
        </w:rPr>
      </w:pPr>
      <w:r w:rsidRPr="00C51E93">
        <w:rPr>
          <w:rFonts w:cs="Arial"/>
          <w:color w:val="000000" w:themeColor="text1"/>
          <w:sz w:val="20"/>
        </w:rPr>
        <w:t>50% of the general rate payable for the 2013-2014 financial year for valuation increases of 60% or more.</w:t>
      </w:r>
    </w:p>
    <w:p w:rsidR="00582EE6" w:rsidRPr="00D576C5" w:rsidRDefault="00582EE6" w:rsidP="00A24880">
      <w:pPr>
        <w:spacing w:before="80"/>
        <w:jc w:val="both"/>
        <w:rPr>
          <w:color w:val="000000" w:themeColor="text1"/>
        </w:rPr>
      </w:pPr>
      <w:r w:rsidRPr="00D576C5">
        <w:rPr>
          <w:color w:val="000000" w:themeColor="text1"/>
        </w:rPr>
        <w:t>The waiver is designed to mitigate the rates shock of a valuation increase and is only claimable once in a two year valuation period.</w:t>
      </w:r>
    </w:p>
    <w:p w:rsidR="00582EE6" w:rsidRPr="00B30660" w:rsidRDefault="00582EE6" w:rsidP="00A24880">
      <w:pPr>
        <w:spacing w:after="160"/>
        <w:jc w:val="both"/>
        <w:rPr>
          <w:rFonts w:cs="Arial"/>
        </w:rPr>
      </w:pPr>
      <w:r w:rsidRPr="00B30660">
        <w:rPr>
          <w:rFonts w:cs="Arial"/>
        </w:rPr>
        <w:t>Council also provides a range of assistance measures to suit individual needs including pension rebates,</w:t>
      </w:r>
      <w:r w:rsidR="00B0096F">
        <w:rPr>
          <w:rFonts w:cs="Arial"/>
        </w:rPr>
        <w:t xml:space="preserve"> </w:t>
      </w:r>
      <w:r w:rsidRPr="00B30660">
        <w:rPr>
          <w:rFonts w:cs="Arial"/>
        </w:rPr>
        <w:t>farm rebates, rates deferral, and payment options such as regular Direct Debit, and Centrepay.</w:t>
      </w:r>
    </w:p>
    <w:p w:rsidR="00420C4A" w:rsidRPr="00B4773B" w:rsidRDefault="00420C4A" w:rsidP="006E4BED">
      <w:pPr>
        <w:spacing w:before="80"/>
        <w:jc w:val="both"/>
        <w:rPr>
          <w:rFonts w:cs="Arial"/>
          <w:i/>
          <w:sz w:val="24"/>
          <w:szCs w:val="24"/>
        </w:rPr>
      </w:pPr>
      <w:r w:rsidRPr="00B4773B">
        <w:rPr>
          <w:rFonts w:cs="Arial"/>
          <w:i/>
          <w:sz w:val="24"/>
          <w:szCs w:val="24"/>
        </w:rPr>
        <w:t>New Corio Estate</w:t>
      </w:r>
    </w:p>
    <w:p w:rsidR="00746107" w:rsidRDefault="00420C4A" w:rsidP="00420C4A">
      <w:pPr>
        <w:jc w:val="both"/>
        <w:rPr>
          <w:rFonts w:cs="Arial"/>
        </w:rPr>
      </w:pPr>
      <w:r w:rsidRPr="00A40400">
        <w:rPr>
          <w:rFonts w:cs="Arial"/>
        </w:rPr>
        <w:t>The New Corio Estate is an old and inappropriate subdivision within an established farming zone in Corio. Since the land is zoned as farming land it cannot be developed for residential use with no services available for the area. There is no prospect of these services becoming available in the future. In addition,</w:t>
      </w:r>
      <w:r w:rsidR="00A24880">
        <w:rPr>
          <w:rFonts w:cs="Arial"/>
        </w:rPr>
        <w:t xml:space="preserve"> </w:t>
      </w:r>
      <w:r w:rsidRPr="00A40400">
        <w:rPr>
          <w:rFonts w:cs="Arial"/>
        </w:rPr>
        <w:t xml:space="preserve">environment reports in recent years have shown that the land contains significant native vegetation which Council is obligated to protect for future generations. Council has recently adopted Planning </w:t>
      </w:r>
      <w:r w:rsidR="00A24880">
        <w:rPr>
          <w:rFonts w:cs="Arial"/>
        </w:rPr>
        <w:t>S</w:t>
      </w:r>
      <w:r w:rsidRPr="00A40400">
        <w:rPr>
          <w:rFonts w:cs="Arial"/>
        </w:rPr>
        <w:t>cheme amendment C243 which formally protects the native vegetation and provides some certai</w:t>
      </w:r>
      <w:r w:rsidR="00746107">
        <w:rPr>
          <w:rFonts w:cs="Arial"/>
        </w:rPr>
        <w:t>nty over the future of the land</w:t>
      </w:r>
      <w:r w:rsidR="00956A4F">
        <w:rPr>
          <w:rFonts w:cs="Arial"/>
        </w:rPr>
        <w:t>.</w:t>
      </w:r>
      <w:r w:rsidRPr="00A40400">
        <w:rPr>
          <w:rFonts w:cs="Arial"/>
          <w:color w:val="FF0000"/>
        </w:rPr>
        <w:t xml:space="preserve"> </w:t>
      </w:r>
      <w:r w:rsidRPr="00A40400">
        <w:rPr>
          <w:rFonts w:cs="Arial"/>
        </w:rPr>
        <w:t xml:space="preserve">The native vegetation identified within this Estate is of high conservation significance and the application of the overlay to this area will ensure its ecological value is protected indefinitely. This amendment </w:t>
      </w:r>
      <w:r w:rsidR="00956A4F">
        <w:rPr>
          <w:rFonts w:cs="Arial"/>
        </w:rPr>
        <w:t>was approved by the Minister of Environment &amp; Climate Control on 30 April 2013</w:t>
      </w:r>
      <w:r w:rsidRPr="00A40400">
        <w:rPr>
          <w:rFonts w:cs="Arial"/>
        </w:rPr>
        <w:t>.</w:t>
      </w:r>
      <w:r w:rsidR="00746107">
        <w:rPr>
          <w:rFonts w:cs="Arial"/>
        </w:rPr>
        <w:t xml:space="preserve"> </w:t>
      </w:r>
    </w:p>
    <w:p w:rsidR="00420C4A" w:rsidRDefault="00420C4A" w:rsidP="00420C4A">
      <w:pPr>
        <w:jc w:val="both"/>
      </w:pPr>
      <w:r>
        <w:t xml:space="preserve">Council has continuously rated New Corio Estate property whilst actively pursing a voluntary purchase scheme to property owners. </w:t>
      </w:r>
    </w:p>
    <w:p w:rsidR="00420C4A" w:rsidRPr="00D576C5" w:rsidRDefault="00420C4A" w:rsidP="00420C4A">
      <w:pPr>
        <w:spacing w:before="80"/>
        <w:jc w:val="both"/>
        <w:rPr>
          <w:color w:val="000000" w:themeColor="text1"/>
        </w:rPr>
      </w:pPr>
      <w:r>
        <w:t xml:space="preserve">For 2013-2014 Council will declare a waiver under section 171 of the </w:t>
      </w:r>
      <w:r w:rsidR="00E308A7">
        <w:t>LGA</w:t>
      </w:r>
      <w:r>
        <w:t xml:space="preserve"> of 100% of general rates and municipal charge</w:t>
      </w:r>
      <w:r w:rsidR="00746C84">
        <w:t xml:space="preserve"> </w:t>
      </w:r>
      <w:r w:rsidR="00746107">
        <w:t>for privately owned properties</w:t>
      </w:r>
      <w:r>
        <w:t>.</w:t>
      </w:r>
      <w:r w:rsidR="00746107">
        <w:t xml:space="preserve"> This rates assistance waiver recognises the financial burden associated with ownership of the land</w:t>
      </w:r>
      <w:r w:rsidR="00956A4F">
        <w:t xml:space="preserve"> and the</w:t>
      </w:r>
      <w:r w:rsidRPr="00F44D3B">
        <w:t xml:space="preserve"> encumbrances that prevents property owners from making any demands on Council services now and into the future</w:t>
      </w:r>
      <w:r>
        <w:t xml:space="preserve">. </w:t>
      </w:r>
    </w:p>
    <w:p w:rsidR="00420C4A" w:rsidRPr="00420C4A" w:rsidRDefault="00420C4A" w:rsidP="00420C4A">
      <w:pPr>
        <w:spacing w:before="80"/>
        <w:jc w:val="both"/>
        <w:rPr>
          <w:rFonts w:cs="Arial"/>
          <w:i/>
          <w:sz w:val="24"/>
          <w:szCs w:val="24"/>
        </w:rPr>
      </w:pPr>
      <w:r w:rsidRPr="00420C4A">
        <w:rPr>
          <w:rFonts w:cs="Arial"/>
          <w:i/>
          <w:sz w:val="24"/>
          <w:szCs w:val="24"/>
        </w:rPr>
        <w:t>Incentives</w:t>
      </w:r>
    </w:p>
    <w:p w:rsidR="00420C4A" w:rsidRPr="00BA6861" w:rsidRDefault="00A24880" w:rsidP="00A24880">
      <w:pPr>
        <w:pStyle w:val="BodyText"/>
        <w:tabs>
          <w:tab w:val="left" w:pos="1134"/>
          <w:tab w:val="num" w:pos="1701"/>
          <w:tab w:val="left" w:pos="1985"/>
        </w:tabs>
        <w:rPr>
          <w:rFonts w:cs="Arial"/>
          <w:sz w:val="20"/>
        </w:rPr>
      </w:pPr>
      <w:r>
        <w:rPr>
          <w:rFonts w:cs="Arial"/>
          <w:sz w:val="20"/>
        </w:rPr>
        <w:t>N</w:t>
      </w:r>
      <w:r w:rsidR="00420C4A" w:rsidRPr="00BA6861">
        <w:rPr>
          <w:rFonts w:cs="Arial"/>
          <w:sz w:val="20"/>
        </w:rPr>
        <w:t xml:space="preserve">o incentives be declared as the incentives to be given by Council for the payment of General Rates, Municipal Charge and the Annual Service Charge (described earlier in this document) before </w:t>
      </w:r>
      <w:r w:rsidR="00420C4A">
        <w:rPr>
          <w:rFonts w:cs="Arial"/>
          <w:sz w:val="20"/>
        </w:rPr>
        <w:t>t</w:t>
      </w:r>
      <w:r w:rsidR="00420C4A" w:rsidRPr="00BA6861">
        <w:rPr>
          <w:rFonts w:cs="Arial"/>
          <w:sz w:val="20"/>
        </w:rPr>
        <w:t xml:space="preserve">he dates fixed for their payment under Section 167 of the </w:t>
      </w:r>
      <w:r w:rsidR="00E308A7">
        <w:rPr>
          <w:rFonts w:cs="Arial"/>
          <w:sz w:val="20"/>
        </w:rPr>
        <w:t>LGA</w:t>
      </w:r>
      <w:r w:rsidR="00420C4A" w:rsidRPr="00BA6861">
        <w:rPr>
          <w:rFonts w:cs="Arial"/>
          <w:sz w:val="20"/>
        </w:rPr>
        <w:t>.</w:t>
      </w:r>
    </w:p>
    <w:p w:rsidR="00010848" w:rsidRDefault="00010848" w:rsidP="00582EE6">
      <w:pPr>
        <w:spacing w:after="120"/>
        <w:rPr>
          <w:rFonts w:ascii="Arial Narrow" w:hAnsi="Arial Narrow" w:cs="Arial"/>
          <w:b/>
          <w:sz w:val="24"/>
          <w:szCs w:val="24"/>
        </w:rPr>
      </w:pPr>
    </w:p>
    <w:p w:rsidR="00236C96" w:rsidRPr="006B5DCE" w:rsidRDefault="00582EE6" w:rsidP="00582EE6">
      <w:pPr>
        <w:spacing w:after="120"/>
        <w:rPr>
          <w:rFonts w:ascii="Arial Narrow" w:hAnsi="Arial Narrow" w:cs="Arial"/>
          <w:b/>
          <w:sz w:val="24"/>
          <w:szCs w:val="24"/>
        </w:rPr>
      </w:pPr>
      <w:r w:rsidRPr="006B5DCE">
        <w:rPr>
          <w:rFonts w:ascii="Arial Narrow" w:hAnsi="Arial Narrow" w:cs="Arial"/>
          <w:b/>
          <w:sz w:val="24"/>
          <w:szCs w:val="24"/>
        </w:rPr>
        <w:t xml:space="preserve">4. </w:t>
      </w:r>
      <w:r w:rsidR="00236C96" w:rsidRPr="006B5DCE">
        <w:rPr>
          <w:rFonts w:ascii="Arial Narrow" w:hAnsi="Arial Narrow" w:cs="Arial"/>
          <w:b/>
          <w:sz w:val="24"/>
          <w:szCs w:val="24"/>
        </w:rPr>
        <w:t>Local Government Legislatio</w:t>
      </w:r>
      <w:r w:rsidR="0090690D" w:rsidRPr="006B5DCE">
        <w:rPr>
          <w:rFonts w:ascii="Arial Narrow" w:hAnsi="Arial Narrow" w:cs="Arial"/>
          <w:b/>
          <w:sz w:val="24"/>
          <w:szCs w:val="24"/>
        </w:rPr>
        <w:t xml:space="preserve">n Amendment (Miscellaneous) Act </w:t>
      </w:r>
      <w:r w:rsidR="00236C96" w:rsidRPr="006B5DCE">
        <w:rPr>
          <w:rFonts w:ascii="Arial Narrow" w:hAnsi="Arial Narrow" w:cs="Arial"/>
          <w:b/>
          <w:sz w:val="24"/>
          <w:szCs w:val="24"/>
        </w:rPr>
        <w:t xml:space="preserve"> 2012</w:t>
      </w:r>
    </w:p>
    <w:p w:rsidR="00295D99" w:rsidRPr="006E4BED" w:rsidRDefault="00295D99" w:rsidP="006E4BED">
      <w:pPr>
        <w:spacing w:before="80"/>
        <w:jc w:val="both"/>
        <w:rPr>
          <w:rFonts w:cs="Arial"/>
          <w:i/>
          <w:sz w:val="24"/>
          <w:szCs w:val="24"/>
        </w:rPr>
      </w:pPr>
      <w:r w:rsidRPr="006E4BED">
        <w:rPr>
          <w:rFonts w:cs="Arial"/>
          <w:i/>
          <w:sz w:val="24"/>
          <w:szCs w:val="24"/>
        </w:rPr>
        <w:t>Ministerial Guidelines</w:t>
      </w:r>
    </w:p>
    <w:p w:rsidR="00B30660" w:rsidRPr="00B30660" w:rsidRDefault="00B30660" w:rsidP="00B30660">
      <w:pPr>
        <w:spacing w:after="160"/>
        <w:jc w:val="both"/>
        <w:rPr>
          <w:color w:val="000000" w:themeColor="text1"/>
        </w:rPr>
      </w:pPr>
      <w:r w:rsidRPr="00B30660">
        <w:rPr>
          <w:color w:val="000000" w:themeColor="text1"/>
        </w:rPr>
        <w:t xml:space="preserve">The </w:t>
      </w:r>
      <w:r w:rsidR="00EA7DB5">
        <w:rPr>
          <w:color w:val="000000" w:themeColor="text1"/>
        </w:rPr>
        <w:t>Local Government Legislation Amendment (Miscellaneous) Act 2012 allows the Minister to set differential rating guidelines</w:t>
      </w:r>
      <w:r w:rsidR="0090690D">
        <w:rPr>
          <w:color w:val="000000" w:themeColor="text1"/>
        </w:rPr>
        <w:t xml:space="preserve"> for compliance by councils</w:t>
      </w:r>
      <w:r w:rsidR="00EA7DB5">
        <w:rPr>
          <w:color w:val="000000" w:themeColor="text1"/>
        </w:rPr>
        <w:t xml:space="preserve">. The final version of the Ministerial </w:t>
      </w:r>
      <w:r w:rsidR="000F1357">
        <w:rPr>
          <w:color w:val="000000" w:themeColor="text1"/>
        </w:rPr>
        <w:t>G</w:t>
      </w:r>
      <w:r w:rsidR="00EA7DB5">
        <w:rPr>
          <w:color w:val="000000" w:themeColor="text1"/>
        </w:rPr>
        <w:t>uidelines</w:t>
      </w:r>
      <w:r w:rsidR="0090690D">
        <w:rPr>
          <w:color w:val="000000" w:themeColor="text1"/>
        </w:rPr>
        <w:t>,</w:t>
      </w:r>
      <w:r w:rsidR="00EA7DB5">
        <w:rPr>
          <w:color w:val="000000" w:themeColor="text1"/>
        </w:rPr>
        <w:t xml:space="preserve"> w</w:t>
      </w:r>
      <w:r w:rsidR="00F26ECC">
        <w:rPr>
          <w:color w:val="000000" w:themeColor="text1"/>
        </w:rPr>
        <w:t>as</w:t>
      </w:r>
      <w:r w:rsidR="00EA7DB5">
        <w:rPr>
          <w:color w:val="000000" w:themeColor="text1"/>
        </w:rPr>
        <w:t xml:space="preserve"> </w:t>
      </w:r>
      <w:r w:rsidR="00746107">
        <w:rPr>
          <w:color w:val="000000" w:themeColor="text1"/>
        </w:rPr>
        <w:t>gazetted on 26</w:t>
      </w:r>
      <w:r w:rsidR="00F26ECC">
        <w:rPr>
          <w:color w:val="000000" w:themeColor="text1"/>
        </w:rPr>
        <w:t> </w:t>
      </w:r>
      <w:r w:rsidR="00746107">
        <w:rPr>
          <w:color w:val="000000" w:themeColor="text1"/>
        </w:rPr>
        <w:t>April 2013</w:t>
      </w:r>
      <w:r w:rsidR="00EA7DB5">
        <w:rPr>
          <w:color w:val="000000" w:themeColor="text1"/>
        </w:rPr>
        <w:t xml:space="preserve"> </w:t>
      </w:r>
      <w:r w:rsidRPr="00B30660">
        <w:rPr>
          <w:color w:val="000000" w:themeColor="text1"/>
        </w:rPr>
        <w:t>and will come into effect from 1 July 2013. The intention of the Guidelines is to provide clarity, consistency and transparency. Council needs to consider the objectives, the suitable uses and the types of classes of land when introducing a differ</w:t>
      </w:r>
      <w:r w:rsidR="0090690D">
        <w:rPr>
          <w:color w:val="000000" w:themeColor="text1"/>
        </w:rPr>
        <w:t xml:space="preserve">ential rate. The Guidelines define specific </w:t>
      </w:r>
      <w:r w:rsidRPr="00B30660">
        <w:rPr>
          <w:color w:val="000000" w:themeColor="text1"/>
        </w:rPr>
        <w:t>diff</w:t>
      </w:r>
      <w:r w:rsidR="0090690D">
        <w:rPr>
          <w:color w:val="000000" w:themeColor="text1"/>
        </w:rPr>
        <w:t xml:space="preserve">erential rates </w:t>
      </w:r>
      <w:r w:rsidRPr="00B30660">
        <w:rPr>
          <w:color w:val="000000" w:themeColor="text1"/>
        </w:rPr>
        <w:t xml:space="preserve">that are appropriate, those that require careful consideration and those that are not appropriate. </w:t>
      </w:r>
    </w:p>
    <w:p w:rsidR="00B30660" w:rsidRDefault="00B30660" w:rsidP="00B30660">
      <w:pPr>
        <w:spacing w:after="160"/>
        <w:jc w:val="both"/>
        <w:rPr>
          <w:rFonts w:cs="Arial"/>
        </w:rPr>
      </w:pPr>
      <w:r>
        <w:rPr>
          <w:color w:val="000000" w:themeColor="text1"/>
        </w:rPr>
        <w:t>The Guidelines state that: “The use of a differential rate as a revenue instrument to raise funding for specific action to ameliorate the effects of problem gambling or late night venues is not an appropriate use of general rates which are intended for consolidated revenue and allocation via the Council budget process”.</w:t>
      </w:r>
    </w:p>
    <w:p w:rsidR="00170DA2" w:rsidRDefault="00B30660" w:rsidP="00B30660">
      <w:pPr>
        <w:spacing w:after="160"/>
        <w:jc w:val="both"/>
        <w:rPr>
          <w:color w:val="000000" w:themeColor="text1"/>
        </w:rPr>
      </w:pPr>
      <w:r>
        <w:rPr>
          <w:color w:val="000000" w:themeColor="text1"/>
        </w:rPr>
        <w:t>Council ha</w:t>
      </w:r>
      <w:r w:rsidR="00295D99">
        <w:rPr>
          <w:color w:val="000000" w:themeColor="text1"/>
        </w:rPr>
        <w:t>d</w:t>
      </w:r>
      <w:r>
        <w:rPr>
          <w:color w:val="000000" w:themeColor="text1"/>
        </w:rPr>
        <w:t xml:space="preserve"> a differential rate for Late Night venues</w:t>
      </w:r>
      <w:r w:rsidR="000F1357">
        <w:rPr>
          <w:color w:val="000000" w:themeColor="text1"/>
        </w:rPr>
        <w:t>,</w:t>
      </w:r>
      <w:r>
        <w:rPr>
          <w:color w:val="000000" w:themeColor="text1"/>
        </w:rPr>
        <w:t xml:space="preserve"> which is now seen as inappropriate. The Late Licence differential rate was introduced in 2000-2001 in recognition of the cost associated with this activity. This Late Licence differential rate will be discontinued from 2013-2014. The properties that were categorised under this differential will now be categorised under t</w:t>
      </w:r>
      <w:r w:rsidR="00EA7DB5">
        <w:rPr>
          <w:color w:val="000000" w:themeColor="text1"/>
        </w:rPr>
        <w:t>he commercial differential rate with a reduction in revenue of $340</w:t>
      </w:r>
      <w:r w:rsidR="000F1357">
        <w:rPr>
          <w:color w:val="000000" w:themeColor="text1"/>
        </w:rPr>
        <w:t>K</w:t>
      </w:r>
      <w:r w:rsidR="00EA7DB5">
        <w:rPr>
          <w:color w:val="000000" w:themeColor="text1"/>
        </w:rPr>
        <w:t>.</w:t>
      </w:r>
    </w:p>
    <w:p w:rsidR="00236C96" w:rsidRPr="006E4BED" w:rsidRDefault="00236C96" w:rsidP="006E4BED">
      <w:pPr>
        <w:spacing w:before="80"/>
        <w:jc w:val="both"/>
        <w:rPr>
          <w:rFonts w:cs="Arial"/>
          <w:i/>
          <w:sz w:val="24"/>
          <w:szCs w:val="24"/>
        </w:rPr>
      </w:pPr>
      <w:r w:rsidRPr="006E4BED">
        <w:rPr>
          <w:rFonts w:cs="Arial"/>
          <w:i/>
          <w:sz w:val="24"/>
          <w:szCs w:val="24"/>
        </w:rPr>
        <w:lastRenderedPageBreak/>
        <w:t>Penalty Interest</w:t>
      </w:r>
    </w:p>
    <w:p w:rsidR="00236C96" w:rsidRDefault="00746C84" w:rsidP="00B30660">
      <w:pPr>
        <w:spacing w:after="160"/>
        <w:jc w:val="both"/>
        <w:rPr>
          <w:color w:val="000000" w:themeColor="text1"/>
        </w:rPr>
      </w:pPr>
      <w:r>
        <w:rPr>
          <w:color w:val="000000" w:themeColor="text1"/>
        </w:rPr>
        <w:t>P</w:t>
      </w:r>
      <w:r w:rsidR="008B4DA3">
        <w:rPr>
          <w:color w:val="000000" w:themeColor="text1"/>
        </w:rPr>
        <w:t xml:space="preserve">enalty interest </w:t>
      </w:r>
      <w:r>
        <w:rPr>
          <w:color w:val="000000" w:themeColor="text1"/>
        </w:rPr>
        <w:t xml:space="preserve">applicable to outstanding rates </w:t>
      </w:r>
      <w:r w:rsidR="008B4DA3">
        <w:rPr>
          <w:color w:val="000000" w:themeColor="text1"/>
        </w:rPr>
        <w:t xml:space="preserve">may be back dated to the date from when Council declared the rate </w:t>
      </w:r>
      <w:r w:rsidR="00B0096F">
        <w:rPr>
          <w:color w:val="000000" w:themeColor="text1"/>
        </w:rPr>
        <w:t>ie.</w:t>
      </w:r>
      <w:r w:rsidR="008B4DA3">
        <w:rPr>
          <w:color w:val="000000" w:themeColor="text1"/>
        </w:rPr>
        <w:t xml:space="preserve"> 1 July of the rate year.</w:t>
      </w:r>
      <w:r w:rsidR="0090690D">
        <w:rPr>
          <w:color w:val="000000" w:themeColor="text1"/>
        </w:rPr>
        <w:t xml:space="preserve"> </w:t>
      </w:r>
      <w:r w:rsidR="0090690D" w:rsidRPr="00B30660">
        <w:rPr>
          <w:color w:val="000000" w:themeColor="text1"/>
        </w:rPr>
        <w:t xml:space="preserve">The </w:t>
      </w:r>
      <w:r w:rsidR="0090690D">
        <w:rPr>
          <w:color w:val="000000" w:themeColor="text1"/>
        </w:rPr>
        <w:t>Local Government Legislation Amendment (Miscellaneous) Act 2012 changed this method of calculation.</w:t>
      </w:r>
    </w:p>
    <w:p w:rsidR="008B4DA3" w:rsidRDefault="008B4DA3" w:rsidP="00B30660">
      <w:pPr>
        <w:spacing w:after="160"/>
        <w:jc w:val="both"/>
        <w:rPr>
          <w:color w:val="000000" w:themeColor="text1"/>
        </w:rPr>
      </w:pPr>
      <w:r>
        <w:rPr>
          <w:color w:val="000000" w:themeColor="text1"/>
        </w:rPr>
        <w:t xml:space="preserve">From 2013-2014 </w:t>
      </w:r>
      <w:r w:rsidR="00EA7DB5">
        <w:rPr>
          <w:color w:val="000000" w:themeColor="text1"/>
        </w:rPr>
        <w:t xml:space="preserve">Penalty </w:t>
      </w:r>
      <w:r>
        <w:rPr>
          <w:color w:val="000000" w:themeColor="text1"/>
        </w:rPr>
        <w:t>interest is to be charged from the date when each instalment was due, irrespective of whether a lump sum option is available.</w:t>
      </w:r>
    </w:p>
    <w:p w:rsidR="008B4DA3" w:rsidRPr="00236C96" w:rsidRDefault="00EA7DB5" w:rsidP="00B30660">
      <w:pPr>
        <w:spacing w:after="160"/>
        <w:jc w:val="both"/>
        <w:rPr>
          <w:color w:val="000000" w:themeColor="text1"/>
        </w:rPr>
      </w:pPr>
      <w:r>
        <w:rPr>
          <w:color w:val="000000" w:themeColor="text1"/>
        </w:rPr>
        <w:t>Therefore</w:t>
      </w:r>
      <w:r w:rsidR="000F1357">
        <w:rPr>
          <w:color w:val="000000" w:themeColor="text1"/>
        </w:rPr>
        <w:t>,</w:t>
      </w:r>
      <w:r>
        <w:rPr>
          <w:color w:val="000000" w:themeColor="text1"/>
        </w:rPr>
        <w:t xml:space="preserve"> where a ratepayer</w:t>
      </w:r>
      <w:r w:rsidR="0090690D">
        <w:rPr>
          <w:color w:val="000000" w:themeColor="text1"/>
        </w:rPr>
        <w:t xml:space="preserve"> makes a late payment of </w:t>
      </w:r>
      <w:r w:rsidR="008B4DA3">
        <w:rPr>
          <w:color w:val="000000" w:themeColor="text1"/>
        </w:rPr>
        <w:t>rates as a lump sum, penalty interest will be calcul</w:t>
      </w:r>
      <w:r w:rsidR="0090690D">
        <w:rPr>
          <w:color w:val="000000" w:themeColor="text1"/>
        </w:rPr>
        <w:t>ated as if the payment was via</w:t>
      </w:r>
      <w:r w:rsidR="008B4DA3">
        <w:rPr>
          <w:color w:val="000000" w:themeColor="text1"/>
        </w:rPr>
        <w:t xml:space="preserve"> instalments</w:t>
      </w:r>
      <w:r w:rsidR="00DB2CD7">
        <w:rPr>
          <w:color w:val="000000" w:themeColor="text1"/>
        </w:rPr>
        <w:t>. This will cause a reduction in the amount of interest charged to ratepayers and has a reduction to t</w:t>
      </w:r>
      <w:r w:rsidR="000F1357">
        <w:rPr>
          <w:color w:val="000000" w:themeColor="text1"/>
        </w:rPr>
        <w:t xml:space="preserve">he 2013-2014 </w:t>
      </w:r>
      <w:r w:rsidR="00746C84">
        <w:rPr>
          <w:color w:val="000000" w:themeColor="text1"/>
        </w:rPr>
        <w:t>B</w:t>
      </w:r>
      <w:r w:rsidR="000F1357">
        <w:rPr>
          <w:color w:val="000000" w:themeColor="text1"/>
        </w:rPr>
        <w:t>udget of $</w:t>
      </w:r>
      <w:r w:rsidR="00746C84">
        <w:rPr>
          <w:color w:val="000000" w:themeColor="text1"/>
        </w:rPr>
        <w:t>150</w:t>
      </w:r>
      <w:r w:rsidR="000F1357">
        <w:rPr>
          <w:color w:val="000000" w:themeColor="text1"/>
        </w:rPr>
        <w:t>K.</w:t>
      </w:r>
    </w:p>
    <w:p w:rsidR="00015AC4" w:rsidRDefault="00015AC4" w:rsidP="00A94AE6">
      <w:pPr>
        <w:pStyle w:val="BodyText"/>
        <w:tabs>
          <w:tab w:val="left" w:pos="1134"/>
          <w:tab w:val="num" w:pos="1701"/>
          <w:tab w:val="left" w:pos="1985"/>
        </w:tabs>
        <w:rPr>
          <w:rFonts w:cs="Arial"/>
          <w:sz w:val="20"/>
        </w:rPr>
      </w:pPr>
      <w:r w:rsidRPr="00BA6861">
        <w:rPr>
          <w:rFonts w:cs="Arial"/>
          <w:sz w:val="20"/>
        </w:rPr>
        <w:t>Interest on unpaid rates and charges will be charged in accordance with Section 172 of</w:t>
      </w:r>
      <w:r w:rsidR="00010848">
        <w:rPr>
          <w:rFonts w:cs="Arial"/>
          <w:sz w:val="20"/>
        </w:rPr>
        <w:t xml:space="preserve"> the</w:t>
      </w:r>
      <w:r w:rsidRPr="00BA6861">
        <w:rPr>
          <w:rFonts w:cs="Arial"/>
          <w:sz w:val="20"/>
        </w:rPr>
        <w:t xml:space="preserve"> </w:t>
      </w:r>
      <w:r w:rsidR="00E308A7">
        <w:rPr>
          <w:rFonts w:cs="Arial"/>
          <w:sz w:val="20"/>
        </w:rPr>
        <w:t xml:space="preserve">LGA </w:t>
      </w:r>
      <w:r w:rsidRPr="00BA6861">
        <w:rPr>
          <w:rFonts w:cs="Arial"/>
          <w:sz w:val="20"/>
        </w:rPr>
        <w:t>(as amended).</w:t>
      </w:r>
    </w:p>
    <w:p w:rsidR="00010848" w:rsidRDefault="00010848" w:rsidP="003F03D1">
      <w:pPr>
        <w:spacing w:after="120"/>
        <w:rPr>
          <w:rFonts w:ascii="Arial Narrow" w:hAnsi="Arial Narrow" w:cs="Arial"/>
          <w:b/>
          <w:sz w:val="24"/>
          <w:szCs w:val="24"/>
        </w:rPr>
      </w:pPr>
    </w:p>
    <w:p w:rsidR="003F03D1" w:rsidRPr="006B5DCE" w:rsidRDefault="00420C4A" w:rsidP="003F03D1">
      <w:pPr>
        <w:spacing w:after="120"/>
        <w:rPr>
          <w:rFonts w:ascii="Arial Narrow" w:hAnsi="Arial Narrow" w:cs="Arial"/>
          <w:b/>
          <w:sz w:val="24"/>
          <w:szCs w:val="24"/>
        </w:rPr>
      </w:pPr>
      <w:r w:rsidRPr="006B5DCE">
        <w:rPr>
          <w:rFonts w:ascii="Arial Narrow" w:hAnsi="Arial Narrow" w:cs="Arial"/>
          <w:b/>
          <w:sz w:val="24"/>
          <w:szCs w:val="24"/>
        </w:rPr>
        <w:t>5.</w:t>
      </w:r>
      <w:r w:rsidR="00010848">
        <w:rPr>
          <w:rFonts w:ascii="Arial Narrow" w:hAnsi="Arial Narrow" w:cs="Arial"/>
          <w:b/>
          <w:sz w:val="24"/>
          <w:szCs w:val="24"/>
        </w:rPr>
        <w:t xml:space="preserve"> </w:t>
      </w:r>
      <w:r w:rsidRPr="006B5DCE">
        <w:rPr>
          <w:rFonts w:ascii="Arial Narrow" w:hAnsi="Arial Narrow" w:cs="Arial"/>
          <w:b/>
          <w:sz w:val="24"/>
          <w:szCs w:val="24"/>
        </w:rPr>
        <w:t xml:space="preserve"> </w:t>
      </w:r>
      <w:r w:rsidR="00EA1610" w:rsidRPr="006B5DCE">
        <w:rPr>
          <w:rFonts w:ascii="Arial Narrow" w:hAnsi="Arial Narrow" w:cs="Arial"/>
          <w:b/>
          <w:sz w:val="24"/>
          <w:szCs w:val="24"/>
        </w:rPr>
        <w:t>Fire Services Property Levy</w:t>
      </w:r>
    </w:p>
    <w:p w:rsidR="003F03D1" w:rsidRPr="00B0096F" w:rsidRDefault="009303F3" w:rsidP="00B0096F">
      <w:pPr>
        <w:pStyle w:val="BodyText"/>
        <w:tabs>
          <w:tab w:val="left" w:pos="1134"/>
          <w:tab w:val="num" w:pos="1701"/>
          <w:tab w:val="left" w:pos="1985"/>
        </w:tabs>
        <w:rPr>
          <w:rFonts w:cs="Arial"/>
          <w:sz w:val="20"/>
        </w:rPr>
      </w:pPr>
      <w:r w:rsidRPr="00B0096F">
        <w:rPr>
          <w:rFonts w:cs="Arial"/>
          <w:sz w:val="20"/>
        </w:rPr>
        <w:t xml:space="preserve">The Fire Services Property Levy Act 2012 </w:t>
      </w:r>
      <w:r w:rsidR="00956A4F">
        <w:rPr>
          <w:rFonts w:cs="Arial"/>
          <w:sz w:val="20"/>
        </w:rPr>
        <w:t>(FSPL)</w:t>
      </w:r>
      <w:r w:rsidR="00074297">
        <w:rPr>
          <w:rFonts w:cs="Arial"/>
          <w:sz w:val="20"/>
        </w:rPr>
        <w:t xml:space="preserve"> </w:t>
      </w:r>
      <w:r w:rsidRPr="00B0096F">
        <w:rPr>
          <w:rFonts w:cs="Arial"/>
          <w:sz w:val="20"/>
        </w:rPr>
        <w:t xml:space="preserve">will come into effect from 1 July 2013 and will require </w:t>
      </w:r>
      <w:r w:rsidR="000F1357">
        <w:rPr>
          <w:rFonts w:cs="Arial"/>
          <w:sz w:val="20"/>
        </w:rPr>
        <w:t>L</w:t>
      </w:r>
      <w:r w:rsidRPr="00B0096F">
        <w:rPr>
          <w:rFonts w:cs="Arial"/>
          <w:sz w:val="20"/>
        </w:rPr>
        <w:t xml:space="preserve">ocal </w:t>
      </w:r>
      <w:r w:rsidR="000F1357">
        <w:rPr>
          <w:rFonts w:cs="Arial"/>
          <w:sz w:val="20"/>
        </w:rPr>
        <w:t>G</w:t>
      </w:r>
      <w:r w:rsidRPr="00B0096F">
        <w:rPr>
          <w:rFonts w:cs="Arial"/>
          <w:sz w:val="20"/>
        </w:rPr>
        <w:t xml:space="preserve">overnment to bill, receipt and collect </w:t>
      </w:r>
      <w:r w:rsidR="00956A4F">
        <w:rPr>
          <w:rFonts w:cs="Arial"/>
          <w:sz w:val="20"/>
        </w:rPr>
        <w:t>FSPL</w:t>
      </w:r>
      <w:r w:rsidRPr="00B0096F">
        <w:rPr>
          <w:rFonts w:cs="Arial"/>
          <w:sz w:val="20"/>
        </w:rPr>
        <w:t xml:space="preserve"> on rateab</w:t>
      </w:r>
      <w:r w:rsidR="003F03D1" w:rsidRPr="00B0096F">
        <w:rPr>
          <w:rFonts w:cs="Arial"/>
          <w:sz w:val="20"/>
        </w:rPr>
        <w:t>le and non-rateable properties.</w:t>
      </w:r>
      <w:r w:rsidR="0003088D">
        <w:rPr>
          <w:rFonts w:cs="Arial"/>
          <w:sz w:val="20"/>
        </w:rPr>
        <w:t xml:space="preserve"> It is estimated that Council will levy $23M in 2013-2014 </w:t>
      </w:r>
      <w:r w:rsidR="00C51E93">
        <w:rPr>
          <w:rFonts w:cs="Arial"/>
          <w:sz w:val="20"/>
        </w:rPr>
        <w:t>and</w:t>
      </w:r>
      <w:r w:rsidR="0003088D">
        <w:rPr>
          <w:rFonts w:cs="Arial"/>
          <w:sz w:val="20"/>
        </w:rPr>
        <w:t xml:space="preserve"> remit to the State Revenue Office.</w:t>
      </w:r>
    </w:p>
    <w:p w:rsidR="009303F3" w:rsidRPr="00B0096F" w:rsidRDefault="009303F3" w:rsidP="00B0096F">
      <w:pPr>
        <w:pStyle w:val="BodyText"/>
        <w:tabs>
          <w:tab w:val="left" w:pos="1134"/>
          <w:tab w:val="num" w:pos="1701"/>
          <w:tab w:val="left" w:pos="1985"/>
        </w:tabs>
        <w:rPr>
          <w:rFonts w:cs="Arial"/>
          <w:sz w:val="20"/>
        </w:rPr>
      </w:pPr>
      <w:r w:rsidRPr="00B0096F">
        <w:rPr>
          <w:rFonts w:cs="Arial"/>
          <w:sz w:val="20"/>
        </w:rPr>
        <w:t>The Act is in response to one of the recommendations of the Victorian Bushfires Royal Commission with the objective being to ensure that all property owners benefiting from Victoria’s Fire Services should make a contribution to the cost of the service compared with the existing insurance-based levy.</w:t>
      </w:r>
    </w:p>
    <w:p w:rsidR="009303F3" w:rsidRDefault="009303F3" w:rsidP="00B0096F">
      <w:pPr>
        <w:pStyle w:val="BodyText"/>
        <w:tabs>
          <w:tab w:val="left" w:pos="1134"/>
          <w:tab w:val="num" w:pos="1701"/>
          <w:tab w:val="left" w:pos="1985"/>
        </w:tabs>
        <w:rPr>
          <w:rFonts w:cs="Arial"/>
          <w:sz w:val="20"/>
        </w:rPr>
      </w:pPr>
      <w:r w:rsidRPr="009303F3">
        <w:rPr>
          <w:rFonts w:cs="Arial"/>
          <w:sz w:val="20"/>
        </w:rPr>
        <w:t xml:space="preserve">The new levy is designed to ensure that all property owners pay a fair contribution for fire services so that Victoria’s fire services continue to operate with sufficient resources. The new levy will be assessed on the Capital Improved Value (CIV) of property and is consistent with the valuation base used by most municipalities in levying rates. Since there will not be another revaluation cycle before 1 July 2013, a valuation of all non-rateable leviable properties has been undertaken </w:t>
      </w:r>
      <w:r w:rsidR="003D54AD">
        <w:rPr>
          <w:rFonts w:cs="Arial"/>
          <w:sz w:val="20"/>
        </w:rPr>
        <w:t xml:space="preserve">as at 1 January 2012, for </w:t>
      </w:r>
      <w:r w:rsidR="00956A4F">
        <w:rPr>
          <w:rFonts w:cs="Arial"/>
          <w:sz w:val="20"/>
        </w:rPr>
        <w:t>FSPL</w:t>
      </w:r>
      <w:r w:rsidR="003D54AD">
        <w:rPr>
          <w:rFonts w:cs="Arial"/>
          <w:sz w:val="20"/>
        </w:rPr>
        <w:t xml:space="preserve"> purposes</w:t>
      </w:r>
      <w:r w:rsidRPr="009303F3">
        <w:rPr>
          <w:rFonts w:cs="Arial"/>
          <w:sz w:val="20"/>
        </w:rPr>
        <w:t>.</w:t>
      </w:r>
    </w:p>
    <w:p w:rsidR="0011133F" w:rsidRPr="00B0096F" w:rsidRDefault="0011133F" w:rsidP="00B0096F">
      <w:pPr>
        <w:pStyle w:val="BodyText"/>
        <w:tabs>
          <w:tab w:val="left" w:pos="1134"/>
          <w:tab w:val="num" w:pos="1701"/>
          <w:tab w:val="left" w:pos="1985"/>
        </w:tabs>
        <w:rPr>
          <w:rFonts w:cs="Arial"/>
          <w:sz w:val="20"/>
        </w:rPr>
      </w:pPr>
      <w:r w:rsidRPr="00B0096F">
        <w:rPr>
          <w:rFonts w:cs="Arial"/>
          <w:sz w:val="20"/>
        </w:rPr>
        <w:t xml:space="preserve">The Levy will consist of a fixed component plus a variable component based on the property’s capital improved value.  The fixed component will be $100 for residential properties and $200 for non-residential properties.  The variable component will be a rate based on the land use classification code, known as the Australian Valuation Property Classification Code (AVPCC) for different property types </w:t>
      </w:r>
      <w:r w:rsidR="000F1357">
        <w:rPr>
          <w:rFonts w:cs="Arial"/>
          <w:sz w:val="20"/>
        </w:rPr>
        <w:t>(</w:t>
      </w:r>
      <w:r w:rsidRPr="00B0096F">
        <w:rPr>
          <w:rFonts w:cs="Arial"/>
          <w:sz w:val="20"/>
        </w:rPr>
        <w:t>residential, commercial, industrial, primary pro</w:t>
      </w:r>
      <w:r w:rsidR="000F1357">
        <w:rPr>
          <w:rFonts w:cs="Arial"/>
          <w:sz w:val="20"/>
        </w:rPr>
        <w:t>duction, public benefit, vacant)</w:t>
      </w:r>
      <w:r w:rsidRPr="00B0096F">
        <w:rPr>
          <w:rFonts w:cs="Arial"/>
          <w:sz w:val="20"/>
        </w:rPr>
        <w:t xml:space="preserve"> and will be determined by the Minister on or before 31 May each year.  A $50 per property concession will apply to pensioner concession and Veterans Affairs gold card holders.  The levy </w:t>
      </w:r>
      <w:r w:rsidR="00956A4F">
        <w:rPr>
          <w:rFonts w:cs="Arial"/>
          <w:sz w:val="20"/>
        </w:rPr>
        <w:t>will</w:t>
      </w:r>
      <w:r w:rsidRPr="00B0096F">
        <w:rPr>
          <w:rFonts w:cs="Arial"/>
          <w:sz w:val="20"/>
        </w:rPr>
        <w:t xml:space="preserve"> contribute 77.5% of the annual funding requirements of the Country Fire Authority </w:t>
      </w:r>
      <w:r w:rsidR="000F1357">
        <w:rPr>
          <w:rFonts w:cs="Arial"/>
          <w:sz w:val="20"/>
        </w:rPr>
        <w:t>(</w:t>
      </w:r>
      <w:r w:rsidRPr="00B0096F">
        <w:rPr>
          <w:rFonts w:cs="Arial"/>
          <w:sz w:val="20"/>
        </w:rPr>
        <w:t>CFA</w:t>
      </w:r>
      <w:r w:rsidR="000F1357">
        <w:rPr>
          <w:rFonts w:cs="Arial"/>
          <w:sz w:val="20"/>
        </w:rPr>
        <w:t>)</w:t>
      </w:r>
      <w:r w:rsidRPr="00B0096F">
        <w:rPr>
          <w:rFonts w:cs="Arial"/>
          <w:sz w:val="20"/>
        </w:rPr>
        <w:t xml:space="preserve"> with the State contributing the remaining 22.5%.</w:t>
      </w:r>
    </w:p>
    <w:p w:rsidR="0011133F" w:rsidRDefault="0011133F" w:rsidP="00B0096F">
      <w:pPr>
        <w:pStyle w:val="BodyText"/>
        <w:tabs>
          <w:tab w:val="left" w:pos="1134"/>
          <w:tab w:val="num" w:pos="1701"/>
          <w:tab w:val="left" w:pos="1985"/>
        </w:tabs>
        <w:rPr>
          <w:sz w:val="20"/>
        </w:rPr>
      </w:pPr>
      <w:r w:rsidRPr="00B0096F">
        <w:rPr>
          <w:rFonts w:cs="Arial"/>
          <w:sz w:val="20"/>
        </w:rPr>
        <w:t>Council will also be required to apply the FSPL to all Council owned land and buildings. Land that is vested in, occupied or under the care, control or management of Council will only incur the fixed charge.  This is property</w:t>
      </w:r>
      <w:r w:rsidRPr="00C16DCF">
        <w:rPr>
          <w:sz w:val="20"/>
        </w:rPr>
        <w:t xml:space="preserve"> that is not operated for commercial purposes, but is available for public use such as halls and service club rooms, community and neighbourhood facilities and sports grounds.</w:t>
      </w:r>
    </w:p>
    <w:p w:rsidR="0011133F" w:rsidRDefault="0011133F" w:rsidP="00B0096F">
      <w:pPr>
        <w:pStyle w:val="BodyText"/>
        <w:tabs>
          <w:tab w:val="left" w:pos="1134"/>
          <w:tab w:val="num" w:pos="1701"/>
          <w:tab w:val="left" w:pos="1985"/>
        </w:tabs>
        <w:rPr>
          <w:rFonts w:cs="Arial"/>
          <w:sz w:val="20"/>
        </w:rPr>
      </w:pPr>
      <w:r w:rsidRPr="00B0096F">
        <w:rPr>
          <w:rFonts w:cs="Arial"/>
          <w:sz w:val="20"/>
        </w:rPr>
        <w:t>Property that is currently assessed as non-rateable by Council will also be subject to the levy. A separate notice will be issued to non-rateable leviable land where no rate notice is currently issued.</w:t>
      </w:r>
    </w:p>
    <w:p w:rsidR="0003088D" w:rsidRDefault="0003088D" w:rsidP="00B0096F">
      <w:pPr>
        <w:pStyle w:val="BodyText"/>
        <w:tabs>
          <w:tab w:val="left" w:pos="1134"/>
          <w:tab w:val="num" w:pos="1701"/>
          <w:tab w:val="left" w:pos="1985"/>
        </w:tabs>
        <w:rPr>
          <w:rFonts w:cs="Arial"/>
          <w:sz w:val="20"/>
        </w:rPr>
      </w:pPr>
      <w:r>
        <w:rPr>
          <w:rFonts w:cs="Arial"/>
          <w:sz w:val="20"/>
        </w:rPr>
        <w:t xml:space="preserve">The </w:t>
      </w:r>
      <w:r w:rsidR="00956A4F">
        <w:rPr>
          <w:rFonts w:cs="Arial"/>
          <w:sz w:val="20"/>
        </w:rPr>
        <w:t>FSPL</w:t>
      </w:r>
      <w:r>
        <w:rPr>
          <w:rFonts w:cs="Arial"/>
          <w:sz w:val="20"/>
        </w:rPr>
        <w:t xml:space="preserve"> rates were released 2 May 2013. The City of Greater Geelong is in the Country Fire Authority (CFA) area only.</w:t>
      </w:r>
    </w:p>
    <w:tbl>
      <w:tblPr>
        <w:tblW w:w="10079" w:type="dxa"/>
        <w:tblInd w:w="94" w:type="dxa"/>
        <w:tblLook w:val="04A0"/>
      </w:tblPr>
      <w:tblGrid>
        <w:gridCol w:w="3700"/>
        <w:gridCol w:w="1559"/>
        <w:gridCol w:w="1843"/>
        <w:gridCol w:w="2977"/>
      </w:tblGrid>
      <w:tr w:rsidR="00A97FEB" w:rsidRPr="00CF09CC" w:rsidTr="00010848">
        <w:trPr>
          <w:trHeight w:val="525"/>
          <w:tblHeader/>
        </w:trPr>
        <w:tc>
          <w:tcPr>
            <w:tcW w:w="3700" w:type="dxa"/>
            <w:shd w:val="clear" w:color="auto" w:fill="D9D9D9" w:themeFill="background1" w:themeFillShade="D9"/>
            <w:vAlign w:val="bottom"/>
            <w:hideMark/>
          </w:tcPr>
          <w:p w:rsidR="00A97FEB" w:rsidRPr="00CF09CC" w:rsidRDefault="00A97FEB" w:rsidP="000736E6">
            <w:pPr>
              <w:spacing w:after="0"/>
              <w:rPr>
                <w:rFonts w:ascii="Arial Narrow" w:hAnsi="Arial Narrow" w:cs="Arial"/>
                <w:b/>
                <w:color w:val="000000"/>
                <w:lang w:eastAsia="en-AU"/>
              </w:rPr>
            </w:pPr>
            <w:r w:rsidRPr="00CF09CC">
              <w:rPr>
                <w:rFonts w:ascii="Arial Narrow" w:hAnsi="Arial Narrow" w:cs="Arial"/>
                <w:b/>
                <w:color w:val="000000"/>
                <w:lang w:eastAsia="en-AU"/>
              </w:rPr>
              <w:t>Land Use Classification for FSPL</w:t>
            </w:r>
          </w:p>
        </w:tc>
        <w:tc>
          <w:tcPr>
            <w:tcW w:w="1559" w:type="dxa"/>
            <w:shd w:val="clear" w:color="auto" w:fill="D9D9D9" w:themeFill="background1" w:themeFillShade="D9"/>
            <w:vAlign w:val="bottom"/>
            <w:hideMark/>
          </w:tcPr>
          <w:p w:rsidR="00A97FEB" w:rsidRPr="00CF09CC" w:rsidRDefault="00A97FEB" w:rsidP="000736E6">
            <w:pPr>
              <w:spacing w:after="0"/>
              <w:rPr>
                <w:rFonts w:ascii="Arial Narrow" w:hAnsi="Arial Narrow" w:cs="Arial"/>
                <w:b/>
                <w:color w:val="000000"/>
                <w:lang w:eastAsia="en-AU"/>
              </w:rPr>
            </w:pPr>
            <w:r w:rsidRPr="00CF09CC">
              <w:rPr>
                <w:rFonts w:ascii="Arial Narrow" w:hAnsi="Arial Narrow" w:cs="Arial"/>
                <w:b/>
                <w:color w:val="000000"/>
                <w:lang w:eastAsia="en-AU"/>
              </w:rPr>
              <w:t>Fixed Charge</w:t>
            </w:r>
          </w:p>
        </w:tc>
        <w:tc>
          <w:tcPr>
            <w:tcW w:w="1843" w:type="dxa"/>
            <w:shd w:val="clear" w:color="auto" w:fill="D9D9D9" w:themeFill="background1" w:themeFillShade="D9"/>
            <w:vAlign w:val="bottom"/>
            <w:hideMark/>
          </w:tcPr>
          <w:p w:rsidR="00A97FEB" w:rsidRPr="00CF09CC" w:rsidRDefault="00A97FEB" w:rsidP="000736E6">
            <w:pPr>
              <w:spacing w:after="0"/>
              <w:rPr>
                <w:rFonts w:ascii="Arial Narrow" w:hAnsi="Arial Narrow" w:cs="Arial"/>
                <w:b/>
                <w:color w:val="000000"/>
                <w:lang w:eastAsia="en-AU"/>
              </w:rPr>
            </w:pPr>
            <w:r w:rsidRPr="00CF09CC">
              <w:rPr>
                <w:rFonts w:ascii="Arial Narrow" w:hAnsi="Arial Narrow" w:cs="Arial"/>
                <w:b/>
                <w:color w:val="000000"/>
                <w:lang w:eastAsia="en-AU"/>
              </w:rPr>
              <w:t>Variable Charge per $ of CIV</w:t>
            </w:r>
          </w:p>
        </w:tc>
        <w:tc>
          <w:tcPr>
            <w:tcW w:w="2977" w:type="dxa"/>
            <w:shd w:val="clear" w:color="auto" w:fill="D9D9D9" w:themeFill="background1" w:themeFillShade="D9"/>
            <w:vAlign w:val="bottom"/>
            <w:hideMark/>
          </w:tcPr>
          <w:p w:rsidR="00A97FEB" w:rsidRPr="00CF09CC" w:rsidRDefault="00A97FEB" w:rsidP="000736E6">
            <w:pPr>
              <w:spacing w:after="0"/>
              <w:rPr>
                <w:rFonts w:ascii="Arial Narrow" w:hAnsi="Arial Narrow" w:cs="Arial"/>
                <w:b/>
                <w:color w:val="000000"/>
                <w:lang w:eastAsia="en-AU"/>
              </w:rPr>
            </w:pPr>
            <w:r w:rsidRPr="00CF09CC">
              <w:rPr>
                <w:rFonts w:ascii="Arial Narrow" w:hAnsi="Arial Narrow" w:cs="Arial"/>
                <w:b/>
                <w:color w:val="000000"/>
                <w:lang w:eastAsia="en-AU"/>
              </w:rPr>
              <w:t>Council Differential</w:t>
            </w:r>
          </w:p>
        </w:tc>
      </w:tr>
      <w:tr w:rsidR="00842D7D" w:rsidRPr="00A97FEB" w:rsidTr="0007556E">
        <w:trPr>
          <w:trHeight w:val="281"/>
        </w:trPr>
        <w:tc>
          <w:tcPr>
            <w:tcW w:w="3700" w:type="dxa"/>
            <w:vMerge w:val="restart"/>
            <w:tcBorders>
              <w:bottom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 xml:space="preserve">Residential </w:t>
            </w:r>
            <w:r>
              <w:rPr>
                <w:rFonts w:cs="Arial"/>
                <w:color w:val="000000"/>
                <w:lang w:eastAsia="en-AU"/>
              </w:rPr>
              <w:br/>
            </w:r>
            <w:r w:rsidRPr="00A97FEB">
              <w:rPr>
                <w:rFonts w:cs="Arial"/>
                <w:color w:val="000000"/>
                <w:lang w:eastAsia="en-AU"/>
              </w:rPr>
              <w:t xml:space="preserve">(including vacant residential land) </w:t>
            </w:r>
          </w:p>
        </w:tc>
        <w:tc>
          <w:tcPr>
            <w:tcW w:w="1559" w:type="dxa"/>
            <w:vMerge w:val="restart"/>
            <w:tcBorders>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$100.00</w:t>
            </w:r>
          </w:p>
        </w:tc>
        <w:tc>
          <w:tcPr>
            <w:tcW w:w="1843" w:type="dxa"/>
            <w:vMerge w:val="restart"/>
            <w:tcBorders>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0.000115</w:t>
            </w: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Residential</w:t>
            </w:r>
          </w:p>
        </w:tc>
      </w:tr>
      <w:tr w:rsidR="00842D7D" w:rsidRPr="00A97FEB" w:rsidTr="0007556E">
        <w:trPr>
          <w:trHeight w:val="300"/>
        </w:trPr>
        <w:tc>
          <w:tcPr>
            <w:tcW w:w="3700" w:type="dxa"/>
            <w:vMerge/>
            <w:tcBorders>
              <w:top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The Point Residential</w:t>
            </w:r>
          </w:p>
        </w:tc>
      </w:tr>
      <w:tr w:rsidR="00842D7D" w:rsidRPr="00A97FEB" w:rsidTr="0007556E">
        <w:trPr>
          <w:trHeight w:val="300"/>
        </w:trPr>
        <w:tc>
          <w:tcPr>
            <w:tcW w:w="3700" w:type="dxa"/>
            <w:vMerge/>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Vacant*</w:t>
            </w:r>
          </w:p>
        </w:tc>
      </w:tr>
      <w:tr w:rsidR="00842D7D" w:rsidRPr="00A97FEB" w:rsidTr="0007556E">
        <w:trPr>
          <w:trHeight w:val="300"/>
        </w:trPr>
        <w:tc>
          <w:tcPr>
            <w:tcW w:w="3700" w:type="dxa"/>
            <w:vMerge/>
            <w:tcBorders>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tcBorders>
              <w:bottom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The Point Vacant*</w:t>
            </w:r>
          </w:p>
        </w:tc>
      </w:tr>
      <w:tr w:rsidR="00842D7D" w:rsidRPr="00A97FEB" w:rsidTr="0007556E">
        <w:trPr>
          <w:trHeight w:val="510"/>
        </w:trPr>
        <w:tc>
          <w:tcPr>
            <w:tcW w:w="3700" w:type="dxa"/>
            <w:tcBorders>
              <w:top w:val="dotted" w:sz="4" w:space="0" w:color="auto"/>
              <w:bottom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 xml:space="preserve">Vacant </w:t>
            </w:r>
            <w:r>
              <w:rPr>
                <w:rFonts w:cs="Arial"/>
                <w:color w:val="000000"/>
                <w:lang w:eastAsia="en-AU"/>
              </w:rPr>
              <w:br/>
            </w:r>
            <w:r w:rsidRPr="00A97FEB">
              <w:rPr>
                <w:rFonts w:cs="Arial"/>
                <w:color w:val="000000"/>
                <w:lang w:eastAsia="en-AU"/>
              </w:rPr>
              <w:t>(excluding vacant residential land)</w:t>
            </w:r>
          </w:p>
        </w:tc>
        <w:tc>
          <w:tcPr>
            <w:tcW w:w="1559" w:type="dxa"/>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$200.00</w:t>
            </w:r>
          </w:p>
        </w:tc>
        <w:tc>
          <w:tcPr>
            <w:tcW w:w="1843" w:type="dxa"/>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0.000115</w:t>
            </w:r>
          </w:p>
        </w:tc>
        <w:tc>
          <w:tcPr>
            <w:tcW w:w="2977" w:type="dxa"/>
            <w:tcBorders>
              <w:top w:val="dotted" w:sz="4" w:space="0" w:color="auto"/>
              <w:bottom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Vacant*</w:t>
            </w:r>
          </w:p>
          <w:p w:rsidR="00842D7D" w:rsidRPr="00A97FEB" w:rsidRDefault="00842D7D" w:rsidP="000736E6">
            <w:pPr>
              <w:spacing w:after="0"/>
              <w:rPr>
                <w:rFonts w:cs="Arial"/>
                <w:color w:val="000000"/>
                <w:lang w:eastAsia="en-AU"/>
              </w:rPr>
            </w:pPr>
            <w:r w:rsidRPr="00A97FEB">
              <w:rPr>
                <w:rFonts w:cs="Arial"/>
                <w:color w:val="000000"/>
                <w:lang w:eastAsia="en-AU"/>
              </w:rPr>
              <w:t>The Point Vacant*</w:t>
            </w:r>
          </w:p>
        </w:tc>
      </w:tr>
      <w:tr w:rsidR="00842D7D" w:rsidRPr="00A97FEB" w:rsidTr="0007556E">
        <w:trPr>
          <w:trHeight w:val="300"/>
        </w:trPr>
        <w:tc>
          <w:tcPr>
            <w:tcW w:w="3700"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Commercial</w:t>
            </w:r>
          </w:p>
        </w:tc>
        <w:tc>
          <w:tcPr>
            <w:tcW w:w="1559"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$200.00</w:t>
            </w:r>
          </w:p>
        </w:tc>
        <w:tc>
          <w:tcPr>
            <w:tcW w:w="1843"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0.001092</w:t>
            </w:r>
          </w:p>
        </w:tc>
        <w:tc>
          <w:tcPr>
            <w:tcW w:w="2977" w:type="dxa"/>
            <w:tcBorders>
              <w:top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Commercial</w:t>
            </w:r>
          </w:p>
        </w:tc>
      </w:tr>
      <w:tr w:rsidR="00842D7D" w:rsidRPr="00A97FEB" w:rsidTr="0007556E">
        <w:trPr>
          <w:trHeight w:val="300"/>
        </w:trPr>
        <w:tc>
          <w:tcPr>
            <w:tcW w:w="3700"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Mixed Use</w:t>
            </w:r>
          </w:p>
        </w:tc>
      </w:tr>
      <w:tr w:rsidR="00842D7D" w:rsidRPr="00A97FEB" w:rsidTr="0007556E">
        <w:trPr>
          <w:trHeight w:val="300"/>
        </w:trPr>
        <w:tc>
          <w:tcPr>
            <w:tcW w:w="3700"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tcBorders>
              <w:bottom w:val="dotted" w:sz="4" w:space="0" w:color="auto"/>
            </w:tcBorders>
            <w:shd w:val="clear" w:color="auto" w:fill="auto"/>
            <w:vAlign w:val="center"/>
            <w:hideMark/>
          </w:tcPr>
          <w:p w:rsidR="00842D7D" w:rsidRDefault="00842D7D" w:rsidP="000736E6">
            <w:pPr>
              <w:spacing w:after="0"/>
              <w:rPr>
                <w:rFonts w:cs="Arial"/>
                <w:color w:val="000000"/>
                <w:lang w:eastAsia="en-AU"/>
              </w:rPr>
            </w:pPr>
            <w:r w:rsidRPr="00A97FEB">
              <w:rPr>
                <w:rFonts w:cs="Arial"/>
                <w:color w:val="000000"/>
                <w:lang w:eastAsia="en-AU"/>
              </w:rPr>
              <w:t>The Point Commercial</w:t>
            </w:r>
          </w:p>
          <w:p w:rsidR="00010848" w:rsidRPr="00A97FEB" w:rsidRDefault="00010848" w:rsidP="000736E6">
            <w:pPr>
              <w:spacing w:after="0"/>
              <w:rPr>
                <w:rFonts w:cs="Arial"/>
                <w:color w:val="000000"/>
                <w:lang w:eastAsia="en-AU"/>
              </w:rPr>
            </w:pPr>
          </w:p>
        </w:tc>
      </w:tr>
      <w:tr w:rsidR="00842D7D" w:rsidRPr="00A97FEB" w:rsidTr="0007556E">
        <w:trPr>
          <w:trHeight w:val="300"/>
        </w:trPr>
        <w:tc>
          <w:tcPr>
            <w:tcW w:w="3700"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lastRenderedPageBreak/>
              <w:t>Industrial </w:t>
            </w:r>
          </w:p>
        </w:tc>
        <w:tc>
          <w:tcPr>
            <w:tcW w:w="1559"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$200.00</w:t>
            </w:r>
          </w:p>
        </w:tc>
        <w:tc>
          <w:tcPr>
            <w:tcW w:w="1843" w:type="dxa"/>
            <w:vMerge w:val="restart"/>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r w:rsidRPr="00A97FEB">
              <w:rPr>
                <w:rFonts w:cs="Arial"/>
                <w:color w:val="000000"/>
                <w:lang w:eastAsia="en-AU"/>
              </w:rPr>
              <w:t>0.001709</w:t>
            </w:r>
          </w:p>
        </w:tc>
        <w:tc>
          <w:tcPr>
            <w:tcW w:w="2977" w:type="dxa"/>
            <w:tcBorders>
              <w:top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Industrial</w:t>
            </w:r>
          </w:p>
        </w:tc>
      </w:tr>
      <w:tr w:rsidR="00842D7D" w:rsidRPr="00A97FEB" w:rsidTr="0007556E">
        <w:trPr>
          <w:trHeight w:val="300"/>
        </w:trPr>
        <w:tc>
          <w:tcPr>
            <w:tcW w:w="3700"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Automobile</w:t>
            </w:r>
          </w:p>
        </w:tc>
      </w:tr>
      <w:tr w:rsidR="00842D7D" w:rsidRPr="00A97FEB" w:rsidTr="0007556E">
        <w:trPr>
          <w:trHeight w:val="300"/>
        </w:trPr>
        <w:tc>
          <w:tcPr>
            <w:tcW w:w="3700"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Petroleum</w:t>
            </w:r>
          </w:p>
        </w:tc>
      </w:tr>
      <w:tr w:rsidR="00842D7D" w:rsidRPr="00A97FEB" w:rsidTr="0007556E">
        <w:trPr>
          <w:trHeight w:val="300"/>
        </w:trPr>
        <w:tc>
          <w:tcPr>
            <w:tcW w:w="3700"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rPr>
                <w:rFonts w:cs="Arial"/>
                <w:color w:val="000000"/>
                <w:lang w:eastAsia="en-AU"/>
              </w:rPr>
            </w:pPr>
          </w:p>
        </w:tc>
        <w:tc>
          <w:tcPr>
            <w:tcW w:w="1559"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1843" w:type="dxa"/>
            <w:vMerge/>
            <w:tcBorders>
              <w:top w:val="dotted" w:sz="4" w:space="0" w:color="auto"/>
              <w:bottom w:val="dotted" w:sz="4" w:space="0" w:color="auto"/>
            </w:tcBorders>
            <w:shd w:val="clear" w:color="auto" w:fill="auto"/>
            <w:noWrap/>
            <w:vAlign w:val="center"/>
            <w:hideMark/>
          </w:tcPr>
          <w:p w:rsidR="00842D7D" w:rsidRPr="00A97FEB" w:rsidRDefault="00842D7D" w:rsidP="000736E6">
            <w:pPr>
              <w:spacing w:after="0"/>
              <w:jc w:val="center"/>
              <w:rPr>
                <w:rFonts w:cs="Arial"/>
                <w:color w:val="000000"/>
                <w:lang w:eastAsia="en-AU"/>
              </w:rPr>
            </w:pPr>
          </w:p>
        </w:tc>
        <w:tc>
          <w:tcPr>
            <w:tcW w:w="2977" w:type="dxa"/>
            <w:tcBorders>
              <w:bottom w:val="dotted" w:sz="4" w:space="0" w:color="auto"/>
            </w:tcBorders>
            <w:shd w:val="clear" w:color="auto" w:fill="auto"/>
            <w:vAlign w:val="center"/>
            <w:hideMark/>
          </w:tcPr>
          <w:p w:rsidR="00842D7D" w:rsidRPr="00A97FEB" w:rsidRDefault="00842D7D" w:rsidP="000736E6">
            <w:pPr>
              <w:spacing w:after="0"/>
              <w:rPr>
                <w:rFonts w:cs="Arial"/>
                <w:color w:val="000000"/>
                <w:lang w:eastAsia="en-AU"/>
              </w:rPr>
            </w:pPr>
            <w:r w:rsidRPr="00A97FEB">
              <w:rPr>
                <w:rFonts w:cs="Arial"/>
                <w:color w:val="000000"/>
                <w:lang w:eastAsia="en-AU"/>
              </w:rPr>
              <w:t>Aluminium</w:t>
            </w:r>
          </w:p>
        </w:tc>
      </w:tr>
      <w:tr w:rsidR="00A97FEB" w:rsidRPr="00A97FEB" w:rsidTr="0007556E">
        <w:trPr>
          <w:trHeight w:val="300"/>
        </w:trPr>
        <w:tc>
          <w:tcPr>
            <w:tcW w:w="3700"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rPr>
                <w:rFonts w:cs="Arial"/>
                <w:color w:val="000000"/>
                <w:lang w:eastAsia="en-AU"/>
              </w:rPr>
            </w:pPr>
            <w:r w:rsidRPr="00A97FEB">
              <w:rPr>
                <w:rFonts w:cs="Arial"/>
                <w:color w:val="000000"/>
                <w:lang w:eastAsia="en-AU"/>
              </w:rPr>
              <w:t>Primary Production</w:t>
            </w:r>
          </w:p>
        </w:tc>
        <w:tc>
          <w:tcPr>
            <w:tcW w:w="1559"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jc w:val="center"/>
              <w:rPr>
                <w:rFonts w:cs="Arial"/>
                <w:color w:val="000000"/>
                <w:lang w:eastAsia="en-AU"/>
              </w:rPr>
            </w:pPr>
            <w:r w:rsidRPr="00A97FEB">
              <w:rPr>
                <w:rFonts w:cs="Arial"/>
                <w:color w:val="000000"/>
                <w:lang w:eastAsia="en-AU"/>
              </w:rPr>
              <w:t>$200.00</w:t>
            </w:r>
          </w:p>
        </w:tc>
        <w:tc>
          <w:tcPr>
            <w:tcW w:w="1843"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jc w:val="center"/>
              <w:rPr>
                <w:rFonts w:cs="Arial"/>
                <w:color w:val="000000"/>
                <w:lang w:eastAsia="en-AU"/>
              </w:rPr>
            </w:pPr>
            <w:r w:rsidRPr="00A97FEB">
              <w:rPr>
                <w:rFonts w:cs="Arial"/>
                <w:color w:val="000000"/>
                <w:lang w:eastAsia="en-AU"/>
              </w:rPr>
              <w:t>0.000312</w:t>
            </w:r>
          </w:p>
        </w:tc>
        <w:tc>
          <w:tcPr>
            <w:tcW w:w="2977" w:type="dxa"/>
            <w:tcBorders>
              <w:top w:val="dotted" w:sz="4" w:space="0" w:color="auto"/>
              <w:bottom w:val="dotted" w:sz="4" w:space="0" w:color="auto"/>
            </w:tcBorders>
            <w:shd w:val="clear" w:color="auto" w:fill="auto"/>
            <w:vAlign w:val="center"/>
            <w:hideMark/>
          </w:tcPr>
          <w:p w:rsidR="00A97FEB" w:rsidRPr="00A97FEB" w:rsidRDefault="00A97FEB" w:rsidP="000736E6">
            <w:pPr>
              <w:spacing w:after="0"/>
              <w:rPr>
                <w:rFonts w:cs="Arial"/>
                <w:color w:val="000000"/>
                <w:lang w:eastAsia="en-AU"/>
              </w:rPr>
            </w:pPr>
            <w:r w:rsidRPr="00A97FEB">
              <w:rPr>
                <w:rFonts w:cs="Arial"/>
                <w:color w:val="000000"/>
                <w:lang w:eastAsia="en-AU"/>
              </w:rPr>
              <w:t>Farm</w:t>
            </w:r>
          </w:p>
        </w:tc>
      </w:tr>
      <w:tr w:rsidR="00A97FEB" w:rsidRPr="00A97FEB" w:rsidTr="0007556E">
        <w:trPr>
          <w:trHeight w:val="300"/>
        </w:trPr>
        <w:tc>
          <w:tcPr>
            <w:tcW w:w="3700"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rPr>
                <w:rFonts w:cs="Arial"/>
                <w:color w:val="000000"/>
                <w:lang w:eastAsia="en-AU"/>
              </w:rPr>
            </w:pPr>
            <w:r w:rsidRPr="00A97FEB">
              <w:rPr>
                <w:rFonts w:cs="Arial"/>
                <w:color w:val="000000"/>
                <w:lang w:eastAsia="en-AU"/>
              </w:rPr>
              <w:t>Public Benefit</w:t>
            </w:r>
          </w:p>
        </w:tc>
        <w:tc>
          <w:tcPr>
            <w:tcW w:w="1559"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jc w:val="center"/>
              <w:rPr>
                <w:rFonts w:cs="Arial"/>
                <w:color w:val="000000"/>
                <w:lang w:eastAsia="en-AU"/>
              </w:rPr>
            </w:pPr>
            <w:r w:rsidRPr="00A97FEB">
              <w:rPr>
                <w:rFonts w:cs="Arial"/>
                <w:color w:val="000000"/>
                <w:lang w:eastAsia="en-AU"/>
              </w:rPr>
              <w:t>$200.00</w:t>
            </w:r>
          </w:p>
        </w:tc>
        <w:tc>
          <w:tcPr>
            <w:tcW w:w="1843" w:type="dxa"/>
            <w:tcBorders>
              <w:top w:val="dotted" w:sz="4" w:space="0" w:color="auto"/>
              <w:bottom w:val="dotted" w:sz="4" w:space="0" w:color="auto"/>
            </w:tcBorders>
            <w:shd w:val="clear" w:color="auto" w:fill="auto"/>
            <w:noWrap/>
            <w:vAlign w:val="center"/>
            <w:hideMark/>
          </w:tcPr>
          <w:p w:rsidR="00A97FEB" w:rsidRPr="00A97FEB" w:rsidRDefault="00A97FEB" w:rsidP="000736E6">
            <w:pPr>
              <w:spacing w:after="0"/>
              <w:jc w:val="center"/>
              <w:rPr>
                <w:rFonts w:cs="Arial"/>
                <w:color w:val="000000"/>
                <w:lang w:eastAsia="en-AU"/>
              </w:rPr>
            </w:pPr>
            <w:r w:rsidRPr="00A97FEB">
              <w:rPr>
                <w:rFonts w:cs="Arial"/>
                <w:color w:val="000000"/>
                <w:lang w:eastAsia="en-AU"/>
              </w:rPr>
              <w:t>0.000115</w:t>
            </w:r>
          </w:p>
        </w:tc>
        <w:tc>
          <w:tcPr>
            <w:tcW w:w="2977" w:type="dxa"/>
            <w:tcBorders>
              <w:top w:val="dotted" w:sz="4" w:space="0" w:color="auto"/>
              <w:bottom w:val="dotted" w:sz="4" w:space="0" w:color="auto"/>
            </w:tcBorders>
            <w:shd w:val="clear" w:color="auto" w:fill="auto"/>
            <w:vAlign w:val="center"/>
            <w:hideMark/>
          </w:tcPr>
          <w:p w:rsidR="00A97FEB" w:rsidRPr="00A97FEB" w:rsidRDefault="00A97FEB" w:rsidP="000736E6">
            <w:pPr>
              <w:spacing w:after="0"/>
              <w:rPr>
                <w:rFonts w:cs="Arial"/>
                <w:color w:val="000000"/>
                <w:lang w:eastAsia="en-AU"/>
              </w:rPr>
            </w:pPr>
            <w:r w:rsidRPr="00A97FEB">
              <w:rPr>
                <w:rFonts w:cs="Arial"/>
                <w:color w:val="000000"/>
                <w:lang w:eastAsia="en-AU"/>
              </w:rPr>
              <w:t>Cultural &amp; Recreational</w:t>
            </w:r>
          </w:p>
        </w:tc>
      </w:tr>
      <w:tr w:rsidR="00A97FEB" w:rsidRPr="00A97FEB" w:rsidTr="006C3B4D">
        <w:trPr>
          <w:trHeight w:val="300"/>
        </w:trPr>
        <w:tc>
          <w:tcPr>
            <w:tcW w:w="10079" w:type="dxa"/>
            <w:gridSpan w:val="4"/>
            <w:tcBorders>
              <w:top w:val="dotted" w:sz="4" w:space="0" w:color="auto"/>
            </w:tcBorders>
            <w:shd w:val="clear" w:color="auto" w:fill="auto"/>
            <w:noWrap/>
            <w:hideMark/>
          </w:tcPr>
          <w:p w:rsidR="00A97FEB" w:rsidRPr="00A97FEB" w:rsidRDefault="00A97FEB" w:rsidP="000736E6">
            <w:pPr>
              <w:spacing w:after="0"/>
              <w:rPr>
                <w:rFonts w:cs="Arial"/>
                <w:color w:val="000000"/>
                <w:lang w:eastAsia="en-AU"/>
              </w:rPr>
            </w:pPr>
            <w:r w:rsidRPr="00A97FEB">
              <w:rPr>
                <w:rFonts w:cs="Arial"/>
                <w:color w:val="000000"/>
                <w:lang w:eastAsia="en-AU"/>
              </w:rPr>
              <w:t>*Vacant Land for Council rates are all under the Vacant Land Differential rate.</w:t>
            </w:r>
          </w:p>
        </w:tc>
      </w:tr>
      <w:tr w:rsidR="00A97FEB" w:rsidRPr="00A97FEB" w:rsidTr="006C3B4D">
        <w:trPr>
          <w:trHeight w:val="300"/>
        </w:trPr>
        <w:tc>
          <w:tcPr>
            <w:tcW w:w="10079" w:type="dxa"/>
            <w:gridSpan w:val="4"/>
            <w:tcBorders>
              <w:bottom w:val="dotted" w:sz="4" w:space="0" w:color="auto"/>
            </w:tcBorders>
            <w:shd w:val="clear" w:color="auto" w:fill="auto"/>
            <w:noWrap/>
            <w:hideMark/>
          </w:tcPr>
          <w:p w:rsidR="00A97FEB" w:rsidRPr="00A97FEB" w:rsidRDefault="00A97FEB" w:rsidP="000736E6">
            <w:pPr>
              <w:spacing w:after="0"/>
              <w:rPr>
                <w:rFonts w:cs="Arial"/>
                <w:color w:val="000000"/>
                <w:lang w:eastAsia="en-AU"/>
              </w:rPr>
            </w:pPr>
            <w:r w:rsidRPr="00A97FEB">
              <w:rPr>
                <w:rFonts w:cs="Arial"/>
                <w:color w:val="000000"/>
                <w:lang w:eastAsia="en-AU"/>
              </w:rPr>
              <w:t>For FSPL Vacant Land is split between Residential Land and other Vacant Land</w:t>
            </w:r>
            <w:r w:rsidR="00010848">
              <w:rPr>
                <w:rFonts w:cs="Arial"/>
                <w:color w:val="000000"/>
                <w:lang w:eastAsia="en-AU"/>
              </w:rPr>
              <w:t>.</w:t>
            </w:r>
          </w:p>
        </w:tc>
      </w:tr>
    </w:tbl>
    <w:p w:rsidR="00010848" w:rsidRDefault="00010848" w:rsidP="00E50632">
      <w:pPr>
        <w:spacing w:before="80"/>
        <w:jc w:val="both"/>
        <w:rPr>
          <w:rFonts w:cs="Arial"/>
          <w:i/>
          <w:sz w:val="24"/>
          <w:szCs w:val="24"/>
        </w:rPr>
      </w:pPr>
    </w:p>
    <w:p w:rsidR="00015AC4" w:rsidRDefault="00015AC4" w:rsidP="00E50632">
      <w:pPr>
        <w:spacing w:before="80"/>
        <w:jc w:val="both"/>
        <w:rPr>
          <w:rFonts w:cs="Arial"/>
          <w:i/>
          <w:sz w:val="24"/>
          <w:szCs w:val="24"/>
        </w:rPr>
      </w:pPr>
      <w:r w:rsidRPr="00BA6861">
        <w:rPr>
          <w:rFonts w:cs="Arial"/>
          <w:i/>
          <w:sz w:val="24"/>
          <w:szCs w:val="24"/>
        </w:rPr>
        <w:t>Council Differential Rates</w:t>
      </w:r>
    </w:p>
    <w:p w:rsidR="005D06F1" w:rsidRDefault="005D06F1" w:rsidP="005D06F1">
      <w:pPr>
        <w:spacing w:after="160"/>
        <w:jc w:val="both"/>
        <w:rPr>
          <w:color w:val="000000" w:themeColor="text1"/>
        </w:rPr>
      </w:pPr>
      <w:r w:rsidRPr="00D576C5">
        <w:rPr>
          <w:color w:val="000000" w:themeColor="text1"/>
        </w:rPr>
        <w:t>The purpose of the various rating groups is to ensure that each group makes a fair and equitable contribution to rates. Full disclosure of the rating groups, number of properties, valuations and revenue is shown in the Statutory Information on Rates.</w:t>
      </w:r>
    </w:p>
    <w:p w:rsidR="00C05E68" w:rsidRDefault="00C05E68" w:rsidP="00F9348A">
      <w:pPr>
        <w:jc w:val="both"/>
        <w:rPr>
          <w:color w:val="000000"/>
        </w:rPr>
      </w:pPr>
      <w:r w:rsidRPr="00C05E68">
        <w:rPr>
          <w:b/>
          <w:color w:val="000000"/>
        </w:rPr>
        <w:t>Residential Land</w:t>
      </w:r>
      <w:r w:rsidRPr="00C05E68">
        <w:rPr>
          <w:color w:val="000000"/>
        </w:rPr>
        <w:t xml:space="preserve"> - means any land</w:t>
      </w:r>
      <w:r w:rsidR="0032384C">
        <w:rPr>
          <w:color w:val="000000"/>
        </w:rPr>
        <w:t>:</w:t>
      </w:r>
    </w:p>
    <w:p w:rsidR="0032384C" w:rsidRPr="0032384C" w:rsidRDefault="0032384C" w:rsidP="000736E6">
      <w:pPr>
        <w:numPr>
          <w:ilvl w:val="0"/>
          <w:numId w:val="5"/>
        </w:numPr>
        <w:tabs>
          <w:tab w:val="num" w:pos="1440"/>
        </w:tabs>
        <w:ind w:left="567" w:hanging="567"/>
        <w:jc w:val="both"/>
        <w:rPr>
          <w:color w:val="000000"/>
        </w:rPr>
      </w:pPr>
      <w:r w:rsidRPr="0032384C">
        <w:rPr>
          <w:color w:val="000000"/>
        </w:rPr>
        <w:t>that is used exclusively for residential purposes; or</w:t>
      </w:r>
    </w:p>
    <w:p w:rsidR="0032384C" w:rsidRPr="0032384C" w:rsidRDefault="0032384C" w:rsidP="000736E6">
      <w:pPr>
        <w:numPr>
          <w:ilvl w:val="0"/>
          <w:numId w:val="5"/>
        </w:numPr>
        <w:tabs>
          <w:tab w:val="num" w:pos="1440"/>
        </w:tabs>
        <w:ind w:left="567" w:hanging="567"/>
        <w:jc w:val="both"/>
        <w:rPr>
          <w:color w:val="000000"/>
        </w:rPr>
      </w:pPr>
      <w:r w:rsidRPr="0032384C">
        <w:rPr>
          <w:color w:val="000000"/>
        </w:rPr>
        <w:t>on which a habitable building is erected, which building is unoccupied, and which is zoned residential under the Greater Geelong Planning Scheme.</w:t>
      </w:r>
    </w:p>
    <w:p w:rsidR="00C05E68" w:rsidRPr="00C05E68" w:rsidRDefault="00C05E68" w:rsidP="00F9348A">
      <w:pPr>
        <w:jc w:val="both"/>
        <w:rPr>
          <w:color w:val="000000"/>
        </w:rPr>
      </w:pPr>
      <w:r w:rsidRPr="00C05E68">
        <w:rPr>
          <w:color w:val="000000"/>
        </w:rPr>
        <w:t>Rating Objective: To ensure that all rateable land makes an equitable and efficient financial contribution to cost of carrying out the functions of Council, generally including the:</w:t>
      </w:r>
    </w:p>
    <w:p w:rsidR="00C05E68" w:rsidRPr="00C05E68" w:rsidRDefault="00C05E68" w:rsidP="00F9348A">
      <w:pPr>
        <w:numPr>
          <w:ilvl w:val="0"/>
          <w:numId w:val="12"/>
        </w:numPr>
        <w:tabs>
          <w:tab w:val="left" w:pos="567"/>
        </w:tabs>
        <w:ind w:left="567" w:hanging="567"/>
        <w:jc w:val="both"/>
        <w:rPr>
          <w:color w:val="000000"/>
        </w:rPr>
      </w:pPr>
      <w:r w:rsidRPr="00C05E68">
        <w:rPr>
          <w:color w:val="000000"/>
        </w:rPr>
        <w:t>Construction and maintenance of public infrastructure.</w:t>
      </w:r>
    </w:p>
    <w:p w:rsidR="00C05E68" w:rsidRPr="00C05E68" w:rsidRDefault="00C05E68" w:rsidP="00F9348A">
      <w:pPr>
        <w:numPr>
          <w:ilvl w:val="0"/>
          <w:numId w:val="12"/>
        </w:numPr>
        <w:tabs>
          <w:tab w:val="left" w:pos="567"/>
        </w:tabs>
        <w:ind w:left="567" w:hanging="567"/>
        <w:jc w:val="both"/>
        <w:rPr>
          <w:color w:val="000000"/>
        </w:rPr>
      </w:pPr>
      <w:r w:rsidRPr="00C05E68">
        <w:rPr>
          <w:color w:val="000000"/>
        </w:rPr>
        <w:t>Development and provision of health and community services.</w:t>
      </w:r>
    </w:p>
    <w:p w:rsidR="00C05E68" w:rsidRPr="00C05E68" w:rsidRDefault="00C05E68" w:rsidP="00F9348A">
      <w:pPr>
        <w:numPr>
          <w:ilvl w:val="0"/>
          <w:numId w:val="12"/>
        </w:numPr>
        <w:tabs>
          <w:tab w:val="left" w:pos="567"/>
        </w:tabs>
        <w:ind w:left="567" w:hanging="567"/>
        <w:jc w:val="both"/>
        <w:rPr>
          <w:color w:val="000000"/>
        </w:rPr>
      </w:pPr>
      <w:r w:rsidRPr="00C05E68">
        <w:rPr>
          <w:color w:val="000000"/>
        </w:rPr>
        <w:t>Provision of general support services.</w:t>
      </w:r>
    </w:p>
    <w:p w:rsidR="00C05E68" w:rsidRPr="00C05E68" w:rsidRDefault="00C05E68" w:rsidP="00F9348A">
      <w:pPr>
        <w:spacing w:after="0"/>
        <w:jc w:val="both"/>
        <w:rPr>
          <w:color w:val="000000"/>
        </w:rPr>
      </w:pPr>
    </w:p>
    <w:p w:rsidR="00C05E68" w:rsidRDefault="00C05E68" w:rsidP="00C05469">
      <w:pPr>
        <w:jc w:val="both"/>
        <w:rPr>
          <w:color w:val="000000"/>
        </w:rPr>
      </w:pPr>
      <w:r w:rsidRPr="00C05E68">
        <w:rPr>
          <w:b/>
          <w:color w:val="000000"/>
        </w:rPr>
        <w:t>Vacant Land</w:t>
      </w:r>
      <w:r w:rsidRPr="00C05E68">
        <w:rPr>
          <w:color w:val="000000"/>
        </w:rPr>
        <w:t xml:space="preserve"> </w:t>
      </w:r>
      <w:r w:rsidR="00C05469">
        <w:rPr>
          <w:color w:val="000000"/>
        </w:rPr>
        <w:t>– means any land:</w:t>
      </w:r>
    </w:p>
    <w:p w:rsidR="00C05469" w:rsidRPr="00C05469" w:rsidRDefault="00C05469" w:rsidP="000736E6">
      <w:pPr>
        <w:numPr>
          <w:ilvl w:val="0"/>
          <w:numId w:val="25"/>
        </w:numPr>
        <w:tabs>
          <w:tab w:val="num" w:pos="1440"/>
        </w:tabs>
        <w:ind w:left="567" w:hanging="567"/>
        <w:jc w:val="both"/>
        <w:rPr>
          <w:color w:val="000000"/>
        </w:rPr>
      </w:pPr>
      <w:r w:rsidRPr="00C05469">
        <w:rPr>
          <w:color w:val="000000"/>
        </w:rPr>
        <w:t xml:space="preserve">that does not have the characteristics of Farm Land; and </w:t>
      </w:r>
    </w:p>
    <w:p w:rsidR="00C05469" w:rsidRPr="00C05469" w:rsidRDefault="00C05469" w:rsidP="000736E6">
      <w:pPr>
        <w:numPr>
          <w:ilvl w:val="0"/>
          <w:numId w:val="25"/>
        </w:numPr>
        <w:tabs>
          <w:tab w:val="num" w:pos="1440"/>
        </w:tabs>
        <w:ind w:left="567" w:hanging="567"/>
        <w:jc w:val="both"/>
        <w:rPr>
          <w:color w:val="000000"/>
        </w:rPr>
      </w:pPr>
      <w:r w:rsidRPr="00C05469">
        <w:rPr>
          <w:color w:val="000000"/>
        </w:rPr>
        <w:t>on which no building is erected, save for any uninhabitable shed or shelter, the size of which does not exceed 5% of the total area of the land.</w:t>
      </w:r>
    </w:p>
    <w:p w:rsidR="00C05469" w:rsidRPr="00C05469" w:rsidRDefault="00C05469" w:rsidP="00C05469">
      <w:pPr>
        <w:jc w:val="both"/>
        <w:rPr>
          <w:color w:val="000000"/>
        </w:rPr>
      </w:pPr>
      <w:r w:rsidRPr="00C05469">
        <w:rPr>
          <w:color w:val="000000"/>
        </w:rPr>
        <w:t xml:space="preserve">Rating Objectives: </w:t>
      </w:r>
    </w:p>
    <w:p w:rsidR="00C05469" w:rsidRPr="00C05469" w:rsidRDefault="00C05469" w:rsidP="000736E6">
      <w:pPr>
        <w:numPr>
          <w:ilvl w:val="0"/>
          <w:numId w:val="26"/>
        </w:numPr>
        <w:tabs>
          <w:tab w:val="num" w:pos="1440"/>
        </w:tabs>
        <w:ind w:left="567" w:hanging="567"/>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pStyle w:val="BodyText"/>
        <w:numPr>
          <w:ilvl w:val="1"/>
          <w:numId w:val="11"/>
        </w:numPr>
        <w:tabs>
          <w:tab w:val="clear" w:pos="1440"/>
          <w:tab w:val="left" w:pos="1985"/>
        </w:tabs>
        <w:ind w:left="993" w:hanging="426"/>
        <w:rPr>
          <w:color w:val="000000"/>
          <w:sz w:val="20"/>
        </w:rPr>
      </w:pPr>
      <w:r w:rsidRPr="00C05469">
        <w:rPr>
          <w:color w:val="000000"/>
          <w:sz w:val="20"/>
        </w:rPr>
        <w:t>construction and maintenance of public infrastructure;</w:t>
      </w:r>
    </w:p>
    <w:p w:rsidR="00C05469" w:rsidRPr="00C05469" w:rsidRDefault="00C05469" w:rsidP="000736E6">
      <w:pPr>
        <w:pStyle w:val="BodyText"/>
        <w:numPr>
          <w:ilvl w:val="1"/>
          <w:numId w:val="11"/>
        </w:numPr>
        <w:tabs>
          <w:tab w:val="clear" w:pos="1440"/>
          <w:tab w:val="left" w:pos="1985"/>
        </w:tabs>
        <w:ind w:left="993" w:hanging="426"/>
        <w:rPr>
          <w:color w:val="000000"/>
          <w:sz w:val="20"/>
        </w:rPr>
      </w:pPr>
      <w:r w:rsidRPr="00C05469">
        <w:rPr>
          <w:color w:val="000000"/>
          <w:sz w:val="20"/>
        </w:rPr>
        <w:t>development and provision of health and community services; and</w:t>
      </w:r>
    </w:p>
    <w:p w:rsidR="00C05469" w:rsidRPr="00C05469" w:rsidRDefault="00C05469" w:rsidP="000736E6">
      <w:pPr>
        <w:pStyle w:val="BodyText"/>
        <w:numPr>
          <w:ilvl w:val="1"/>
          <w:numId w:val="11"/>
        </w:numPr>
        <w:tabs>
          <w:tab w:val="clear" w:pos="1440"/>
          <w:tab w:val="left" w:pos="1985"/>
        </w:tabs>
        <w:ind w:left="993" w:hanging="426"/>
        <w:rPr>
          <w:color w:val="000000"/>
          <w:sz w:val="20"/>
        </w:rPr>
      </w:pPr>
      <w:r w:rsidRPr="00C05469">
        <w:rPr>
          <w:color w:val="000000"/>
          <w:sz w:val="20"/>
        </w:rPr>
        <w:t>provision of general support services.</w:t>
      </w:r>
    </w:p>
    <w:p w:rsidR="00C05469" w:rsidRPr="00C05469" w:rsidRDefault="00C05469" w:rsidP="000736E6">
      <w:pPr>
        <w:numPr>
          <w:ilvl w:val="0"/>
          <w:numId w:val="26"/>
        </w:numPr>
        <w:tabs>
          <w:tab w:val="num" w:pos="1440"/>
        </w:tabs>
        <w:ind w:left="567" w:hanging="567"/>
        <w:jc w:val="both"/>
        <w:rPr>
          <w:color w:val="000000"/>
        </w:rPr>
      </w:pPr>
      <w:r w:rsidRPr="00C05469">
        <w:rPr>
          <w:color w:val="000000"/>
        </w:rPr>
        <w:t>To encourage the prompt development of vacant land to attract new residents and businesses to the City of Greater Geelong.</w:t>
      </w:r>
    </w:p>
    <w:p w:rsidR="00C05469" w:rsidRPr="00C05469" w:rsidRDefault="00C05469" w:rsidP="000736E6">
      <w:pPr>
        <w:numPr>
          <w:ilvl w:val="0"/>
          <w:numId w:val="26"/>
        </w:numPr>
        <w:tabs>
          <w:tab w:val="num" w:pos="1440"/>
        </w:tabs>
        <w:ind w:left="567" w:hanging="567"/>
        <w:jc w:val="both"/>
        <w:rPr>
          <w:color w:val="000000"/>
        </w:rPr>
      </w:pPr>
      <w:r w:rsidRPr="00C05469">
        <w:rPr>
          <w:color w:val="000000"/>
        </w:rPr>
        <w:t>To discourage untimely and unnecessary divisions of land.</w:t>
      </w:r>
    </w:p>
    <w:p w:rsidR="00C05469" w:rsidRPr="00C05469" w:rsidRDefault="00C05469" w:rsidP="00C05469">
      <w:pPr>
        <w:tabs>
          <w:tab w:val="num" w:pos="1440"/>
        </w:tabs>
        <w:jc w:val="both"/>
        <w:rPr>
          <w:color w:val="000000"/>
        </w:rPr>
      </w:pPr>
      <w:r w:rsidRPr="00C05469">
        <w:rPr>
          <w:color w:val="000000"/>
        </w:rPr>
        <w:t>These objectives will be met by setting the Vacant Land differential at 140% of the Residential Land differential.</w:t>
      </w:r>
    </w:p>
    <w:p w:rsidR="00C05E68" w:rsidRPr="00C05E68" w:rsidRDefault="00C05E68" w:rsidP="00C05E68">
      <w:pPr>
        <w:tabs>
          <w:tab w:val="left" w:pos="318"/>
        </w:tabs>
        <w:rPr>
          <w:b/>
          <w:color w:val="000000"/>
        </w:rPr>
      </w:pPr>
    </w:p>
    <w:p w:rsidR="00C05E68" w:rsidRPr="00C05E68" w:rsidRDefault="00C05E68" w:rsidP="00C05E68">
      <w:pPr>
        <w:tabs>
          <w:tab w:val="left" w:pos="318"/>
        </w:tabs>
        <w:jc w:val="both"/>
        <w:rPr>
          <w:color w:val="000000"/>
        </w:rPr>
      </w:pPr>
      <w:r w:rsidRPr="00C05E68">
        <w:rPr>
          <w:b/>
          <w:color w:val="000000"/>
        </w:rPr>
        <w:t xml:space="preserve">Commercial Land </w:t>
      </w:r>
      <w:r w:rsidRPr="00C05E68">
        <w:rPr>
          <w:color w:val="000000"/>
        </w:rPr>
        <w:t>– means any land that:</w:t>
      </w:r>
    </w:p>
    <w:p w:rsidR="00C05469" w:rsidRPr="00C05469" w:rsidRDefault="00C05469" w:rsidP="000736E6">
      <w:pPr>
        <w:numPr>
          <w:ilvl w:val="0"/>
          <w:numId w:val="27"/>
        </w:numPr>
        <w:tabs>
          <w:tab w:val="num" w:pos="1440"/>
        </w:tabs>
        <w:ind w:left="567" w:hanging="567"/>
        <w:jc w:val="both"/>
        <w:rPr>
          <w:color w:val="000000"/>
        </w:rPr>
      </w:pPr>
      <w:r w:rsidRPr="00C05469">
        <w:rPr>
          <w:color w:val="000000"/>
        </w:rPr>
        <w:t>does not have the characteristics of:</w:t>
      </w:r>
    </w:p>
    <w:p w:rsidR="00C05469" w:rsidRPr="00C05469" w:rsidRDefault="00C05469" w:rsidP="000736E6">
      <w:pPr>
        <w:pStyle w:val="BodyText"/>
        <w:numPr>
          <w:ilvl w:val="0"/>
          <w:numId w:val="28"/>
        </w:numPr>
        <w:tabs>
          <w:tab w:val="clear" w:pos="1440"/>
          <w:tab w:val="num" w:pos="927"/>
          <w:tab w:val="left" w:pos="1985"/>
        </w:tabs>
        <w:ind w:left="927"/>
        <w:rPr>
          <w:color w:val="000000"/>
          <w:sz w:val="20"/>
        </w:rPr>
      </w:pPr>
      <w:r w:rsidRPr="00C05469">
        <w:rPr>
          <w:color w:val="000000"/>
          <w:sz w:val="20"/>
        </w:rPr>
        <w:t>Farm Land; or</w:t>
      </w:r>
    </w:p>
    <w:p w:rsidR="00C05469" w:rsidRPr="00C05469" w:rsidRDefault="00C05469" w:rsidP="000736E6">
      <w:pPr>
        <w:pStyle w:val="BodyText"/>
        <w:numPr>
          <w:ilvl w:val="0"/>
          <w:numId w:val="28"/>
        </w:numPr>
        <w:tabs>
          <w:tab w:val="clear" w:pos="1440"/>
          <w:tab w:val="num" w:pos="927"/>
          <w:tab w:val="left" w:pos="1985"/>
        </w:tabs>
        <w:ind w:left="927"/>
        <w:rPr>
          <w:color w:val="000000"/>
          <w:sz w:val="20"/>
        </w:rPr>
      </w:pPr>
      <w:r w:rsidRPr="00C05469">
        <w:rPr>
          <w:color w:val="000000"/>
          <w:sz w:val="20"/>
        </w:rPr>
        <w:t>Industrial Land; or</w:t>
      </w:r>
    </w:p>
    <w:p w:rsidR="00C05469" w:rsidRPr="00C05469" w:rsidRDefault="00C05469" w:rsidP="000736E6">
      <w:pPr>
        <w:pStyle w:val="BodyText"/>
        <w:numPr>
          <w:ilvl w:val="0"/>
          <w:numId w:val="28"/>
        </w:numPr>
        <w:tabs>
          <w:tab w:val="clear" w:pos="1440"/>
          <w:tab w:val="num" w:pos="927"/>
          <w:tab w:val="left" w:pos="1985"/>
        </w:tabs>
        <w:ind w:left="927"/>
        <w:rPr>
          <w:color w:val="000000"/>
          <w:sz w:val="20"/>
        </w:rPr>
      </w:pPr>
      <w:r w:rsidRPr="00C05469">
        <w:rPr>
          <w:color w:val="000000"/>
          <w:sz w:val="20"/>
        </w:rPr>
        <w:t>Petroleum Production Land; or</w:t>
      </w:r>
    </w:p>
    <w:p w:rsidR="00C05469" w:rsidRPr="00C05469" w:rsidRDefault="00C05469" w:rsidP="000736E6">
      <w:pPr>
        <w:pStyle w:val="BodyText"/>
        <w:numPr>
          <w:ilvl w:val="0"/>
          <w:numId w:val="28"/>
        </w:numPr>
        <w:tabs>
          <w:tab w:val="clear" w:pos="1440"/>
          <w:tab w:val="num" w:pos="927"/>
          <w:tab w:val="left" w:pos="1985"/>
        </w:tabs>
        <w:ind w:left="927"/>
        <w:rPr>
          <w:color w:val="000000"/>
          <w:sz w:val="20"/>
        </w:rPr>
      </w:pPr>
      <w:r w:rsidRPr="00C05469">
        <w:rPr>
          <w:color w:val="000000"/>
          <w:sz w:val="20"/>
        </w:rPr>
        <w:t xml:space="preserve">Aluminium Production Land, or </w:t>
      </w:r>
    </w:p>
    <w:p w:rsidR="00C05469" w:rsidRPr="00C05469" w:rsidRDefault="00C05469" w:rsidP="000736E6">
      <w:pPr>
        <w:pStyle w:val="BodyText"/>
        <w:numPr>
          <w:ilvl w:val="0"/>
          <w:numId w:val="28"/>
        </w:numPr>
        <w:tabs>
          <w:tab w:val="clear" w:pos="1440"/>
          <w:tab w:val="num" w:pos="927"/>
          <w:tab w:val="left" w:pos="1985"/>
        </w:tabs>
        <w:ind w:left="927"/>
        <w:rPr>
          <w:color w:val="000000"/>
          <w:sz w:val="20"/>
        </w:rPr>
      </w:pPr>
      <w:r w:rsidRPr="00C05469">
        <w:rPr>
          <w:color w:val="000000"/>
          <w:sz w:val="20"/>
        </w:rPr>
        <w:t xml:space="preserve">Automobile Manufacture Land; </w:t>
      </w:r>
      <w:r w:rsidRPr="00C05469">
        <w:rPr>
          <w:rFonts w:cs="Arial"/>
          <w:color w:val="000000"/>
          <w:sz w:val="20"/>
        </w:rPr>
        <w:t>and</w:t>
      </w:r>
    </w:p>
    <w:p w:rsidR="00C05469" w:rsidRPr="00C05469" w:rsidRDefault="00C05469" w:rsidP="000736E6">
      <w:pPr>
        <w:numPr>
          <w:ilvl w:val="0"/>
          <w:numId w:val="27"/>
        </w:numPr>
        <w:tabs>
          <w:tab w:val="num" w:pos="1440"/>
        </w:tabs>
        <w:ind w:left="567" w:hanging="567"/>
        <w:jc w:val="both"/>
        <w:rPr>
          <w:color w:val="000000"/>
        </w:rPr>
      </w:pPr>
      <w:r w:rsidRPr="00C05469">
        <w:rPr>
          <w:color w:val="000000"/>
        </w:rPr>
        <w:lastRenderedPageBreak/>
        <w:t>is used predominately for the sale of goods or services or other commercial purposes; or</w:t>
      </w:r>
    </w:p>
    <w:p w:rsidR="00C05469" w:rsidRPr="00C05469" w:rsidRDefault="00C05469" w:rsidP="000736E6">
      <w:pPr>
        <w:numPr>
          <w:ilvl w:val="0"/>
          <w:numId w:val="27"/>
        </w:numPr>
        <w:tabs>
          <w:tab w:val="num" w:pos="1440"/>
        </w:tabs>
        <w:ind w:left="567" w:hanging="567"/>
        <w:jc w:val="both"/>
        <w:rPr>
          <w:color w:val="000000"/>
        </w:rPr>
      </w:pPr>
      <w:r w:rsidRPr="00C05469">
        <w:rPr>
          <w:color w:val="000000"/>
        </w:rPr>
        <w:t>on which a habitable building is erected, which building is unoccupied, and which is zoned other than residential under the Greater Geelong Planning Scheme.</w:t>
      </w:r>
    </w:p>
    <w:p w:rsidR="00C05469" w:rsidRPr="00C05469" w:rsidRDefault="00C05469" w:rsidP="00C05469">
      <w:pPr>
        <w:jc w:val="both"/>
        <w:rPr>
          <w:color w:val="000000"/>
        </w:rPr>
      </w:pPr>
      <w:r w:rsidRPr="00C05469">
        <w:rPr>
          <w:color w:val="000000"/>
        </w:rPr>
        <w:t xml:space="preserve">Rating Objective: </w:t>
      </w:r>
    </w:p>
    <w:p w:rsidR="00C05469" w:rsidRPr="00C05469" w:rsidRDefault="00C05469" w:rsidP="00C05469">
      <w:pPr>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15"/>
        </w:numPr>
        <w:tabs>
          <w:tab w:val="left" w:pos="567"/>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15"/>
        </w:numPr>
        <w:tabs>
          <w:tab w:val="left" w:pos="567"/>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15"/>
        </w:numPr>
        <w:tabs>
          <w:tab w:val="left" w:pos="567"/>
        </w:tabs>
        <w:ind w:left="567" w:hanging="567"/>
        <w:jc w:val="both"/>
        <w:rPr>
          <w:color w:val="000000"/>
        </w:rPr>
      </w:pPr>
      <w:r w:rsidRPr="00C05469">
        <w:rPr>
          <w:color w:val="000000"/>
        </w:rPr>
        <w:t>provision of general support services.</w:t>
      </w:r>
    </w:p>
    <w:p w:rsidR="00CF09CC" w:rsidRDefault="00CF09CC">
      <w:pPr>
        <w:spacing w:after="0"/>
        <w:rPr>
          <w:b/>
          <w:color w:val="000000"/>
        </w:rPr>
      </w:pPr>
    </w:p>
    <w:p w:rsidR="00C05E68" w:rsidRPr="00C05E68" w:rsidRDefault="00C05E68" w:rsidP="00C05E68">
      <w:pPr>
        <w:pStyle w:val="BodyText"/>
        <w:rPr>
          <w:b/>
          <w:color w:val="000000"/>
          <w:sz w:val="20"/>
        </w:rPr>
      </w:pPr>
      <w:r w:rsidRPr="00C05E68">
        <w:rPr>
          <w:b/>
          <w:color w:val="000000"/>
          <w:sz w:val="20"/>
        </w:rPr>
        <w:t xml:space="preserve">The Point – Residential Land - </w:t>
      </w:r>
      <w:r w:rsidRPr="00C05E68">
        <w:rPr>
          <w:color w:val="000000"/>
          <w:sz w:val="20"/>
        </w:rPr>
        <w:t>means any land that:</w:t>
      </w:r>
    </w:p>
    <w:p w:rsidR="00C05469" w:rsidRPr="00C05469" w:rsidRDefault="00C05469" w:rsidP="000736E6">
      <w:pPr>
        <w:numPr>
          <w:ilvl w:val="0"/>
          <w:numId w:val="9"/>
        </w:numPr>
        <w:tabs>
          <w:tab w:val="clear" w:pos="720"/>
          <w:tab w:val="num" w:pos="567"/>
        </w:tabs>
        <w:ind w:left="567" w:hanging="567"/>
        <w:jc w:val="both"/>
        <w:rPr>
          <w:color w:val="000000"/>
        </w:rPr>
      </w:pPr>
      <w:r w:rsidRPr="00C05469">
        <w:rPr>
          <w:color w:val="000000"/>
        </w:rPr>
        <w:t>is used exclusively for residential purposes; or</w:t>
      </w:r>
    </w:p>
    <w:p w:rsidR="00C05469" w:rsidRPr="00C05469" w:rsidRDefault="00C05469" w:rsidP="000736E6">
      <w:pPr>
        <w:numPr>
          <w:ilvl w:val="0"/>
          <w:numId w:val="9"/>
        </w:numPr>
        <w:tabs>
          <w:tab w:val="clear" w:pos="720"/>
          <w:tab w:val="num" w:pos="567"/>
        </w:tabs>
        <w:ind w:left="567" w:hanging="567"/>
        <w:jc w:val="both"/>
        <w:rPr>
          <w:color w:val="000000"/>
        </w:rPr>
      </w:pPr>
      <w:r w:rsidRPr="00C05469">
        <w:rPr>
          <w:color w:val="000000"/>
        </w:rPr>
        <w:t>on which a habitable building is erected, which building is unoccupied, and which is zoned residential under the Greater Geelong Planning Scheme; and</w:t>
      </w:r>
    </w:p>
    <w:p w:rsidR="00C05469" w:rsidRPr="00C05469" w:rsidRDefault="00C05469" w:rsidP="000736E6">
      <w:pPr>
        <w:numPr>
          <w:ilvl w:val="0"/>
          <w:numId w:val="9"/>
        </w:numPr>
        <w:tabs>
          <w:tab w:val="clear" w:pos="720"/>
          <w:tab w:val="num" w:pos="567"/>
        </w:tabs>
        <w:ind w:left="567" w:hanging="567"/>
        <w:jc w:val="both"/>
        <w:rPr>
          <w:color w:val="000000"/>
        </w:rPr>
      </w:pPr>
      <w:r w:rsidRPr="00C05469">
        <w:rPr>
          <w:color w:val="000000"/>
        </w:rPr>
        <w:t>forms part of the land described (or formerly described) in Certificate of Title Volume 09901 Folio 324 and also described as Lot B LP 214468 (Location Specific).</w:t>
      </w:r>
    </w:p>
    <w:p w:rsidR="00C05469" w:rsidRPr="00C05469" w:rsidRDefault="00C05469" w:rsidP="00C05469">
      <w:pPr>
        <w:jc w:val="both"/>
        <w:rPr>
          <w:color w:val="000000"/>
        </w:rPr>
      </w:pPr>
      <w:r w:rsidRPr="00C05469">
        <w:rPr>
          <w:color w:val="000000"/>
        </w:rPr>
        <w:t xml:space="preserve">Rating Objectives: </w:t>
      </w:r>
    </w:p>
    <w:p w:rsidR="00C05469" w:rsidRPr="00C05469" w:rsidRDefault="00C05469" w:rsidP="000736E6">
      <w:pPr>
        <w:numPr>
          <w:ilvl w:val="0"/>
          <w:numId w:val="29"/>
        </w:numPr>
        <w:tabs>
          <w:tab w:val="clear" w:pos="720"/>
        </w:tabs>
        <w:ind w:left="567" w:hanging="567"/>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pStyle w:val="BodyText"/>
        <w:numPr>
          <w:ilvl w:val="0"/>
          <w:numId w:val="30"/>
        </w:numPr>
        <w:tabs>
          <w:tab w:val="clear" w:pos="1440"/>
          <w:tab w:val="left" w:pos="1701"/>
        </w:tabs>
        <w:ind w:left="993" w:hanging="426"/>
        <w:rPr>
          <w:color w:val="000000"/>
          <w:sz w:val="20"/>
        </w:rPr>
      </w:pPr>
      <w:r w:rsidRPr="00C05469">
        <w:rPr>
          <w:color w:val="000000"/>
          <w:sz w:val="20"/>
        </w:rPr>
        <w:t>construction and maintenance of public infrastructure;</w:t>
      </w:r>
    </w:p>
    <w:p w:rsidR="00C05469" w:rsidRPr="00C05469" w:rsidRDefault="00C05469" w:rsidP="000736E6">
      <w:pPr>
        <w:pStyle w:val="BodyText"/>
        <w:numPr>
          <w:ilvl w:val="0"/>
          <w:numId w:val="30"/>
        </w:numPr>
        <w:tabs>
          <w:tab w:val="clear" w:pos="1440"/>
          <w:tab w:val="left" w:pos="1985"/>
        </w:tabs>
        <w:ind w:left="993" w:hanging="426"/>
        <w:rPr>
          <w:color w:val="000000"/>
          <w:sz w:val="20"/>
        </w:rPr>
      </w:pPr>
      <w:r w:rsidRPr="00C05469">
        <w:rPr>
          <w:color w:val="000000"/>
          <w:sz w:val="20"/>
        </w:rPr>
        <w:t>development and provision of health and community services;</w:t>
      </w:r>
    </w:p>
    <w:p w:rsidR="00C05469" w:rsidRPr="00C05469" w:rsidRDefault="00C05469" w:rsidP="000736E6">
      <w:pPr>
        <w:pStyle w:val="BodyText"/>
        <w:numPr>
          <w:ilvl w:val="0"/>
          <w:numId w:val="30"/>
        </w:numPr>
        <w:tabs>
          <w:tab w:val="clear" w:pos="1440"/>
          <w:tab w:val="left" w:pos="1985"/>
        </w:tabs>
        <w:ind w:left="993" w:hanging="426"/>
        <w:rPr>
          <w:color w:val="000000"/>
          <w:sz w:val="20"/>
        </w:rPr>
      </w:pPr>
      <w:r w:rsidRPr="00C05469">
        <w:rPr>
          <w:color w:val="000000"/>
          <w:sz w:val="20"/>
        </w:rPr>
        <w:t>provision of general support services; and</w:t>
      </w:r>
    </w:p>
    <w:p w:rsidR="00C05469" w:rsidRPr="00C05469" w:rsidRDefault="00C05469" w:rsidP="000736E6">
      <w:pPr>
        <w:pStyle w:val="BodyText"/>
        <w:numPr>
          <w:ilvl w:val="0"/>
          <w:numId w:val="30"/>
        </w:numPr>
        <w:tabs>
          <w:tab w:val="clear" w:pos="1440"/>
          <w:tab w:val="left" w:pos="1985"/>
        </w:tabs>
        <w:ind w:left="993" w:hanging="426"/>
        <w:rPr>
          <w:color w:val="000000"/>
          <w:sz w:val="20"/>
        </w:rPr>
      </w:pPr>
      <w:r w:rsidRPr="00C05469">
        <w:rPr>
          <w:color w:val="000000"/>
          <w:sz w:val="20"/>
        </w:rPr>
        <w:t xml:space="preserve">management of environmentally sensitive land. </w:t>
      </w:r>
    </w:p>
    <w:p w:rsidR="00C05469" w:rsidRPr="00C05469" w:rsidRDefault="00C05469" w:rsidP="000736E6">
      <w:pPr>
        <w:numPr>
          <w:ilvl w:val="0"/>
          <w:numId w:val="29"/>
        </w:numPr>
        <w:ind w:left="567" w:hanging="567"/>
        <w:jc w:val="both"/>
        <w:rPr>
          <w:color w:val="000000"/>
        </w:rPr>
      </w:pPr>
      <w:r w:rsidRPr="00C05469">
        <w:rPr>
          <w:color w:val="000000"/>
        </w:rPr>
        <w:t xml:space="preserve">To ensure that, following the development of the Point Land, and transfer to Council of the management of environmentally sensitive land, including the provision of a range of services around an existing waterway, constructed lake and canal system, an equitable and efficient financial contribution to the cost of Council's management responsibilities will be made by the ratepayers in respect of that land. </w:t>
      </w:r>
    </w:p>
    <w:p w:rsidR="00C05E68" w:rsidRPr="00C05E68" w:rsidRDefault="00C05E68" w:rsidP="00C05E68">
      <w:pPr>
        <w:pStyle w:val="BodyText"/>
        <w:rPr>
          <w:b/>
          <w:color w:val="000000"/>
          <w:sz w:val="20"/>
        </w:rPr>
      </w:pPr>
    </w:p>
    <w:p w:rsidR="00C05E68" w:rsidRPr="00C05E68" w:rsidRDefault="00C05E68" w:rsidP="00C05E68">
      <w:pPr>
        <w:pStyle w:val="BodyText"/>
        <w:rPr>
          <w:color w:val="000000"/>
          <w:sz w:val="20"/>
        </w:rPr>
      </w:pPr>
      <w:r w:rsidRPr="00C05E68">
        <w:rPr>
          <w:b/>
          <w:color w:val="000000"/>
          <w:sz w:val="20"/>
        </w:rPr>
        <w:t xml:space="preserve">The Point – Vacant Land - </w:t>
      </w:r>
      <w:r w:rsidR="008C6DCB">
        <w:rPr>
          <w:color w:val="000000"/>
          <w:sz w:val="20"/>
        </w:rPr>
        <w:t>means any land:</w:t>
      </w:r>
    </w:p>
    <w:p w:rsidR="00C05469" w:rsidRPr="00C05469" w:rsidRDefault="00C05469" w:rsidP="000736E6">
      <w:pPr>
        <w:numPr>
          <w:ilvl w:val="0"/>
          <w:numId w:val="10"/>
        </w:numPr>
        <w:tabs>
          <w:tab w:val="clear" w:pos="720"/>
          <w:tab w:val="num" w:pos="-1701"/>
        </w:tabs>
        <w:ind w:left="567" w:hanging="567"/>
        <w:jc w:val="both"/>
        <w:rPr>
          <w:color w:val="000000"/>
        </w:rPr>
      </w:pPr>
      <w:r w:rsidRPr="00C05469">
        <w:rPr>
          <w:color w:val="000000"/>
        </w:rPr>
        <w:t xml:space="preserve">that does not have the characteristics of Farm Land;  and </w:t>
      </w:r>
    </w:p>
    <w:p w:rsidR="00C05469" w:rsidRPr="00C05469" w:rsidRDefault="00C05469" w:rsidP="000736E6">
      <w:pPr>
        <w:numPr>
          <w:ilvl w:val="0"/>
          <w:numId w:val="10"/>
        </w:numPr>
        <w:tabs>
          <w:tab w:val="clear" w:pos="720"/>
          <w:tab w:val="num" w:pos="-1701"/>
        </w:tabs>
        <w:ind w:left="567" w:hanging="567"/>
        <w:jc w:val="both"/>
        <w:rPr>
          <w:color w:val="000000"/>
        </w:rPr>
      </w:pPr>
      <w:r w:rsidRPr="00C05469">
        <w:rPr>
          <w:color w:val="000000"/>
        </w:rPr>
        <w:t>on which no building is erected save for any small uninhabitable storage shed or shelter, the size of which does not exceed 5% of the total land area; and</w:t>
      </w:r>
      <w:r w:rsidRPr="00C05469" w:rsidDel="003C41FE">
        <w:rPr>
          <w:color w:val="000000"/>
        </w:rPr>
        <w:t xml:space="preserve">  </w:t>
      </w:r>
    </w:p>
    <w:p w:rsidR="00C05469" w:rsidRPr="00C05469" w:rsidRDefault="00C05469" w:rsidP="000736E6">
      <w:pPr>
        <w:numPr>
          <w:ilvl w:val="0"/>
          <w:numId w:val="10"/>
        </w:numPr>
        <w:tabs>
          <w:tab w:val="clear" w:pos="720"/>
          <w:tab w:val="num" w:pos="-1701"/>
        </w:tabs>
        <w:ind w:left="567" w:hanging="567"/>
        <w:jc w:val="both"/>
        <w:rPr>
          <w:color w:val="000000"/>
        </w:rPr>
      </w:pPr>
      <w:r w:rsidRPr="00C05469">
        <w:rPr>
          <w:color w:val="000000"/>
        </w:rPr>
        <w:t>forms part of the land described (or formerly described) in Certificate of Title Volume 09901 Folio 324 and also described as Lot B LP 214468 (Location Specific).</w:t>
      </w:r>
    </w:p>
    <w:p w:rsidR="00C05469" w:rsidRPr="00C05469" w:rsidRDefault="00C05469" w:rsidP="00C05469">
      <w:pPr>
        <w:jc w:val="both"/>
        <w:rPr>
          <w:color w:val="000000"/>
        </w:rPr>
      </w:pPr>
      <w:r w:rsidRPr="00C05469">
        <w:rPr>
          <w:color w:val="000000"/>
        </w:rPr>
        <w:t xml:space="preserve">Rating Objectives: </w:t>
      </w:r>
      <w:bookmarkStart w:id="1" w:name="_GoBack"/>
      <w:bookmarkEnd w:id="1"/>
    </w:p>
    <w:p w:rsidR="00C05469" w:rsidRPr="00C05469" w:rsidRDefault="00C05469" w:rsidP="000736E6">
      <w:pPr>
        <w:numPr>
          <w:ilvl w:val="0"/>
          <w:numId w:val="31"/>
        </w:numPr>
        <w:ind w:left="567" w:hanging="567"/>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pStyle w:val="BodyText"/>
        <w:numPr>
          <w:ilvl w:val="0"/>
          <w:numId w:val="32"/>
        </w:numPr>
        <w:tabs>
          <w:tab w:val="clear" w:pos="1440"/>
          <w:tab w:val="num" w:pos="1701"/>
        </w:tabs>
        <w:ind w:left="993" w:hanging="426"/>
        <w:rPr>
          <w:color w:val="000000"/>
          <w:sz w:val="20"/>
        </w:rPr>
      </w:pPr>
      <w:r w:rsidRPr="00C05469">
        <w:rPr>
          <w:color w:val="000000"/>
          <w:sz w:val="20"/>
        </w:rPr>
        <w:t>construction and maintenance of public infrastructure;</w:t>
      </w:r>
    </w:p>
    <w:p w:rsidR="00C05469" w:rsidRPr="00C05469" w:rsidRDefault="00C05469" w:rsidP="000736E6">
      <w:pPr>
        <w:pStyle w:val="BodyText"/>
        <w:numPr>
          <w:ilvl w:val="0"/>
          <w:numId w:val="32"/>
        </w:numPr>
        <w:tabs>
          <w:tab w:val="clear" w:pos="1440"/>
          <w:tab w:val="num" w:pos="1701"/>
        </w:tabs>
        <w:ind w:left="993" w:hanging="426"/>
        <w:rPr>
          <w:color w:val="000000"/>
          <w:sz w:val="20"/>
        </w:rPr>
      </w:pPr>
      <w:r w:rsidRPr="00C05469">
        <w:rPr>
          <w:color w:val="000000"/>
          <w:sz w:val="20"/>
        </w:rPr>
        <w:t>development and provision of health and community services;</w:t>
      </w:r>
    </w:p>
    <w:p w:rsidR="00C05469" w:rsidRPr="00C05469" w:rsidRDefault="00C05469" w:rsidP="000736E6">
      <w:pPr>
        <w:pStyle w:val="BodyText"/>
        <w:numPr>
          <w:ilvl w:val="0"/>
          <w:numId w:val="32"/>
        </w:numPr>
        <w:tabs>
          <w:tab w:val="clear" w:pos="1440"/>
          <w:tab w:val="num" w:pos="1701"/>
        </w:tabs>
        <w:ind w:left="993" w:hanging="426"/>
        <w:rPr>
          <w:color w:val="000000"/>
          <w:sz w:val="20"/>
        </w:rPr>
      </w:pPr>
      <w:r w:rsidRPr="00C05469">
        <w:rPr>
          <w:color w:val="000000"/>
          <w:sz w:val="20"/>
        </w:rPr>
        <w:t>provision of general support services; and</w:t>
      </w:r>
    </w:p>
    <w:p w:rsidR="00C05469" w:rsidRPr="00C05469" w:rsidRDefault="00C05469" w:rsidP="000736E6">
      <w:pPr>
        <w:pStyle w:val="BodyText"/>
        <w:numPr>
          <w:ilvl w:val="0"/>
          <w:numId w:val="32"/>
        </w:numPr>
        <w:tabs>
          <w:tab w:val="clear" w:pos="1440"/>
          <w:tab w:val="num" w:pos="1701"/>
        </w:tabs>
        <w:ind w:left="993" w:hanging="426"/>
        <w:rPr>
          <w:color w:val="000000"/>
          <w:sz w:val="20"/>
        </w:rPr>
      </w:pPr>
      <w:r w:rsidRPr="00C05469">
        <w:rPr>
          <w:color w:val="000000"/>
          <w:sz w:val="20"/>
        </w:rPr>
        <w:t xml:space="preserve">management of environmentally sensitive land. </w:t>
      </w:r>
    </w:p>
    <w:p w:rsidR="00C05469" w:rsidRPr="00C05469" w:rsidRDefault="00C05469" w:rsidP="000736E6">
      <w:pPr>
        <w:numPr>
          <w:ilvl w:val="0"/>
          <w:numId w:val="31"/>
        </w:numPr>
        <w:ind w:left="567" w:hanging="567"/>
        <w:jc w:val="both"/>
        <w:rPr>
          <w:color w:val="000000"/>
        </w:rPr>
      </w:pPr>
      <w:r w:rsidRPr="00C05469">
        <w:rPr>
          <w:color w:val="000000"/>
        </w:rPr>
        <w:t>To ensure that, following the development of the Point Land, and transfer to Council of the management of environmentally sensitive land, including the provision of a range of services around an existing waterway, constructed lake and canal system, an equitable and efficient financial contribution to the cost of Council's management responsibilities will be made by the ratepayers in respect of that land.</w:t>
      </w:r>
    </w:p>
    <w:p w:rsidR="00C05469" w:rsidRPr="00C05469" w:rsidRDefault="00C05469" w:rsidP="000736E6">
      <w:pPr>
        <w:numPr>
          <w:ilvl w:val="0"/>
          <w:numId w:val="26"/>
        </w:numPr>
        <w:tabs>
          <w:tab w:val="num" w:pos="1440"/>
        </w:tabs>
        <w:ind w:left="567" w:hanging="567"/>
        <w:jc w:val="both"/>
        <w:rPr>
          <w:color w:val="000000"/>
        </w:rPr>
      </w:pPr>
      <w:r w:rsidRPr="00C05469">
        <w:rPr>
          <w:color w:val="000000"/>
        </w:rPr>
        <w:t>To encourage the prompt development of vacant land to attract new residents and businesses to the City of Greater Geelong and, more specifically, to the Point Land.</w:t>
      </w:r>
    </w:p>
    <w:p w:rsidR="00C05469" w:rsidRPr="00C05469" w:rsidRDefault="00C05469" w:rsidP="000736E6">
      <w:pPr>
        <w:numPr>
          <w:ilvl w:val="0"/>
          <w:numId w:val="31"/>
        </w:numPr>
        <w:ind w:left="567" w:hanging="567"/>
        <w:jc w:val="both"/>
        <w:rPr>
          <w:color w:val="000000"/>
        </w:rPr>
      </w:pPr>
      <w:r w:rsidRPr="00C05469">
        <w:rPr>
          <w:color w:val="000000"/>
        </w:rPr>
        <w:t>To discourage untimely and unnecessary divisions of land.</w:t>
      </w:r>
    </w:p>
    <w:p w:rsidR="00C05E68" w:rsidRPr="00C05E68" w:rsidRDefault="00C05E68" w:rsidP="00C05E68">
      <w:pPr>
        <w:spacing w:after="0"/>
        <w:rPr>
          <w:b/>
          <w:color w:val="000000"/>
        </w:rPr>
      </w:pPr>
    </w:p>
    <w:p w:rsidR="00C05E68" w:rsidRPr="00C05E68" w:rsidRDefault="00C05E68" w:rsidP="00C05E68">
      <w:pPr>
        <w:pStyle w:val="BodyText"/>
        <w:rPr>
          <w:color w:val="000000"/>
          <w:sz w:val="20"/>
        </w:rPr>
      </w:pPr>
      <w:r w:rsidRPr="00C05E68">
        <w:rPr>
          <w:b/>
          <w:color w:val="000000"/>
          <w:sz w:val="20"/>
        </w:rPr>
        <w:t xml:space="preserve">The Point – Commercial Land - </w:t>
      </w:r>
      <w:r w:rsidRPr="00C05E68">
        <w:rPr>
          <w:color w:val="000000"/>
          <w:sz w:val="20"/>
        </w:rPr>
        <w:t>means any land that:</w:t>
      </w:r>
    </w:p>
    <w:p w:rsidR="00C05469" w:rsidRPr="00C05469" w:rsidRDefault="00C05469" w:rsidP="000736E6">
      <w:pPr>
        <w:numPr>
          <w:ilvl w:val="0"/>
          <w:numId w:val="33"/>
        </w:numPr>
        <w:ind w:left="567" w:hanging="567"/>
        <w:jc w:val="both"/>
        <w:rPr>
          <w:color w:val="000000"/>
        </w:rPr>
      </w:pPr>
      <w:r w:rsidRPr="00C05469">
        <w:rPr>
          <w:color w:val="000000"/>
        </w:rPr>
        <w:t>does not have the characteristics of:</w:t>
      </w:r>
    </w:p>
    <w:p w:rsidR="00C05469" w:rsidRPr="00C05469" w:rsidRDefault="00C05469" w:rsidP="000736E6">
      <w:pPr>
        <w:pStyle w:val="BodyText"/>
        <w:numPr>
          <w:ilvl w:val="1"/>
          <w:numId w:val="33"/>
        </w:numPr>
        <w:tabs>
          <w:tab w:val="clear" w:pos="1440"/>
          <w:tab w:val="num" w:pos="2007"/>
        </w:tabs>
        <w:ind w:left="993" w:hanging="426"/>
        <w:rPr>
          <w:color w:val="000000"/>
          <w:sz w:val="20"/>
        </w:rPr>
      </w:pPr>
      <w:r w:rsidRPr="00C05469">
        <w:rPr>
          <w:color w:val="000000"/>
          <w:sz w:val="20"/>
        </w:rPr>
        <w:t>Farm Land; or</w:t>
      </w:r>
    </w:p>
    <w:p w:rsidR="00C05469" w:rsidRPr="00C05469" w:rsidRDefault="00C05469" w:rsidP="000736E6">
      <w:pPr>
        <w:pStyle w:val="BodyText"/>
        <w:numPr>
          <w:ilvl w:val="1"/>
          <w:numId w:val="33"/>
        </w:numPr>
        <w:tabs>
          <w:tab w:val="clear" w:pos="1440"/>
          <w:tab w:val="num" w:pos="2007"/>
        </w:tabs>
        <w:ind w:left="993" w:hanging="426"/>
        <w:rPr>
          <w:color w:val="000000"/>
          <w:sz w:val="20"/>
        </w:rPr>
      </w:pPr>
      <w:r w:rsidRPr="00C05469">
        <w:rPr>
          <w:color w:val="000000"/>
          <w:sz w:val="20"/>
        </w:rPr>
        <w:t>Industrial Land; and</w:t>
      </w:r>
    </w:p>
    <w:p w:rsidR="00C05469" w:rsidRPr="00C05469" w:rsidRDefault="00C05469" w:rsidP="000736E6">
      <w:pPr>
        <w:pStyle w:val="BodyText"/>
        <w:numPr>
          <w:ilvl w:val="0"/>
          <w:numId w:val="33"/>
        </w:numPr>
        <w:tabs>
          <w:tab w:val="left" w:pos="1985"/>
        </w:tabs>
        <w:ind w:left="567" w:hanging="567"/>
        <w:rPr>
          <w:color w:val="000000"/>
          <w:sz w:val="20"/>
        </w:rPr>
      </w:pPr>
      <w:r w:rsidRPr="00C05469">
        <w:rPr>
          <w:color w:val="000000"/>
          <w:sz w:val="20"/>
        </w:rPr>
        <w:t>is used predominantly for the sale of goods or services, or other commercial purposes; or</w:t>
      </w:r>
    </w:p>
    <w:p w:rsidR="00C05469" w:rsidRPr="00C05469" w:rsidRDefault="00C05469" w:rsidP="000736E6">
      <w:pPr>
        <w:pStyle w:val="BodyText"/>
        <w:numPr>
          <w:ilvl w:val="0"/>
          <w:numId w:val="33"/>
        </w:numPr>
        <w:tabs>
          <w:tab w:val="left" w:pos="1985"/>
        </w:tabs>
        <w:ind w:left="567" w:hanging="567"/>
        <w:rPr>
          <w:rFonts w:cs="Arial"/>
          <w:color w:val="000000"/>
          <w:sz w:val="20"/>
        </w:rPr>
      </w:pPr>
      <w:r w:rsidRPr="00C05469">
        <w:rPr>
          <w:rFonts w:cs="Arial"/>
          <w:color w:val="000000"/>
          <w:sz w:val="20"/>
        </w:rPr>
        <w:t>on which a habitable building is erected, which building is unoccupied, and which is zoned other than residential under the Greater Geelong Planning Scheme; and</w:t>
      </w:r>
    </w:p>
    <w:p w:rsidR="00C05469" w:rsidRPr="00C05469" w:rsidRDefault="00C05469" w:rsidP="000736E6">
      <w:pPr>
        <w:pStyle w:val="BodyText"/>
        <w:numPr>
          <w:ilvl w:val="0"/>
          <w:numId w:val="33"/>
        </w:numPr>
        <w:ind w:left="567" w:hanging="567"/>
        <w:rPr>
          <w:rFonts w:cs="Arial"/>
          <w:color w:val="000000"/>
          <w:sz w:val="20"/>
        </w:rPr>
      </w:pPr>
      <w:r w:rsidRPr="00C05469">
        <w:rPr>
          <w:rFonts w:cs="Arial"/>
          <w:color w:val="000000"/>
          <w:sz w:val="20"/>
        </w:rPr>
        <w:t>forms part of the land described (or formerly described) in Certificate of Title Volume 09901 Folio 324 and also described as Lot B LP 214468 (Location Specific).</w:t>
      </w:r>
    </w:p>
    <w:p w:rsidR="00C05469" w:rsidRPr="00C05469" w:rsidRDefault="00C05469" w:rsidP="00C05469">
      <w:pPr>
        <w:jc w:val="both"/>
        <w:rPr>
          <w:color w:val="000000"/>
        </w:rPr>
      </w:pPr>
      <w:r w:rsidRPr="00C05469">
        <w:rPr>
          <w:color w:val="000000"/>
        </w:rPr>
        <w:t xml:space="preserve">Rating Objectives: </w:t>
      </w:r>
    </w:p>
    <w:p w:rsidR="00C05469" w:rsidRPr="00C05469" w:rsidRDefault="00C05469" w:rsidP="000736E6">
      <w:pPr>
        <w:numPr>
          <w:ilvl w:val="0"/>
          <w:numId w:val="34"/>
        </w:numPr>
        <w:ind w:left="567" w:hanging="567"/>
        <w:jc w:val="both"/>
        <w:rPr>
          <w:color w:val="000000"/>
        </w:rPr>
      </w:pPr>
      <w:r w:rsidRPr="00C05469">
        <w:rPr>
          <w:color w:val="000000"/>
        </w:rPr>
        <w:t>To ensure that all rateable land makes an equitable and efficient financial contribution to cost of carrying out the functions of Council, generally including the:</w:t>
      </w:r>
    </w:p>
    <w:p w:rsidR="00C05469" w:rsidRPr="00C05469" w:rsidRDefault="00C05469" w:rsidP="000736E6">
      <w:pPr>
        <w:pStyle w:val="BodyText"/>
        <w:numPr>
          <w:ilvl w:val="1"/>
          <w:numId w:val="33"/>
        </w:numPr>
        <w:tabs>
          <w:tab w:val="clear" w:pos="1440"/>
          <w:tab w:val="num" w:pos="1298"/>
          <w:tab w:val="left" w:pos="1985"/>
        </w:tabs>
        <w:ind w:left="993" w:hanging="426"/>
        <w:rPr>
          <w:color w:val="000000"/>
          <w:sz w:val="20"/>
        </w:rPr>
      </w:pPr>
      <w:r w:rsidRPr="00C05469">
        <w:rPr>
          <w:color w:val="000000"/>
          <w:sz w:val="20"/>
        </w:rPr>
        <w:t>construction and maintenance of public infrastructure;</w:t>
      </w:r>
    </w:p>
    <w:p w:rsidR="00C05469" w:rsidRPr="00C05469" w:rsidRDefault="00C05469" w:rsidP="000736E6">
      <w:pPr>
        <w:pStyle w:val="BodyText"/>
        <w:numPr>
          <w:ilvl w:val="1"/>
          <w:numId w:val="33"/>
        </w:numPr>
        <w:tabs>
          <w:tab w:val="clear" w:pos="1440"/>
          <w:tab w:val="num" w:pos="1298"/>
          <w:tab w:val="left" w:pos="1985"/>
        </w:tabs>
        <w:ind w:left="993" w:hanging="426"/>
        <w:rPr>
          <w:color w:val="000000"/>
          <w:sz w:val="20"/>
        </w:rPr>
      </w:pPr>
      <w:r w:rsidRPr="00C05469">
        <w:rPr>
          <w:color w:val="000000"/>
          <w:sz w:val="20"/>
        </w:rPr>
        <w:t>development and provision of health and community services;</w:t>
      </w:r>
    </w:p>
    <w:p w:rsidR="00C05469" w:rsidRPr="00C05469" w:rsidRDefault="00C05469" w:rsidP="000736E6">
      <w:pPr>
        <w:pStyle w:val="BodyText"/>
        <w:numPr>
          <w:ilvl w:val="1"/>
          <w:numId w:val="33"/>
        </w:numPr>
        <w:tabs>
          <w:tab w:val="clear" w:pos="1440"/>
          <w:tab w:val="num" w:pos="1298"/>
          <w:tab w:val="left" w:pos="1985"/>
        </w:tabs>
        <w:ind w:left="993" w:hanging="426"/>
        <w:rPr>
          <w:color w:val="000000"/>
          <w:sz w:val="20"/>
        </w:rPr>
      </w:pPr>
      <w:r w:rsidRPr="00C05469">
        <w:rPr>
          <w:color w:val="000000"/>
          <w:sz w:val="20"/>
        </w:rPr>
        <w:t>provision of general support services; and</w:t>
      </w:r>
    </w:p>
    <w:p w:rsidR="00C05469" w:rsidRPr="00C05469" w:rsidRDefault="00C05469" w:rsidP="000736E6">
      <w:pPr>
        <w:pStyle w:val="BodyText"/>
        <w:numPr>
          <w:ilvl w:val="1"/>
          <w:numId w:val="33"/>
        </w:numPr>
        <w:tabs>
          <w:tab w:val="clear" w:pos="1440"/>
          <w:tab w:val="num" w:pos="1298"/>
          <w:tab w:val="left" w:pos="1985"/>
        </w:tabs>
        <w:ind w:left="993" w:hanging="426"/>
        <w:rPr>
          <w:color w:val="000000"/>
          <w:sz w:val="20"/>
        </w:rPr>
      </w:pPr>
      <w:r w:rsidRPr="00C05469">
        <w:rPr>
          <w:color w:val="000000"/>
          <w:sz w:val="20"/>
        </w:rPr>
        <w:t xml:space="preserve">management of environmentally sensitive land. </w:t>
      </w:r>
    </w:p>
    <w:p w:rsidR="00C05469" w:rsidRPr="00C05469" w:rsidRDefault="00C05469" w:rsidP="000736E6">
      <w:pPr>
        <w:pStyle w:val="BodyText"/>
        <w:numPr>
          <w:ilvl w:val="0"/>
          <w:numId w:val="35"/>
        </w:numPr>
        <w:ind w:left="567" w:hanging="567"/>
        <w:rPr>
          <w:rFonts w:cs="Arial"/>
          <w:color w:val="000000"/>
          <w:sz w:val="20"/>
        </w:rPr>
      </w:pPr>
      <w:r w:rsidRPr="00C05469">
        <w:rPr>
          <w:rFonts w:cs="Arial"/>
          <w:color w:val="000000"/>
          <w:sz w:val="20"/>
        </w:rPr>
        <w:t>To ensure that, following the development of the Point Land, and transfer to Council of the management of environmentally sensitive land, including the provision of a range of services around an existing waterway, constructed lake and canal system, to ensure that an equitable and efficient financial contribution to the cost of Council's management responsibilities will be made by the ratepayers in respect of that land.</w:t>
      </w:r>
    </w:p>
    <w:p w:rsidR="00C05E68" w:rsidRPr="00C05E68" w:rsidRDefault="00C05E68" w:rsidP="00C05E68">
      <w:pPr>
        <w:tabs>
          <w:tab w:val="left" w:pos="567"/>
        </w:tabs>
        <w:jc w:val="both"/>
        <w:rPr>
          <w:color w:val="000000"/>
        </w:rPr>
      </w:pPr>
    </w:p>
    <w:p w:rsidR="00C05E68" w:rsidRPr="00C05E68" w:rsidRDefault="00C05E68" w:rsidP="00C05E68">
      <w:pPr>
        <w:jc w:val="both"/>
        <w:rPr>
          <w:color w:val="000000"/>
        </w:rPr>
      </w:pPr>
      <w:r w:rsidRPr="00C05E68" w:rsidDel="00195414">
        <w:rPr>
          <w:color w:val="000000"/>
        </w:rPr>
        <w:t xml:space="preserve"> </w:t>
      </w:r>
      <w:r w:rsidRPr="00C05E68">
        <w:rPr>
          <w:b/>
          <w:color w:val="000000"/>
        </w:rPr>
        <w:t>Industrial Land</w:t>
      </w:r>
      <w:r w:rsidRPr="00C05E68">
        <w:rPr>
          <w:color w:val="000000"/>
        </w:rPr>
        <w:t xml:space="preserve"> – means any land that:</w:t>
      </w:r>
    </w:p>
    <w:p w:rsidR="00C05469" w:rsidRPr="00C05469" w:rsidRDefault="00C05469" w:rsidP="000736E6">
      <w:pPr>
        <w:numPr>
          <w:ilvl w:val="0"/>
          <w:numId w:val="6"/>
        </w:numPr>
        <w:tabs>
          <w:tab w:val="num" w:pos="1440"/>
        </w:tabs>
        <w:ind w:left="567" w:hanging="567"/>
        <w:jc w:val="both"/>
        <w:rPr>
          <w:color w:val="000000"/>
        </w:rPr>
      </w:pPr>
      <w:r w:rsidRPr="00C05469">
        <w:rPr>
          <w:color w:val="000000"/>
        </w:rPr>
        <w:t>does not have the characteristics of</w:t>
      </w:r>
    </w:p>
    <w:p w:rsidR="00C05469" w:rsidRPr="00C05469" w:rsidRDefault="00C05469" w:rsidP="000736E6">
      <w:pPr>
        <w:pStyle w:val="BodyText"/>
        <w:numPr>
          <w:ilvl w:val="0"/>
          <w:numId w:val="36"/>
        </w:numPr>
        <w:tabs>
          <w:tab w:val="clear" w:pos="1440"/>
          <w:tab w:val="num" w:pos="1701"/>
          <w:tab w:val="left" w:pos="1985"/>
        </w:tabs>
        <w:ind w:left="1134" w:hanging="567"/>
        <w:rPr>
          <w:color w:val="000000"/>
          <w:sz w:val="20"/>
        </w:rPr>
      </w:pPr>
      <w:r w:rsidRPr="00C05469">
        <w:rPr>
          <w:color w:val="000000"/>
          <w:sz w:val="20"/>
        </w:rPr>
        <w:t>Vacant Land; or</w:t>
      </w:r>
    </w:p>
    <w:p w:rsidR="00C05469" w:rsidRPr="00C05469" w:rsidRDefault="00C05469" w:rsidP="000736E6">
      <w:pPr>
        <w:pStyle w:val="BodyText"/>
        <w:numPr>
          <w:ilvl w:val="0"/>
          <w:numId w:val="36"/>
        </w:numPr>
        <w:tabs>
          <w:tab w:val="clear" w:pos="1440"/>
          <w:tab w:val="num" w:pos="1701"/>
          <w:tab w:val="left" w:pos="1985"/>
        </w:tabs>
        <w:ind w:left="1134" w:hanging="567"/>
        <w:rPr>
          <w:color w:val="000000"/>
          <w:sz w:val="20"/>
        </w:rPr>
      </w:pPr>
      <w:r w:rsidRPr="00C05469">
        <w:rPr>
          <w:color w:val="000000"/>
          <w:sz w:val="20"/>
        </w:rPr>
        <w:t>Commercial Land; or</w:t>
      </w:r>
    </w:p>
    <w:p w:rsidR="00C05469" w:rsidRPr="00C05469" w:rsidRDefault="00C05469" w:rsidP="000736E6">
      <w:pPr>
        <w:pStyle w:val="BodyText"/>
        <w:numPr>
          <w:ilvl w:val="0"/>
          <w:numId w:val="36"/>
        </w:numPr>
        <w:tabs>
          <w:tab w:val="clear" w:pos="1440"/>
          <w:tab w:val="num" w:pos="1701"/>
          <w:tab w:val="left" w:pos="1985"/>
        </w:tabs>
        <w:ind w:left="1134" w:hanging="567"/>
        <w:rPr>
          <w:color w:val="000000"/>
          <w:sz w:val="20"/>
        </w:rPr>
      </w:pPr>
      <w:r w:rsidRPr="00C05469">
        <w:rPr>
          <w:color w:val="000000"/>
          <w:sz w:val="20"/>
        </w:rPr>
        <w:t>Petroleum Production Land; or</w:t>
      </w:r>
    </w:p>
    <w:p w:rsidR="00C05469" w:rsidRPr="00C05469" w:rsidRDefault="00C05469" w:rsidP="000736E6">
      <w:pPr>
        <w:pStyle w:val="BodyText"/>
        <w:numPr>
          <w:ilvl w:val="0"/>
          <w:numId w:val="36"/>
        </w:numPr>
        <w:tabs>
          <w:tab w:val="clear" w:pos="1440"/>
          <w:tab w:val="num" w:pos="1701"/>
          <w:tab w:val="left" w:pos="1985"/>
        </w:tabs>
        <w:ind w:left="1134" w:hanging="567"/>
        <w:rPr>
          <w:color w:val="000000"/>
          <w:sz w:val="20"/>
        </w:rPr>
      </w:pPr>
      <w:r w:rsidRPr="00C05469">
        <w:rPr>
          <w:color w:val="000000"/>
          <w:sz w:val="20"/>
        </w:rPr>
        <w:t>Aluminium Production Land; or</w:t>
      </w:r>
    </w:p>
    <w:p w:rsidR="00C05469" w:rsidRPr="00C05469" w:rsidRDefault="00C05469" w:rsidP="000736E6">
      <w:pPr>
        <w:pStyle w:val="BodyText"/>
        <w:numPr>
          <w:ilvl w:val="0"/>
          <w:numId w:val="36"/>
        </w:numPr>
        <w:tabs>
          <w:tab w:val="clear" w:pos="1440"/>
          <w:tab w:val="num" w:pos="1701"/>
          <w:tab w:val="left" w:pos="1985"/>
        </w:tabs>
        <w:ind w:left="1134" w:hanging="567"/>
        <w:rPr>
          <w:color w:val="000000"/>
          <w:sz w:val="20"/>
        </w:rPr>
      </w:pPr>
      <w:r w:rsidRPr="00C05469">
        <w:rPr>
          <w:color w:val="000000"/>
          <w:sz w:val="20"/>
        </w:rPr>
        <w:t>Automobile Manufacture Land; and</w:t>
      </w:r>
    </w:p>
    <w:p w:rsidR="00C05469" w:rsidRPr="00C05469" w:rsidRDefault="00C05469" w:rsidP="000736E6">
      <w:pPr>
        <w:numPr>
          <w:ilvl w:val="0"/>
          <w:numId w:val="6"/>
        </w:numPr>
        <w:tabs>
          <w:tab w:val="num" w:pos="1440"/>
        </w:tabs>
        <w:ind w:left="567" w:hanging="567"/>
        <w:jc w:val="both"/>
        <w:rPr>
          <w:color w:val="000000"/>
        </w:rPr>
      </w:pPr>
      <w:r w:rsidRPr="00C05469">
        <w:rPr>
          <w:color w:val="000000"/>
        </w:rPr>
        <w:t>is used predominately for industrial purposes, which includes manufacturing, repairing, servicing, processing and reprocessing.</w:t>
      </w:r>
    </w:p>
    <w:p w:rsidR="00C05469" w:rsidRPr="00C05469" w:rsidRDefault="00C05469" w:rsidP="00C05469">
      <w:pPr>
        <w:jc w:val="both"/>
        <w:rPr>
          <w:color w:val="000000"/>
        </w:rPr>
      </w:pPr>
      <w:r w:rsidRPr="00C05469">
        <w:rPr>
          <w:color w:val="000000"/>
        </w:rPr>
        <w:t xml:space="preserve">Rating Objective: </w:t>
      </w:r>
    </w:p>
    <w:p w:rsidR="00C05469" w:rsidRPr="00C05469" w:rsidRDefault="00C05469" w:rsidP="00C05469">
      <w:pPr>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19"/>
        </w:numPr>
        <w:tabs>
          <w:tab w:val="left" w:pos="567"/>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19"/>
        </w:numPr>
        <w:tabs>
          <w:tab w:val="left" w:pos="567"/>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19"/>
        </w:numPr>
        <w:tabs>
          <w:tab w:val="left" w:pos="567"/>
        </w:tabs>
        <w:ind w:left="567" w:hanging="567"/>
        <w:jc w:val="both"/>
        <w:rPr>
          <w:color w:val="000000"/>
        </w:rPr>
      </w:pPr>
      <w:r w:rsidRPr="00C05469">
        <w:rPr>
          <w:color w:val="000000"/>
        </w:rPr>
        <w:t>provision of general support services.</w:t>
      </w:r>
    </w:p>
    <w:p w:rsidR="00C05E68" w:rsidRPr="00C05E68" w:rsidRDefault="00C05E68" w:rsidP="00C05E68">
      <w:pPr>
        <w:jc w:val="both"/>
        <w:rPr>
          <w:b/>
          <w:color w:val="000000"/>
        </w:rPr>
      </w:pPr>
    </w:p>
    <w:p w:rsidR="00C05E68" w:rsidRPr="00C05E68" w:rsidRDefault="00C05E68" w:rsidP="00C05E68">
      <w:pPr>
        <w:jc w:val="both"/>
        <w:rPr>
          <w:color w:val="000000"/>
        </w:rPr>
      </w:pPr>
      <w:r w:rsidRPr="00C05E68">
        <w:rPr>
          <w:b/>
          <w:color w:val="000000"/>
        </w:rPr>
        <w:t xml:space="preserve">Mixed Use Land </w:t>
      </w:r>
      <w:r w:rsidRPr="00C05E68">
        <w:rPr>
          <w:color w:val="000000"/>
        </w:rPr>
        <w:t>– means any land that:</w:t>
      </w:r>
    </w:p>
    <w:p w:rsidR="00C05469" w:rsidRPr="00C05469" w:rsidRDefault="00C05469" w:rsidP="000736E6">
      <w:pPr>
        <w:numPr>
          <w:ilvl w:val="0"/>
          <w:numId w:val="37"/>
        </w:numPr>
        <w:tabs>
          <w:tab w:val="num" w:pos="1440"/>
        </w:tabs>
        <w:ind w:left="567" w:hanging="567"/>
        <w:jc w:val="both"/>
        <w:rPr>
          <w:color w:val="000000"/>
        </w:rPr>
      </w:pPr>
      <w:r w:rsidRPr="00C05469">
        <w:rPr>
          <w:color w:val="000000"/>
        </w:rPr>
        <w:t>has the characteristics of Residential Land combined with the characteristics of Commercial Land or Industrial Land; and</w:t>
      </w:r>
    </w:p>
    <w:p w:rsidR="00C05469" w:rsidRPr="00C05469" w:rsidRDefault="00C05469" w:rsidP="000736E6">
      <w:pPr>
        <w:numPr>
          <w:ilvl w:val="0"/>
          <w:numId w:val="37"/>
        </w:numPr>
        <w:tabs>
          <w:tab w:val="num" w:pos="1440"/>
        </w:tabs>
        <w:ind w:left="567" w:hanging="567"/>
        <w:jc w:val="both"/>
        <w:rPr>
          <w:color w:val="000000"/>
        </w:rPr>
      </w:pPr>
      <w:r w:rsidRPr="00C05469">
        <w:rPr>
          <w:color w:val="000000"/>
        </w:rPr>
        <w:t>is used partly for residential purposes and partly for commercial and/or industrial purposes.</w:t>
      </w:r>
    </w:p>
    <w:p w:rsidR="00010848" w:rsidRDefault="00010848">
      <w:pPr>
        <w:spacing w:after="0"/>
        <w:rPr>
          <w:color w:val="000000"/>
        </w:rPr>
      </w:pPr>
      <w:r>
        <w:rPr>
          <w:color w:val="000000"/>
        </w:rPr>
        <w:br w:type="page"/>
      </w:r>
    </w:p>
    <w:p w:rsidR="00C05469" w:rsidRPr="00C05469" w:rsidRDefault="00C05469" w:rsidP="00C05469">
      <w:pPr>
        <w:jc w:val="both"/>
        <w:rPr>
          <w:color w:val="000000"/>
        </w:rPr>
      </w:pPr>
      <w:r w:rsidRPr="00C05469">
        <w:rPr>
          <w:color w:val="000000"/>
        </w:rPr>
        <w:lastRenderedPageBreak/>
        <w:t xml:space="preserve">Rating Objective: </w:t>
      </w:r>
    </w:p>
    <w:p w:rsidR="00C05469" w:rsidRPr="00C05469" w:rsidRDefault="00C05469" w:rsidP="00C05469">
      <w:pPr>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20"/>
        </w:numPr>
        <w:tabs>
          <w:tab w:val="left" w:pos="567"/>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20"/>
        </w:numPr>
        <w:tabs>
          <w:tab w:val="left" w:pos="567"/>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20"/>
        </w:numPr>
        <w:tabs>
          <w:tab w:val="left" w:pos="567"/>
        </w:tabs>
        <w:ind w:left="567" w:hanging="567"/>
        <w:jc w:val="both"/>
        <w:rPr>
          <w:color w:val="000000"/>
        </w:rPr>
      </w:pPr>
      <w:r w:rsidRPr="00C05469">
        <w:rPr>
          <w:color w:val="000000"/>
        </w:rPr>
        <w:t>provision of general support services.</w:t>
      </w:r>
    </w:p>
    <w:p w:rsidR="000736E6" w:rsidRDefault="000736E6">
      <w:pPr>
        <w:spacing w:after="0"/>
        <w:rPr>
          <w:b/>
          <w:color w:val="000000"/>
        </w:rPr>
      </w:pPr>
    </w:p>
    <w:p w:rsidR="00C05E68" w:rsidRPr="00C05E68" w:rsidRDefault="00C05E68" w:rsidP="00C05E68">
      <w:pPr>
        <w:jc w:val="both"/>
        <w:rPr>
          <w:color w:val="000000"/>
        </w:rPr>
      </w:pPr>
      <w:r w:rsidRPr="00C05E68">
        <w:rPr>
          <w:b/>
          <w:color w:val="000000"/>
        </w:rPr>
        <w:t>Farm Land</w:t>
      </w:r>
      <w:r w:rsidRPr="00C05E68">
        <w:rPr>
          <w:color w:val="000000"/>
        </w:rPr>
        <w:t xml:space="preserve"> – means any land which</w:t>
      </w:r>
      <w:r w:rsidR="008C6DCB">
        <w:rPr>
          <w:color w:val="000000"/>
        </w:rPr>
        <w:t>:</w:t>
      </w:r>
      <w:r w:rsidRPr="00C05E68">
        <w:rPr>
          <w:color w:val="000000"/>
        </w:rPr>
        <w:t xml:space="preserve"> </w:t>
      </w:r>
    </w:p>
    <w:p w:rsidR="00C05469" w:rsidRPr="00C05469" w:rsidRDefault="00C05469" w:rsidP="000736E6">
      <w:pPr>
        <w:numPr>
          <w:ilvl w:val="0"/>
          <w:numId w:val="38"/>
        </w:numPr>
        <w:tabs>
          <w:tab w:val="num" w:pos="1440"/>
        </w:tabs>
        <w:ind w:left="567" w:hanging="567"/>
        <w:jc w:val="both"/>
        <w:rPr>
          <w:color w:val="000000"/>
        </w:rPr>
      </w:pPr>
      <w:r w:rsidRPr="00C05469">
        <w:rPr>
          <w:color w:val="000000"/>
        </w:rPr>
        <w:t>is not less than 2 hectares in area; and</w:t>
      </w:r>
    </w:p>
    <w:p w:rsidR="00C05469" w:rsidRPr="00C05469" w:rsidRDefault="00C05469" w:rsidP="000736E6">
      <w:pPr>
        <w:numPr>
          <w:ilvl w:val="0"/>
          <w:numId w:val="38"/>
        </w:numPr>
        <w:tabs>
          <w:tab w:val="num" w:pos="1440"/>
        </w:tabs>
        <w:ind w:left="567" w:hanging="567"/>
        <w:jc w:val="both"/>
        <w:rPr>
          <w:color w:val="000000"/>
        </w:rPr>
      </w:pPr>
      <w:r w:rsidRPr="00C05469">
        <w:rPr>
          <w:color w:val="000000"/>
        </w:rPr>
        <w:t>is used predominantly for the business of grazing (including agistment), dairying, pig-farming, poultry farming, fish farming, tree farming, bee-keeping, viticulture, horticulture, fruit growing or the growing of crops of any kind or for any combination of those activities; or</w:t>
      </w:r>
    </w:p>
    <w:p w:rsidR="00C05469" w:rsidRPr="00C05469" w:rsidRDefault="00C05469" w:rsidP="000736E6">
      <w:pPr>
        <w:numPr>
          <w:ilvl w:val="0"/>
          <w:numId w:val="38"/>
        </w:numPr>
        <w:tabs>
          <w:tab w:val="num" w:pos="1440"/>
        </w:tabs>
        <w:ind w:left="567" w:hanging="567"/>
        <w:jc w:val="both"/>
        <w:rPr>
          <w:color w:val="000000"/>
        </w:rPr>
      </w:pPr>
      <w:r w:rsidRPr="00C05469">
        <w:rPr>
          <w:color w:val="000000"/>
        </w:rPr>
        <w:t>satisfies the criteria for municipal purpose benefit for large holdings to the extent that it is, for example, land that is predominantly used and maintained for heritage, cultural or environmental purposes, or land that is held as natural bushland under a trust for nature covenant, or land that is held under some other type of similar formal undertaking.</w:t>
      </w:r>
    </w:p>
    <w:p w:rsidR="00C05469" w:rsidRPr="00C05469" w:rsidRDefault="00C05469" w:rsidP="00C05469">
      <w:pPr>
        <w:jc w:val="both"/>
        <w:rPr>
          <w:color w:val="000000"/>
        </w:rPr>
      </w:pPr>
      <w:r w:rsidRPr="00C05469">
        <w:rPr>
          <w:color w:val="000000"/>
        </w:rPr>
        <w:t xml:space="preserve">To avoid doubt, 'business' for the purposes of identifying Farm Land has the same meaning as that given to it by section 2(1) of the </w:t>
      </w:r>
      <w:r w:rsidRPr="00C05469">
        <w:rPr>
          <w:i/>
          <w:color w:val="000000"/>
        </w:rPr>
        <w:t>Valuation of Land Act</w:t>
      </w:r>
      <w:r w:rsidRPr="00C05469">
        <w:rPr>
          <w:color w:val="000000"/>
        </w:rPr>
        <w:t xml:space="preserve"> 1960 for the same purpose, being a business that:</w:t>
      </w:r>
    </w:p>
    <w:p w:rsidR="00C05469" w:rsidRPr="00C05469" w:rsidRDefault="00C05469" w:rsidP="000736E6">
      <w:pPr>
        <w:pStyle w:val="SumPoint"/>
        <w:numPr>
          <w:ilvl w:val="0"/>
          <w:numId w:val="13"/>
        </w:numPr>
        <w:tabs>
          <w:tab w:val="clear" w:pos="1495"/>
          <w:tab w:val="num" w:pos="567"/>
        </w:tabs>
        <w:ind w:left="567" w:hanging="567"/>
        <w:jc w:val="both"/>
        <w:rPr>
          <w:color w:val="000000"/>
          <w:sz w:val="20"/>
        </w:rPr>
      </w:pPr>
      <w:r w:rsidRPr="00C05469">
        <w:rPr>
          <w:color w:val="000000"/>
          <w:sz w:val="20"/>
        </w:rPr>
        <w:t>has a significant and substantial commercial purpose or character; and</w:t>
      </w:r>
    </w:p>
    <w:p w:rsidR="00C05469" w:rsidRPr="00C05469" w:rsidRDefault="00C05469" w:rsidP="000736E6">
      <w:pPr>
        <w:pStyle w:val="SumPoint"/>
        <w:numPr>
          <w:ilvl w:val="0"/>
          <w:numId w:val="13"/>
        </w:numPr>
        <w:tabs>
          <w:tab w:val="clear" w:pos="1495"/>
          <w:tab w:val="num" w:pos="567"/>
        </w:tabs>
        <w:ind w:left="567" w:hanging="567"/>
        <w:jc w:val="both"/>
        <w:rPr>
          <w:color w:val="000000"/>
          <w:sz w:val="20"/>
        </w:rPr>
      </w:pPr>
      <w:r w:rsidRPr="00C05469">
        <w:rPr>
          <w:color w:val="000000"/>
          <w:sz w:val="20"/>
        </w:rPr>
        <w:t>seeks to make a profit on a continuous or repetitive basis form its activities on the land; and</w:t>
      </w:r>
    </w:p>
    <w:p w:rsidR="00C05469" w:rsidRPr="00C05469" w:rsidRDefault="00C05469" w:rsidP="000736E6">
      <w:pPr>
        <w:pStyle w:val="SumPoint"/>
        <w:numPr>
          <w:ilvl w:val="0"/>
          <w:numId w:val="13"/>
        </w:numPr>
        <w:tabs>
          <w:tab w:val="clear" w:pos="1495"/>
          <w:tab w:val="num" w:pos="567"/>
        </w:tabs>
        <w:ind w:left="567" w:hanging="567"/>
        <w:jc w:val="both"/>
        <w:rPr>
          <w:color w:val="000000"/>
          <w:sz w:val="20"/>
        </w:rPr>
      </w:pPr>
      <w:r w:rsidRPr="00C05469">
        <w:rPr>
          <w:color w:val="000000"/>
          <w:sz w:val="20"/>
        </w:rPr>
        <w:t>is making a profit from its activities on the land, or that has a reasonable prospect of making a profit from its activities on the land if it continues to operate in the way that it is operating.</w:t>
      </w:r>
    </w:p>
    <w:p w:rsidR="00C05469" w:rsidRPr="00C05469" w:rsidRDefault="00C05469" w:rsidP="00C05469">
      <w:pPr>
        <w:jc w:val="both"/>
        <w:rPr>
          <w:color w:val="000000"/>
        </w:rPr>
      </w:pPr>
      <w:r w:rsidRPr="00C05469">
        <w:rPr>
          <w:color w:val="000000"/>
        </w:rPr>
        <w:t xml:space="preserve">Rating Objectives: </w:t>
      </w:r>
    </w:p>
    <w:p w:rsidR="00C05469" w:rsidRPr="00C05469" w:rsidRDefault="00C05469" w:rsidP="000736E6">
      <w:pPr>
        <w:numPr>
          <w:ilvl w:val="0"/>
          <w:numId w:val="39"/>
        </w:numPr>
        <w:tabs>
          <w:tab w:val="num" w:pos="1440"/>
        </w:tabs>
        <w:ind w:left="567" w:hanging="567"/>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pStyle w:val="BodyText"/>
        <w:numPr>
          <w:ilvl w:val="0"/>
          <w:numId w:val="40"/>
        </w:numPr>
        <w:tabs>
          <w:tab w:val="clear" w:pos="1440"/>
          <w:tab w:val="left" w:pos="1985"/>
        </w:tabs>
        <w:ind w:left="993" w:hanging="426"/>
        <w:rPr>
          <w:color w:val="000000"/>
          <w:sz w:val="20"/>
        </w:rPr>
      </w:pPr>
      <w:r w:rsidRPr="00C05469">
        <w:rPr>
          <w:color w:val="000000"/>
          <w:sz w:val="20"/>
        </w:rPr>
        <w:t>construction and maintenance of public infrastructure;</w:t>
      </w:r>
    </w:p>
    <w:p w:rsidR="00C05469" w:rsidRPr="00C05469" w:rsidRDefault="00C05469" w:rsidP="000736E6">
      <w:pPr>
        <w:pStyle w:val="BodyText"/>
        <w:numPr>
          <w:ilvl w:val="0"/>
          <w:numId w:val="40"/>
        </w:numPr>
        <w:tabs>
          <w:tab w:val="clear" w:pos="1440"/>
          <w:tab w:val="left" w:pos="1985"/>
        </w:tabs>
        <w:ind w:left="993" w:hanging="426"/>
        <w:rPr>
          <w:color w:val="000000"/>
          <w:sz w:val="20"/>
        </w:rPr>
      </w:pPr>
      <w:r w:rsidRPr="00C05469">
        <w:rPr>
          <w:color w:val="000000"/>
          <w:sz w:val="20"/>
        </w:rPr>
        <w:t>development and provision of health and community services; and</w:t>
      </w:r>
    </w:p>
    <w:p w:rsidR="00C05469" w:rsidRPr="00C05469" w:rsidRDefault="00C05469" w:rsidP="000736E6">
      <w:pPr>
        <w:pStyle w:val="BodyText"/>
        <w:numPr>
          <w:ilvl w:val="0"/>
          <w:numId w:val="40"/>
        </w:numPr>
        <w:tabs>
          <w:tab w:val="clear" w:pos="1440"/>
          <w:tab w:val="left" w:pos="1985"/>
        </w:tabs>
        <w:ind w:left="993" w:hanging="426"/>
        <w:rPr>
          <w:color w:val="000000"/>
          <w:sz w:val="20"/>
        </w:rPr>
      </w:pPr>
      <w:r w:rsidRPr="00C05469">
        <w:rPr>
          <w:color w:val="000000"/>
          <w:sz w:val="20"/>
        </w:rPr>
        <w:t>provision of general support services.</w:t>
      </w:r>
    </w:p>
    <w:p w:rsidR="00C05469" w:rsidRPr="00C05469" w:rsidRDefault="00C05469" w:rsidP="000736E6">
      <w:pPr>
        <w:numPr>
          <w:ilvl w:val="0"/>
          <w:numId w:val="39"/>
        </w:numPr>
        <w:tabs>
          <w:tab w:val="num" w:pos="1440"/>
        </w:tabs>
        <w:ind w:left="567" w:hanging="567"/>
        <w:jc w:val="both"/>
        <w:rPr>
          <w:color w:val="000000"/>
        </w:rPr>
      </w:pPr>
      <w:r w:rsidRPr="00C05469">
        <w:rPr>
          <w:color w:val="000000"/>
        </w:rPr>
        <w:t xml:space="preserve">To encourage and support the business of primary production and, where appropriate, expand the business of primary production. </w:t>
      </w:r>
    </w:p>
    <w:p w:rsidR="00C05469" w:rsidRPr="00C05469" w:rsidRDefault="00C05469" w:rsidP="00C05469">
      <w:pPr>
        <w:tabs>
          <w:tab w:val="num" w:pos="1440"/>
        </w:tabs>
        <w:jc w:val="both"/>
        <w:rPr>
          <w:color w:val="000000"/>
        </w:rPr>
      </w:pPr>
      <w:r w:rsidRPr="00C05469">
        <w:rPr>
          <w:color w:val="000000"/>
        </w:rPr>
        <w:t>These objectives will be met by setting the Farm Land differential at 100% of the Residential Land differential and by the provision of a farm rebate under Section 169 of the LGA.</w:t>
      </w:r>
    </w:p>
    <w:p w:rsidR="00C05E68" w:rsidRPr="00C05E68" w:rsidRDefault="00C05E68" w:rsidP="00C05E68">
      <w:pPr>
        <w:jc w:val="both"/>
        <w:rPr>
          <w:b/>
          <w:color w:val="000000"/>
        </w:rPr>
      </w:pPr>
    </w:p>
    <w:p w:rsidR="00C05E68" w:rsidRPr="00C05E68" w:rsidRDefault="00C05E68" w:rsidP="00C05E68">
      <w:pPr>
        <w:pStyle w:val="BodyText"/>
        <w:rPr>
          <w:color w:val="000000"/>
          <w:sz w:val="20"/>
        </w:rPr>
      </w:pPr>
      <w:r w:rsidRPr="00C05E68">
        <w:rPr>
          <w:b/>
          <w:color w:val="000000"/>
          <w:sz w:val="20"/>
        </w:rPr>
        <w:t>Automobile Manufacture Land</w:t>
      </w:r>
      <w:r w:rsidRPr="00C05E68">
        <w:rPr>
          <w:color w:val="000000"/>
          <w:sz w:val="20"/>
        </w:rPr>
        <w:t xml:space="preserve"> – means any land that:</w:t>
      </w:r>
      <w:r w:rsidRPr="00C05E68">
        <w:rPr>
          <w:color w:val="000000"/>
          <w:sz w:val="20"/>
        </w:rPr>
        <w:tab/>
      </w:r>
    </w:p>
    <w:p w:rsidR="00C05469" w:rsidRPr="00C05469" w:rsidRDefault="00C05469" w:rsidP="000736E6">
      <w:pPr>
        <w:numPr>
          <w:ilvl w:val="0"/>
          <w:numId w:val="42"/>
        </w:numPr>
        <w:tabs>
          <w:tab w:val="num" w:pos="1440"/>
        </w:tabs>
        <w:ind w:left="567" w:hanging="567"/>
        <w:jc w:val="both"/>
        <w:rPr>
          <w:rFonts w:cs="Arial"/>
          <w:color w:val="000000"/>
        </w:rPr>
      </w:pPr>
      <w:r w:rsidRPr="00C05469">
        <w:rPr>
          <w:rFonts w:cs="Arial"/>
          <w:color w:val="000000"/>
        </w:rPr>
        <w:t xml:space="preserve">used primarily for the manufacture of automobiles or automobile products; and </w:t>
      </w:r>
    </w:p>
    <w:p w:rsidR="00C05469" w:rsidRPr="00C05469" w:rsidRDefault="00C05469" w:rsidP="000736E6">
      <w:pPr>
        <w:numPr>
          <w:ilvl w:val="0"/>
          <w:numId w:val="42"/>
        </w:numPr>
        <w:tabs>
          <w:tab w:val="num" w:pos="1440"/>
        </w:tabs>
        <w:ind w:left="567" w:hanging="567"/>
        <w:jc w:val="both"/>
        <w:rPr>
          <w:rFonts w:cs="Arial"/>
          <w:color w:val="000000"/>
        </w:rPr>
      </w:pPr>
      <w:r w:rsidRPr="00C05469">
        <w:rPr>
          <w:rFonts w:cs="Arial"/>
          <w:color w:val="000000"/>
        </w:rPr>
        <w:t>described as:</w:t>
      </w:r>
    </w:p>
    <w:p w:rsidR="00C05469" w:rsidRPr="00C05469" w:rsidRDefault="00C05469" w:rsidP="000736E6">
      <w:pPr>
        <w:pStyle w:val="BodyText"/>
        <w:numPr>
          <w:ilvl w:val="0"/>
          <w:numId w:val="41"/>
        </w:numPr>
        <w:tabs>
          <w:tab w:val="clear" w:pos="1440"/>
          <w:tab w:val="left" w:pos="1985"/>
        </w:tabs>
        <w:ind w:left="993" w:hanging="426"/>
        <w:rPr>
          <w:color w:val="000000"/>
          <w:sz w:val="20"/>
        </w:rPr>
      </w:pPr>
      <w:r w:rsidRPr="00C05469">
        <w:rPr>
          <w:color w:val="000000"/>
          <w:sz w:val="20"/>
        </w:rPr>
        <w:t>all that land generally bounded more or less by Melbourne Road, North Shore Road and Corio Quay Road and being north of Cowies Creek, excluding the land known as 60-80 North Shore Road, being the Ford Research and Development Facility; and</w:t>
      </w:r>
    </w:p>
    <w:p w:rsidR="00C05469" w:rsidRPr="00C05469" w:rsidRDefault="00C05469" w:rsidP="000736E6">
      <w:pPr>
        <w:pStyle w:val="BodyText"/>
        <w:numPr>
          <w:ilvl w:val="0"/>
          <w:numId w:val="41"/>
        </w:numPr>
        <w:tabs>
          <w:tab w:val="clear" w:pos="1440"/>
          <w:tab w:val="left" w:pos="1985"/>
        </w:tabs>
        <w:ind w:left="993" w:hanging="426"/>
        <w:rPr>
          <w:color w:val="000000"/>
          <w:sz w:val="20"/>
        </w:rPr>
      </w:pPr>
      <w:r w:rsidRPr="00C05469">
        <w:rPr>
          <w:color w:val="000000"/>
          <w:sz w:val="20"/>
        </w:rPr>
        <w:t xml:space="preserve">all that land generally bounded more or less by Sea Beach Parade, St Georges Road, Geelong-Melbourne Railway and </w:t>
      </w:r>
      <w:r w:rsidRPr="00C05469">
        <w:rPr>
          <w:rFonts w:cs="Arial"/>
          <w:color w:val="000000"/>
          <w:sz w:val="20"/>
        </w:rPr>
        <w:t>neighbouring southern land.</w:t>
      </w:r>
    </w:p>
    <w:p w:rsidR="00C05469" w:rsidRPr="00C05469" w:rsidRDefault="00C05469" w:rsidP="00C05469">
      <w:pPr>
        <w:jc w:val="both"/>
        <w:rPr>
          <w:color w:val="000000"/>
        </w:rPr>
      </w:pPr>
      <w:r w:rsidRPr="00C05469">
        <w:rPr>
          <w:color w:val="000000"/>
        </w:rPr>
        <w:t xml:space="preserve">Rating Objective: </w:t>
      </w:r>
    </w:p>
    <w:p w:rsidR="00C05469" w:rsidRPr="00C05469" w:rsidRDefault="00C05469" w:rsidP="00C05469">
      <w:pPr>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22"/>
        </w:numPr>
        <w:tabs>
          <w:tab w:val="left" w:pos="993"/>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22"/>
        </w:numPr>
        <w:tabs>
          <w:tab w:val="left" w:pos="993"/>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22"/>
        </w:numPr>
        <w:tabs>
          <w:tab w:val="left" w:pos="993"/>
        </w:tabs>
        <w:ind w:left="567" w:hanging="567"/>
        <w:jc w:val="both"/>
        <w:rPr>
          <w:color w:val="000000"/>
        </w:rPr>
      </w:pPr>
      <w:r w:rsidRPr="00C05469">
        <w:rPr>
          <w:color w:val="000000"/>
        </w:rPr>
        <w:t>provision of general support services.</w:t>
      </w:r>
    </w:p>
    <w:p w:rsidR="00C05469" w:rsidRPr="00C05469" w:rsidRDefault="00C05469" w:rsidP="00C05469">
      <w:pPr>
        <w:rPr>
          <w:color w:val="000000"/>
        </w:rPr>
      </w:pPr>
      <w:r w:rsidRPr="00C05469">
        <w:rPr>
          <w:color w:val="000000"/>
        </w:rPr>
        <w:t>The Automobile Manufacture Land differential is set at 367% of the Residential Land differential with the long term intention that it will move closer to the Industrial Land differential over time.</w:t>
      </w:r>
    </w:p>
    <w:p w:rsidR="00C05E68" w:rsidRPr="00C05E68" w:rsidRDefault="00C05E68" w:rsidP="00C05E68">
      <w:pPr>
        <w:rPr>
          <w:color w:val="000000"/>
        </w:rPr>
      </w:pPr>
    </w:p>
    <w:p w:rsidR="00C05E68" w:rsidRPr="00C05E68" w:rsidRDefault="00C05E68" w:rsidP="00C05E68">
      <w:pPr>
        <w:rPr>
          <w:color w:val="000000"/>
        </w:rPr>
      </w:pPr>
      <w:r w:rsidRPr="00C05E68">
        <w:rPr>
          <w:b/>
          <w:color w:val="000000"/>
        </w:rPr>
        <w:t>Petroleum Production Land</w:t>
      </w:r>
      <w:r w:rsidRPr="00C05E68">
        <w:rPr>
          <w:color w:val="000000"/>
        </w:rPr>
        <w:t xml:space="preserve"> – means any land that:</w:t>
      </w:r>
    </w:p>
    <w:p w:rsidR="00C05469" w:rsidRPr="00C05469" w:rsidRDefault="00C05469" w:rsidP="000736E6">
      <w:pPr>
        <w:numPr>
          <w:ilvl w:val="0"/>
          <w:numId w:val="43"/>
        </w:numPr>
        <w:ind w:left="567" w:hanging="567"/>
        <w:jc w:val="both"/>
        <w:rPr>
          <w:color w:val="000000"/>
        </w:rPr>
      </w:pPr>
      <w:r w:rsidRPr="00C05469">
        <w:rPr>
          <w:color w:val="000000"/>
        </w:rPr>
        <w:t>used primarily for the production or conveyance of petroleum and/or petroleum by-products; and</w:t>
      </w:r>
    </w:p>
    <w:p w:rsidR="00C05469" w:rsidRPr="00C05469" w:rsidRDefault="00C05469" w:rsidP="000736E6">
      <w:pPr>
        <w:numPr>
          <w:ilvl w:val="0"/>
          <w:numId w:val="43"/>
        </w:numPr>
        <w:ind w:left="567" w:hanging="567"/>
        <w:jc w:val="both"/>
        <w:rPr>
          <w:color w:val="000000"/>
        </w:rPr>
      </w:pPr>
      <w:r w:rsidRPr="00C05469">
        <w:rPr>
          <w:color w:val="000000"/>
        </w:rPr>
        <w:t>described as all that land generally bounded more or less by Princes Highway, Shell Parade, Corio Bay Foreshore, Wharf Road, Station Road and neighbouring land.</w:t>
      </w:r>
    </w:p>
    <w:p w:rsidR="000736E6" w:rsidRDefault="000736E6">
      <w:pPr>
        <w:spacing w:after="0"/>
        <w:rPr>
          <w:color w:val="000000"/>
        </w:rPr>
      </w:pPr>
    </w:p>
    <w:p w:rsidR="00C05469" w:rsidRPr="00C05469" w:rsidRDefault="00C05469" w:rsidP="00C05469">
      <w:pPr>
        <w:jc w:val="both"/>
        <w:rPr>
          <w:color w:val="000000"/>
        </w:rPr>
      </w:pPr>
      <w:r w:rsidRPr="00C05469">
        <w:rPr>
          <w:color w:val="000000"/>
        </w:rPr>
        <w:t xml:space="preserve">Rating Objective: </w:t>
      </w:r>
    </w:p>
    <w:p w:rsidR="00C05469" w:rsidRPr="00C05469" w:rsidRDefault="00C05469" w:rsidP="00C05469">
      <w:pPr>
        <w:jc w:val="both"/>
        <w:rPr>
          <w:color w:val="000000"/>
        </w:rPr>
      </w:pPr>
      <w:r w:rsidRPr="00C05469">
        <w:rPr>
          <w:color w:val="000000"/>
        </w:rPr>
        <w:t>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23"/>
        </w:numPr>
        <w:tabs>
          <w:tab w:val="left" w:pos="709"/>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23"/>
        </w:numPr>
        <w:tabs>
          <w:tab w:val="left" w:pos="709"/>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23"/>
        </w:numPr>
        <w:tabs>
          <w:tab w:val="left" w:pos="709"/>
        </w:tabs>
        <w:ind w:left="567" w:hanging="567"/>
        <w:jc w:val="both"/>
        <w:rPr>
          <w:color w:val="000000"/>
        </w:rPr>
      </w:pPr>
      <w:r w:rsidRPr="00C05469">
        <w:rPr>
          <w:color w:val="000000"/>
        </w:rPr>
        <w:t>provision of general support services.</w:t>
      </w:r>
    </w:p>
    <w:p w:rsidR="00C05469" w:rsidRPr="00C05469" w:rsidRDefault="00C05469" w:rsidP="00C05469">
      <w:pPr>
        <w:pStyle w:val="ListParagraph"/>
        <w:ind w:left="0"/>
        <w:rPr>
          <w:color w:val="000000"/>
        </w:rPr>
      </w:pPr>
      <w:r w:rsidRPr="00C05469">
        <w:rPr>
          <w:color w:val="000000"/>
        </w:rPr>
        <w:t>The Petroleum Production Land differential is set at 367% of the Residential Land differential with the long term intention that the Petroleum Production Land differential will move closer to the Industrial Land differential over time.</w:t>
      </w:r>
    </w:p>
    <w:p w:rsidR="00C05E68" w:rsidRPr="00C05E68" w:rsidRDefault="00C05E68" w:rsidP="00C05E68">
      <w:pPr>
        <w:rPr>
          <w:b/>
          <w:color w:val="000000"/>
        </w:rPr>
      </w:pPr>
    </w:p>
    <w:p w:rsidR="00C05E68" w:rsidRPr="00C05E68" w:rsidRDefault="00C05E68" w:rsidP="00C05E68">
      <w:pPr>
        <w:rPr>
          <w:color w:val="000000"/>
        </w:rPr>
      </w:pPr>
      <w:r w:rsidRPr="00C05E68">
        <w:rPr>
          <w:b/>
          <w:color w:val="000000"/>
        </w:rPr>
        <w:t xml:space="preserve">Aluminium Production </w:t>
      </w:r>
      <w:r w:rsidRPr="00C05E68">
        <w:rPr>
          <w:color w:val="000000"/>
        </w:rPr>
        <w:t>- means any land that:</w:t>
      </w:r>
    </w:p>
    <w:p w:rsidR="00C05469" w:rsidRPr="00C05469" w:rsidRDefault="00C05469" w:rsidP="000736E6">
      <w:pPr>
        <w:numPr>
          <w:ilvl w:val="0"/>
          <w:numId w:val="44"/>
        </w:numPr>
        <w:ind w:left="567" w:hanging="567"/>
        <w:jc w:val="both"/>
        <w:rPr>
          <w:color w:val="000000"/>
        </w:rPr>
      </w:pPr>
      <w:r w:rsidRPr="00C05469">
        <w:rPr>
          <w:color w:val="000000"/>
        </w:rPr>
        <w:t>used primarily for the manufacture or production of aluminium or aluminium products and</w:t>
      </w:r>
    </w:p>
    <w:p w:rsidR="00C05469" w:rsidRPr="00C05469" w:rsidRDefault="00C05469" w:rsidP="000736E6">
      <w:pPr>
        <w:numPr>
          <w:ilvl w:val="0"/>
          <w:numId w:val="44"/>
        </w:numPr>
        <w:ind w:left="567" w:hanging="567"/>
        <w:jc w:val="both"/>
        <w:rPr>
          <w:color w:val="000000"/>
        </w:rPr>
      </w:pPr>
      <w:r w:rsidRPr="00C05469">
        <w:rPr>
          <w:color w:val="000000"/>
        </w:rPr>
        <w:t>described as all land generally bounded more or less by Point Henry Road, Corio Bay Foreshore and Stoddart Lane.</w:t>
      </w:r>
    </w:p>
    <w:p w:rsidR="00C05469" w:rsidRPr="00C05469" w:rsidRDefault="00C05469" w:rsidP="00C05469">
      <w:pPr>
        <w:jc w:val="both"/>
        <w:rPr>
          <w:color w:val="000000"/>
        </w:rPr>
      </w:pPr>
      <w:r w:rsidRPr="00C05469">
        <w:rPr>
          <w:color w:val="000000"/>
        </w:rPr>
        <w:t>Rating Objective: To ensure that all rateable land makes an equitable and efficient financial contribution to the cost of carrying out the functions of Council generally, including the:</w:t>
      </w:r>
    </w:p>
    <w:p w:rsidR="00C05469" w:rsidRPr="00C05469" w:rsidRDefault="00C05469" w:rsidP="000736E6">
      <w:pPr>
        <w:numPr>
          <w:ilvl w:val="0"/>
          <w:numId w:val="24"/>
        </w:numPr>
        <w:tabs>
          <w:tab w:val="left" w:pos="851"/>
        </w:tabs>
        <w:ind w:left="567" w:hanging="567"/>
        <w:jc w:val="both"/>
        <w:rPr>
          <w:color w:val="000000"/>
        </w:rPr>
      </w:pPr>
      <w:r w:rsidRPr="00C05469">
        <w:rPr>
          <w:color w:val="000000"/>
        </w:rPr>
        <w:t>construction and maintenance of public infrastructure;</w:t>
      </w:r>
    </w:p>
    <w:p w:rsidR="00C05469" w:rsidRPr="00C05469" w:rsidRDefault="00C05469" w:rsidP="000736E6">
      <w:pPr>
        <w:numPr>
          <w:ilvl w:val="0"/>
          <w:numId w:val="24"/>
        </w:numPr>
        <w:tabs>
          <w:tab w:val="left" w:pos="851"/>
        </w:tabs>
        <w:ind w:left="567" w:hanging="567"/>
        <w:jc w:val="both"/>
        <w:rPr>
          <w:color w:val="000000"/>
        </w:rPr>
      </w:pPr>
      <w:r w:rsidRPr="00C05469">
        <w:rPr>
          <w:color w:val="000000"/>
        </w:rPr>
        <w:t>development and provision of health and community services; and</w:t>
      </w:r>
    </w:p>
    <w:p w:rsidR="00C05469" w:rsidRPr="00C05469" w:rsidRDefault="00C05469" w:rsidP="000736E6">
      <w:pPr>
        <w:numPr>
          <w:ilvl w:val="0"/>
          <w:numId w:val="24"/>
        </w:numPr>
        <w:tabs>
          <w:tab w:val="left" w:pos="851"/>
        </w:tabs>
        <w:ind w:left="567" w:hanging="567"/>
        <w:jc w:val="both"/>
        <w:rPr>
          <w:color w:val="000000"/>
        </w:rPr>
      </w:pPr>
      <w:r w:rsidRPr="00C05469">
        <w:rPr>
          <w:color w:val="000000"/>
        </w:rPr>
        <w:t>provision of general support services.</w:t>
      </w:r>
    </w:p>
    <w:p w:rsidR="00C05469" w:rsidRPr="00C05469" w:rsidRDefault="00C05469" w:rsidP="00C05469">
      <w:pPr>
        <w:pStyle w:val="ListParagraph"/>
        <w:ind w:left="0"/>
        <w:rPr>
          <w:color w:val="000000"/>
        </w:rPr>
      </w:pPr>
      <w:r w:rsidRPr="00C05469">
        <w:rPr>
          <w:color w:val="000000"/>
        </w:rPr>
        <w:t>The Aluminium Production Land differential is set at 367% of the Residential Land differential with the long term intention that the Aluminium Production Land differential will move closer to the Industrial Land differential over time.</w:t>
      </w:r>
    </w:p>
    <w:p w:rsidR="00C05E68" w:rsidRPr="00C05E68" w:rsidRDefault="00C05E68" w:rsidP="005D06F1">
      <w:pPr>
        <w:spacing w:after="160"/>
        <w:jc w:val="both"/>
        <w:rPr>
          <w:color w:val="000000" w:themeColor="text1"/>
        </w:rPr>
      </w:pPr>
    </w:p>
    <w:p w:rsidR="00C05E68" w:rsidRPr="00C05E68" w:rsidRDefault="00C05E68" w:rsidP="00C05E68">
      <w:pPr>
        <w:jc w:val="both"/>
        <w:rPr>
          <w:color w:val="000000"/>
        </w:rPr>
      </w:pPr>
      <w:r w:rsidRPr="00C05E68">
        <w:rPr>
          <w:b/>
          <w:color w:val="000000"/>
        </w:rPr>
        <w:t xml:space="preserve">Cultural &amp; Recreational Land </w:t>
      </w:r>
      <w:r w:rsidRPr="00C05E68">
        <w:rPr>
          <w:color w:val="000000"/>
        </w:rPr>
        <w:t>– means any land that:</w:t>
      </w:r>
    </w:p>
    <w:p w:rsidR="00C05E68" w:rsidRPr="00C05E68" w:rsidRDefault="00C05E68" w:rsidP="00C05E68">
      <w:pPr>
        <w:pStyle w:val="SumPoint"/>
        <w:numPr>
          <w:ilvl w:val="0"/>
          <w:numId w:val="0"/>
        </w:numPr>
        <w:jc w:val="both"/>
        <w:rPr>
          <w:rFonts w:cs="Arial"/>
          <w:color w:val="000000"/>
          <w:sz w:val="20"/>
          <w:lang w:val="en-US"/>
        </w:rPr>
      </w:pPr>
      <w:r w:rsidRPr="00C05E68">
        <w:rPr>
          <w:color w:val="000000"/>
          <w:sz w:val="20"/>
        </w:rPr>
        <w:t>Has the characteristics of Recreational land as defined by the Cultural and Recreational Lands Act 1963</w:t>
      </w:r>
      <w:r w:rsidR="00A524BB">
        <w:rPr>
          <w:color w:val="000000"/>
          <w:sz w:val="20"/>
        </w:rPr>
        <w:t>. As described in the Council report.</w:t>
      </w:r>
    </w:p>
    <w:sectPr w:rsidR="00C05E68" w:rsidRPr="00C05E68" w:rsidSect="006616BD">
      <w:footerReference w:type="even" r:id="rId8"/>
      <w:footerReference w:type="default" r:id="rId9"/>
      <w:pgSz w:w="11906" w:h="16838"/>
      <w:pgMar w:top="1077" w:right="794" w:bottom="624" w:left="1077" w:header="720" w:footer="720" w:gutter="0"/>
      <w:pgNumType w:start="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8A7" w:rsidRDefault="00E308A7">
      <w:pPr>
        <w:spacing w:after="0"/>
      </w:pPr>
      <w:r>
        <w:separator/>
      </w:r>
    </w:p>
  </w:endnote>
  <w:endnote w:type="continuationSeparator" w:id="0">
    <w:p w:rsidR="00E308A7" w:rsidRDefault="00E308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Zurich Ex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A7" w:rsidRDefault="002C0964" w:rsidP="000E32E3">
    <w:pPr>
      <w:pStyle w:val="Footer"/>
      <w:framePr w:wrap="around" w:vAnchor="text" w:hAnchor="margin" w:xAlign="center" w:y="1"/>
      <w:rPr>
        <w:rStyle w:val="PageNumber"/>
      </w:rPr>
    </w:pPr>
    <w:r>
      <w:rPr>
        <w:rStyle w:val="PageNumber"/>
      </w:rPr>
      <w:fldChar w:fldCharType="begin"/>
    </w:r>
    <w:r w:rsidR="00E308A7">
      <w:rPr>
        <w:rStyle w:val="PageNumber"/>
      </w:rPr>
      <w:instrText xml:space="preserve">PAGE  </w:instrText>
    </w:r>
    <w:r>
      <w:rPr>
        <w:rStyle w:val="PageNumber"/>
      </w:rPr>
      <w:fldChar w:fldCharType="separate"/>
    </w:r>
    <w:r w:rsidR="00E308A7">
      <w:rPr>
        <w:rStyle w:val="PageNumber"/>
        <w:noProof/>
      </w:rPr>
      <w:t>7</w:t>
    </w:r>
    <w:r>
      <w:rPr>
        <w:rStyle w:val="PageNumber"/>
      </w:rPr>
      <w:fldChar w:fldCharType="end"/>
    </w:r>
  </w:p>
  <w:p w:rsidR="00E308A7" w:rsidRDefault="00E308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8A7" w:rsidRPr="00F2196D" w:rsidRDefault="00E308A7" w:rsidP="000E32E3">
    <w:pPr>
      <w:pStyle w:val="Footer"/>
      <w:framePr w:wrap="around" w:vAnchor="text" w:hAnchor="margin" w:xAlign="center" w:y="1"/>
      <w:rPr>
        <w:rStyle w:val="PageNumber"/>
      </w:rPr>
    </w:pPr>
    <w:r w:rsidRPr="00F2196D">
      <w:rPr>
        <w:rStyle w:val="PageNumber"/>
      </w:rPr>
      <w:t>3-</w:t>
    </w:r>
    <w:r w:rsidR="002C0964" w:rsidRPr="00F2196D">
      <w:rPr>
        <w:rStyle w:val="PageNumber"/>
      </w:rPr>
      <w:fldChar w:fldCharType="begin"/>
    </w:r>
    <w:r w:rsidRPr="00F2196D">
      <w:rPr>
        <w:rStyle w:val="PageNumber"/>
      </w:rPr>
      <w:instrText xml:space="preserve">PAGE  </w:instrText>
    </w:r>
    <w:r w:rsidR="002C0964" w:rsidRPr="00F2196D">
      <w:rPr>
        <w:rStyle w:val="PageNumber"/>
      </w:rPr>
      <w:fldChar w:fldCharType="separate"/>
    </w:r>
    <w:r w:rsidR="0035520B">
      <w:rPr>
        <w:rStyle w:val="PageNumber"/>
        <w:noProof/>
      </w:rPr>
      <w:t>17</w:t>
    </w:r>
    <w:r w:rsidR="002C0964" w:rsidRPr="00F2196D">
      <w:rPr>
        <w:rStyle w:val="PageNumber"/>
      </w:rPr>
      <w:fldChar w:fldCharType="end"/>
    </w:r>
  </w:p>
  <w:p w:rsidR="00E308A7" w:rsidRDefault="00E308A7" w:rsidP="00E63695">
    <w:pPr>
      <w:pStyle w:val="Footer"/>
      <w:spacing w:after="0"/>
      <w:jc w:val="center"/>
      <w:rPr>
        <w:sz w:val="16"/>
        <w:szCs w:val="16"/>
      </w:rPr>
    </w:pPr>
  </w:p>
  <w:p w:rsidR="00E308A7" w:rsidRPr="00E63695" w:rsidRDefault="00E308A7" w:rsidP="006A6CA1">
    <w:pPr>
      <w:pStyle w:val="Footer"/>
      <w:spacing w:after="0"/>
      <w:jc w:val="center"/>
      <w:rPr>
        <w:sz w:val="16"/>
        <w:szCs w:val="16"/>
      </w:rPr>
    </w:pPr>
    <w:r w:rsidRPr="00352560">
      <w:rPr>
        <w:sz w:val="16"/>
        <w:szCs w:val="16"/>
      </w:rPr>
      <w:t>20</w:t>
    </w:r>
    <w:r>
      <w:rPr>
        <w:sz w:val="16"/>
        <w:szCs w:val="16"/>
      </w:rPr>
      <w:t>13</w:t>
    </w:r>
    <w:r w:rsidRPr="00352560">
      <w:rPr>
        <w:sz w:val="16"/>
        <w:szCs w:val="16"/>
      </w:rPr>
      <w:t>-20</w:t>
    </w:r>
    <w:r>
      <w:rPr>
        <w:sz w:val="16"/>
        <w:szCs w:val="16"/>
      </w:rPr>
      <w:t>14</w:t>
    </w:r>
    <w:r w:rsidRPr="00352560">
      <w:rPr>
        <w:sz w:val="16"/>
        <w:szCs w:val="16"/>
      </w:rPr>
      <w:t xml:space="preserve"> Budget - City of Greater </w:t>
    </w:r>
    <w:smartTag w:uri="urn:schemas-microsoft-com:office:smarttags" w:element="City">
      <w:smartTag w:uri="urn:schemas-microsoft-com:office:smarttags" w:element="place">
        <w:r w:rsidRPr="00352560">
          <w:rPr>
            <w:sz w:val="16"/>
            <w:szCs w:val="16"/>
          </w:rPr>
          <w:t>Geelong</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8A7" w:rsidRDefault="00E308A7">
      <w:pPr>
        <w:spacing w:after="0"/>
      </w:pPr>
      <w:r>
        <w:separator/>
      </w:r>
    </w:p>
  </w:footnote>
  <w:footnote w:type="continuationSeparator" w:id="0">
    <w:p w:rsidR="00E308A7" w:rsidRDefault="00E308A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2B8B"/>
    <w:multiLevelType w:val="singleLevel"/>
    <w:tmpl w:val="718C8612"/>
    <w:lvl w:ilvl="0">
      <w:start w:val="1"/>
      <w:numFmt w:val="lowerRoman"/>
      <w:lvlText w:val="%1."/>
      <w:lvlJc w:val="left"/>
      <w:pPr>
        <w:tabs>
          <w:tab w:val="num" w:pos="720"/>
        </w:tabs>
        <w:ind w:left="360" w:hanging="360"/>
      </w:pPr>
    </w:lvl>
  </w:abstractNum>
  <w:abstractNum w:abstractNumId="1">
    <w:nsid w:val="023009A8"/>
    <w:multiLevelType w:val="singleLevel"/>
    <w:tmpl w:val="718C8612"/>
    <w:lvl w:ilvl="0">
      <w:start w:val="1"/>
      <w:numFmt w:val="lowerRoman"/>
      <w:lvlText w:val="%1."/>
      <w:lvlJc w:val="left"/>
      <w:pPr>
        <w:tabs>
          <w:tab w:val="num" w:pos="720"/>
        </w:tabs>
        <w:ind w:left="360" w:hanging="360"/>
      </w:pPr>
    </w:lvl>
  </w:abstractNum>
  <w:abstractNum w:abstractNumId="2">
    <w:nsid w:val="028271E7"/>
    <w:multiLevelType w:val="singleLevel"/>
    <w:tmpl w:val="B602E186"/>
    <w:lvl w:ilvl="0">
      <w:start w:val="1"/>
      <w:numFmt w:val="bullet"/>
      <w:pStyle w:val="SumPoint"/>
      <w:lvlText w:val=""/>
      <w:lvlJc w:val="left"/>
      <w:pPr>
        <w:tabs>
          <w:tab w:val="num" w:pos="360"/>
        </w:tabs>
        <w:ind w:left="340" w:hanging="340"/>
      </w:pPr>
      <w:rPr>
        <w:rFonts w:ascii="Symbol" w:hAnsi="Symbol" w:hint="default"/>
      </w:rPr>
    </w:lvl>
  </w:abstractNum>
  <w:abstractNum w:abstractNumId="3">
    <w:nsid w:val="02D432D2"/>
    <w:multiLevelType w:val="hybridMultilevel"/>
    <w:tmpl w:val="A4FCF332"/>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57D4EB7"/>
    <w:multiLevelType w:val="hybridMultilevel"/>
    <w:tmpl w:val="EF8C5032"/>
    <w:lvl w:ilvl="0" w:tplc="07849BB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052A28"/>
    <w:multiLevelType w:val="singleLevel"/>
    <w:tmpl w:val="718C8612"/>
    <w:lvl w:ilvl="0">
      <w:start w:val="1"/>
      <w:numFmt w:val="lowerRoman"/>
      <w:lvlText w:val="%1."/>
      <w:lvlJc w:val="left"/>
      <w:pPr>
        <w:tabs>
          <w:tab w:val="num" w:pos="720"/>
        </w:tabs>
        <w:ind w:left="360" w:hanging="360"/>
      </w:pPr>
    </w:lvl>
  </w:abstractNum>
  <w:abstractNum w:abstractNumId="6">
    <w:nsid w:val="09070153"/>
    <w:multiLevelType w:val="hybridMultilevel"/>
    <w:tmpl w:val="05DE4FD2"/>
    <w:lvl w:ilvl="0" w:tplc="334E95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A0337D9"/>
    <w:multiLevelType w:val="hybridMultilevel"/>
    <w:tmpl w:val="A3988E98"/>
    <w:lvl w:ilvl="0" w:tplc="0C090001">
      <w:start w:val="1"/>
      <w:numFmt w:val="bullet"/>
      <w:lvlText w:val=""/>
      <w:lvlJc w:val="left"/>
      <w:pPr>
        <w:tabs>
          <w:tab w:val="num" w:pos="502"/>
        </w:tabs>
        <w:ind w:left="502" w:hanging="360"/>
      </w:pPr>
      <w:rPr>
        <w:rFonts w:ascii="Symbol" w:hAnsi="Symbol" w:hint="default"/>
      </w:r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8">
    <w:nsid w:val="0DAD4AE6"/>
    <w:multiLevelType w:val="hybridMultilevel"/>
    <w:tmpl w:val="4CB04B20"/>
    <w:lvl w:ilvl="0" w:tplc="56B86116">
      <w:start w:val="1"/>
      <w:numFmt w:val="lowerLetter"/>
      <w:lvlText w:val="%1)"/>
      <w:lvlJc w:val="left"/>
      <w:pPr>
        <w:tabs>
          <w:tab w:val="num" w:pos="1495"/>
        </w:tabs>
        <w:ind w:left="1495"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12C96ECF"/>
    <w:multiLevelType w:val="hybridMultilevel"/>
    <w:tmpl w:val="B6D0BA18"/>
    <w:lvl w:ilvl="0" w:tplc="BC4C221C">
      <w:start w:val="1"/>
      <w:numFmt w:val="bullet"/>
      <w:lvlText w:val=""/>
      <w:lvlJc w:val="left"/>
      <w:pPr>
        <w:tabs>
          <w:tab w:val="num" w:pos="720"/>
        </w:tabs>
        <w:ind w:left="720" w:hanging="360"/>
      </w:pPr>
      <w:rPr>
        <w:rFonts w:ascii="Symbol" w:hAnsi="Symbol" w:hint="default"/>
        <w:color w:val="00000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32367BB"/>
    <w:multiLevelType w:val="hybridMultilevel"/>
    <w:tmpl w:val="A09868F8"/>
    <w:lvl w:ilvl="0" w:tplc="1862E1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47F0E9E"/>
    <w:multiLevelType w:val="hybridMultilevel"/>
    <w:tmpl w:val="D756A34C"/>
    <w:lvl w:ilvl="0" w:tplc="720814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6491372"/>
    <w:multiLevelType w:val="hybridMultilevel"/>
    <w:tmpl w:val="6C0CA1F0"/>
    <w:lvl w:ilvl="0" w:tplc="A96E5D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9B00C4"/>
    <w:multiLevelType w:val="hybridMultilevel"/>
    <w:tmpl w:val="0D5E1802"/>
    <w:lvl w:ilvl="0" w:tplc="B38EFB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A0E428F"/>
    <w:multiLevelType w:val="hybridMultilevel"/>
    <w:tmpl w:val="6B262674"/>
    <w:lvl w:ilvl="0" w:tplc="39529074">
      <w:start w:val="1"/>
      <w:numFmt w:val="lowerRoman"/>
      <w:lvlText w:val="%1."/>
      <w:lvlJc w:val="left"/>
      <w:pPr>
        <w:tabs>
          <w:tab w:val="num" w:pos="72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1DC718DB"/>
    <w:multiLevelType w:val="hybridMultilevel"/>
    <w:tmpl w:val="6E02CE7C"/>
    <w:lvl w:ilvl="0" w:tplc="2758B9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11967FA"/>
    <w:multiLevelType w:val="hybridMultilevel"/>
    <w:tmpl w:val="D7F44A24"/>
    <w:lvl w:ilvl="0" w:tplc="A5261F86">
      <w:start w:val="1"/>
      <w:numFmt w:val="lowerRoman"/>
      <w:lvlText w:val="%1."/>
      <w:lvlJc w:val="left"/>
      <w:pPr>
        <w:tabs>
          <w:tab w:val="num" w:pos="720"/>
        </w:tabs>
        <w:ind w:left="360" w:hanging="360"/>
      </w:pPr>
      <w:rPr>
        <w:rFonts w:hint="default"/>
      </w:rPr>
    </w:lvl>
    <w:lvl w:ilvl="1" w:tplc="DA8CEC12">
      <w:start w:val="1"/>
      <w:numFmt w:val="lowerLetter"/>
      <w:lvlText w:val="%2)"/>
      <w:lvlJc w:val="left"/>
      <w:pPr>
        <w:tabs>
          <w:tab w:val="num" w:pos="1440"/>
        </w:tabs>
        <w:ind w:left="1440" w:hanging="360"/>
      </w:pPr>
      <w:rPr>
        <w:rFonts w:ascii="Arial" w:hAnsi="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53058CD"/>
    <w:multiLevelType w:val="hybridMultilevel"/>
    <w:tmpl w:val="A4FCF332"/>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D3162B"/>
    <w:multiLevelType w:val="hybridMultilevel"/>
    <w:tmpl w:val="2EEA563A"/>
    <w:lvl w:ilvl="0" w:tplc="AC04BDF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3627DEC"/>
    <w:multiLevelType w:val="hybridMultilevel"/>
    <w:tmpl w:val="7C6253E4"/>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37B20CA"/>
    <w:multiLevelType w:val="hybridMultilevel"/>
    <w:tmpl w:val="6B262674"/>
    <w:lvl w:ilvl="0" w:tplc="39529074">
      <w:start w:val="1"/>
      <w:numFmt w:val="lowerRoman"/>
      <w:lvlText w:val="%1."/>
      <w:lvlJc w:val="left"/>
      <w:pPr>
        <w:tabs>
          <w:tab w:val="num" w:pos="72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58272C5"/>
    <w:multiLevelType w:val="hybridMultilevel"/>
    <w:tmpl w:val="6D06E1FE"/>
    <w:lvl w:ilvl="0" w:tplc="F732E5E6">
      <w:start w:val="1"/>
      <w:numFmt w:val="lowerLetter"/>
      <w:lvlText w:val="%1)"/>
      <w:lvlJc w:val="left"/>
      <w:pPr>
        <w:tabs>
          <w:tab w:val="num" w:pos="1495"/>
        </w:tabs>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8D27ED9"/>
    <w:multiLevelType w:val="singleLevel"/>
    <w:tmpl w:val="718C8612"/>
    <w:lvl w:ilvl="0">
      <w:start w:val="1"/>
      <w:numFmt w:val="lowerRoman"/>
      <w:lvlText w:val="%1."/>
      <w:lvlJc w:val="left"/>
      <w:pPr>
        <w:tabs>
          <w:tab w:val="num" w:pos="720"/>
        </w:tabs>
        <w:ind w:left="360" w:hanging="360"/>
      </w:pPr>
    </w:lvl>
  </w:abstractNum>
  <w:abstractNum w:abstractNumId="23">
    <w:nsid w:val="3DA511D7"/>
    <w:multiLevelType w:val="hybridMultilevel"/>
    <w:tmpl w:val="A4FCF332"/>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DBA3994"/>
    <w:multiLevelType w:val="hybridMultilevel"/>
    <w:tmpl w:val="7C6253E4"/>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3265C7F"/>
    <w:multiLevelType w:val="singleLevel"/>
    <w:tmpl w:val="718C8612"/>
    <w:lvl w:ilvl="0">
      <w:start w:val="1"/>
      <w:numFmt w:val="lowerRoman"/>
      <w:lvlText w:val="%1."/>
      <w:lvlJc w:val="left"/>
      <w:pPr>
        <w:tabs>
          <w:tab w:val="num" w:pos="720"/>
        </w:tabs>
        <w:ind w:left="360" w:hanging="360"/>
      </w:pPr>
    </w:lvl>
  </w:abstractNum>
  <w:abstractNum w:abstractNumId="26">
    <w:nsid w:val="433F7CC4"/>
    <w:multiLevelType w:val="hybridMultilevel"/>
    <w:tmpl w:val="7C6253E4"/>
    <w:lvl w:ilvl="0" w:tplc="DA8CEC12">
      <w:start w:val="1"/>
      <w:numFmt w:val="lowerLetter"/>
      <w:lvlText w:val="%1)"/>
      <w:lvlJc w:val="left"/>
      <w:pPr>
        <w:tabs>
          <w:tab w:val="num" w:pos="1440"/>
        </w:tabs>
        <w:ind w:left="144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74F7014"/>
    <w:multiLevelType w:val="singleLevel"/>
    <w:tmpl w:val="718C8612"/>
    <w:lvl w:ilvl="0">
      <w:start w:val="1"/>
      <w:numFmt w:val="lowerRoman"/>
      <w:lvlText w:val="%1."/>
      <w:lvlJc w:val="left"/>
      <w:pPr>
        <w:tabs>
          <w:tab w:val="num" w:pos="720"/>
        </w:tabs>
        <w:ind w:left="360" w:hanging="360"/>
      </w:pPr>
    </w:lvl>
  </w:abstractNum>
  <w:abstractNum w:abstractNumId="28">
    <w:nsid w:val="49A87BC5"/>
    <w:multiLevelType w:val="singleLevel"/>
    <w:tmpl w:val="718C8612"/>
    <w:lvl w:ilvl="0">
      <w:start w:val="1"/>
      <w:numFmt w:val="lowerRoman"/>
      <w:lvlText w:val="%1."/>
      <w:lvlJc w:val="left"/>
      <w:pPr>
        <w:tabs>
          <w:tab w:val="num" w:pos="720"/>
        </w:tabs>
        <w:ind w:left="360" w:hanging="360"/>
      </w:pPr>
    </w:lvl>
  </w:abstractNum>
  <w:abstractNum w:abstractNumId="29">
    <w:nsid w:val="4BD02ACC"/>
    <w:multiLevelType w:val="hybridMultilevel"/>
    <w:tmpl w:val="2AF0A060"/>
    <w:lvl w:ilvl="0" w:tplc="1040C0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581AA4"/>
    <w:multiLevelType w:val="hybridMultilevel"/>
    <w:tmpl w:val="9FAACA7E"/>
    <w:lvl w:ilvl="0" w:tplc="A5261F86">
      <w:start w:val="1"/>
      <w:numFmt w:val="lowerRoman"/>
      <w:lvlText w:val="%1."/>
      <w:lvlJc w:val="left"/>
      <w:pPr>
        <w:tabs>
          <w:tab w:val="num" w:pos="720"/>
        </w:tabs>
        <w:ind w:left="360" w:hanging="360"/>
      </w:pPr>
      <w:rPr>
        <w:rFonts w:hint="default"/>
      </w:rPr>
    </w:lvl>
    <w:lvl w:ilvl="1" w:tplc="42E6D924">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4E427F6A"/>
    <w:multiLevelType w:val="hybridMultilevel"/>
    <w:tmpl w:val="971A589E"/>
    <w:lvl w:ilvl="0" w:tplc="56B861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E665FAE"/>
    <w:multiLevelType w:val="hybridMultilevel"/>
    <w:tmpl w:val="E708ACD8"/>
    <w:lvl w:ilvl="0" w:tplc="726867FC">
      <w:start w:val="1"/>
      <w:numFmt w:val="lowerRoman"/>
      <w:lvlText w:val="%1."/>
      <w:lvlJc w:val="left"/>
      <w:pPr>
        <w:tabs>
          <w:tab w:val="num" w:pos="72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EDE57AE"/>
    <w:multiLevelType w:val="singleLevel"/>
    <w:tmpl w:val="718C8612"/>
    <w:lvl w:ilvl="0">
      <w:start w:val="1"/>
      <w:numFmt w:val="lowerRoman"/>
      <w:lvlText w:val="%1."/>
      <w:lvlJc w:val="left"/>
      <w:pPr>
        <w:tabs>
          <w:tab w:val="num" w:pos="720"/>
        </w:tabs>
        <w:ind w:left="360" w:hanging="360"/>
      </w:pPr>
    </w:lvl>
  </w:abstractNum>
  <w:abstractNum w:abstractNumId="34">
    <w:nsid w:val="59B66826"/>
    <w:multiLevelType w:val="hybridMultilevel"/>
    <w:tmpl w:val="44BC7012"/>
    <w:lvl w:ilvl="0" w:tplc="9EEE7862">
      <w:start w:val="1"/>
      <w:numFmt w:val="lowerRoman"/>
      <w:lvlText w:val="%1."/>
      <w:lvlJc w:val="left"/>
      <w:pPr>
        <w:tabs>
          <w:tab w:val="num" w:pos="720"/>
        </w:tabs>
        <w:ind w:left="360" w:hanging="360"/>
      </w:pPr>
      <w:rPr>
        <w:rFonts w:ascii="Arial" w:hAnsi="Arial" w:hint="default"/>
      </w:rPr>
    </w:lvl>
    <w:lvl w:ilvl="1" w:tplc="DA8CEC12">
      <w:start w:val="1"/>
      <w:numFmt w:val="lowerLetter"/>
      <w:lvlText w:val="%2)"/>
      <w:lvlJc w:val="left"/>
      <w:pPr>
        <w:tabs>
          <w:tab w:val="num" w:pos="1440"/>
        </w:tabs>
        <w:ind w:left="1440" w:hanging="360"/>
      </w:pPr>
      <w:rPr>
        <w:rFonts w:ascii="Arial" w:hAnsi="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nsid w:val="5ACF0ADD"/>
    <w:multiLevelType w:val="hybridMultilevel"/>
    <w:tmpl w:val="EAA662B4"/>
    <w:lvl w:ilvl="0" w:tplc="4D8C47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57175A1"/>
    <w:multiLevelType w:val="hybridMultilevel"/>
    <w:tmpl w:val="CA66500E"/>
    <w:lvl w:ilvl="0" w:tplc="ED7AED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63974EB"/>
    <w:multiLevelType w:val="singleLevel"/>
    <w:tmpl w:val="718C8612"/>
    <w:lvl w:ilvl="0">
      <w:start w:val="1"/>
      <w:numFmt w:val="lowerRoman"/>
      <w:lvlText w:val="%1."/>
      <w:lvlJc w:val="left"/>
      <w:pPr>
        <w:tabs>
          <w:tab w:val="num" w:pos="720"/>
        </w:tabs>
        <w:ind w:left="360" w:hanging="360"/>
      </w:pPr>
    </w:lvl>
  </w:abstractNum>
  <w:abstractNum w:abstractNumId="38">
    <w:nsid w:val="6B2415B6"/>
    <w:multiLevelType w:val="hybridMultilevel"/>
    <w:tmpl w:val="40E6175A"/>
    <w:lvl w:ilvl="0" w:tplc="E10070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C472616"/>
    <w:multiLevelType w:val="hybridMultilevel"/>
    <w:tmpl w:val="E708ACD8"/>
    <w:lvl w:ilvl="0" w:tplc="726867FC">
      <w:start w:val="1"/>
      <w:numFmt w:val="lowerRoman"/>
      <w:lvlText w:val="%1."/>
      <w:lvlJc w:val="left"/>
      <w:pPr>
        <w:tabs>
          <w:tab w:val="num" w:pos="72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6CF83CBC"/>
    <w:multiLevelType w:val="hybridMultilevel"/>
    <w:tmpl w:val="C80275D4"/>
    <w:lvl w:ilvl="0" w:tplc="37A62D1C">
      <w:start w:val="2"/>
      <w:numFmt w:val="lowerRoman"/>
      <w:lvlText w:val="%1."/>
      <w:lvlJc w:val="left"/>
      <w:pPr>
        <w:tabs>
          <w:tab w:val="num" w:pos="720"/>
        </w:tabs>
        <w:ind w:left="360" w:hanging="360"/>
      </w:pPr>
      <w:rPr>
        <w:rFonts w:ascii="Arial" w:hAnsi="Arial" w:hint="default"/>
      </w:rPr>
    </w:lvl>
    <w:lvl w:ilvl="1" w:tplc="CF2ECF66">
      <w:start w:val="1"/>
      <w:numFmt w:val="lowerLetter"/>
      <w:lvlText w:val="%2."/>
      <w:lvlJc w:val="left"/>
      <w:pPr>
        <w:ind w:left="1440" w:hanging="360"/>
      </w:pPr>
      <w:rPr>
        <w:rFonts w:ascii="Arial" w:hAnsi="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0106BE3"/>
    <w:multiLevelType w:val="singleLevel"/>
    <w:tmpl w:val="718C8612"/>
    <w:lvl w:ilvl="0">
      <w:start w:val="1"/>
      <w:numFmt w:val="lowerRoman"/>
      <w:lvlText w:val="%1."/>
      <w:lvlJc w:val="left"/>
      <w:pPr>
        <w:tabs>
          <w:tab w:val="num" w:pos="720"/>
        </w:tabs>
        <w:ind w:left="360" w:hanging="360"/>
      </w:pPr>
    </w:lvl>
  </w:abstractNum>
  <w:abstractNum w:abstractNumId="42">
    <w:nsid w:val="78407CAF"/>
    <w:multiLevelType w:val="singleLevel"/>
    <w:tmpl w:val="718C8612"/>
    <w:lvl w:ilvl="0">
      <w:start w:val="1"/>
      <w:numFmt w:val="lowerRoman"/>
      <w:lvlText w:val="%1."/>
      <w:lvlJc w:val="left"/>
      <w:pPr>
        <w:tabs>
          <w:tab w:val="num" w:pos="720"/>
        </w:tabs>
        <w:ind w:left="360" w:hanging="360"/>
      </w:pPr>
    </w:lvl>
  </w:abstractNum>
  <w:abstractNum w:abstractNumId="43">
    <w:nsid w:val="7C9A753C"/>
    <w:multiLevelType w:val="singleLevel"/>
    <w:tmpl w:val="718C8612"/>
    <w:lvl w:ilvl="0">
      <w:start w:val="1"/>
      <w:numFmt w:val="lowerRoman"/>
      <w:lvlText w:val="%1."/>
      <w:lvlJc w:val="left"/>
      <w:pPr>
        <w:tabs>
          <w:tab w:val="num" w:pos="720"/>
        </w:tabs>
        <w:ind w:left="360" w:hanging="360"/>
      </w:pPr>
    </w:lvl>
  </w:abstractNum>
  <w:abstractNum w:abstractNumId="44">
    <w:nsid w:val="7F826B35"/>
    <w:multiLevelType w:val="hybridMultilevel"/>
    <w:tmpl w:val="4626748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2"/>
  </w:num>
  <w:num w:numId="2">
    <w:abstractNumId w:val="7"/>
  </w:num>
  <w:num w:numId="3">
    <w:abstractNumId w:val="9"/>
  </w:num>
  <w:num w:numId="4">
    <w:abstractNumId w:val="2"/>
  </w:num>
  <w:num w:numId="5">
    <w:abstractNumId w:val="1"/>
  </w:num>
  <w:num w:numId="6">
    <w:abstractNumId w:val="25"/>
  </w:num>
  <w:num w:numId="7">
    <w:abstractNumId w:val="43"/>
  </w:num>
  <w:num w:numId="8">
    <w:abstractNumId w:val="8"/>
  </w:num>
  <w:num w:numId="9">
    <w:abstractNumId w:val="14"/>
  </w:num>
  <w:num w:numId="10">
    <w:abstractNumId w:val="32"/>
  </w:num>
  <w:num w:numId="11">
    <w:abstractNumId w:val="30"/>
  </w:num>
  <w:num w:numId="12">
    <w:abstractNumId w:val="4"/>
  </w:num>
  <w:num w:numId="13">
    <w:abstractNumId w:val="21"/>
  </w:num>
  <w:num w:numId="14">
    <w:abstractNumId w:val="31"/>
  </w:num>
  <w:num w:numId="15">
    <w:abstractNumId w:val="13"/>
  </w:num>
  <w:num w:numId="16">
    <w:abstractNumId w:val="35"/>
  </w:num>
  <w:num w:numId="17">
    <w:abstractNumId w:val="38"/>
  </w:num>
  <w:num w:numId="18">
    <w:abstractNumId w:val="11"/>
  </w:num>
  <w:num w:numId="19">
    <w:abstractNumId w:val="6"/>
  </w:num>
  <w:num w:numId="20">
    <w:abstractNumId w:val="36"/>
  </w:num>
  <w:num w:numId="21">
    <w:abstractNumId w:val="29"/>
  </w:num>
  <w:num w:numId="22">
    <w:abstractNumId w:val="18"/>
  </w:num>
  <w:num w:numId="23">
    <w:abstractNumId w:val="15"/>
  </w:num>
  <w:num w:numId="24">
    <w:abstractNumId w:val="10"/>
  </w:num>
  <w:num w:numId="25">
    <w:abstractNumId w:val="42"/>
  </w:num>
  <w:num w:numId="26">
    <w:abstractNumId w:val="37"/>
  </w:num>
  <w:num w:numId="27">
    <w:abstractNumId w:val="28"/>
  </w:num>
  <w:num w:numId="28">
    <w:abstractNumId w:val="26"/>
  </w:num>
  <w:num w:numId="29">
    <w:abstractNumId w:val="20"/>
  </w:num>
  <w:num w:numId="30">
    <w:abstractNumId w:val="19"/>
  </w:num>
  <w:num w:numId="31">
    <w:abstractNumId w:val="39"/>
  </w:num>
  <w:num w:numId="32">
    <w:abstractNumId w:val="24"/>
  </w:num>
  <w:num w:numId="33">
    <w:abstractNumId w:val="34"/>
  </w:num>
  <w:num w:numId="34">
    <w:abstractNumId w:val="16"/>
  </w:num>
  <w:num w:numId="35">
    <w:abstractNumId w:val="40"/>
  </w:num>
  <w:num w:numId="36">
    <w:abstractNumId w:val="3"/>
  </w:num>
  <w:num w:numId="37">
    <w:abstractNumId w:val="5"/>
  </w:num>
  <w:num w:numId="38">
    <w:abstractNumId w:val="27"/>
  </w:num>
  <w:num w:numId="39">
    <w:abstractNumId w:val="22"/>
  </w:num>
  <w:num w:numId="40">
    <w:abstractNumId w:val="23"/>
  </w:num>
  <w:num w:numId="41">
    <w:abstractNumId w:val="17"/>
  </w:num>
  <w:num w:numId="42">
    <w:abstractNumId w:val="33"/>
  </w:num>
  <w:num w:numId="43">
    <w:abstractNumId w:val="41"/>
  </w:num>
  <w:num w:numId="44">
    <w:abstractNumId w:val="0"/>
  </w:num>
  <w:num w:numId="45">
    <w:abstractNumId w:val="4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10A06"/>
    <w:rsid w:val="00002EBF"/>
    <w:rsid w:val="0000510D"/>
    <w:rsid w:val="000073A4"/>
    <w:rsid w:val="00010848"/>
    <w:rsid w:val="00013203"/>
    <w:rsid w:val="00015AC4"/>
    <w:rsid w:val="00017FA8"/>
    <w:rsid w:val="00022B9B"/>
    <w:rsid w:val="0003088D"/>
    <w:rsid w:val="00036062"/>
    <w:rsid w:val="00044AF9"/>
    <w:rsid w:val="00047FE2"/>
    <w:rsid w:val="00052EFA"/>
    <w:rsid w:val="000531B9"/>
    <w:rsid w:val="000539CA"/>
    <w:rsid w:val="00053D1F"/>
    <w:rsid w:val="00054BD4"/>
    <w:rsid w:val="00060DB7"/>
    <w:rsid w:val="00064F11"/>
    <w:rsid w:val="000736E6"/>
    <w:rsid w:val="00074297"/>
    <w:rsid w:val="0007556E"/>
    <w:rsid w:val="000964C9"/>
    <w:rsid w:val="000A5A92"/>
    <w:rsid w:val="000A7CDF"/>
    <w:rsid w:val="000B142F"/>
    <w:rsid w:val="000B23E3"/>
    <w:rsid w:val="000B3C5D"/>
    <w:rsid w:val="000B55B0"/>
    <w:rsid w:val="000C2D8D"/>
    <w:rsid w:val="000C455E"/>
    <w:rsid w:val="000D3BDF"/>
    <w:rsid w:val="000E32E3"/>
    <w:rsid w:val="000F1357"/>
    <w:rsid w:val="000F13FE"/>
    <w:rsid w:val="000F202C"/>
    <w:rsid w:val="001064C8"/>
    <w:rsid w:val="00107E37"/>
    <w:rsid w:val="0011133F"/>
    <w:rsid w:val="00111CDC"/>
    <w:rsid w:val="00115FCE"/>
    <w:rsid w:val="0012008D"/>
    <w:rsid w:val="00134DEC"/>
    <w:rsid w:val="001402EA"/>
    <w:rsid w:val="0014252B"/>
    <w:rsid w:val="00153FB5"/>
    <w:rsid w:val="00166B9B"/>
    <w:rsid w:val="00170DA2"/>
    <w:rsid w:val="0017314E"/>
    <w:rsid w:val="0017548C"/>
    <w:rsid w:val="0018191D"/>
    <w:rsid w:val="00181CCC"/>
    <w:rsid w:val="00183305"/>
    <w:rsid w:val="001A04BD"/>
    <w:rsid w:val="001A24D8"/>
    <w:rsid w:val="001B3369"/>
    <w:rsid w:val="001C2192"/>
    <w:rsid w:val="001D2CF8"/>
    <w:rsid w:val="0022691A"/>
    <w:rsid w:val="00236C96"/>
    <w:rsid w:val="00261D30"/>
    <w:rsid w:val="00270066"/>
    <w:rsid w:val="00270217"/>
    <w:rsid w:val="00271D53"/>
    <w:rsid w:val="00284BD9"/>
    <w:rsid w:val="00295D99"/>
    <w:rsid w:val="002A1989"/>
    <w:rsid w:val="002A64B6"/>
    <w:rsid w:val="002C0964"/>
    <w:rsid w:val="002D1EFE"/>
    <w:rsid w:val="002E490D"/>
    <w:rsid w:val="002E4C18"/>
    <w:rsid w:val="002F1C2B"/>
    <w:rsid w:val="002F44AD"/>
    <w:rsid w:val="00314A48"/>
    <w:rsid w:val="0032384C"/>
    <w:rsid w:val="00326E83"/>
    <w:rsid w:val="00334A40"/>
    <w:rsid w:val="0033790A"/>
    <w:rsid w:val="00340924"/>
    <w:rsid w:val="003468CD"/>
    <w:rsid w:val="003471BD"/>
    <w:rsid w:val="0035520B"/>
    <w:rsid w:val="003635DA"/>
    <w:rsid w:val="00364A1D"/>
    <w:rsid w:val="00366641"/>
    <w:rsid w:val="00367AF1"/>
    <w:rsid w:val="00367E95"/>
    <w:rsid w:val="00371DCD"/>
    <w:rsid w:val="00372A51"/>
    <w:rsid w:val="00383CB8"/>
    <w:rsid w:val="0038414D"/>
    <w:rsid w:val="00392140"/>
    <w:rsid w:val="00396665"/>
    <w:rsid w:val="003A0AD6"/>
    <w:rsid w:val="003A472E"/>
    <w:rsid w:val="003B0F94"/>
    <w:rsid w:val="003B2FB2"/>
    <w:rsid w:val="003B3AD6"/>
    <w:rsid w:val="003C006D"/>
    <w:rsid w:val="003C3954"/>
    <w:rsid w:val="003D1635"/>
    <w:rsid w:val="003D1B83"/>
    <w:rsid w:val="003D3F75"/>
    <w:rsid w:val="003D4C09"/>
    <w:rsid w:val="003D54AD"/>
    <w:rsid w:val="003D54BC"/>
    <w:rsid w:val="003E0BF7"/>
    <w:rsid w:val="003F03D1"/>
    <w:rsid w:val="003F5CFF"/>
    <w:rsid w:val="00410915"/>
    <w:rsid w:val="004145F0"/>
    <w:rsid w:val="00420C4A"/>
    <w:rsid w:val="00431630"/>
    <w:rsid w:val="00433A20"/>
    <w:rsid w:val="004416E8"/>
    <w:rsid w:val="00447905"/>
    <w:rsid w:val="004547D7"/>
    <w:rsid w:val="004855BB"/>
    <w:rsid w:val="00492B86"/>
    <w:rsid w:val="004B396A"/>
    <w:rsid w:val="004D38B0"/>
    <w:rsid w:val="004D51D5"/>
    <w:rsid w:val="004D7374"/>
    <w:rsid w:val="004E4C6C"/>
    <w:rsid w:val="004F0FA1"/>
    <w:rsid w:val="00503094"/>
    <w:rsid w:val="00511CC6"/>
    <w:rsid w:val="00515257"/>
    <w:rsid w:val="00517183"/>
    <w:rsid w:val="0052730A"/>
    <w:rsid w:val="00530ECF"/>
    <w:rsid w:val="0057370E"/>
    <w:rsid w:val="005807E6"/>
    <w:rsid w:val="00582EE6"/>
    <w:rsid w:val="005865A6"/>
    <w:rsid w:val="00594487"/>
    <w:rsid w:val="005A35CE"/>
    <w:rsid w:val="005B0281"/>
    <w:rsid w:val="005B6A28"/>
    <w:rsid w:val="005C54A7"/>
    <w:rsid w:val="005D06F1"/>
    <w:rsid w:val="005D103C"/>
    <w:rsid w:val="005D58E3"/>
    <w:rsid w:val="005F5176"/>
    <w:rsid w:val="006025B2"/>
    <w:rsid w:val="006153E7"/>
    <w:rsid w:val="006236D1"/>
    <w:rsid w:val="00624324"/>
    <w:rsid w:val="00624742"/>
    <w:rsid w:val="0062584B"/>
    <w:rsid w:val="00627B83"/>
    <w:rsid w:val="00630E0B"/>
    <w:rsid w:val="0063170D"/>
    <w:rsid w:val="00632002"/>
    <w:rsid w:val="006517A8"/>
    <w:rsid w:val="006616BD"/>
    <w:rsid w:val="00662BA5"/>
    <w:rsid w:val="00670FD3"/>
    <w:rsid w:val="00681425"/>
    <w:rsid w:val="00681984"/>
    <w:rsid w:val="006860F9"/>
    <w:rsid w:val="006A2FAA"/>
    <w:rsid w:val="006A3901"/>
    <w:rsid w:val="006A6CA1"/>
    <w:rsid w:val="006B069A"/>
    <w:rsid w:val="006B2259"/>
    <w:rsid w:val="006B5DCE"/>
    <w:rsid w:val="006B63CB"/>
    <w:rsid w:val="006C1C86"/>
    <w:rsid w:val="006C2854"/>
    <w:rsid w:val="006C3B4D"/>
    <w:rsid w:val="006C6A1F"/>
    <w:rsid w:val="006D0BD9"/>
    <w:rsid w:val="006E059A"/>
    <w:rsid w:val="006E3310"/>
    <w:rsid w:val="006E4BED"/>
    <w:rsid w:val="006F088A"/>
    <w:rsid w:val="006F7B9B"/>
    <w:rsid w:val="00703B3F"/>
    <w:rsid w:val="00706692"/>
    <w:rsid w:val="00710E49"/>
    <w:rsid w:val="0071196E"/>
    <w:rsid w:val="00720BFF"/>
    <w:rsid w:val="007239E2"/>
    <w:rsid w:val="00725187"/>
    <w:rsid w:val="00727860"/>
    <w:rsid w:val="00732D39"/>
    <w:rsid w:val="00740732"/>
    <w:rsid w:val="00746107"/>
    <w:rsid w:val="00746C84"/>
    <w:rsid w:val="00776684"/>
    <w:rsid w:val="00777A28"/>
    <w:rsid w:val="007867D0"/>
    <w:rsid w:val="00796DF2"/>
    <w:rsid w:val="007A1C08"/>
    <w:rsid w:val="007A5AEE"/>
    <w:rsid w:val="007A6B7A"/>
    <w:rsid w:val="007B2A00"/>
    <w:rsid w:val="007B4DFB"/>
    <w:rsid w:val="007C2AD5"/>
    <w:rsid w:val="007C5A23"/>
    <w:rsid w:val="007C62A2"/>
    <w:rsid w:val="007C6543"/>
    <w:rsid w:val="007F5ACF"/>
    <w:rsid w:val="00800927"/>
    <w:rsid w:val="008020CF"/>
    <w:rsid w:val="00803844"/>
    <w:rsid w:val="00805FF0"/>
    <w:rsid w:val="00815E28"/>
    <w:rsid w:val="008246F7"/>
    <w:rsid w:val="008264B0"/>
    <w:rsid w:val="00842D7D"/>
    <w:rsid w:val="0084642A"/>
    <w:rsid w:val="00860E26"/>
    <w:rsid w:val="00861217"/>
    <w:rsid w:val="008750BE"/>
    <w:rsid w:val="00877F1F"/>
    <w:rsid w:val="00877FB5"/>
    <w:rsid w:val="0088292D"/>
    <w:rsid w:val="008830DD"/>
    <w:rsid w:val="008831F9"/>
    <w:rsid w:val="008852CF"/>
    <w:rsid w:val="00890C28"/>
    <w:rsid w:val="008A6142"/>
    <w:rsid w:val="008B4DA3"/>
    <w:rsid w:val="008C2408"/>
    <w:rsid w:val="008C6DCB"/>
    <w:rsid w:val="008D0FE6"/>
    <w:rsid w:val="008D3DAD"/>
    <w:rsid w:val="008D43D1"/>
    <w:rsid w:val="008D5FD5"/>
    <w:rsid w:val="008E46B8"/>
    <w:rsid w:val="008E57FF"/>
    <w:rsid w:val="008F0646"/>
    <w:rsid w:val="008F2141"/>
    <w:rsid w:val="008F56A4"/>
    <w:rsid w:val="00902689"/>
    <w:rsid w:val="009034E6"/>
    <w:rsid w:val="00904554"/>
    <w:rsid w:val="00905262"/>
    <w:rsid w:val="0090690D"/>
    <w:rsid w:val="00917DBF"/>
    <w:rsid w:val="009214FD"/>
    <w:rsid w:val="009303F3"/>
    <w:rsid w:val="0093422B"/>
    <w:rsid w:val="009367F0"/>
    <w:rsid w:val="009403CC"/>
    <w:rsid w:val="00941C82"/>
    <w:rsid w:val="009433B3"/>
    <w:rsid w:val="009455C0"/>
    <w:rsid w:val="00955A61"/>
    <w:rsid w:val="00956A4F"/>
    <w:rsid w:val="00960313"/>
    <w:rsid w:val="00965BFC"/>
    <w:rsid w:val="00971686"/>
    <w:rsid w:val="009719BF"/>
    <w:rsid w:val="00976BDA"/>
    <w:rsid w:val="009872B5"/>
    <w:rsid w:val="009917D3"/>
    <w:rsid w:val="00996C46"/>
    <w:rsid w:val="009A2161"/>
    <w:rsid w:val="009A3705"/>
    <w:rsid w:val="009B4C03"/>
    <w:rsid w:val="009C1A3D"/>
    <w:rsid w:val="009D2D68"/>
    <w:rsid w:val="009D5029"/>
    <w:rsid w:val="009E6A53"/>
    <w:rsid w:val="009F5C86"/>
    <w:rsid w:val="009F7FE2"/>
    <w:rsid w:val="00A00646"/>
    <w:rsid w:val="00A10A06"/>
    <w:rsid w:val="00A24880"/>
    <w:rsid w:val="00A24906"/>
    <w:rsid w:val="00A262DF"/>
    <w:rsid w:val="00A303FC"/>
    <w:rsid w:val="00A41AA9"/>
    <w:rsid w:val="00A44B5A"/>
    <w:rsid w:val="00A47D3F"/>
    <w:rsid w:val="00A51B9B"/>
    <w:rsid w:val="00A524BB"/>
    <w:rsid w:val="00A5308B"/>
    <w:rsid w:val="00A5742E"/>
    <w:rsid w:val="00A7739C"/>
    <w:rsid w:val="00A87C9B"/>
    <w:rsid w:val="00A90BFA"/>
    <w:rsid w:val="00A94AE6"/>
    <w:rsid w:val="00A9612F"/>
    <w:rsid w:val="00A97FEB"/>
    <w:rsid w:val="00AA0839"/>
    <w:rsid w:val="00AA12C0"/>
    <w:rsid w:val="00AA2F16"/>
    <w:rsid w:val="00AB3A70"/>
    <w:rsid w:val="00AC1EF1"/>
    <w:rsid w:val="00AE7040"/>
    <w:rsid w:val="00B0096F"/>
    <w:rsid w:val="00B02BC0"/>
    <w:rsid w:val="00B13F12"/>
    <w:rsid w:val="00B143FC"/>
    <w:rsid w:val="00B17170"/>
    <w:rsid w:val="00B20DB5"/>
    <w:rsid w:val="00B30660"/>
    <w:rsid w:val="00B37603"/>
    <w:rsid w:val="00B406E9"/>
    <w:rsid w:val="00B4773B"/>
    <w:rsid w:val="00B578BD"/>
    <w:rsid w:val="00B73873"/>
    <w:rsid w:val="00B82314"/>
    <w:rsid w:val="00B86936"/>
    <w:rsid w:val="00B91F55"/>
    <w:rsid w:val="00B9420F"/>
    <w:rsid w:val="00BA6861"/>
    <w:rsid w:val="00BB29D5"/>
    <w:rsid w:val="00BB580F"/>
    <w:rsid w:val="00BB7E67"/>
    <w:rsid w:val="00BC159B"/>
    <w:rsid w:val="00BD01AF"/>
    <w:rsid w:val="00BD5E47"/>
    <w:rsid w:val="00BE6D5A"/>
    <w:rsid w:val="00BE6E63"/>
    <w:rsid w:val="00BE6F44"/>
    <w:rsid w:val="00BF559C"/>
    <w:rsid w:val="00C02F48"/>
    <w:rsid w:val="00C05469"/>
    <w:rsid w:val="00C055D2"/>
    <w:rsid w:val="00C05E68"/>
    <w:rsid w:val="00C16138"/>
    <w:rsid w:val="00C2301F"/>
    <w:rsid w:val="00C27CB8"/>
    <w:rsid w:val="00C401C8"/>
    <w:rsid w:val="00C45A1E"/>
    <w:rsid w:val="00C51E93"/>
    <w:rsid w:val="00C54264"/>
    <w:rsid w:val="00C6273D"/>
    <w:rsid w:val="00C63B0B"/>
    <w:rsid w:val="00C648FD"/>
    <w:rsid w:val="00C660CD"/>
    <w:rsid w:val="00C66744"/>
    <w:rsid w:val="00C75A31"/>
    <w:rsid w:val="00C965EB"/>
    <w:rsid w:val="00CA048B"/>
    <w:rsid w:val="00CA3F45"/>
    <w:rsid w:val="00CA6D15"/>
    <w:rsid w:val="00CB2603"/>
    <w:rsid w:val="00CC4459"/>
    <w:rsid w:val="00CD03F2"/>
    <w:rsid w:val="00CD40B3"/>
    <w:rsid w:val="00CD6C4E"/>
    <w:rsid w:val="00CF09CC"/>
    <w:rsid w:val="00CF253F"/>
    <w:rsid w:val="00CF4CCE"/>
    <w:rsid w:val="00D05BB6"/>
    <w:rsid w:val="00D06CCD"/>
    <w:rsid w:val="00D20B19"/>
    <w:rsid w:val="00D25863"/>
    <w:rsid w:val="00D25DF1"/>
    <w:rsid w:val="00D30B7B"/>
    <w:rsid w:val="00D42CB7"/>
    <w:rsid w:val="00D4579C"/>
    <w:rsid w:val="00D5431E"/>
    <w:rsid w:val="00D61689"/>
    <w:rsid w:val="00D61828"/>
    <w:rsid w:val="00D61E1D"/>
    <w:rsid w:val="00D649F5"/>
    <w:rsid w:val="00D7004D"/>
    <w:rsid w:val="00D70345"/>
    <w:rsid w:val="00D803C4"/>
    <w:rsid w:val="00D84D5C"/>
    <w:rsid w:val="00D950A9"/>
    <w:rsid w:val="00DA1C1B"/>
    <w:rsid w:val="00DB2CD7"/>
    <w:rsid w:val="00DB6619"/>
    <w:rsid w:val="00DB7D5C"/>
    <w:rsid w:val="00DC18FF"/>
    <w:rsid w:val="00DC4974"/>
    <w:rsid w:val="00DD494B"/>
    <w:rsid w:val="00DD6664"/>
    <w:rsid w:val="00DE4EF9"/>
    <w:rsid w:val="00DE5D16"/>
    <w:rsid w:val="00DE7B22"/>
    <w:rsid w:val="00DF7E78"/>
    <w:rsid w:val="00E11088"/>
    <w:rsid w:val="00E21AB6"/>
    <w:rsid w:val="00E308A7"/>
    <w:rsid w:val="00E34F27"/>
    <w:rsid w:val="00E36B46"/>
    <w:rsid w:val="00E47BD8"/>
    <w:rsid w:val="00E50632"/>
    <w:rsid w:val="00E5205E"/>
    <w:rsid w:val="00E553C9"/>
    <w:rsid w:val="00E63695"/>
    <w:rsid w:val="00E8448B"/>
    <w:rsid w:val="00E9396F"/>
    <w:rsid w:val="00E96B74"/>
    <w:rsid w:val="00E97102"/>
    <w:rsid w:val="00EA1610"/>
    <w:rsid w:val="00EA1F5E"/>
    <w:rsid w:val="00EA7DB5"/>
    <w:rsid w:val="00EC19C9"/>
    <w:rsid w:val="00EC5990"/>
    <w:rsid w:val="00EC7EAE"/>
    <w:rsid w:val="00EC7F1F"/>
    <w:rsid w:val="00ED187D"/>
    <w:rsid w:val="00ED6F84"/>
    <w:rsid w:val="00EF64BC"/>
    <w:rsid w:val="00EF7CF8"/>
    <w:rsid w:val="00F108A2"/>
    <w:rsid w:val="00F14086"/>
    <w:rsid w:val="00F151BE"/>
    <w:rsid w:val="00F15DB7"/>
    <w:rsid w:val="00F206B9"/>
    <w:rsid w:val="00F2196D"/>
    <w:rsid w:val="00F22D48"/>
    <w:rsid w:val="00F26ECC"/>
    <w:rsid w:val="00F3678C"/>
    <w:rsid w:val="00F46092"/>
    <w:rsid w:val="00F513C1"/>
    <w:rsid w:val="00F53EC0"/>
    <w:rsid w:val="00F65755"/>
    <w:rsid w:val="00F66082"/>
    <w:rsid w:val="00F815C6"/>
    <w:rsid w:val="00F9348A"/>
    <w:rsid w:val="00FA6FD8"/>
    <w:rsid w:val="00FB3896"/>
    <w:rsid w:val="00FB49DE"/>
    <w:rsid w:val="00FB7D11"/>
    <w:rsid w:val="00FC46F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689"/>
    <w:pPr>
      <w:spacing w:after="80"/>
    </w:pPr>
    <w:rPr>
      <w:rFonts w:ascii="Arial" w:hAnsi="Arial"/>
      <w:lang w:eastAsia="en-US"/>
    </w:rPr>
  </w:style>
  <w:style w:type="paragraph" w:styleId="Heading4">
    <w:name w:val="heading 4"/>
    <w:basedOn w:val="Normal"/>
    <w:next w:val="Normal"/>
    <w:qFormat/>
    <w:rsid w:val="00015AC4"/>
    <w:pPr>
      <w:keepNext/>
      <w:tabs>
        <w:tab w:val="left" w:pos="420"/>
        <w:tab w:val="left" w:pos="2388"/>
        <w:tab w:val="left" w:pos="4027"/>
        <w:tab w:val="left" w:pos="4908"/>
        <w:tab w:val="left" w:pos="5748"/>
        <w:tab w:val="left" w:pos="6516"/>
        <w:tab w:val="left" w:pos="8494"/>
      </w:tabs>
      <w:spacing w:after="0"/>
      <w:jc w:val="center"/>
      <w:outlineLvl w:val="3"/>
    </w:pPr>
    <w:rPr>
      <w:b/>
      <w:snapToGrid w:val="0"/>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16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_Text"/>
    <w:basedOn w:val="Normal"/>
    <w:rsid w:val="00015AC4"/>
    <w:pPr>
      <w:spacing w:after="160"/>
      <w:jc w:val="both"/>
    </w:pPr>
    <w:rPr>
      <w:sz w:val="22"/>
    </w:rPr>
  </w:style>
  <w:style w:type="paragraph" w:styleId="Header">
    <w:name w:val="header"/>
    <w:basedOn w:val="Normal"/>
    <w:rsid w:val="00052EFA"/>
    <w:pPr>
      <w:tabs>
        <w:tab w:val="center" w:pos="4153"/>
        <w:tab w:val="right" w:pos="8306"/>
      </w:tabs>
    </w:pPr>
  </w:style>
  <w:style w:type="paragraph" w:styleId="Footer">
    <w:name w:val="footer"/>
    <w:basedOn w:val="Normal"/>
    <w:rsid w:val="00052EFA"/>
    <w:pPr>
      <w:tabs>
        <w:tab w:val="center" w:pos="4153"/>
        <w:tab w:val="right" w:pos="8306"/>
      </w:tabs>
    </w:pPr>
  </w:style>
  <w:style w:type="character" w:styleId="PageNumber">
    <w:name w:val="page number"/>
    <w:basedOn w:val="DefaultParagraphFont"/>
    <w:rsid w:val="00052EFA"/>
    <w:rPr>
      <w:rFonts w:ascii="Arial" w:hAnsi="Arial"/>
      <w:sz w:val="16"/>
    </w:rPr>
  </w:style>
  <w:style w:type="paragraph" w:customStyle="1" w:styleId="NormInd">
    <w:name w:val="Norm_Ind"/>
    <w:basedOn w:val="Normal"/>
    <w:rsid w:val="008D0FE6"/>
    <w:pPr>
      <w:spacing w:after="160"/>
      <w:ind w:left="567"/>
      <w:jc w:val="both"/>
    </w:pPr>
    <w:rPr>
      <w:color w:val="000000"/>
      <w:sz w:val="22"/>
      <w:lang w:val="en-GB" w:eastAsia="en-AU"/>
    </w:rPr>
  </w:style>
  <w:style w:type="paragraph" w:styleId="BodyText0">
    <w:name w:val="Body Text"/>
    <w:basedOn w:val="Normal"/>
    <w:autoRedefine/>
    <w:rsid w:val="00725187"/>
    <w:pPr>
      <w:spacing w:after="120"/>
      <w:ind w:left="142"/>
    </w:pPr>
  </w:style>
  <w:style w:type="paragraph" w:styleId="BalloonText">
    <w:name w:val="Balloon Text"/>
    <w:basedOn w:val="Normal"/>
    <w:semiHidden/>
    <w:rsid w:val="00725187"/>
    <w:rPr>
      <w:rFonts w:ascii="Tahoma" w:hAnsi="Tahoma" w:cs="Tahoma"/>
      <w:sz w:val="16"/>
      <w:szCs w:val="16"/>
    </w:rPr>
  </w:style>
  <w:style w:type="paragraph" w:customStyle="1" w:styleId="CharCharCharCharCharCharCharChar">
    <w:name w:val="Char Char Char Char Char Char Char Char"/>
    <w:basedOn w:val="Normal"/>
    <w:rsid w:val="00E63695"/>
    <w:pPr>
      <w:spacing w:after="160" w:line="240" w:lineRule="exact"/>
    </w:pPr>
    <w:rPr>
      <w:rFonts w:ascii="Tahoma" w:hAnsi="Tahoma" w:cs="Tahoma"/>
      <w:lang w:val="en-US"/>
    </w:rPr>
  </w:style>
  <w:style w:type="paragraph" w:customStyle="1" w:styleId="CharChar">
    <w:name w:val="Char Char"/>
    <w:basedOn w:val="Normal"/>
    <w:rsid w:val="00A90BFA"/>
    <w:pPr>
      <w:spacing w:after="160" w:line="240" w:lineRule="exact"/>
    </w:pPr>
    <w:rPr>
      <w:rFonts w:ascii="Tahoma" w:hAnsi="Tahoma" w:cs="Tahoma"/>
      <w:lang w:val="en-US"/>
    </w:rPr>
  </w:style>
  <w:style w:type="character" w:styleId="CommentReference">
    <w:name w:val="annotation reference"/>
    <w:basedOn w:val="DefaultParagraphFont"/>
    <w:semiHidden/>
    <w:rsid w:val="00B30660"/>
    <w:rPr>
      <w:sz w:val="16"/>
    </w:rPr>
  </w:style>
  <w:style w:type="paragraph" w:styleId="CommentText">
    <w:name w:val="annotation text"/>
    <w:basedOn w:val="Normal"/>
    <w:link w:val="CommentTextChar"/>
    <w:semiHidden/>
    <w:rsid w:val="00B30660"/>
    <w:pPr>
      <w:spacing w:after="0"/>
    </w:pPr>
  </w:style>
  <w:style w:type="character" w:customStyle="1" w:styleId="CommentTextChar">
    <w:name w:val="Comment Text Char"/>
    <w:basedOn w:val="DefaultParagraphFont"/>
    <w:link w:val="CommentText"/>
    <w:semiHidden/>
    <w:rsid w:val="00B30660"/>
    <w:rPr>
      <w:rFonts w:ascii="Arial" w:hAnsi="Arial"/>
      <w:lang w:eastAsia="en-US"/>
    </w:rPr>
  </w:style>
  <w:style w:type="paragraph" w:customStyle="1" w:styleId="Level4">
    <w:name w:val="Level 4"/>
    <w:basedOn w:val="Heading4"/>
    <w:autoRedefine/>
    <w:rsid w:val="009303F3"/>
    <w:pPr>
      <w:tabs>
        <w:tab w:val="clear" w:pos="420"/>
        <w:tab w:val="clear" w:pos="2388"/>
        <w:tab w:val="clear" w:pos="4027"/>
        <w:tab w:val="clear" w:pos="4908"/>
        <w:tab w:val="clear" w:pos="5748"/>
        <w:tab w:val="clear" w:pos="6516"/>
        <w:tab w:val="clear" w:pos="8494"/>
      </w:tabs>
      <w:spacing w:before="120" w:after="120"/>
      <w:jc w:val="left"/>
    </w:pPr>
    <w:rPr>
      <w:rFonts w:ascii="Zurich Ex BT" w:hAnsi="Zurich Ex BT"/>
      <w:b w:val="0"/>
      <w:snapToGrid/>
      <w:color w:val="000000" w:themeColor="text1"/>
      <w:sz w:val="28"/>
    </w:rPr>
  </w:style>
  <w:style w:type="paragraph" w:customStyle="1" w:styleId="SumPoint">
    <w:name w:val="Sum Point"/>
    <w:basedOn w:val="Normal"/>
    <w:rsid w:val="00C05E68"/>
    <w:pPr>
      <w:numPr>
        <w:numId w:val="4"/>
      </w:numPr>
      <w:spacing w:after="160"/>
    </w:pPr>
    <w:rPr>
      <w:sz w:val="24"/>
    </w:rPr>
  </w:style>
  <w:style w:type="paragraph" w:styleId="ListParagraph">
    <w:name w:val="List Paragraph"/>
    <w:basedOn w:val="Normal"/>
    <w:uiPriority w:val="34"/>
    <w:qFormat/>
    <w:rsid w:val="00C05E68"/>
    <w:pPr>
      <w:ind w:left="720"/>
      <w:contextualSpacing/>
    </w:pPr>
  </w:style>
</w:styles>
</file>

<file path=word/webSettings.xml><?xml version="1.0" encoding="utf-8"?>
<w:webSettings xmlns:r="http://schemas.openxmlformats.org/officeDocument/2006/relationships" xmlns:w="http://schemas.openxmlformats.org/wordprocessingml/2006/main">
  <w:divs>
    <w:div w:id="105999969">
      <w:bodyDiv w:val="1"/>
      <w:marLeft w:val="0"/>
      <w:marRight w:val="0"/>
      <w:marTop w:val="0"/>
      <w:marBottom w:val="0"/>
      <w:divBdr>
        <w:top w:val="none" w:sz="0" w:space="0" w:color="auto"/>
        <w:left w:val="none" w:sz="0" w:space="0" w:color="auto"/>
        <w:bottom w:val="none" w:sz="0" w:space="0" w:color="auto"/>
        <w:right w:val="none" w:sz="0" w:space="0" w:color="auto"/>
      </w:divBdr>
    </w:div>
    <w:div w:id="438572680">
      <w:bodyDiv w:val="1"/>
      <w:marLeft w:val="0"/>
      <w:marRight w:val="0"/>
      <w:marTop w:val="0"/>
      <w:marBottom w:val="0"/>
      <w:divBdr>
        <w:top w:val="none" w:sz="0" w:space="0" w:color="auto"/>
        <w:left w:val="none" w:sz="0" w:space="0" w:color="auto"/>
        <w:bottom w:val="none" w:sz="0" w:space="0" w:color="auto"/>
        <w:right w:val="none" w:sz="0" w:space="0" w:color="auto"/>
      </w:divBdr>
    </w:div>
    <w:div w:id="927275319">
      <w:bodyDiv w:val="1"/>
      <w:marLeft w:val="0"/>
      <w:marRight w:val="0"/>
      <w:marTop w:val="0"/>
      <w:marBottom w:val="0"/>
      <w:divBdr>
        <w:top w:val="none" w:sz="0" w:space="0" w:color="auto"/>
        <w:left w:val="none" w:sz="0" w:space="0" w:color="auto"/>
        <w:bottom w:val="none" w:sz="0" w:space="0" w:color="auto"/>
        <w:right w:val="none" w:sz="0" w:space="0" w:color="auto"/>
      </w:divBdr>
    </w:div>
    <w:div w:id="1617178495">
      <w:bodyDiv w:val="1"/>
      <w:marLeft w:val="0"/>
      <w:marRight w:val="0"/>
      <w:marTop w:val="0"/>
      <w:marBottom w:val="0"/>
      <w:divBdr>
        <w:top w:val="none" w:sz="0" w:space="0" w:color="auto"/>
        <w:left w:val="none" w:sz="0" w:space="0" w:color="auto"/>
        <w:bottom w:val="none" w:sz="0" w:space="0" w:color="auto"/>
        <w:right w:val="none" w:sz="0" w:space="0" w:color="auto"/>
      </w:divBdr>
    </w:div>
    <w:div w:id="1752044227">
      <w:bodyDiv w:val="1"/>
      <w:marLeft w:val="0"/>
      <w:marRight w:val="0"/>
      <w:marTop w:val="0"/>
      <w:marBottom w:val="0"/>
      <w:divBdr>
        <w:top w:val="none" w:sz="0" w:space="0" w:color="auto"/>
        <w:left w:val="none" w:sz="0" w:space="0" w:color="auto"/>
        <w:bottom w:val="none" w:sz="0" w:space="0" w:color="auto"/>
        <w:right w:val="none" w:sz="0" w:space="0" w:color="auto"/>
      </w:divBdr>
    </w:div>
    <w:div w:id="20124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50B8B-2FAB-4C06-80F1-82891701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5094</Words>
  <Characters>27495</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In accordance with the Valuation of Land Act 1960, every two years Council conducts a full revaluation of every rateable prope</vt:lpstr>
    </vt:vector>
  </TitlesOfParts>
  <Company>COGG</Company>
  <LinksUpToDate>false</LinksUpToDate>
  <CharactersWithSpaces>32524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the Valuation of Land Act 1960, every two years Council conducts a full revaluation of every rateable prope</dc:title>
  <dc:creator>Janet Gibson</dc:creator>
  <cp:lastModifiedBy>vm9663</cp:lastModifiedBy>
  <cp:revision>9</cp:revision>
  <cp:lastPrinted>2013-05-08T05:10:00Z</cp:lastPrinted>
  <dcterms:created xsi:type="dcterms:W3CDTF">2013-05-08T03:51:00Z</dcterms:created>
  <dcterms:modified xsi:type="dcterms:W3CDTF">2013-06-19T22:26:00Z</dcterms:modified>
</cp:coreProperties>
</file>