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A2C8C" w14:textId="2C5B172F" w:rsidR="00AC45F7" w:rsidRDefault="00415026" w:rsidP="00AC45F7">
      <w:pPr>
        <w:jc w:val="both"/>
        <w:rPr>
          <w:rFonts w:ascii="Calibri" w:hAnsi="Calibri" w:cs="Calibri"/>
          <w:b/>
          <w:noProof/>
          <w:sz w:val="36"/>
          <w:szCs w:val="20"/>
        </w:rPr>
      </w:pPr>
      <w:r>
        <w:rPr>
          <w:rFonts w:ascii="Calibri" w:hAnsi="Calibri" w:cs="Calibri"/>
          <w:b/>
          <w:noProof/>
          <w:sz w:val="36"/>
          <w:szCs w:val="20"/>
        </w:rPr>
        <w:drawing>
          <wp:inline distT="0" distB="0" distL="0" distR="0" wp14:anchorId="7FBF72C8" wp14:editId="538621F2">
            <wp:extent cx="6810375" cy="1019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13965" cy="1019712"/>
                    </a:xfrm>
                    <a:prstGeom prst="rect">
                      <a:avLst/>
                    </a:prstGeom>
                    <a:noFill/>
                    <a:ln>
                      <a:noFill/>
                    </a:ln>
                  </pic:spPr>
                </pic:pic>
              </a:graphicData>
            </a:graphic>
          </wp:inline>
        </w:drawing>
      </w:r>
    </w:p>
    <w:p w14:paraId="164BC0AB" w14:textId="77777777" w:rsidR="00AC45F7" w:rsidRPr="00FD724F" w:rsidRDefault="00AC45F7" w:rsidP="00AC45F7">
      <w:pPr>
        <w:jc w:val="both"/>
        <w:rPr>
          <w:rFonts w:ascii="Calibri" w:hAnsi="Calibri" w:cs="Calibri"/>
          <w:b/>
          <w:noProof/>
          <w:sz w:val="16"/>
          <w:szCs w:val="18"/>
        </w:rPr>
      </w:pPr>
    </w:p>
    <w:p w14:paraId="732B105F" w14:textId="278D4B8B" w:rsidR="00AC45F7" w:rsidRDefault="00FB6736" w:rsidP="00AC45F7">
      <w:pPr>
        <w:ind w:right="-24"/>
        <w:rPr>
          <w:rFonts w:ascii="Verdana" w:hAnsi="Verdana"/>
          <w:b/>
          <w:color w:val="1F4E79"/>
          <w:sz w:val="22"/>
        </w:rPr>
      </w:pPr>
      <w:r>
        <w:rPr>
          <w:rFonts w:ascii="Verdana" w:hAnsi="Verdana"/>
          <w:b/>
          <w:color w:val="1F4E79"/>
          <w:sz w:val="22"/>
        </w:rPr>
        <w:t>Business and Industry Experience</w:t>
      </w:r>
      <w:r w:rsidR="00AC45F7" w:rsidRPr="0062047C">
        <w:rPr>
          <w:rFonts w:ascii="Verdana" w:hAnsi="Verdana"/>
          <w:b/>
          <w:color w:val="1F4E79"/>
          <w:sz w:val="22"/>
        </w:rPr>
        <w:t xml:space="preserve"> monitors the media for topics relating to our economy.</w:t>
      </w:r>
    </w:p>
    <w:p w14:paraId="56200BD0" w14:textId="77777777" w:rsidR="0072094A" w:rsidRPr="0062047C" w:rsidRDefault="0072094A" w:rsidP="00AC45F7">
      <w:pPr>
        <w:ind w:right="-24"/>
        <w:rPr>
          <w:rFonts w:ascii="Verdana" w:hAnsi="Verdana"/>
          <w:b/>
          <w:color w:val="1F4E79"/>
          <w:sz w:val="22"/>
        </w:rPr>
      </w:pPr>
    </w:p>
    <w:p w14:paraId="26721BC8" w14:textId="77777777" w:rsidR="00AC45F7" w:rsidRPr="00FD724F" w:rsidRDefault="00AC45F7" w:rsidP="00AC45F7">
      <w:pPr>
        <w:rPr>
          <w:rFonts w:ascii="Calibri" w:hAnsi="Calibri" w:cs="Calibri"/>
          <w:sz w:val="8"/>
          <w:szCs w:val="32"/>
        </w:rPr>
      </w:pPr>
    </w:p>
    <w:p w14:paraId="02A08CBF" w14:textId="006EF2F3" w:rsidR="00312657" w:rsidRPr="00312657" w:rsidRDefault="006E0CDB" w:rsidP="00312657">
      <w:pPr>
        <w:tabs>
          <w:tab w:val="right" w:pos="10490"/>
        </w:tabs>
        <w:jc w:val="both"/>
        <w:rPr>
          <w:rFonts w:ascii="Calibri" w:hAnsi="Calibri" w:cs="Calibri"/>
          <w:b/>
          <w:color w:val="3AB09A"/>
          <w:sz w:val="36"/>
        </w:rPr>
      </w:pPr>
      <w:r>
        <w:rPr>
          <w:rFonts w:ascii="Calibri" w:hAnsi="Calibri" w:cs="Calibri"/>
          <w:b/>
          <w:color w:val="3AB09A"/>
          <w:sz w:val="36"/>
        </w:rPr>
        <w:t>APRIL</w:t>
      </w:r>
      <w:r w:rsidR="00FB4927">
        <w:rPr>
          <w:rFonts w:ascii="Calibri" w:hAnsi="Calibri" w:cs="Calibri"/>
          <w:b/>
          <w:color w:val="3AB09A"/>
          <w:sz w:val="36"/>
        </w:rPr>
        <w:t xml:space="preserve"> 2024</w:t>
      </w:r>
    </w:p>
    <w:p w14:paraId="64441AA1" w14:textId="77777777" w:rsidR="00312657" w:rsidRDefault="00312657" w:rsidP="00312657">
      <w:pPr>
        <w:tabs>
          <w:tab w:val="right" w:pos="10490"/>
        </w:tabs>
        <w:jc w:val="both"/>
        <w:rPr>
          <w:rFonts w:ascii="Calibri" w:hAnsi="Calibri" w:cs="Calibri"/>
          <w:bCs/>
          <w:sz w:val="22"/>
          <w:szCs w:val="16"/>
        </w:rPr>
      </w:pPr>
    </w:p>
    <w:tbl>
      <w:tblPr>
        <w:tblStyle w:val="TableGrid"/>
        <w:tblW w:w="10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774"/>
      </w:tblGrid>
      <w:tr w:rsidR="006E0CDB" w:rsidRPr="00095CC7" w14:paraId="68C7214C" w14:textId="77777777" w:rsidTr="006E0CDB">
        <w:tc>
          <w:tcPr>
            <w:tcW w:w="10774" w:type="dxa"/>
          </w:tcPr>
          <w:p w14:paraId="074B2495" w14:textId="7D3A1B63" w:rsidR="006E0CDB" w:rsidRPr="0055604E" w:rsidRDefault="006E0CDB" w:rsidP="006E0CDB">
            <w:pPr>
              <w:jc w:val="both"/>
              <w:textAlignment w:val="baseline"/>
              <w:rPr>
                <w:rFonts w:ascii="Calibri" w:hAnsi="Calibri" w:cs="Calibri"/>
                <w:bCs/>
                <w:sz w:val="22"/>
                <w:szCs w:val="22"/>
              </w:rPr>
            </w:pPr>
            <w:r w:rsidRPr="006E0CDB">
              <w:rPr>
                <w:rFonts w:ascii="Calibri" w:hAnsi="Calibri" w:cs="Calibri"/>
                <w:b/>
                <w:bCs/>
                <w:sz w:val="22"/>
                <w:szCs w:val="22"/>
              </w:rPr>
              <w:t>The first tower crane is now on the site of the $456-million Nyaal Banyul Geelong Convention and Event Centre</w:t>
            </w:r>
            <w:r>
              <w:rPr>
                <w:rFonts w:ascii="Calibri" w:hAnsi="Calibri" w:cs="Calibri"/>
                <w:b/>
                <w:sz w:val="22"/>
                <w:szCs w:val="22"/>
              </w:rPr>
              <w:t xml:space="preserve"> </w:t>
            </w:r>
            <w:r w:rsidRPr="0055604E">
              <w:rPr>
                <w:rFonts w:ascii="Calibri" w:hAnsi="Calibri" w:cs="Calibri"/>
                <w:bCs/>
                <w:sz w:val="22"/>
                <w:szCs w:val="22"/>
              </w:rPr>
              <w:t>that will include the purpose-built convention and exhibition space, incorporating a 1000-seat venue, two large exhibition spaces, meeting rooms, conference facilities and flexible event spaces. Early works have been completed with bulk excavation now under way</w:t>
            </w:r>
            <w:r>
              <w:rPr>
                <w:rFonts w:ascii="Calibri" w:hAnsi="Calibri" w:cs="Calibri"/>
                <w:bCs/>
                <w:sz w:val="22"/>
                <w:szCs w:val="22"/>
              </w:rPr>
              <w:t>. A</w:t>
            </w:r>
            <w:r w:rsidRPr="0055604E">
              <w:rPr>
                <w:rFonts w:ascii="Calibri" w:hAnsi="Calibri" w:cs="Calibri"/>
                <w:bCs/>
                <w:sz w:val="22"/>
                <w:szCs w:val="22"/>
              </w:rPr>
              <w:t>n additional three tower cranes will arrive onsite over coming months to facilitate four concurrent construction zones and an associated workforce boom. The onsite construction workforce will grow to near 200 by mid-year and 500 by year end.</w:t>
            </w:r>
            <w:r>
              <w:rPr>
                <w:rFonts w:ascii="Calibri" w:hAnsi="Calibri" w:cs="Calibri"/>
                <w:bCs/>
                <w:sz w:val="22"/>
                <w:szCs w:val="22"/>
              </w:rPr>
              <w:t xml:space="preserve"> </w:t>
            </w:r>
            <w:r w:rsidRPr="0055604E">
              <w:rPr>
                <w:rFonts w:ascii="Calibri" w:hAnsi="Calibri" w:cs="Calibri"/>
                <w:bCs/>
                <w:sz w:val="22"/>
                <w:szCs w:val="22"/>
              </w:rPr>
              <w:t>Slated for completion in 2026, the precinct is then expected to support more than 700 jobs.</w:t>
            </w:r>
          </w:p>
        </w:tc>
      </w:tr>
      <w:tr w:rsidR="006E0CDB" w:rsidRPr="00F254FC" w14:paraId="76171843" w14:textId="77777777" w:rsidTr="006E0CDB">
        <w:tc>
          <w:tcPr>
            <w:tcW w:w="10774" w:type="dxa"/>
          </w:tcPr>
          <w:p w14:paraId="3A555127" w14:textId="77777777" w:rsidR="006E0CDB" w:rsidRDefault="006E0CDB" w:rsidP="00B81300">
            <w:pPr>
              <w:tabs>
                <w:tab w:val="right" w:pos="10235"/>
              </w:tabs>
              <w:spacing w:before="40" w:after="120"/>
              <w:jc w:val="right"/>
              <w:rPr>
                <w:rFonts w:ascii="Calibri" w:hAnsi="Calibri" w:cs="Calibri"/>
                <w:i/>
                <w:color w:val="000000" w:themeColor="text1"/>
                <w:sz w:val="16"/>
                <w:szCs w:val="22"/>
              </w:rPr>
            </w:pPr>
            <w:r>
              <w:rPr>
                <w:rFonts w:ascii="Calibri" w:hAnsi="Calibri" w:cs="Calibri"/>
                <w:i/>
                <w:color w:val="000000" w:themeColor="text1"/>
                <w:sz w:val="16"/>
                <w:szCs w:val="22"/>
              </w:rPr>
              <w:t xml:space="preserve">The Urban Developer </w:t>
            </w:r>
            <w:r>
              <w:rPr>
                <w:rFonts w:ascii="Calibri" w:hAnsi="Calibri" w:cs="Calibri"/>
                <w:b/>
                <w:bCs/>
                <w:i/>
                <w:color w:val="000000" w:themeColor="text1"/>
                <w:sz w:val="16"/>
                <w:szCs w:val="22"/>
              </w:rPr>
              <w:t>4 April</w:t>
            </w:r>
            <w:r w:rsidRPr="00F254FC">
              <w:rPr>
                <w:rFonts w:ascii="Calibri" w:hAnsi="Calibri" w:cs="Calibri"/>
                <w:b/>
                <w:bCs/>
                <w:i/>
                <w:color w:val="000000" w:themeColor="text1"/>
                <w:sz w:val="16"/>
                <w:szCs w:val="22"/>
              </w:rPr>
              <w:t xml:space="preserve"> 20</w:t>
            </w:r>
            <w:r>
              <w:rPr>
                <w:rFonts w:ascii="Calibri" w:hAnsi="Calibri" w:cs="Calibri"/>
                <w:b/>
                <w:bCs/>
                <w:i/>
                <w:color w:val="000000" w:themeColor="text1"/>
                <w:sz w:val="16"/>
                <w:szCs w:val="22"/>
              </w:rPr>
              <w:t>24</w:t>
            </w:r>
          </w:p>
        </w:tc>
      </w:tr>
      <w:tr w:rsidR="006E0CDB" w:rsidRPr="00EE3515" w14:paraId="079D254A" w14:textId="77777777" w:rsidTr="006E0CDB">
        <w:tc>
          <w:tcPr>
            <w:tcW w:w="10774" w:type="dxa"/>
          </w:tcPr>
          <w:p w14:paraId="6F0AAD09" w14:textId="72B61D79" w:rsidR="006E0CDB" w:rsidRPr="00EE3515" w:rsidRDefault="006E0CDB" w:rsidP="006E0CDB">
            <w:pPr>
              <w:jc w:val="both"/>
              <w:textAlignment w:val="baseline"/>
              <w:rPr>
                <w:rFonts w:ascii="Calibri" w:hAnsi="Calibri" w:cs="Calibri"/>
                <w:b/>
                <w:sz w:val="22"/>
                <w:szCs w:val="22"/>
              </w:rPr>
            </w:pPr>
            <w:r w:rsidRPr="006E0CDB">
              <w:rPr>
                <w:rFonts w:ascii="Calibri" w:hAnsi="Calibri" w:cs="Calibri"/>
                <w:b/>
                <w:bCs/>
                <w:sz w:val="22"/>
                <w:szCs w:val="22"/>
              </w:rPr>
              <w:t>The Morphy Birrell Property Group has received state government approval to submit a revised application</w:t>
            </w:r>
            <w:r w:rsidRPr="00EE3515">
              <w:rPr>
                <w:rFonts w:ascii="Calibri" w:hAnsi="Calibri" w:cs="Calibri"/>
                <w:b/>
                <w:sz w:val="22"/>
                <w:szCs w:val="22"/>
              </w:rPr>
              <w:t xml:space="preserve"> </w:t>
            </w:r>
            <w:r w:rsidRPr="00EE3515">
              <w:rPr>
                <w:rFonts w:ascii="Calibri" w:hAnsi="Calibri" w:cs="Calibri"/>
                <w:bCs/>
                <w:sz w:val="22"/>
                <w:szCs w:val="22"/>
              </w:rPr>
              <w:t>that</w:t>
            </w:r>
            <w:r>
              <w:rPr>
                <w:rFonts w:ascii="Calibri" w:hAnsi="Calibri" w:cs="Calibri"/>
                <w:bCs/>
                <w:sz w:val="22"/>
                <w:szCs w:val="22"/>
              </w:rPr>
              <w:t xml:space="preserve"> </w:t>
            </w:r>
            <w:r w:rsidRPr="00EE3515">
              <w:rPr>
                <w:rFonts w:ascii="Calibri" w:hAnsi="Calibri" w:cs="Calibri"/>
                <w:bCs/>
                <w:sz w:val="22"/>
                <w:szCs w:val="22"/>
              </w:rPr>
              <w:t>would see 468 build-to-rent (BTR) apartments developed at 81-101 Mercer St</w:t>
            </w:r>
            <w:r>
              <w:rPr>
                <w:rFonts w:ascii="Calibri" w:hAnsi="Calibri" w:cs="Calibri"/>
                <w:bCs/>
                <w:sz w:val="22"/>
                <w:szCs w:val="22"/>
              </w:rPr>
              <w:t xml:space="preserve">. </w:t>
            </w:r>
            <w:r w:rsidRPr="006E0CDB">
              <w:rPr>
                <w:rFonts w:ascii="Calibri" w:hAnsi="Calibri" w:cs="Calibri"/>
                <w:bCs/>
                <w:sz w:val="22"/>
                <w:szCs w:val="22"/>
              </w:rPr>
              <w:t>The $150 million mixed</w:t>
            </w:r>
            <w:r w:rsidRPr="00EE3515">
              <w:rPr>
                <w:rFonts w:ascii="Calibri" w:hAnsi="Calibri" w:cs="Calibri"/>
                <w:bCs/>
                <w:sz w:val="22"/>
                <w:szCs w:val="22"/>
              </w:rPr>
              <w:t>-used development would see a six-storey, 20.5m-high “podium” form the basis of an overall precinct that would incorporate three apartment towers. These would range in size from 33m and 10 storeys, 58m and 18 storeys, and 77m and 24 storeys. Across all buildings, there would be 468 apartments as well as retail outlets, hospitality venues, a co-working space, gym and resident-only amenities. The same development group was behind the 21-storey, 71m-high Miramar apartment complex at 18-20 Cavendish St, which is currently Geelong’s tallest building.</w:t>
            </w:r>
          </w:p>
        </w:tc>
      </w:tr>
      <w:tr w:rsidR="006E0CDB" w:rsidRPr="00F254FC" w14:paraId="136595FF" w14:textId="77777777" w:rsidTr="006E0CDB">
        <w:tc>
          <w:tcPr>
            <w:tcW w:w="10774" w:type="dxa"/>
          </w:tcPr>
          <w:p w14:paraId="32AC3477" w14:textId="77777777" w:rsidR="006E0CDB" w:rsidRDefault="006E0CDB" w:rsidP="00B81300">
            <w:pPr>
              <w:tabs>
                <w:tab w:val="right" w:pos="10235"/>
              </w:tabs>
              <w:spacing w:before="40" w:after="120"/>
              <w:jc w:val="right"/>
              <w:rPr>
                <w:rFonts w:ascii="Calibri" w:hAnsi="Calibri" w:cs="Calibri"/>
                <w:i/>
                <w:color w:val="000000" w:themeColor="text1"/>
                <w:sz w:val="16"/>
                <w:szCs w:val="22"/>
              </w:rPr>
            </w:pPr>
            <w:r>
              <w:rPr>
                <w:rFonts w:ascii="Calibri" w:hAnsi="Calibri" w:cs="Calibri"/>
                <w:i/>
                <w:color w:val="000000" w:themeColor="text1"/>
                <w:sz w:val="16"/>
                <w:szCs w:val="22"/>
              </w:rPr>
              <w:t xml:space="preserve">Geelong Advertiser  </w:t>
            </w:r>
            <w:r>
              <w:rPr>
                <w:rFonts w:ascii="Calibri" w:hAnsi="Calibri" w:cs="Calibri"/>
                <w:b/>
                <w:bCs/>
                <w:i/>
                <w:color w:val="000000" w:themeColor="text1"/>
                <w:sz w:val="16"/>
                <w:szCs w:val="22"/>
              </w:rPr>
              <w:t>19 April</w:t>
            </w:r>
            <w:r w:rsidRPr="00F254FC">
              <w:rPr>
                <w:rFonts w:ascii="Calibri" w:hAnsi="Calibri" w:cs="Calibri"/>
                <w:b/>
                <w:bCs/>
                <w:i/>
                <w:color w:val="000000" w:themeColor="text1"/>
                <w:sz w:val="16"/>
                <w:szCs w:val="22"/>
              </w:rPr>
              <w:t xml:space="preserve"> 202</w:t>
            </w:r>
            <w:r>
              <w:rPr>
                <w:rFonts w:ascii="Calibri" w:hAnsi="Calibri" w:cs="Calibri"/>
                <w:b/>
                <w:bCs/>
                <w:i/>
                <w:color w:val="000000" w:themeColor="text1"/>
                <w:sz w:val="16"/>
                <w:szCs w:val="22"/>
              </w:rPr>
              <w:t>4</w:t>
            </w:r>
          </w:p>
        </w:tc>
      </w:tr>
      <w:tr w:rsidR="006E0CDB" w:rsidRPr="00F2709A" w14:paraId="6F5171BD" w14:textId="77777777" w:rsidTr="006E0CDB">
        <w:tc>
          <w:tcPr>
            <w:tcW w:w="10774" w:type="dxa"/>
          </w:tcPr>
          <w:p w14:paraId="3B38062B" w14:textId="3D6A3A07" w:rsidR="006E0CDB" w:rsidRPr="00F2709A" w:rsidRDefault="006E0CDB" w:rsidP="006E0CDB">
            <w:pPr>
              <w:jc w:val="both"/>
              <w:textAlignment w:val="baseline"/>
              <w:rPr>
                <w:rFonts w:ascii="Calibri" w:hAnsi="Calibri" w:cs="Calibri"/>
                <w:b/>
                <w:sz w:val="22"/>
                <w:szCs w:val="22"/>
              </w:rPr>
            </w:pPr>
            <w:r w:rsidRPr="006E0CDB">
              <w:rPr>
                <w:rFonts w:ascii="Calibri" w:hAnsi="Calibri" w:cs="Calibri"/>
                <w:b/>
                <w:bCs/>
                <w:sz w:val="22"/>
                <w:szCs w:val="22"/>
              </w:rPr>
              <w:t>Developer Brenzem Pty Ltd, in conjunction with Ratio Consultants, is seeking to build a $12 million</w:t>
            </w:r>
            <w:r w:rsidRPr="00FC6C97">
              <w:rPr>
                <w:rFonts w:ascii="Calibri" w:hAnsi="Calibri" w:cs="Calibri"/>
                <w:bCs/>
                <w:sz w:val="22"/>
                <w:szCs w:val="22"/>
              </w:rPr>
              <w:t>,</w:t>
            </w:r>
            <w:r w:rsidRPr="00CB607C">
              <w:rPr>
                <w:rFonts w:ascii="Calibri" w:hAnsi="Calibri" w:cs="Calibri"/>
                <w:b/>
                <w:sz w:val="22"/>
                <w:szCs w:val="22"/>
              </w:rPr>
              <w:t xml:space="preserve"> </w:t>
            </w:r>
            <w:r w:rsidRPr="00CB607C">
              <w:rPr>
                <w:rFonts w:ascii="Calibri" w:hAnsi="Calibri" w:cs="Calibri"/>
                <w:bCs/>
                <w:sz w:val="22"/>
                <w:szCs w:val="22"/>
              </w:rPr>
              <w:t>three to four-storey, commercial and residential complex at the corner of Rutland and Hampton streets Newtown that includes three townhouses and eight apartments.</w:t>
            </w:r>
          </w:p>
        </w:tc>
      </w:tr>
      <w:tr w:rsidR="006E0CDB" w:rsidRPr="00F254FC" w14:paraId="722E6DDB" w14:textId="77777777" w:rsidTr="006E0CDB">
        <w:tc>
          <w:tcPr>
            <w:tcW w:w="10774" w:type="dxa"/>
          </w:tcPr>
          <w:p w14:paraId="228562DD" w14:textId="77777777" w:rsidR="006E0CDB" w:rsidRDefault="006E0CDB" w:rsidP="00B81300">
            <w:pPr>
              <w:tabs>
                <w:tab w:val="right" w:pos="10235"/>
              </w:tabs>
              <w:spacing w:before="40" w:after="120"/>
              <w:jc w:val="right"/>
              <w:rPr>
                <w:rFonts w:ascii="Calibri" w:hAnsi="Calibri" w:cs="Calibri"/>
                <w:i/>
                <w:color w:val="000000" w:themeColor="text1"/>
                <w:sz w:val="16"/>
                <w:szCs w:val="22"/>
              </w:rPr>
            </w:pPr>
            <w:r>
              <w:rPr>
                <w:rFonts w:ascii="Calibri" w:hAnsi="Calibri" w:cs="Calibri"/>
                <w:i/>
                <w:color w:val="000000" w:themeColor="text1"/>
                <w:sz w:val="16"/>
                <w:szCs w:val="22"/>
              </w:rPr>
              <w:t xml:space="preserve">Geelong Advertiser  </w:t>
            </w:r>
            <w:r>
              <w:rPr>
                <w:rFonts w:ascii="Calibri" w:hAnsi="Calibri" w:cs="Calibri"/>
                <w:b/>
                <w:bCs/>
                <w:i/>
                <w:color w:val="000000" w:themeColor="text1"/>
                <w:sz w:val="16"/>
                <w:szCs w:val="22"/>
              </w:rPr>
              <w:t>24 April</w:t>
            </w:r>
            <w:r w:rsidRPr="00F254FC">
              <w:rPr>
                <w:rFonts w:ascii="Calibri" w:hAnsi="Calibri" w:cs="Calibri"/>
                <w:b/>
                <w:bCs/>
                <w:i/>
                <w:color w:val="000000" w:themeColor="text1"/>
                <w:sz w:val="16"/>
                <w:szCs w:val="22"/>
              </w:rPr>
              <w:t xml:space="preserve"> 202</w:t>
            </w:r>
            <w:r>
              <w:rPr>
                <w:rFonts w:ascii="Calibri" w:hAnsi="Calibri" w:cs="Calibri"/>
                <w:b/>
                <w:bCs/>
                <w:i/>
                <w:color w:val="000000" w:themeColor="text1"/>
                <w:sz w:val="16"/>
                <w:szCs w:val="22"/>
              </w:rPr>
              <w:t>4</w:t>
            </w:r>
          </w:p>
        </w:tc>
      </w:tr>
    </w:tbl>
    <w:p w14:paraId="2F79057D" w14:textId="77777777" w:rsidR="005E4E2D" w:rsidRDefault="005E4E2D" w:rsidP="00312657">
      <w:pPr>
        <w:tabs>
          <w:tab w:val="right" w:pos="10490"/>
        </w:tabs>
        <w:jc w:val="both"/>
        <w:rPr>
          <w:rFonts w:ascii="Calibri" w:hAnsi="Calibri" w:cs="Calibri"/>
          <w:bCs/>
          <w:sz w:val="22"/>
          <w:szCs w:val="16"/>
        </w:rPr>
      </w:pPr>
    </w:p>
    <w:p w14:paraId="50D468A5" w14:textId="77777777" w:rsidR="00890E7A" w:rsidRDefault="009C6B4D" w:rsidP="009C6B4D">
      <w:pPr>
        <w:rPr>
          <w:rFonts w:ascii="Calibri" w:hAnsi="Calibri" w:cs="Calibri"/>
          <w:i/>
          <w:sz w:val="18"/>
          <w:szCs w:val="22"/>
        </w:rPr>
      </w:pPr>
      <w:r w:rsidRPr="006A278F">
        <w:rPr>
          <w:rFonts w:ascii="Calibri" w:hAnsi="Calibri" w:cs="Calibri"/>
          <w:i/>
          <w:sz w:val="18"/>
          <w:szCs w:val="22"/>
        </w:rPr>
        <w:t>Source information is for general reference.  Regional Economic News Summaries may contain addit</w:t>
      </w:r>
      <w:r>
        <w:rPr>
          <w:rFonts w:ascii="Calibri" w:hAnsi="Calibri" w:cs="Calibri"/>
          <w:i/>
          <w:sz w:val="18"/>
          <w:szCs w:val="22"/>
        </w:rPr>
        <w:t xml:space="preserve">ional information from, for example, </w:t>
      </w:r>
      <w:r w:rsidRPr="006A278F">
        <w:rPr>
          <w:rFonts w:ascii="Calibri" w:hAnsi="Calibri" w:cs="Calibri"/>
          <w:i/>
          <w:sz w:val="18"/>
          <w:szCs w:val="22"/>
        </w:rPr>
        <w:t>related articles on different dates, other publications or media releases.</w:t>
      </w:r>
    </w:p>
    <w:sectPr w:rsidR="00890E7A" w:rsidSect="00496AF3">
      <w:headerReference w:type="even" r:id="rId10"/>
      <w:headerReference w:type="default" r:id="rId11"/>
      <w:footerReference w:type="even" r:id="rId12"/>
      <w:footerReference w:type="default" r:id="rId13"/>
      <w:headerReference w:type="first" r:id="rId14"/>
      <w:footerReference w:type="first" r:id="rId15"/>
      <w:pgSz w:w="11906" w:h="16838"/>
      <w:pgMar w:top="720" w:right="566" w:bottom="284" w:left="567" w:header="284"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780B1" w14:textId="77777777" w:rsidR="00182F44" w:rsidRDefault="00182F44" w:rsidP="00116707">
      <w:r>
        <w:separator/>
      </w:r>
    </w:p>
  </w:endnote>
  <w:endnote w:type="continuationSeparator" w:id="0">
    <w:p w14:paraId="0D23D8F8" w14:textId="77777777" w:rsidR="00182F44" w:rsidRDefault="00182F44" w:rsidP="00116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4DCF5" w14:textId="77777777" w:rsidR="00F80261" w:rsidRDefault="00F802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52FEE" w14:textId="77777777" w:rsidR="00F80261" w:rsidRDefault="00F802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F36B8" w14:textId="77777777" w:rsidR="00F80261" w:rsidRDefault="00F802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EC3CE" w14:textId="77777777" w:rsidR="00182F44" w:rsidRDefault="00182F44" w:rsidP="00116707">
      <w:r>
        <w:separator/>
      </w:r>
    </w:p>
  </w:footnote>
  <w:footnote w:type="continuationSeparator" w:id="0">
    <w:p w14:paraId="3F1FA3E7" w14:textId="77777777" w:rsidR="00182F44" w:rsidRDefault="00182F44" w:rsidP="00116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F885C" w14:textId="77777777" w:rsidR="00F80261" w:rsidRDefault="00F802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465EE" w14:textId="77777777" w:rsidR="00F80261" w:rsidRDefault="00F802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09519" w14:textId="77777777" w:rsidR="00F80261" w:rsidRDefault="00F802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111B47"/>
    <w:multiLevelType w:val="multilevel"/>
    <w:tmpl w:val="48DCB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241C68"/>
    <w:multiLevelType w:val="multilevel"/>
    <w:tmpl w:val="F49C9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B91143"/>
    <w:multiLevelType w:val="hybridMultilevel"/>
    <w:tmpl w:val="D626FA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28422104">
    <w:abstractNumId w:val="0"/>
  </w:num>
  <w:num w:numId="2" w16cid:durableId="1041057586">
    <w:abstractNumId w:val="1"/>
  </w:num>
  <w:num w:numId="3" w16cid:durableId="5314548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o:colormru v:ext="edit" colors="#7ad3c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529"/>
    <w:rsid w:val="00002E68"/>
    <w:rsid w:val="000114ED"/>
    <w:rsid w:val="000138BC"/>
    <w:rsid w:val="00016708"/>
    <w:rsid w:val="00017714"/>
    <w:rsid w:val="000337F1"/>
    <w:rsid w:val="000404E0"/>
    <w:rsid w:val="00040FFA"/>
    <w:rsid w:val="00046AC1"/>
    <w:rsid w:val="000535F4"/>
    <w:rsid w:val="00056D5D"/>
    <w:rsid w:val="00057805"/>
    <w:rsid w:val="00076D85"/>
    <w:rsid w:val="000819C6"/>
    <w:rsid w:val="000845E0"/>
    <w:rsid w:val="00085DC1"/>
    <w:rsid w:val="00087EBD"/>
    <w:rsid w:val="000907DF"/>
    <w:rsid w:val="00095AC1"/>
    <w:rsid w:val="000A4125"/>
    <w:rsid w:val="000B0452"/>
    <w:rsid w:val="000B409A"/>
    <w:rsid w:val="000B5CB5"/>
    <w:rsid w:val="000B6421"/>
    <w:rsid w:val="000B7D46"/>
    <w:rsid w:val="000C0439"/>
    <w:rsid w:val="000C132E"/>
    <w:rsid w:val="000C260A"/>
    <w:rsid w:val="000C2E8A"/>
    <w:rsid w:val="000C468B"/>
    <w:rsid w:val="000C646C"/>
    <w:rsid w:val="000C6A29"/>
    <w:rsid w:val="000D07B4"/>
    <w:rsid w:val="000D356F"/>
    <w:rsid w:val="000E13C1"/>
    <w:rsid w:val="000E15B8"/>
    <w:rsid w:val="000E2FC0"/>
    <w:rsid w:val="000E3CF6"/>
    <w:rsid w:val="000E4782"/>
    <w:rsid w:val="000F1BE9"/>
    <w:rsid w:val="000F1E6B"/>
    <w:rsid w:val="00101485"/>
    <w:rsid w:val="0010355F"/>
    <w:rsid w:val="00106FCB"/>
    <w:rsid w:val="00107529"/>
    <w:rsid w:val="00116707"/>
    <w:rsid w:val="001178AD"/>
    <w:rsid w:val="00121E74"/>
    <w:rsid w:val="00122190"/>
    <w:rsid w:val="00122A9C"/>
    <w:rsid w:val="001273AC"/>
    <w:rsid w:val="0013026C"/>
    <w:rsid w:val="0013497C"/>
    <w:rsid w:val="001411EB"/>
    <w:rsid w:val="00146309"/>
    <w:rsid w:val="00147139"/>
    <w:rsid w:val="00152833"/>
    <w:rsid w:val="00152B42"/>
    <w:rsid w:val="0015358C"/>
    <w:rsid w:val="00156CE3"/>
    <w:rsid w:val="001603DA"/>
    <w:rsid w:val="00163EB2"/>
    <w:rsid w:val="001644D1"/>
    <w:rsid w:val="00165926"/>
    <w:rsid w:val="00170F49"/>
    <w:rsid w:val="0017112A"/>
    <w:rsid w:val="00171DDC"/>
    <w:rsid w:val="00174103"/>
    <w:rsid w:val="001747D9"/>
    <w:rsid w:val="00175EDA"/>
    <w:rsid w:val="001772DC"/>
    <w:rsid w:val="00182F44"/>
    <w:rsid w:val="00183337"/>
    <w:rsid w:val="00183F9E"/>
    <w:rsid w:val="00184076"/>
    <w:rsid w:val="00190C01"/>
    <w:rsid w:val="00191888"/>
    <w:rsid w:val="001946FF"/>
    <w:rsid w:val="0019515A"/>
    <w:rsid w:val="00196959"/>
    <w:rsid w:val="001975F7"/>
    <w:rsid w:val="00197A1D"/>
    <w:rsid w:val="001A0A30"/>
    <w:rsid w:val="001A3055"/>
    <w:rsid w:val="001A337B"/>
    <w:rsid w:val="001A363E"/>
    <w:rsid w:val="001A5EDD"/>
    <w:rsid w:val="001B5422"/>
    <w:rsid w:val="001B7631"/>
    <w:rsid w:val="001B7F41"/>
    <w:rsid w:val="001C1496"/>
    <w:rsid w:val="001C24EE"/>
    <w:rsid w:val="001D33BD"/>
    <w:rsid w:val="001D4370"/>
    <w:rsid w:val="001D7052"/>
    <w:rsid w:val="001D7699"/>
    <w:rsid w:val="001E1C98"/>
    <w:rsid w:val="001E3202"/>
    <w:rsid w:val="001E4EE3"/>
    <w:rsid w:val="001E7252"/>
    <w:rsid w:val="001E7D9C"/>
    <w:rsid w:val="001F0E78"/>
    <w:rsid w:val="001F0F5A"/>
    <w:rsid w:val="001F108D"/>
    <w:rsid w:val="001F2CA2"/>
    <w:rsid w:val="001F4A10"/>
    <w:rsid w:val="00200677"/>
    <w:rsid w:val="00204965"/>
    <w:rsid w:val="002058F6"/>
    <w:rsid w:val="0020732B"/>
    <w:rsid w:val="00210491"/>
    <w:rsid w:val="00231B27"/>
    <w:rsid w:val="002345B5"/>
    <w:rsid w:val="0023561F"/>
    <w:rsid w:val="0023617F"/>
    <w:rsid w:val="002427F9"/>
    <w:rsid w:val="002438E0"/>
    <w:rsid w:val="00245B43"/>
    <w:rsid w:val="00251698"/>
    <w:rsid w:val="00252A60"/>
    <w:rsid w:val="00252B9A"/>
    <w:rsid w:val="00260B01"/>
    <w:rsid w:val="00260F11"/>
    <w:rsid w:val="00265916"/>
    <w:rsid w:val="002712D9"/>
    <w:rsid w:val="0027265B"/>
    <w:rsid w:val="00277802"/>
    <w:rsid w:val="00281B55"/>
    <w:rsid w:val="00281C1B"/>
    <w:rsid w:val="0028206B"/>
    <w:rsid w:val="002930D5"/>
    <w:rsid w:val="002955A8"/>
    <w:rsid w:val="002A024B"/>
    <w:rsid w:val="002A1879"/>
    <w:rsid w:val="002A33AF"/>
    <w:rsid w:val="002B0CDC"/>
    <w:rsid w:val="002B28A8"/>
    <w:rsid w:val="002B7A2F"/>
    <w:rsid w:val="002C4B19"/>
    <w:rsid w:val="002C55A9"/>
    <w:rsid w:val="002E12CE"/>
    <w:rsid w:val="002E2979"/>
    <w:rsid w:val="002E3E79"/>
    <w:rsid w:val="002E52EE"/>
    <w:rsid w:val="002E53C0"/>
    <w:rsid w:val="002E6619"/>
    <w:rsid w:val="002E6D56"/>
    <w:rsid w:val="002F3EAB"/>
    <w:rsid w:val="00302FCA"/>
    <w:rsid w:val="003108C2"/>
    <w:rsid w:val="00311383"/>
    <w:rsid w:val="00312657"/>
    <w:rsid w:val="003144F5"/>
    <w:rsid w:val="003174A2"/>
    <w:rsid w:val="003178FD"/>
    <w:rsid w:val="0032471C"/>
    <w:rsid w:val="003250E0"/>
    <w:rsid w:val="0032517D"/>
    <w:rsid w:val="00335F9D"/>
    <w:rsid w:val="003449B0"/>
    <w:rsid w:val="0034795B"/>
    <w:rsid w:val="00347EC1"/>
    <w:rsid w:val="003516ED"/>
    <w:rsid w:val="00356FC8"/>
    <w:rsid w:val="00361102"/>
    <w:rsid w:val="00364F02"/>
    <w:rsid w:val="00366AAA"/>
    <w:rsid w:val="00372477"/>
    <w:rsid w:val="003732E7"/>
    <w:rsid w:val="0037374B"/>
    <w:rsid w:val="00373E66"/>
    <w:rsid w:val="0037602B"/>
    <w:rsid w:val="00377839"/>
    <w:rsid w:val="003810C5"/>
    <w:rsid w:val="00381C86"/>
    <w:rsid w:val="003869DF"/>
    <w:rsid w:val="00394F30"/>
    <w:rsid w:val="003964BA"/>
    <w:rsid w:val="003A024B"/>
    <w:rsid w:val="003A2EDE"/>
    <w:rsid w:val="003B6C4E"/>
    <w:rsid w:val="003C2A39"/>
    <w:rsid w:val="003C3650"/>
    <w:rsid w:val="003C5ADA"/>
    <w:rsid w:val="003C78DC"/>
    <w:rsid w:val="003C7BDE"/>
    <w:rsid w:val="003E0365"/>
    <w:rsid w:val="003E1F7D"/>
    <w:rsid w:val="003E3E54"/>
    <w:rsid w:val="003E4131"/>
    <w:rsid w:val="003F0F2C"/>
    <w:rsid w:val="003F50FF"/>
    <w:rsid w:val="00400E78"/>
    <w:rsid w:val="00401929"/>
    <w:rsid w:val="0040767B"/>
    <w:rsid w:val="004122D8"/>
    <w:rsid w:val="0041235C"/>
    <w:rsid w:val="00415026"/>
    <w:rsid w:val="004153F2"/>
    <w:rsid w:val="0041580A"/>
    <w:rsid w:val="00426C77"/>
    <w:rsid w:val="0043143C"/>
    <w:rsid w:val="00431777"/>
    <w:rsid w:val="00433786"/>
    <w:rsid w:val="00434791"/>
    <w:rsid w:val="00434D62"/>
    <w:rsid w:val="0044119E"/>
    <w:rsid w:val="00442769"/>
    <w:rsid w:val="0044440B"/>
    <w:rsid w:val="00446116"/>
    <w:rsid w:val="00446913"/>
    <w:rsid w:val="0045457B"/>
    <w:rsid w:val="00456FBE"/>
    <w:rsid w:val="00457453"/>
    <w:rsid w:val="0046150C"/>
    <w:rsid w:val="004624C2"/>
    <w:rsid w:val="00462B44"/>
    <w:rsid w:val="00470477"/>
    <w:rsid w:val="004731E1"/>
    <w:rsid w:val="00481752"/>
    <w:rsid w:val="00481E8C"/>
    <w:rsid w:val="004839AA"/>
    <w:rsid w:val="00483C89"/>
    <w:rsid w:val="0048589A"/>
    <w:rsid w:val="004860BC"/>
    <w:rsid w:val="00487588"/>
    <w:rsid w:val="00490B19"/>
    <w:rsid w:val="00492069"/>
    <w:rsid w:val="0049621C"/>
    <w:rsid w:val="00496AF3"/>
    <w:rsid w:val="004A1E17"/>
    <w:rsid w:val="004A2DCD"/>
    <w:rsid w:val="004A2F9A"/>
    <w:rsid w:val="004B247F"/>
    <w:rsid w:val="004B3125"/>
    <w:rsid w:val="004B5581"/>
    <w:rsid w:val="004B669A"/>
    <w:rsid w:val="004C1759"/>
    <w:rsid w:val="004C4A41"/>
    <w:rsid w:val="004C5063"/>
    <w:rsid w:val="004C5CE2"/>
    <w:rsid w:val="004C7A18"/>
    <w:rsid w:val="004D1780"/>
    <w:rsid w:val="004D2577"/>
    <w:rsid w:val="004D30B2"/>
    <w:rsid w:val="004D46E4"/>
    <w:rsid w:val="004D5B5D"/>
    <w:rsid w:val="004D5F0D"/>
    <w:rsid w:val="004D741D"/>
    <w:rsid w:val="004D79CA"/>
    <w:rsid w:val="004E3CB6"/>
    <w:rsid w:val="004F3E42"/>
    <w:rsid w:val="004F537F"/>
    <w:rsid w:val="004F55C8"/>
    <w:rsid w:val="004F6691"/>
    <w:rsid w:val="00500A80"/>
    <w:rsid w:val="00502DCE"/>
    <w:rsid w:val="00504400"/>
    <w:rsid w:val="005113A4"/>
    <w:rsid w:val="0051152F"/>
    <w:rsid w:val="0051271F"/>
    <w:rsid w:val="005137C8"/>
    <w:rsid w:val="0051541E"/>
    <w:rsid w:val="00516807"/>
    <w:rsid w:val="00522E86"/>
    <w:rsid w:val="005246E3"/>
    <w:rsid w:val="0052472F"/>
    <w:rsid w:val="00524919"/>
    <w:rsid w:val="005302EE"/>
    <w:rsid w:val="005347BC"/>
    <w:rsid w:val="005347FD"/>
    <w:rsid w:val="005416B0"/>
    <w:rsid w:val="00542D10"/>
    <w:rsid w:val="005436E8"/>
    <w:rsid w:val="00545911"/>
    <w:rsid w:val="00545F30"/>
    <w:rsid w:val="0054640F"/>
    <w:rsid w:val="00547CDD"/>
    <w:rsid w:val="00550610"/>
    <w:rsid w:val="00550D8A"/>
    <w:rsid w:val="0055171F"/>
    <w:rsid w:val="00551E7C"/>
    <w:rsid w:val="00554219"/>
    <w:rsid w:val="005544B1"/>
    <w:rsid w:val="005554ED"/>
    <w:rsid w:val="00561BAD"/>
    <w:rsid w:val="00563ACD"/>
    <w:rsid w:val="00565600"/>
    <w:rsid w:val="00565EB3"/>
    <w:rsid w:val="005663D4"/>
    <w:rsid w:val="00575A44"/>
    <w:rsid w:val="005842B4"/>
    <w:rsid w:val="0059028A"/>
    <w:rsid w:val="00590366"/>
    <w:rsid w:val="00592C4B"/>
    <w:rsid w:val="00592E05"/>
    <w:rsid w:val="005A5173"/>
    <w:rsid w:val="005A5480"/>
    <w:rsid w:val="005B0A89"/>
    <w:rsid w:val="005B1301"/>
    <w:rsid w:val="005C4B2A"/>
    <w:rsid w:val="005C5AD2"/>
    <w:rsid w:val="005C7378"/>
    <w:rsid w:val="005D0431"/>
    <w:rsid w:val="005D7311"/>
    <w:rsid w:val="005D7399"/>
    <w:rsid w:val="005E36BC"/>
    <w:rsid w:val="005E39E5"/>
    <w:rsid w:val="005E4150"/>
    <w:rsid w:val="005E4E2D"/>
    <w:rsid w:val="005E5DA9"/>
    <w:rsid w:val="005F08AA"/>
    <w:rsid w:val="005F3D8E"/>
    <w:rsid w:val="005F5414"/>
    <w:rsid w:val="00600FDF"/>
    <w:rsid w:val="00602EBE"/>
    <w:rsid w:val="00606805"/>
    <w:rsid w:val="006112AE"/>
    <w:rsid w:val="00612772"/>
    <w:rsid w:val="00616908"/>
    <w:rsid w:val="0062047C"/>
    <w:rsid w:val="00620ECC"/>
    <w:rsid w:val="00621A86"/>
    <w:rsid w:val="00622E8C"/>
    <w:rsid w:val="00623908"/>
    <w:rsid w:val="00623AD2"/>
    <w:rsid w:val="00623E2A"/>
    <w:rsid w:val="00624700"/>
    <w:rsid w:val="00634D21"/>
    <w:rsid w:val="0063556D"/>
    <w:rsid w:val="00635A38"/>
    <w:rsid w:val="00640531"/>
    <w:rsid w:val="00643F3C"/>
    <w:rsid w:val="006449B6"/>
    <w:rsid w:val="0065018B"/>
    <w:rsid w:val="00651BA0"/>
    <w:rsid w:val="006526CA"/>
    <w:rsid w:val="006754AA"/>
    <w:rsid w:val="00676D66"/>
    <w:rsid w:val="00682FC4"/>
    <w:rsid w:val="006852CC"/>
    <w:rsid w:val="00685C43"/>
    <w:rsid w:val="0069049B"/>
    <w:rsid w:val="006933A3"/>
    <w:rsid w:val="00694E06"/>
    <w:rsid w:val="00697C72"/>
    <w:rsid w:val="006A5AA7"/>
    <w:rsid w:val="006B3EBE"/>
    <w:rsid w:val="006B7446"/>
    <w:rsid w:val="006C0393"/>
    <w:rsid w:val="006C1881"/>
    <w:rsid w:val="006C3EA8"/>
    <w:rsid w:val="006C4AAE"/>
    <w:rsid w:val="006C7289"/>
    <w:rsid w:val="006D399A"/>
    <w:rsid w:val="006E0CDB"/>
    <w:rsid w:val="006E2CE2"/>
    <w:rsid w:val="006E40B6"/>
    <w:rsid w:val="006F27CB"/>
    <w:rsid w:val="00704CBD"/>
    <w:rsid w:val="00706E2F"/>
    <w:rsid w:val="007126AC"/>
    <w:rsid w:val="00714345"/>
    <w:rsid w:val="0072094A"/>
    <w:rsid w:val="00721D45"/>
    <w:rsid w:val="00723216"/>
    <w:rsid w:val="00727C08"/>
    <w:rsid w:val="007340AD"/>
    <w:rsid w:val="00737398"/>
    <w:rsid w:val="0073767A"/>
    <w:rsid w:val="00751AFA"/>
    <w:rsid w:val="00755BF7"/>
    <w:rsid w:val="0076495F"/>
    <w:rsid w:val="00765B01"/>
    <w:rsid w:val="007674C6"/>
    <w:rsid w:val="00772B1D"/>
    <w:rsid w:val="00772D89"/>
    <w:rsid w:val="00773F8C"/>
    <w:rsid w:val="0077671A"/>
    <w:rsid w:val="00781854"/>
    <w:rsid w:val="007826D2"/>
    <w:rsid w:val="00783BEF"/>
    <w:rsid w:val="007869F6"/>
    <w:rsid w:val="00793D77"/>
    <w:rsid w:val="00797014"/>
    <w:rsid w:val="007A23F3"/>
    <w:rsid w:val="007A3416"/>
    <w:rsid w:val="007A43A3"/>
    <w:rsid w:val="007A5C0E"/>
    <w:rsid w:val="007B158E"/>
    <w:rsid w:val="007B404B"/>
    <w:rsid w:val="007C00EA"/>
    <w:rsid w:val="007D16EB"/>
    <w:rsid w:val="007D1976"/>
    <w:rsid w:val="007D4DD7"/>
    <w:rsid w:val="007D5040"/>
    <w:rsid w:val="007D5C62"/>
    <w:rsid w:val="007E061E"/>
    <w:rsid w:val="007E19AD"/>
    <w:rsid w:val="007E3691"/>
    <w:rsid w:val="007E71D6"/>
    <w:rsid w:val="007F1CBB"/>
    <w:rsid w:val="007F28CE"/>
    <w:rsid w:val="007F3A6D"/>
    <w:rsid w:val="00803A5A"/>
    <w:rsid w:val="00806B19"/>
    <w:rsid w:val="0080767D"/>
    <w:rsid w:val="00807D50"/>
    <w:rsid w:val="00810299"/>
    <w:rsid w:val="00810422"/>
    <w:rsid w:val="00810596"/>
    <w:rsid w:val="008162E4"/>
    <w:rsid w:val="008212E2"/>
    <w:rsid w:val="00821C1D"/>
    <w:rsid w:val="00826109"/>
    <w:rsid w:val="008263BA"/>
    <w:rsid w:val="00827056"/>
    <w:rsid w:val="00836487"/>
    <w:rsid w:val="008414DD"/>
    <w:rsid w:val="00844C28"/>
    <w:rsid w:val="00845B59"/>
    <w:rsid w:val="0085318F"/>
    <w:rsid w:val="00853352"/>
    <w:rsid w:val="0085374C"/>
    <w:rsid w:val="00855EB3"/>
    <w:rsid w:val="008617C8"/>
    <w:rsid w:val="0086643D"/>
    <w:rsid w:val="0087226A"/>
    <w:rsid w:val="0087389A"/>
    <w:rsid w:val="0087527E"/>
    <w:rsid w:val="00876F9B"/>
    <w:rsid w:val="00880175"/>
    <w:rsid w:val="0088164C"/>
    <w:rsid w:val="00883344"/>
    <w:rsid w:val="008869E6"/>
    <w:rsid w:val="00886AF2"/>
    <w:rsid w:val="00890E7A"/>
    <w:rsid w:val="00891C84"/>
    <w:rsid w:val="008926EC"/>
    <w:rsid w:val="00893EC3"/>
    <w:rsid w:val="008A10BA"/>
    <w:rsid w:val="008A2187"/>
    <w:rsid w:val="008A2A35"/>
    <w:rsid w:val="008B5388"/>
    <w:rsid w:val="008C116A"/>
    <w:rsid w:val="008C512B"/>
    <w:rsid w:val="008C6E2F"/>
    <w:rsid w:val="008D1D7B"/>
    <w:rsid w:val="008D2146"/>
    <w:rsid w:val="008D4AE7"/>
    <w:rsid w:val="008D4CAE"/>
    <w:rsid w:val="008D62F5"/>
    <w:rsid w:val="008E3DA2"/>
    <w:rsid w:val="008E5C36"/>
    <w:rsid w:val="008E7373"/>
    <w:rsid w:val="008F4DFF"/>
    <w:rsid w:val="00902386"/>
    <w:rsid w:val="00902F95"/>
    <w:rsid w:val="00911C35"/>
    <w:rsid w:val="00911CD7"/>
    <w:rsid w:val="00913467"/>
    <w:rsid w:val="00917885"/>
    <w:rsid w:val="00920D05"/>
    <w:rsid w:val="00925636"/>
    <w:rsid w:val="0092648A"/>
    <w:rsid w:val="0093094B"/>
    <w:rsid w:val="00936A35"/>
    <w:rsid w:val="00937A34"/>
    <w:rsid w:val="00944BEF"/>
    <w:rsid w:val="00946CB7"/>
    <w:rsid w:val="009521D0"/>
    <w:rsid w:val="00954619"/>
    <w:rsid w:val="00956A11"/>
    <w:rsid w:val="00960D5D"/>
    <w:rsid w:val="00965DFB"/>
    <w:rsid w:val="00966212"/>
    <w:rsid w:val="00972029"/>
    <w:rsid w:val="00974C4C"/>
    <w:rsid w:val="0097538E"/>
    <w:rsid w:val="0097607F"/>
    <w:rsid w:val="00981D50"/>
    <w:rsid w:val="00982088"/>
    <w:rsid w:val="00984475"/>
    <w:rsid w:val="009849E3"/>
    <w:rsid w:val="00987E9C"/>
    <w:rsid w:val="00990580"/>
    <w:rsid w:val="00995211"/>
    <w:rsid w:val="009973D7"/>
    <w:rsid w:val="009A5651"/>
    <w:rsid w:val="009A6775"/>
    <w:rsid w:val="009B1CD5"/>
    <w:rsid w:val="009B2231"/>
    <w:rsid w:val="009B6C16"/>
    <w:rsid w:val="009B7B9B"/>
    <w:rsid w:val="009C5EC3"/>
    <w:rsid w:val="009C6B4D"/>
    <w:rsid w:val="009D128F"/>
    <w:rsid w:val="009D23A7"/>
    <w:rsid w:val="009D547D"/>
    <w:rsid w:val="009E1965"/>
    <w:rsid w:val="009E2DEC"/>
    <w:rsid w:val="009E5010"/>
    <w:rsid w:val="009E7648"/>
    <w:rsid w:val="009F34BB"/>
    <w:rsid w:val="00A0020B"/>
    <w:rsid w:val="00A0223E"/>
    <w:rsid w:val="00A02D70"/>
    <w:rsid w:val="00A036E1"/>
    <w:rsid w:val="00A17113"/>
    <w:rsid w:val="00A25107"/>
    <w:rsid w:val="00A27F1D"/>
    <w:rsid w:val="00A461A8"/>
    <w:rsid w:val="00A55B62"/>
    <w:rsid w:val="00A576E1"/>
    <w:rsid w:val="00A60058"/>
    <w:rsid w:val="00A60D5B"/>
    <w:rsid w:val="00A669DA"/>
    <w:rsid w:val="00A676E7"/>
    <w:rsid w:val="00A679A3"/>
    <w:rsid w:val="00A70430"/>
    <w:rsid w:val="00A70B68"/>
    <w:rsid w:val="00A75D11"/>
    <w:rsid w:val="00A76570"/>
    <w:rsid w:val="00A77BE0"/>
    <w:rsid w:val="00A77F62"/>
    <w:rsid w:val="00A86D46"/>
    <w:rsid w:val="00A9303F"/>
    <w:rsid w:val="00A935E3"/>
    <w:rsid w:val="00A94361"/>
    <w:rsid w:val="00A96BA4"/>
    <w:rsid w:val="00A97661"/>
    <w:rsid w:val="00AA1BEC"/>
    <w:rsid w:val="00AA318E"/>
    <w:rsid w:val="00AA31D3"/>
    <w:rsid w:val="00AA7D08"/>
    <w:rsid w:val="00AB0ADE"/>
    <w:rsid w:val="00AB5A7F"/>
    <w:rsid w:val="00AB7F6D"/>
    <w:rsid w:val="00AC1B8C"/>
    <w:rsid w:val="00AC45F7"/>
    <w:rsid w:val="00AC6313"/>
    <w:rsid w:val="00AD2114"/>
    <w:rsid w:val="00AD332E"/>
    <w:rsid w:val="00AD5D12"/>
    <w:rsid w:val="00AE03B1"/>
    <w:rsid w:val="00AE0EEF"/>
    <w:rsid w:val="00AE2E04"/>
    <w:rsid w:val="00AE6A92"/>
    <w:rsid w:val="00AF0A6F"/>
    <w:rsid w:val="00AF2656"/>
    <w:rsid w:val="00AF34ED"/>
    <w:rsid w:val="00AF3AAC"/>
    <w:rsid w:val="00AF3E53"/>
    <w:rsid w:val="00AF7A73"/>
    <w:rsid w:val="00B02ECC"/>
    <w:rsid w:val="00B043C2"/>
    <w:rsid w:val="00B05DA7"/>
    <w:rsid w:val="00B1153F"/>
    <w:rsid w:val="00B12D3F"/>
    <w:rsid w:val="00B1573E"/>
    <w:rsid w:val="00B169DF"/>
    <w:rsid w:val="00B24EAD"/>
    <w:rsid w:val="00B24FE1"/>
    <w:rsid w:val="00B25835"/>
    <w:rsid w:val="00B32F78"/>
    <w:rsid w:val="00B37D3E"/>
    <w:rsid w:val="00B41628"/>
    <w:rsid w:val="00B42803"/>
    <w:rsid w:val="00B4490C"/>
    <w:rsid w:val="00B47C03"/>
    <w:rsid w:val="00B633BB"/>
    <w:rsid w:val="00B67909"/>
    <w:rsid w:val="00B67E85"/>
    <w:rsid w:val="00B71285"/>
    <w:rsid w:val="00B72307"/>
    <w:rsid w:val="00B7465D"/>
    <w:rsid w:val="00B77C1B"/>
    <w:rsid w:val="00B865ED"/>
    <w:rsid w:val="00B867AA"/>
    <w:rsid w:val="00B9316B"/>
    <w:rsid w:val="00B952FE"/>
    <w:rsid w:val="00BA57CC"/>
    <w:rsid w:val="00BB1984"/>
    <w:rsid w:val="00BB4038"/>
    <w:rsid w:val="00BB4503"/>
    <w:rsid w:val="00BC0103"/>
    <w:rsid w:val="00BC1190"/>
    <w:rsid w:val="00BC4C0E"/>
    <w:rsid w:val="00BC6538"/>
    <w:rsid w:val="00BC6E1E"/>
    <w:rsid w:val="00BD016B"/>
    <w:rsid w:val="00BD7A9A"/>
    <w:rsid w:val="00BE16DB"/>
    <w:rsid w:val="00BE51F5"/>
    <w:rsid w:val="00BE7AB7"/>
    <w:rsid w:val="00C04523"/>
    <w:rsid w:val="00C05A16"/>
    <w:rsid w:val="00C0608F"/>
    <w:rsid w:val="00C0656E"/>
    <w:rsid w:val="00C06A48"/>
    <w:rsid w:val="00C14B74"/>
    <w:rsid w:val="00C16FDF"/>
    <w:rsid w:val="00C25C14"/>
    <w:rsid w:val="00C34FA9"/>
    <w:rsid w:val="00C35CA2"/>
    <w:rsid w:val="00C36BCB"/>
    <w:rsid w:val="00C36D8E"/>
    <w:rsid w:val="00C37C7C"/>
    <w:rsid w:val="00C43712"/>
    <w:rsid w:val="00C43739"/>
    <w:rsid w:val="00C4666F"/>
    <w:rsid w:val="00C51051"/>
    <w:rsid w:val="00C5215E"/>
    <w:rsid w:val="00C524D4"/>
    <w:rsid w:val="00C57D5A"/>
    <w:rsid w:val="00C604AC"/>
    <w:rsid w:val="00C60A2B"/>
    <w:rsid w:val="00C62846"/>
    <w:rsid w:val="00C62A30"/>
    <w:rsid w:val="00C73C34"/>
    <w:rsid w:val="00C800B6"/>
    <w:rsid w:val="00C801BE"/>
    <w:rsid w:val="00C82611"/>
    <w:rsid w:val="00C84AB7"/>
    <w:rsid w:val="00C85C2A"/>
    <w:rsid w:val="00CA1884"/>
    <w:rsid w:val="00CA5F0E"/>
    <w:rsid w:val="00CA6DD4"/>
    <w:rsid w:val="00CB17A7"/>
    <w:rsid w:val="00CB1A03"/>
    <w:rsid w:val="00CB2041"/>
    <w:rsid w:val="00CB3279"/>
    <w:rsid w:val="00CB6934"/>
    <w:rsid w:val="00CC2925"/>
    <w:rsid w:val="00CD0C80"/>
    <w:rsid w:val="00CD1F39"/>
    <w:rsid w:val="00CD3766"/>
    <w:rsid w:val="00CD570E"/>
    <w:rsid w:val="00CE2D56"/>
    <w:rsid w:val="00CE6488"/>
    <w:rsid w:val="00CE65FB"/>
    <w:rsid w:val="00CE7068"/>
    <w:rsid w:val="00CE7236"/>
    <w:rsid w:val="00CF1667"/>
    <w:rsid w:val="00CF1945"/>
    <w:rsid w:val="00CF2139"/>
    <w:rsid w:val="00CF372F"/>
    <w:rsid w:val="00CF7E53"/>
    <w:rsid w:val="00D0265F"/>
    <w:rsid w:val="00D03C60"/>
    <w:rsid w:val="00D06E2D"/>
    <w:rsid w:val="00D151F7"/>
    <w:rsid w:val="00D20351"/>
    <w:rsid w:val="00D23075"/>
    <w:rsid w:val="00D25731"/>
    <w:rsid w:val="00D467BF"/>
    <w:rsid w:val="00D478CC"/>
    <w:rsid w:val="00D47F38"/>
    <w:rsid w:val="00D51836"/>
    <w:rsid w:val="00D54402"/>
    <w:rsid w:val="00D658AE"/>
    <w:rsid w:val="00D66566"/>
    <w:rsid w:val="00D67427"/>
    <w:rsid w:val="00D803B8"/>
    <w:rsid w:val="00D82A17"/>
    <w:rsid w:val="00D864BD"/>
    <w:rsid w:val="00D875E3"/>
    <w:rsid w:val="00DA209E"/>
    <w:rsid w:val="00DB029F"/>
    <w:rsid w:val="00DB478E"/>
    <w:rsid w:val="00DB636F"/>
    <w:rsid w:val="00DB7661"/>
    <w:rsid w:val="00DB7BDB"/>
    <w:rsid w:val="00DC3259"/>
    <w:rsid w:val="00DC37C8"/>
    <w:rsid w:val="00DC7003"/>
    <w:rsid w:val="00DD533F"/>
    <w:rsid w:val="00DD6331"/>
    <w:rsid w:val="00DE2E6C"/>
    <w:rsid w:val="00DE3109"/>
    <w:rsid w:val="00DE5629"/>
    <w:rsid w:val="00DE5D9D"/>
    <w:rsid w:val="00DE5FF8"/>
    <w:rsid w:val="00DE6781"/>
    <w:rsid w:val="00DE729A"/>
    <w:rsid w:val="00DF3828"/>
    <w:rsid w:val="00DF42EA"/>
    <w:rsid w:val="00DF7CE5"/>
    <w:rsid w:val="00E02440"/>
    <w:rsid w:val="00E03E83"/>
    <w:rsid w:val="00E05F97"/>
    <w:rsid w:val="00E06D0C"/>
    <w:rsid w:val="00E071A3"/>
    <w:rsid w:val="00E074D3"/>
    <w:rsid w:val="00E077B7"/>
    <w:rsid w:val="00E0781B"/>
    <w:rsid w:val="00E11309"/>
    <w:rsid w:val="00E1317D"/>
    <w:rsid w:val="00E143CB"/>
    <w:rsid w:val="00E14D8F"/>
    <w:rsid w:val="00E14E0F"/>
    <w:rsid w:val="00E14F96"/>
    <w:rsid w:val="00E16CF0"/>
    <w:rsid w:val="00E240F0"/>
    <w:rsid w:val="00E26C4D"/>
    <w:rsid w:val="00E314A5"/>
    <w:rsid w:val="00E33AA2"/>
    <w:rsid w:val="00E34F60"/>
    <w:rsid w:val="00E433AA"/>
    <w:rsid w:val="00E44CCA"/>
    <w:rsid w:val="00E46171"/>
    <w:rsid w:val="00E51AA9"/>
    <w:rsid w:val="00E538D5"/>
    <w:rsid w:val="00E55745"/>
    <w:rsid w:val="00E57409"/>
    <w:rsid w:val="00E61EDA"/>
    <w:rsid w:val="00E64C26"/>
    <w:rsid w:val="00E674B4"/>
    <w:rsid w:val="00E72689"/>
    <w:rsid w:val="00E74001"/>
    <w:rsid w:val="00E7469C"/>
    <w:rsid w:val="00E773C5"/>
    <w:rsid w:val="00E80D48"/>
    <w:rsid w:val="00E857E6"/>
    <w:rsid w:val="00E8693B"/>
    <w:rsid w:val="00E87A32"/>
    <w:rsid w:val="00E906CD"/>
    <w:rsid w:val="00E906ED"/>
    <w:rsid w:val="00E924B5"/>
    <w:rsid w:val="00E92516"/>
    <w:rsid w:val="00EA2D3F"/>
    <w:rsid w:val="00EA3B24"/>
    <w:rsid w:val="00EA47D6"/>
    <w:rsid w:val="00EA4A02"/>
    <w:rsid w:val="00EB3044"/>
    <w:rsid w:val="00EB44FD"/>
    <w:rsid w:val="00EB5F97"/>
    <w:rsid w:val="00EC62D0"/>
    <w:rsid w:val="00ED04C1"/>
    <w:rsid w:val="00ED2448"/>
    <w:rsid w:val="00ED25BD"/>
    <w:rsid w:val="00ED621B"/>
    <w:rsid w:val="00EE0535"/>
    <w:rsid w:val="00EE199A"/>
    <w:rsid w:val="00EE2E4A"/>
    <w:rsid w:val="00EE7325"/>
    <w:rsid w:val="00EF0A7E"/>
    <w:rsid w:val="00EF17D8"/>
    <w:rsid w:val="00EF1B40"/>
    <w:rsid w:val="00EF2264"/>
    <w:rsid w:val="00EF4941"/>
    <w:rsid w:val="00EF52B9"/>
    <w:rsid w:val="00EF6517"/>
    <w:rsid w:val="00EF6D83"/>
    <w:rsid w:val="00EF6F8A"/>
    <w:rsid w:val="00F01D5D"/>
    <w:rsid w:val="00F031BD"/>
    <w:rsid w:val="00F04C06"/>
    <w:rsid w:val="00F05075"/>
    <w:rsid w:val="00F14717"/>
    <w:rsid w:val="00F17829"/>
    <w:rsid w:val="00F20BFB"/>
    <w:rsid w:val="00F237D2"/>
    <w:rsid w:val="00F2468A"/>
    <w:rsid w:val="00F2553F"/>
    <w:rsid w:val="00F2706D"/>
    <w:rsid w:val="00F27848"/>
    <w:rsid w:val="00F30D56"/>
    <w:rsid w:val="00F338BA"/>
    <w:rsid w:val="00F34A22"/>
    <w:rsid w:val="00F35997"/>
    <w:rsid w:val="00F3603E"/>
    <w:rsid w:val="00F36FB7"/>
    <w:rsid w:val="00F41F44"/>
    <w:rsid w:val="00F429CE"/>
    <w:rsid w:val="00F550DE"/>
    <w:rsid w:val="00F63C69"/>
    <w:rsid w:val="00F65A6A"/>
    <w:rsid w:val="00F66D9A"/>
    <w:rsid w:val="00F73828"/>
    <w:rsid w:val="00F75DED"/>
    <w:rsid w:val="00F80261"/>
    <w:rsid w:val="00F8476F"/>
    <w:rsid w:val="00F8636A"/>
    <w:rsid w:val="00F86D6B"/>
    <w:rsid w:val="00FB1464"/>
    <w:rsid w:val="00FB4927"/>
    <w:rsid w:val="00FB6736"/>
    <w:rsid w:val="00FC45F8"/>
    <w:rsid w:val="00FC50B2"/>
    <w:rsid w:val="00FD106F"/>
    <w:rsid w:val="00FD724F"/>
    <w:rsid w:val="00FE196A"/>
    <w:rsid w:val="00FE2220"/>
    <w:rsid w:val="00FE3F1B"/>
    <w:rsid w:val="00FE53BC"/>
    <w:rsid w:val="00FE7EA0"/>
    <w:rsid w:val="00FF77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7ad3c1"/>
    </o:shapedefaults>
    <o:shapelayout v:ext="edit">
      <o:idmap v:ext="edit" data="2"/>
    </o:shapelayout>
  </w:shapeDefaults>
  <w:decimalSymbol w:val="."/>
  <w:listSeparator w:val=","/>
  <w14:docId w14:val="0BB0E917"/>
  <w15:chartTrackingRefBased/>
  <w15:docId w15:val="{78919D32-2901-44E8-9469-EAB93EA0E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529"/>
    <w:rPr>
      <w:sz w:val="24"/>
      <w:szCs w:val="24"/>
    </w:rPr>
  </w:style>
  <w:style w:type="paragraph" w:styleId="Heading1">
    <w:name w:val="heading 1"/>
    <w:basedOn w:val="Normal"/>
    <w:next w:val="Normal"/>
    <w:link w:val="Heading1Char"/>
    <w:uiPriority w:val="9"/>
    <w:qFormat/>
    <w:rsid w:val="008E7373"/>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2">
    <w:name w:val="Para_2"/>
    <w:basedOn w:val="Normal"/>
    <w:rsid w:val="007A23F3"/>
    <w:pPr>
      <w:spacing w:after="120"/>
      <w:ind w:left="1134"/>
      <w:jc w:val="both"/>
    </w:pPr>
    <w:rPr>
      <w:color w:val="000000"/>
      <w:sz w:val="22"/>
      <w:lang w:val="en-GB"/>
    </w:rPr>
  </w:style>
  <w:style w:type="paragraph" w:styleId="NormalWeb">
    <w:name w:val="Normal (Web)"/>
    <w:basedOn w:val="Normal"/>
    <w:uiPriority w:val="99"/>
    <w:unhideWhenUsed/>
    <w:rsid w:val="00107529"/>
    <w:pPr>
      <w:spacing w:before="100" w:beforeAutospacing="1" w:after="100" w:afterAutospacing="1"/>
    </w:pPr>
    <w:rPr>
      <w:rFonts w:eastAsia="Calibri"/>
    </w:rPr>
  </w:style>
  <w:style w:type="character" w:customStyle="1" w:styleId="Heading1Char">
    <w:name w:val="Heading 1 Char"/>
    <w:link w:val="Heading1"/>
    <w:uiPriority w:val="9"/>
    <w:rsid w:val="008E7373"/>
    <w:rPr>
      <w:rFonts w:ascii="Cambria" w:eastAsia="Times New Roman" w:hAnsi="Cambria" w:cs="Times New Roman"/>
      <w:b/>
      <w:bCs/>
      <w:color w:val="365F91"/>
      <w:sz w:val="28"/>
      <w:szCs w:val="28"/>
    </w:rPr>
  </w:style>
  <w:style w:type="paragraph" w:customStyle="1" w:styleId="H1">
    <w:name w:val="H1"/>
    <w:basedOn w:val="Normal"/>
    <w:next w:val="Normal"/>
    <w:uiPriority w:val="99"/>
    <w:rsid w:val="008E7373"/>
    <w:pPr>
      <w:keepNext/>
      <w:autoSpaceDE w:val="0"/>
      <w:autoSpaceDN w:val="0"/>
      <w:adjustRightInd w:val="0"/>
      <w:spacing w:before="100" w:after="100"/>
      <w:outlineLvl w:val="1"/>
    </w:pPr>
    <w:rPr>
      <w:b/>
      <w:bCs/>
      <w:kern w:val="36"/>
      <w:sz w:val="48"/>
      <w:szCs w:val="48"/>
    </w:rPr>
  </w:style>
  <w:style w:type="paragraph" w:styleId="BalloonText">
    <w:name w:val="Balloon Text"/>
    <w:basedOn w:val="Normal"/>
    <w:link w:val="BalloonTextChar"/>
    <w:uiPriority w:val="99"/>
    <w:semiHidden/>
    <w:unhideWhenUsed/>
    <w:rsid w:val="00152B42"/>
    <w:rPr>
      <w:rFonts w:ascii="Tahoma" w:hAnsi="Tahoma" w:cs="Tahoma"/>
      <w:sz w:val="16"/>
      <w:szCs w:val="16"/>
    </w:rPr>
  </w:style>
  <w:style w:type="character" w:customStyle="1" w:styleId="BalloonTextChar">
    <w:name w:val="Balloon Text Char"/>
    <w:link w:val="BalloonText"/>
    <w:uiPriority w:val="99"/>
    <w:semiHidden/>
    <w:rsid w:val="00152B42"/>
    <w:rPr>
      <w:rFonts w:ascii="Tahoma" w:hAnsi="Tahoma" w:cs="Tahoma"/>
      <w:sz w:val="16"/>
      <w:szCs w:val="16"/>
    </w:rPr>
  </w:style>
  <w:style w:type="character" w:styleId="Strong">
    <w:name w:val="Strong"/>
    <w:uiPriority w:val="22"/>
    <w:qFormat/>
    <w:rsid w:val="004D46E4"/>
    <w:rPr>
      <w:b/>
      <w:bCs/>
    </w:rPr>
  </w:style>
  <w:style w:type="table" w:styleId="TableGrid">
    <w:name w:val="Table Grid"/>
    <w:basedOn w:val="TableNormal"/>
    <w:uiPriority w:val="59"/>
    <w:rsid w:val="00190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0430"/>
    <w:pPr>
      <w:tabs>
        <w:tab w:val="center" w:pos="4320"/>
        <w:tab w:val="right" w:pos="8640"/>
      </w:tabs>
    </w:pPr>
    <w:rPr>
      <w:rFonts w:ascii="Cambria" w:eastAsia="MS Mincho" w:hAnsi="Cambria"/>
      <w:lang w:val="en-US" w:eastAsia="en-US"/>
    </w:rPr>
  </w:style>
  <w:style w:type="character" w:customStyle="1" w:styleId="HeaderChar">
    <w:name w:val="Header Char"/>
    <w:link w:val="Header"/>
    <w:uiPriority w:val="99"/>
    <w:rsid w:val="00A70430"/>
    <w:rPr>
      <w:rFonts w:ascii="Cambria" w:eastAsia="MS Mincho" w:hAnsi="Cambria"/>
      <w:sz w:val="24"/>
      <w:szCs w:val="24"/>
      <w:lang w:val="en-US" w:eastAsia="en-US"/>
    </w:rPr>
  </w:style>
  <w:style w:type="paragraph" w:styleId="Footer">
    <w:name w:val="footer"/>
    <w:basedOn w:val="Normal"/>
    <w:link w:val="FooterChar"/>
    <w:uiPriority w:val="99"/>
    <w:unhideWhenUsed/>
    <w:rsid w:val="00116707"/>
    <w:pPr>
      <w:tabs>
        <w:tab w:val="center" w:pos="4513"/>
        <w:tab w:val="right" w:pos="9026"/>
      </w:tabs>
    </w:pPr>
  </w:style>
  <w:style w:type="character" w:customStyle="1" w:styleId="FooterChar">
    <w:name w:val="Footer Char"/>
    <w:link w:val="Footer"/>
    <w:uiPriority w:val="99"/>
    <w:rsid w:val="00116707"/>
    <w:rPr>
      <w:sz w:val="24"/>
      <w:szCs w:val="24"/>
    </w:rPr>
  </w:style>
  <w:style w:type="paragraph" w:customStyle="1" w:styleId="indent">
    <w:name w:val="indent"/>
    <w:basedOn w:val="Normal"/>
    <w:rsid w:val="009E7648"/>
    <w:pPr>
      <w:spacing w:before="100" w:beforeAutospacing="1" w:after="100" w:afterAutospacing="1"/>
    </w:pPr>
  </w:style>
  <w:style w:type="paragraph" w:styleId="ListParagraph">
    <w:name w:val="List Paragraph"/>
    <w:basedOn w:val="Normal"/>
    <w:uiPriority w:val="34"/>
    <w:qFormat/>
    <w:rsid w:val="00BE7AB7"/>
    <w:pPr>
      <w:ind w:left="720"/>
      <w:contextualSpacing/>
    </w:pPr>
  </w:style>
  <w:style w:type="character" w:styleId="Hyperlink">
    <w:name w:val="Hyperlink"/>
    <w:uiPriority w:val="99"/>
    <w:unhideWhenUsed/>
    <w:rsid w:val="00EF6F8A"/>
    <w:rPr>
      <w:strike w:val="0"/>
      <w:dstrike w:val="0"/>
      <w:color w:val="14A2D8"/>
      <w:u w:val="none"/>
      <w:effect w:val="none"/>
    </w:rPr>
  </w:style>
  <w:style w:type="character" w:styleId="CommentReference">
    <w:name w:val="annotation reference"/>
    <w:uiPriority w:val="99"/>
    <w:semiHidden/>
    <w:unhideWhenUsed/>
    <w:rsid w:val="000B5CB5"/>
    <w:rPr>
      <w:sz w:val="16"/>
      <w:szCs w:val="16"/>
    </w:rPr>
  </w:style>
  <w:style w:type="paragraph" w:styleId="CommentText">
    <w:name w:val="annotation text"/>
    <w:basedOn w:val="Normal"/>
    <w:link w:val="CommentTextChar"/>
    <w:uiPriority w:val="99"/>
    <w:semiHidden/>
    <w:unhideWhenUsed/>
    <w:rsid w:val="000B5CB5"/>
    <w:rPr>
      <w:sz w:val="20"/>
      <w:szCs w:val="20"/>
    </w:rPr>
  </w:style>
  <w:style w:type="character" w:customStyle="1" w:styleId="CommentTextChar">
    <w:name w:val="Comment Text Char"/>
    <w:basedOn w:val="DefaultParagraphFont"/>
    <w:link w:val="CommentText"/>
    <w:uiPriority w:val="99"/>
    <w:semiHidden/>
    <w:rsid w:val="000B5C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315279">
      <w:bodyDiv w:val="1"/>
      <w:marLeft w:val="0"/>
      <w:marRight w:val="0"/>
      <w:marTop w:val="0"/>
      <w:marBottom w:val="0"/>
      <w:divBdr>
        <w:top w:val="none" w:sz="0" w:space="0" w:color="auto"/>
        <w:left w:val="none" w:sz="0" w:space="0" w:color="auto"/>
        <w:bottom w:val="none" w:sz="0" w:space="0" w:color="auto"/>
        <w:right w:val="none" w:sz="0" w:space="0" w:color="auto"/>
      </w:divBdr>
    </w:div>
    <w:div w:id="363285881">
      <w:bodyDiv w:val="1"/>
      <w:marLeft w:val="0"/>
      <w:marRight w:val="0"/>
      <w:marTop w:val="0"/>
      <w:marBottom w:val="0"/>
      <w:divBdr>
        <w:top w:val="none" w:sz="0" w:space="0" w:color="auto"/>
        <w:left w:val="none" w:sz="0" w:space="0" w:color="auto"/>
        <w:bottom w:val="none" w:sz="0" w:space="0" w:color="auto"/>
        <w:right w:val="none" w:sz="0" w:space="0" w:color="auto"/>
      </w:divBdr>
    </w:div>
    <w:div w:id="1228689230">
      <w:bodyDiv w:val="1"/>
      <w:marLeft w:val="0"/>
      <w:marRight w:val="0"/>
      <w:marTop w:val="0"/>
      <w:marBottom w:val="0"/>
      <w:divBdr>
        <w:top w:val="none" w:sz="0" w:space="0" w:color="auto"/>
        <w:left w:val="none" w:sz="0" w:space="0" w:color="auto"/>
        <w:bottom w:val="none" w:sz="0" w:space="0" w:color="auto"/>
        <w:right w:val="none" w:sz="0" w:space="0" w:color="auto"/>
      </w:divBdr>
    </w:div>
    <w:div w:id="1461191621">
      <w:bodyDiv w:val="1"/>
      <w:marLeft w:val="0"/>
      <w:marRight w:val="0"/>
      <w:marTop w:val="0"/>
      <w:marBottom w:val="0"/>
      <w:divBdr>
        <w:top w:val="none" w:sz="0" w:space="0" w:color="auto"/>
        <w:left w:val="none" w:sz="0" w:space="0" w:color="auto"/>
        <w:bottom w:val="none" w:sz="0" w:space="0" w:color="auto"/>
        <w:right w:val="none" w:sz="0" w:space="0" w:color="auto"/>
      </w:divBdr>
    </w:div>
    <w:div w:id="155250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5325106-1257-46F2-B655-E2E0D295DBFC}">
  <ds:schemaRefs>
    <ds:schemaRef ds:uri="http://schemas.openxmlformats.org/officeDocument/2006/bibliography"/>
  </ds:schemaRefs>
</ds:datastoreItem>
</file>

<file path=customXml/itemProps2.xml><?xml version="1.0" encoding="utf-8"?>
<ds:datastoreItem xmlns:ds="http://schemas.openxmlformats.org/officeDocument/2006/customXml" ds:itemID="{DD20AE1D-03EB-4B86-8433-FCC9251341DA}">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321</Words>
  <Characters>1832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The City of Greater Geelong</Company>
  <LinksUpToDate>false</LinksUpToDate>
  <CharactersWithSpaces>2149</CharactersWithSpaces>
  <SharedDoc>false</SharedDoc>
  <HLinks>
    <vt:vector size="6" baseType="variant">
      <vt:variant>
        <vt:i4>1441792</vt:i4>
      </vt:variant>
      <vt:variant>
        <vt:i4>0</vt:i4>
      </vt:variant>
      <vt:variant>
        <vt:i4>0</vt:i4>
      </vt:variant>
      <vt:variant>
        <vt:i4>5</vt:i4>
      </vt:variant>
      <vt:variant>
        <vt:lpwstr>https://www.geelongdataexchange.com.au/pages/projectsv2/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t-michou</dc:creator>
  <cp:keywords/>
  <cp:lastModifiedBy>Alison Steele</cp:lastModifiedBy>
  <cp:revision>4</cp:revision>
  <cp:lastPrinted>2017-03-15T00:12:00Z</cp:lastPrinted>
  <dcterms:created xsi:type="dcterms:W3CDTF">2024-06-19T02:04:00Z</dcterms:created>
  <dcterms:modified xsi:type="dcterms:W3CDTF">2024-06-19T02:06:00Z</dcterms:modified>
</cp:coreProperties>
</file>