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96" w:type="dxa"/>
        <w:tblInd w:w="3799" w:type="dxa"/>
        <w:tblLook w:val="04A0" w:firstRow="1" w:lastRow="0" w:firstColumn="1" w:lastColumn="0" w:noHBand="0" w:noVBand="1"/>
      </w:tblPr>
      <w:tblGrid>
        <w:gridCol w:w="2948"/>
        <w:gridCol w:w="2948"/>
      </w:tblGrid>
      <w:tr w:rsidR="002A7D53" w14:paraId="2FE6A89E" w14:textId="77777777" w:rsidTr="00EC245E">
        <w:tc>
          <w:tcPr>
            <w:tcW w:w="5896" w:type="dxa"/>
            <w:gridSpan w:val="2"/>
          </w:tcPr>
          <w:p w14:paraId="0526DE9C" w14:textId="77777777" w:rsidR="002A7D53" w:rsidRDefault="002A7D53" w:rsidP="002A7D53">
            <w:pPr>
              <w:pStyle w:val="TitleLeadin"/>
            </w:pPr>
            <w:r>
              <w:t>The City Of</w:t>
            </w:r>
          </w:p>
          <w:p w14:paraId="3F36AF0F" w14:textId="77777777" w:rsidR="002A7D53" w:rsidRDefault="002A7D53" w:rsidP="002A7D53">
            <w:pPr>
              <w:pStyle w:val="TitleLeadin"/>
            </w:pPr>
            <w:r>
              <w:t>Greater Geelong</w:t>
            </w:r>
          </w:p>
        </w:tc>
      </w:tr>
      <w:tr w:rsidR="002A7D53" w14:paraId="2528FF19" w14:textId="77777777" w:rsidTr="00EC245E">
        <w:tc>
          <w:tcPr>
            <w:tcW w:w="5896" w:type="dxa"/>
            <w:gridSpan w:val="2"/>
          </w:tcPr>
          <w:p w14:paraId="3EDF8AE4" w14:textId="16116F01" w:rsidR="00AF0C8C" w:rsidRDefault="00924205" w:rsidP="00236CCB">
            <w:pPr>
              <w:pStyle w:val="Title"/>
            </w:pPr>
            <w:r>
              <w:t>Borrowing</w:t>
            </w:r>
          </w:p>
          <w:p w14:paraId="20E03056" w14:textId="43DA0185" w:rsidR="002A7D53" w:rsidRPr="00236CCB" w:rsidRDefault="00234062" w:rsidP="00236CCB">
            <w:pPr>
              <w:pStyle w:val="Title"/>
            </w:pPr>
            <w:r>
              <w:t>POLICY</w:t>
            </w:r>
          </w:p>
          <w:p w14:paraId="53AB0F1C" w14:textId="7F31B703" w:rsidR="0032135D" w:rsidRDefault="0005500E" w:rsidP="0032135D">
            <w:pPr>
              <w:spacing w:before="120" w:after="200"/>
            </w:pPr>
            <w:r>
              <w:rPr>
                <w:noProof/>
              </w:rPr>
              <mc:AlternateContent>
                <mc:Choice Requires="wps">
                  <w:drawing>
                    <wp:inline distT="0" distB="0" distL="0" distR="0" wp14:anchorId="2D65EE02" wp14:editId="240C1942">
                      <wp:extent cx="360045" cy="635"/>
                      <wp:effectExtent l="27305" t="20955" r="22225" b="26670"/>
                      <wp:docPr id="2"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381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CA1C0D9"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" strokecolor="#003263 [3215]" strokeweight="3pt">
                      <w10:anchorlock/>
                    </v:line>
                  </w:pict>
                </mc:Fallback>
              </mc:AlternateContent>
            </w:r>
          </w:p>
          <w:p w14:paraId="646F8407" w14:textId="77777777" w:rsidR="002A7D53" w:rsidRDefault="002A7D53" w:rsidP="0032135D"/>
        </w:tc>
      </w:tr>
      <w:tr w:rsidR="00DD4F5F" w14:paraId="43A84183" w14:textId="77777777">
        <w:trPr>
          <w:trHeight w:val="964"/>
        </w:trPr>
        <w:tc>
          <w:tcPr>
            <w:tcW w:w="2948" w:type="dxa"/>
          </w:tcPr>
          <w:p w14:paraId="51BCE256" w14:textId="68599B90" w:rsidR="00DD4F5F" w:rsidRPr="00FB3233" w:rsidRDefault="00FF1DB0" w:rsidP="00E209E0">
            <w:pPr>
              <w:pStyle w:val="Subtitle"/>
              <w:spacing w:line="240" w:lineRule="auto"/>
              <w:rPr>
                <w:sz w:val="24"/>
                <w:szCs w:val="24"/>
              </w:rPr>
            </w:pPr>
            <w:r w:rsidRPr="00FB3233">
              <w:rPr>
                <w:caps w:val="0"/>
                <w:sz w:val="24"/>
                <w:szCs w:val="24"/>
              </w:rPr>
              <w:t>VERSION:</w:t>
            </w:r>
          </w:p>
        </w:tc>
        <w:tc>
          <w:tcPr>
            <w:tcW w:w="2948" w:type="dxa"/>
          </w:tcPr>
          <w:p w14:paraId="616D92DE" w14:textId="5D3D886B" w:rsidR="00292D82" w:rsidRPr="00292D82" w:rsidRDefault="00924205" w:rsidP="00E209E0">
            <w:pPr>
              <w:spacing w:line="240" w:lineRule="auto"/>
              <w:rPr>
                <w:b/>
                <w:bCs/>
                <w:i/>
                <w:iCs/>
              </w:rPr>
            </w:pPr>
            <w:r>
              <w:rPr>
                <w:b/>
                <w:bCs/>
                <w:i/>
                <w:iCs/>
              </w:rPr>
              <w:t>4</w:t>
            </w:r>
            <w:r w:rsidR="00292D82" w:rsidRPr="00292D82">
              <w:rPr>
                <w:b/>
                <w:bCs/>
                <w:i/>
                <w:iCs/>
              </w:rPr>
              <w:t xml:space="preserve"> </w:t>
            </w:r>
          </w:p>
        </w:tc>
      </w:tr>
      <w:tr w:rsidR="00DD4F5F" w14:paraId="62AD0335" w14:textId="77777777">
        <w:trPr>
          <w:trHeight w:val="964"/>
        </w:trPr>
        <w:tc>
          <w:tcPr>
            <w:tcW w:w="2948" w:type="dxa"/>
          </w:tcPr>
          <w:p w14:paraId="14B21E6C" w14:textId="4F37CCBA" w:rsidR="00DD4F5F" w:rsidRPr="00FB3233" w:rsidRDefault="00FF1DB0" w:rsidP="00E209E0">
            <w:pPr>
              <w:pStyle w:val="Subtitle"/>
              <w:spacing w:line="240" w:lineRule="auto"/>
              <w:rPr>
                <w:sz w:val="24"/>
                <w:szCs w:val="24"/>
              </w:rPr>
            </w:pPr>
            <w:r w:rsidRPr="00FB3233">
              <w:rPr>
                <w:caps w:val="0"/>
                <w:sz w:val="24"/>
                <w:szCs w:val="24"/>
              </w:rPr>
              <w:t xml:space="preserve">TYPE </w:t>
            </w:r>
            <w:r>
              <w:rPr>
                <w:caps w:val="0"/>
                <w:sz w:val="24"/>
                <w:szCs w:val="24"/>
              </w:rPr>
              <w:t>O</w:t>
            </w:r>
            <w:r w:rsidRPr="00FB3233">
              <w:rPr>
                <w:caps w:val="0"/>
                <w:sz w:val="24"/>
                <w:szCs w:val="24"/>
              </w:rPr>
              <w:t>F POLICY</w:t>
            </w:r>
            <w:r w:rsidR="00440A74">
              <w:rPr>
                <w:caps w:val="0"/>
                <w:sz w:val="24"/>
                <w:szCs w:val="24"/>
              </w:rPr>
              <w:t>:</w:t>
            </w:r>
          </w:p>
        </w:tc>
        <w:tc>
          <w:tcPr>
            <w:tcW w:w="2948" w:type="dxa"/>
          </w:tcPr>
          <w:p w14:paraId="1045D946" w14:textId="1CA761DE" w:rsidR="00D44FD6" w:rsidRPr="00FF1DB0" w:rsidRDefault="00292D82" w:rsidP="00924205">
            <w:pPr>
              <w:pStyle w:val="Subtitle"/>
              <w:spacing w:line="240" w:lineRule="auto"/>
            </w:pPr>
            <w:r w:rsidRPr="00924205">
              <w:rPr>
                <w:rFonts w:asciiTheme="minorHAnsi" w:eastAsia="Times New Roman" w:hAnsiTheme="minorHAnsi" w:cs="Times New Roman"/>
                <w:bCs/>
                <w:i/>
                <w:iCs/>
                <w:caps w:val="0"/>
                <w:color w:val="auto"/>
                <w:spacing w:val="2"/>
                <w:sz w:val="19"/>
                <w:szCs w:val="19"/>
              </w:rPr>
              <w:t>Council</w:t>
            </w:r>
          </w:p>
        </w:tc>
      </w:tr>
      <w:tr w:rsidR="00DD4F5F" w14:paraId="415280DB" w14:textId="77777777">
        <w:trPr>
          <w:trHeight w:val="964"/>
        </w:trPr>
        <w:tc>
          <w:tcPr>
            <w:tcW w:w="2948" w:type="dxa"/>
          </w:tcPr>
          <w:p w14:paraId="19F16385" w14:textId="02753C33" w:rsidR="00DD4F5F" w:rsidRPr="00FB3233" w:rsidRDefault="00FF1DB0" w:rsidP="00E209E0">
            <w:pPr>
              <w:pStyle w:val="Subtitle"/>
              <w:spacing w:line="240" w:lineRule="auto"/>
              <w:rPr>
                <w:sz w:val="24"/>
                <w:szCs w:val="24"/>
              </w:rPr>
            </w:pPr>
            <w:r w:rsidRPr="00FB3233">
              <w:rPr>
                <w:caps w:val="0"/>
                <w:sz w:val="24"/>
                <w:szCs w:val="24"/>
              </w:rPr>
              <w:t>APPROVAL DATE</w:t>
            </w:r>
            <w:r w:rsidR="00440A74">
              <w:rPr>
                <w:caps w:val="0"/>
                <w:sz w:val="24"/>
                <w:szCs w:val="24"/>
              </w:rPr>
              <w:t>:</w:t>
            </w:r>
          </w:p>
        </w:tc>
        <w:tc>
          <w:tcPr>
            <w:tcW w:w="2948" w:type="dxa"/>
          </w:tcPr>
          <w:p w14:paraId="5C83A4B4" w14:textId="0ABF2A93" w:rsidR="00DD4F5F" w:rsidRPr="00FB3233" w:rsidRDefault="00003A5D" w:rsidP="00E209E0">
            <w:pPr>
              <w:pStyle w:val="Subtitle"/>
              <w:spacing w:line="240" w:lineRule="auto"/>
              <w:rPr>
                <w:sz w:val="24"/>
                <w:szCs w:val="24"/>
              </w:rPr>
            </w:pPr>
            <w:r>
              <w:rPr>
                <w:sz w:val="24"/>
                <w:szCs w:val="24"/>
              </w:rPr>
              <w:t>26 october 2023</w:t>
            </w:r>
            <w:r w:rsidR="00924205">
              <w:rPr>
                <w:sz w:val="24"/>
                <w:szCs w:val="24"/>
              </w:rPr>
              <w:t xml:space="preserve"> </w:t>
            </w:r>
          </w:p>
        </w:tc>
      </w:tr>
      <w:tr w:rsidR="00DD4F5F" w14:paraId="5ED3B142" w14:textId="77777777">
        <w:trPr>
          <w:trHeight w:val="964"/>
        </w:trPr>
        <w:tc>
          <w:tcPr>
            <w:tcW w:w="2948" w:type="dxa"/>
          </w:tcPr>
          <w:p w14:paraId="5A3FA5CC" w14:textId="66931DC8" w:rsidR="00DD4F5F" w:rsidRPr="00FB3233" w:rsidRDefault="00FF1DB0" w:rsidP="00E209E0">
            <w:pPr>
              <w:pStyle w:val="Subtitle"/>
              <w:spacing w:line="240" w:lineRule="auto"/>
              <w:rPr>
                <w:sz w:val="24"/>
                <w:szCs w:val="24"/>
              </w:rPr>
            </w:pPr>
            <w:r w:rsidRPr="00FB3233">
              <w:rPr>
                <w:caps w:val="0"/>
                <w:sz w:val="24"/>
                <w:szCs w:val="24"/>
              </w:rPr>
              <w:t>REVIEW DATE</w:t>
            </w:r>
            <w:r w:rsidR="00440A74">
              <w:rPr>
                <w:caps w:val="0"/>
                <w:sz w:val="24"/>
                <w:szCs w:val="24"/>
              </w:rPr>
              <w:t>:</w:t>
            </w:r>
          </w:p>
        </w:tc>
        <w:tc>
          <w:tcPr>
            <w:tcW w:w="2948" w:type="dxa"/>
          </w:tcPr>
          <w:p w14:paraId="56C8578D" w14:textId="780C8481" w:rsidR="00DD4F5F" w:rsidRPr="00FB3233" w:rsidRDefault="00003A5D" w:rsidP="00E209E0">
            <w:pPr>
              <w:pStyle w:val="Subtitle"/>
              <w:spacing w:line="240" w:lineRule="auto"/>
              <w:rPr>
                <w:sz w:val="24"/>
                <w:szCs w:val="24"/>
              </w:rPr>
            </w:pPr>
            <w:r>
              <w:rPr>
                <w:sz w:val="24"/>
                <w:szCs w:val="24"/>
              </w:rPr>
              <w:t>26 october 2027</w:t>
            </w:r>
            <w:r w:rsidR="00924205">
              <w:rPr>
                <w:sz w:val="24"/>
                <w:szCs w:val="24"/>
              </w:rPr>
              <w:t xml:space="preserve"> </w:t>
            </w:r>
          </w:p>
        </w:tc>
      </w:tr>
      <w:tr w:rsidR="00DD4F5F" w14:paraId="5CB817BD" w14:textId="77777777">
        <w:trPr>
          <w:trHeight w:val="964"/>
        </w:trPr>
        <w:tc>
          <w:tcPr>
            <w:tcW w:w="2948" w:type="dxa"/>
          </w:tcPr>
          <w:p w14:paraId="2C8EDE56" w14:textId="75B52F16" w:rsidR="00DD4F5F" w:rsidRPr="00FB3233" w:rsidRDefault="00FF1DB0" w:rsidP="00E209E0">
            <w:pPr>
              <w:pStyle w:val="Subtitle"/>
              <w:spacing w:line="240" w:lineRule="auto"/>
              <w:rPr>
                <w:sz w:val="24"/>
                <w:szCs w:val="24"/>
              </w:rPr>
            </w:pPr>
            <w:r w:rsidRPr="00FB3233">
              <w:rPr>
                <w:caps w:val="0"/>
                <w:sz w:val="24"/>
                <w:szCs w:val="24"/>
              </w:rPr>
              <w:t>RESPONSIBLE OFFICER</w:t>
            </w:r>
            <w:r w:rsidR="00440A74">
              <w:rPr>
                <w:caps w:val="0"/>
                <w:sz w:val="24"/>
                <w:szCs w:val="24"/>
              </w:rPr>
              <w:t>:</w:t>
            </w:r>
          </w:p>
        </w:tc>
        <w:tc>
          <w:tcPr>
            <w:tcW w:w="2948" w:type="dxa"/>
          </w:tcPr>
          <w:p w14:paraId="7FF45D9C" w14:textId="50D6DF21" w:rsidR="00D44FD6" w:rsidRPr="00390E88" w:rsidRDefault="00924205" w:rsidP="00E209E0">
            <w:pPr>
              <w:spacing w:line="240" w:lineRule="auto"/>
              <w:rPr>
                <w:b/>
                <w:bCs/>
                <w:i/>
                <w:iCs/>
              </w:rPr>
            </w:pPr>
            <w:r>
              <w:rPr>
                <w:b/>
                <w:bCs/>
                <w:i/>
                <w:iCs/>
              </w:rPr>
              <w:t xml:space="preserve">Chief Financial Officer </w:t>
            </w:r>
          </w:p>
        </w:tc>
      </w:tr>
      <w:tr w:rsidR="00FB3233" w14:paraId="67D4054C" w14:textId="77777777">
        <w:trPr>
          <w:trHeight w:val="964"/>
        </w:trPr>
        <w:tc>
          <w:tcPr>
            <w:tcW w:w="2948" w:type="dxa"/>
          </w:tcPr>
          <w:p w14:paraId="4EC8B3B1" w14:textId="42DC4352" w:rsidR="00FB3233" w:rsidRPr="00FB3233" w:rsidRDefault="00FF1DB0" w:rsidP="00E209E0">
            <w:pPr>
              <w:pStyle w:val="Subtitle"/>
              <w:spacing w:line="240" w:lineRule="auto"/>
              <w:rPr>
                <w:sz w:val="24"/>
                <w:szCs w:val="24"/>
              </w:rPr>
            </w:pPr>
            <w:r w:rsidRPr="00FB3233">
              <w:rPr>
                <w:caps w:val="0"/>
                <w:sz w:val="24"/>
                <w:szCs w:val="24"/>
              </w:rPr>
              <w:t>AUTHORISING OFFICER</w:t>
            </w:r>
            <w:r w:rsidR="00440A74">
              <w:rPr>
                <w:caps w:val="0"/>
                <w:sz w:val="24"/>
                <w:szCs w:val="24"/>
              </w:rPr>
              <w:t>:</w:t>
            </w:r>
          </w:p>
        </w:tc>
        <w:tc>
          <w:tcPr>
            <w:tcW w:w="2948" w:type="dxa"/>
          </w:tcPr>
          <w:p w14:paraId="04A277A1" w14:textId="13D798CC" w:rsidR="00390E88" w:rsidRPr="00440A74" w:rsidRDefault="00924205" w:rsidP="00E209E0">
            <w:pPr>
              <w:spacing w:line="240" w:lineRule="auto"/>
              <w:rPr>
                <w:b/>
                <w:bCs/>
                <w:i/>
                <w:iCs/>
              </w:rPr>
            </w:pPr>
            <w:r>
              <w:rPr>
                <w:b/>
                <w:bCs/>
                <w:i/>
                <w:iCs/>
              </w:rPr>
              <w:t xml:space="preserve">Chief Executive Officer </w:t>
            </w:r>
          </w:p>
        </w:tc>
      </w:tr>
    </w:tbl>
    <w:p w14:paraId="28E629E4" w14:textId="77777777" w:rsidR="002A7D53" w:rsidRDefault="002A7D53" w:rsidP="0032135D"/>
    <w:p w14:paraId="3CE12DEB" w14:textId="77777777" w:rsidR="002A7D53" w:rsidRDefault="002A7D53" w:rsidP="002A7D53"/>
    <w:p w14:paraId="22812A8D" w14:textId="77777777" w:rsidR="00292D82" w:rsidRDefault="00292D82" w:rsidP="002A7D53"/>
    <w:p w14:paraId="20E1C781" w14:textId="65C193A7" w:rsidR="00292D82" w:rsidRPr="008A5D1E" w:rsidRDefault="00292D82" w:rsidP="002A7D53">
      <w:pPr>
        <w:rPr>
          <w:b/>
          <w:bCs/>
          <w:i/>
          <w:iCs/>
        </w:rPr>
        <w:sectPr w:rsidR="00292D82" w:rsidRPr="008A5D1E"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483087"/>
        <w:docPartObj>
          <w:docPartGallery w:val="Table of Contents"/>
          <w:docPartUnique/>
        </w:docPartObj>
      </w:sdtPr>
      <w:sdtEndPr>
        <w:rPr>
          <w:bCs/>
          <w:noProof/>
        </w:rPr>
      </w:sdtEndPr>
      <w:sdtContent>
        <w:p w14:paraId="10AF51C5" w14:textId="77777777" w:rsidR="004D51B9" w:rsidRDefault="004D51B9" w:rsidP="00EC245E">
          <w:pPr>
            <w:pStyle w:val="TOCHeading"/>
            <w:framePr w:wrap="around"/>
          </w:pPr>
          <w:r>
            <w:t>Contents</w:t>
          </w:r>
        </w:p>
        <w:p w14:paraId="58979898" w14:textId="48EA91BC" w:rsidR="00A14AEE" w:rsidRDefault="001E5E24">
          <w:pPr>
            <w:pStyle w:val="TOC1"/>
            <w:rPr>
              <w:rFonts w:eastAsiaTheme="minorEastAsia" w:cstheme="minorBidi"/>
              <w:b w:val="0"/>
              <w:color w:val="auto"/>
              <w:spacing w:val="0"/>
              <w:sz w:val="22"/>
              <w:szCs w:val="22"/>
            </w:rPr>
          </w:pPr>
          <w:r>
            <w:fldChar w:fldCharType="begin"/>
          </w:r>
          <w:r>
            <w:instrText xml:space="preserve"> TOC \h \z \t</w:instrText>
          </w:r>
          <w:r w:rsidR="002F6EDF">
            <w:instrText xml:space="preserve"> </w:instrText>
          </w:r>
          <w:r>
            <w:instrText>"Heading 1,1,</w:instrText>
          </w:r>
          <w:r w:rsidR="002F6EDF">
            <w:instrText>Attachment</w:instrText>
          </w:r>
          <w:r>
            <w:instrText xml:space="preserve"> Heading 1,1,</w:instrText>
          </w:r>
          <w:r w:rsidR="002F6EDF">
            <w:instrText xml:space="preserve">Annexure Heading 1,1, Schedule Heading 1,1, </w:instrText>
          </w:r>
          <w:r>
            <w:instrText xml:space="preserve">Heading 2 Bold,2" </w:instrText>
          </w:r>
          <w:r>
            <w:fldChar w:fldCharType="separate"/>
          </w:r>
          <w:hyperlink w:anchor="_Toc140851560" w:history="1">
            <w:r w:rsidR="00A14AEE" w:rsidRPr="0081600C">
              <w:rPr>
                <w:rStyle w:val="Hyperlink"/>
              </w:rPr>
              <w:t>Introduction</w:t>
            </w:r>
            <w:r w:rsidR="00A14AEE">
              <w:rPr>
                <w:webHidden/>
              </w:rPr>
              <w:tab/>
            </w:r>
            <w:r w:rsidR="00A14AEE">
              <w:rPr>
                <w:webHidden/>
              </w:rPr>
              <w:fldChar w:fldCharType="begin"/>
            </w:r>
            <w:r w:rsidR="00A14AEE">
              <w:rPr>
                <w:webHidden/>
              </w:rPr>
              <w:instrText xml:space="preserve"> PAGEREF _Toc140851560 \h </w:instrText>
            </w:r>
            <w:r w:rsidR="00A14AEE">
              <w:rPr>
                <w:webHidden/>
              </w:rPr>
            </w:r>
            <w:r w:rsidR="00A14AEE">
              <w:rPr>
                <w:webHidden/>
              </w:rPr>
              <w:fldChar w:fldCharType="separate"/>
            </w:r>
            <w:r w:rsidR="00C34B61">
              <w:rPr>
                <w:webHidden/>
              </w:rPr>
              <w:t>3</w:t>
            </w:r>
            <w:r w:rsidR="00A14AEE">
              <w:rPr>
                <w:webHidden/>
              </w:rPr>
              <w:fldChar w:fldCharType="end"/>
            </w:r>
          </w:hyperlink>
        </w:p>
        <w:p w14:paraId="4AC5D1CA" w14:textId="0B56BB39" w:rsidR="00A14AEE" w:rsidRDefault="00123E23">
          <w:pPr>
            <w:pStyle w:val="TOC1"/>
            <w:rPr>
              <w:rFonts w:eastAsiaTheme="minorEastAsia" w:cstheme="minorBidi"/>
              <w:b w:val="0"/>
              <w:color w:val="auto"/>
              <w:spacing w:val="0"/>
              <w:sz w:val="22"/>
              <w:szCs w:val="22"/>
            </w:rPr>
          </w:pPr>
          <w:hyperlink w:anchor="_Toc140851561" w:history="1">
            <w:r w:rsidR="00A14AEE" w:rsidRPr="0081600C">
              <w:rPr>
                <w:rStyle w:val="Hyperlink"/>
              </w:rPr>
              <w:t>Definitions</w:t>
            </w:r>
            <w:r w:rsidR="00A14AEE">
              <w:rPr>
                <w:webHidden/>
              </w:rPr>
              <w:tab/>
            </w:r>
            <w:r w:rsidR="00A14AEE">
              <w:rPr>
                <w:webHidden/>
              </w:rPr>
              <w:fldChar w:fldCharType="begin"/>
            </w:r>
            <w:r w:rsidR="00A14AEE">
              <w:rPr>
                <w:webHidden/>
              </w:rPr>
              <w:instrText xml:space="preserve"> PAGEREF _Toc140851561 \h </w:instrText>
            </w:r>
            <w:r w:rsidR="00A14AEE">
              <w:rPr>
                <w:webHidden/>
              </w:rPr>
            </w:r>
            <w:r w:rsidR="00A14AEE">
              <w:rPr>
                <w:webHidden/>
              </w:rPr>
              <w:fldChar w:fldCharType="separate"/>
            </w:r>
            <w:r w:rsidR="00C34B61">
              <w:rPr>
                <w:webHidden/>
              </w:rPr>
              <w:t>4</w:t>
            </w:r>
            <w:r w:rsidR="00A14AEE">
              <w:rPr>
                <w:webHidden/>
              </w:rPr>
              <w:fldChar w:fldCharType="end"/>
            </w:r>
          </w:hyperlink>
        </w:p>
        <w:p w14:paraId="220E12AB" w14:textId="0BA04757" w:rsidR="00A14AEE" w:rsidRDefault="00123E23">
          <w:pPr>
            <w:pStyle w:val="TOC1"/>
            <w:rPr>
              <w:rFonts w:eastAsiaTheme="minorEastAsia" w:cstheme="minorBidi"/>
              <w:b w:val="0"/>
              <w:color w:val="auto"/>
              <w:spacing w:val="0"/>
              <w:sz w:val="22"/>
              <w:szCs w:val="22"/>
            </w:rPr>
          </w:pPr>
          <w:hyperlink w:anchor="_Toc140851562" w:history="1">
            <w:r w:rsidR="00A14AEE" w:rsidRPr="0081600C">
              <w:rPr>
                <w:rStyle w:val="Hyperlink"/>
              </w:rPr>
              <w:t>Policy</w:t>
            </w:r>
            <w:r w:rsidR="00A14AEE">
              <w:rPr>
                <w:webHidden/>
              </w:rPr>
              <w:tab/>
            </w:r>
            <w:r w:rsidR="00A14AEE">
              <w:rPr>
                <w:webHidden/>
              </w:rPr>
              <w:fldChar w:fldCharType="begin"/>
            </w:r>
            <w:r w:rsidR="00A14AEE">
              <w:rPr>
                <w:webHidden/>
              </w:rPr>
              <w:instrText xml:space="preserve"> PAGEREF _Toc140851562 \h </w:instrText>
            </w:r>
            <w:r w:rsidR="00A14AEE">
              <w:rPr>
                <w:webHidden/>
              </w:rPr>
            </w:r>
            <w:r w:rsidR="00A14AEE">
              <w:rPr>
                <w:webHidden/>
              </w:rPr>
              <w:fldChar w:fldCharType="separate"/>
            </w:r>
            <w:r w:rsidR="00C34B61">
              <w:rPr>
                <w:webHidden/>
              </w:rPr>
              <w:t>6</w:t>
            </w:r>
            <w:r w:rsidR="00A14AEE">
              <w:rPr>
                <w:webHidden/>
              </w:rPr>
              <w:fldChar w:fldCharType="end"/>
            </w:r>
          </w:hyperlink>
        </w:p>
        <w:p w14:paraId="10EEED43" w14:textId="316A39F1" w:rsidR="00A14AEE" w:rsidRDefault="00123E23">
          <w:pPr>
            <w:pStyle w:val="TOC1"/>
            <w:rPr>
              <w:rFonts w:eastAsiaTheme="minorEastAsia" w:cstheme="minorBidi"/>
              <w:b w:val="0"/>
              <w:color w:val="auto"/>
              <w:spacing w:val="0"/>
              <w:sz w:val="22"/>
              <w:szCs w:val="22"/>
            </w:rPr>
          </w:pPr>
          <w:hyperlink w:anchor="_Toc140851563" w:history="1">
            <w:r w:rsidR="00A14AEE" w:rsidRPr="0081600C">
              <w:rPr>
                <w:rStyle w:val="Hyperlink"/>
              </w:rPr>
              <w:t>1.</w:t>
            </w:r>
            <w:r w:rsidR="00A14AEE">
              <w:rPr>
                <w:rFonts w:eastAsiaTheme="minorEastAsia" w:cstheme="minorBidi"/>
                <w:b w:val="0"/>
                <w:color w:val="auto"/>
                <w:spacing w:val="0"/>
                <w:sz w:val="22"/>
                <w:szCs w:val="22"/>
              </w:rPr>
              <w:tab/>
            </w:r>
            <w:r w:rsidR="00A14AEE" w:rsidRPr="0081600C">
              <w:rPr>
                <w:rStyle w:val="Hyperlink"/>
              </w:rPr>
              <w:t>POLICY STATEMENT OF PRINCIPLES</w:t>
            </w:r>
            <w:r w:rsidR="00A14AEE">
              <w:rPr>
                <w:webHidden/>
              </w:rPr>
              <w:tab/>
            </w:r>
            <w:r w:rsidR="00A14AEE">
              <w:rPr>
                <w:webHidden/>
              </w:rPr>
              <w:fldChar w:fldCharType="begin"/>
            </w:r>
            <w:r w:rsidR="00A14AEE">
              <w:rPr>
                <w:webHidden/>
              </w:rPr>
              <w:instrText xml:space="preserve"> PAGEREF _Toc140851563 \h </w:instrText>
            </w:r>
            <w:r w:rsidR="00A14AEE">
              <w:rPr>
                <w:webHidden/>
              </w:rPr>
            </w:r>
            <w:r w:rsidR="00A14AEE">
              <w:rPr>
                <w:webHidden/>
              </w:rPr>
              <w:fldChar w:fldCharType="separate"/>
            </w:r>
            <w:r w:rsidR="00C34B61">
              <w:rPr>
                <w:webHidden/>
              </w:rPr>
              <w:t>6</w:t>
            </w:r>
            <w:r w:rsidR="00A14AEE">
              <w:rPr>
                <w:webHidden/>
              </w:rPr>
              <w:fldChar w:fldCharType="end"/>
            </w:r>
          </w:hyperlink>
        </w:p>
        <w:p w14:paraId="3910CD3A" w14:textId="00B7C23F" w:rsidR="00A14AEE" w:rsidRDefault="00123E23">
          <w:pPr>
            <w:pStyle w:val="TOC1"/>
            <w:rPr>
              <w:rFonts w:eastAsiaTheme="minorEastAsia" w:cstheme="minorBidi"/>
              <w:b w:val="0"/>
              <w:color w:val="auto"/>
              <w:spacing w:val="0"/>
              <w:sz w:val="22"/>
              <w:szCs w:val="22"/>
            </w:rPr>
          </w:pPr>
          <w:hyperlink w:anchor="_Toc140851564" w:history="1">
            <w:r w:rsidR="00A14AEE" w:rsidRPr="0081600C">
              <w:rPr>
                <w:rStyle w:val="Hyperlink"/>
              </w:rPr>
              <w:t>2.</w:t>
            </w:r>
            <w:r w:rsidR="00A14AEE">
              <w:rPr>
                <w:rFonts w:eastAsiaTheme="minorEastAsia" w:cstheme="minorBidi"/>
                <w:b w:val="0"/>
                <w:color w:val="auto"/>
                <w:spacing w:val="0"/>
                <w:sz w:val="22"/>
                <w:szCs w:val="22"/>
              </w:rPr>
              <w:tab/>
            </w:r>
            <w:r w:rsidR="00A14AEE" w:rsidRPr="0081600C">
              <w:rPr>
                <w:rStyle w:val="Hyperlink"/>
              </w:rPr>
              <w:t>POLICY OBJECTIVES</w:t>
            </w:r>
            <w:r w:rsidR="00A14AEE">
              <w:rPr>
                <w:webHidden/>
              </w:rPr>
              <w:tab/>
            </w:r>
            <w:r w:rsidR="00A14AEE">
              <w:rPr>
                <w:webHidden/>
              </w:rPr>
              <w:fldChar w:fldCharType="begin"/>
            </w:r>
            <w:r w:rsidR="00A14AEE">
              <w:rPr>
                <w:webHidden/>
              </w:rPr>
              <w:instrText xml:space="preserve"> PAGEREF _Toc140851564 \h </w:instrText>
            </w:r>
            <w:r w:rsidR="00A14AEE">
              <w:rPr>
                <w:webHidden/>
              </w:rPr>
            </w:r>
            <w:r w:rsidR="00A14AEE">
              <w:rPr>
                <w:webHidden/>
              </w:rPr>
              <w:fldChar w:fldCharType="separate"/>
            </w:r>
            <w:r w:rsidR="00C34B61">
              <w:rPr>
                <w:webHidden/>
              </w:rPr>
              <w:t>6</w:t>
            </w:r>
            <w:r w:rsidR="00A14AEE">
              <w:rPr>
                <w:webHidden/>
              </w:rPr>
              <w:fldChar w:fldCharType="end"/>
            </w:r>
          </w:hyperlink>
        </w:p>
        <w:p w14:paraId="549DF227" w14:textId="315E85B9" w:rsidR="00A14AEE" w:rsidRDefault="00123E23">
          <w:pPr>
            <w:pStyle w:val="TOC1"/>
            <w:rPr>
              <w:rFonts w:eastAsiaTheme="minorEastAsia" w:cstheme="minorBidi"/>
              <w:b w:val="0"/>
              <w:color w:val="auto"/>
              <w:spacing w:val="0"/>
              <w:sz w:val="22"/>
              <w:szCs w:val="22"/>
            </w:rPr>
          </w:pPr>
          <w:hyperlink w:anchor="_Toc140851565" w:history="1">
            <w:r w:rsidR="00A14AEE" w:rsidRPr="0081600C">
              <w:rPr>
                <w:rStyle w:val="Hyperlink"/>
              </w:rPr>
              <w:t>BORROWING AND RATIOS AND LIMITS</w:t>
            </w:r>
            <w:r w:rsidR="00A14AEE">
              <w:rPr>
                <w:webHidden/>
              </w:rPr>
              <w:tab/>
            </w:r>
            <w:r w:rsidR="00A14AEE">
              <w:rPr>
                <w:webHidden/>
              </w:rPr>
              <w:fldChar w:fldCharType="begin"/>
            </w:r>
            <w:r w:rsidR="00A14AEE">
              <w:rPr>
                <w:webHidden/>
              </w:rPr>
              <w:instrText xml:space="preserve"> PAGEREF _Toc140851565 \h </w:instrText>
            </w:r>
            <w:r w:rsidR="00A14AEE">
              <w:rPr>
                <w:webHidden/>
              </w:rPr>
            </w:r>
            <w:r w:rsidR="00A14AEE">
              <w:rPr>
                <w:webHidden/>
              </w:rPr>
              <w:fldChar w:fldCharType="separate"/>
            </w:r>
            <w:r w:rsidR="00C34B61">
              <w:rPr>
                <w:webHidden/>
              </w:rPr>
              <w:t>7</w:t>
            </w:r>
            <w:r w:rsidR="00A14AEE">
              <w:rPr>
                <w:webHidden/>
              </w:rPr>
              <w:fldChar w:fldCharType="end"/>
            </w:r>
          </w:hyperlink>
        </w:p>
        <w:p w14:paraId="4A5F91F7" w14:textId="41B6E81E" w:rsidR="00A14AEE" w:rsidRDefault="00123E23">
          <w:pPr>
            <w:pStyle w:val="TOC1"/>
            <w:rPr>
              <w:rFonts w:eastAsiaTheme="minorEastAsia" w:cstheme="minorBidi"/>
              <w:b w:val="0"/>
              <w:color w:val="auto"/>
              <w:spacing w:val="0"/>
              <w:sz w:val="22"/>
              <w:szCs w:val="22"/>
            </w:rPr>
          </w:pPr>
          <w:hyperlink w:anchor="_Toc140851566" w:history="1">
            <w:r w:rsidR="00A14AEE" w:rsidRPr="0081600C">
              <w:rPr>
                <w:rStyle w:val="Hyperlink"/>
              </w:rPr>
              <w:t>3.</w:t>
            </w:r>
            <w:r w:rsidR="00A14AEE">
              <w:rPr>
                <w:rFonts w:eastAsiaTheme="minorEastAsia" w:cstheme="minorBidi"/>
                <w:b w:val="0"/>
                <w:color w:val="auto"/>
                <w:spacing w:val="0"/>
                <w:sz w:val="22"/>
                <w:szCs w:val="22"/>
              </w:rPr>
              <w:tab/>
            </w:r>
            <w:r w:rsidR="00A14AEE" w:rsidRPr="0081600C">
              <w:rPr>
                <w:rStyle w:val="Hyperlink"/>
              </w:rPr>
              <w:t>VICTORIAN AUDITOR – GENERAL’S OFFICE REQUIREMENTS</w:t>
            </w:r>
            <w:r w:rsidR="00A14AEE">
              <w:rPr>
                <w:webHidden/>
              </w:rPr>
              <w:tab/>
            </w:r>
            <w:r w:rsidR="00A14AEE">
              <w:rPr>
                <w:webHidden/>
              </w:rPr>
              <w:fldChar w:fldCharType="begin"/>
            </w:r>
            <w:r w:rsidR="00A14AEE">
              <w:rPr>
                <w:webHidden/>
              </w:rPr>
              <w:instrText xml:space="preserve"> PAGEREF _Toc140851566 \h </w:instrText>
            </w:r>
            <w:r w:rsidR="00A14AEE">
              <w:rPr>
                <w:webHidden/>
              </w:rPr>
            </w:r>
            <w:r w:rsidR="00A14AEE">
              <w:rPr>
                <w:webHidden/>
              </w:rPr>
              <w:fldChar w:fldCharType="separate"/>
            </w:r>
            <w:r w:rsidR="00C34B61">
              <w:rPr>
                <w:webHidden/>
              </w:rPr>
              <w:t>7</w:t>
            </w:r>
            <w:r w:rsidR="00A14AEE">
              <w:rPr>
                <w:webHidden/>
              </w:rPr>
              <w:fldChar w:fldCharType="end"/>
            </w:r>
          </w:hyperlink>
        </w:p>
        <w:p w14:paraId="4F6F9BBA" w14:textId="3E20CC28" w:rsidR="00A14AEE" w:rsidRDefault="00123E23">
          <w:pPr>
            <w:pStyle w:val="TOC1"/>
            <w:rPr>
              <w:rFonts w:eastAsiaTheme="minorEastAsia" w:cstheme="minorBidi"/>
              <w:b w:val="0"/>
              <w:color w:val="auto"/>
              <w:spacing w:val="0"/>
              <w:sz w:val="22"/>
              <w:szCs w:val="22"/>
            </w:rPr>
          </w:pPr>
          <w:hyperlink w:anchor="_Toc140851567" w:history="1">
            <w:r w:rsidR="00A14AEE" w:rsidRPr="0081600C">
              <w:rPr>
                <w:rStyle w:val="Hyperlink"/>
              </w:rPr>
              <w:t>4.</w:t>
            </w:r>
            <w:r w:rsidR="00A14AEE">
              <w:rPr>
                <w:rFonts w:eastAsiaTheme="minorEastAsia" w:cstheme="minorBidi"/>
                <w:b w:val="0"/>
                <w:color w:val="auto"/>
                <w:spacing w:val="0"/>
                <w:sz w:val="22"/>
                <w:szCs w:val="22"/>
              </w:rPr>
              <w:tab/>
            </w:r>
            <w:r w:rsidR="00A14AEE" w:rsidRPr="0081600C">
              <w:rPr>
                <w:rStyle w:val="Hyperlink"/>
              </w:rPr>
              <w:t>Local Government Reporting Performance Framework (LGPRF)</w:t>
            </w:r>
            <w:r w:rsidR="00A14AEE">
              <w:rPr>
                <w:webHidden/>
              </w:rPr>
              <w:tab/>
            </w:r>
            <w:r w:rsidR="00A14AEE">
              <w:rPr>
                <w:webHidden/>
              </w:rPr>
              <w:fldChar w:fldCharType="begin"/>
            </w:r>
            <w:r w:rsidR="00A14AEE">
              <w:rPr>
                <w:webHidden/>
              </w:rPr>
              <w:instrText xml:space="preserve"> PAGEREF _Toc140851567 \h </w:instrText>
            </w:r>
            <w:r w:rsidR="00A14AEE">
              <w:rPr>
                <w:webHidden/>
              </w:rPr>
            </w:r>
            <w:r w:rsidR="00A14AEE">
              <w:rPr>
                <w:webHidden/>
              </w:rPr>
              <w:fldChar w:fldCharType="separate"/>
            </w:r>
            <w:r w:rsidR="00C34B61">
              <w:rPr>
                <w:webHidden/>
              </w:rPr>
              <w:t>7</w:t>
            </w:r>
            <w:r w:rsidR="00A14AEE">
              <w:rPr>
                <w:webHidden/>
              </w:rPr>
              <w:fldChar w:fldCharType="end"/>
            </w:r>
          </w:hyperlink>
        </w:p>
        <w:p w14:paraId="07B61719" w14:textId="70DB211C" w:rsidR="00A14AEE" w:rsidRDefault="00123E23">
          <w:pPr>
            <w:pStyle w:val="TOC1"/>
            <w:rPr>
              <w:rFonts w:eastAsiaTheme="minorEastAsia" w:cstheme="minorBidi"/>
              <w:b w:val="0"/>
              <w:color w:val="auto"/>
              <w:spacing w:val="0"/>
              <w:sz w:val="22"/>
              <w:szCs w:val="22"/>
            </w:rPr>
          </w:pPr>
          <w:hyperlink w:anchor="_Toc140851568" w:history="1">
            <w:r w:rsidR="00A14AEE" w:rsidRPr="0081600C">
              <w:rPr>
                <w:rStyle w:val="Hyperlink"/>
              </w:rPr>
              <w:t>5.</w:t>
            </w:r>
            <w:r w:rsidR="00A14AEE">
              <w:rPr>
                <w:rFonts w:eastAsiaTheme="minorEastAsia" w:cstheme="minorBidi"/>
                <w:b w:val="0"/>
                <w:color w:val="auto"/>
                <w:spacing w:val="0"/>
                <w:sz w:val="22"/>
                <w:szCs w:val="22"/>
              </w:rPr>
              <w:tab/>
            </w:r>
            <w:r w:rsidR="00A14AEE" w:rsidRPr="0081600C">
              <w:rPr>
                <w:rStyle w:val="Hyperlink"/>
              </w:rPr>
              <w:t>Credit Rating</w:t>
            </w:r>
            <w:r w:rsidR="00A14AEE">
              <w:rPr>
                <w:webHidden/>
              </w:rPr>
              <w:tab/>
            </w:r>
            <w:r w:rsidR="00A14AEE">
              <w:rPr>
                <w:webHidden/>
              </w:rPr>
              <w:fldChar w:fldCharType="begin"/>
            </w:r>
            <w:r w:rsidR="00A14AEE">
              <w:rPr>
                <w:webHidden/>
              </w:rPr>
              <w:instrText xml:space="preserve"> PAGEREF _Toc140851568 \h </w:instrText>
            </w:r>
            <w:r w:rsidR="00A14AEE">
              <w:rPr>
                <w:webHidden/>
              </w:rPr>
            </w:r>
            <w:r w:rsidR="00A14AEE">
              <w:rPr>
                <w:webHidden/>
              </w:rPr>
              <w:fldChar w:fldCharType="separate"/>
            </w:r>
            <w:r w:rsidR="00C34B61">
              <w:rPr>
                <w:webHidden/>
              </w:rPr>
              <w:t>8</w:t>
            </w:r>
            <w:r w:rsidR="00A14AEE">
              <w:rPr>
                <w:webHidden/>
              </w:rPr>
              <w:fldChar w:fldCharType="end"/>
            </w:r>
          </w:hyperlink>
        </w:p>
        <w:p w14:paraId="6FA0DC77" w14:textId="7F16944B" w:rsidR="00A14AEE" w:rsidRDefault="00123E23">
          <w:pPr>
            <w:pStyle w:val="TOC1"/>
            <w:rPr>
              <w:rFonts w:eastAsiaTheme="minorEastAsia" w:cstheme="minorBidi"/>
              <w:b w:val="0"/>
              <w:color w:val="auto"/>
              <w:spacing w:val="0"/>
              <w:sz w:val="22"/>
              <w:szCs w:val="22"/>
            </w:rPr>
          </w:pPr>
          <w:hyperlink w:anchor="_Toc140851569" w:history="1">
            <w:r w:rsidR="00A14AEE" w:rsidRPr="0081600C">
              <w:rPr>
                <w:rStyle w:val="Hyperlink"/>
              </w:rPr>
              <w:t>6.</w:t>
            </w:r>
            <w:r w:rsidR="00A14AEE">
              <w:rPr>
                <w:rFonts w:eastAsiaTheme="minorEastAsia" w:cstheme="minorBidi"/>
                <w:b w:val="0"/>
                <w:color w:val="auto"/>
                <w:spacing w:val="0"/>
                <w:sz w:val="22"/>
                <w:szCs w:val="22"/>
              </w:rPr>
              <w:tab/>
            </w:r>
            <w:r w:rsidR="00A14AEE" w:rsidRPr="0081600C">
              <w:rPr>
                <w:rStyle w:val="Hyperlink"/>
              </w:rPr>
              <w:t>Determination of Loan Term and Interest Rate Type</w:t>
            </w:r>
            <w:r w:rsidR="00A14AEE">
              <w:rPr>
                <w:webHidden/>
              </w:rPr>
              <w:tab/>
            </w:r>
            <w:r w:rsidR="00A14AEE">
              <w:rPr>
                <w:webHidden/>
              </w:rPr>
              <w:fldChar w:fldCharType="begin"/>
            </w:r>
            <w:r w:rsidR="00A14AEE">
              <w:rPr>
                <w:webHidden/>
              </w:rPr>
              <w:instrText xml:space="preserve"> PAGEREF _Toc140851569 \h </w:instrText>
            </w:r>
            <w:r w:rsidR="00A14AEE">
              <w:rPr>
                <w:webHidden/>
              </w:rPr>
            </w:r>
            <w:r w:rsidR="00A14AEE">
              <w:rPr>
                <w:webHidden/>
              </w:rPr>
              <w:fldChar w:fldCharType="separate"/>
            </w:r>
            <w:r w:rsidR="00C34B61">
              <w:rPr>
                <w:webHidden/>
              </w:rPr>
              <w:t>8</w:t>
            </w:r>
            <w:r w:rsidR="00A14AEE">
              <w:rPr>
                <w:webHidden/>
              </w:rPr>
              <w:fldChar w:fldCharType="end"/>
            </w:r>
          </w:hyperlink>
        </w:p>
        <w:p w14:paraId="0936BEE4" w14:textId="6A3ADE7E" w:rsidR="00A14AEE" w:rsidRDefault="00123E23">
          <w:pPr>
            <w:pStyle w:val="TOC1"/>
            <w:rPr>
              <w:rFonts w:eastAsiaTheme="minorEastAsia" w:cstheme="minorBidi"/>
              <w:b w:val="0"/>
              <w:color w:val="auto"/>
              <w:spacing w:val="0"/>
              <w:sz w:val="22"/>
              <w:szCs w:val="22"/>
            </w:rPr>
          </w:pPr>
          <w:hyperlink w:anchor="_Toc140851570" w:history="1">
            <w:r w:rsidR="00A14AEE" w:rsidRPr="0081600C">
              <w:rPr>
                <w:rStyle w:val="Hyperlink"/>
              </w:rPr>
              <w:t>7.</w:t>
            </w:r>
            <w:r w:rsidR="00A14AEE">
              <w:rPr>
                <w:rFonts w:eastAsiaTheme="minorEastAsia" w:cstheme="minorBidi"/>
                <w:b w:val="0"/>
                <w:color w:val="auto"/>
                <w:spacing w:val="0"/>
                <w:sz w:val="22"/>
                <w:szCs w:val="22"/>
              </w:rPr>
              <w:tab/>
            </w:r>
            <w:r w:rsidR="00A14AEE" w:rsidRPr="0081600C">
              <w:rPr>
                <w:rStyle w:val="Hyperlink"/>
              </w:rPr>
              <w:t>Determination of Lending Institution</w:t>
            </w:r>
            <w:r w:rsidR="00A14AEE">
              <w:rPr>
                <w:webHidden/>
              </w:rPr>
              <w:tab/>
            </w:r>
            <w:r w:rsidR="00A14AEE">
              <w:rPr>
                <w:webHidden/>
              </w:rPr>
              <w:fldChar w:fldCharType="begin"/>
            </w:r>
            <w:r w:rsidR="00A14AEE">
              <w:rPr>
                <w:webHidden/>
              </w:rPr>
              <w:instrText xml:space="preserve"> PAGEREF _Toc140851570 \h </w:instrText>
            </w:r>
            <w:r w:rsidR="00A14AEE">
              <w:rPr>
                <w:webHidden/>
              </w:rPr>
            </w:r>
            <w:r w:rsidR="00A14AEE">
              <w:rPr>
                <w:webHidden/>
              </w:rPr>
              <w:fldChar w:fldCharType="separate"/>
            </w:r>
            <w:r w:rsidR="00C34B61">
              <w:rPr>
                <w:webHidden/>
              </w:rPr>
              <w:t>8</w:t>
            </w:r>
            <w:r w:rsidR="00A14AEE">
              <w:rPr>
                <w:webHidden/>
              </w:rPr>
              <w:fldChar w:fldCharType="end"/>
            </w:r>
          </w:hyperlink>
        </w:p>
        <w:p w14:paraId="1445D579" w14:textId="2F378B6B" w:rsidR="00A14AEE" w:rsidRDefault="00123E23">
          <w:pPr>
            <w:pStyle w:val="TOC1"/>
            <w:rPr>
              <w:rFonts w:eastAsiaTheme="minorEastAsia" w:cstheme="minorBidi"/>
              <w:b w:val="0"/>
              <w:color w:val="auto"/>
              <w:spacing w:val="0"/>
              <w:sz w:val="22"/>
              <w:szCs w:val="22"/>
            </w:rPr>
          </w:pPr>
          <w:hyperlink w:anchor="_Toc140851571" w:history="1">
            <w:r w:rsidR="00A14AEE" w:rsidRPr="0081600C">
              <w:rPr>
                <w:rStyle w:val="Hyperlink"/>
              </w:rPr>
              <w:t>8.</w:t>
            </w:r>
            <w:r w:rsidR="00A14AEE">
              <w:rPr>
                <w:rFonts w:eastAsiaTheme="minorEastAsia" w:cstheme="minorBidi"/>
                <w:b w:val="0"/>
                <w:color w:val="auto"/>
                <w:spacing w:val="0"/>
                <w:sz w:val="22"/>
                <w:szCs w:val="22"/>
              </w:rPr>
              <w:tab/>
            </w:r>
            <w:r w:rsidR="00A14AEE" w:rsidRPr="0081600C">
              <w:rPr>
                <w:rStyle w:val="Hyperlink"/>
              </w:rPr>
              <w:t>Loan Type and Term</w:t>
            </w:r>
            <w:r w:rsidR="00A14AEE">
              <w:rPr>
                <w:webHidden/>
              </w:rPr>
              <w:tab/>
            </w:r>
            <w:r w:rsidR="00A14AEE">
              <w:rPr>
                <w:webHidden/>
              </w:rPr>
              <w:fldChar w:fldCharType="begin"/>
            </w:r>
            <w:r w:rsidR="00A14AEE">
              <w:rPr>
                <w:webHidden/>
              </w:rPr>
              <w:instrText xml:space="preserve"> PAGEREF _Toc140851571 \h </w:instrText>
            </w:r>
            <w:r w:rsidR="00A14AEE">
              <w:rPr>
                <w:webHidden/>
              </w:rPr>
            </w:r>
            <w:r w:rsidR="00A14AEE">
              <w:rPr>
                <w:webHidden/>
              </w:rPr>
              <w:fldChar w:fldCharType="separate"/>
            </w:r>
            <w:r w:rsidR="00C34B61">
              <w:rPr>
                <w:webHidden/>
              </w:rPr>
              <w:t>8</w:t>
            </w:r>
            <w:r w:rsidR="00A14AEE">
              <w:rPr>
                <w:webHidden/>
              </w:rPr>
              <w:fldChar w:fldCharType="end"/>
            </w:r>
          </w:hyperlink>
        </w:p>
        <w:p w14:paraId="561B2F9D" w14:textId="06A41DD8" w:rsidR="00A14AEE" w:rsidRDefault="00123E23">
          <w:pPr>
            <w:pStyle w:val="TOC1"/>
            <w:rPr>
              <w:rFonts w:eastAsiaTheme="minorEastAsia" w:cstheme="minorBidi"/>
              <w:b w:val="0"/>
              <w:color w:val="auto"/>
              <w:spacing w:val="0"/>
              <w:sz w:val="22"/>
              <w:szCs w:val="22"/>
            </w:rPr>
          </w:pPr>
          <w:hyperlink w:anchor="_Toc140851572" w:history="1">
            <w:r w:rsidR="00A14AEE" w:rsidRPr="0081600C">
              <w:rPr>
                <w:rStyle w:val="Hyperlink"/>
              </w:rPr>
              <w:t>9.</w:t>
            </w:r>
            <w:r w:rsidR="00A14AEE">
              <w:rPr>
                <w:rFonts w:eastAsiaTheme="minorEastAsia" w:cstheme="minorBidi"/>
                <w:b w:val="0"/>
                <w:color w:val="auto"/>
                <w:spacing w:val="0"/>
                <w:sz w:val="22"/>
                <w:szCs w:val="22"/>
              </w:rPr>
              <w:tab/>
            </w:r>
            <w:r w:rsidR="00A14AEE" w:rsidRPr="0081600C">
              <w:rPr>
                <w:rStyle w:val="Hyperlink"/>
              </w:rPr>
              <w:t>COST ALLOCATION OF BORROWINGS</w:t>
            </w:r>
            <w:r w:rsidR="00A14AEE">
              <w:rPr>
                <w:webHidden/>
              </w:rPr>
              <w:tab/>
            </w:r>
            <w:r w:rsidR="00A14AEE">
              <w:rPr>
                <w:webHidden/>
              </w:rPr>
              <w:fldChar w:fldCharType="begin"/>
            </w:r>
            <w:r w:rsidR="00A14AEE">
              <w:rPr>
                <w:webHidden/>
              </w:rPr>
              <w:instrText xml:space="preserve"> PAGEREF _Toc140851572 \h </w:instrText>
            </w:r>
            <w:r w:rsidR="00A14AEE">
              <w:rPr>
                <w:webHidden/>
              </w:rPr>
            </w:r>
            <w:r w:rsidR="00A14AEE">
              <w:rPr>
                <w:webHidden/>
              </w:rPr>
              <w:fldChar w:fldCharType="separate"/>
            </w:r>
            <w:r w:rsidR="00C34B61">
              <w:rPr>
                <w:webHidden/>
              </w:rPr>
              <w:t>9</w:t>
            </w:r>
            <w:r w:rsidR="00A14AEE">
              <w:rPr>
                <w:webHidden/>
              </w:rPr>
              <w:fldChar w:fldCharType="end"/>
            </w:r>
          </w:hyperlink>
        </w:p>
        <w:p w14:paraId="6BFE7DC3" w14:textId="31457176" w:rsidR="00A14AEE" w:rsidRDefault="00123E23">
          <w:pPr>
            <w:pStyle w:val="TOC1"/>
            <w:rPr>
              <w:rFonts w:eastAsiaTheme="minorEastAsia" w:cstheme="minorBidi"/>
              <w:b w:val="0"/>
              <w:color w:val="auto"/>
              <w:spacing w:val="0"/>
              <w:sz w:val="22"/>
              <w:szCs w:val="22"/>
            </w:rPr>
          </w:pPr>
          <w:hyperlink w:anchor="_Toc140851573" w:history="1">
            <w:r w:rsidR="00A14AEE" w:rsidRPr="0081600C">
              <w:rPr>
                <w:rStyle w:val="Hyperlink"/>
              </w:rPr>
              <w:t>10.</w:t>
            </w:r>
            <w:r w:rsidR="00A14AEE">
              <w:rPr>
                <w:rFonts w:eastAsiaTheme="minorEastAsia" w:cstheme="minorBidi"/>
                <w:b w:val="0"/>
                <w:color w:val="auto"/>
                <w:spacing w:val="0"/>
                <w:sz w:val="22"/>
                <w:szCs w:val="22"/>
              </w:rPr>
              <w:tab/>
            </w:r>
            <w:r w:rsidR="00A14AEE" w:rsidRPr="0081600C">
              <w:rPr>
                <w:rStyle w:val="Hyperlink"/>
              </w:rPr>
              <w:t>RESTRICTION</w:t>
            </w:r>
            <w:r w:rsidR="00A14AEE">
              <w:rPr>
                <w:webHidden/>
              </w:rPr>
              <w:tab/>
            </w:r>
            <w:r w:rsidR="00A14AEE">
              <w:rPr>
                <w:webHidden/>
              </w:rPr>
              <w:fldChar w:fldCharType="begin"/>
            </w:r>
            <w:r w:rsidR="00A14AEE">
              <w:rPr>
                <w:webHidden/>
              </w:rPr>
              <w:instrText xml:space="preserve"> PAGEREF _Toc140851573 \h </w:instrText>
            </w:r>
            <w:r w:rsidR="00A14AEE">
              <w:rPr>
                <w:webHidden/>
              </w:rPr>
            </w:r>
            <w:r w:rsidR="00A14AEE">
              <w:rPr>
                <w:webHidden/>
              </w:rPr>
              <w:fldChar w:fldCharType="separate"/>
            </w:r>
            <w:r w:rsidR="00C34B61">
              <w:rPr>
                <w:webHidden/>
              </w:rPr>
              <w:t>9</w:t>
            </w:r>
            <w:r w:rsidR="00A14AEE">
              <w:rPr>
                <w:webHidden/>
              </w:rPr>
              <w:fldChar w:fldCharType="end"/>
            </w:r>
          </w:hyperlink>
        </w:p>
        <w:p w14:paraId="1D2B98FA" w14:textId="3C06C49B" w:rsidR="00A14AEE" w:rsidRDefault="00123E23">
          <w:pPr>
            <w:pStyle w:val="TOC1"/>
            <w:rPr>
              <w:rFonts w:eastAsiaTheme="minorEastAsia" w:cstheme="minorBidi"/>
              <w:b w:val="0"/>
              <w:color w:val="auto"/>
              <w:spacing w:val="0"/>
              <w:sz w:val="22"/>
              <w:szCs w:val="22"/>
            </w:rPr>
          </w:pPr>
          <w:hyperlink w:anchor="_Toc140851574" w:history="1">
            <w:r w:rsidR="00A14AEE" w:rsidRPr="0081600C">
              <w:rPr>
                <w:rStyle w:val="Hyperlink"/>
              </w:rPr>
              <w:t>Implementation of this Policy</w:t>
            </w:r>
            <w:r w:rsidR="00A14AEE">
              <w:rPr>
                <w:webHidden/>
              </w:rPr>
              <w:tab/>
            </w:r>
            <w:r w:rsidR="00A14AEE">
              <w:rPr>
                <w:webHidden/>
              </w:rPr>
              <w:fldChar w:fldCharType="begin"/>
            </w:r>
            <w:r w:rsidR="00A14AEE">
              <w:rPr>
                <w:webHidden/>
              </w:rPr>
              <w:instrText xml:space="preserve"> PAGEREF _Toc140851574 \h </w:instrText>
            </w:r>
            <w:r w:rsidR="00A14AEE">
              <w:rPr>
                <w:webHidden/>
              </w:rPr>
            </w:r>
            <w:r w:rsidR="00A14AEE">
              <w:rPr>
                <w:webHidden/>
              </w:rPr>
              <w:fldChar w:fldCharType="separate"/>
            </w:r>
            <w:r w:rsidR="00C34B61">
              <w:rPr>
                <w:webHidden/>
              </w:rPr>
              <w:t>10</w:t>
            </w:r>
            <w:r w:rsidR="00A14AEE">
              <w:rPr>
                <w:webHidden/>
              </w:rPr>
              <w:fldChar w:fldCharType="end"/>
            </w:r>
          </w:hyperlink>
        </w:p>
        <w:p w14:paraId="2C988178" w14:textId="2C410177" w:rsidR="00A14AEE" w:rsidRDefault="00123E23">
          <w:pPr>
            <w:pStyle w:val="TOC1"/>
            <w:rPr>
              <w:rFonts w:eastAsiaTheme="minorEastAsia" w:cstheme="minorBidi"/>
              <w:b w:val="0"/>
              <w:color w:val="auto"/>
              <w:spacing w:val="0"/>
              <w:sz w:val="22"/>
              <w:szCs w:val="22"/>
            </w:rPr>
          </w:pPr>
          <w:hyperlink w:anchor="_Toc140851575" w:history="1">
            <w:r w:rsidR="00A14AEE" w:rsidRPr="0081600C">
              <w:rPr>
                <w:rStyle w:val="Hyperlink"/>
              </w:rPr>
              <w:t>References</w:t>
            </w:r>
            <w:r w:rsidR="00A14AEE">
              <w:rPr>
                <w:webHidden/>
              </w:rPr>
              <w:tab/>
            </w:r>
            <w:r w:rsidR="00A14AEE">
              <w:rPr>
                <w:webHidden/>
              </w:rPr>
              <w:fldChar w:fldCharType="begin"/>
            </w:r>
            <w:r w:rsidR="00A14AEE">
              <w:rPr>
                <w:webHidden/>
              </w:rPr>
              <w:instrText xml:space="preserve"> PAGEREF _Toc140851575 \h </w:instrText>
            </w:r>
            <w:r w:rsidR="00A14AEE">
              <w:rPr>
                <w:webHidden/>
              </w:rPr>
            </w:r>
            <w:r w:rsidR="00A14AEE">
              <w:rPr>
                <w:webHidden/>
              </w:rPr>
              <w:fldChar w:fldCharType="separate"/>
            </w:r>
            <w:r w:rsidR="00C34B61">
              <w:rPr>
                <w:webHidden/>
              </w:rPr>
              <w:t>11</w:t>
            </w:r>
            <w:r w:rsidR="00A14AEE">
              <w:rPr>
                <w:webHidden/>
              </w:rPr>
              <w:fldChar w:fldCharType="end"/>
            </w:r>
          </w:hyperlink>
        </w:p>
        <w:p w14:paraId="45438D07" w14:textId="0FBB2002" w:rsidR="004D51B9" w:rsidRDefault="001E5E24">
          <w:r>
            <w:rPr>
              <w:b/>
              <w:noProof/>
              <w:color w:val="003263" w:themeColor="text2"/>
            </w:rPr>
            <w:fldChar w:fldCharType="end"/>
          </w:r>
        </w:p>
      </w:sdtContent>
    </w:sdt>
    <w:p w14:paraId="4B862646" w14:textId="77777777" w:rsidR="00D42E0F" w:rsidRDefault="00D42E0F" w:rsidP="002A7D53"/>
    <w:p w14:paraId="12A1D8B8" w14:textId="5A6C71FA" w:rsidR="00D42E0F" w:rsidRDefault="00F9600D" w:rsidP="002A7D53">
      <w:pPr>
        <w:sectPr w:rsidR="00D42E0F" w:rsidSect="005C1B0A">
          <w:pgSz w:w="11907" w:h="16840" w:code="9"/>
          <w:pgMar w:top="1134" w:right="1134" w:bottom="794" w:left="1134" w:header="567" w:footer="340" w:gutter="0"/>
          <w:cols w:space="284"/>
          <w:docGrid w:linePitch="360"/>
        </w:sectPr>
      </w:pPr>
      <w:r w:rsidRPr="005875AE">
        <w:rPr>
          <w:b/>
          <w:bCs/>
          <w:i/>
          <w:iCs/>
        </w:rPr>
        <w:br w:type="page"/>
      </w:r>
    </w:p>
    <w:p w14:paraId="59423621" w14:textId="48887BA2" w:rsidR="00F9600D" w:rsidRDefault="009B3D07" w:rsidP="009B3D07">
      <w:pPr>
        <w:pStyle w:val="AttachmentHeading1"/>
        <w:framePr w:wrap="around"/>
      </w:pPr>
      <w:bookmarkStart w:id="0" w:name="_Toc140851560"/>
      <w:r>
        <w:lastRenderedPageBreak/>
        <w:t>Introduction</w:t>
      </w:r>
      <w:bookmarkEnd w:id="0"/>
    </w:p>
    <w:p w14:paraId="592EF2B1" w14:textId="374F4901" w:rsidR="00F9600D" w:rsidRDefault="009B3D07" w:rsidP="009B3D07">
      <w:pPr>
        <w:pStyle w:val="Heading1NoNumber"/>
      </w:pPr>
      <w:r>
        <w:t xml:space="preserve">purpose </w:t>
      </w:r>
    </w:p>
    <w:p w14:paraId="46078499" w14:textId="186794AF" w:rsidR="00924205" w:rsidRDefault="00924205" w:rsidP="00924205">
      <w:pPr>
        <w:pStyle w:val="BodyText"/>
      </w:pPr>
      <w:r>
        <w:t>The purpose of this policy is to provide the appropriate parameters for the City to undertake borrowings without compromising the application of sound</w:t>
      </w:r>
      <w:r w:rsidR="00335E4C">
        <w:t xml:space="preserve"> financial</w:t>
      </w:r>
      <w:r w:rsidRPr="00335E4C">
        <w:t xml:space="preserve"> management principles</w:t>
      </w:r>
      <w:r w:rsidR="00066A79">
        <w:t xml:space="preserve">. </w:t>
      </w:r>
      <w:r>
        <w:t>The policy allows the City the flexibility to respond to funding requirements while operating withing the risk appetite.</w:t>
      </w:r>
    </w:p>
    <w:p w14:paraId="2976B043" w14:textId="0A2543DE" w:rsidR="00924205" w:rsidRDefault="00924205" w:rsidP="00924205">
      <w:pPr>
        <w:pStyle w:val="BodyText"/>
      </w:pPr>
      <w:r>
        <w:t>The borrowing policy ensures the City has a sound financial framework on which to:</w:t>
      </w:r>
    </w:p>
    <w:p w14:paraId="4954BA2E" w14:textId="389E5E1B" w:rsidR="00924205" w:rsidRDefault="00924205" w:rsidP="00A14AEE">
      <w:pPr>
        <w:pStyle w:val="BodyText"/>
        <w:numPr>
          <w:ilvl w:val="0"/>
          <w:numId w:val="13"/>
        </w:numPr>
      </w:pPr>
      <w:r>
        <w:t>undertake borrowings;</w:t>
      </w:r>
    </w:p>
    <w:p w14:paraId="52774742" w14:textId="0CB3881D" w:rsidR="00924205" w:rsidRDefault="00924205" w:rsidP="00A14AEE">
      <w:pPr>
        <w:pStyle w:val="BodyText"/>
        <w:numPr>
          <w:ilvl w:val="0"/>
          <w:numId w:val="13"/>
        </w:numPr>
      </w:pPr>
      <w:r>
        <w:t>manage its loan portfolio; and</w:t>
      </w:r>
    </w:p>
    <w:p w14:paraId="0CC73D05" w14:textId="68B3259F" w:rsidR="00F9600D" w:rsidRPr="00B17BF1" w:rsidRDefault="00924205" w:rsidP="00A14AEE">
      <w:pPr>
        <w:pStyle w:val="BodyText"/>
        <w:numPr>
          <w:ilvl w:val="0"/>
          <w:numId w:val="13"/>
        </w:numPr>
        <w:rPr>
          <w:b/>
          <w:bCs/>
          <w:i/>
          <w:iCs/>
        </w:rPr>
      </w:pPr>
      <w:r>
        <w:t>adhere to the provisions of the Local Government Act 2020 (</w:t>
      </w:r>
      <w:r w:rsidR="00B00AB8">
        <w:t>the Act</w:t>
      </w:r>
      <w:r>
        <w:t xml:space="preserve">). </w:t>
      </w:r>
    </w:p>
    <w:p w14:paraId="1AD62968" w14:textId="7E6D928E" w:rsidR="00924205" w:rsidRDefault="00924205" w:rsidP="00924205">
      <w:pPr>
        <w:pStyle w:val="Heading1NoNumber"/>
      </w:pPr>
      <w:bookmarkStart w:id="1" w:name="_Toc107220883"/>
      <w:r>
        <w:t>Background</w:t>
      </w:r>
      <w:bookmarkEnd w:id="1"/>
    </w:p>
    <w:p w14:paraId="24FF2F02" w14:textId="03A3E9D0" w:rsidR="00924205" w:rsidRDefault="00992A6E" w:rsidP="00924205">
      <w:pPr>
        <w:pStyle w:val="BodyText"/>
      </w:pPr>
      <w:r>
        <w:t>The City</w:t>
      </w:r>
      <w:r w:rsidRPr="004C059A">
        <w:t xml:space="preserve"> </w:t>
      </w:r>
      <w:r w:rsidR="00924205" w:rsidRPr="004C059A">
        <w:t xml:space="preserve">must implement </w:t>
      </w:r>
      <w:r w:rsidR="00924205" w:rsidRPr="00335E4C">
        <w:t>sound financial management</w:t>
      </w:r>
      <w:r w:rsidR="00335E4C">
        <w:t xml:space="preserve"> principles, </w:t>
      </w:r>
      <w:r w:rsidR="00924205" w:rsidRPr="004C059A">
        <w:t>includ</w:t>
      </w:r>
      <w:r w:rsidR="00335E4C">
        <w:t>ing</w:t>
      </w:r>
      <w:r w:rsidR="00924205">
        <w:t>:</w:t>
      </w:r>
    </w:p>
    <w:p w14:paraId="6CBB2A5A" w14:textId="342835C9" w:rsidR="00924205" w:rsidRPr="00924205" w:rsidRDefault="00335E4C" w:rsidP="00A14AEE">
      <w:pPr>
        <w:pStyle w:val="BodyText"/>
        <w:numPr>
          <w:ilvl w:val="0"/>
          <w:numId w:val="13"/>
        </w:numPr>
      </w:pPr>
      <w:r>
        <w:t>M</w:t>
      </w:r>
      <w:r w:rsidRPr="004C059A">
        <w:t xml:space="preserve">anaging </w:t>
      </w:r>
      <w:r w:rsidR="00924205" w:rsidRPr="004C059A">
        <w:t>financial risks</w:t>
      </w:r>
      <w:r>
        <w:t xml:space="preserve"> within the established risk appetite and limits</w:t>
      </w:r>
      <w:r w:rsidR="00992A6E">
        <w:t xml:space="preserve"> (refer to section 3 below)</w:t>
      </w:r>
      <w:r>
        <w:t>,</w:t>
      </w:r>
    </w:p>
    <w:p w14:paraId="6354BB99" w14:textId="63991FC1" w:rsidR="00924205" w:rsidRPr="00924205" w:rsidRDefault="00335E4C" w:rsidP="00A14AEE">
      <w:pPr>
        <w:pStyle w:val="BodyText"/>
        <w:numPr>
          <w:ilvl w:val="0"/>
          <w:numId w:val="13"/>
        </w:numPr>
      </w:pPr>
      <w:r>
        <w:t>S</w:t>
      </w:r>
      <w:r w:rsidR="00924205" w:rsidRPr="004C059A">
        <w:t>pending</w:t>
      </w:r>
      <w:r>
        <w:t xml:space="preserve"> within the budget parameters and where </w:t>
      </w:r>
      <w:r w:rsidR="00992A6E">
        <w:t>items are not budgeted on a post budget approved basis,</w:t>
      </w:r>
    </w:p>
    <w:p w14:paraId="44ADD4FE" w14:textId="5153969B" w:rsidR="00924205" w:rsidRPr="00924205" w:rsidRDefault="00335E4C" w:rsidP="00A14AEE">
      <w:pPr>
        <w:pStyle w:val="BodyText"/>
        <w:numPr>
          <w:ilvl w:val="0"/>
          <w:numId w:val="13"/>
        </w:numPr>
      </w:pPr>
      <w:r>
        <w:t>P</w:t>
      </w:r>
      <w:r w:rsidRPr="004C059A">
        <w:t xml:space="preserve">olicies </w:t>
      </w:r>
      <w:r w:rsidR="00924205" w:rsidRPr="004C059A">
        <w:t xml:space="preserve">consistent with a reasonable degree of </w:t>
      </w:r>
      <w:r w:rsidR="00992A6E">
        <w:t xml:space="preserve">financial sustainability and </w:t>
      </w:r>
      <w:r w:rsidR="00924205" w:rsidRPr="004C059A">
        <w:t>stability</w:t>
      </w:r>
      <w:r>
        <w:t>,</w:t>
      </w:r>
    </w:p>
    <w:p w14:paraId="5BD0EA24" w14:textId="500B24DE" w:rsidR="00924205" w:rsidRPr="00924205" w:rsidRDefault="00335E4C" w:rsidP="00A14AEE">
      <w:pPr>
        <w:pStyle w:val="BodyText"/>
        <w:numPr>
          <w:ilvl w:val="0"/>
          <w:numId w:val="13"/>
        </w:numPr>
      </w:pPr>
      <w:r>
        <w:t>T</w:t>
      </w:r>
      <w:r w:rsidRPr="004C59EE">
        <w:t xml:space="preserve">hose </w:t>
      </w:r>
      <w:r w:rsidR="00924205" w:rsidRPr="004C59EE">
        <w:t>decisions</w:t>
      </w:r>
      <w:r w:rsidR="00924205" w:rsidRPr="004C059A">
        <w:t xml:space="preserve"> are made with future generations in mind</w:t>
      </w:r>
      <w:r>
        <w:t>,</w:t>
      </w:r>
      <w:r w:rsidR="00924205" w:rsidRPr="004C059A">
        <w:t xml:space="preserve"> and</w:t>
      </w:r>
    </w:p>
    <w:p w14:paraId="78B3470F" w14:textId="36761396" w:rsidR="00924205" w:rsidRPr="00924205" w:rsidRDefault="00335E4C" w:rsidP="00A14AEE">
      <w:pPr>
        <w:pStyle w:val="BodyText"/>
        <w:numPr>
          <w:ilvl w:val="0"/>
          <w:numId w:val="13"/>
        </w:numPr>
      </w:pPr>
      <w:r>
        <w:t>E</w:t>
      </w:r>
      <w:r w:rsidRPr="004C059A">
        <w:t>nsur</w:t>
      </w:r>
      <w:r>
        <w:t>ing</w:t>
      </w:r>
      <w:r w:rsidRPr="004C059A">
        <w:t xml:space="preserve"> </w:t>
      </w:r>
      <w:r w:rsidR="00924205" w:rsidRPr="004C059A">
        <w:t>the disclosure of financial information.</w:t>
      </w:r>
    </w:p>
    <w:p w14:paraId="4A62EF6B" w14:textId="4EACFDBD" w:rsidR="00924205" w:rsidRPr="00924205" w:rsidRDefault="00924205" w:rsidP="00FB623D">
      <w:pPr>
        <w:pStyle w:val="BodyText"/>
      </w:pPr>
      <w:r w:rsidRPr="004C059A">
        <w:t xml:space="preserve">Borrowing activities will be undertaken in a manner </w:t>
      </w:r>
      <w:r w:rsidR="00335E4C">
        <w:t>which</w:t>
      </w:r>
      <w:r w:rsidR="00335E4C" w:rsidRPr="004C059A">
        <w:t xml:space="preserve"> </w:t>
      </w:r>
      <w:r w:rsidRPr="004C059A">
        <w:t xml:space="preserve">minimises risk to </w:t>
      </w:r>
      <w:r w:rsidR="00992A6E">
        <w:t>the City</w:t>
      </w:r>
      <w:r w:rsidR="00066A79">
        <w:t xml:space="preserve">. </w:t>
      </w:r>
      <w:r>
        <w:t xml:space="preserve">Section 104 of </w:t>
      </w:r>
      <w:r w:rsidRPr="00A464E9">
        <w:t>the</w:t>
      </w:r>
      <w:r w:rsidR="00B00AB8">
        <w:t xml:space="preserve"> Act</w:t>
      </w:r>
      <w:r w:rsidRPr="004C059A">
        <w:t xml:space="preserve"> outlines</w:t>
      </w:r>
      <w:r w:rsidR="00992A6E">
        <w:t>, i.e., a</w:t>
      </w:r>
      <w:r w:rsidRPr="00924205">
        <w:t xml:space="preserve"> Council cannot borrow money unless the proposed borrowings were included in the budget or revised budget.</w:t>
      </w:r>
    </w:p>
    <w:p w14:paraId="5487BDFC" w14:textId="3D520BE7" w:rsidR="009B3D07" w:rsidRDefault="009B3D07" w:rsidP="009B3D07">
      <w:pPr>
        <w:pStyle w:val="Heading1NoNumber"/>
      </w:pPr>
      <w:r>
        <w:t>scope</w:t>
      </w:r>
    </w:p>
    <w:p w14:paraId="007E5E58" w14:textId="5BDF98BA" w:rsidR="00924205" w:rsidRDefault="00924205" w:rsidP="00924205">
      <w:pPr>
        <w:pStyle w:val="BodyText"/>
      </w:pPr>
      <w:r>
        <w:t>This policy applies to the C</w:t>
      </w:r>
      <w:r w:rsidR="00992A6E">
        <w:t xml:space="preserve">ity </w:t>
      </w:r>
      <w:r>
        <w:t>when considering and determining the annual budget</w:t>
      </w:r>
      <w:r w:rsidR="00335E4C">
        <w:t>,</w:t>
      </w:r>
      <w:r w:rsidR="00313B76">
        <w:t xml:space="preserve"> any revised budget,</w:t>
      </w:r>
      <w:r w:rsidR="00335E4C">
        <w:t xml:space="preserve"> borrowing funds within the budget settings,</w:t>
      </w:r>
      <w:r w:rsidR="00B00AB8">
        <w:t xml:space="preserve"> and making financial </w:t>
      </w:r>
      <w:r w:rsidR="00335E4C">
        <w:t xml:space="preserve">management </w:t>
      </w:r>
      <w:r w:rsidR="00B00AB8">
        <w:t>decisions.</w:t>
      </w:r>
    </w:p>
    <w:p w14:paraId="0AF5FF7C" w14:textId="77777777" w:rsidR="00924205" w:rsidRDefault="00924205" w:rsidP="00924205">
      <w:pPr>
        <w:pStyle w:val="BodyText"/>
      </w:pPr>
      <w:r>
        <w:t>City Officers must consider the application of this policy when:</w:t>
      </w:r>
    </w:p>
    <w:p w14:paraId="24DE699D" w14:textId="29008E34" w:rsidR="00335E4C" w:rsidRDefault="00992A6E" w:rsidP="00A14AEE">
      <w:pPr>
        <w:pStyle w:val="BodyText"/>
        <w:numPr>
          <w:ilvl w:val="0"/>
          <w:numId w:val="13"/>
        </w:numPr>
      </w:pPr>
      <w:r>
        <w:t xml:space="preserve">The City </w:t>
      </w:r>
      <w:r w:rsidR="00335E4C">
        <w:t>cannot borrow money unless the proposed borrowings were included in the budget or a revised budget,</w:t>
      </w:r>
    </w:p>
    <w:p w14:paraId="5B586FB9" w14:textId="24C20A9C" w:rsidR="00335E4C" w:rsidRDefault="00335E4C" w:rsidP="00A14AEE">
      <w:pPr>
        <w:pStyle w:val="BodyText"/>
        <w:numPr>
          <w:ilvl w:val="0"/>
          <w:numId w:val="13"/>
        </w:numPr>
      </w:pPr>
      <w:r>
        <w:t>Strategies the C</w:t>
      </w:r>
      <w:r w:rsidR="00992A6E">
        <w:t xml:space="preserve">ity </w:t>
      </w:r>
      <w:r w:rsidRPr="00335E4C">
        <w:t xml:space="preserve">may employ </w:t>
      </w:r>
      <w:r w:rsidR="00313B76" w:rsidRPr="00335E4C">
        <w:t>to</w:t>
      </w:r>
      <w:r w:rsidRPr="00335E4C">
        <w:t xml:space="preserve"> facilitate stated goals or to achieve desired financial objectives</w:t>
      </w:r>
      <w:r>
        <w:t>,</w:t>
      </w:r>
    </w:p>
    <w:p w14:paraId="1A56DD4A" w14:textId="7E5B6E1C" w:rsidR="00924205" w:rsidRPr="00123E23" w:rsidRDefault="00335E4C" w:rsidP="00A14AEE">
      <w:pPr>
        <w:pStyle w:val="BodyText"/>
        <w:numPr>
          <w:ilvl w:val="0"/>
          <w:numId w:val="13"/>
        </w:numPr>
      </w:pPr>
      <w:r w:rsidRPr="00123E23">
        <w:t>C</w:t>
      </w:r>
      <w:r w:rsidR="00924205" w:rsidRPr="00123E23">
        <w:t>onsider</w:t>
      </w:r>
      <w:r w:rsidRPr="00123E23">
        <w:t xml:space="preserve">ation of </w:t>
      </w:r>
      <w:r w:rsidR="00924205" w:rsidRPr="00123E23">
        <w:t>new borrowings</w:t>
      </w:r>
      <w:r w:rsidRPr="00123E23">
        <w:t xml:space="preserve">, </w:t>
      </w:r>
    </w:p>
    <w:p w14:paraId="1174296E" w14:textId="149C1605" w:rsidR="00924205" w:rsidRPr="00123E23" w:rsidRDefault="00335E4C" w:rsidP="00A14AEE">
      <w:pPr>
        <w:pStyle w:val="BodyText"/>
        <w:numPr>
          <w:ilvl w:val="0"/>
          <w:numId w:val="13"/>
        </w:numPr>
      </w:pPr>
      <w:r w:rsidRPr="00123E23">
        <w:t>R</w:t>
      </w:r>
      <w:r w:rsidR="00924205" w:rsidRPr="00123E23">
        <w:t>efinancing existing borrowings (where long-term benefits of refinancing are greater than the cost of the existing loan)</w:t>
      </w:r>
      <w:r w:rsidR="00C34B61" w:rsidRPr="00123E23">
        <w:t>, and</w:t>
      </w:r>
    </w:p>
    <w:p w14:paraId="0E8CBBAE" w14:textId="462556F4" w:rsidR="00C34B61" w:rsidRPr="00486CE8" w:rsidRDefault="00C34B61" w:rsidP="00A14AEE">
      <w:pPr>
        <w:pStyle w:val="BodyText"/>
        <w:numPr>
          <w:ilvl w:val="0"/>
          <w:numId w:val="13"/>
        </w:numPr>
        <w:spacing w:before="120" w:after="120" w:line="270" w:lineRule="atLeast"/>
        <w:jc w:val="left"/>
      </w:pPr>
      <w:r w:rsidRPr="00486CE8">
        <w:t>For the establishment of new debt facilities, as approved by resolution of Council at the time of budget adoption or as required.</w:t>
      </w:r>
    </w:p>
    <w:p w14:paraId="3C8FBA0D" w14:textId="1DFCBE0C" w:rsidR="009B3D07" w:rsidRDefault="009B3D07" w:rsidP="00856A61">
      <w:pPr>
        <w:pStyle w:val="BodyText"/>
        <w:spacing w:before="120" w:after="120" w:line="270" w:lineRule="atLeast"/>
        <w:jc w:val="left"/>
      </w:pPr>
      <w:r>
        <w:br w:type="page"/>
      </w:r>
    </w:p>
    <w:p w14:paraId="722EB292" w14:textId="63BBD15D" w:rsidR="00F9600D" w:rsidRDefault="009B3D07" w:rsidP="009B3D07">
      <w:pPr>
        <w:pStyle w:val="AttachmentHeading1"/>
        <w:framePr w:wrap="around"/>
      </w:pPr>
      <w:bookmarkStart w:id="2" w:name="_Toc140851561"/>
      <w:r>
        <w:lastRenderedPageBreak/>
        <w:t>Definitions</w:t>
      </w:r>
      <w:bookmarkEnd w:id="2"/>
    </w:p>
    <w:p w14:paraId="375BBE6B" w14:textId="6532A197" w:rsidR="009B3D07" w:rsidRDefault="009B3D07" w:rsidP="00DF644E">
      <w:pPr>
        <w:pStyle w:val="BodyText"/>
      </w:pPr>
      <w:r>
        <w:t>The following definitions apply to this Policy:</w:t>
      </w:r>
    </w:p>
    <w:tbl>
      <w:tblPr>
        <w:tblStyle w:val="TableGrid"/>
        <w:tblW w:w="0" w:type="auto"/>
        <w:tblLook w:val="04A0" w:firstRow="1" w:lastRow="0" w:firstColumn="1" w:lastColumn="0" w:noHBand="0" w:noVBand="1"/>
      </w:tblPr>
      <w:tblGrid>
        <w:gridCol w:w="2694"/>
        <w:gridCol w:w="6945"/>
      </w:tblGrid>
      <w:tr w:rsidR="009B3D07" w14:paraId="1DE84094" w14:textId="77777777" w:rsidTr="007F5638">
        <w:trPr>
          <w:cnfStyle w:val="100000000000" w:firstRow="1" w:lastRow="0" w:firstColumn="0" w:lastColumn="0" w:oddVBand="0" w:evenVBand="0" w:oddHBand="0" w:evenHBand="0" w:firstRowFirstColumn="0" w:firstRowLastColumn="0" w:lastRowFirstColumn="0" w:lastRowLastColumn="0"/>
        </w:trPr>
        <w:tc>
          <w:tcPr>
            <w:tcW w:w="2694" w:type="dxa"/>
          </w:tcPr>
          <w:p w14:paraId="5F899865" w14:textId="10CC859A" w:rsidR="009B3D07" w:rsidRDefault="009B3D07" w:rsidP="00DF644E">
            <w:pPr>
              <w:pStyle w:val="BodyText"/>
            </w:pPr>
            <w:r>
              <w:t>Term</w:t>
            </w:r>
          </w:p>
        </w:tc>
        <w:tc>
          <w:tcPr>
            <w:tcW w:w="6945" w:type="dxa"/>
          </w:tcPr>
          <w:p w14:paraId="3CA84192" w14:textId="03148E72" w:rsidR="009B3D07" w:rsidRDefault="009B3D07" w:rsidP="00DF644E">
            <w:pPr>
              <w:pStyle w:val="BodyText"/>
            </w:pPr>
            <w:r>
              <w:t>Definition</w:t>
            </w:r>
          </w:p>
        </w:tc>
      </w:tr>
      <w:tr w:rsidR="009B3D07" w14:paraId="53329DA9" w14:textId="77777777" w:rsidTr="007F5638">
        <w:tc>
          <w:tcPr>
            <w:tcW w:w="2694" w:type="dxa"/>
          </w:tcPr>
          <w:p w14:paraId="7D9FB05F" w14:textId="04D724BF" w:rsidR="009B3D07" w:rsidRDefault="00DD2FB1" w:rsidP="00DF644E">
            <w:pPr>
              <w:pStyle w:val="BodyText"/>
            </w:pPr>
            <w:r w:rsidRPr="00DD2FB1">
              <w:rPr>
                <w:b/>
                <w:bCs/>
              </w:rPr>
              <w:t>City</w:t>
            </w:r>
          </w:p>
        </w:tc>
        <w:tc>
          <w:tcPr>
            <w:tcW w:w="6945" w:type="dxa"/>
          </w:tcPr>
          <w:p w14:paraId="723E182E" w14:textId="43D9833D" w:rsidR="009B3D07" w:rsidRDefault="00DD2FB1" w:rsidP="00DF644E">
            <w:pPr>
              <w:pStyle w:val="BodyText"/>
            </w:pPr>
            <w:r>
              <w:t xml:space="preserve">The City of Greater Geelong organisation, led by the CEO. </w:t>
            </w:r>
          </w:p>
        </w:tc>
      </w:tr>
      <w:tr w:rsidR="0012550A" w14:paraId="5D900BAE" w14:textId="77777777" w:rsidTr="007F5638">
        <w:tc>
          <w:tcPr>
            <w:tcW w:w="2694" w:type="dxa"/>
          </w:tcPr>
          <w:p w14:paraId="61EFB11B" w14:textId="7629EF0F" w:rsidR="0012550A" w:rsidRPr="00DD2FB1" w:rsidRDefault="0012550A" w:rsidP="00DF644E">
            <w:pPr>
              <w:pStyle w:val="BodyText"/>
              <w:rPr>
                <w:b/>
                <w:bCs/>
              </w:rPr>
            </w:pPr>
            <w:r>
              <w:rPr>
                <w:b/>
                <w:bCs/>
              </w:rPr>
              <w:t xml:space="preserve">City </w:t>
            </w:r>
            <w:r w:rsidR="00B00AB8">
              <w:rPr>
                <w:b/>
                <w:bCs/>
              </w:rPr>
              <w:t>Officers</w:t>
            </w:r>
          </w:p>
        </w:tc>
        <w:tc>
          <w:tcPr>
            <w:tcW w:w="6945" w:type="dxa"/>
          </w:tcPr>
          <w:p w14:paraId="436A3C17" w14:textId="6408BC8A" w:rsidR="0012550A" w:rsidRPr="00A14AEE" w:rsidRDefault="0012550A" w:rsidP="00DF644E">
            <w:pPr>
              <w:pStyle w:val="BodyText"/>
            </w:pPr>
            <w:r>
              <w:t>Includes employees, volunteers and contractors.</w:t>
            </w:r>
            <w:r w:rsidR="00992A6E">
              <w:t xml:space="preserve"> Only employees are able to act under this Policy.</w:t>
            </w:r>
          </w:p>
        </w:tc>
      </w:tr>
      <w:tr w:rsidR="009B3D07" w14:paraId="5CE0A816" w14:textId="77777777" w:rsidTr="007F5638">
        <w:tc>
          <w:tcPr>
            <w:tcW w:w="2694" w:type="dxa"/>
          </w:tcPr>
          <w:p w14:paraId="57D74D76" w14:textId="037396F4" w:rsidR="009B3D07" w:rsidRDefault="00DD2FB1" w:rsidP="00DF644E">
            <w:pPr>
              <w:pStyle w:val="BodyText"/>
            </w:pPr>
            <w:r w:rsidRPr="00DD2FB1">
              <w:rPr>
                <w:b/>
                <w:bCs/>
              </w:rPr>
              <w:t>Council</w:t>
            </w:r>
          </w:p>
        </w:tc>
        <w:tc>
          <w:tcPr>
            <w:tcW w:w="6945" w:type="dxa"/>
          </w:tcPr>
          <w:p w14:paraId="79C38560" w14:textId="534477AC" w:rsidR="009B3D07" w:rsidRDefault="00DD2FB1" w:rsidP="00DF644E">
            <w:pPr>
              <w:pStyle w:val="BodyText"/>
            </w:pPr>
            <w:r>
              <w:t>The City of Greater Geelong Council comprised of elected councillors and led by the Mayor</w:t>
            </w:r>
            <w:r w:rsidR="00066A79">
              <w:t xml:space="preserve">. </w:t>
            </w:r>
          </w:p>
        </w:tc>
      </w:tr>
      <w:tr w:rsidR="00486CE8" w:rsidRPr="00486CE8" w14:paraId="6DA33AFB" w14:textId="77777777" w:rsidTr="00A63CB8">
        <w:tc>
          <w:tcPr>
            <w:tcW w:w="2694" w:type="dxa"/>
          </w:tcPr>
          <w:p w14:paraId="487BCA03" w14:textId="77777777" w:rsidR="00C34B61" w:rsidRPr="00486CE8" w:rsidRDefault="00C34B61" w:rsidP="00A63CB8">
            <w:pPr>
              <w:pStyle w:val="BodyText"/>
              <w:rPr>
                <w:b/>
                <w:bCs/>
              </w:rPr>
            </w:pPr>
            <w:r w:rsidRPr="00486CE8">
              <w:rPr>
                <w:b/>
                <w:bCs/>
              </w:rPr>
              <w:t>Debt facility</w:t>
            </w:r>
          </w:p>
        </w:tc>
        <w:tc>
          <w:tcPr>
            <w:tcW w:w="6945" w:type="dxa"/>
          </w:tcPr>
          <w:p w14:paraId="5001BC57" w14:textId="77777777" w:rsidR="00C34B61" w:rsidRPr="00486CE8" w:rsidRDefault="00C34B61" w:rsidP="00A63CB8">
            <w:pPr>
              <w:pStyle w:val="BodyText"/>
            </w:pPr>
            <w:r w:rsidRPr="00486CE8">
              <w:t>Also called a loan facility, is maximum amount a lender has permitted a borrower to borrow.</w:t>
            </w:r>
          </w:p>
        </w:tc>
      </w:tr>
      <w:tr w:rsidR="009B3D07" w14:paraId="6E50A970" w14:textId="77777777" w:rsidTr="007F5638">
        <w:tc>
          <w:tcPr>
            <w:tcW w:w="2694" w:type="dxa"/>
          </w:tcPr>
          <w:p w14:paraId="319D49B5" w14:textId="2B2534E8" w:rsidR="009B3D07" w:rsidRDefault="00DD2FB1" w:rsidP="00DF644E">
            <w:pPr>
              <w:pStyle w:val="BodyText"/>
            </w:pPr>
            <w:r w:rsidRPr="00DD2FB1">
              <w:rPr>
                <w:b/>
                <w:bCs/>
              </w:rPr>
              <w:t>ELT</w:t>
            </w:r>
          </w:p>
        </w:tc>
        <w:tc>
          <w:tcPr>
            <w:tcW w:w="6945" w:type="dxa"/>
          </w:tcPr>
          <w:p w14:paraId="7A2165F0" w14:textId="6D6623D1" w:rsidR="009B3D07" w:rsidRDefault="00DD2FB1" w:rsidP="00DF644E">
            <w:pPr>
              <w:pStyle w:val="BodyText"/>
            </w:pPr>
            <w:r>
              <w:t>The Executive Leadership Team of the City, as constituted from time to time</w:t>
            </w:r>
            <w:r w:rsidR="00066A79">
              <w:t xml:space="preserve">. </w:t>
            </w:r>
          </w:p>
        </w:tc>
      </w:tr>
      <w:tr w:rsidR="00A14AEE" w14:paraId="1E662612" w14:textId="77777777" w:rsidTr="007F5638">
        <w:tc>
          <w:tcPr>
            <w:tcW w:w="2694" w:type="dxa"/>
          </w:tcPr>
          <w:p w14:paraId="7703E23B" w14:textId="35449A65" w:rsidR="00A14AEE" w:rsidRPr="00DD2FB1" w:rsidRDefault="00A14AEE" w:rsidP="00DF644E">
            <w:pPr>
              <w:pStyle w:val="BodyText"/>
              <w:rPr>
                <w:b/>
                <w:bCs/>
              </w:rPr>
            </w:pPr>
            <w:r w:rsidRPr="00A14AEE">
              <w:rPr>
                <w:b/>
                <w:bCs/>
              </w:rPr>
              <w:t>Responsible Officer</w:t>
            </w:r>
          </w:p>
        </w:tc>
        <w:tc>
          <w:tcPr>
            <w:tcW w:w="6945" w:type="dxa"/>
          </w:tcPr>
          <w:p w14:paraId="174465F6" w14:textId="77777777" w:rsidR="00A14AEE" w:rsidRDefault="00A14AEE" w:rsidP="00A14AEE">
            <w:pPr>
              <w:pStyle w:val="BodyText"/>
            </w:pPr>
            <w:r>
              <w:t xml:space="preserve">The officer delegated by the Authorising Officer with the responsibility for the development, deployment, monitoring and review of the document. </w:t>
            </w:r>
          </w:p>
          <w:p w14:paraId="36085C5E" w14:textId="77777777" w:rsidR="00A14AEE" w:rsidRDefault="00A14AEE" w:rsidP="00A14AEE">
            <w:pPr>
              <w:pStyle w:val="BodyText"/>
            </w:pPr>
            <w:r>
              <w:t xml:space="preserve">The Responsible Officer is generally the director or manager of the relevant directorate or department responsible for the subject matter that is the topic of a governance document. </w:t>
            </w:r>
          </w:p>
          <w:p w14:paraId="6B0AF501" w14:textId="79CC5F5B" w:rsidR="00A14AEE" w:rsidRDefault="00A14AEE" w:rsidP="00A14AEE">
            <w:pPr>
              <w:pStyle w:val="BodyText"/>
            </w:pPr>
            <w:r>
              <w:t>The CEO will determine the Responsible Officer if more than one business area is equally involved in the subject matter. The Responsible Officer is the first point of contact for enquiries regarding the document.</w:t>
            </w:r>
          </w:p>
        </w:tc>
      </w:tr>
      <w:tr w:rsidR="00887DDC" w14:paraId="4688A17A" w14:textId="77777777" w:rsidTr="007F5638">
        <w:tc>
          <w:tcPr>
            <w:tcW w:w="2694" w:type="dxa"/>
          </w:tcPr>
          <w:p w14:paraId="29E9AB40" w14:textId="5CE340CB" w:rsidR="00887DDC" w:rsidRPr="00DD2FB1" w:rsidRDefault="00A14AEE" w:rsidP="00DF644E">
            <w:pPr>
              <w:pStyle w:val="BodyText"/>
              <w:rPr>
                <w:b/>
                <w:bCs/>
              </w:rPr>
            </w:pPr>
            <w:r w:rsidRPr="00A14AEE">
              <w:rPr>
                <w:b/>
                <w:bCs/>
              </w:rPr>
              <w:t>Capital Project</w:t>
            </w:r>
          </w:p>
        </w:tc>
        <w:tc>
          <w:tcPr>
            <w:tcW w:w="6945" w:type="dxa"/>
          </w:tcPr>
          <w:p w14:paraId="045B884D" w14:textId="485565C9" w:rsidR="00887DDC" w:rsidRPr="00E209E0" w:rsidRDefault="00A14AEE" w:rsidP="00DF644E">
            <w:pPr>
              <w:pStyle w:val="BodyText"/>
              <w:rPr>
                <w:b/>
                <w:bCs/>
                <w:i/>
                <w:iCs/>
              </w:rPr>
            </w:pPr>
            <w:r w:rsidRPr="00A14AEE">
              <w:t>Means a long-term investment project requiring relatively large sums to acquire, construct and/or renew a capital asset (such as buildings). The project would result in a new, expanded or replaced asset.</w:t>
            </w:r>
          </w:p>
        </w:tc>
      </w:tr>
      <w:tr w:rsidR="00887DDC" w14:paraId="26A94A38" w14:textId="77777777" w:rsidTr="007F5638">
        <w:tc>
          <w:tcPr>
            <w:tcW w:w="2694" w:type="dxa"/>
          </w:tcPr>
          <w:p w14:paraId="6ED22702" w14:textId="5DCEBA3F" w:rsidR="00887DDC" w:rsidRPr="00DD2FB1" w:rsidRDefault="00A14AEE" w:rsidP="00DF644E">
            <w:pPr>
              <w:pStyle w:val="BodyText"/>
              <w:rPr>
                <w:b/>
                <w:bCs/>
              </w:rPr>
            </w:pPr>
            <w:r w:rsidRPr="00A14AEE">
              <w:rPr>
                <w:b/>
                <w:bCs/>
              </w:rPr>
              <w:t>Defined Benefit Fund</w:t>
            </w:r>
          </w:p>
        </w:tc>
        <w:tc>
          <w:tcPr>
            <w:tcW w:w="6945" w:type="dxa"/>
          </w:tcPr>
          <w:p w14:paraId="0F2F5A56" w14:textId="7526AE78" w:rsidR="00887DDC" w:rsidRDefault="00A14AEE" w:rsidP="00DF644E">
            <w:pPr>
              <w:pStyle w:val="BodyText"/>
            </w:pPr>
            <w:r w:rsidRPr="00A14AEE">
              <w:t>Is a closed plan to new members from 31 December 1993. The future liabilities of the fund relative to investment performance may necessitate future funding calls.</w:t>
            </w:r>
          </w:p>
        </w:tc>
      </w:tr>
      <w:tr w:rsidR="00887DDC" w14:paraId="1605C28E" w14:textId="77777777" w:rsidTr="007F5638">
        <w:tc>
          <w:tcPr>
            <w:tcW w:w="2694" w:type="dxa"/>
          </w:tcPr>
          <w:p w14:paraId="71CF19D7" w14:textId="7F85599B" w:rsidR="00887DDC" w:rsidRPr="00DD2FB1" w:rsidRDefault="00A14AEE" w:rsidP="00DF644E">
            <w:pPr>
              <w:pStyle w:val="BodyText"/>
              <w:rPr>
                <w:b/>
                <w:bCs/>
              </w:rPr>
            </w:pPr>
            <w:r w:rsidRPr="00A14AEE">
              <w:rPr>
                <w:b/>
                <w:bCs/>
              </w:rPr>
              <w:t>Developer Contribution Plan Project</w:t>
            </w:r>
          </w:p>
        </w:tc>
        <w:tc>
          <w:tcPr>
            <w:tcW w:w="6945" w:type="dxa"/>
          </w:tcPr>
          <w:p w14:paraId="79F08ED8" w14:textId="761B62DB" w:rsidR="00A14AEE" w:rsidRDefault="00A14AEE" w:rsidP="00A14AEE">
            <w:pPr>
              <w:pStyle w:val="BodyText"/>
            </w:pPr>
            <w:r>
              <w:t>A Development Contributions Plan (DCP) is a mechanism used to levy new developments for contributions to planned infrastructure needed by the future community</w:t>
            </w:r>
            <w:r w:rsidR="00066A79">
              <w:t xml:space="preserve">. </w:t>
            </w:r>
            <w:r>
              <w:t>An approved DCP is a DCP that forms part of a planning scheme.</w:t>
            </w:r>
          </w:p>
          <w:p w14:paraId="311F3A21" w14:textId="1CA4FF50" w:rsidR="00887DDC" w:rsidRDefault="00A14AEE" w:rsidP="00A14AEE">
            <w:pPr>
              <w:pStyle w:val="BodyText"/>
            </w:pPr>
            <w:r>
              <w:t>A DCP project is a project which a contribution has been received from the developer to fund infrastructure and other community items.</w:t>
            </w:r>
          </w:p>
        </w:tc>
      </w:tr>
      <w:tr w:rsidR="00A14AEE" w14:paraId="3476E84F" w14:textId="77777777" w:rsidTr="007F5638">
        <w:tc>
          <w:tcPr>
            <w:tcW w:w="2694" w:type="dxa"/>
          </w:tcPr>
          <w:p w14:paraId="34B1AF7A" w14:textId="5369CE06" w:rsidR="00A14AEE" w:rsidRPr="00DD2FB1" w:rsidRDefault="00A14AEE" w:rsidP="00DF644E">
            <w:pPr>
              <w:pStyle w:val="BodyText"/>
              <w:rPr>
                <w:b/>
                <w:bCs/>
              </w:rPr>
            </w:pPr>
            <w:r w:rsidRPr="00A14AEE">
              <w:rPr>
                <w:b/>
                <w:bCs/>
              </w:rPr>
              <w:t>Loan Book</w:t>
            </w:r>
          </w:p>
        </w:tc>
        <w:tc>
          <w:tcPr>
            <w:tcW w:w="6945" w:type="dxa"/>
          </w:tcPr>
          <w:p w14:paraId="1FA5BE01" w14:textId="57EE6941" w:rsidR="00A14AEE" w:rsidRDefault="00A14AEE" w:rsidP="00DF644E">
            <w:pPr>
              <w:pStyle w:val="BodyText"/>
            </w:pPr>
            <w:r w:rsidRPr="00A14AEE">
              <w:t>Means the collective value of loans held by the City</w:t>
            </w:r>
            <w:r w:rsidR="00066A79" w:rsidRPr="00A14AEE">
              <w:t xml:space="preserve">. </w:t>
            </w:r>
          </w:p>
        </w:tc>
      </w:tr>
      <w:tr w:rsidR="00A14AEE" w14:paraId="6C109B79" w14:textId="77777777" w:rsidTr="007F5638">
        <w:tc>
          <w:tcPr>
            <w:tcW w:w="2694" w:type="dxa"/>
          </w:tcPr>
          <w:p w14:paraId="4243F9B6" w14:textId="014D8028" w:rsidR="00A14AEE" w:rsidRPr="00DD2FB1" w:rsidRDefault="00A14AEE" w:rsidP="00DF644E">
            <w:pPr>
              <w:pStyle w:val="BodyText"/>
              <w:rPr>
                <w:b/>
                <w:bCs/>
              </w:rPr>
            </w:pPr>
            <w:r w:rsidRPr="00A14AEE">
              <w:rPr>
                <w:b/>
                <w:bCs/>
              </w:rPr>
              <w:lastRenderedPageBreak/>
              <w:t>Local Government Performance Reporting Framework (L</w:t>
            </w:r>
            <w:r>
              <w:rPr>
                <w:b/>
                <w:bCs/>
              </w:rPr>
              <w:t>GPRF</w:t>
            </w:r>
            <w:r w:rsidRPr="00A14AEE">
              <w:rPr>
                <w:b/>
                <w:bCs/>
              </w:rPr>
              <w:t>)</w:t>
            </w:r>
          </w:p>
        </w:tc>
        <w:tc>
          <w:tcPr>
            <w:tcW w:w="6945" w:type="dxa"/>
          </w:tcPr>
          <w:p w14:paraId="44CF9EEC" w14:textId="471D07F6" w:rsidR="00A14AEE" w:rsidRDefault="00A14AEE" w:rsidP="00DF644E">
            <w:pPr>
              <w:pStyle w:val="BodyText"/>
            </w:pPr>
            <w:r w:rsidRPr="00A14AEE">
              <w:t>Outlines the measures to be included in the City’s performance report.</w:t>
            </w:r>
          </w:p>
        </w:tc>
      </w:tr>
      <w:tr w:rsidR="00A14AEE" w14:paraId="24C9191F" w14:textId="77777777" w:rsidTr="007F5638">
        <w:tc>
          <w:tcPr>
            <w:tcW w:w="2694" w:type="dxa"/>
          </w:tcPr>
          <w:p w14:paraId="55712189" w14:textId="5BF7FF0F" w:rsidR="00A14AEE" w:rsidRPr="00DD2FB1" w:rsidRDefault="00A14AEE" w:rsidP="00DF644E">
            <w:pPr>
              <w:pStyle w:val="BodyText"/>
              <w:rPr>
                <w:b/>
                <w:bCs/>
              </w:rPr>
            </w:pPr>
            <w:r w:rsidRPr="00A14AEE">
              <w:rPr>
                <w:b/>
                <w:bCs/>
              </w:rPr>
              <w:t>Long-Term Financial Plan</w:t>
            </w:r>
          </w:p>
        </w:tc>
        <w:tc>
          <w:tcPr>
            <w:tcW w:w="6945" w:type="dxa"/>
          </w:tcPr>
          <w:p w14:paraId="70205E28" w14:textId="41C51247" w:rsidR="00A14AEE" w:rsidRDefault="00A14AEE" w:rsidP="00DF644E">
            <w:pPr>
              <w:pStyle w:val="BodyText"/>
            </w:pPr>
            <w:r w:rsidRPr="00A14AEE">
              <w:t xml:space="preserve">The long-term financial plan provides an outline of the </w:t>
            </w:r>
            <w:r w:rsidR="00313B76">
              <w:t>City’s</w:t>
            </w:r>
            <w:r w:rsidRPr="00A14AEE">
              <w:t xml:space="preserve"> financial and other resources required to deliver upon key strategic plans over a 10-year period.</w:t>
            </w:r>
          </w:p>
        </w:tc>
      </w:tr>
      <w:tr w:rsidR="00A14AEE" w14:paraId="006A848F" w14:textId="77777777" w:rsidTr="007F5638">
        <w:tc>
          <w:tcPr>
            <w:tcW w:w="2694" w:type="dxa"/>
          </w:tcPr>
          <w:p w14:paraId="4A8D43D8" w14:textId="59F059B6" w:rsidR="00A14AEE" w:rsidRPr="00DD2FB1" w:rsidRDefault="00A14AEE" w:rsidP="00DF644E">
            <w:pPr>
              <w:pStyle w:val="BodyText"/>
              <w:rPr>
                <w:b/>
                <w:bCs/>
              </w:rPr>
            </w:pPr>
            <w:r w:rsidRPr="00A14AEE">
              <w:rPr>
                <w:b/>
                <w:bCs/>
              </w:rPr>
              <w:t>Section 173 Agreement</w:t>
            </w:r>
          </w:p>
        </w:tc>
        <w:tc>
          <w:tcPr>
            <w:tcW w:w="6945" w:type="dxa"/>
          </w:tcPr>
          <w:p w14:paraId="287089FD" w14:textId="3F2F794D" w:rsidR="00A14AEE" w:rsidRDefault="00A14AEE" w:rsidP="00DF644E">
            <w:pPr>
              <w:pStyle w:val="BodyText"/>
            </w:pPr>
            <w:r w:rsidRPr="00A14AEE">
              <w:t>Is a legal agreement made between the City of Greater Geelong and another party or parties, under section 173 of the Planning and Environment Act 1987.</w:t>
            </w:r>
          </w:p>
        </w:tc>
      </w:tr>
      <w:tr w:rsidR="00A14AEE" w14:paraId="77C4DA25" w14:textId="77777777" w:rsidTr="007F5638">
        <w:tc>
          <w:tcPr>
            <w:tcW w:w="2694" w:type="dxa"/>
          </w:tcPr>
          <w:p w14:paraId="10A66780" w14:textId="3017A114" w:rsidR="00A14AEE" w:rsidRPr="00DD2FB1" w:rsidRDefault="00A14AEE" w:rsidP="00DF644E">
            <w:pPr>
              <w:pStyle w:val="BodyText"/>
              <w:rPr>
                <w:b/>
                <w:bCs/>
              </w:rPr>
            </w:pPr>
            <w:r w:rsidRPr="00A14AEE">
              <w:rPr>
                <w:b/>
                <w:bCs/>
              </w:rPr>
              <w:t>Victorian Auditor General’s Office (VAGO)</w:t>
            </w:r>
          </w:p>
        </w:tc>
        <w:tc>
          <w:tcPr>
            <w:tcW w:w="6945" w:type="dxa"/>
          </w:tcPr>
          <w:p w14:paraId="5ADD52F8" w14:textId="254681F0" w:rsidR="00A14AEE" w:rsidRDefault="00A14AEE" w:rsidP="00DF644E">
            <w:pPr>
              <w:pStyle w:val="BodyText"/>
            </w:pPr>
            <w:r w:rsidRPr="00A14AEE">
              <w:t>Examines and reports on the management of resources within the public sector.</w:t>
            </w:r>
          </w:p>
        </w:tc>
      </w:tr>
      <w:tr w:rsidR="00A14AEE" w14:paraId="09A5094C" w14:textId="77777777" w:rsidTr="007F5638">
        <w:tc>
          <w:tcPr>
            <w:tcW w:w="2694" w:type="dxa"/>
          </w:tcPr>
          <w:p w14:paraId="777EEA30" w14:textId="1945CB98" w:rsidR="00A14AEE" w:rsidRPr="00DD2FB1" w:rsidRDefault="00A14AEE" w:rsidP="00DF644E">
            <w:pPr>
              <w:pStyle w:val="BodyText"/>
              <w:rPr>
                <w:b/>
                <w:bCs/>
              </w:rPr>
            </w:pPr>
            <w:r w:rsidRPr="00A14AEE">
              <w:rPr>
                <w:b/>
                <w:bCs/>
              </w:rPr>
              <w:t>Treasury Corporation Victoria (TCV)</w:t>
            </w:r>
          </w:p>
        </w:tc>
        <w:tc>
          <w:tcPr>
            <w:tcW w:w="6945" w:type="dxa"/>
          </w:tcPr>
          <w:p w14:paraId="5AEB22DB" w14:textId="7DE18279" w:rsidR="00A14AEE" w:rsidRDefault="00A14AEE" w:rsidP="00DF644E">
            <w:pPr>
              <w:pStyle w:val="BodyText"/>
            </w:pPr>
            <w:r w:rsidRPr="00A14AEE">
              <w:t>Victorian Government entity that provides the loans to eligible Local Government Councils.</w:t>
            </w:r>
          </w:p>
        </w:tc>
      </w:tr>
      <w:tr w:rsidR="00800CD1" w14:paraId="73A9321E" w14:textId="77777777" w:rsidTr="007F5638">
        <w:tc>
          <w:tcPr>
            <w:tcW w:w="2694" w:type="dxa"/>
          </w:tcPr>
          <w:p w14:paraId="4ADAA150" w14:textId="7E942B48" w:rsidR="00800CD1" w:rsidRPr="00A14AEE" w:rsidRDefault="00335E4C" w:rsidP="00DF644E">
            <w:pPr>
              <w:pStyle w:val="BodyText"/>
              <w:rPr>
                <w:b/>
                <w:bCs/>
              </w:rPr>
            </w:pPr>
            <w:r>
              <w:rPr>
                <w:b/>
                <w:bCs/>
              </w:rPr>
              <w:t xml:space="preserve">Financial </w:t>
            </w:r>
            <w:r w:rsidR="00B00AB8" w:rsidRPr="00B00AB8">
              <w:rPr>
                <w:b/>
                <w:bCs/>
              </w:rPr>
              <w:t>management principles</w:t>
            </w:r>
          </w:p>
        </w:tc>
        <w:tc>
          <w:tcPr>
            <w:tcW w:w="6945" w:type="dxa"/>
          </w:tcPr>
          <w:p w14:paraId="406B6908" w14:textId="5421E9D4" w:rsidR="00800CD1" w:rsidRPr="00A14AEE" w:rsidRDefault="00335E4C" w:rsidP="00DF644E">
            <w:pPr>
              <w:pStyle w:val="BodyText"/>
            </w:pPr>
            <w:r w:rsidRPr="00335E4C">
              <w:t xml:space="preserve">Sound financial management is the careful tracking and prudent management of </w:t>
            </w:r>
            <w:r>
              <w:t>the C</w:t>
            </w:r>
            <w:r w:rsidR="00992A6E">
              <w:t xml:space="preserve">ity’s </w:t>
            </w:r>
            <w:r w:rsidRPr="00335E4C">
              <w:t>financial resources and cash-flow. Without sound financial management, information can be wrong or absent, decision-making is flawed, and minor issues can become serious problems put</w:t>
            </w:r>
            <w:r>
              <w:t>ting</w:t>
            </w:r>
            <w:r w:rsidRPr="00335E4C">
              <w:t xml:space="preserve"> the </w:t>
            </w:r>
            <w:r>
              <w:t>C</w:t>
            </w:r>
            <w:r w:rsidR="00992A6E">
              <w:t xml:space="preserve">ity </w:t>
            </w:r>
            <w:r w:rsidRPr="00335E4C">
              <w:t>itself at risk.</w:t>
            </w:r>
          </w:p>
        </w:tc>
      </w:tr>
      <w:tr w:rsidR="00800CD1" w14:paraId="6DA4E590" w14:textId="77777777" w:rsidTr="007F5638">
        <w:tc>
          <w:tcPr>
            <w:tcW w:w="2694" w:type="dxa"/>
          </w:tcPr>
          <w:p w14:paraId="4C45DD37" w14:textId="658071FF" w:rsidR="00800CD1" w:rsidRPr="00A14AEE" w:rsidRDefault="00992A6E" w:rsidP="00DF644E">
            <w:pPr>
              <w:pStyle w:val="BodyText"/>
              <w:rPr>
                <w:b/>
                <w:bCs/>
              </w:rPr>
            </w:pPr>
            <w:r w:rsidRPr="00FB623D">
              <w:rPr>
                <w:b/>
                <w:bCs/>
              </w:rPr>
              <w:t>Financial Institution</w:t>
            </w:r>
          </w:p>
        </w:tc>
        <w:tc>
          <w:tcPr>
            <w:tcW w:w="6945" w:type="dxa"/>
          </w:tcPr>
          <w:p w14:paraId="11A5576B" w14:textId="77777777" w:rsidR="00800CD1" w:rsidRDefault="00992A6E" w:rsidP="00DF644E">
            <w:pPr>
              <w:pStyle w:val="BodyText"/>
            </w:pPr>
            <w:r w:rsidRPr="00992A6E">
              <w:t>A financial institution (FI) is a company engaged in the business of dealing with financial and monetary transactions such as deposits, loans, investments, and currency exchange.</w:t>
            </w:r>
          </w:p>
          <w:p w14:paraId="2F44635E" w14:textId="6E5542B4" w:rsidR="00992A6E" w:rsidRPr="00A14AEE" w:rsidRDefault="00992A6E" w:rsidP="00DF644E">
            <w:pPr>
              <w:pStyle w:val="BodyText"/>
            </w:pPr>
            <w:r>
              <w:t xml:space="preserve">For the purpose of this Policy this is defined as </w:t>
            </w:r>
            <w:r w:rsidRPr="00992A6E">
              <w:t>Authorised Deposit-taking Institutions (ADIs)</w:t>
            </w:r>
            <w:r>
              <w:t>.</w:t>
            </w:r>
          </w:p>
        </w:tc>
      </w:tr>
      <w:tr w:rsidR="00313B76" w14:paraId="1CB2E9BB" w14:textId="77777777" w:rsidTr="007F5638">
        <w:tc>
          <w:tcPr>
            <w:tcW w:w="2694" w:type="dxa"/>
          </w:tcPr>
          <w:p w14:paraId="6CE41936" w14:textId="20B3B5D3" w:rsidR="00313B76" w:rsidRPr="00313B76" w:rsidRDefault="00313B76" w:rsidP="00DF644E">
            <w:pPr>
              <w:pStyle w:val="BodyText"/>
              <w:rPr>
                <w:b/>
                <w:bCs/>
              </w:rPr>
            </w:pPr>
            <w:r>
              <w:rPr>
                <w:b/>
                <w:bCs/>
              </w:rPr>
              <w:t>Financial Statements</w:t>
            </w:r>
          </w:p>
        </w:tc>
        <w:tc>
          <w:tcPr>
            <w:tcW w:w="6945" w:type="dxa"/>
          </w:tcPr>
          <w:p w14:paraId="100A8F03" w14:textId="77777777" w:rsidR="00D17114" w:rsidRDefault="00D17114" w:rsidP="00313B76">
            <w:pPr>
              <w:pStyle w:val="BodyText"/>
            </w:pPr>
            <w:r>
              <w:t>F</w:t>
            </w:r>
            <w:r w:rsidRPr="00313B76">
              <w:t xml:space="preserve">inancial </w:t>
            </w:r>
            <w:r>
              <w:t>S</w:t>
            </w:r>
            <w:r w:rsidRPr="00313B76">
              <w:t>tatement</w:t>
            </w:r>
            <w:r>
              <w:t>s are,</w:t>
            </w:r>
            <w:r w:rsidRPr="00313B76">
              <w:t xml:space="preserve"> </w:t>
            </w:r>
            <w:r>
              <w:t>the B</w:t>
            </w:r>
            <w:r w:rsidRPr="00313B76">
              <w:t>alance</w:t>
            </w:r>
            <w:r>
              <w:t xml:space="preserve"> Sheet</w:t>
            </w:r>
            <w:r w:rsidRPr="00313B76">
              <w:t xml:space="preserve">, </w:t>
            </w:r>
            <w:r>
              <w:t>the Comprehensive I</w:t>
            </w:r>
            <w:r w:rsidRPr="00313B76">
              <w:t xml:space="preserve">ncome </w:t>
            </w:r>
            <w:r>
              <w:t>S</w:t>
            </w:r>
            <w:r w:rsidRPr="00313B76">
              <w:t xml:space="preserve">tatement, </w:t>
            </w:r>
            <w:r>
              <w:t>S</w:t>
            </w:r>
            <w:r w:rsidRPr="00313B76">
              <w:t xml:space="preserve">tatement of </w:t>
            </w:r>
            <w:r>
              <w:t>Changes in Equity, Statement of C</w:t>
            </w:r>
            <w:r w:rsidRPr="00313B76">
              <w:t xml:space="preserve">ash </w:t>
            </w:r>
            <w:r>
              <w:t>F</w:t>
            </w:r>
            <w:r w:rsidRPr="00313B76">
              <w:t xml:space="preserve">low, and </w:t>
            </w:r>
            <w:r>
              <w:t>S</w:t>
            </w:r>
            <w:r w:rsidRPr="00313B76">
              <w:t xml:space="preserve">tatement of </w:t>
            </w:r>
            <w:r>
              <w:t>Capital Works</w:t>
            </w:r>
            <w:r w:rsidRPr="00313B76">
              <w:t>.</w:t>
            </w:r>
            <w:r>
              <w:t xml:space="preserve"> </w:t>
            </w:r>
          </w:p>
          <w:p w14:paraId="05A81825" w14:textId="2072CD34" w:rsidR="00D17114" w:rsidRPr="00992A6E" w:rsidRDefault="00313B76" w:rsidP="00313B76">
            <w:pPr>
              <w:pStyle w:val="BodyText"/>
            </w:pPr>
            <w:r w:rsidRPr="00313B76">
              <w:t>The primary purpose of financial</w:t>
            </w:r>
            <w:r>
              <w:t xml:space="preserve"> </w:t>
            </w:r>
            <w:r w:rsidRPr="00313B76">
              <w:t>statements is to aid current and prospective</w:t>
            </w:r>
            <w:r>
              <w:t xml:space="preserve"> </w:t>
            </w:r>
            <w:r w:rsidRPr="00313B76">
              <w:t>stakeholders in making</w:t>
            </w:r>
            <w:r>
              <w:t xml:space="preserve"> </w:t>
            </w:r>
            <w:r w:rsidRPr="00313B76">
              <w:t>resource-allocation decisions.</w:t>
            </w:r>
            <w:r>
              <w:t xml:space="preserve"> </w:t>
            </w:r>
          </w:p>
        </w:tc>
      </w:tr>
    </w:tbl>
    <w:p w14:paraId="13943640" w14:textId="77777777" w:rsidR="009B3D07" w:rsidRDefault="009B3D07" w:rsidP="00DF644E">
      <w:pPr>
        <w:pStyle w:val="BodyText"/>
      </w:pPr>
    </w:p>
    <w:p w14:paraId="30A61521" w14:textId="059F133E" w:rsidR="00DD2FB1" w:rsidRDefault="00DD2FB1">
      <w:r>
        <w:br w:type="page"/>
      </w:r>
    </w:p>
    <w:p w14:paraId="42B1F063" w14:textId="508B34BD" w:rsidR="009B3D07" w:rsidRDefault="00DD2FB1" w:rsidP="00DD2FB1">
      <w:pPr>
        <w:pStyle w:val="AttachmentHeading1"/>
        <w:framePr w:wrap="around"/>
      </w:pPr>
      <w:bookmarkStart w:id="3" w:name="_Toc140851562"/>
      <w:r>
        <w:lastRenderedPageBreak/>
        <w:t>Policy</w:t>
      </w:r>
      <w:bookmarkEnd w:id="3"/>
    </w:p>
    <w:p w14:paraId="2E5317D8" w14:textId="5901A732" w:rsidR="00DD2FB1" w:rsidRDefault="00924205" w:rsidP="00A14AEE">
      <w:pPr>
        <w:pStyle w:val="Heading1"/>
      </w:pPr>
      <w:bookmarkStart w:id="4" w:name="_Toc140851563"/>
      <w:r w:rsidRPr="00924205">
        <w:t>POLICY STATEMENT OF PRINCIPLES</w:t>
      </w:r>
      <w:bookmarkEnd w:id="4"/>
    </w:p>
    <w:p w14:paraId="0C9602D9" w14:textId="1F6697E3" w:rsidR="00DD2FB1" w:rsidRDefault="00924205" w:rsidP="00A14AEE">
      <w:pPr>
        <w:pStyle w:val="Heading2"/>
      </w:pPr>
      <w:r w:rsidRPr="00924205">
        <w:t>The Borrowing Policy is underpinned by the following principles:</w:t>
      </w:r>
    </w:p>
    <w:p w14:paraId="1DAA57C2" w14:textId="77777777" w:rsidR="00924205" w:rsidRPr="00924205" w:rsidRDefault="00924205" w:rsidP="00A14AEE">
      <w:pPr>
        <w:pStyle w:val="Heading3"/>
      </w:pPr>
      <w:r w:rsidRPr="00924205">
        <w:t>The Policy will be adhered to in developing the organisation’s long term financial plan and all borrowings must be identified in the plan.</w:t>
      </w:r>
    </w:p>
    <w:p w14:paraId="0E62D2E6" w14:textId="32331726" w:rsidR="00313B76" w:rsidRPr="00924205" w:rsidRDefault="00313B76" w:rsidP="00313B76">
      <w:pPr>
        <w:pStyle w:val="Heading3"/>
      </w:pPr>
      <w:r w:rsidRPr="00924205">
        <w:t>The City will measure and report on renewal/upgrade expenditure relative to depreciation to highlight any renewal gap</w:t>
      </w:r>
      <w:r w:rsidR="00066A79" w:rsidRPr="00924205">
        <w:t xml:space="preserve">. </w:t>
      </w:r>
      <w:r w:rsidRPr="00924205">
        <w:t>This is to ensure assets are renewed as planned without the use of borrowings.</w:t>
      </w:r>
    </w:p>
    <w:p w14:paraId="004179C1" w14:textId="77777777" w:rsidR="00313B76" w:rsidRPr="00924205" w:rsidRDefault="00313B76" w:rsidP="00313B76">
      <w:pPr>
        <w:pStyle w:val="Heading3"/>
      </w:pPr>
      <w:r w:rsidRPr="00924205">
        <w:t>Borrowings must be linked to the financing of a capital project.</w:t>
      </w:r>
    </w:p>
    <w:p w14:paraId="6AE89D6E" w14:textId="77777777" w:rsidR="00313B76" w:rsidRPr="00924205" w:rsidRDefault="00313B76" w:rsidP="00313B76">
      <w:pPr>
        <w:pStyle w:val="Heading3"/>
      </w:pPr>
      <w:r w:rsidRPr="00924205">
        <w:t>Cash flows will be phased to consolidate the principal and interest requirements of approved capital projects.</w:t>
      </w:r>
    </w:p>
    <w:p w14:paraId="4990EA23" w14:textId="6030B575" w:rsidR="00313B76" w:rsidRDefault="00313B76" w:rsidP="00313B76">
      <w:pPr>
        <w:pStyle w:val="Heading3"/>
      </w:pPr>
      <w:r>
        <w:t xml:space="preserve">The City </w:t>
      </w:r>
      <w:r w:rsidRPr="00924205">
        <w:t>will not borrow to fund operating expenditure</w:t>
      </w:r>
      <w:r w:rsidR="00066A79" w:rsidRPr="00924205">
        <w:t xml:space="preserve">. </w:t>
      </w:r>
      <w:r w:rsidRPr="00924205">
        <w:t>This type of expenditure is to be funded from operating revenue streams (rates, fees, and charges etc.)</w:t>
      </w:r>
      <w:r w:rsidR="00066A79" w:rsidRPr="00924205">
        <w:t xml:space="preserve">. </w:t>
      </w:r>
    </w:p>
    <w:p w14:paraId="3C8AAB11" w14:textId="2BD65D91" w:rsidR="00313B76" w:rsidRPr="00924205" w:rsidRDefault="00313B76" w:rsidP="00313B76">
      <w:pPr>
        <w:pStyle w:val="Heading3"/>
      </w:pPr>
      <w:r>
        <w:t>The City</w:t>
      </w:r>
      <w:r w:rsidRPr="00924205">
        <w:t xml:space="preserve"> will not borrow to fund recurrent capital works which is inclusive of acquisition, replacement, or renewal of assets (e.g., road resurfacing)</w:t>
      </w:r>
      <w:r w:rsidR="00066A79" w:rsidRPr="00924205">
        <w:t xml:space="preserve">. </w:t>
      </w:r>
      <w:r w:rsidRPr="00924205">
        <w:t>This type of expenditure is to be funded from operating revenue streams.</w:t>
      </w:r>
    </w:p>
    <w:p w14:paraId="5CFF39B2" w14:textId="061886B3" w:rsidR="00313B76" w:rsidRPr="00924205" w:rsidRDefault="00313B76" w:rsidP="00313B76">
      <w:pPr>
        <w:pStyle w:val="Heading3"/>
      </w:pPr>
      <w:r w:rsidRPr="00924205">
        <w:t>The term of any loan must not exceed the expected economic life of the asset.</w:t>
      </w:r>
    </w:p>
    <w:p w14:paraId="4EC15C54" w14:textId="29BA4176" w:rsidR="00924205" w:rsidRPr="00924205" w:rsidRDefault="00924205" w:rsidP="00FB623D">
      <w:pPr>
        <w:pStyle w:val="Heading3"/>
      </w:pPr>
      <w:r w:rsidRPr="00924205">
        <w:t>The exception to this principle would be a call to ‘defined benefit’ Superannuation Fund</w:t>
      </w:r>
      <w:r w:rsidR="00066A79" w:rsidRPr="00924205">
        <w:t xml:space="preserve">. </w:t>
      </w:r>
      <w:r w:rsidRPr="00924205">
        <w:t>Large calls to ‘defined benefit’ fund will require a separate report to Council which will include a recommended method of funding, use of working capital, superannuation fund or borrowings.</w:t>
      </w:r>
    </w:p>
    <w:p w14:paraId="018C072C" w14:textId="208E7AA1" w:rsidR="00D04534" w:rsidRDefault="00924205" w:rsidP="00A14AEE">
      <w:pPr>
        <w:pStyle w:val="Heading1"/>
      </w:pPr>
      <w:bookmarkStart w:id="5" w:name="_Toc140851564"/>
      <w:r>
        <w:t>POLICY OBJECTIVES</w:t>
      </w:r>
      <w:bookmarkEnd w:id="5"/>
      <w:r>
        <w:t xml:space="preserve"> </w:t>
      </w:r>
    </w:p>
    <w:p w14:paraId="39715B38" w14:textId="33E1DE68" w:rsidR="00924205" w:rsidRDefault="00924205" w:rsidP="00A14AEE">
      <w:pPr>
        <w:pStyle w:val="Heading2"/>
      </w:pPr>
      <w:r>
        <w:t>To ensure the C</w:t>
      </w:r>
      <w:r w:rsidR="00313B76">
        <w:t xml:space="preserve">ity’s </w:t>
      </w:r>
      <w:r>
        <w:t xml:space="preserve">new borrowings are </w:t>
      </w:r>
      <w:r w:rsidR="00992A6E">
        <w:t xml:space="preserve">within the Risk Appetite, agreed limits, </w:t>
      </w:r>
      <w:r>
        <w:t>sustainable and comply with legislative requirements.</w:t>
      </w:r>
    </w:p>
    <w:p w14:paraId="4CC546BD" w14:textId="4C0AE81D" w:rsidR="00924205" w:rsidRDefault="00924205" w:rsidP="00A14AEE">
      <w:pPr>
        <w:pStyle w:val="Heading2"/>
      </w:pPr>
      <w:r>
        <w:t xml:space="preserve">To ensure the loan type and term of loan will be treated on a case-by-case basis </w:t>
      </w:r>
      <w:r w:rsidR="00992A6E">
        <w:t>to</w:t>
      </w:r>
      <w:r>
        <w:t xml:space="preserve"> optimise</w:t>
      </w:r>
      <w:r w:rsidR="00992A6E">
        <w:t xml:space="preserve"> borrowings within the construct of the loan book. </w:t>
      </w:r>
    </w:p>
    <w:p w14:paraId="4737A0DE" w14:textId="4212689A" w:rsidR="00924205" w:rsidRDefault="00924205" w:rsidP="00A14AEE">
      <w:pPr>
        <w:pStyle w:val="Heading2"/>
      </w:pPr>
      <w:r>
        <w:t xml:space="preserve">To manage cash flow, liquidity levels and manage borrowings within </w:t>
      </w:r>
      <w:r w:rsidR="00992A6E">
        <w:t>R</w:t>
      </w:r>
      <w:r>
        <w:t xml:space="preserve">isk </w:t>
      </w:r>
      <w:r w:rsidR="00992A6E">
        <w:t>Appetite and agreed limits</w:t>
      </w:r>
      <w:r>
        <w:t>.</w:t>
      </w:r>
    </w:p>
    <w:p w14:paraId="2184B7BA" w14:textId="7DEFCCE3" w:rsidR="00003D6F" w:rsidRDefault="00003D6F"/>
    <w:p w14:paraId="73942576" w14:textId="156E0998" w:rsidR="00924205" w:rsidRDefault="00924205"/>
    <w:p w14:paraId="3972CB16" w14:textId="03E5CDAF" w:rsidR="00924205" w:rsidRDefault="00924205"/>
    <w:p w14:paraId="22105904" w14:textId="6833A8E5" w:rsidR="00924205" w:rsidRDefault="00924205"/>
    <w:p w14:paraId="20E34D1C" w14:textId="4B11DE93" w:rsidR="00924205" w:rsidRDefault="00924205"/>
    <w:p w14:paraId="0794781C" w14:textId="65D08151" w:rsidR="00924205" w:rsidRDefault="00924205"/>
    <w:p w14:paraId="0AFDF4A5" w14:textId="4B9F06DA" w:rsidR="00924205" w:rsidRDefault="00924205"/>
    <w:p w14:paraId="2ED6B9C7" w14:textId="7EA1E64C" w:rsidR="00924205" w:rsidRDefault="00924205"/>
    <w:p w14:paraId="240CFE1A" w14:textId="217CF51A" w:rsidR="00924205" w:rsidRDefault="00924205"/>
    <w:p w14:paraId="51D3AF20" w14:textId="77777777" w:rsidR="00924205" w:rsidRDefault="00924205"/>
    <w:p w14:paraId="7B892546" w14:textId="5D121800" w:rsidR="00003D6F" w:rsidRDefault="00924205" w:rsidP="00924205">
      <w:pPr>
        <w:pStyle w:val="Heading1"/>
        <w:numPr>
          <w:ilvl w:val="0"/>
          <w:numId w:val="0"/>
        </w:numPr>
      </w:pPr>
      <w:bookmarkStart w:id="6" w:name="_Toc140851565"/>
      <w:r w:rsidRPr="00924205">
        <w:lastRenderedPageBreak/>
        <w:t>BORROWING AND RATIOS AND LIMITS</w:t>
      </w:r>
      <w:bookmarkEnd w:id="6"/>
      <w:r>
        <w:t xml:space="preserve"> </w:t>
      </w:r>
    </w:p>
    <w:p w14:paraId="31540584" w14:textId="6AC76B7B" w:rsidR="00003D6F" w:rsidRDefault="00924205" w:rsidP="00A14AEE">
      <w:pPr>
        <w:pStyle w:val="Heading1"/>
      </w:pPr>
      <w:bookmarkStart w:id="7" w:name="_Toc140851566"/>
      <w:r w:rsidRPr="00924205">
        <w:t>VICTORIAN AUDITOR – GENERAL’S OFFICE REQUIREMENTS</w:t>
      </w:r>
      <w:bookmarkEnd w:id="7"/>
    </w:p>
    <w:p w14:paraId="7F646441" w14:textId="273FD25E" w:rsidR="00003D6F" w:rsidRDefault="00924205" w:rsidP="00A14AEE">
      <w:pPr>
        <w:pStyle w:val="Heading2"/>
      </w:pPr>
      <w:r w:rsidRPr="00924205">
        <w:t>VAGO reviews and reports on the financial sustainability of the Local Government sector</w:t>
      </w:r>
      <w:r w:rsidR="00066A79" w:rsidRPr="00924205">
        <w:t xml:space="preserve">. </w:t>
      </w:r>
      <w:r w:rsidRPr="00924205">
        <w:t>Three indicators best assess the financial sustainability risks associated with borrowing</w:t>
      </w:r>
      <w:r w:rsidR="00066A79" w:rsidRPr="00924205">
        <w:t xml:space="preserve">. </w:t>
      </w:r>
      <w:r w:rsidRPr="00924205">
        <w:t>The City will use the following three indicators when assessing new or refinanced borrowings and ensure borrowings remain within endorsed risk limits:</w:t>
      </w:r>
    </w:p>
    <w:tbl>
      <w:tblPr>
        <w:tblStyle w:val="TableGrid2"/>
        <w:tblW w:w="10348" w:type="dxa"/>
        <w:tblLook w:val="04A0" w:firstRow="1" w:lastRow="0" w:firstColumn="1" w:lastColumn="0" w:noHBand="0" w:noVBand="1"/>
      </w:tblPr>
      <w:tblGrid>
        <w:gridCol w:w="1985"/>
        <w:gridCol w:w="1984"/>
        <w:gridCol w:w="4111"/>
        <w:gridCol w:w="2268"/>
      </w:tblGrid>
      <w:tr w:rsidR="00924205" w:rsidRPr="00924205" w14:paraId="27D65FAC" w14:textId="77777777" w:rsidTr="00924205">
        <w:trPr>
          <w:cnfStyle w:val="100000000000" w:firstRow="1" w:lastRow="0" w:firstColumn="0" w:lastColumn="0" w:oddVBand="0" w:evenVBand="0" w:oddHBand="0" w:evenHBand="0" w:firstRowFirstColumn="0" w:firstRowLastColumn="0" w:lastRowFirstColumn="0" w:lastRowLastColumn="0"/>
        </w:trPr>
        <w:tc>
          <w:tcPr>
            <w:tcW w:w="1985" w:type="dxa"/>
          </w:tcPr>
          <w:p w14:paraId="7DBAB992" w14:textId="77777777" w:rsidR="00924205" w:rsidRPr="00924205" w:rsidRDefault="00924205" w:rsidP="00924205">
            <w:pPr>
              <w:keepNext w:val="0"/>
              <w:spacing w:before="120" w:after="120" w:line="270" w:lineRule="atLeast"/>
              <w:rPr>
                <w:b w:val="0"/>
                <w:sz w:val="19"/>
              </w:rPr>
            </w:pPr>
            <w:bookmarkStart w:id="8" w:name="_Hlk140850753"/>
            <w:r w:rsidRPr="00924205">
              <w:rPr>
                <w:b w:val="0"/>
                <w:sz w:val="19"/>
              </w:rPr>
              <w:t>INDICATOR</w:t>
            </w:r>
          </w:p>
        </w:tc>
        <w:tc>
          <w:tcPr>
            <w:tcW w:w="1984" w:type="dxa"/>
          </w:tcPr>
          <w:p w14:paraId="7F6E089A" w14:textId="77777777" w:rsidR="00924205" w:rsidRPr="00924205" w:rsidRDefault="00924205" w:rsidP="00924205">
            <w:pPr>
              <w:keepNext w:val="0"/>
              <w:spacing w:before="120" w:after="120" w:line="270" w:lineRule="atLeast"/>
              <w:rPr>
                <w:b w:val="0"/>
                <w:sz w:val="19"/>
              </w:rPr>
            </w:pPr>
            <w:r w:rsidRPr="00924205">
              <w:rPr>
                <w:b w:val="0"/>
                <w:sz w:val="19"/>
              </w:rPr>
              <w:t>FORMULA</w:t>
            </w:r>
          </w:p>
        </w:tc>
        <w:tc>
          <w:tcPr>
            <w:tcW w:w="4111" w:type="dxa"/>
          </w:tcPr>
          <w:p w14:paraId="3B4CF1CF" w14:textId="77777777" w:rsidR="00924205" w:rsidRPr="00924205" w:rsidRDefault="00924205" w:rsidP="00924205">
            <w:pPr>
              <w:keepNext w:val="0"/>
              <w:spacing w:before="120" w:after="120" w:line="270" w:lineRule="atLeast"/>
              <w:rPr>
                <w:b w:val="0"/>
                <w:sz w:val="19"/>
              </w:rPr>
            </w:pPr>
            <w:r w:rsidRPr="00924205">
              <w:rPr>
                <w:b w:val="0"/>
                <w:sz w:val="19"/>
              </w:rPr>
              <w:t xml:space="preserve">DESCRIPTION </w:t>
            </w:r>
          </w:p>
        </w:tc>
        <w:tc>
          <w:tcPr>
            <w:tcW w:w="2268" w:type="dxa"/>
          </w:tcPr>
          <w:p w14:paraId="11E56167" w14:textId="77777777" w:rsidR="00924205" w:rsidRPr="00924205" w:rsidRDefault="00924205" w:rsidP="00924205">
            <w:pPr>
              <w:keepNext w:val="0"/>
              <w:spacing w:before="120" w:after="120" w:line="270" w:lineRule="atLeast"/>
              <w:rPr>
                <w:b w:val="0"/>
                <w:sz w:val="19"/>
              </w:rPr>
            </w:pPr>
            <w:r w:rsidRPr="00924205">
              <w:rPr>
                <w:b w:val="0"/>
                <w:sz w:val="19"/>
              </w:rPr>
              <w:t>RISK</w:t>
            </w:r>
          </w:p>
        </w:tc>
      </w:tr>
      <w:tr w:rsidR="00924205" w:rsidRPr="00924205" w14:paraId="06BEBA12" w14:textId="77777777" w:rsidTr="00924205">
        <w:tc>
          <w:tcPr>
            <w:tcW w:w="1985" w:type="dxa"/>
          </w:tcPr>
          <w:p w14:paraId="66210640" w14:textId="77777777" w:rsidR="00924205" w:rsidRPr="00924205" w:rsidRDefault="00924205" w:rsidP="00924205">
            <w:pPr>
              <w:spacing w:before="120" w:after="120" w:line="270" w:lineRule="atLeast"/>
              <w:rPr>
                <w:sz w:val="19"/>
              </w:rPr>
            </w:pPr>
            <w:r w:rsidRPr="00924205">
              <w:rPr>
                <w:sz w:val="19"/>
              </w:rPr>
              <w:t>Internal financing (%)</w:t>
            </w:r>
          </w:p>
        </w:tc>
        <w:tc>
          <w:tcPr>
            <w:tcW w:w="1984" w:type="dxa"/>
          </w:tcPr>
          <w:p w14:paraId="1BF9AB01" w14:textId="77777777" w:rsidR="00924205" w:rsidRPr="00924205" w:rsidRDefault="00924205" w:rsidP="00924205">
            <w:pPr>
              <w:spacing w:before="120" w:after="120" w:line="270" w:lineRule="atLeast"/>
              <w:rPr>
                <w:sz w:val="19"/>
              </w:rPr>
            </w:pPr>
            <w:r w:rsidRPr="00924205">
              <w:rPr>
                <w:sz w:val="19"/>
              </w:rPr>
              <w:t>Net operating cash flow / net capital expenditure</w:t>
            </w:r>
          </w:p>
        </w:tc>
        <w:tc>
          <w:tcPr>
            <w:tcW w:w="4111" w:type="dxa"/>
          </w:tcPr>
          <w:p w14:paraId="54221277" w14:textId="77777777" w:rsidR="00924205" w:rsidRPr="00924205" w:rsidRDefault="00924205" w:rsidP="00924205">
            <w:pPr>
              <w:spacing w:before="120" w:after="120" w:line="270" w:lineRule="atLeast"/>
              <w:rPr>
                <w:sz w:val="19"/>
              </w:rPr>
            </w:pPr>
            <w:r w:rsidRPr="00924205">
              <w:rPr>
                <w:sz w:val="19"/>
              </w:rPr>
              <w:t xml:space="preserve">This measures the ability of an entity to finance capital works from generated cash flow. </w:t>
            </w:r>
          </w:p>
          <w:p w14:paraId="3A2B358C" w14:textId="77777777" w:rsidR="00924205" w:rsidRPr="00924205" w:rsidRDefault="00924205" w:rsidP="00924205">
            <w:pPr>
              <w:spacing w:before="120" w:after="120" w:line="270" w:lineRule="atLeast"/>
              <w:rPr>
                <w:sz w:val="19"/>
              </w:rPr>
            </w:pPr>
            <w:r w:rsidRPr="00924205">
              <w:rPr>
                <w:sz w:val="19"/>
              </w:rPr>
              <w:t>The higher the % the greater the ability of the entity to finance capital works from their own funds.</w:t>
            </w:r>
          </w:p>
          <w:p w14:paraId="26B21F4B" w14:textId="77777777" w:rsidR="00924205" w:rsidRPr="00924205" w:rsidRDefault="00924205" w:rsidP="00924205">
            <w:pPr>
              <w:spacing w:before="120" w:after="120" w:line="270" w:lineRule="atLeast"/>
              <w:rPr>
                <w:sz w:val="19"/>
              </w:rPr>
            </w:pPr>
            <w:r w:rsidRPr="00924205">
              <w:rPr>
                <w:sz w:val="19"/>
              </w:rPr>
              <w:t>Net operating cash flow and net capital expenditure are obtained from the cash flow statement.</w:t>
            </w:r>
          </w:p>
        </w:tc>
        <w:tc>
          <w:tcPr>
            <w:tcW w:w="2268" w:type="dxa"/>
          </w:tcPr>
          <w:p w14:paraId="1A673526" w14:textId="77777777" w:rsidR="00924205" w:rsidRPr="00924205" w:rsidRDefault="00924205" w:rsidP="00924205">
            <w:pPr>
              <w:spacing w:before="120" w:after="120" w:line="270" w:lineRule="atLeast"/>
              <w:jc w:val="right"/>
              <w:rPr>
                <w:sz w:val="19"/>
              </w:rPr>
            </w:pPr>
            <w:r w:rsidRPr="00924205">
              <w:rPr>
                <w:sz w:val="19"/>
              </w:rPr>
              <w:t>Less than 75% - High</w:t>
            </w:r>
          </w:p>
          <w:p w14:paraId="046EAF6D" w14:textId="77777777" w:rsidR="00924205" w:rsidRPr="00924205" w:rsidRDefault="00924205" w:rsidP="00924205">
            <w:pPr>
              <w:spacing w:before="120" w:after="120" w:line="270" w:lineRule="atLeast"/>
              <w:jc w:val="right"/>
              <w:rPr>
                <w:sz w:val="19"/>
              </w:rPr>
            </w:pPr>
            <w:r w:rsidRPr="00924205">
              <w:rPr>
                <w:sz w:val="19"/>
              </w:rPr>
              <w:t>75 – 100% - Medium</w:t>
            </w:r>
          </w:p>
          <w:p w14:paraId="254C9A0D" w14:textId="77777777" w:rsidR="00924205" w:rsidRPr="00924205" w:rsidRDefault="00924205" w:rsidP="00924205">
            <w:pPr>
              <w:spacing w:before="120" w:after="120" w:line="270" w:lineRule="atLeast"/>
              <w:jc w:val="right"/>
              <w:rPr>
                <w:sz w:val="19"/>
              </w:rPr>
            </w:pPr>
            <w:r w:rsidRPr="00924205">
              <w:rPr>
                <w:sz w:val="19"/>
              </w:rPr>
              <w:t>More than 100% - Low</w:t>
            </w:r>
          </w:p>
        </w:tc>
      </w:tr>
      <w:tr w:rsidR="00924205" w:rsidRPr="00924205" w14:paraId="73A114E5" w14:textId="77777777" w:rsidTr="00924205">
        <w:tc>
          <w:tcPr>
            <w:tcW w:w="1985" w:type="dxa"/>
          </w:tcPr>
          <w:p w14:paraId="5DF4F3BE" w14:textId="77777777" w:rsidR="00924205" w:rsidRPr="00924205" w:rsidRDefault="00924205" w:rsidP="00924205">
            <w:pPr>
              <w:spacing w:before="120" w:after="120" w:line="270" w:lineRule="atLeast"/>
              <w:rPr>
                <w:sz w:val="19"/>
              </w:rPr>
            </w:pPr>
            <w:r w:rsidRPr="00924205">
              <w:rPr>
                <w:sz w:val="19"/>
              </w:rPr>
              <w:t>Indebtedness (%)</w:t>
            </w:r>
          </w:p>
        </w:tc>
        <w:tc>
          <w:tcPr>
            <w:tcW w:w="1984" w:type="dxa"/>
          </w:tcPr>
          <w:p w14:paraId="1937AA80" w14:textId="77777777" w:rsidR="00924205" w:rsidRPr="00924205" w:rsidRDefault="00924205" w:rsidP="00924205">
            <w:pPr>
              <w:spacing w:before="120" w:after="120" w:line="270" w:lineRule="atLeast"/>
              <w:rPr>
                <w:sz w:val="19"/>
              </w:rPr>
            </w:pPr>
            <w:r w:rsidRPr="00924205">
              <w:rPr>
                <w:sz w:val="19"/>
              </w:rPr>
              <w:t>Non-current liabilities / own-sourced revenue</w:t>
            </w:r>
          </w:p>
        </w:tc>
        <w:tc>
          <w:tcPr>
            <w:tcW w:w="4111" w:type="dxa"/>
          </w:tcPr>
          <w:p w14:paraId="0794A840" w14:textId="77777777" w:rsidR="00924205" w:rsidRPr="00924205" w:rsidRDefault="00924205" w:rsidP="00924205">
            <w:pPr>
              <w:spacing w:before="120" w:after="120" w:line="270" w:lineRule="atLeast"/>
              <w:rPr>
                <w:sz w:val="19"/>
              </w:rPr>
            </w:pPr>
            <w:r w:rsidRPr="00924205">
              <w:rPr>
                <w:sz w:val="19"/>
              </w:rPr>
              <w:t>Comparison of non-current liabilities (mainly comprising borrowings) to own-sourced revenue. The higher the % the less the entity is able to cover non-current liabilities from revenues the entity generates itself.</w:t>
            </w:r>
          </w:p>
          <w:p w14:paraId="6D07581E" w14:textId="77777777" w:rsidR="00924205" w:rsidRPr="00924205" w:rsidRDefault="00924205" w:rsidP="00924205">
            <w:pPr>
              <w:spacing w:before="120" w:after="120" w:line="270" w:lineRule="atLeast"/>
              <w:rPr>
                <w:sz w:val="19"/>
              </w:rPr>
            </w:pPr>
            <w:r w:rsidRPr="00924205">
              <w:rPr>
                <w:sz w:val="19"/>
              </w:rPr>
              <w:t>Own source revenue is used rather than total revenue because it does not include grants for contributions.</w:t>
            </w:r>
          </w:p>
        </w:tc>
        <w:tc>
          <w:tcPr>
            <w:tcW w:w="2268" w:type="dxa"/>
          </w:tcPr>
          <w:p w14:paraId="4DCC71EE" w14:textId="77777777" w:rsidR="00924205" w:rsidRPr="00924205" w:rsidRDefault="00924205" w:rsidP="00924205">
            <w:pPr>
              <w:spacing w:before="120" w:after="120" w:line="270" w:lineRule="atLeast"/>
              <w:jc w:val="right"/>
              <w:rPr>
                <w:sz w:val="19"/>
              </w:rPr>
            </w:pPr>
            <w:r w:rsidRPr="00924205">
              <w:rPr>
                <w:sz w:val="19"/>
              </w:rPr>
              <w:t>More than 60% - High</w:t>
            </w:r>
          </w:p>
          <w:p w14:paraId="373B9B31" w14:textId="77777777" w:rsidR="00924205" w:rsidRPr="00924205" w:rsidRDefault="00924205" w:rsidP="00924205">
            <w:pPr>
              <w:spacing w:before="120" w:after="120" w:line="270" w:lineRule="atLeast"/>
              <w:jc w:val="right"/>
              <w:rPr>
                <w:sz w:val="19"/>
              </w:rPr>
            </w:pPr>
            <w:r w:rsidRPr="00924205">
              <w:rPr>
                <w:sz w:val="19"/>
              </w:rPr>
              <w:t>40 – 60% - Medium</w:t>
            </w:r>
          </w:p>
          <w:p w14:paraId="04BD7794" w14:textId="77777777" w:rsidR="00924205" w:rsidRPr="00924205" w:rsidRDefault="00924205" w:rsidP="00924205">
            <w:pPr>
              <w:spacing w:before="120" w:after="120" w:line="270" w:lineRule="atLeast"/>
              <w:jc w:val="right"/>
              <w:rPr>
                <w:sz w:val="19"/>
              </w:rPr>
            </w:pPr>
            <w:r w:rsidRPr="00924205">
              <w:rPr>
                <w:sz w:val="19"/>
              </w:rPr>
              <w:t>40% or less - Low</w:t>
            </w:r>
          </w:p>
        </w:tc>
      </w:tr>
      <w:tr w:rsidR="00924205" w:rsidRPr="00924205" w14:paraId="1632BF1A" w14:textId="77777777" w:rsidTr="00924205">
        <w:tc>
          <w:tcPr>
            <w:tcW w:w="1985" w:type="dxa"/>
          </w:tcPr>
          <w:p w14:paraId="05AB94E0" w14:textId="77777777" w:rsidR="00924205" w:rsidRPr="00924205" w:rsidRDefault="00924205" w:rsidP="00924205">
            <w:pPr>
              <w:spacing w:before="120" w:after="120" w:line="270" w:lineRule="atLeast"/>
              <w:rPr>
                <w:sz w:val="19"/>
              </w:rPr>
            </w:pPr>
            <w:r w:rsidRPr="00924205">
              <w:rPr>
                <w:sz w:val="19"/>
              </w:rPr>
              <w:t>Indebtedness (TCV) (%)</w:t>
            </w:r>
          </w:p>
        </w:tc>
        <w:tc>
          <w:tcPr>
            <w:tcW w:w="1984" w:type="dxa"/>
          </w:tcPr>
          <w:p w14:paraId="227AF645" w14:textId="77777777" w:rsidR="00924205" w:rsidRPr="00924205" w:rsidRDefault="00924205" w:rsidP="00924205">
            <w:pPr>
              <w:spacing w:before="120" w:after="120" w:line="270" w:lineRule="atLeast"/>
              <w:rPr>
                <w:sz w:val="19"/>
              </w:rPr>
            </w:pPr>
            <w:r w:rsidRPr="00924205">
              <w:rPr>
                <w:sz w:val="19"/>
              </w:rPr>
              <w:t>Total borrowings / own-sourced revenue</w:t>
            </w:r>
          </w:p>
        </w:tc>
        <w:tc>
          <w:tcPr>
            <w:tcW w:w="4111" w:type="dxa"/>
          </w:tcPr>
          <w:p w14:paraId="624684F0" w14:textId="77777777" w:rsidR="00924205" w:rsidRPr="00924205" w:rsidRDefault="00924205" w:rsidP="00924205">
            <w:pPr>
              <w:spacing w:before="120" w:after="120" w:line="270" w:lineRule="atLeast"/>
              <w:rPr>
                <w:sz w:val="19"/>
              </w:rPr>
            </w:pPr>
            <w:r w:rsidRPr="00924205">
              <w:rPr>
                <w:sz w:val="19"/>
              </w:rPr>
              <w:t>The higher the % the less the entity is able to cover non-current liabilities from revenues the entity generates itself.</w:t>
            </w:r>
          </w:p>
          <w:p w14:paraId="4666DD27" w14:textId="77777777" w:rsidR="00924205" w:rsidRPr="00924205" w:rsidRDefault="00924205" w:rsidP="00924205">
            <w:pPr>
              <w:spacing w:before="120" w:after="120" w:line="270" w:lineRule="atLeast"/>
              <w:rPr>
                <w:sz w:val="19"/>
              </w:rPr>
            </w:pPr>
            <w:r w:rsidRPr="00924205">
              <w:rPr>
                <w:sz w:val="19"/>
              </w:rPr>
              <w:t>Own source revenue is used rather than total revenue because it does not include grants for contributions.</w:t>
            </w:r>
          </w:p>
        </w:tc>
        <w:tc>
          <w:tcPr>
            <w:tcW w:w="2268" w:type="dxa"/>
          </w:tcPr>
          <w:p w14:paraId="733F0592" w14:textId="77777777" w:rsidR="00924205" w:rsidRPr="00924205" w:rsidRDefault="00924205" w:rsidP="00924205">
            <w:pPr>
              <w:spacing w:before="120" w:after="120" w:line="270" w:lineRule="atLeast"/>
              <w:jc w:val="right"/>
              <w:rPr>
                <w:sz w:val="19"/>
              </w:rPr>
            </w:pPr>
            <w:r w:rsidRPr="00924205">
              <w:rPr>
                <w:sz w:val="19"/>
              </w:rPr>
              <w:t>More than 60% - High</w:t>
            </w:r>
          </w:p>
          <w:p w14:paraId="53C59B2A" w14:textId="77777777" w:rsidR="00924205" w:rsidRPr="00924205" w:rsidRDefault="00924205" w:rsidP="00924205">
            <w:pPr>
              <w:spacing w:before="120" w:after="120" w:line="270" w:lineRule="atLeast"/>
              <w:jc w:val="right"/>
              <w:rPr>
                <w:sz w:val="19"/>
              </w:rPr>
            </w:pPr>
            <w:r w:rsidRPr="00924205">
              <w:rPr>
                <w:sz w:val="19"/>
              </w:rPr>
              <w:t>40 – 60% - Medium</w:t>
            </w:r>
          </w:p>
          <w:p w14:paraId="5EDE6E1A" w14:textId="77777777" w:rsidR="00924205" w:rsidRPr="00924205" w:rsidRDefault="00924205" w:rsidP="00924205">
            <w:pPr>
              <w:spacing w:before="120" w:after="120" w:line="270" w:lineRule="atLeast"/>
              <w:jc w:val="right"/>
              <w:rPr>
                <w:sz w:val="19"/>
              </w:rPr>
            </w:pPr>
            <w:r w:rsidRPr="00924205">
              <w:rPr>
                <w:sz w:val="19"/>
              </w:rPr>
              <w:t>40% or less - Low</w:t>
            </w:r>
          </w:p>
        </w:tc>
      </w:tr>
      <w:bookmarkEnd w:id="8"/>
    </w:tbl>
    <w:p w14:paraId="709A4E9E" w14:textId="32E5DF3D" w:rsidR="00924205" w:rsidRDefault="00924205" w:rsidP="00924205">
      <w:pPr>
        <w:pStyle w:val="Heading1"/>
        <w:numPr>
          <w:ilvl w:val="0"/>
          <w:numId w:val="0"/>
        </w:numPr>
        <w:ind w:left="397"/>
      </w:pPr>
    </w:p>
    <w:p w14:paraId="49670082" w14:textId="04E4D380" w:rsidR="00003D6F" w:rsidRDefault="00924205" w:rsidP="00A14AEE">
      <w:pPr>
        <w:pStyle w:val="Heading2"/>
      </w:pPr>
      <w:r w:rsidRPr="00924205">
        <w:t xml:space="preserve">The City will operate below the </w:t>
      </w:r>
      <w:r w:rsidR="00B00AB8" w:rsidRPr="00924205">
        <w:t>high-risk</w:t>
      </w:r>
      <w:r w:rsidRPr="00924205">
        <w:t xml:space="preserve"> range for the above measures to provide flexibility to respond to funding requirements for new or unplanned capital expenditure.</w:t>
      </w:r>
    </w:p>
    <w:p w14:paraId="448B095B" w14:textId="77777777" w:rsidR="00924205" w:rsidRPr="008847AC" w:rsidRDefault="00924205" w:rsidP="00A14AEE">
      <w:pPr>
        <w:pStyle w:val="Heading1"/>
      </w:pPr>
      <w:bookmarkStart w:id="9" w:name="_Toc107220891"/>
      <w:bookmarkStart w:id="10" w:name="_Toc140851567"/>
      <w:r>
        <w:t>Local Government Reporting Performance Framework (LGPRF</w:t>
      </w:r>
      <w:r w:rsidRPr="008847AC">
        <w:t>)</w:t>
      </w:r>
      <w:bookmarkEnd w:id="9"/>
      <w:bookmarkEnd w:id="10"/>
    </w:p>
    <w:p w14:paraId="24F2C652" w14:textId="77777777" w:rsidR="00924205" w:rsidRDefault="00924205" w:rsidP="00A14AEE">
      <w:pPr>
        <w:pStyle w:val="Heading2"/>
      </w:pPr>
      <w:r>
        <w:t>LGPRF includes two additional ratios:</w:t>
      </w:r>
    </w:p>
    <w:p w14:paraId="10AEFE99" w14:textId="77777777" w:rsidR="00924205" w:rsidRDefault="00924205" w:rsidP="00A14AEE">
      <w:pPr>
        <w:pStyle w:val="Heading3"/>
      </w:pPr>
      <w:r w:rsidRPr="00924205">
        <w:rPr>
          <w:b/>
          <w:bCs/>
        </w:rPr>
        <w:t>Debt Commitment Ratio</w:t>
      </w:r>
      <w:r>
        <w:t xml:space="preserve"> measured as interest and principal repayments on interest bearing loans / rate revenue (recommended target 0% to 10%); and</w:t>
      </w:r>
    </w:p>
    <w:p w14:paraId="246A0003" w14:textId="77777777" w:rsidR="00924205" w:rsidRDefault="00924205" w:rsidP="00A14AEE">
      <w:pPr>
        <w:pStyle w:val="Heading3"/>
      </w:pPr>
      <w:r w:rsidRPr="00924205">
        <w:rPr>
          <w:b/>
          <w:bCs/>
        </w:rPr>
        <w:t>Borrowing Rates Ratio</w:t>
      </w:r>
      <w:r w:rsidRPr="00924205">
        <w:t xml:space="preserve"> </w:t>
      </w:r>
      <w:r>
        <w:t>measured as interest bearing loans and borrowings / rate revenue (recommended below 80%)</w:t>
      </w:r>
    </w:p>
    <w:p w14:paraId="3D59C83E" w14:textId="6E293793" w:rsidR="00924205" w:rsidRDefault="00924205" w:rsidP="00A14AEE">
      <w:pPr>
        <w:pStyle w:val="Heading2"/>
      </w:pPr>
      <w:r>
        <w:t>The City will operate within the target ratio as set by the LGPRF.</w:t>
      </w:r>
    </w:p>
    <w:p w14:paraId="3E45FC9C" w14:textId="77777777" w:rsidR="00924205" w:rsidRDefault="00924205" w:rsidP="00924205">
      <w:pPr>
        <w:pStyle w:val="Heading1"/>
        <w:numPr>
          <w:ilvl w:val="0"/>
          <w:numId w:val="0"/>
        </w:numPr>
        <w:ind w:left="397"/>
      </w:pPr>
    </w:p>
    <w:p w14:paraId="3863CA6A" w14:textId="77777777" w:rsidR="00924205" w:rsidRPr="008847AC" w:rsidRDefault="00924205" w:rsidP="00A14AEE">
      <w:pPr>
        <w:pStyle w:val="Heading1"/>
      </w:pPr>
      <w:bookmarkStart w:id="11" w:name="_Toc107220892"/>
      <w:bookmarkStart w:id="12" w:name="_Toc140851568"/>
      <w:r>
        <w:t>Credit Rating</w:t>
      </w:r>
      <w:bookmarkEnd w:id="11"/>
      <w:bookmarkEnd w:id="12"/>
    </w:p>
    <w:p w14:paraId="675920D1" w14:textId="65C30ECF" w:rsidR="00924205" w:rsidRDefault="00924205" w:rsidP="00A14AEE">
      <w:pPr>
        <w:pStyle w:val="Heading2"/>
      </w:pPr>
      <w:r>
        <w:t xml:space="preserve">The City’s credit rating will </w:t>
      </w:r>
      <w:r w:rsidRPr="00685664">
        <w:t xml:space="preserve">be assessed by the </w:t>
      </w:r>
      <w:r w:rsidR="00992A6E" w:rsidRPr="00685664">
        <w:t>Financial Institutions</w:t>
      </w:r>
      <w:r w:rsidRPr="00685664">
        <w:t xml:space="preserve"> as part of the</w:t>
      </w:r>
      <w:r>
        <w:t xml:space="preserve"> tender process for new borrowings and may be disclosed to the City.</w:t>
      </w:r>
    </w:p>
    <w:p w14:paraId="614CE9BC" w14:textId="77777777" w:rsidR="00924205" w:rsidRDefault="00924205" w:rsidP="00A14AEE">
      <w:pPr>
        <w:pStyle w:val="Heading1"/>
      </w:pPr>
      <w:bookmarkStart w:id="13" w:name="_Toc107220893"/>
      <w:bookmarkStart w:id="14" w:name="_Toc140851569"/>
      <w:r>
        <w:t>Determination of Loan Term and Interest Rate Type</w:t>
      </w:r>
      <w:bookmarkEnd w:id="13"/>
      <w:bookmarkEnd w:id="14"/>
    </w:p>
    <w:p w14:paraId="6DE46CA7" w14:textId="1C9B3FD5" w:rsidR="00924205" w:rsidRDefault="00924205" w:rsidP="00A14AEE">
      <w:pPr>
        <w:pStyle w:val="Heading2"/>
      </w:pPr>
      <w:r>
        <w:t>The City will complete an analysis of the market to enable a recommendation on the loan term (number of years) and interest rate type (fixed or variable).</w:t>
      </w:r>
    </w:p>
    <w:p w14:paraId="05A7A78A" w14:textId="77777777" w:rsidR="00924205" w:rsidRDefault="00924205" w:rsidP="00A14AEE">
      <w:pPr>
        <w:pStyle w:val="Heading1"/>
      </w:pPr>
      <w:bookmarkStart w:id="15" w:name="_Toc107220895"/>
      <w:bookmarkStart w:id="16" w:name="_Toc140851570"/>
      <w:r>
        <w:t>Determination of Lending Institution</w:t>
      </w:r>
      <w:bookmarkEnd w:id="15"/>
      <w:bookmarkEnd w:id="16"/>
    </w:p>
    <w:p w14:paraId="0BD30951" w14:textId="0E70A98C" w:rsidR="00924205" w:rsidRDefault="00924205" w:rsidP="00A14AEE">
      <w:pPr>
        <w:pStyle w:val="Heading2"/>
      </w:pPr>
      <w:r>
        <w:t>New borrowings will be identified as part of the annual budget process</w:t>
      </w:r>
      <w:r w:rsidR="00066A79">
        <w:t xml:space="preserve">. </w:t>
      </w:r>
    </w:p>
    <w:p w14:paraId="3A191409" w14:textId="4D42FF49" w:rsidR="00924205" w:rsidRDefault="00313B76" w:rsidP="00A14AEE">
      <w:pPr>
        <w:pStyle w:val="Heading2"/>
      </w:pPr>
      <w:r>
        <w:t xml:space="preserve">The City </w:t>
      </w:r>
      <w:r w:rsidR="00924205">
        <w:t>will in the first instance consider borrowing from Treasury Corporation Victoria, within the framework established by Local Government Victoria (LGV)</w:t>
      </w:r>
      <w:r w:rsidR="00066A79">
        <w:t xml:space="preserve">. </w:t>
      </w:r>
      <w:r w:rsidR="00924205">
        <w:t>This framework was established by LGV to enable councils to take advantage of Victoria’s strong credit rating, which allows the State to borrow and lend money at cheaper rates than are commercially available</w:t>
      </w:r>
      <w:r w:rsidR="00066A79">
        <w:t xml:space="preserve">. </w:t>
      </w:r>
      <w:r w:rsidR="00924205">
        <w:t>Council will otherwise invite written quotations through a public tender. The public tender process will be in accordance with the City’s Procurement Policy and the Act.</w:t>
      </w:r>
    </w:p>
    <w:p w14:paraId="6F226C2B" w14:textId="77777777" w:rsidR="00924205" w:rsidRDefault="00924205" w:rsidP="00A14AEE">
      <w:pPr>
        <w:pStyle w:val="Heading1"/>
      </w:pPr>
      <w:bookmarkStart w:id="17" w:name="_Toc107220896"/>
      <w:bookmarkStart w:id="18" w:name="_Toc140851571"/>
      <w:r>
        <w:t>Loan Type and Term</w:t>
      </w:r>
      <w:bookmarkEnd w:id="17"/>
      <w:bookmarkEnd w:id="18"/>
    </w:p>
    <w:p w14:paraId="169C91BA" w14:textId="44F18563" w:rsidR="00924205" w:rsidRPr="00924205" w:rsidRDefault="00313B76" w:rsidP="00A14AEE">
      <w:pPr>
        <w:pStyle w:val="Heading2"/>
      </w:pPr>
      <w:r>
        <w:t xml:space="preserve">The City’s </w:t>
      </w:r>
      <w:r w:rsidR="00924205">
        <w:t>borrowings for the following projects will be a mixture of interest only and principal and interest (P&amp;I) loans based on the table below.</w:t>
      </w:r>
    </w:p>
    <w:p w14:paraId="0F8F59D3" w14:textId="77777777" w:rsidR="00924205" w:rsidRDefault="00924205" w:rsidP="00A14AEE">
      <w:pPr>
        <w:pStyle w:val="Heading2"/>
      </w:pPr>
      <w:r>
        <w:t>The classification loan type and term are based on the City’s ability to recover the cost of the loan from the service/activity being borrowed for:</w:t>
      </w:r>
    </w:p>
    <w:p w14:paraId="0975B18C" w14:textId="77777777" w:rsidR="00924205" w:rsidRDefault="00924205" w:rsidP="00A14AEE">
      <w:pPr>
        <w:pStyle w:val="Heading3"/>
      </w:pPr>
      <w:r>
        <w:t>Developer Contribution Plans;</w:t>
      </w:r>
    </w:p>
    <w:p w14:paraId="0328FCB0" w14:textId="07863540" w:rsidR="00924205" w:rsidRDefault="00924205" w:rsidP="00A14AEE">
      <w:pPr>
        <w:pStyle w:val="Heading3"/>
      </w:pPr>
      <w:r>
        <w:t>Fees and charges from the service/activity where the financing costs are recoverable (e.g., leisure services, childcare services); and</w:t>
      </w:r>
    </w:p>
    <w:p w14:paraId="5672A196" w14:textId="55D7AD90" w:rsidR="00924205" w:rsidRDefault="00924205" w:rsidP="00A14AEE">
      <w:pPr>
        <w:pStyle w:val="Heading3"/>
      </w:pPr>
      <w:r>
        <w:t>Service/activity where there is the opportunity for cost reductions (e.g., renewables) and/or where a number of services/activities can be aggregated where there is an element of cost reduction.</w:t>
      </w:r>
    </w:p>
    <w:p w14:paraId="06ADD36F" w14:textId="5A36A400" w:rsidR="00924205" w:rsidRPr="00FE6AF3" w:rsidRDefault="00924205" w:rsidP="00A14AEE">
      <w:pPr>
        <w:pStyle w:val="Heading2"/>
      </w:pPr>
      <w:r>
        <w:t>The loan type and term may be varied in accordance with abovementioned section ‘</w:t>
      </w:r>
      <w:r w:rsidRPr="004C059A">
        <w:t>Determination of loan term and interest rate type</w:t>
      </w:r>
      <w:r w:rsidR="00066A79" w:rsidRPr="004C059A">
        <w:t>.’</w:t>
      </w:r>
      <w:r>
        <w:t xml:space="preserve"> </w:t>
      </w:r>
    </w:p>
    <w:tbl>
      <w:tblPr>
        <w:tblStyle w:val="TableGrid3"/>
        <w:tblW w:w="0" w:type="auto"/>
        <w:tblLook w:val="04A0" w:firstRow="1" w:lastRow="0" w:firstColumn="1" w:lastColumn="0" w:noHBand="0" w:noVBand="1"/>
      </w:tblPr>
      <w:tblGrid>
        <w:gridCol w:w="2179"/>
        <w:gridCol w:w="2737"/>
        <w:gridCol w:w="954"/>
        <w:gridCol w:w="1321"/>
        <w:gridCol w:w="2448"/>
      </w:tblGrid>
      <w:tr w:rsidR="00924205" w:rsidRPr="00924205" w14:paraId="37A8CD79" w14:textId="77777777">
        <w:trPr>
          <w:cnfStyle w:val="100000000000" w:firstRow="1" w:lastRow="0" w:firstColumn="0" w:lastColumn="0" w:oddVBand="0" w:evenVBand="0" w:oddHBand="0" w:evenHBand="0" w:firstRowFirstColumn="0" w:firstRowLastColumn="0" w:lastRowFirstColumn="0" w:lastRowLastColumn="0"/>
        </w:trPr>
        <w:tc>
          <w:tcPr>
            <w:tcW w:w="2268" w:type="dxa"/>
          </w:tcPr>
          <w:p w14:paraId="56DF1BEC" w14:textId="77777777" w:rsidR="00924205" w:rsidRPr="00924205" w:rsidRDefault="00924205" w:rsidP="00924205">
            <w:pPr>
              <w:spacing w:before="120" w:after="120" w:line="270" w:lineRule="atLeast"/>
            </w:pPr>
            <w:r w:rsidRPr="00924205">
              <w:lastRenderedPageBreak/>
              <w:t>CLASSIFICATION</w:t>
            </w:r>
          </w:p>
        </w:tc>
        <w:tc>
          <w:tcPr>
            <w:tcW w:w="2977" w:type="dxa"/>
          </w:tcPr>
          <w:p w14:paraId="483F0347" w14:textId="77777777" w:rsidR="00924205" w:rsidRPr="00924205" w:rsidRDefault="00924205" w:rsidP="00924205">
            <w:pPr>
              <w:spacing w:before="120" w:after="120" w:line="270" w:lineRule="atLeast"/>
            </w:pPr>
            <w:r w:rsidRPr="00924205">
              <w:t>BORROWING</w:t>
            </w:r>
          </w:p>
        </w:tc>
        <w:tc>
          <w:tcPr>
            <w:tcW w:w="992" w:type="dxa"/>
          </w:tcPr>
          <w:p w14:paraId="346D8CC4" w14:textId="77777777" w:rsidR="00924205" w:rsidRPr="00924205" w:rsidRDefault="00924205" w:rsidP="00924205">
            <w:pPr>
              <w:spacing w:before="120" w:after="120" w:line="270" w:lineRule="atLeast"/>
            </w:pPr>
            <w:r w:rsidRPr="00924205">
              <w:t>LOAN TYPE</w:t>
            </w:r>
          </w:p>
        </w:tc>
        <w:tc>
          <w:tcPr>
            <w:tcW w:w="1418" w:type="dxa"/>
          </w:tcPr>
          <w:p w14:paraId="69BE0A1A" w14:textId="77777777" w:rsidR="00924205" w:rsidRPr="00924205" w:rsidRDefault="00924205" w:rsidP="00924205">
            <w:pPr>
              <w:spacing w:before="120" w:after="120" w:line="270" w:lineRule="atLeast"/>
            </w:pPr>
            <w:r w:rsidRPr="00924205">
              <w:t>TERM OF LOAN</w:t>
            </w:r>
          </w:p>
        </w:tc>
        <w:tc>
          <w:tcPr>
            <w:tcW w:w="2664" w:type="dxa"/>
          </w:tcPr>
          <w:p w14:paraId="3A966B8D" w14:textId="77777777" w:rsidR="00924205" w:rsidRPr="00924205" w:rsidRDefault="00924205" w:rsidP="00924205">
            <w:pPr>
              <w:spacing w:before="120" w:after="120" w:line="270" w:lineRule="atLeast"/>
            </w:pPr>
            <w:r w:rsidRPr="00924205">
              <w:t>RATIONALE</w:t>
            </w:r>
          </w:p>
        </w:tc>
      </w:tr>
      <w:tr w:rsidR="00924205" w:rsidRPr="00924205" w14:paraId="112F3A03" w14:textId="77777777">
        <w:trPr>
          <w:trHeight w:val="1243"/>
        </w:trPr>
        <w:tc>
          <w:tcPr>
            <w:tcW w:w="2268" w:type="dxa"/>
          </w:tcPr>
          <w:p w14:paraId="61DF7F36" w14:textId="77777777" w:rsidR="00924205" w:rsidRPr="00924205" w:rsidRDefault="00924205" w:rsidP="00924205">
            <w:pPr>
              <w:keepNext/>
              <w:spacing w:before="120" w:after="120" w:line="270" w:lineRule="atLeast"/>
            </w:pPr>
            <w:r w:rsidRPr="00924205">
              <w:t>DCP – Fully funded</w:t>
            </w:r>
          </w:p>
        </w:tc>
        <w:tc>
          <w:tcPr>
            <w:tcW w:w="2977" w:type="dxa"/>
          </w:tcPr>
          <w:p w14:paraId="562015CE" w14:textId="77777777" w:rsidR="00924205" w:rsidRPr="00924205" w:rsidRDefault="00924205" w:rsidP="00924205">
            <w:pPr>
              <w:keepNext/>
              <w:spacing w:before="120" w:after="120" w:line="270" w:lineRule="atLeast"/>
            </w:pPr>
            <w:r w:rsidRPr="00924205">
              <w:rPr>
                <w:b/>
              </w:rPr>
              <w:t>DCP Projects</w:t>
            </w:r>
            <w:r w:rsidRPr="00924205">
              <w:t xml:space="preserve"> – land acquisition or where State/Federal contribution to project provides funding</w:t>
            </w:r>
          </w:p>
        </w:tc>
        <w:tc>
          <w:tcPr>
            <w:tcW w:w="992" w:type="dxa"/>
          </w:tcPr>
          <w:p w14:paraId="27F15BDA" w14:textId="77777777" w:rsidR="00924205" w:rsidRPr="00924205" w:rsidRDefault="00924205" w:rsidP="00924205">
            <w:pPr>
              <w:spacing w:before="120" w:after="120" w:line="270" w:lineRule="atLeast"/>
            </w:pPr>
            <w:r w:rsidRPr="00924205">
              <w:t>Interest Only</w:t>
            </w:r>
          </w:p>
        </w:tc>
        <w:tc>
          <w:tcPr>
            <w:tcW w:w="1418" w:type="dxa"/>
          </w:tcPr>
          <w:p w14:paraId="715D6FC4" w14:textId="77777777" w:rsidR="00924205" w:rsidRPr="00924205" w:rsidRDefault="00924205" w:rsidP="00924205">
            <w:pPr>
              <w:keepNext/>
              <w:spacing w:before="120" w:after="120" w:line="270" w:lineRule="atLeast"/>
            </w:pPr>
            <w:r w:rsidRPr="00924205">
              <w:t>Flexible</w:t>
            </w:r>
          </w:p>
        </w:tc>
        <w:tc>
          <w:tcPr>
            <w:tcW w:w="2664" w:type="dxa"/>
          </w:tcPr>
          <w:p w14:paraId="2895AD89" w14:textId="77777777" w:rsidR="00924205" w:rsidRPr="00924205" w:rsidRDefault="00924205" w:rsidP="00924205">
            <w:pPr>
              <w:keepNext/>
              <w:spacing w:before="120" w:after="120" w:line="270" w:lineRule="atLeast"/>
            </w:pPr>
            <w:r w:rsidRPr="00924205">
              <w:t>Income is to be received over a number of periods and the principal will be reduced accordingly</w:t>
            </w:r>
          </w:p>
        </w:tc>
      </w:tr>
      <w:tr w:rsidR="00924205" w:rsidRPr="00924205" w14:paraId="2374803F" w14:textId="77777777">
        <w:tc>
          <w:tcPr>
            <w:tcW w:w="2268" w:type="dxa"/>
          </w:tcPr>
          <w:p w14:paraId="5BD14560" w14:textId="77777777" w:rsidR="00924205" w:rsidRPr="00924205" w:rsidRDefault="00924205" w:rsidP="00924205">
            <w:pPr>
              <w:keepNext/>
              <w:spacing w:before="120" w:after="120" w:line="270" w:lineRule="atLeast"/>
            </w:pPr>
            <w:r w:rsidRPr="00924205">
              <w:t>DCP – other</w:t>
            </w:r>
          </w:p>
        </w:tc>
        <w:tc>
          <w:tcPr>
            <w:tcW w:w="2977" w:type="dxa"/>
          </w:tcPr>
          <w:p w14:paraId="065F6E3D" w14:textId="0096F3D8" w:rsidR="00924205" w:rsidRPr="00924205" w:rsidRDefault="00924205" w:rsidP="00924205">
            <w:pPr>
              <w:keepNext/>
              <w:spacing w:before="120" w:after="120" w:line="270" w:lineRule="atLeast"/>
            </w:pPr>
            <w:r w:rsidRPr="00924205">
              <w:rPr>
                <w:b/>
              </w:rPr>
              <w:t>DCP projects</w:t>
            </w:r>
            <w:r w:rsidRPr="00924205">
              <w:t xml:space="preserve"> which create an asset with </w:t>
            </w:r>
            <w:r w:rsidR="00313B76">
              <w:t xml:space="preserve">City </w:t>
            </w:r>
            <w:r w:rsidRPr="00924205">
              <w:t>responsibilities</w:t>
            </w:r>
          </w:p>
        </w:tc>
        <w:tc>
          <w:tcPr>
            <w:tcW w:w="992" w:type="dxa"/>
          </w:tcPr>
          <w:p w14:paraId="1614BF07" w14:textId="77777777" w:rsidR="00924205" w:rsidRPr="00924205" w:rsidRDefault="00924205" w:rsidP="00924205">
            <w:pPr>
              <w:keepNext/>
              <w:spacing w:before="120" w:after="120" w:line="270" w:lineRule="atLeast"/>
            </w:pPr>
            <w:r w:rsidRPr="00924205">
              <w:t>P&amp;I</w:t>
            </w:r>
          </w:p>
        </w:tc>
        <w:tc>
          <w:tcPr>
            <w:tcW w:w="1418" w:type="dxa"/>
          </w:tcPr>
          <w:p w14:paraId="34F1311B" w14:textId="77777777" w:rsidR="00924205" w:rsidRPr="00924205" w:rsidRDefault="00924205" w:rsidP="00924205">
            <w:pPr>
              <w:keepNext/>
              <w:spacing w:before="120" w:after="120" w:line="270" w:lineRule="atLeast"/>
            </w:pPr>
            <w:r w:rsidRPr="00924205">
              <w:t>Up to 10 years</w:t>
            </w:r>
          </w:p>
        </w:tc>
        <w:tc>
          <w:tcPr>
            <w:tcW w:w="2664" w:type="dxa"/>
          </w:tcPr>
          <w:p w14:paraId="23F5B02D" w14:textId="77777777" w:rsidR="00924205" w:rsidRPr="00924205" w:rsidRDefault="00924205" w:rsidP="00924205">
            <w:pPr>
              <w:keepNext/>
              <w:spacing w:before="120" w:after="120" w:line="270" w:lineRule="atLeast"/>
            </w:pPr>
            <w:r w:rsidRPr="00924205">
              <w:t>P&amp;I repayments to be factored into budget estimates each year</w:t>
            </w:r>
          </w:p>
        </w:tc>
      </w:tr>
      <w:tr w:rsidR="00924205" w:rsidRPr="00924205" w14:paraId="5B33C48F" w14:textId="77777777">
        <w:tc>
          <w:tcPr>
            <w:tcW w:w="2268" w:type="dxa"/>
          </w:tcPr>
          <w:p w14:paraId="4768B8D1" w14:textId="3A1566E2" w:rsidR="00924205" w:rsidRPr="00924205" w:rsidRDefault="00924205" w:rsidP="00924205">
            <w:pPr>
              <w:keepNext/>
              <w:spacing w:before="120" w:after="120" w:line="270" w:lineRule="atLeast"/>
            </w:pPr>
            <w:r w:rsidRPr="00924205">
              <w:t xml:space="preserve">Incremental Revenue; projects which provide </w:t>
            </w:r>
            <w:r w:rsidR="00313B76">
              <w:t>the City</w:t>
            </w:r>
            <w:r w:rsidR="00313B76" w:rsidRPr="00924205">
              <w:t xml:space="preserve"> </w:t>
            </w:r>
            <w:r w:rsidRPr="00924205">
              <w:t>revenue not linked to rates</w:t>
            </w:r>
          </w:p>
        </w:tc>
        <w:tc>
          <w:tcPr>
            <w:tcW w:w="2977" w:type="dxa"/>
          </w:tcPr>
          <w:p w14:paraId="17871227" w14:textId="77777777" w:rsidR="00924205" w:rsidRPr="00924205" w:rsidRDefault="00924205" w:rsidP="00924205">
            <w:pPr>
              <w:keepNext/>
              <w:spacing w:before="120" w:after="120" w:line="270" w:lineRule="atLeast"/>
            </w:pPr>
            <w:r w:rsidRPr="00924205">
              <w:rPr>
                <w:b/>
              </w:rPr>
              <w:t>Community Asset Projects</w:t>
            </w:r>
            <w:r w:rsidRPr="00924205">
              <w:t xml:space="preserve"> – Construction projects which create a community asset</w:t>
            </w:r>
          </w:p>
        </w:tc>
        <w:tc>
          <w:tcPr>
            <w:tcW w:w="992" w:type="dxa"/>
          </w:tcPr>
          <w:p w14:paraId="33D02F0C" w14:textId="77777777" w:rsidR="00924205" w:rsidRPr="00924205" w:rsidRDefault="00924205" w:rsidP="00924205">
            <w:pPr>
              <w:keepNext/>
              <w:spacing w:before="120" w:after="120" w:line="270" w:lineRule="atLeast"/>
            </w:pPr>
            <w:r w:rsidRPr="00924205">
              <w:t>P&amp;I</w:t>
            </w:r>
          </w:p>
        </w:tc>
        <w:tc>
          <w:tcPr>
            <w:tcW w:w="1418" w:type="dxa"/>
          </w:tcPr>
          <w:p w14:paraId="54A9A0C5" w14:textId="77777777" w:rsidR="00924205" w:rsidRPr="00924205" w:rsidRDefault="00924205" w:rsidP="00924205">
            <w:pPr>
              <w:keepNext/>
              <w:spacing w:before="120" w:after="120" w:line="270" w:lineRule="atLeast"/>
            </w:pPr>
            <w:r w:rsidRPr="00924205">
              <w:t>Up to 10 years</w:t>
            </w:r>
          </w:p>
        </w:tc>
        <w:tc>
          <w:tcPr>
            <w:tcW w:w="2664" w:type="dxa"/>
          </w:tcPr>
          <w:p w14:paraId="0A89955D" w14:textId="77777777" w:rsidR="00924205" w:rsidRPr="00924205" w:rsidRDefault="00924205" w:rsidP="00924205">
            <w:pPr>
              <w:keepNext/>
              <w:spacing w:before="120" w:after="120" w:line="270" w:lineRule="atLeast"/>
            </w:pPr>
            <w:r w:rsidRPr="00924205">
              <w:t>P&amp;I repayments to be factored into budget estimates each year</w:t>
            </w:r>
          </w:p>
        </w:tc>
      </w:tr>
      <w:tr w:rsidR="00924205" w:rsidRPr="00924205" w14:paraId="5E225ED5" w14:textId="77777777">
        <w:tc>
          <w:tcPr>
            <w:tcW w:w="2268" w:type="dxa"/>
          </w:tcPr>
          <w:p w14:paraId="6C088F7E" w14:textId="77777777" w:rsidR="00924205" w:rsidRPr="00924205" w:rsidRDefault="00924205" w:rsidP="00924205">
            <w:pPr>
              <w:keepNext/>
              <w:spacing w:before="120" w:after="120" w:line="270" w:lineRule="atLeast"/>
            </w:pPr>
            <w:r w:rsidRPr="00924205">
              <w:t>Incremental Revenue or Cost Reduction; projects which provide the City with revenue or cost savings not linked to rates</w:t>
            </w:r>
          </w:p>
        </w:tc>
        <w:tc>
          <w:tcPr>
            <w:tcW w:w="2977" w:type="dxa"/>
          </w:tcPr>
          <w:p w14:paraId="1F75C40B" w14:textId="77777777" w:rsidR="00924205" w:rsidRPr="00924205" w:rsidRDefault="00924205" w:rsidP="00924205">
            <w:pPr>
              <w:keepNext/>
              <w:spacing w:before="120" w:after="120" w:line="270" w:lineRule="atLeast"/>
            </w:pPr>
            <w:r w:rsidRPr="00924205">
              <w:t>General – Income or cost savings linked to a Capital project (e.g. landfill cell, LED street lighting)</w:t>
            </w:r>
          </w:p>
        </w:tc>
        <w:tc>
          <w:tcPr>
            <w:tcW w:w="992" w:type="dxa"/>
          </w:tcPr>
          <w:p w14:paraId="03EEA9CC" w14:textId="77777777" w:rsidR="00924205" w:rsidRPr="00924205" w:rsidRDefault="00924205" w:rsidP="00924205">
            <w:pPr>
              <w:keepNext/>
              <w:spacing w:before="120" w:after="120" w:line="270" w:lineRule="atLeast"/>
            </w:pPr>
            <w:r w:rsidRPr="00924205">
              <w:t xml:space="preserve">Interest Only </w:t>
            </w:r>
          </w:p>
          <w:p w14:paraId="75F4BBBE" w14:textId="77777777" w:rsidR="00924205" w:rsidRPr="00924205" w:rsidRDefault="00924205" w:rsidP="00924205">
            <w:pPr>
              <w:keepNext/>
              <w:spacing w:before="120" w:after="120" w:line="270" w:lineRule="atLeast"/>
            </w:pPr>
            <w:r w:rsidRPr="00924205">
              <w:t>Or P&amp;I</w:t>
            </w:r>
          </w:p>
        </w:tc>
        <w:tc>
          <w:tcPr>
            <w:tcW w:w="1418" w:type="dxa"/>
          </w:tcPr>
          <w:p w14:paraId="48D3508C" w14:textId="77777777" w:rsidR="00924205" w:rsidRPr="00924205" w:rsidRDefault="00924205" w:rsidP="00924205">
            <w:pPr>
              <w:keepNext/>
              <w:spacing w:before="120" w:after="120" w:line="270" w:lineRule="atLeast"/>
            </w:pPr>
            <w:r w:rsidRPr="00924205">
              <w:t>Flexible</w:t>
            </w:r>
          </w:p>
        </w:tc>
        <w:tc>
          <w:tcPr>
            <w:tcW w:w="2664" w:type="dxa"/>
          </w:tcPr>
          <w:p w14:paraId="6DC5F3AE" w14:textId="77777777" w:rsidR="00924205" w:rsidRPr="00924205" w:rsidRDefault="00924205" w:rsidP="00924205">
            <w:pPr>
              <w:keepNext/>
              <w:spacing w:before="120" w:after="120" w:line="270" w:lineRule="atLeast"/>
            </w:pPr>
            <w:r w:rsidRPr="00924205">
              <w:t>Interest to be charged and to form cost of service delivery. Principal to be recovered and accounted for through identified cost savings.</w:t>
            </w:r>
          </w:p>
        </w:tc>
      </w:tr>
    </w:tbl>
    <w:p w14:paraId="1E42BCF3" w14:textId="77777777" w:rsidR="00003D6F" w:rsidRDefault="00003D6F" w:rsidP="00003D6F">
      <w:pPr>
        <w:pStyle w:val="Heading4"/>
        <w:numPr>
          <w:ilvl w:val="0"/>
          <w:numId w:val="0"/>
        </w:numPr>
      </w:pPr>
    </w:p>
    <w:p w14:paraId="49078E6B" w14:textId="77777777" w:rsidR="00924205" w:rsidRDefault="00924205" w:rsidP="00A14AEE">
      <w:pPr>
        <w:pStyle w:val="Heading1"/>
      </w:pPr>
      <w:bookmarkStart w:id="19" w:name="_Toc140851572"/>
      <w:r>
        <w:t>COST ALLOCATION OF BORROWINGS</w:t>
      </w:r>
      <w:bookmarkEnd w:id="19"/>
    </w:p>
    <w:p w14:paraId="41EF80E1" w14:textId="77777777" w:rsidR="00924205" w:rsidRDefault="00924205" w:rsidP="00A14AEE">
      <w:pPr>
        <w:pStyle w:val="Heading2"/>
      </w:pPr>
      <w:r>
        <w:t>If the capital project is for a service that is funded by user charges (e.g. leisure services) and borrowings are the agreed funding source then the user charges pricing model will be updated to reflect the total cost of the borrowings.</w:t>
      </w:r>
    </w:p>
    <w:p w14:paraId="1C3001B2" w14:textId="77777777" w:rsidR="00924205" w:rsidRDefault="00924205" w:rsidP="00A14AEE">
      <w:pPr>
        <w:pStyle w:val="Heading2"/>
      </w:pPr>
      <w:r>
        <w:t>If the capital project is for a service that is not funded by user charges, then borrowings should only be considered where the project is considered by the City to be beneficial to the majority of ratepayers and costs will not be directly attributed to a service.</w:t>
      </w:r>
    </w:p>
    <w:p w14:paraId="78BDC7DA" w14:textId="77777777" w:rsidR="00924205" w:rsidRDefault="00924205" w:rsidP="00924205"/>
    <w:p w14:paraId="23A8ED42" w14:textId="77777777" w:rsidR="00924205" w:rsidRDefault="00924205" w:rsidP="00A14AEE">
      <w:pPr>
        <w:pStyle w:val="Heading1"/>
      </w:pPr>
      <w:bookmarkStart w:id="20" w:name="_Toc140851573"/>
      <w:r>
        <w:t>RESTRICTION</w:t>
      </w:r>
      <w:bookmarkEnd w:id="20"/>
    </w:p>
    <w:p w14:paraId="4E9C2371" w14:textId="34B51A41" w:rsidR="00FB5158" w:rsidRDefault="00992A6E" w:rsidP="00A14AEE">
      <w:pPr>
        <w:pStyle w:val="Heading2"/>
      </w:pPr>
      <w:r w:rsidRPr="00685664">
        <w:t>For the avoidance of doubt and as noted above (Background) t</w:t>
      </w:r>
      <w:r w:rsidR="00924205" w:rsidRPr="00685664">
        <w:t>he C</w:t>
      </w:r>
      <w:r w:rsidR="00313B76" w:rsidRPr="00685664">
        <w:t xml:space="preserve">ity </w:t>
      </w:r>
      <w:r w:rsidR="00924205" w:rsidRPr="00685664">
        <w:t>will abide by section 104 of the Act whereby money cannot be borrowed unless details of the proposed borrowings are included in the annual budget or revised budget.</w:t>
      </w:r>
      <w:r w:rsidR="00FB5158">
        <w:br w:type="page"/>
      </w:r>
    </w:p>
    <w:p w14:paraId="156A6C2D" w14:textId="250CA874" w:rsidR="00DD2FB1" w:rsidRDefault="00FB5158" w:rsidP="00FB5158">
      <w:pPr>
        <w:pStyle w:val="AttachmentHeading1"/>
        <w:framePr w:wrap="around"/>
      </w:pPr>
      <w:bookmarkStart w:id="21" w:name="_Toc140851574"/>
      <w:r>
        <w:lastRenderedPageBreak/>
        <w:t>Implementation of this Policy</w:t>
      </w:r>
      <w:bookmarkEnd w:id="21"/>
      <w:r>
        <w:t xml:space="preserve"> </w:t>
      </w:r>
    </w:p>
    <w:p w14:paraId="0798E394" w14:textId="63481E51" w:rsidR="00590077" w:rsidRPr="00066A79" w:rsidRDefault="00590077" w:rsidP="00590077">
      <w:pPr>
        <w:pStyle w:val="AttachmentHeading2"/>
      </w:pPr>
      <w:bookmarkStart w:id="22" w:name="_Toc527374258"/>
      <w:r w:rsidRPr="00066A79">
        <w:t>Monitoring and reporting</w:t>
      </w:r>
      <w:bookmarkEnd w:id="22"/>
    </w:p>
    <w:p w14:paraId="46BB611D" w14:textId="758BB2A5" w:rsidR="00924205" w:rsidRPr="00066A79" w:rsidRDefault="00924205" w:rsidP="00924205">
      <w:pPr>
        <w:pStyle w:val="BodyText"/>
      </w:pPr>
      <w:r w:rsidRPr="00066A79">
        <w:t xml:space="preserve">The application of this policy will be monitored through the annual review and update of the City’s Long Term Financial Plan, </w:t>
      </w:r>
      <w:r w:rsidR="00313B76" w:rsidRPr="00066A79">
        <w:t>B</w:t>
      </w:r>
      <w:r w:rsidRPr="00066A79">
        <w:t>udget document</w:t>
      </w:r>
      <w:r w:rsidR="00313B76" w:rsidRPr="00066A79">
        <w:t>s</w:t>
      </w:r>
      <w:r w:rsidRPr="00066A79">
        <w:t xml:space="preserve"> and annual </w:t>
      </w:r>
      <w:r w:rsidR="00313B76" w:rsidRPr="00066A79">
        <w:t>F</w:t>
      </w:r>
      <w:r w:rsidRPr="00066A79">
        <w:t xml:space="preserve">inancial </w:t>
      </w:r>
      <w:r w:rsidR="00313B76" w:rsidRPr="00066A79">
        <w:t>S</w:t>
      </w:r>
      <w:r w:rsidRPr="00066A79">
        <w:t xml:space="preserve">tatements. The documents report on the City’s </w:t>
      </w:r>
      <w:r w:rsidR="00313B76" w:rsidRPr="00066A79">
        <w:t xml:space="preserve">debt </w:t>
      </w:r>
      <w:r w:rsidRPr="00066A79">
        <w:t xml:space="preserve">portfolio </w:t>
      </w:r>
      <w:r w:rsidR="00313B76" w:rsidRPr="00066A79">
        <w:t>including</w:t>
      </w:r>
      <w:r w:rsidRPr="00066A79">
        <w:t xml:space="preserve"> current borrowings.</w:t>
      </w:r>
    </w:p>
    <w:p w14:paraId="1D897FDC" w14:textId="503B2DF2" w:rsidR="00924205" w:rsidRPr="00924205" w:rsidRDefault="00924205" w:rsidP="00924205">
      <w:pPr>
        <w:pStyle w:val="BodyText"/>
      </w:pPr>
      <w:r w:rsidRPr="00066A79">
        <w:t xml:space="preserve">The City will report on financial sustainability metrics, debt commitment and borrowing rate ratios as part of the </w:t>
      </w:r>
      <w:r w:rsidR="00313B76" w:rsidRPr="00066A79">
        <w:t>B</w:t>
      </w:r>
      <w:r w:rsidRPr="00066A79">
        <w:t xml:space="preserve">udget process and in the annual </w:t>
      </w:r>
      <w:r w:rsidR="00313B76" w:rsidRPr="00066A79">
        <w:t>Financial Statements</w:t>
      </w:r>
      <w:r w:rsidRPr="00066A79">
        <w:t>.</w:t>
      </w:r>
    </w:p>
    <w:p w14:paraId="28A222EF" w14:textId="6D6BF5B0" w:rsidR="00590077" w:rsidRDefault="00590077" w:rsidP="00590077">
      <w:pPr>
        <w:pStyle w:val="AttachmentHeading2"/>
      </w:pPr>
      <w:bookmarkStart w:id="23" w:name="_Toc511644877"/>
      <w:bookmarkStart w:id="24" w:name="_Toc527374259"/>
      <w:r w:rsidRPr="00670856">
        <w:t>Advice and assistance</w:t>
      </w:r>
      <w:bookmarkEnd w:id="23"/>
      <w:bookmarkEnd w:id="24"/>
    </w:p>
    <w:p w14:paraId="6F22E86A" w14:textId="77777777" w:rsidR="00590077" w:rsidRDefault="00590077" w:rsidP="00590077">
      <w:pPr>
        <w:pStyle w:val="BodyText"/>
      </w:pPr>
      <w:r>
        <w:t xml:space="preserve">The </w:t>
      </w:r>
      <w:hyperlink w:anchor="_Responsible_Officer" w:history="1">
        <w:r w:rsidRPr="00685664">
          <w:rPr>
            <w:rStyle w:val="Hyperlink"/>
            <w:u w:val="none"/>
          </w:rPr>
          <w:t>Responsible Officer</w:t>
        </w:r>
      </w:hyperlink>
      <w:r>
        <w:t xml:space="preserve"> for this policy manages the provision of advice to the organisation regarding this policy.</w:t>
      </w:r>
    </w:p>
    <w:p w14:paraId="293B1030" w14:textId="77777777" w:rsidR="00590077" w:rsidRDefault="00590077" w:rsidP="00590077">
      <w:pPr>
        <w:pStyle w:val="BodyText"/>
      </w:pPr>
      <w:r>
        <w:t xml:space="preserve">A person who is uncertain how to comply with this policy should seek advice from this person or from their Manager. </w:t>
      </w:r>
    </w:p>
    <w:p w14:paraId="523FE659" w14:textId="2572CFF8" w:rsidR="00590077" w:rsidRDefault="00590077" w:rsidP="00590077">
      <w:pPr>
        <w:pStyle w:val="AttachmentHeading2"/>
      </w:pPr>
      <w:bookmarkStart w:id="25" w:name="_Document_Management_Framework"/>
      <w:bookmarkStart w:id="26" w:name="_Toc527374260"/>
      <w:bookmarkEnd w:id="25"/>
      <w:r>
        <w:t>Records</w:t>
      </w:r>
      <w:bookmarkEnd w:id="26"/>
    </w:p>
    <w:p w14:paraId="7874C343" w14:textId="3ACFCA8D" w:rsidR="00590077" w:rsidRDefault="00590077" w:rsidP="00590077">
      <w:pPr>
        <w:pStyle w:val="BodyText"/>
        <w:spacing w:after="240"/>
      </w:pPr>
      <w:r>
        <w:t>The City must retain r</w:t>
      </w:r>
      <w:r w:rsidRPr="00670856">
        <w:t>ecords</w:t>
      </w:r>
      <w:r>
        <w:t xml:space="preserve"> associated with this </w:t>
      </w:r>
      <w:r w:rsidR="00FE23E1">
        <w:t>P</w:t>
      </w:r>
      <w:r>
        <w:t>olicy</w:t>
      </w:r>
      <w:r w:rsidRPr="00670856">
        <w:t xml:space="preserve"> </w:t>
      </w:r>
      <w:r>
        <w:t xml:space="preserve">and its implementation </w:t>
      </w:r>
      <w:r w:rsidR="00FE23E1">
        <w:t>in accordance with its Records Information Management Policy</w:t>
      </w:r>
      <w:r w:rsidR="00066A79">
        <w:t>.</w:t>
      </w:r>
    </w:p>
    <w:p w14:paraId="3F4415B8" w14:textId="495C82FD" w:rsidR="00590077" w:rsidRDefault="00590077" w:rsidP="00590077">
      <w:pPr>
        <w:pStyle w:val="AttachmentHeading2"/>
      </w:pPr>
      <w:bookmarkStart w:id="27" w:name="_Toc527374261"/>
      <w:r>
        <w:t>Review</w:t>
      </w:r>
      <w:bookmarkEnd w:id="27"/>
    </w:p>
    <w:p w14:paraId="4669D5B8" w14:textId="52222540" w:rsidR="00185BA6" w:rsidRDefault="00924205" w:rsidP="00924205">
      <w:r>
        <w:t>The Policy will be reviewed on a 4-year basis, and key borrowing metrics will be reviewed annually during budget development and endorsed by Council. The review will include advice from appropriate financial institutions.</w:t>
      </w:r>
      <w:r w:rsidR="00185BA6">
        <w:br w:type="page"/>
      </w:r>
    </w:p>
    <w:p w14:paraId="09BE979C" w14:textId="7A532C23" w:rsidR="00FB5158" w:rsidRDefault="00185BA6" w:rsidP="00185BA6">
      <w:pPr>
        <w:pStyle w:val="AttachmentHeading1"/>
        <w:framePr w:wrap="around"/>
      </w:pPr>
      <w:bookmarkStart w:id="28" w:name="_Toc140851575"/>
      <w:r>
        <w:lastRenderedPageBreak/>
        <w:t>References</w:t>
      </w:r>
      <w:bookmarkEnd w:id="28"/>
    </w:p>
    <w:p w14:paraId="3A152B3C" w14:textId="7CFB5EA2" w:rsidR="00185BA6" w:rsidRDefault="00185BA6" w:rsidP="00DF644E">
      <w:pPr>
        <w:pStyle w:val="BodyText"/>
        <w:rPr>
          <w:b/>
          <w:bCs/>
        </w:rPr>
      </w:pPr>
      <w:r>
        <w:rPr>
          <w:b/>
          <w:bCs/>
        </w:rPr>
        <w:t>Legislation</w:t>
      </w:r>
    </w:p>
    <w:p w14:paraId="0C0F8DC3" w14:textId="4FB56EBB" w:rsidR="00941651" w:rsidRPr="00A14AEE" w:rsidRDefault="00A14AEE" w:rsidP="00A14AEE">
      <w:pPr>
        <w:pStyle w:val="BodyText"/>
      </w:pPr>
      <w:r w:rsidRPr="00A14AEE">
        <w:t>The Local Government Act 2020</w:t>
      </w:r>
    </w:p>
    <w:p w14:paraId="5914C150" w14:textId="01109192" w:rsidR="00941651" w:rsidRDefault="00941651" w:rsidP="00DF644E">
      <w:pPr>
        <w:pStyle w:val="BodyText"/>
        <w:rPr>
          <w:b/>
          <w:bCs/>
        </w:rPr>
      </w:pPr>
      <w:r>
        <w:rPr>
          <w:b/>
          <w:bCs/>
        </w:rPr>
        <w:t>Other Documents</w:t>
      </w:r>
    </w:p>
    <w:p w14:paraId="574D06EC" w14:textId="77777777" w:rsidR="00A14AEE" w:rsidRPr="00A14AEE" w:rsidRDefault="00A14AEE" w:rsidP="00A14AEE">
      <w:pPr>
        <w:pStyle w:val="BodyText"/>
      </w:pPr>
      <w:r w:rsidRPr="00A14AEE">
        <w:t>Local Government Performance Reporting Framework (LGPRF)</w:t>
      </w:r>
    </w:p>
    <w:p w14:paraId="410F5ED5" w14:textId="169BAFB3" w:rsidR="00A14AEE" w:rsidRPr="00A14AEE" w:rsidRDefault="00A14AEE" w:rsidP="00A14AEE">
      <w:pPr>
        <w:pStyle w:val="BodyText"/>
      </w:pPr>
      <w:r w:rsidRPr="00A14AEE">
        <w:t>Victorian Auditor - General’s Office (VAGO)</w:t>
      </w:r>
    </w:p>
    <w:p w14:paraId="05B5D5B8" w14:textId="11C8A615" w:rsidR="00A14AEE" w:rsidRPr="00A14AEE" w:rsidRDefault="00A14AEE" w:rsidP="00A14AEE">
      <w:pPr>
        <w:pStyle w:val="BodyText"/>
      </w:pPr>
      <w:r w:rsidRPr="00A14AEE">
        <w:t>Procurement Policy</w:t>
      </w:r>
    </w:p>
    <w:p w14:paraId="5D99D6E0" w14:textId="6DFFD900" w:rsidR="00FE23E1" w:rsidRDefault="00FE23E1" w:rsidP="00DF644E">
      <w:pPr>
        <w:pStyle w:val="BodyText"/>
        <w:rPr>
          <w:b/>
          <w:bCs/>
          <w:i/>
          <w:iCs/>
          <w:highlight w:val="yellow"/>
        </w:rPr>
      </w:pPr>
      <w:r>
        <w:t>Records Information Management Policy</w:t>
      </w:r>
    </w:p>
    <w:p w14:paraId="1A2C97B2" w14:textId="77777777" w:rsidR="00BC31F6" w:rsidRPr="00941651" w:rsidRDefault="00BC31F6" w:rsidP="00DF644E">
      <w:pPr>
        <w:pStyle w:val="BodyText"/>
      </w:pPr>
    </w:p>
    <w:sectPr w:rsidR="00BC31F6" w:rsidRPr="00941651" w:rsidSect="006872F7">
      <w:pgSz w:w="11907" w:h="16840" w:code="9"/>
      <w:pgMar w:top="1134" w:right="1134" w:bottom="794" w:left="113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017BC" w14:textId="77777777" w:rsidR="00311373" w:rsidRDefault="00311373" w:rsidP="00CE604F">
      <w:r>
        <w:separator/>
      </w:r>
    </w:p>
    <w:p w14:paraId="61EB6F4C" w14:textId="77777777" w:rsidR="00311373" w:rsidRDefault="00311373" w:rsidP="00CE604F"/>
    <w:p w14:paraId="201994F2" w14:textId="77777777" w:rsidR="00311373" w:rsidRDefault="00311373" w:rsidP="00CE604F"/>
    <w:p w14:paraId="1073D5B1" w14:textId="77777777" w:rsidR="00311373" w:rsidRDefault="00311373" w:rsidP="00CE604F"/>
    <w:p w14:paraId="46D9AF9B" w14:textId="77777777" w:rsidR="00311373" w:rsidRDefault="00311373"/>
    <w:p w14:paraId="2832B204" w14:textId="77777777" w:rsidR="00311373" w:rsidRDefault="00311373"/>
  </w:endnote>
  <w:endnote w:type="continuationSeparator" w:id="0">
    <w:p w14:paraId="343CD1DB" w14:textId="77777777" w:rsidR="00311373" w:rsidRDefault="00311373" w:rsidP="00CE604F">
      <w:r>
        <w:continuationSeparator/>
      </w:r>
    </w:p>
    <w:p w14:paraId="1C4B9CBF" w14:textId="77777777" w:rsidR="00311373" w:rsidRDefault="00311373" w:rsidP="00CE604F"/>
    <w:p w14:paraId="1BC90B3A" w14:textId="77777777" w:rsidR="00311373" w:rsidRDefault="00311373" w:rsidP="00CE604F"/>
    <w:p w14:paraId="0AC0809F" w14:textId="77777777" w:rsidR="00311373" w:rsidRDefault="00311373" w:rsidP="00CE604F"/>
    <w:p w14:paraId="1613115B" w14:textId="77777777" w:rsidR="00311373" w:rsidRDefault="00311373"/>
    <w:p w14:paraId="748D8F5F" w14:textId="77777777" w:rsidR="00311373" w:rsidRDefault="00311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C92A"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9AD4" w14:textId="77777777" w:rsidR="0099324A" w:rsidRPr="00B45070" w:rsidRDefault="0099324A" w:rsidP="00E3052C">
    <w:pPr>
      <w:pStyle w:val="Footer"/>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A3D7" w14:textId="77777777" w:rsidR="00AF0C8C" w:rsidRDefault="00AF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BF55" w14:textId="77777777" w:rsidR="00311373" w:rsidRDefault="00311373" w:rsidP="00CE604F">
      <w:r>
        <w:separator/>
      </w:r>
    </w:p>
    <w:p w14:paraId="40FB1644" w14:textId="77777777" w:rsidR="00311373" w:rsidRDefault="00311373"/>
    <w:p w14:paraId="7B92083D" w14:textId="77777777" w:rsidR="00311373" w:rsidRDefault="00311373"/>
  </w:footnote>
  <w:footnote w:type="continuationSeparator" w:id="0">
    <w:p w14:paraId="0967399A" w14:textId="77777777" w:rsidR="00311373" w:rsidRDefault="00311373" w:rsidP="00CE604F">
      <w:r>
        <w:continuationSeparator/>
      </w:r>
    </w:p>
    <w:p w14:paraId="58197D3E" w14:textId="77777777" w:rsidR="00311373" w:rsidRDefault="00311373" w:rsidP="00CE604F"/>
    <w:p w14:paraId="64E6AB7B" w14:textId="77777777" w:rsidR="00311373" w:rsidRDefault="00311373" w:rsidP="00CE604F"/>
    <w:p w14:paraId="004D8679" w14:textId="77777777" w:rsidR="00311373" w:rsidRDefault="00311373" w:rsidP="00CE604F"/>
    <w:p w14:paraId="392C7BF1" w14:textId="77777777" w:rsidR="00311373" w:rsidRDefault="00311373"/>
    <w:p w14:paraId="7A9B97ED" w14:textId="77777777" w:rsidR="00311373" w:rsidRDefault="003113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9B95" w14:textId="77777777" w:rsidR="00AF0C8C" w:rsidRDefault="00AF0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9803" w14:textId="77777777" w:rsidR="00AF0C8C" w:rsidRDefault="00AF0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8B9B" w14:textId="77777777" w:rsidR="0099324A" w:rsidRDefault="0099324A" w:rsidP="005F39EC">
    <w:pPr>
      <w:pStyle w:val="Header"/>
    </w:pPr>
    <w:r>
      <w:rPr>
        <w:noProof/>
      </w:rPr>
      <w:drawing>
        <wp:anchor distT="0" distB="0" distL="114300" distR="114300" simplePos="0" relativeHeight="251658239" behindDoc="0" locked="1" layoutInCell="1" allowOverlap="1" wp14:anchorId="05C966D3" wp14:editId="1A7A5EB5">
          <wp:simplePos x="504825" y="361950"/>
          <wp:positionH relativeFrom="page">
            <wp:align>left</wp:align>
          </wp:positionH>
          <wp:positionV relativeFrom="page">
            <wp:align>top</wp:align>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5"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6"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8"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12" w15:restartNumberingAfterBreak="0">
    <w:nsid w:val="3C3C1831"/>
    <w:multiLevelType w:val="hybridMultilevel"/>
    <w:tmpl w:val="0A6E7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4"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5" w15:restartNumberingAfterBreak="0">
    <w:nsid w:val="5701093F"/>
    <w:multiLevelType w:val="hybridMultilevel"/>
    <w:tmpl w:val="D466F4C0"/>
    <w:lvl w:ilvl="0" w:tplc="D90E988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3F725ED"/>
    <w:multiLevelType w:val="multilevel"/>
    <w:tmpl w:val="28387628"/>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964"/>
        </w:tabs>
        <w:ind w:left="964" w:hanging="567"/>
      </w:pPr>
      <w:rPr>
        <w:rFonts w:hint="default"/>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1"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23"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299237642">
    <w:abstractNumId w:val="11"/>
  </w:num>
  <w:num w:numId="2" w16cid:durableId="899704445">
    <w:abstractNumId w:val="5"/>
  </w:num>
  <w:num w:numId="3" w16cid:durableId="103841621">
    <w:abstractNumId w:val="7"/>
  </w:num>
  <w:num w:numId="4" w16cid:durableId="1898012981">
    <w:abstractNumId w:val="13"/>
  </w:num>
  <w:num w:numId="5" w16cid:durableId="1437748439">
    <w:abstractNumId w:val="14"/>
  </w:num>
  <w:num w:numId="6" w16cid:durableId="294068993">
    <w:abstractNumId w:val="20"/>
  </w:num>
  <w:num w:numId="7" w16cid:durableId="1073697597">
    <w:abstractNumId w:val="23"/>
  </w:num>
  <w:num w:numId="8" w16cid:durableId="1326931052">
    <w:abstractNumId w:val="4"/>
  </w:num>
  <w:num w:numId="9" w16cid:durableId="353923004">
    <w:abstractNumId w:val="18"/>
  </w:num>
  <w:num w:numId="10" w16cid:durableId="1777095416">
    <w:abstractNumId w:val="21"/>
  </w:num>
  <w:num w:numId="11" w16cid:durableId="654266000">
    <w:abstractNumId w:val="19"/>
  </w:num>
  <w:num w:numId="12" w16cid:durableId="1633055652">
    <w:abstractNumId w:val="2"/>
  </w:num>
  <w:num w:numId="13" w16cid:durableId="1438283693">
    <w:abstractNumId w:val="15"/>
  </w:num>
  <w:num w:numId="14" w16cid:durableId="20061265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073220"/>
    <w:rsid w:val="00003A5D"/>
    <w:rsid w:val="00003D6F"/>
    <w:rsid w:val="000048A1"/>
    <w:rsid w:val="0000578C"/>
    <w:rsid w:val="00006AEB"/>
    <w:rsid w:val="00010362"/>
    <w:rsid w:val="00012493"/>
    <w:rsid w:val="0001309C"/>
    <w:rsid w:val="00015395"/>
    <w:rsid w:val="00015489"/>
    <w:rsid w:val="00021629"/>
    <w:rsid w:val="00023722"/>
    <w:rsid w:val="000273D2"/>
    <w:rsid w:val="0002770F"/>
    <w:rsid w:val="00030518"/>
    <w:rsid w:val="00030BBF"/>
    <w:rsid w:val="00033931"/>
    <w:rsid w:val="000340A9"/>
    <w:rsid w:val="0003417A"/>
    <w:rsid w:val="00034A7D"/>
    <w:rsid w:val="00035765"/>
    <w:rsid w:val="00035E23"/>
    <w:rsid w:val="00041675"/>
    <w:rsid w:val="00045E1B"/>
    <w:rsid w:val="00051849"/>
    <w:rsid w:val="0005500E"/>
    <w:rsid w:val="00056673"/>
    <w:rsid w:val="00060D40"/>
    <w:rsid w:val="0006184F"/>
    <w:rsid w:val="000645EC"/>
    <w:rsid w:val="00066A79"/>
    <w:rsid w:val="00072C00"/>
    <w:rsid w:val="00073220"/>
    <w:rsid w:val="00073846"/>
    <w:rsid w:val="00075801"/>
    <w:rsid w:val="000767E6"/>
    <w:rsid w:val="0008298C"/>
    <w:rsid w:val="000830C8"/>
    <w:rsid w:val="000846FE"/>
    <w:rsid w:val="00085FD3"/>
    <w:rsid w:val="000873E7"/>
    <w:rsid w:val="0009559C"/>
    <w:rsid w:val="00095E19"/>
    <w:rsid w:val="000A0633"/>
    <w:rsid w:val="000A2767"/>
    <w:rsid w:val="000A3DB3"/>
    <w:rsid w:val="000A4BF6"/>
    <w:rsid w:val="000A73E8"/>
    <w:rsid w:val="000B010E"/>
    <w:rsid w:val="000B5098"/>
    <w:rsid w:val="000B5463"/>
    <w:rsid w:val="000C0431"/>
    <w:rsid w:val="000C2502"/>
    <w:rsid w:val="000C73FC"/>
    <w:rsid w:val="000C7931"/>
    <w:rsid w:val="000C7DD4"/>
    <w:rsid w:val="000D1087"/>
    <w:rsid w:val="000D6D8E"/>
    <w:rsid w:val="000D6EA5"/>
    <w:rsid w:val="000E22A7"/>
    <w:rsid w:val="000E330C"/>
    <w:rsid w:val="000E46A7"/>
    <w:rsid w:val="000E5E00"/>
    <w:rsid w:val="000F52FE"/>
    <w:rsid w:val="000F71C6"/>
    <w:rsid w:val="00103137"/>
    <w:rsid w:val="00104560"/>
    <w:rsid w:val="0010704C"/>
    <w:rsid w:val="00107786"/>
    <w:rsid w:val="00113B8E"/>
    <w:rsid w:val="00114534"/>
    <w:rsid w:val="0011609F"/>
    <w:rsid w:val="0011699E"/>
    <w:rsid w:val="00116F56"/>
    <w:rsid w:val="001207DA"/>
    <w:rsid w:val="00121968"/>
    <w:rsid w:val="00122E8B"/>
    <w:rsid w:val="0012303F"/>
    <w:rsid w:val="0012356D"/>
    <w:rsid w:val="00123E23"/>
    <w:rsid w:val="0012550A"/>
    <w:rsid w:val="00126586"/>
    <w:rsid w:val="0013319E"/>
    <w:rsid w:val="001357B8"/>
    <w:rsid w:val="001359F2"/>
    <w:rsid w:val="001361F1"/>
    <w:rsid w:val="0013729F"/>
    <w:rsid w:val="00140207"/>
    <w:rsid w:val="00146E27"/>
    <w:rsid w:val="0015135C"/>
    <w:rsid w:val="00152D85"/>
    <w:rsid w:val="00153248"/>
    <w:rsid w:val="001546E5"/>
    <w:rsid w:val="0015593C"/>
    <w:rsid w:val="001561CB"/>
    <w:rsid w:val="001626E3"/>
    <w:rsid w:val="00162A63"/>
    <w:rsid w:val="0016404D"/>
    <w:rsid w:val="0016753C"/>
    <w:rsid w:val="00170476"/>
    <w:rsid w:val="00171B11"/>
    <w:rsid w:val="001739ED"/>
    <w:rsid w:val="00182C79"/>
    <w:rsid w:val="00185BA6"/>
    <w:rsid w:val="001864B5"/>
    <w:rsid w:val="00187E3B"/>
    <w:rsid w:val="00191177"/>
    <w:rsid w:val="001924B3"/>
    <w:rsid w:val="0019445B"/>
    <w:rsid w:val="001946CF"/>
    <w:rsid w:val="00194A12"/>
    <w:rsid w:val="00195815"/>
    <w:rsid w:val="00196728"/>
    <w:rsid w:val="001976D9"/>
    <w:rsid w:val="001A028F"/>
    <w:rsid w:val="001A3E10"/>
    <w:rsid w:val="001B0978"/>
    <w:rsid w:val="001B0E1A"/>
    <w:rsid w:val="001B1BE4"/>
    <w:rsid w:val="001B3939"/>
    <w:rsid w:val="001B547E"/>
    <w:rsid w:val="001C3F6C"/>
    <w:rsid w:val="001C5632"/>
    <w:rsid w:val="001C6741"/>
    <w:rsid w:val="001C6D0A"/>
    <w:rsid w:val="001D149A"/>
    <w:rsid w:val="001D27F6"/>
    <w:rsid w:val="001D2E15"/>
    <w:rsid w:val="001E1C94"/>
    <w:rsid w:val="001E3CDD"/>
    <w:rsid w:val="001E3F19"/>
    <w:rsid w:val="001E444C"/>
    <w:rsid w:val="001E5696"/>
    <w:rsid w:val="001E5E24"/>
    <w:rsid w:val="001E6379"/>
    <w:rsid w:val="001F0228"/>
    <w:rsid w:val="001F09FA"/>
    <w:rsid w:val="001F2179"/>
    <w:rsid w:val="001F2A2A"/>
    <w:rsid w:val="001F427B"/>
    <w:rsid w:val="001F48C9"/>
    <w:rsid w:val="001F5141"/>
    <w:rsid w:val="001F6962"/>
    <w:rsid w:val="00206A5B"/>
    <w:rsid w:val="002108F8"/>
    <w:rsid w:val="00210AEE"/>
    <w:rsid w:val="00210D17"/>
    <w:rsid w:val="0021486A"/>
    <w:rsid w:val="00214DB3"/>
    <w:rsid w:val="00215F5E"/>
    <w:rsid w:val="00217331"/>
    <w:rsid w:val="00220CCC"/>
    <w:rsid w:val="00221EB5"/>
    <w:rsid w:val="00221F39"/>
    <w:rsid w:val="00230CF5"/>
    <w:rsid w:val="00234062"/>
    <w:rsid w:val="0023426F"/>
    <w:rsid w:val="002345A8"/>
    <w:rsid w:val="00236CCB"/>
    <w:rsid w:val="00240500"/>
    <w:rsid w:val="002417C3"/>
    <w:rsid w:val="002435F7"/>
    <w:rsid w:val="00244480"/>
    <w:rsid w:val="00250970"/>
    <w:rsid w:val="00250A74"/>
    <w:rsid w:val="00250D31"/>
    <w:rsid w:val="00260B9B"/>
    <w:rsid w:val="0026711E"/>
    <w:rsid w:val="00271541"/>
    <w:rsid w:val="0027230C"/>
    <w:rsid w:val="00275B0E"/>
    <w:rsid w:val="0027603E"/>
    <w:rsid w:val="00283B16"/>
    <w:rsid w:val="00284A44"/>
    <w:rsid w:val="00285620"/>
    <w:rsid w:val="002862A5"/>
    <w:rsid w:val="0028697C"/>
    <w:rsid w:val="002900A6"/>
    <w:rsid w:val="002914EA"/>
    <w:rsid w:val="002922E2"/>
    <w:rsid w:val="00292D82"/>
    <w:rsid w:val="00293590"/>
    <w:rsid w:val="00294100"/>
    <w:rsid w:val="002A29EE"/>
    <w:rsid w:val="002A396F"/>
    <w:rsid w:val="002A3F54"/>
    <w:rsid w:val="002A5BE4"/>
    <w:rsid w:val="002A7D53"/>
    <w:rsid w:val="002B3442"/>
    <w:rsid w:val="002B555F"/>
    <w:rsid w:val="002B767C"/>
    <w:rsid w:val="002C04BF"/>
    <w:rsid w:val="002C3604"/>
    <w:rsid w:val="002C3D86"/>
    <w:rsid w:val="002C720A"/>
    <w:rsid w:val="002D1C35"/>
    <w:rsid w:val="002D2753"/>
    <w:rsid w:val="002D627C"/>
    <w:rsid w:val="002E0EFD"/>
    <w:rsid w:val="002E1732"/>
    <w:rsid w:val="002E2D7B"/>
    <w:rsid w:val="002E3644"/>
    <w:rsid w:val="002E4548"/>
    <w:rsid w:val="002E75E6"/>
    <w:rsid w:val="002F26D6"/>
    <w:rsid w:val="002F2790"/>
    <w:rsid w:val="002F4DD7"/>
    <w:rsid w:val="002F61B9"/>
    <w:rsid w:val="002F6EDF"/>
    <w:rsid w:val="002F7335"/>
    <w:rsid w:val="003007A4"/>
    <w:rsid w:val="0030224B"/>
    <w:rsid w:val="00303DD9"/>
    <w:rsid w:val="00306FD8"/>
    <w:rsid w:val="00307A5C"/>
    <w:rsid w:val="00307C95"/>
    <w:rsid w:val="0031041C"/>
    <w:rsid w:val="00311373"/>
    <w:rsid w:val="00312DB3"/>
    <w:rsid w:val="00313B76"/>
    <w:rsid w:val="0031531B"/>
    <w:rsid w:val="003162EE"/>
    <w:rsid w:val="00316A00"/>
    <w:rsid w:val="0031759E"/>
    <w:rsid w:val="0032135D"/>
    <w:rsid w:val="00321B91"/>
    <w:rsid w:val="0032261C"/>
    <w:rsid w:val="00323F74"/>
    <w:rsid w:val="0033198A"/>
    <w:rsid w:val="0033295D"/>
    <w:rsid w:val="0033297C"/>
    <w:rsid w:val="003357C3"/>
    <w:rsid w:val="00335E4C"/>
    <w:rsid w:val="003371A2"/>
    <w:rsid w:val="00343F6C"/>
    <w:rsid w:val="00347A04"/>
    <w:rsid w:val="003525BB"/>
    <w:rsid w:val="0035358D"/>
    <w:rsid w:val="003563BF"/>
    <w:rsid w:val="00357C64"/>
    <w:rsid w:val="00361EB0"/>
    <w:rsid w:val="003620AB"/>
    <w:rsid w:val="00363D19"/>
    <w:rsid w:val="00366F31"/>
    <w:rsid w:val="0037157C"/>
    <w:rsid w:val="00381818"/>
    <w:rsid w:val="003858AD"/>
    <w:rsid w:val="00386225"/>
    <w:rsid w:val="00390E88"/>
    <w:rsid w:val="003920F3"/>
    <w:rsid w:val="003937FC"/>
    <w:rsid w:val="00395614"/>
    <w:rsid w:val="00395B75"/>
    <w:rsid w:val="00396E6D"/>
    <w:rsid w:val="003A1B2A"/>
    <w:rsid w:val="003A1C7A"/>
    <w:rsid w:val="003A1DE6"/>
    <w:rsid w:val="003A2B8D"/>
    <w:rsid w:val="003A75BE"/>
    <w:rsid w:val="003B2C8C"/>
    <w:rsid w:val="003B403F"/>
    <w:rsid w:val="003B4E4B"/>
    <w:rsid w:val="003C5A9B"/>
    <w:rsid w:val="003C6348"/>
    <w:rsid w:val="003C6376"/>
    <w:rsid w:val="003D00CA"/>
    <w:rsid w:val="003D282E"/>
    <w:rsid w:val="003D46FB"/>
    <w:rsid w:val="003D48DA"/>
    <w:rsid w:val="003D5A28"/>
    <w:rsid w:val="003D720C"/>
    <w:rsid w:val="003E4573"/>
    <w:rsid w:val="003F017A"/>
    <w:rsid w:val="003F3636"/>
    <w:rsid w:val="004004EE"/>
    <w:rsid w:val="00400ACA"/>
    <w:rsid w:val="00404B21"/>
    <w:rsid w:val="00406F2C"/>
    <w:rsid w:val="0041053A"/>
    <w:rsid w:val="004107B6"/>
    <w:rsid w:val="00411F2C"/>
    <w:rsid w:val="0041214E"/>
    <w:rsid w:val="0042172C"/>
    <w:rsid w:val="00421F96"/>
    <w:rsid w:val="00423980"/>
    <w:rsid w:val="00424F2D"/>
    <w:rsid w:val="004258AF"/>
    <w:rsid w:val="00425E1F"/>
    <w:rsid w:val="00425F7E"/>
    <w:rsid w:val="00426496"/>
    <w:rsid w:val="004324FC"/>
    <w:rsid w:val="00436650"/>
    <w:rsid w:val="00440A74"/>
    <w:rsid w:val="00444914"/>
    <w:rsid w:val="00444C5F"/>
    <w:rsid w:val="004470FA"/>
    <w:rsid w:val="00447B04"/>
    <w:rsid w:val="00452D29"/>
    <w:rsid w:val="00453CF3"/>
    <w:rsid w:val="00456338"/>
    <w:rsid w:val="004568F3"/>
    <w:rsid w:val="00460F6D"/>
    <w:rsid w:val="004611FD"/>
    <w:rsid w:val="00461C05"/>
    <w:rsid w:val="00462820"/>
    <w:rsid w:val="004629AA"/>
    <w:rsid w:val="00464704"/>
    <w:rsid w:val="00466450"/>
    <w:rsid w:val="00466A5F"/>
    <w:rsid w:val="00466F77"/>
    <w:rsid w:val="0047146C"/>
    <w:rsid w:val="00471A6C"/>
    <w:rsid w:val="00471B94"/>
    <w:rsid w:val="004735CE"/>
    <w:rsid w:val="00480479"/>
    <w:rsid w:val="0048346E"/>
    <w:rsid w:val="00484C6E"/>
    <w:rsid w:val="004853D9"/>
    <w:rsid w:val="00486CE8"/>
    <w:rsid w:val="0048747B"/>
    <w:rsid w:val="00487805"/>
    <w:rsid w:val="00490898"/>
    <w:rsid w:val="0049166C"/>
    <w:rsid w:val="0049315B"/>
    <w:rsid w:val="00494757"/>
    <w:rsid w:val="00494CBB"/>
    <w:rsid w:val="00495432"/>
    <w:rsid w:val="004972BD"/>
    <w:rsid w:val="004A1855"/>
    <w:rsid w:val="004A1ADD"/>
    <w:rsid w:val="004A1F23"/>
    <w:rsid w:val="004A4AE1"/>
    <w:rsid w:val="004A554E"/>
    <w:rsid w:val="004A7082"/>
    <w:rsid w:val="004B3C31"/>
    <w:rsid w:val="004B497A"/>
    <w:rsid w:val="004B545B"/>
    <w:rsid w:val="004B6B3F"/>
    <w:rsid w:val="004B6F96"/>
    <w:rsid w:val="004C130A"/>
    <w:rsid w:val="004C34A2"/>
    <w:rsid w:val="004C525D"/>
    <w:rsid w:val="004C5421"/>
    <w:rsid w:val="004D13DC"/>
    <w:rsid w:val="004D2DEE"/>
    <w:rsid w:val="004D392B"/>
    <w:rsid w:val="004D51B9"/>
    <w:rsid w:val="004E010B"/>
    <w:rsid w:val="004E0476"/>
    <w:rsid w:val="004E0DF1"/>
    <w:rsid w:val="004E18CA"/>
    <w:rsid w:val="004E1E84"/>
    <w:rsid w:val="004E3189"/>
    <w:rsid w:val="004E4D30"/>
    <w:rsid w:val="004E57CE"/>
    <w:rsid w:val="004E67BC"/>
    <w:rsid w:val="004E735A"/>
    <w:rsid w:val="004F0431"/>
    <w:rsid w:val="004F46FF"/>
    <w:rsid w:val="004F52AC"/>
    <w:rsid w:val="004F6746"/>
    <w:rsid w:val="00505C45"/>
    <w:rsid w:val="005129D9"/>
    <w:rsid w:val="00512BC7"/>
    <w:rsid w:val="0051345A"/>
    <w:rsid w:val="0051433E"/>
    <w:rsid w:val="00516666"/>
    <w:rsid w:val="0052080A"/>
    <w:rsid w:val="00521EEA"/>
    <w:rsid w:val="005223B0"/>
    <w:rsid w:val="00523A60"/>
    <w:rsid w:val="00523DC0"/>
    <w:rsid w:val="00531BEE"/>
    <w:rsid w:val="00533CE6"/>
    <w:rsid w:val="005353AA"/>
    <w:rsid w:val="00552ED1"/>
    <w:rsid w:val="00555916"/>
    <w:rsid w:val="005562F1"/>
    <w:rsid w:val="005567C3"/>
    <w:rsid w:val="00556887"/>
    <w:rsid w:val="00557B84"/>
    <w:rsid w:val="00561C65"/>
    <w:rsid w:val="00563121"/>
    <w:rsid w:val="00585605"/>
    <w:rsid w:val="005875AE"/>
    <w:rsid w:val="005878A7"/>
    <w:rsid w:val="00587E91"/>
    <w:rsid w:val="00590077"/>
    <w:rsid w:val="00592765"/>
    <w:rsid w:val="00593B93"/>
    <w:rsid w:val="00593EDF"/>
    <w:rsid w:val="00595475"/>
    <w:rsid w:val="00595895"/>
    <w:rsid w:val="005A3647"/>
    <w:rsid w:val="005A3B5E"/>
    <w:rsid w:val="005A7112"/>
    <w:rsid w:val="005B374E"/>
    <w:rsid w:val="005B4482"/>
    <w:rsid w:val="005B7F2F"/>
    <w:rsid w:val="005C11CA"/>
    <w:rsid w:val="005C1B0A"/>
    <w:rsid w:val="005C367C"/>
    <w:rsid w:val="005C428F"/>
    <w:rsid w:val="005C4F9E"/>
    <w:rsid w:val="005C632E"/>
    <w:rsid w:val="005D0FD6"/>
    <w:rsid w:val="005D35B0"/>
    <w:rsid w:val="005D47B0"/>
    <w:rsid w:val="005D4B4A"/>
    <w:rsid w:val="005D6E29"/>
    <w:rsid w:val="005E5955"/>
    <w:rsid w:val="005E6493"/>
    <w:rsid w:val="005E7050"/>
    <w:rsid w:val="005F2858"/>
    <w:rsid w:val="005F39EC"/>
    <w:rsid w:val="005F54AA"/>
    <w:rsid w:val="005F5864"/>
    <w:rsid w:val="0060124F"/>
    <w:rsid w:val="00607FD8"/>
    <w:rsid w:val="00610552"/>
    <w:rsid w:val="0061505F"/>
    <w:rsid w:val="00617178"/>
    <w:rsid w:val="0061751B"/>
    <w:rsid w:val="0062297D"/>
    <w:rsid w:val="006251CD"/>
    <w:rsid w:val="00627E9D"/>
    <w:rsid w:val="00631298"/>
    <w:rsid w:val="00632564"/>
    <w:rsid w:val="006338FE"/>
    <w:rsid w:val="00634604"/>
    <w:rsid w:val="00642CEE"/>
    <w:rsid w:val="006447CE"/>
    <w:rsid w:val="00645D96"/>
    <w:rsid w:val="00653A59"/>
    <w:rsid w:val="00653F5C"/>
    <w:rsid w:val="00654462"/>
    <w:rsid w:val="006545E3"/>
    <w:rsid w:val="0065589F"/>
    <w:rsid w:val="006608C0"/>
    <w:rsid w:val="00662EC6"/>
    <w:rsid w:val="00666355"/>
    <w:rsid w:val="0067249B"/>
    <w:rsid w:val="00676B87"/>
    <w:rsid w:val="00677EE0"/>
    <w:rsid w:val="00680DFB"/>
    <w:rsid w:val="0068456E"/>
    <w:rsid w:val="00685664"/>
    <w:rsid w:val="0068687F"/>
    <w:rsid w:val="006872F7"/>
    <w:rsid w:val="0068762B"/>
    <w:rsid w:val="00687BC9"/>
    <w:rsid w:val="00692792"/>
    <w:rsid w:val="006936FE"/>
    <w:rsid w:val="00696B6C"/>
    <w:rsid w:val="006A0287"/>
    <w:rsid w:val="006A19B3"/>
    <w:rsid w:val="006A1C58"/>
    <w:rsid w:val="006A2BF7"/>
    <w:rsid w:val="006B5921"/>
    <w:rsid w:val="006B5B56"/>
    <w:rsid w:val="006B7796"/>
    <w:rsid w:val="006C059A"/>
    <w:rsid w:val="006C596B"/>
    <w:rsid w:val="006D39B9"/>
    <w:rsid w:val="006D4FC7"/>
    <w:rsid w:val="006D676F"/>
    <w:rsid w:val="006D7AA1"/>
    <w:rsid w:val="006D7F5A"/>
    <w:rsid w:val="006E58AA"/>
    <w:rsid w:val="006E6E31"/>
    <w:rsid w:val="006E78F9"/>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5A92"/>
    <w:rsid w:val="00717673"/>
    <w:rsid w:val="00717A87"/>
    <w:rsid w:val="007207EC"/>
    <w:rsid w:val="00730BC4"/>
    <w:rsid w:val="00735058"/>
    <w:rsid w:val="00740BE0"/>
    <w:rsid w:val="00742416"/>
    <w:rsid w:val="00743140"/>
    <w:rsid w:val="00746CAB"/>
    <w:rsid w:val="007516F6"/>
    <w:rsid w:val="00754905"/>
    <w:rsid w:val="007641F5"/>
    <w:rsid w:val="00765869"/>
    <w:rsid w:val="00765E2C"/>
    <w:rsid w:val="00766030"/>
    <w:rsid w:val="00770E61"/>
    <w:rsid w:val="00773F6E"/>
    <w:rsid w:val="0077461F"/>
    <w:rsid w:val="00774933"/>
    <w:rsid w:val="0077640A"/>
    <w:rsid w:val="00781A61"/>
    <w:rsid w:val="00783165"/>
    <w:rsid w:val="007861DF"/>
    <w:rsid w:val="00787A5E"/>
    <w:rsid w:val="00790D82"/>
    <w:rsid w:val="007A1525"/>
    <w:rsid w:val="007A1CDE"/>
    <w:rsid w:val="007A277F"/>
    <w:rsid w:val="007A292C"/>
    <w:rsid w:val="007A4A19"/>
    <w:rsid w:val="007A7DD9"/>
    <w:rsid w:val="007B12C6"/>
    <w:rsid w:val="007C0A4C"/>
    <w:rsid w:val="007C1EB3"/>
    <w:rsid w:val="007C2C50"/>
    <w:rsid w:val="007C5426"/>
    <w:rsid w:val="007C5AF5"/>
    <w:rsid w:val="007C5D2E"/>
    <w:rsid w:val="007C5E26"/>
    <w:rsid w:val="007D5312"/>
    <w:rsid w:val="007D5ECB"/>
    <w:rsid w:val="007D63A8"/>
    <w:rsid w:val="007D788F"/>
    <w:rsid w:val="007E0193"/>
    <w:rsid w:val="007E0760"/>
    <w:rsid w:val="007E23B9"/>
    <w:rsid w:val="007E2A46"/>
    <w:rsid w:val="007E34EA"/>
    <w:rsid w:val="007E5A15"/>
    <w:rsid w:val="007F05D2"/>
    <w:rsid w:val="007F5638"/>
    <w:rsid w:val="007F7A1E"/>
    <w:rsid w:val="00800CD1"/>
    <w:rsid w:val="00803AC3"/>
    <w:rsid w:val="008046A0"/>
    <w:rsid w:val="008066AA"/>
    <w:rsid w:val="008115C3"/>
    <w:rsid w:val="00814412"/>
    <w:rsid w:val="008147A0"/>
    <w:rsid w:val="00815628"/>
    <w:rsid w:val="008169A6"/>
    <w:rsid w:val="008202BA"/>
    <w:rsid w:val="00830EAA"/>
    <w:rsid w:val="0083162B"/>
    <w:rsid w:val="008365EF"/>
    <w:rsid w:val="00840493"/>
    <w:rsid w:val="00841D8C"/>
    <w:rsid w:val="008428C4"/>
    <w:rsid w:val="008429D4"/>
    <w:rsid w:val="00845EDE"/>
    <w:rsid w:val="00847025"/>
    <w:rsid w:val="00847D90"/>
    <w:rsid w:val="00854CEA"/>
    <w:rsid w:val="00856A61"/>
    <w:rsid w:val="00860935"/>
    <w:rsid w:val="008616F3"/>
    <w:rsid w:val="00862661"/>
    <w:rsid w:val="00864767"/>
    <w:rsid w:val="00872F39"/>
    <w:rsid w:val="0087344F"/>
    <w:rsid w:val="008832AA"/>
    <w:rsid w:val="0088710E"/>
    <w:rsid w:val="00887DDC"/>
    <w:rsid w:val="00892291"/>
    <w:rsid w:val="00894262"/>
    <w:rsid w:val="0089435E"/>
    <w:rsid w:val="008A5D1E"/>
    <w:rsid w:val="008B12C3"/>
    <w:rsid w:val="008B1448"/>
    <w:rsid w:val="008B22D2"/>
    <w:rsid w:val="008B2A9A"/>
    <w:rsid w:val="008B68BB"/>
    <w:rsid w:val="008D000C"/>
    <w:rsid w:val="008D2C40"/>
    <w:rsid w:val="008D5F8A"/>
    <w:rsid w:val="008E13E8"/>
    <w:rsid w:val="008E31E1"/>
    <w:rsid w:val="008E3D15"/>
    <w:rsid w:val="008E552A"/>
    <w:rsid w:val="008E735C"/>
    <w:rsid w:val="008F22A4"/>
    <w:rsid w:val="008F3B94"/>
    <w:rsid w:val="008F5002"/>
    <w:rsid w:val="008F52F5"/>
    <w:rsid w:val="008F6661"/>
    <w:rsid w:val="00903687"/>
    <w:rsid w:val="0090467C"/>
    <w:rsid w:val="00910D31"/>
    <w:rsid w:val="009115AB"/>
    <w:rsid w:val="00912336"/>
    <w:rsid w:val="009172F6"/>
    <w:rsid w:val="00921B03"/>
    <w:rsid w:val="009224AA"/>
    <w:rsid w:val="00922F59"/>
    <w:rsid w:val="00924205"/>
    <w:rsid w:val="00930031"/>
    <w:rsid w:val="00930869"/>
    <w:rsid w:val="0093235E"/>
    <w:rsid w:val="00937335"/>
    <w:rsid w:val="00937703"/>
    <w:rsid w:val="0093771A"/>
    <w:rsid w:val="00941651"/>
    <w:rsid w:val="00944E6B"/>
    <w:rsid w:val="0094605E"/>
    <w:rsid w:val="00953ABE"/>
    <w:rsid w:val="00954C94"/>
    <w:rsid w:val="0095601F"/>
    <w:rsid w:val="00961A30"/>
    <w:rsid w:val="00963ABA"/>
    <w:rsid w:val="00966895"/>
    <w:rsid w:val="00966C88"/>
    <w:rsid w:val="00970733"/>
    <w:rsid w:val="00971677"/>
    <w:rsid w:val="00972889"/>
    <w:rsid w:val="009740EF"/>
    <w:rsid w:val="00981378"/>
    <w:rsid w:val="0098415F"/>
    <w:rsid w:val="00984A8A"/>
    <w:rsid w:val="00985876"/>
    <w:rsid w:val="00986C85"/>
    <w:rsid w:val="00992A6E"/>
    <w:rsid w:val="0099324A"/>
    <w:rsid w:val="00994CB7"/>
    <w:rsid w:val="00995A1B"/>
    <w:rsid w:val="009976E0"/>
    <w:rsid w:val="009A2615"/>
    <w:rsid w:val="009A2FBA"/>
    <w:rsid w:val="009A38C0"/>
    <w:rsid w:val="009B3D07"/>
    <w:rsid w:val="009B5D92"/>
    <w:rsid w:val="009C5C32"/>
    <w:rsid w:val="009D6278"/>
    <w:rsid w:val="009E0153"/>
    <w:rsid w:val="009E3888"/>
    <w:rsid w:val="009E4906"/>
    <w:rsid w:val="009E4C15"/>
    <w:rsid w:val="009E6A6E"/>
    <w:rsid w:val="009E7ECC"/>
    <w:rsid w:val="009F03AF"/>
    <w:rsid w:val="009F116D"/>
    <w:rsid w:val="009F184B"/>
    <w:rsid w:val="009F25EE"/>
    <w:rsid w:val="009F4344"/>
    <w:rsid w:val="009F44CD"/>
    <w:rsid w:val="009F480F"/>
    <w:rsid w:val="009F7D33"/>
    <w:rsid w:val="00A01D7D"/>
    <w:rsid w:val="00A02A49"/>
    <w:rsid w:val="00A02F5D"/>
    <w:rsid w:val="00A03321"/>
    <w:rsid w:val="00A06E1D"/>
    <w:rsid w:val="00A12C87"/>
    <w:rsid w:val="00A14AEE"/>
    <w:rsid w:val="00A15A05"/>
    <w:rsid w:val="00A15D80"/>
    <w:rsid w:val="00A15EF9"/>
    <w:rsid w:val="00A17099"/>
    <w:rsid w:val="00A21F56"/>
    <w:rsid w:val="00A24C55"/>
    <w:rsid w:val="00A26D88"/>
    <w:rsid w:val="00A27EBF"/>
    <w:rsid w:val="00A33B33"/>
    <w:rsid w:val="00A377BC"/>
    <w:rsid w:val="00A37C70"/>
    <w:rsid w:val="00A4077E"/>
    <w:rsid w:val="00A41F86"/>
    <w:rsid w:val="00A4340C"/>
    <w:rsid w:val="00A44855"/>
    <w:rsid w:val="00A4635C"/>
    <w:rsid w:val="00A4776F"/>
    <w:rsid w:val="00A529E9"/>
    <w:rsid w:val="00A54310"/>
    <w:rsid w:val="00A61E23"/>
    <w:rsid w:val="00A64D4A"/>
    <w:rsid w:val="00A6632F"/>
    <w:rsid w:val="00A75C29"/>
    <w:rsid w:val="00A76D1D"/>
    <w:rsid w:val="00A82BB2"/>
    <w:rsid w:val="00A83926"/>
    <w:rsid w:val="00A855D3"/>
    <w:rsid w:val="00A85A4C"/>
    <w:rsid w:val="00A93988"/>
    <w:rsid w:val="00A93C0B"/>
    <w:rsid w:val="00A94C7E"/>
    <w:rsid w:val="00A97124"/>
    <w:rsid w:val="00AA2EBA"/>
    <w:rsid w:val="00AA751F"/>
    <w:rsid w:val="00AB3BDD"/>
    <w:rsid w:val="00AB458A"/>
    <w:rsid w:val="00AB4A85"/>
    <w:rsid w:val="00AB4A98"/>
    <w:rsid w:val="00AB5839"/>
    <w:rsid w:val="00AC0510"/>
    <w:rsid w:val="00AC08DC"/>
    <w:rsid w:val="00AC1E0E"/>
    <w:rsid w:val="00AC3F19"/>
    <w:rsid w:val="00AC49E5"/>
    <w:rsid w:val="00AD38E4"/>
    <w:rsid w:val="00AD440A"/>
    <w:rsid w:val="00AD45EE"/>
    <w:rsid w:val="00AD4E4D"/>
    <w:rsid w:val="00AD6EF9"/>
    <w:rsid w:val="00AE5FC8"/>
    <w:rsid w:val="00AE669D"/>
    <w:rsid w:val="00AE76BF"/>
    <w:rsid w:val="00AF0C8C"/>
    <w:rsid w:val="00AF214F"/>
    <w:rsid w:val="00AF2300"/>
    <w:rsid w:val="00AF386C"/>
    <w:rsid w:val="00AF72F6"/>
    <w:rsid w:val="00B00AB8"/>
    <w:rsid w:val="00B03C9D"/>
    <w:rsid w:val="00B04F66"/>
    <w:rsid w:val="00B118A3"/>
    <w:rsid w:val="00B11B01"/>
    <w:rsid w:val="00B14589"/>
    <w:rsid w:val="00B15409"/>
    <w:rsid w:val="00B1707D"/>
    <w:rsid w:val="00B174AE"/>
    <w:rsid w:val="00B17BF1"/>
    <w:rsid w:val="00B21E43"/>
    <w:rsid w:val="00B21E88"/>
    <w:rsid w:val="00B21F67"/>
    <w:rsid w:val="00B21F6A"/>
    <w:rsid w:val="00B22700"/>
    <w:rsid w:val="00B2654D"/>
    <w:rsid w:val="00B3071F"/>
    <w:rsid w:val="00B32E22"/>
    <w:rsid w:val="00B33137"/>
    <w:rsid w:val="00B45070"/>
    <w:rsid w:val="00B47952"/>
    <w:rsid w:val="00B50EB7"/>
    <w:rsid w:val="00B5359B"/>
    <w:rsid w:val="00B57503"/>
    <w:rsid w:val="00B60586"/>
    <w:rsid w:val="00B60F65"/>
    <w:rsid w:val="00B65957"/>
    <w:rsid w:val="00B66CDE"/>
    <w:rsid w:val="00B67069"/>
    <w:rsid w:val="00B670B4"/>
    <w:rsid w:val="00B67D19"/>
    <w:rsid w:val="00B71B67"/>
    <w:rsid w:val="00B72D0F"/>
    <w:rsid w:val="00B72E76"/>
    <w:rsid w:val="00B7301C"/>
    <w:rsid w:val="00B734A1"/>
    <w:rsid w:val="00B85B84"/>
    <w:rsid w:val="00B87417"/>
    <w:rsid w:val="00B87928"/>
    <w:rsid w:val="00B92301"/>
    <w:rsid w:val="00B9436B"/>
    <w:rsid w:val="00B95649"/>
    <w:rsid w:val="00B9575B"/>
    <w:rsid w:val="00B97711"/>
    <w:rsid w:val="00BA0346"/>
    <w:rsid w:val="00BA0A5C"/>
    <w:rsid w:val="00BA1870"/>
    <w:rsid w:val="00BA3AD2"/>
    <w:rsid w:val="00BA4AF5"/>
    <w:rsid w:val="00BA540D"/>
    <w:rsid w:val="00BB105F"/>
    <w:rsid w:val="00BB17CB"/>
    <w:rsid w:val="00BB1ADB"/>
    <w:rsid w:val="00BB4393"/>
    <w:rsid w:val="00BB4966"/>
    <w:rsid w:val="00BC31F6"/>
    <w:rsid w:val="00BC5652"/>
    <w:rsid w:val="00BD2821"/>
    <w:rsid w:val="00BD75ED"/>
    <w:rsid w:val="00BE1CD2"/>
    <w:rsid w:val="00BF3A65"/>
    <w:rsid w:val="00BF3F49"/>
    <w:rsid w:val="00C04A64"/>
    <w:rsid w:val="00C04F80"/>
    <w:rsid w:val="00C05C35"/>
    <w:rsid w:val="00C07297"/>
    <w:rsid w:val="00C10019"/>
    <w:rsid w:val="00C12046"/>
    <w:rsid w:val="00C1594A"/>
    <w:rsid w:val="00C162F8"/>
    <w:rsid w:val="00C17FE5"/>
    <w:rsid w:val="00C21B2F"/>
    <w:rsid w:val="00C21EBD"/>
    <w:rsid w:val="00C223F7"/>
    <w:rsid w:val="00C25111"/>
    <w:rsid w:val="00C25162"/>
    <w:rsid w:val="00C268AF"/>
    <w:rsid w:val="00C303C2"/>
    <w:rsid w:val="00C309F6"/>
    <w:rsid w:val="00C329CF"/>
    <w:rsid w:val="00C32F42"/>
    <w:rsid w:val="00C34ACD"/>
    <w:rsid w:val="00C34B61"/>
    <w:rsid w:val="00C34DD9"/>
    <w:rsid w:val="00C424D2"/>
    <w:rsid w:val="00C425B7"/>
    <w:rsid w:val="00C46957"/>
    <w:rsid w:val="00C5027F"/>
    <w:rsid w:val="00C513DF"/>
    <w:rsid w:val="00C559D8"/>
    <w:rsid w:val="00C574AE"/>
    <w:rsid w:val="00C609EC"/>
    <w:rsid w:val="00C61D51"/>
    <w:rsid w:val="00C6312A"/>
    <w:rsid w:val="00C6586E"/>
    <w:rsid w:val="00C65B68"/>
    <w:rsid w:val="00C65F7E"/>
    <w:rsid w:val="00C66D8D"/>
    <w:rsid w:val="00C73186"/>
    <w:rsid w:val="00C73616"/>
    <w:rsid w:val="00C7497D"/>
    <w:rsid w:val="00C76782"/>
    <w:rsid w:val="00C7698C"/>
    <w:rsid w:val="00C805C2"/>
    <w:rsid w:val="00C807A8"/>
    <w:rsid w:val="00C815F2"/>
    <w:rsid w:val="00C83561"/>
    <w:rsid w:val="00C8468D"/>
    <w:rsid w:val="00C851C0"/>
    <w:rsid w:val="00C85B0C"/>
    <w:rsid w:val="00C86E4D"/>
    <w:rsid w:val="00C877ED"/>
    <w:rsid w:val="00C9089B"/>
    <w:rsid w:val="00C90D19"/>
    <w:rsid w:val="00C911BB"/>
    <w:rsid w:val="00C91353"/>
    <w:rsid w:val="00C92BE5"/>
    <w:rsid w:val="00C9527A"/>
    <w:rsid w:val="00C96308"/>
    <w:rsid w:val="00CA3449"/>
    <w:rsid w:val="00CA3E2B"/>
    <w:rsid w:val="00CA7121"/>
    <w:rsid w:val="00CA7859"/>
    <w:rsid w:val="00CB1160"/>
    <w:rsid w:val="00CB5A5B"/>
    <w:rsid w:val="00CB5C74"/>
    <w:rsid w:val="00CB6F87"/>
    <w:rsid w:val="00CB6F8E"/>
    <w:rsid w:val="00CB75F0"/>
    <w:rsid w:val="00CC3035"/>
    <w:rsid w:val="00CC3849"/>
    <w:rsid w:val="00CC4B8F"/>
    <w:rsid w:val="00CD214B"/>
    <w:rsid w:val="00CD29C4"/>
    <w:rsid w:val="00CD4B89"/>
    <w:rsid w:val="00CE0BDC"/>
    <w:rsid w:val="00CE2047"/>
    <w:rsid w:val="00CE25D0"/>
    <w:rsid w:val="00CE2F73"/>
    <w:rsid w:val="00CE30AE"/>
    <w:rsid w:val="00CE3F4B"/>
    <w:rsid w:val="00CE604F"/>
    <w:rsid w:val="00CE6C8C"/>
    <w:rsid w:val="00CE7984"/>
    <w:rsid w:val="00CF0500"/>
    <w:rsid w:val="00CF2B50"/>
    <w:rsid w:val="00CF3059"/>
    <w:rsid w:val="00CF54C2"/>
    <w:rsid w:val="00CF5E8D"/>
    <w:rsid w:val="00CF74C1"/>
    <w:rsid w:val="00D0030F"/>
    <w:rsid w:val="00D02339"/>
    <w:rsid w:val="00D034A7"/>
    <w:rsid w:val="00D04534"/>
    <w:rsid w:val="00D04820"/>
    <w:rsid w:val="00D06AD4"/>
    <w:rsid w:val="00D10B3F"/>
    <w:rsid w:val="00D16576"/>
    <w:rsid w:val="00D1705C"/>
    <w:rsid w:val="00D17114"/>
    <w:rsid w:val="00D17B78"/>
    <w:rsid w:val="00D20815"/>
    <w:rsid w:val="00D23524"/>
    <w:rsid w:val="00D24945"/>
    <w:rsid w:val="00D26389"/>
    <w:rsid w:val="00D26860"/>
    <w:rsid w:val="00D2719A"/>
    <w:rsid w:val="00D30873"/>
    <w:rsid w:val="00D3557F"/>
    <w:rsid w:val="00D37654"/>
    <w:rsid w:val="00D42E0F"/>
    <w:rsid w:val="00D42FA1"/>
    <w:rsid w:val="00D44FD6"/>
    <w:rsid w:val="00D46BB0"/>
    <w:rsid w:val="00D51C03"/>
    <w:rsid w:val="00D52465"/>
    <w:rsid w:val="00D56604"/>
    <w:rsid w:val="00D57D8B"/>
    <w:rsid w:val="00D64540"/>
    <w:rsid w:val="00D6642E"/>
    <w:rsid w:val="00D72DB9"/>
    <w:rsid w:val="00D7569B"/>
    <w:rsid w:val="00D766AE"/>
    <w:rsid w:val="00D76B79"/>
    <w:rsid w:val="00D86246"/>
    <w:rsid w:val="00D87C51"/>
    <w:rsid w:val="00D90123"/>
    <w:rsid w:val="00D90273"/>
    <w:rsid w:val="00D90BB6"/>
    <w:rsid w:val="00D914F2"/>
    <w:rsid w:val="00D918DE"/>
    <w:rsid w:val="00D91CAC"/>
    <w:rsid w:val="00D9361E"/>
    <w:rsid w:val="00D93B10"/>
    <w:rsid w:val="00D94981"/>
    <w:rsid w:val="00D97B4A"/>
    <w:rsid w:val="00DA1A48"/>
    <w:rsid w:val="00DA7453"/>
    <w:rsid w:val="00DB0119"/>
    <w:rsid w:val="00DB03DC"/>
    <w:rsid w:val="00DB0D4E"/>
    <w:rsid w:val="00DB2401"/>
    <w:rsid w:val="00DB329F"/>
    <w:rsid w:val="00DB3A5E"/>
    <w:rsid w:val="00DB5D80"/>
    <w:rsid w:val="00DB5EAB"/>
    <w:rsid w:val="00DB6164"/>
    <w:rsid w:val="00DB63C0"/>
    <w:rsid w:val="00DC1A84"/>
    <w:rsid w:val="00DC4CB5"/>
    <w:rsid w:val="00DC4D2F"/>
    <w:rsid w:val="00DC602F"/>
    <w:rsid w:val="00DC6238"/>
    <w:rsid w:val="00DC6D0B"/>
    <w:rsid w:val="00DC6E85"/>
    <w:rsid w:val="00DC7FF7"/>
    <w:rsid w:val="00DD187A"/>
    <w:rsid w:val="00DD27FD"/>
    <w:rsid w:val="00DD2FB1"/>
    <w:rsid w:val="00DD4659"/>
    <w:rsid w:val="00DD493D"/>
    <w:rsid w:val="00DD4F5F"/>
    <w:rsid w:val="00DD5283"/>
    <w:rsid w:val="00DD5FD9"/>
    <w:rsid w:val="00DD765B"/>
    <w:rsid w:val="00DE0466"/>
    <w:rsid w:val="00DE0904"/>
    <w:rsid w:val="00DE1F8C"/>
    <w:rsid w:val="00DE20AE"/>
    <w:rsid w:val="00DE2929"/>
    <w:rsid w:val="00DE671C"/>
    <w:rsid w:val="00DF0510"/>
    <w:rsid w:val="00DF1357"/>
    <w:rsid w:val="00DF43C8"/>
    <w:rsid w:val="00DF5912"/>
    <w:rsid w:val="00DF59B9"/>
    <w:rsid w:val="00DF644E"/>
    <w:rsid w:val="00DF6574"/>
    <w:rsid w:val="00DF669F"/>
    <w:rsid w:val="00DF796D"/>
    <w:rsid w:val="00E002F7"/>
    <w:rsid w:val="00E03CFC"/>
    <w:rsid w:val="00E071B7"/>
    <w:rsid w:val="00E1112D"/>
    <w:rsid w:val="00E1361A"/>
    <w:rsid w:val="00E16AD0"/>
    <w:rsid w:val="00E209E0"/>
    <w:rsid w:val="00E20F8F"/>
    <w:rsid w:val="00E23E90"/>
    <w:rsid w:val="00E26469"/>
    <w:rsid w:val="00E26BAA"/>
    <w:rsid w:val="00E2747E"/>
    <w:rsid w:val="00E3052C"/>
    <w:rsid w:val="00E30C03"/>
    <w:rsid w:val="00E32337"/>
    <w:rsid w:val="00E33C5A"/>
    <w:rsid w:val="00E35F60"/>
    <w:rsid w:val="00E3775C"/>
    <w:rsid w:val="00E4067B"/>
    <w:rsid w:val="00E43700"/>
    <w:rsid w:val="00E4528A"/>
    <w:rsid w:val="00E46529"/>
    <w:rsid w:val="00E46C48"/>
    <w:rsid w:val="00E51F76"/>
    <w:rsid w:val="00E52EEE"/>
    <w:rsid w:val="00E54A9C"/>
    <w:rsid w:val="00E55580"/>
    <w:rsid w:val="00E55CBD"/>
    <w:rsid w:val="00E64FA8"/>
    <w:rsid w:val="00E665E0"/>
    <w:rsid w:val="00E74ADA"/>
    <w:rsid w:val="00E75FD9"/>
    <w:rsid w:val="00E7768B"/>
    <w:rsid w:val="00E8179E"/>
    <w:rsid w:val="00E85B22"/>
    <w:rsid w:val="00E86958"/>
    <w:rsid w:val="00E907DE"/>
    <w:rsid w:val="00E95815"/>
    <w:rsid w:val="00E95F23"/>
    <w:rsid w:val="00E95FAC"/>
    <w:rsid w:val="00E96E92"/>
    <w:rsid w:val="00E970F9"/>
    <w:rsid w:val="00EA1085"/>
    <w:rsid w:val="00EA2128"/>
    <w:rsid w:val="00EA3899"/>
    <w:rsid w:val="00EA40AC"/>
    <w:rsid w:val="00EB082E"/>
    <w:rsid w:val="00EB134B"/>
    <w:rsid w:val="00EB4577"/>
    <w:rsid w:val="00EB7290"/>
    <w:rsid w:val="00EC0639"/>
    <w:rsid w:val="00EC1D8C"/>
    <w:rsid w:val="00EC245E"/>
    <w:rsid w:val="00EC42AC"/>
    <w:rsid w:val="00EC5F8F"/>
    <w:rsid w:val="00ED0909"/>
    <w:rsid w:val="00ED14CD"/>
    <w:rsid w:val="00ED47A9"/>
    <w:rsid w:val="00EE093D"/>
    <w:rsid w:val="00EE7207"/>
    <w:rsid w:val="00EE7851"/>
    <w:rsid w:val="00EF2038"/>
    <w:rsid w:val="00EF226C"/>
    <w:rsid w:val="00EF31D4"/>
    <w:rsid w:val="00EF6258"/>
    <w:rsid w:val="00EF6E8B"/>
    <w:rsid w:val="00EF7C07"/>
    <w:rsid w:val="00F023C8"/>
    <w:rsid w:val="00F04026"/>
    <w:rsid w:val="00F04DED"/>
    <w:rsid w:val="00F05387"/>
    <w:rsid w:val="00F075FC"/>
    <w:rsid w:val="00F14500"/>
    <w:rsid w:val="00F20E6E"/>
    <w:rsid w:val="00F21594"/>
    <w:rsid w:val="00F219C5"/>
    <w:rsid w:val="00F22562"/>
    <w:rsid w:val="00F232F4"/>
    <w:rsid w:val="00F265E3"/>
    <w:rsid w:val="00F30496"/>
    <w:rsid w:val="00F32305"/>
    <w:rsid w:val="00F33B65"/>
    <w:rsid w:val="00F344F5"/>
    <w:rsid w:val="00F375CF"/>
    <w:rsid w:val="00F37CC4"/>
    <w:rsid w:val="00F41D06"/>
    <w:rsid w:val="00F47295"/>
    <w:rsid w:val="00F503F3"/>
    <w:rsid w:val="00F51B2F"/>
    <w:rsid w:val="00F538E1"/>
    <w:rsid w:val="00F53D12"/>
    <w:rsid w:val="00F53EC4"/>
    <w:rsid w:val="00F60A8F"/>
    <w:rsid w:val="00F60DB9"/>
    <w:rsid w:val="00F60F4E"/>
    <w:rsid w:val="00F64FF9"/>
    <w:rsid w:val="00F6554E"/>
    <w:rsid w:val="00F65C1E"/>
    <w:rsid w:val="00F65F0D"/>
    <w:rsid w:val="00F67DD9"/>
    <w:rsid w:val="00F70426"/>
    <w:rsid w:val="00F71860"/>
    <w:rsid w:val="00F731A4"/>
    <w:rsid w:val="00F73718"/>
    <w:rsid w:val="00F74686"/>
    <w:rsid w:val="00F74B5C"/>
    <w:rsid w:val="00F757B1"/>
    <w:rsid w:val="00F774AC"/>
    <w:rsid w:val="00F80344"/>
    <w:rsid w:val="00F8171D"/>
    <w:rsid w:val="00F85E5B"/>
    <w:rsid w:val="00F9166C"/>
    <w:rsid w:val="00F919B7"/>
    <w:rsid w:val="00F926CF"/>
    <w:rsid w:val="00F926E9"/>
    <w:rsid w:val="00F934DD"/>
    <w:rsid w:val="00F938C2"/>
    <w:rsid w:val="00F93C8D"/>
    <w:rsid w:val="00F942E8"/>
    <w:rsid w:val="00F947F4"/>
    <w:rsid w:val="00F9600D"/>
    <w:rsid w:val="00F96D62"/>
    <w:rsid w:val="00FA0C5D"/>
    <w:rsid w:val="00FA2335"/>
    <w:rsid w:val="00FA3EEC"/>
    <w:rsid w:val="00FA77C1"/>
    <w:rsid w:val="00FB175A"/>
    <w:rsid w:val="00FB3233"/>
    <w:rsid w:val="00FB5158"/>
    <w:rsid w:val="00FB61A9"/>
    <w:rsid w:val="00FB623D"/>
    <w:rsid w:val="00FC0043"/>
    <w:rsid w:val="00FC4BBB"/>
    <w:rsid w:val="00FC6B22"/>
    <w:rsid w:val="00FD0A16"/>
    <w:rsid w:val="00FD1ED4"/>
    <w:rsid w:val="00FD2407"/>
    <w:rsid w:val="00FD306A"/>
    <w:rsid w:val="00FD36D9"/>
    <w:rsid w:val="00FD4320"/>
    <w:rsid w:val="00FD57F5"/>
    <w:rsid w:val="00FD78D3"/>
    <w:rsid w:val="00FD7DC7"/>
    <w:rsid w:val="00FD7E58"/>
    <w:rsid w:val="00FE0A31"/>
    <w:rsid w:val="00FE0DB5"/>
    <w:rsid w:val="00FE1E37"/>
    <w:rsid w:val="00FE23E1"/>
    <w:rsid w:val="00FE3EEB"/>
    <w:rsid w:val="00FE446D"/>
    <w:rsid w:val="00FE48F9"/>
    <w:rsid w:val="00FE621C"/>
    <w:rsid w:val="00FE62CE"/>
    <w:rsid w:val="00FE697B"/>
    <w:rsid w:val="00FF1DB0"/>
    <w:rsid w:val="00FF23FF"/>
    <w:rsid w:val="00FF513B"/>
    <w:rsid w:val="4C4FA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87DD"/>
  <w15:docId w15:val="{4E2A38ED-7073-4D11-BA38-D760761F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00"/>
    <w:rPr>
      <w:spacing w:val="2"/>
    </w:rPr>
  </w:style>
  <w:style w:type="paragraph" w:styleId="Heading1">
    <w:name w:val="heading 1"/>
    <w:basedOn w:val="BodyText"/>
    <w:next w:val="ListContinue"/>
    <w:qFormat/>
    <w:rsid w:val="00715A92"/>
    <w:pPr>
      <w:keepNext/>
      <w:numPr>
        <w:numId w:val="6"/>
      </w:numPr>
      <w:spacing w:before="0"/>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6"/>
      </w:numPr>
      <w:spacing w:after="200"/>
      <w:outlineLvl w:val="1"/>
    </w:pPr>
  </w:style>
  <w:style w:type="paragraph" w:styleId="Heading3">
    <w:name w:val="heading 3"/>
    <w:basedOn w:val="Normal"/>
    <w:qFormat/>
    <w:rsid w:val="00715A92"/>
    <w:pPr>
      <w:numPr>
        <w:ilvl w:val="2"/>
        <w:numId w:val="6"/>
      </w:numPr>
      <w:spacing w:after="200"/>
      <w:outlineLvl w:val="2"/>
    </w:pPr>
  </w:style>
  <w:style w:type="paragraph" w:styleId="Heading4">
    <w:name w:val="heading 4"/>
    <w:basedOn w:val="Normal"/>
    <w:qFormat/>
    <w:rsid w:val="00DC602F"/>
    <w:pPr>
      <w:numPr>
        <w:ilvl w:val="3"/>
        <w:numId w:val="6"/>
      </w:numPr>
      <w:spacing w:after="200"/>
      <w:outlineLvl w:val="3"/>
    </w:pPr>
  </w:style>
  <w:style w:type="paragraph" w:styleId="Heading5">
    <w:name w:val="heading 5"/>
    <w:basedOn w:val="Normal"/>
    <w:qFormat/>
    <w:rsid w:val="0095601F"/>
    <w:pPr>
      <w:numPr>
        <w:ilvl w:val="4"/>
        <w:numId w:val="6"/>
      </w:numPr>
      <w:spacing w:after="200"/>
      <w:outlineLvl w:val="4"/>
    </w:pPr>
  </w:style>
  <w:style w:type="paragraph" w:styleId="Heading6">
    <w:name w:val="heading 6"/>
    <w:basedOn w:val="Normal"/>
    <w:next w:val="Normal"/>
    <w:qFormat/>
    <w:rsid w:val="0095601F"/>
    <w:pPr>
      <w:numPr>
        <w:ilvl w:val="5"/>
        <w:numId w:val="6"/>
      </w:numPr>
      <w:spacing w:after="200"/>
      <w:outlineLvl w:val="5"/>
    </w:pPr>
  </w:style>
  <w:style w:type="paragraph" w:styleId="Heading7">
    <w:name w:val="heading 7"/>
    <w:basedOn w:val="Normal"/>
    <w:next w:val="Normal"/>
    <w:rsid w:val="00FA2335"/>
    <w:pPr>
      <w:numPr>
        <w:ilvl w:val="6"/>
        <w:numId w:val="6"/>
      </w:numPr>
      <w:spacing w:after="200"/>
      <w:ind w:left="3855" w:hanging="51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uiPriority w:val="39"/>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7"/>
      </w:numPr>
    </w:pPr>
    <w:rPr>
      <w:noProof/>
    </w:rPr>
  </w:style>
  <w:style w:type="paragraph" w:styleId="ListParagraph">
    <w:name w:val="List Paragraph"/>
    <w:basedOn w:val="BodyText"/>
    <w:uiPriority w:val="34"/>
    <w:qFormat/>
    <w:rsid w:val="008E552A"/>
  </w:style>
  <w:style w:type="paragraph" w:customStyle="1" w:styleId="AlphaListIndent">
    <w:name w:val="Alpha List Indent"/>
    <w:basedOn w:val="ListContinue"/>
    <w:qFormat/>
    <w:rsid w:val="008E552A"/>
    <w:pPr>
      <w:numPr>
        <w:numId w:val="8"/>
      </w:numPr>
    </w:pPr>
  </w:style>
  <w:style w:type="paragraph" w:customStyle="1" w:styleId="ItemList">
    <w:name w:val="Item List"/>
    <w:basedOn w:val="Normal"/>
    <w:qFormat/>
    <w:rsid w:val="00AE669D"/>
    <w:pPr>
      <w:numPr>
        <w:numId w:val="9"/>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11"/>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10"/>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rsid w:val="00590077"/>
    <w:pPr>
      <w:numPr>
        <w:numId w:val="12"/>
      </w:numPr>
      <w:spacing w:before="120" w:after="120" w:line="240" w:lineRule="auto"/>
    </w:pPr>
    <w:rPr>
      <w:rFonts w:ascii="Arial" w:hAnsi="Arial"/>
      <w:b/>
      <w:spacing w:val="0"/>
      <w:sz w:val="24"/>
      <w:szCs w:val="20"/>
    </w:rPr>
  </w:style>
  <w:style w:type="paragraph" w:customStyle="1" w:styleId="NumberedPara1">
    <w:name w:val="Numbered Para1"/>
    <w:basedOn w:val="Normal"/>
    <w:rsid w:val="00590077"/>
    <w:pPr>
      <w:numPr>
        <w:ilvl w:val="1"/>
        <w:numId w:val="12"/>
      </w:numPr>
      <w:spacing w:before="120" w:after="120" w:line="240" w:lineRule="auto"/>
      <w:ind w:left="1117" w:hanging="720"/>
    </w:pPr>
    <w:rPr>
      <w:rFonts w:ascii="Arial" w:hAnsi="Arial"/>
      <w:b/>
      <w:spacing w:val="0"/>
      <w:sz w:val="24"/>
      <w:szCs w:val="20"/>
    </w:rPr>
  </w:style>
  <w:style w:type="paragraph" w:customStyle="1" w:styleId="NumberedPara2">
    <w:name w:val="Numbered Para2"/>
    <w:basedOn w:val="Normal"/>
    <w:rsid w:val="00590077"/>
    <w:pPr>
      <w:numPr>
        <w:ilvl w:val="2"/>
        <w:numId w:val="12"/>
      </w:numPr>
      <w:spacing w:before="120" w:after="120" w:line="240" w:lineRule="auto"/>
    </w:pPr>
    <w:rPr>
      <w:rFonts w:ascii="Arial" w:hAnsi="Arial"/>
      <w:spacing w:val="0"/>
      <w:sz w:val="24"/>
      <w:szCs w:val="20"/>
    </w:rPr>
  </w:style>
  <w:style w:type="paragraph" w:customStyle="1" w:styleId="NumberedPara3">
    <w:name w:val="Numbered Para3"/>
    <w:basedOn w:val="Normal"/>
    <w:rsid w:val="00590077"/>
    <w:pPr>
      <w:numPr>
        <w:ilvl w:val="3"/>
        <w:numId w:val="12"/>
      </w:numPr>
      <w:spacing w:before="120" w:after="120" w:line="240" w:lineRule="auto"/>
    </w:pPr>
    <w:rPr>
      <w:rFonts w:ascii="Arial" w:hAnsi="Arial"/>
      <w:spacing w:val="0"/>
      <w:sz w:val="24"/>
      <w:szCs w:val="20"/>
    </w:rPr>
  </w:style>
  <w:style w:type="paragraph" w:customStyle="1" w:styleId="NumberedPara4">
    <w:name w:val="Numbered Para4"/>
    <w:basedOn w:val="Normal"/>
    <w:rsid w:val="00590077"/>
    <w:pPr>
      <w:numPr>
        <w:ilvl w:val="4"/>
        <w:numId w:val="12"/>
      </w:numPr>
      <w:spacing w:before="120" w:after="120" w:line="240" w:lineRule="auto"/>
    </w:pPr>
    <w:rPr>
      <w:rFonts w:ascii="Arial" w:hAnsi="Arial"/>
      <w:spacing w:val="0"/>
      <w:sz w:val="24"/>
      <w:szCs w:val="20"/>
    </w:rPr>
  </w:style>
  <w:style w:type="paragraph" w:customStyle="1" w:styleId="NumberedPara5">
    <w:name w:val="Numbered Para5"/>
    <w:basedOn w:val="Normal"/>
    <w:rsid w:val="00590077"/>
    <w:pPr>
      <w:numPr>
        <w:ilvl w:val="5"/>
        <w:numId w:val="12"/>
      </w:numPr>
      <w:tabs>
        <w:tab w:val="left" w:pos="5387"/>
      </w:tabs>
      <w:spacing w:before="120" w:after="120" w:line="240" w:lineRule="auto"/>
    </w:pPr>
    <w:rPr>
      <w:rFonts w:ascii="Arial" w:hAnsi="Arial"/>
      <w:spacing w:val="0"/>
      <w:sz w:val="24"/>
      <w:szCs w:val="20"/>
    </w:rPr>
  </w:style>
  <w:style w:type="table" w:customStyle="1" w:styleId="TableGrid2">
    <w:name w:val="Table Grid2"/>
    <w:basedOn w:val="TableNormal"/>
    <w:next w:val="TableGrid"/>
    <w:uiPriority w:val="39"/>
    <w:rsid w:val="00924205"/>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table" w:customStyle="1" w:styleId="TableGrid3">
    <w:name w:val="Table Grid3"/>
    <w:basedOn w:val="TableNormal"/>
    <w:next w:val="TableGrid"/>
    <w:uiPriority w:val="39"/>
    <w:rsid w:val="00924205"/>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Revision">
    <w:name w:val="Revision"/>
    <w:hidden/>
    <w:uiPriority w:val="99"/>
    <w:semiHidden/>
    <w:rsid w:val="00B00AB8"/>
    <w:pPr>
      <w:spacing w:line="240" w:lineRule="auto"/>
      <w:jc w:val="left"/>
    </w:pPr>
    <w:rPr>
      <w:spacing w:val="2"/>
    </w:rPr>
  </w:style>
  <w:style w:type="character" w:styleId="CommentReference">
    <w:name w:val="annotation reference"/>
    <w:basedOn w:val="DefaultParagraphFont"/>
    <w:semiHidden/>
    <w:unhideWhenUsed/>
    <w:rsid w:val="00B00AB8"/>
    <w:rPr>
      <w:sz w:val="16"/>
      <w:szCs w:val="16"/>
    </w:rPr>
  </w:style>
  <w:style w:type="paragraph" w:styleId="CommentText">
    <w:name w:val="annotation text"/>
    <w:basedOn w:val="Normal"/>
    <w:link w:val="CommentTextChar"/>
    <w:unhideWhenUsed/>
    <w:rsid w:val="00B00AB8"/>
    <w:pPr>
      <w:spacing w:line="240" w:lineRule="auto"/>
    </w:pPr>
    <w:rPr>
      <w:sz w:val="20"/>
      <w:szCs w:val="20"/>
    </w:rPr>
  </w:style>
  <w:style w:type="character" w:customStyle="1" w:styleId="CommentTextChar">
    <w:name w:val="Comment Text Char"/>
    <w:basedOn w:val="DefaultParagraphFont"/>
    <w:link w:val="CommentText"/>
    <w:rsid w:val="00B00AB8"/>
    <w:rPr>
      <w:spacing w:val="2"/>
      <w:sz w:val="20"/>
      <w:szCs w:val="20"/>
    </w:rPr>
  </w:style>
  <w:style w:type="paragraph" w:styleId="CommentSubject">
    <w:name w:val="annotation subject"/>
    <w:basedOn w:val="CommentText"/>
    <w:next w:val="CommentText"/>
    <w:link w:val="CommentSubjectChar"/>
    <w:semiHidden/>
    <w:unhideWhenUsed/>
    <w:rsid w:val="00B00AB8"/>
    <w:rPr>
      <w:b/>
      <w:bCs/>
    </w:rPr>
  </w:style>
  <w:style w:type="character" w:customStyle="1" w:styleId="CommentSubjectChar">
    <w:name w:val="Comment Subject Char"/>
    <w:basedOn w:val="CommentTextChar"/>
    <w:link w:val="CommentSubject"/>
    <w:semiHidden/>
    <w:rsid w:val="00B00AB8"/>
    <w:rPr>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05844\AppData\Roaming\Microsoft\Templates\TRIM\Legal%20Services%20Templates\COGG%20Legal%20Agreemen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7" ma:contentTypeDescription="Create a new document." ma:contentTypeScope="" ma:versionID="1666a07f9c4eb221978ed7c617c2f26e">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f1abba5270a7e9d27bd2649137f13569"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C1149E0-F3DA-4BB0-80EB-642588CEB8EB}">
  <ds:schemaRefs>
    <ds:schemaRef ds:uri="http://schemas.openxmlformats.org/officeDocument/2006/bibliography"/>
  </ds:schemaRefs>
</ds:datastoreItem>
</file>

<file path=customXml/itemProps2.xml><?xml version="1.0" encoding="utf-8"?>
<ds:datastoreItem xmlns:ds="http://schemas.openxmlformats.org/officeDocument/2006/customXml" ds:itemID="{E6A6BA1A-21E6-4E3E-B04D-0B258379F389}">
  <ds:schemaRefs>
    <ds:schemaRef ds:uri="http://schemas.microsoft.com/sharepoint/v3/contenttype/forms"/>
  </ds:schemaRefs>
</ds:datastoreItem>
</file>

<file path=customXml/itemProps3.xml><?xml version="1.0" encoding="utf-8"?>
<ds:datastoreItem xmlns:ds="http://schemas.openxmlformats.org/officeDocument/2006/customXml" ds:itemID="{6ADF8D97-2D4B-46A0-9937-878AAA79FB2A}">
  <ds:schemaRefs>
    <ds:schemaRef ds:uri="http://purl.org/dc/terms/"/>
    <ds:schemaRef ds:uri="http://schemas.openxmlformats.org/package/2006/metadata/core-properties"/>
    <ds:schemaRef ds:uri="http://purl.org/dc/dcmitype/"/>
    <ds:schemaRef ds:uri="bd28a1c0-60de-446e-a8a9-4637b4d7d04a"/>
    <ds:schemaRef ds:uri="http://schemas.microsoft.com/office/2006/documentManagement/types"/>
    <ds:schemaRef ds:uri="http://purl.org/dc/elements/1.1/"/>
    <ds:schemaRef ds:uri="http://schemas.microsoft.com/office/2006/metadata/properties"/>
    <ds:schemaRef ds:uri="http://schemas.microsoft.com/office/infopath/2007/PartnerControls"/>
    <ds:schemaRef ds:uri="7d279b51-c818-4ea0-941e-2b73183acf56"/>
    <ds:schemaRef ds:uri="http://www.w3.org/XML/1998/namespace"/>
  </ds:schemaRefs>
</ds:datastoreItem>
</file>

<file path=customXml/itemProps4.xml><?xml version="1.0" encoding="utf-8"?>
<ds:datastoreItem xmlns:ds="http://schemas.openxmlformats.org/officeDocument/2006/customXml" ds:itemID="{98981A4C-9763-4B6F-8B95-C997F96B1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6440D8-0F68-4042-A5E7-E7BF4E4E008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4</TotalTime>
  <Pages>11</Pages>
  <Words>2487</Words>
  <Characters>14176</Characters>
  <Application>Microsoft Office Word</Application>
  <DocSecurity>0</DocSecurity>
  <Lines>118</Lines>
  <Paragraphs>33</Paragraphs>
  <ScaleCrop>false</ScaleCrop>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Allan</dc:creator>
  <cp:keywords/>
  <dc:description/>
  <cp:lastModifiedBy>Karen Manaszczuk</cp:lastModifiedBy>
  <cp:revision>4</cp:revision>
  <cp:lastPrinted>2023-09-27T05:53:00Z</cp:lastPrinted>
  <dcterms:created xsi:type="dcterms:W3CDTF">2023-11-02T01:34:00Z</dcterms:created>
  <dcterms:modified xsi:type="dcterms:W3CDTF">2023-11-02T01:36:00Z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0x010100AD29373F8AA2D2488478C9E1B890C27A</vt:lpwstr>
  </property>
</Properties>
</file>