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9.xml" ContentType="application/vnd.openxmlformats-officedocument.themeOverride+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65C3" w:rsidRDefault="009B0A44" w:rsidP="001765C3">
      <w:pPr>
        <w:pStyle w:val="BodyText"/>
        <w:spacing w:before="0" w:after="8280"/>
      </w:pPr>
      <w:r>
        <w:rPr>
          <w:noProof/>
          <w:lang w:eastAsia="en-AU"/>
        </w:rPr>
        <mc:AlternateContent>
          <mc:Choice Requires="wps">
            <w:drawing>
              <wp:anchor distT="0" distB="0" distL="114300" distR="114300" simplePos="0" relativeHeight="251657728" behindDoc="1" locked="0" layoutInCell="1" allowOverlap="1">
                <wp:simplePos x="0" y="0"/>
                <wp:positionH relativeFrom="page">
                  <wp:posOffset>-3750310</wp:posOffset>
                </wp:positionH>
                <wp:positionV relativeFrom="page">
                  <wp:posOffset>5833745</wp:posOffset>
                </wp:positionV>
                <wp:extent cx="16065500" cy="1141095"/>
                <wp:effectExtent l="0" t="0" r="0" b="1905"/>
                <wp:wrapNone/>
                <wp:docPr id="26" name="SmallShap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65500" cy="1141095"/>
                        </a:xfrm>
                        <a:custGeom>
                          <a:avLst/>
                          <a:gdLst>
                            <a:gd name="T0" fmla="*/ 0 w 11700"/>
                            <a:gd name="T1" fmla="*/ 960 h 1455"/>
                            <a:gd name="T2" fmla="*/ 11700 w 11700"/>
                            <a:gd name="T3" fmla="*/ 0 h 1455"/>
                            <a:gd name="T4" fmla="*/ 11700 w 11700"/>
                            <a:gd name="T5" fmla="*/ 135 h 1455"/>
                            <a:gd name="T6" fmla="*/ 0 w 11700"/>
                            <a:gd name="T7" fmla="*/ 1455 h 1455"/>
                            <a:gd name="T8" fmla="*/ 0 w 11700"/>
                            <a:gd name="T9" fmla="*/ 960 h 1455"/>
                          </a:gdLst>
                          <a:ahLst/>
                          <a:cxnLst>
                            <a:cxn ang="0">
                              <a:pos x="T0" y="T1"/>
                            </a:cxn>
                            <a:cxn ang="0">
                              <a:pos x="T2" y="T3"/>
                            </a:cxn>
                            <a:cxn ang="0">
                              <a:pos x="T4" y="T5"/>
                            </a:cxn>
                            <a:cxn ang="0">
                              <a:pos x="T6" y="T7"/>
                            </a:cxn>
                            <a:cxn ang="0">
                              <a:pos x="T8" y="T9"/>
                            </a:cxn>
                          </a:cxnLst>
                          <a:rect l="0" t="0" r="r" b="b"/>
                          <a:pathLst>
                            <a:path w="11700" h="1455">
                              <a:moveTo>
                                <a:pt x="0" y="960"/>
                              </a:moveTo>
                              <a:lnTo>
                                <a:pt x="11700" y="0"/>
                              </a:lnTo>
                              <a:lnTo>
                                <a:pt x="11700" y="135"/>
                              </a:lnTo>
                              <a:lnTo>
                                <a:pt x="0" y="1455"/>
                              </a:lnTo>
                              <a:lnTo>
                                <a:pt x="0" y="960"/>
                              </a:lnTo>
                              <a:close/>
                            </a:path>
                          </a:pathLst>
                        </a:custGeom>
                        <a:solidFill>
                          <a:srgbClr val="21314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5ED71" id="SmallShape" o:spid="_x0000_s1026" style="position:absolute;margin-left:-295.3pt;margin-top:459.35pt;width:1265pt;height:89.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700,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" path="m,960l11700,r,135l,1455,,960xe" fillcolor="#213144" stroked="f">
                <v:path arrowok="t" o:connecttype="custom" o:connectlocs="0,752887;16065500,0;16065500,105875;0,1141095;0,752887" o:connectangles="0,0,0,0,0"/>
                <w10:wrap anchorx="page" anchory="page"/>
              </v:shape>
            </w:pict>
          </mc:Fallback>
        </mc:AlternateContent>
      </w:r>
      <w:r>
        <w:rPr>
          <w:noProof/>
          <w:lang w:eastAsia="en-AU"/>
        </w:rPr>
        <mc:AlternateContent>
          <mc:Choice Requires="wps">
            <w:drawing>
              <wp:anchor distT="0" distB="0" distL="114300" distR="114300" simplePos="0" relativeHeight="251656704" behindDoc="0" locked="0" layoutInCell="1" allowOverlap="1">
                <wp:simplePos x="0" y="0"/>
                <wp:positionH relativeFrom="page">
                  <wp:posOffset>0</wp:posOffset>
                </wp:positionH>
                <wp:positionV relativeFrom="page">
                  <wp:posOffset>1793875</wp:posOffset>
                </wp:positionV>
                <wp:extent cx="17399635" cy="933450"/>
                <wp:effectExtent l="0" t="0" r="12065" b="19050"/>
                <wp:wrapNone/>
                <wp:docPr id="25" name="Freeform 21" descr="Description: RMCG_Green_Yellow_Gra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99635" cy="933450"/>
                        </a:xfrm>
                        <a:custGeom>
                          <a:avLst/>
                          <a:gdLst>
                            <a:gd name="T0" fmla="*/ 0 w 11700"/>
                            <a:gd name="T1" fmla="*/ 171450 h 1470"/>
                            <a:gd name="T2" fmla="*/ 7343775 w 11700"/>
                            <a:gd name="T3" fmla="*/ 933450 h 1470"/>
                            <a:gd name="T4" fmla="*/ 7343775 w 11700"/>
                            <a:gd name="T5" fmla="*/ 350520 h 1470"/>
                            <a:gd name="T6" fmla="*/ 0 w 11700"/>
                            <a:gd name="T7" fmla="*/ 0 h 1470"/>
                            <a:gd name="T8" fmla="*/ 0 w 11700"/>
                            <a:gd name="T9" fmla="*/ 247650 h 14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00" h="1470">
                              <a:moveTo>
                                <a:pt x="0" y="270"/>
                              </a:moveTo>
                              <a:lnTo>
                                <a:pt x="11700" y="1470"/>
                              </a:lnTo>
                              <a:lnTo>
                                <a:pt x="11700" y="552"/>
                              </a:lnTo>
                              <a:lnTo>
                                <a:pt x="0" y="0"/>
                              </a:lnTo>
                              <a:lnTo>
                                <a:pt x="0" y="390"/>
                              </a:lnTo>
                            </a:path>
                          </a:pathLst>
                        </a:custGeom>
                        <a:gradFill flip="none" rotWithShape="1">
                          <a:gsLst>
                            <a:gs pos="0">
                              <a:srgbClr val="213144"/>
                            </a:gs>
                            <a:gs pos="23000">
                              <a:srgbClr val="1F497D">
                                <a:lumMod val="89000"/>
                              </a:srgbClr>
                            </a:gs>
                            <a:gs pos="69000">
                              <a:srgbClr val="1F497D">
                                <a:lumMod val="75000"/>
                              </a:srgbClr>
                            </a:gs>
                            <a:gs pos="97000">
                              <a:srgbClr val="213144">
                                <a:alpha val="50000"/>
                              </a:srgbClr>
                            </a:gs>
                          </a:gsLst>
                          <a:lin ang="0" scaled="1"/>
                          <a:tileRect/>
                        </a:gradFill>
                        <a:ln>
                          <a:solidFill>
                            <a:srgbClr val="213144">
                              <a:alpha val="50000"/>
                            </a:srgbClr>
                          </a:solidFill>
                        </a:ln>
                        <a:extLst>
                          <a:ext uri="{91240B29-F687-4f45-9708-019B960494DF}"/>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0D48A" id="Freeform 21" o:spid="_x0000_s1026" alt="Description: RMCG_Green_Yellow_Grad" style="position:absolute;margin-left:0;margin-top:141.25pt;width:1370.05pt;height:7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70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" path="m,270l11700,1470r,-918l,,,390e" fillcolor="#213144" strokecolor="#213144">
                <v:fill opacity=".5" color2="#213144" rotate="t" angle="90" colors="0 #213144;15073f #1c416f;45220f #17375e;63570f #213144" focus="100%" type="gradient"/>
                <v:stroke opacity="32896f"/>
                <v:path arrowok="t" o:connecttype="custom" o:connectlocs="0,108870750;2147483646,592740750;2147483646,222580200;0,0;0,157257750" o:connectangles="0,0,0,0,0"/>
                <w10:wrap anchorx="page" anchory="page"/>
              </v:shape>
            </w:pict>
          </mc:Fallback>
        </mc:AlternateContent>
      </w:r>
      <w:r>
        <w:rPr>
          <w:noProof/>
          <w:lang w:eastAsia="en-AU"/>
        </w:rPr>
        <mc:AlternateContent>
          <mc:Choice Requires="wps">
            <w:drawing>
              <wp:anchor distT="0" distB="0" distL="114300" distR="114300" simplePos="0" relativeHeight="251655680" behindDoc="1" locked="0" layoutInCell="1" allowOverlap="1">
                <wp:simplePos x="0" y="0"/>
                <wp:positionH relativeFrom="page">
                  <wp:posOffset>0</wp:posOffset>
                </wp:positionH>
                <wp:positionV relativeFrom="page">
                  <wp:posOffset>1712595</wp:posOffset>
                </wp:positionV>
                <wp:extent cx="7560310" cy="552450"/>
                <wp:effectExtent l="0" t="0" r="2540" b="0"/>
                <wp:wrapNone/>
                <wp:docPr id="24"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552450"/>
                        </a:xfrm>
                        <a:custGeom>
                          <a:avLst/>
                          <a:gdLst>
                            <a:gd name="T0" fmla="*/ 0 w 11700"/>
                            <a:gd name="T1" fmla="*/ 315 h 870"/>
                            <a:gd name="T2" fmla="*/ 11700 w 11700"/>
                            <a:gd name="T3" fmla="*/ 870 h 870"/>
                            <a:gd name="T4" fmla="*/ 11700 w 11700"/>
                            <a:gd name="T5" fmla="*/ 0 h 870"/>
                            <a:gd name="T6" fmla="*/ 0 w 11700"/>
                            <a:gd name="T7" fmla="*/ 0 h 870"/>
                            <a:gd name="T8" fmla="*/ 0 w 11700"/>
                            <a:gd name="T9" fmla="*/ 315 h 870"/>
                          </a:gdLst>
                          <a:ahLst/>
                          <a:cxnLst>
                            <a:cxn ang="0">
                              <a:pos x="T0" y="T1"/>
                            </a:cxn>
                            <a:cxn ang="0">
                              <a:pos x="T2" y="T3"/>
                            </a:cxn>
                            <a:cxn ang="0">
                              <a:pos x="T4" y="T5"/>
                            </a:cxn>
                            <a:cxn ang="0">
                              <a:pos x="T6" y="T7"/>
                            </a:cxn>
                            <a:cxn ang="0">
                              <a:pos x="T8" y="T9"/>
                            </a:cxn>
                          </a:cxnLst>
                          <a:rect l="0" t="0" r="r" b="b"/>
                          <a:pathLst>
                            <a:path w="11700" h="870">
                              <a:moveTo>
                                <a:pt x="0" y="315"/>
                              </a:moveTo>
                              <a:lnTo>
                                <a:pt x="11700" y="870"/>
                              </a:lnTo>
                              <a:lnTo>
                                <a:pt x="11700" y="0"/>
                              </a:lnTo>
                              <a:lnTo>
                                <a:pt x="0" y="0"/>
                              </a:lnTo>
                              <a:lnTo>
                                <a:pt x="0" y="315"/>
                              </a:lnTo>
                              <a:close/>
                            </a:path>
                          </a:pathLst>
                        </a:custGeom>
                        <a:solidFill>
                          <a:srgbClr val="FFFFFF"/>
                        </a:solidFill>
                        <a:ln>
                          <a:noFill/>
                        </a:ln>
                        <a:extLst>
                          <a:ext uri="{91240B29-F687-4f45-9708-019B960494DF}"/>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AAEFF" id="Freeform 7" o:spid="_x0000_s1026" style="position:absolute;margin-left:0;margin-top:134.85pt;width:595.3pt;height:43.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70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" path="m,315l11700,870r,-870l,,,315xe" stroked="f">
                <v:path arrowok="t" o:connecttype="custom" o:connectlocs="0,200025;7560310,552450;7560310,0;0,0;0,200025" o:connectangles="0,0,0,0,0"/>
                <w10:wrap anchorx="page" anchory="page"/>
              </v:shape>
            </w:pict>
          </mc:Fallback>
        </mc:AlternateContent>
      </w:r>
      <w:r>
        <w:rPr>
          <w:noProof/>
          <w:lang w:eastAsia="en-AU"/>
        </w:rPr>
        <mc:AlternateContent>
          <mc:Choice Requires="wps">
            <w:drawing>
              <wp:anchor distT="0" distB="0" distL="114300" distR="114300" simplePos="0" relativeHeight="251653632" behindDoc="0" locked="1" layoutInCell="1" allowOverlap="1">
                <wp:simplePos x="0" y="0"/>
                <wp:positionH relativeFrom="page">
                  <wp:posOffset>4230370</wp:posOffset>
                </wp:positionH>
                <wp:positionV relativeFrom="page">
                  <wp:posOffset>9796780</wp:posOffset>
                </wp:positionV>
                <wp:extent cx="2604770" cy="295910"/>
                <wp:effectExtent l="0" t="0" r="0" b="889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770" cy="295910"/>
                        </a:xfrm>
                        <a:prstGeom prst="rect">
                          <a:avLst/>
                        </a:prstGeom>
                        <a:noFill/>
                        <a:ln>
                          <a:noFill/>
                        </a:ln>
                        <a:extLst>
                          <a:ext uri="{909E8E84-426E-40dd-AFC4-6F175D3DCCD1}"/>
                          <a:ext uri="{91240B29-F687-4f45-9708-019B960494DF}"/>
                        </a:extLst>
                      </wps:spPr>
                      <wps:txbx>
                        <w:txbxContent>
                          <w:p w:rsidR="00912CE6" w:rsidRPr="00140D70" w:rsidRDefault="00912CE6" w:rsidP="00F918D5">
                            <w:pPr>
                              <w:pStyle w:val="xWebAddress"/>
                            </w:pPr>
                            <w:r w:rsidRPr="009B0184">
                              <w:t>rmcg</w:t>
                            </w:r>
                            <w:r w:rsidRPr="00140D70">
                              <w:t>.com.au</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33.1pt;margin-top:771.4pt;width:205.1pt;height:23.3pt;z-index:251653632;visibility:visible;mso-wrap-style:square;mso-width-percent:400;mso-height-percent:200;mso-wrap-distance-left:9pt;mso-wrap-distance-top:0;mso-wrap-distance-right:9pt;mso-wrap-distance-bottom:0;mso-position-horizontal:absolute;mso-position-horizontal-relative:page;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" filled="f" stroked="f">
                <v:textbox style="mso-fit-shape-to-text:t">
                  <w:txbxContent>
                    <w:p w:rsidR="00912CE6" w:rsidRPr="00140D70" w:rsidRDefault="00912CE6" w:rsidP="00F918D5">
                      <w:pPr>
                        <w:pStyle w:val="xWebAddress"/>
                      </w:pPr>
                      <w:r w:rsidRPr="009B0184">
                        <w:t>rmcg</w:t>
                      </w:r>
                      <w:r w:rsidRPr="00140D70">
                        <w:t>.com.au</w:t>
                      </w:r>
                    </w:p>
                  </w:txbxContent>
                </v:textbox>
                <w10:wrap anchorx="page" anchory="page"/>
                <w10:anchorlock/>
              </v:shape>
            </w:pict>
          </mc:Fallback>
        </mc:AlternateContent>
      </w:r>
      <w:r w:rsidR="00AB31C4">
        <w:t xml:space="preserve"> </w:t>
      </w:r>
    </w:p>
    <w:tbl>
      <w:tblPr>
        <w:tblpPr w:leftFromText="181" w:rightFromText="181" w:vertAnchor="page" w:horzAnchor="page" w:tblpX="1135" w:tblpY="10581"/>
        <w:tblOverlap w:val="never"/>
        <w:tblW w:w="9560" w:type="dxa"/>
        <w:tblCellMar>
          <w:left w:w="57" w:type="dxa"/>
          <w:right w:w="57" w:type="dxa"/>
        </w:tblCellMar>
        <w:tblLook w:val="04A0" w:firstRow="1" w:lastRow="0" w:firstColumn="1" w:lastColumn="0" w:noHBand="0" w:noVBand="1"/>
      </w:tblPr>
      <w:tblGrid>
        <w:gridCol w:w="9560"/>
      </w:tblGrid>
      <w:tr w:rsidR="006C14FF" w:rsidRPr="00FD1534" w:rsidTr="00FD1534">
        <w:trPr>
          <w:trHeight w:hRule="exact" w:val="3956"/>
        </w:trPr>
        <w:tc>
          <w:tcPr>
            <w:tcW w:w="9560" w:type="dxa"/>
            <w:shd w:val="clear" w:color="auto" w:fill="auto"/>
          </w:tcPr>
          <w:p w:rsidR="006C14FF" w:rsidRPr="00FD1534" w:rsidRDefault="00623F7B" w:rsidP="00FD1534">
            <w:pPr>
              <w:pStyle w:val="Date"/>
              <w:spacing w:line="288" w:lineRule="auto"/>
            </w:pPr>
            <w:r w:rsidRPr="00FD1534">
              <w:rPr>
                <w:b/>
              </w:rPr>
              <w:t>28</w:t>
            </w:r>
            <w:r w:rsidR="00296042" w:rsidRPr="00FD1534">
              <w:rPr>
                <w:b/>
              </w:rPr>
              <w:t xml:space="preserve"> </w:t>
            </w:r>
            <w:r w:rsidR="008A7EFB" w:rsidRPr="00FD1534">
              <w:rPr>
                <w:b/>
              </w:rPr>
              <w:t>July</w:t>
            </w:r>
            <w:r w:rsidR="00A333D1" w:rsidRPr="00FD1534">
              <w:rPr>
                <w:b/>
              </w:rPr>
              <w:t xml:space="preserve"> 2017</w:t>
            </w:r>
          </w:p>
          <w:p w:rsidR="006C14FF" w:rsidRPr="00FD1534" w:rsidRDefault="006C14FF" w:rsidP="00FD1534">
            <w:pPr>
              <w:pStyle w:val="Title"/>
              <w:framePr w:hSpace="0" w:wrap="auto" w:vAnchor="margin" w:hAnchor="text" w:xAlign="left" w:yAlign="inline"/>
              <w:spacing w:before="60" w:after="60"/>
              <w:suppressOverlap w:val="0"/>
              <w:rPr>
                <w:b/>
              </w:rPr>
            </w:pPr>
          </w:p>
          <w:p w:rsidR="008A7EFB" w:rsidRPr="00FD1534" w:rsidRDefault="00DF5434" w:rsidP="00FD1534">
            <w:pPr>
              <w:pStyle w:val="Title"/>
              <w:framePr w:hSpace="0" w:wrap="auto" w:vAnchor="margin" w:hAnchor="text" w:xAlign="left" w:yAlign="inline"/>
              <w:spacing w:before="60" w:after="60"/>
              <w:suppressOverlap w:val="0"/>
              <w:rPr>
                <w:b/>
              </w:rPr>
            </w:pPr>
            <w:r w:rsidRPr="00FD1534">
              <w:rPr>
                <w:b/>
              </w:rPr>
              <w:fldChar w:fldCharType="begin"/>
            </w:r>
            <w:r w:rsidRPr="00FD1534">
              <w:rPr>
                <w:b/>
              </w:rPr>
              <w:instrText xml:space="preserve"> DOCPROPERTY  xTitle  \* MERGEFORMAT </w:instrText>
            </w:r>
            <w:r w:rsidRPr="00FD1534">
              <w:rPr>
                <w:b/>
              </w:rPr>
              <w:fldChar w:fldCharType="separate"/>
            </w:r>
            <w:r w:rsidR="00623F7B" w:rsidRPr="00FD1534">
              <w:rPr>
                <w:b/>
              </w:rPr>
              <w:t>FINAL</w:t>
            </w:r>
          </w:p>
          <w:p w:rsidR="006C14FF" w:rsidRPr="00FD1534" w:rsidRDefault="0036329B" w:rsidP="00FD1534">
            <w:pPr>
              <w:pStyle w:val="Title"/>
              <w:framePr w:hSpace="0" w:wrap="auto" w:vAnchor="margin" w:hAnchor="text" w:xAlign="left" w:yAlign="inline"/>
              <w:spacing w:before="60" w:after="60"/>
              <w:suppressOverlap w:val="0"/>
              <w:rPr>
                <w:b/>
              </w:rPr>
            </w:pPr>
            <w:r w:rsidRPr="00FD1534">
              <w:rPr>
                <w:b/>
              </w:rPr>
              <w:t>Sustainable Agribusin</w:t>
            </w:r>
            <w:r w:rsidR="00BE2DA8" w:rsidRPr="00FD1534">
              <w:rPr>
                <w:b/>
              </w:rPr>
              <w:t>ess Strategy for the G21 Region</w:t>
            </w:r>
            <w:r w:rsidRPr="00FD1534">
              <w:rPr>
                <w:b/>
              </w:rPr>
              <w:t xml:space="preserve"> 201</w:t>
            </w:r>
            <w:r w:rsidR="0012364C" w:rsidRPr="00FD1534">
              <w:rPr>
                <w:b/>
              </w:rPr>
              <w:t xml:space="preserve">7 - 2022 </w:t>
            </w:r>
            <w:r w:rsidR="00DF5434" w:rsidRPr="00FD1534">
              <w:rPr>
                <w:b/>
              </w:rPr>
              <w:fldChar w:fldCharType="end"/>
            </w:r>
            <w:r w:rsidR="0012364C" w:rsidRPr="00FD1534">
              <w:rPr>
                <w:b/>
              </w:rPr>
              <w:t xml:space="preserve"> </w:t>
            </w:r>
          </w:p>
          <w:p w:rsidR="006C14FF" w:rsidRPr="00FD1534" w:rsidRDefault="006C14FF" w:rsidP="00FD1534">
            <w:pPr>
              <w:pStyle w:val="Subtitle"/>
              <w:framePr w:hSpace="0" w:wrap="auto" w:vAnchor="margin" w:hAnchor="text" w:xAlign="left" w:yAlign="inline"/>
              <w:spacing w:line="288" w:lineRule="auto"/>
              <w:suppressOverlap w:val="0"/>
              <w:rPr>
                <w:b w:val="0"/>
              </w:rPr>
            </w:pPr>
          </w:p>
          <w:p w:rsidR="006C14FF" w:rsidRPr="00FD1534" w:rsidRDefault="009B0A44" w:rsidP="00FD1534">
            <w:pPr>
              <w:tabs>
                <w:tab w:val="right" w:pos="5670"/>
              </w:tabs>
              <w:rPr>
                <w:b/>
              </w:rPr>
            </w:pPr>
            <w:r>
              <w:rPr>
                <w:noProof/>
                <w:lang w:eastAsia="en-AU"/>
              </w:rPr>
              <w:drawing>
                <wp:anchor distT="0" distB="0" distL="114300" distR="114300" simplePos="0" relativeHeight="251658752" behindDoc="0" locked="0" layoutInCell="1" allowOverlap="1">
                  <wp:simplePos x="0" y="0"/>
                  <wp:positionH relativeFrom="column">
                    <wp:posOffset>3242945</wp:posOffset>
                  </wp:positionH>
                  <wp:positionV relativeFrom="paragraph">
                    <wp:posOffset>179705</wp:posOffset>
                  </wp:positionV>
                  <wp:extent cx="969010" cy="539750"/>
                  <wp:effectExtent l="0" t="0" r="2540" b="0"/>
                  <wp:wrapNone/>
                  <wp:docPr id="20" name="Picture 28" descr="Cover%20photo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ver%20photos/image0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901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9776" behindDoc="0" locked="0" layoutInCell="1" allowOverlap="1">
                  <wp:simplePos x="0" y="0"/>
                  <wp:positionH relativeFrom="column">
                    <wp:posOffset>-441325</wp:posOffset>
                  </wp:positionH>
                  <wp:positionV relativeFrom="paragraph">
                    <wp:posOffset>177800</wp:posOffset>
                  </wp:positionV>
                  <wp:extent cx="3284855" cy="539750"/>
                  <wp:effectExtent l="0" t="0" r="0" b="0"/>
                  <wp:wrapNone/>
                  <wp:docPr id="19" name="Picture 29" descr="Cover%20photo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ver%20photos/image00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485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0800" behindDoc="0" locked="0" layoutInCell="1" allowOverlap="1">
                  <wp:simplePos x="0" y="0"/>
                  <wp:positionH relativeFrom="column">
                    <wp:posOffset>4639945</wp:posOffset>
                  </wp:positionH>
                  <wp:positionV relativeFrom="paragraph">
                    <wp:posOffset>180975</wp:posOffset>
                  </wp:positionV>
                  <wp:extent cx="1333500" cy="539750"/>
                  <wp:effectExtent l="0" t="0" r="0" b="0"/>
                  <wp:wrapNone/>
                  <wp:docPr id="18" name="Picture 30" descr="Cover%20photo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ver%20photos/image00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14FF" w:rsidRPr="00FD1534" w:rsidRDefault="006C14FF" w:rsidP="00FD1534">
            <w:pPr>
              <w:pStyle w:val="Subtitle"/>
              <w:framePr w:hSpace="0" w:wrap="auto" w:vAnchor="margin" w:hAnchor="text" w:xAlign="left" w:yAlign="inline"/>
              <w:spacing w:line="288" w:lineRule="auto"/>
              <w:suppressOverlap w:val="0"/>
              <w:rPr>
                <w:b w:val="0"/>
              </w:rPr>
            </w:pPr>
          </w:p>
        </w:tc>
      </w:tr>
    </w:tbl>
    <w:p w:rsidR="001765C3" w:rsidRDefault="001765C3" w:rsidP="000F206D">
      <w:pPr>
        <w:pStyle w:val="BodyText"/>
      </w:pPr>
    </w:p>
    <w:p w:rsidR="001765C3" w:rsidRDefault="001765C3" w:rsidP="000F206D">
      <w:pPr>
        <w:pStyle w:val="BodyText"/>
      </w:pPr>
    </w:p>
    <w:p w:rsidR="00997300" w:rsidRDefault="00997300" w:rsidP="000F206D">
      <w:pPr>
        <w:pStyle w:val="BodyText"/>
        <w:sectPr w:rsidR="00997300" w:rsidSect="00D805DB">
          <w:footerReference w:type="default" r:id="rId12"/>
          <w:headerReference w:type="first" r:id="rId13"/>
          <w:footnotePr>
            <w:numStart w:val="27"/>
            <w:numRestart w:val="eachSect"/>
          </w:footnotePr>
          <w:pgSz w:w="11906" w:h="16838" w:code="9"/>
          <w:pgMar w:top="1616" w:right="794" w:bottom="1247" w:left="851" w:header="510" w:footer="284" w:gutter="0"/>
          <w:cols w:space="227"/>
          <w:titlePg/>
          <w:docGrid w:linePitch="360"/>
        </w:sectPr>
      </w:pPr>
    </w:p>
    <w:p w:rsidR="006C751A" w:rsidRPr="00A02BA0" w:rsidRDefault="006C751A" w:rsidP="006C751A">
      <w:pPr>
        <w:spacing w:before="0" w:after="0"/>
        <w:jc w:val="right"/>
        <w:rPr>
          <w:bCs/>
        </w:rPr>
      </w:pPr>
      <w:r w:rsidRPr="00A02BA0">
        <w:lastRenderedPageBreak/>
        <w:t xml:space="preserve">This </w:t>
      </w:r>
      <w:r>
        <w:t>report</w:t>
      </w:r>
      <w:r w:rsidRPr="00A02BA0">
        <w:t xml:space="preserve"> has been prepared by:</w:t>
      </w:r>
    </w:p>
    <w:p w:rsidR="006C751A" w:rsidRPr="00A02BA0" w:rsidRDefault="006C751A" w:rsidP="006C751A">
      <w:pPr>
        <w:spacing w:before="0" w:after="0"/>
        <w:jc w:val="right"/>
        <w:rPr>
          <w:b/>
          <w:i/>
        </w:rPr>
      </w:pPr>
    </w:p>
    <w:p w:rsidR="006C751A" w:rsidRPr="00A02BA0" w:rsidRDefault="006C751A" w:rsidP="006C751A">
      <w:pPr>
        <w:spacing w:before="0" w:after="0"/>
        <w:jc w:val="right"/>
        <w:rPr>
          <w:bCs/>
          <w:i/>
        </w:rPr>
      </w:pPr>
      <w:r w:rsidRPr="00A02BA0">
        <w:rPr>
          <w:b/>
        </w:rPr>
        <w:t>RM</w:t>
      </w:r>
      <w:r>
        <w:rPr>
          <w:b/>
        </w:rPr>
        <w:t xml:space="preserve"> Consulting Group Pty Ltd trading as RMCG</w:t>
      </w:r>
    </w:p>
    <w:p w:rsidR="006C751A" w:rsidRDefault="006C751A" w:rsidP="006C751A">
      <w:pPr>
        <w:spacing w:before="0" w:after="0"/>
        <w:jc w:val="right"/>
      </w:pPr>
      <w:r>
        <w:t>5/16 Gilbert Street, Torquay, Victoria 3228</w:t>
      </w:r>
    </w:p>
    <w:p w:rsidR="006C751A" w:rsidRPr="00A02BA0" w:rsidRDefault="006C751A" w:rsidP="006C751A">
      <w:pPr>
        <w:spacing w:before="0" w:after="0"/>
        <w:jc w:val="right"/>
      </w:pPr>
      <w:r>
        <w:t>PO Box 620, Torquay, Victoria 3228</w:t>
      </w:r>
    </w:p>
    <w:p w:rsidR="006C751A" w:rsidRPr="00A02BA0" w:rsidRDefault="006C751A" w:rsidP="006C751A">
      <w:pPr>
        <w:spacing w:before="0" w:after="0"/>
        <w:jc w:val="right"/>
      </w:pPr>
    </w:p>
    <w:p w:rsidR="006C751A" w:rsidRPr="00A02BA0" w:rsidRDefault="006C751A" w:rsidP="006C751A">
      <w:pPr>
        <w:spacing w:before="0" w:after="0"/>
        <w:jc w:val="right"/>
      </w:pPr>
    </w:p>
    <w:p w:rsidR="006C751A" w:rsidRPr="00A02BA0" w:rsidRDefault="006C751A" w:rsidP="006C751A">
      <w:pPr>
        <w:spacing w:before="0" w:after="0"/>
        <w:jc w:val="right"/>
      </w:pPr>
      <w:r w:rsidRPr="00A02BA0">
        <w:t xml:space="preserve">P: (03) </w:t>
      </w:r>
      <w:r>
        <w:t>5261 6105</w:t>
      </w:r>
    </w:p>
    <w:p w:rsidR="006C751A" w:rsidRPr="00A02BA0" w:rsidRDefault="006C751A" w:rsidP="006C751A">
      <w:pPr>
        <w:spacing w:before="0" w:after="0"/>
        <w:jc w:val="right"/>
      </w:pPr>
      <w:r w:rsidRPr="00A02BA0">
        <w:t xml:space="preserve">E: </w:t>
      </w:r>
      <w:hyperlink r:id="rId14" w:history="1">
        <w:r w:rsidRPr="00A02BA0">
          <w:rPr>
            <w:rStyle w:val="Hyperlink"/>
            <w:color w:val="auto"/>
            <w:u w:val="none"/>
          </w:rPr>
          <w:t>rm@rmcg.com.au</w:t>
        </w:r>
      </w:hyperlink>
    </w:p>
    <w:p w:rsidR="006C751A" w:rsidRPr="00A02BA0" w:rsidRDefault="006C751A" w:rsidP="006C751A">
      <w:pPr>
        <w:spacing w:before="0" w:after="0"/>
        <w:jc w:val="right"/>
      </w:pPr>
      <w:r w:rsidRPr="00A02BA0">
        <w:t xml:space="preserve">W: </w:t>
      </w:r>
      <w:hyperlink r:id="rId15" w:history="1">
        <w:r w:rsidRPr="00A02BA0">
          <w:rPr>
            <w:rStyle w:val="Hyperlink"/>
            <w:color w:val="auto"/>
            <w:u w:val="none"/>
          </w:rPr>
          <w:t>www.rmcg.com.au</w:t>
        </w:r>
      </w:hyperlink>
      <w:r w:rsidRPr="00A02BA0">
        <w:t xml:space="preserve"> </w:t>
      </w:r>
    </w:p>
    <w:p w:rsidR="006C751A" w:rsidRPr="00A02BA0" w:rsidRDefault="006C751A" w:rsidP="006C751A">
      <w:pPr>
        <w:spacing w:before="0" w:after="0"/>
        <w:jc w:val="right"/>
      </w:pPr>
    </w:p>
    <w:p w:rsidR="006C751A" w:rsidRPr="00A02BA0" w:rsidRDefault="006C751A" w:rsidP="006C751A">
      <w:pPr>
        <w:spacing w:before="0" w:after="0"/>
        <w:jc w:val="right"/>
      </w:pPr>
    </w:p>
    <w:p w:rsidR="006C751A" w:rsidRPr="00A02BA0" w:rsidRDefault="006C751A" w:rsidP="006C751A">
      <w:pPr>
        <w:spacing w:before="0" w:after="0"/>
        <w:jc w:val="right"/>
      </w:pPr>
      <w:r w:rsidRPr="00A02BA0">
        <w:t xml:space="preserve">ABN: </w:t>
      </w:r>
      <w:r>
        <w:t>73 613 135 247</w:t>
      </w:r>
    </w:p>
    <w:p w:rsidR="006C751A" w:rsidRPr="00A02BA0" w:rsidRDefault="006C751A" w:rsidP="006C751A">
      <w:pPr>
        <w:spacing w:before="0" w:after="0"/>
        <w:jc w:val="right"/>
      </w:pPr>
    </w:p>
    <w:p w:rsidR="006C751A" w:rsidRPr="00A02BA0" w:rsidRDefault="006C751A" w:rsidP="006C751A">
      <w:pPr>
        <w:spacing w:before="0" w:after="0"/>
        <w:jc w:val="right"/>
      </w:pPr>
    </w:p>
    <w:p w:rsidR="006C751A" w:rsidRPr="00A02BA0" w:rsidRDefault="006C751A" w:rsidP="006C751A">
      <w:pPr>
        <w:spacing w:before="0" w:after="0"/>
        <w:jc w:val="right"/>
      </w:pPr>
      <w:r w:rsidRPr="00A02BA0">
        <w:t xml:space="preserve">Offices </w:t>
      </w:r>
      <w:r>
        <w:t xml:space="preserve">in Bendigo, Melbourne, Torquay </w:t>
      </w:r>
      <w:r w:rsidRPr="00A02BA0">
        <w:t>and Penguin (Tas</w:t>
      </w:r>
      <w:r>
        <w:t>mania</w:t>
      </w:r>
      <w:r w:rsidRPr="00A02BA0">
        <w:t>)</w:t>
      </w:r>
    </w:p>
    <w:p w:rsidR="00A02BA0" w:rsidRDefault="00A02BA0" w:rsidP="00C61336">
      <w:pPr>
        <w:spacing w:before="60" w:after="60" w:line="24" w:lineRule="atLeast"/>
        <w:jc w:val="right"/>
      </w:pPr>
    </w:p>
    <w:p w:rsidR="00A02BA0" w:rsidRDefault="00A02BA0" w:rsidP="00C61336">
      <w:pPr>
        <w:spacing w:before="60" w:after="60" w:line="24" w:lineRule="atLeast"/>
      </w:pPr>
    </w:p>
    <w:p w:rsidR="00A02BA0" w:rsidRDefault="00A02BA0" w:rsidP="00C61336">
      <w:pPr>
        <w:spacing w:before="60" w:after="60" w:line="24" w:lineRule="atLeast"/>
        <w:rPr>
          <w:b/>
        </w:rPr>
      </w:pPr>
    </w:p>
    <w:p w:rsidR="00A02BA0" w:rsidRDefault="00A02BA0" w:rsidP="00C61336">
      <w:pPr>
        <w:spacing w:before="60" w:after="60" w:line="24" w:lineRule="atLeast"/>
        <w:rPr>
          <w:b/>
        </w:rPr>
      </w:pPr>
    </w:p>
    <w:p w:rsidR="00A02BA0" w:rsidRDefault="00A02BA0" w:rsidP="00C61336">
      <w:pPr>
        <w:spacing w:before="60" w:after="60" w:line="24" w:lineRule="atLeast"/>
        <w:rPr>
          <w:b/>
        </w:rPr>
      </w:pPr>
    </w:p>
    <w:p w:rsidR="00A02BA0" w:rsidRDefault="009B0A44" w:rsidP="00C61336">
      <w:pPr>
        <w:spacing w:before="60" w:after="60" w:line="24" w:lineRule="atLeast"/>
        <w:rPr>
          <w:b/>
        </w:rPr>
      </w:pPr>
      <w:r>
        <w:rPr>
          <w:noProof/>
          <w:lang w:eastAsia="en-AU"/>
        </w:rPr>
        <mc:AlternateContent>
          <mc:Choice Requires="wps">
            <w:drawing>
              <wp:anchor distT="0" distB="0" distL="114300" distR="114300" simplePos="0" relativeHeight="251654656" behindDoc="0" locked="0" layoutInCell="1" allowOverlap="1">
                <wp:simplePos x="0" y="0"/>
                <wp:positionH relativeFrom="column">
                  <wp:posOffset>4914900</wp:posOffset>
                </wp:positionH>
                <wp:positionV relativeFrom="paragraph">
                  <wp:posOffset>62865</wp:posOffset>
                </wp:positionV>
                <wp:extent cx="1143000" cy="1720215"/>
                <wp:effectExtent l="0" t="0" r="0" b="0"/>
                <wp:wrapSquare wrapText="bothSides"/>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720215"/>
                        </a:xfrm>
                        <a:prstGeom prst="rect">
                          <a:avLst/>
                        </a:prstGeom>
                        <a:noFill/>
                        <a:ln>
                          <a:noFill/>
                        </a:ln>
                        <a:effectLst/>
                        <a:extLst>
                          <a:ext uri="{C572A759-6A51-4108-AA02-DFA0A04FC94B}"/>
                        </a:extLst>
                      </wps:spPr>
                      <wps:txbx>
                        <w:txbxContent>
                          <w:p w:rsidR="00912CE6" w:rsidRDefault="009B0A44" w:rsidP="00A02BA0">
                            <w:r w:rsidRPr="00FD1534">
                              <w:rPr>
                                <w:b/>
                                <w:noProof/>
                                <w:sz w:val="16"/>
                                <w:szCs w:val="16"/>
                                <w:lang w:eastAsia="en-AU"/>
                              </w:rPr>
                              <w:drawing>
                                <wp:inline distT="0" distB="0" distL="0" distR="0">
                                  <wp:extent cx="914400" cy="1285875"/>
                                  <wp:effectExtent l="19050" t="19050" r="19050" b="28575"/>
                                  <wp:docPr id="4" name="Picture 10" descr="RMCG Bendigo:RMCG Administration:QUALITY MANAGEMENT SYSTEM:QMS CERTIFICATION:LOGOS:ISO 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MCG Bendigo:RMCG Administration:QUALITY MANAGEMENT SYSTEM:QMS CERTIFICATION:LOGOS:ISO 9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1285875"/>
                                          </a:xfrm>
                                          <a:prstGeom prst="rect">
                                            <a:avLst/>
                                          </a:prstGeom>
                                          <a:noFill/>
                                          <a:ln w="9525" cmpd="sng">
                                            <a:solidFill>
                                              <a:srgbClr val="000000"/>
                                            </a:solidFill>
                                            <a:miter lim="800000"/>
                                            <a:headEnd/>
                                            <a:tailEnd/>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 o:spid="_x0000_s1027" type="#_x0000_t202" style="position:absolute;left:0;text-align:left;margin-left:387pt;margin-top:4.95pt;width:90pt;height:135.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" filled="f" stroked="f">
                <v:path arrowok="t"/>
                <v:textbox>
                  <w:txbxContent>
                    <w:p w:rsidR="00912CE6" w:rsidRDefault="009B0A44" w:rsidP="00A02BA0">
                      <w:r w:rsidRPr="00FD1534">
                        <w:rPr>
                          <w:b/>
                          <w:noProof/>
                          <w:sz w:val="16"/>
                          <w:szCs w:val="16"/>
                          <w:lang w:eastAsia="en-AU"/>
                        </w:rPr>
                        <w:drawing>
                          <wp:inline distT="0" distB="0" distL="0" distR="0">
                            <wp:extent cx="914400" cy="1285875"/>
                            <wp:effectExtent l="19050" t="19050" r="19050" b="28575"/>
                            <wp:docPr id="4" name="Picture 10" descr="RMCG Bendigo:RMCG Administration:QUALITY MANAGEMENT SYSTEM:QMS CERTIFICATION:LOGOS:ISO 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MCG Bendigo:RMCG Administration:QUALITY MANAGEMENT SYSTEM:QMS CERTIFICATION:LOGOS:ISO 9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1285875"/>
                                    </a:xfrm>
                                    <a:prstGeom prst="rect">
                                      <a:avLst/>
                                    </a:prstGeom>
                                    <a:noFill/>
                                    <a:ln w="9525" cmpd="sng">
                                      <a:solidFill>
                                        <a:srgbClr val="000000"/>
                                      </a:solidFill>
                                      <a:miter lim="800000"/>
                                      <a:headEnd/>
                                      <a:tailEnd/>
                                    </a:ln>
                                    <a:effectLst/>
                                  </pic:spPr>
                                </pic:pic>
                              </a:graphicData>
                            </a:graphic>
                          </wp:inline>
                        </w:drawing>
                      </w:r>
                    </w:p>
                  </w:txbxContent>
                </v:textbox>
                <w10:wrap type="square"/>
              </v:shape>
            </w:pict>
          </mc:Fallback>
        </mc:AlternateContent>
      </w:r>
    </w:p>
    <w:p w:rsidR="00A02BA0" w:rsidRPr="009A1498" w:rsidRDefault="00A02BA0" w:rsidP="00C61336">
      <w:pPr>
        <w:spacing w:before="60" w:after="60" w:line="24" w:lineRule="atLeast"/>
        <w:rPr>
          <w:b/>
        </w:rPr>
      </w:pPr>
      <w:r w:rsidRPr="009A1498">
        <w:rPr>
          <w:b/>
        </w:rPr>
        <w:t>Key Project Contact</w:t>
      </w:r>
    </w:p>
    <w:p w:rsidR="00A02BA0" w:rsidRPr="009A1498" w:rsidRDefault="00A02BA0" w:rsidP="00C61336">
      <w:pPr>
        <w:spacing w:before="60" w:after="60" w:line="24" w:lineRule="atLeast"/>
        <w:rPr>
          <w:b/>
        </w:rPr>
      </w:pPr>
    </w:p>
    <w:p w:rsidR="00A02BA0" w:rsidRPr="009A1498" w:rsidRDefault="004508AD" w:rsidP="00C61336">
      <w:pPr>
        <w:spacing w:before="60" w:after="60" w:line="24" w:lineRule="atLeast"/>
      </w:pPr>
      <w:r>
        <w:t>Adrian Kennelly</w:t>
      </w:r>
    </w:p>
    <w:p w:rsidR="00A02BA0" w:rsidRPr="009A1498" w:rsidRDefault="00A02BA0" w:rsidP="00C61336">
      <w:pPr>
        <w:spacing w:before="60" w:after="60" w:line="24" w:lineRule="atLeast"/>
      </w:pPr>
      <w:r w:rsidRPr="009A1498">
        <w:t xml:space="preserve">M: </w:t>
      </w:r>
      <w:r w:rsidR="004508AD">
        <w:t>0427 679 041</w:t>
      </w:r>
    </w:p>
    <w:p w:rsidR="00A02BA0" w:rsidRPr="009A1498" w:rsidRDefault="00A02BA0" w:rsidP="00C61336">
      <w:pPr>
        <w:spacing w:before="60" w:after="60" w:line="24" w:lineRule="atLeast"/>
      </w:pPr>
      <w:r w:rsidRPr="009A1498">
        <w:t xml:space="preserve">E: </w:t>
      </w:r>
      <w:r w:rsidR="004508AD">
        <w:t>adriank@rmcg.com.au</w:t>
      </w:r>
    </w:p>
    <w:p w:rsidR="00A02BA0" w:rsidRDefault="00A02BA0" w:rsidP="00C61336">
      <w:pPr>
        <w:jc w:val="right"/>
        <w:rPr>
          <w:sz w:val="22"/>
          <w:szCs w:val="22"/>
        </w:rPr>
      </w:pPr>
    </w:p>
    <w:p w:rsidR="00A02BA0" w:rsidRDefault="00A02BA0" w:rsidP="00C61336">
      <w:pPr>
        <w:rPr>
          <w:b/>
          <w:sz w:val="16"/>
          <w:szCs w:val="16"/>
        </w:rPr>
      </w:pPr>
    </w:p>
    <w:p w:rsidR="00A02BA0" w:rsidRPr="009A1498" w:rsidRDefault="00A02BA0" w:rsidP="00CF47BA">
      <w:pPr>
        <w:spacing w:before="60" w:after="60"/>
        <w:rPr>
          <w:b/>
          <w:sz w:val="16"/>
          <w:szCs w:val="16"/>
        </w:rPr>
      </w:pPr>
      <w:r w:rsidRPr="009A1498">
        <w:rPr>
          <w:b/>
          <w:sz w:val="16"/>
          <w:szCs w:val="16"/>
        </w:rPr>
        <w:t>Document review and authorisation</w:t>
      </w:r>
    </w:p>
    <w:p w:rsidR="00A02BA0" w:rsidRPr="009A1498" w:rsidRDefault="000D665F" w:rsidP="00CF47BA">
      <w:pPr>
        <w:spacing w:before="60" w:after="60"/>
        <w:rPr>
          <w:b/>
          <w:sz w:val="16"/>
          <w:szCs w:val="16"/>
        </w:rPr>
      </w:pPr>
      <w:r>
        <w:rPr>
          <w:b/>
          <w:sz w:val="16"/>
          <w:szCs w:val="16"/>
        </w:rPr>
        <w:t>Job</w:t>
      </w:r>
      <w:r w:rsidR="00A02BA0" w:rsidRPr="009A1498">
        <w:rPr>
          <w:b/>
          <w:sz w:val="16"/>
          <w:szCs w:val="16"/>
        </w:rPr>
        <w:t xml:space="preserve"> Number:</w:t>
      </w:r>
      <w:r w:rsidR="0009655A">
        <w:rPr>
          <w:b/>
          <w:sz w:val="16"/>
          <w:szCs w:val="16"/>
        </w:rPr>
        <w:t xml:space="preserve"> </w:t>
      </w:r>
      <w:r w:rsidR="00A333D1">
        <w:rPr>
          <w:b/>
          <w:sz w:val="16"/>
          <w:szCs w:val="16"/>
        </w:rPr>
        <w:t>33-C-06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36"/>
        <w:gridCol w:w="1046"/>
        <w:gridCol w:w="1032"/>
        <w:gridCol w:w="1130"/>
        <w:gridCol w:w="953"/>
        <w:gridCol w:w="1037"/>
        <w:gridCol w:w="1045"/>
        <w:gridCol w:w="1359"/>
        <w:gridCol w:w="708"/>
      </w:tblGrid>
      <w:tr w:rsidR="00AE197B" w:rsidRPr="00FD1534" w:rsidTr="00FD1534">
        <w:tc>
          <w:tcPr>
            <w:tcW w:w="1036" w:type="dxa"/>
            <w:shd w:val="clear" w:color="auto" w:fill="auto"/>
            <w:vAlign w:val="center"/>
          </w:tcPr>
          <w:p w:rsidR="00B245E6" w:rsidRPr="00FD1534" w:rsidRDefault="00B245E6" w:rsidP="00FD1534">
            <w:pPr>
              <w:pStyle w:val="TableHeading"/>
              <w:jc w:val="left"/>
              <w:rPr>
                <w:b/>
                <w:sz w:val="14"/>
                <w:szCs w:val="14"/>
              </w:rPr>
            </w:pPr>
            <w:r w:rsidRPr="00FD1534">
              <w:rPr>
                <w:b/>
                <w:bCs/>
                <w:sz w:val="14"/>
                <w:szCs w:val="14"/>
              </w:rPr>
              <w:t>Doc. Version</w:t>
            </w:r>
          </w:p>
        </w:tc>
        <w:tc>
          <w:tcPr>
            <w:tcW w:w="1046" w:type="dxa"/>
            <w:shd w:val="clear" w:color="auto" w:fill="auto"/>
            <w:vAlign w:val="center"/>
          </w:tcPr>
          <w:p w:rsidR="00B245E6" w:rsidRPr="00FD1534" w:rsidRDefault="00B245E6" w:rsidP="00FD1534">
            <w:pPr>
              <w:pStyle w:val="TableHeading"/>
              <w:jc w:val="left"/>
              <w:rPr>
                <w:b/>
                <w:sz w:val="14"/>
                <w:szCs w:val="14"/>
              </w:rPr>
            </w:pPr>
            <w:r w:rsidRPr="00FD1534">
              <w:rPr>
                <w:b/>
                <w:sz w:val="14"/>
                <w:szCs w:val="14"/>
              </w:rPr>
              <w:t>Final/Draft</w:t>
            </w:r>
          </w:p>
        </w:tc>
        <w:tc>
          <w:tcPr>
            <w:tcW w:w="1032" w:type="dxa"/>
            <w:shd w:val="clear" w:color="auto" w:fill="auto"/>
            <w:vAlign w:val="center"/>
          </w:tcPr>
          <w:p w:rsidR="00B245E6" w:rsidRPr="00FD1534" w:rsidRDefault="00B245E6" w:rsidP="00FD1534">
            <w:pPr>
              <w:pStyle w:val="TableHeading"/>
              <w:jc w:val="left"/>
              <w:rPr>
                <w:b/>
                <w:sz w:val="14"/>
                <w:szCs w:val="14"/>
              </w:rPr>
            </w:pPr>
            <w:r w:rsidRPr="00FD1534">
              <w:rPr>
                <w:b/>
                <w:sz w:val="14"/>
                <w:szCs w:val="14"/>
              </w:rPr>
              <w:t>Date</w:t>
            </w:r>
          </w:p>
        </w:tc>
        <w:tc>
          <w:tcPr>
            <w:tcW w:w="1130" w:type="dxa"/>
            <w:shd w:val="clear" w:color="auto" w:fill="auto"/>
            <w:vAlign w:val="center"/>
          </w:tcPr>
          <w:p w:rsidR="00B245E6" w:rsidRPr="00FD1534" w:rsidRDefault="00B245E6" w:rsidP="00FD1534">
            <w:pPr>
              <w:pStyle w:val="TableHeading"/>
              <w:jc w:val="left"/>
              <w:rPr>
                <w:b/>
                <w:sz w:val="14"/>
                <w:szCs w:val="14"/>
              </w:rPr>
            </w:pPr>
            <w:r w:rsidRPr="00FD1534">
              <w:rPr>
                <w:b/>
                <w:sz w:val="14"/>
                <w:szCs w:val="14"/>
              </w:rPr>
              <w:t>Author</w:t>
            </w:r>
          </w:p>
        </w:tc>
        <w:tc>
          <w:tcPr>
            <w:tcW w:w="953" w:type="dxa"/>
            <w:shd w:val="clear" w:color="auto" w:fill="auto"/>
            <w:vAlign w:val="center"/>
          </w:tcPr>
          <w:p w:rsidR="00B245E6" w:rsidRPr="00FD1534" w:rsidRDefault="00B245E6" w:rsidP="00FD1534">
            <w:pPr>
              <w:pStyle w:val="TableHeading"/>
              <w:jc w:val="left"/>
              <w:rPr>
                <w:b/>
                <w:sz w:val="14"/>
                <w:szCs w:val="14"/>
              </w:rPr>
            </w:pPr>
            <w:r w:rsidRPr="00FD1534">
              <w:rPr>
                <w:b/>
                <w:sz w:val="14"/>
                <w:szCs w:val="14"/>
              </w:rPr>
              <w:t>Reviewed by</w:t>
            </w:r>
          </w:p>
        </w:tc>
        <w:tc>
          <w:tcPr>
            <w:tcW w:w="1037" w:type="dxa"/>
            <w:shd w:val="clear" w:color="auto" w:fill="auto"/>
            <w:vAlign w:val="center"/>
          </w:tcPr>
          <w:p w:rsidR="00B245E6" w:rsidRPr="00FD1534" w:rsidRDefault="00B245E6" w:rsidP="00FD1534">
            <w:pPr>
              <w:pStyle w:val="TableHeading"/>
              <w:jc w:val="left"/>
              <w:rPr>
                <w:b/>
                <w:sz w:val="14"/>
                <w:szCs w:val="14"/>
              </w:rPr>
            </w:pPr>
            <w:r w:rsidRPr="00FD1534">
              <w:rPr>
                <w:b/>
                <w:sz w:val="14"/>
                <w:szCs w:val="14"/>
              </w:rPr>
              <w:t>Quality check</w:t>
            </w:r>
          </w:p>
        </w:tc>
        <w:tc>
          <w:tcPr>
            <w:tcW w:w="1045" w:type="dxa"/>
            <w:shd w:val="clear" w:color="auto" w:fill="auto"/>
            <w:vAlign w:val="center"/>
          </w:tcPr>
          <w:p w:rsidR="00B245E6" w:rsidRPr="00FD1534" w:rsidRDefault="00B245E6" w:rsidP="00FD1534">
            <w:pPr>
              <w:pStyle w:val="TableHeading"/>
              <w:jc w:val="left"/>
              <w:rPr>
                <w:b/>
                <w:sz w:val="14"/>
                <w:szCs w:val="14"/>
              </w:rPr>
            </w:pPr>
            <w:r w:rsidRPr="00FD1534">
              <w:rPr>
                <w:b/>
                <w:sz w:val="14"/>
                <w:szCs w:val="14"/>
              </w:rPr>
              <w:t>Release approved by</w:t>
            </w:r>
          </w:p>
        </w:tc>
        <w:tc>
          <w:tcPr>
            <w:tcW w:w="1359" w:type="dxa"/>
            <w:shd w:val="clear" w:color="auto" w:fill="auto"/>
            <w:vAlign w:val="center"/>
          </w:tcPr>
          <w:p w:rsidR="00B245E6" w:rsidRPr="00FD1534" w:rsidRDefault="00B245E6" w:rsidP="00FD1534">
            <w:pPr>
              <w:pStyle w:val="TableHeading"/>
              <w:jc w:val="left"/>
              <w:rPr>
                <w:b/>
                <w:sz w:val="14"/>
                <w:szCs w:val="14"/>
              </w:rPr>
            </w:pPr>
            <w:r w:rsidRPr="00FD1534">
              <w:rPr>
                <w:b/>
                <w:sz w:val="14"/>
                <w:szCs w:val="14"/>
              </w:rPr>
              <w:t>Issued to</w:t>
            </w:r>
          </w:p>
        </w:tc>
        <w:tc>
          <w:tcPr>
            <w:tcW w:w="708" w:type="dxa"/>
            <w:shd w:val="clear" w:color="auto" w:fill="auto"/>
            <w:vAlign w:val="center"/>
          </w:tcPr>
          <w:p w:rsidR="00B245E6" w:rsidRPr="00FD1534" w:rsidRDefault="00B245E6" w:rsidP="00FD1534">
            <w:pPr>
              <w:pStyle w:val="TableHeading"/>
              <w:jc w:val="left"/>
              <w:rPr>
                <w:b/>
                <w:sz w:val="14"/>
                <w:szCs w:val="14"/>
              </w:rPr>
            </w:pPr>
            <w:r w:rsidRPr="00FD1534">
              <w:rPr>
                <w:b/>
                <w:sz w:val="14"/>
                <w:szCs w:val="14"/>
              </w:rPr>
              <w:t>Copies</w:t>
            </w:r>
          </w:p>
        </w:tc>
      </w:tr>
      <w:tr w:rsidR="00AE197B" w:rsidRPr="00FD1534" w:rsidTr="00FD1534">
        <w:tc>
          <w:tcPr>
            <w:tcW w:w="1036" w:type="dxa"/>
            <w:shd w:val="clear" w:color="auto" w:fill="auto"/>
            <w:vAlign w:val="center"/>
          </w:tcPr>
          <w:p w:rsidR="00A02BA0" w:rsidRPr="00FD1534" w:rsidRDefault="00A02BA0" w:rsidP="00FD1534">
            <w:pPr>
              <w:pStyle w:val="TableText"/>
              <w:tabs>
                <w:tab w:val="right" w:pos="5670"/>
              </w:tabs>
              <w:jc w:val="left"/>
              <w:rPr>
                <w:sz w:val="14"/>
                <w:szCs w:val="14"/>
              </w:rPr>
            </w:pPr>
            <w:r w:rsidRPr="00FD1534">
              <w:rPr>
                <w:sz w:val="14"/>
                <w:szCs w:val="14"/>
              </w:rPr>
              <w:t>1.0</w:t>
            </w:r>
          </w:p>
        </w:tc>
        <w:tc>
          <w:tcPr>
            <w:tcW w:w="1046" w:type="dxa"/>
            <w:shd w:val="clear" w:color="auto" w:fill="auto"/>
            <w:vAlign w:val="center"/>
          </w:tcPr>
          <w:p w:rsidR="00A02BA0" w:rsidRPr="00FD1534" w:rsidRDefault="004508AD" w:rsidP="00FD1534">
            <w:pPr>
              <w:tabs>
                <w:tab w:val="right" w:pos="5670"/>
              </w:tabs>
              <w:spacing w:before="60" w:after="60"/>
              <w:jc w:val="left"/>
              <w:rPr>
                <w:sz w:val="14"/>
                <w:szCs w:val="14"/>
              </w:rPr>
            </w:pPr>
            <w:r w:rsidRPr="00FD1534">
              <w:rPr>
                <w:sz w:val="14"/>
                <w:szCs w:val="14"/>
              </w:rPr>
              <w:t>Draft</w:t>
            </w:r>
          </w:p>
        </w:tc>
        <w:tc>
          <w:tcPr>
            <w:tcW w:w="1032" w:type="dxa"/>
            <w:shd w:val="clear" w:color="auto" w:fill="auto"/>
            <w:vAlign w:val="center"/>
          </w:tcPr>
          <w:p w:rsidR="00A02BA0" w:rsidRPr="00FD1534" w:rsidRDefault="00791F98" w:rsidP="00FD1534">
            <w:pPr>
              <w:tabs>
                <w:tab w:val="right" w:pos="5670"/>
              </w:tabs>
              <w:spacing w:before="60" w:after="60"/>
              <w:jc w:val="left"/>
              <w:rPr>
                <w:sz w:val="14"/>
                <w:szCs w:val="14"/>
              </w:rPr>
            </w:pPr>
            <w:r w:rsidRPr="00FD1534">
              <w:rPr>
                <w:sz w:val="14"/>
                <w:szCs w:val="14"/>
              </w:rPr>
              <w:t>1</w:t>
            </w:r>
            <w:r w:rsidR="00775E0C" w:rsidRPr="00FD1534">
              <w:rPr>
                <w:sz w:val="14"/>
                <w:szCs w:val="14"/>
              </w:rPr>
              <w:t>3</w:t>
            </w:r>
            <w:r w:rsidR="00A333D1" w:rsidRPr="00FD1534">
              <w:rPr>
                <w:sz w:val="14"/>
                <w:szCs w:val="14"/>
              </w:rPr>
              <w:t>/06/17</w:t>
            </w:r>
          </w:p>
        </w:tc>
        <w:tc>
          <w:tcPr>
            <w:tcW w:w="1130" w:type="dxa"/>
            <w:shd w:val="clear" w:color="auto" w:fill="auto"/>
            <w:vAlign w:val="center"/>
          </w:tcPr>
          <w:p w:rsidR="00A02BA0" w:rsidRPr="00FD1534" w:rsidRDefault="00D506DF" w:rsidP="00FD1534">
            <w:pPr>
              <w:tabs>
                <w:tab w:val="right" w:pos="5670"/>
              </w:tabs>
              <w:spacing w:before="60" w:after="60"/>
              <w:jc w:val="left"/>
              <w:rPr>
                <w:sz w:val="14"/>
                <w:szCs w:val="14"/>
              </w:rPr>
            </w:pPr>
            <w:r w:rsidRPr="00FD1534">
              <w:rPr>
                <w:sz w:val="14"/>
                <w:szCs w:val="14"/>
              </w:rPr>
              <w:t>A. Kennelly</w:t>
            </w:r>
            <w:r w:rsidR="00A333D1" w:rsidRPr="00FD1534">
              <w:rPr>
                <w:sz w:val="14"/>
                <w:szCs w:val="14"/>
              </w:rPr>
              <w:t xml:space="preserve"> &amp; J. Stevens (DMC)</w:t>
            </w:r>
          </w:p>
        </w:tc>
        <w:tc>
          <w:tcPr>
            <w:tcW w:w="953" w:type="dxa"/>
            <w:shd w:val="clear" w:color="auto" w:fill="auto"/>
            <w:vAlign w:val="center"/>
          </w:tcPr>
          <w:p w:rsidR="000A7B5A" w:rsidRPr="00FD1534" w:rsidRDefault="00775E0C" w:rsidP="00FD1534">
            <w:pPr>
              <w:tabs>
                <w:tab w:val="right" w:pos="5670"/>
              </w:tabs>
              <w:spacing w:before="60" w:after="60"/>
              <w:jc w:val="left"/>
              <w:rPr>
                <w:sz w:val="14"/>
                <w:szCs w:val="14"/>
              </w:rPr>
            </w:pPr>
            <w:r w:rsidRPr="00FD1534">
              <w:rPr>
                <w:sz w:val="14"/>
                <w:szCs w:val="14"/>
              </w:rPr>
              <w:t>n.a.</w:t>
            </w:r>
          </w:p>
        </w:tc>
        <w:tc>
          <w:tcPr>
            <w:tcW w:w="1037" w:type="dxa"/>
            <w:shd w:val="clear" w:color="auto" w:fill="auto"/>
            <w:vAlign w:val="center"/>
          </w:tcPr>
          <w:p w:rsidR="00A02BA0" w:rsidRPr="00FD1534" w:rsidRDefault="005A2DD2" w:rsidP="00FD1534">
            <w:pPr>
              <w:tabs>
                <w:tab w:val="right" w:pos="5670"/>
              </w:tabs>
              <w:spacing w:before="60" w:after="60"/>
              <w:jc w:val="left"/>
              <w:rPr>
                <w:sz w:val="14"/>
                <w:szCs w:val="14"/>
              </w:rPr>
            </w:pPr>
            <w:r w:rsidRPr="00FD1534">
              <w:rPr>
                <w:sz w:val="14"/>
                <w:szCs w:val="14"/>
              </w:rPr>
              <w:t>H. Buck</w:t>
            </w:r>
          </w:p>
        </w:tc>
        <w:tc>
          <w:tcPr>
            <w:tcW w:w="1045" w:type="dxa"/>
            <w:shd w:val="clear" w:color="auto" w:fill="auto"/>
            <w:vAlign w:val="center"/>
          </w:tcPr>
          <w:p w:rsidR="00A02BA0" w:rsidRPr="00FD1534" w:rsidRDefault="00775E0C" w:rsidP="00FD1534">
            <w:pPr>
              <w:tabs>
                <w:tab w:val="right" w:pos="5670"/>
              </w:tabs>
              <w:spacing w:before="60" w:after="60"/>
              <w:jc w:val="left"/>
              <w:rPr>
                <w:sz w:val="14"/>
                <w:szCs w:val="14"/>
              </w:rPr>
            </w:pPr>
            <w:r w:rsidRPr="00FD1534">
              <w:rPr>
                <w:sz w:val="14"/>
                <w:szCs w:val="14"/>
              </w:rPr>
              <w:t>A. Kennelly</w:t>
            </w:r>
          </w:p>
        </w:tc>
        <w:tc>
          <w:tcPr>
            <w:tcW w:w="1359" w:type="dxa"/>
            <w:shd w:val="clear" w:color="auto" w:fill="auto"/>
            <w:vAlign w:val="center"/>
          </w:tcPr>
          <w:p w:rsidR="00A02BA0" w:rsidRPr="00FD1534" w:rsidRDefault="00775E0C" w:rsidP="00FD1534">
            <w:pPr>
              <w:tabs>
                <w:tab w:val="right" w:pos="5670"/>
              </w:tabs>
              <w:spacing w:before="60" w:after="60"/>
              <w:jc w:val="left"/>
              <w:rPr>
                <w:sz w:val="14"/>
                <w:szCs w:val="14"/>
              </w:rPr>
            </w:pPr>
            <w:r w:rsidRPr="00FD1534">
              <w:rPr>
                <w:sz w:val="14"/>
                <w:szCs w:val="14"/>
              </w:rPr>
              <w:t>T. Ellis, COGG</w:t>
            </w:r>
          </w:p>
        </w:tc>
        <w:tc>
          <w:tcPr>
            <w:tcW w:w="708" w:type="dxa"/>
            <w:shd w:val="clear" w:color="auto" w:fill="auto"/>
            <w:vAlign w:val="center"/>
          </w:tcPr>
          <w:p w:rsidR="00A02BA0" w:rsidRPr="00FD1534" w:rsidRDefault="00775E0C" w:rsidP="00FD1534">
            <w:pPr>
              <w:tabs>
                <w:tab w:val="right" w:pos="5670"/>
              </w:tabs>
              <w:spacing w:before="60" w:after="60"/>
              <w:jc w:val="left"/>
              <w:rPr>
                <w:sz w:val="14"/>
                <w:szCs w:val="14"/>
              </w:rPr>
            </w:pPr>
            <w:r w:rsidRPr="00FD1534">
              <w:rPr>
                <w:sz w:val="14"/>
                <w:szCs w:val="14"/>
              </w:rPr>
              <w:t>1(e)</w:t>
            </w:r>
          </w:p>
        </w:tc>
      </w:tr>
      <w:tr w:rsidR="00AE197B" w:rsidRPr="00FD1534" w:rsidTr="00FD1534">
        <w:tc>
          <w:tcPr>
            <w:tcW w:w="1036" w:type="dxa"/>
            <w:shd w:val="clear" w:color="auto" w:fill="auto"/>
            <w:vAlign w:val="center"/>
          </w:tcPr>
          <w:p w:rsidR="00A94023" w:rsidRPr="00FD1534" w:rsidRDefault="00A94023" w:rsidP="00FD1534">
            <w:pPr>
              <w:pStyle w:val="TableText"/>
              <w:tabs>
                <w:tab w:val="right" w:pos="5670"/>
              </w:tabs>
              <w:jc w:val="left"/>
              <w:rPr>
                <w:sz w:val="14"/>
                <w:szCs w:val="14"/>
              </w:rPr>
            </w:pPr>
            <w:r w:rsidRPr="00FD1534">
              <w:rPr>
                <w:sz w:val="14"/>
                <w:szCs w:val="14"/>
              </w:rPr>
              <w:t>2.0</w:t>
            </w:r>
          </w:p>
        </w:tc>
        <w:tc>
          <w:tcPr>
            <w:tcW w:w="1046" w:type="dxa"/>
            <w:shd w:val="clear" w:color="auto" w:fill="auto"/>
            <w:vAlign w:val="center"/>
          </w:tcPr>
          <w:p w:rsidR="00A94023" w:rsidRPr="00FD1534" w:rsidRDefault="00A94023" w:rsidP="00FD1534">
            <w:pPr>
              <w:tabs>
                <w:tab w:val="right" w:pos="5670"/>
              </w:tabs>
              <w:spacing w:before="60" w:after="60"/>
              <w:jc w:val="left"/>
              <w:rPr>
                <w:sz w:val="14"/>
                <w:szCs w:val="14"/>
              </w:rPr>
            </w:pPr>
            <w:r w:rsidRPr="00FD1534">
              <w:rPr>
                <w:sz w:val="14"/>
                <w:szCs w:val="14"/>
              </w:rPr>
              <w:t>Draft</w:t>
            </w:r>
          </w:p>
        </w:tc>
        <w:tc>
          <w:tcPr>
            <w:tcW w:w="1032" w:type="dxa"/>
            <w:shd w:val="clear" w:color="auto" w:fill="auto"/>
            <w:vAlign w:val="center"/>
          </w:tcPr>
          <w:p w:rsidR="00A94023" w:rsidRPr="00FD1534" w:rsidRDefault="00A94023" w:rsidP="00FD1534">
            <w:pPr>
              <w:tabs>
                <w:tab w:val="right" w:pos="5670"/>
              </w:tabs>
              <w:spacing w:before="60" w:after="60"/>
              <w:jc w:val="left"/>
              <w:rPr>
                <w:sz w:val="14"/>
                <w:szCs w:val="14"/>
              </w:rPr>
            </w:pPr>
            <w:r w:rsidRPr="00FD1534">
              <w:rPr>
                <w:sz w:val="14"/>
                <w:szCs w:val="14"/>
              </w:rPr>
              <w:t>19/06/17</w:t>
            </w:r>
          </w:p>
        </w:tc>
        <w:tc>
          <w:tcPr>
            <w:tcW w:w="1130" w:type="dxa"/>
            <w:shd w:val="clear" w:color="auto" w:fill="auto"/>
            <w:vAlign w:val="center"/>
          </w:tcPr>
          <w:p w:rsidR="00A94023" w:rsidRPr="00FD1534" w:rsidRDefault="00A94023" w:rsidP="00FD1534">
            <w:pPr>
              <w:tabs>
                <w:tab w:val="right" w:pos="5670"/>
              </w:tabs>
              <w:spacing w:before="60" w:after="60"/>
              <w:jc w:val="left"/>
              <w:rPr>
                <w:sz w:val="14"/>
                <w:szCs w:val="14"/>
              </w:rPr>
            </w:pPr>
            <w:r w:rsidRPr="00FD1534">
              <w:rPr>
                <w:sz w:val="14"/>
                <w:szCs w:val="14"/>
              </w:rPr>
              <w:t>A. Kennelly &amp; J. Stevens (DMC)</w:t>
            </w:r>
          </w:p>
        </w:tc>
        <w:tc>
          <w:tcPr>
            <w:tcW w:w="953" w:type="dxa"/>
            <w:shd w:val="clear" w:color="auto" w:fill="auto"/>
            <w:vAlign w:val="center"/>
          </w:tcPr>
          <w:p w:rsidR="00A94023" w:rsidRPr="00FD1534" w:rsidRDefault="00AB073C" w:rsidP="00FD1534">
            <w:pPr>
              <w:tabs>
                <w:tab w:val="right" w:pos="5670"/>
              </w:tabs>
              <w:spacing w:before="60" w:after="60"/>
              <w:jc w:val="left"/>
              <w:rPr>
                <w:sz w:val="14"/>
                <w:szCs w:val="14"/>
              </w:rPr>
            </w:pPr>
            <w:r w:rsidRPr="00FD1534">
              <w:rPr>
                <w:sz w:val="14"/>
                <w:szCs w:val="14"/>
              </w:rPr>
              <w:t>n.a.</w:t>
            </w:r>
          </w:p>
        </w:tc>
        <w:tc>
          <w:tcPr>
            <w:tcW w:w="1037" w:type="dxa"/>
            <w:shd w:val="clear" w:color="auto" w:fill="auto"/>
            <w:vAlign w:val="center"/>
          </w:tcPr>
          <w:p w:rsidR="00A94023" w:rsidRPr="00FD1534" w:rsidRDefault="00AB073C" w:rsidP="00FD1534">
            <w:pPr>
              <w:tabs>
                <w:tab w:val="right" w:pos="5670"/>
              </w:tabs>
              <w:spacing w:before="60" w:after="60"/>
              <w:jc w:val="left"/>
              <w:rPr>
                <w:sz w:val="14"/>
                <w:szCs w:val="14"/>
              </w:rPr>
            </w:pPr>
            <w:r w:rsidRPr="00FD1534">
              <w:rPr>
                <w:sz w:val="14"/>
                <w:szCs w:val="14"/>
              </w:rPr>
              <w:t>n.a.</w:t>
            </w:r>
          </w:p>
        </w:tc>
        <w:tc>
          <w:tcPr>
            <w:tcW w:w="1045" w:type="dxa"/>
            <w:shd w:val="clear" w:color="auto" w:fill="auto"/>
            <w:vAlign w:val="center"/>
          </w:tcPr>
          <w:p w:rsidR="00A94023" w:rsidRPr="00FD1534" w:rsidRDefault="00AB073C" w:rsidP="00FD1534">
            <w:pPr>
              <w:tabs>
                <w:tab w:val="right" w:pos="5670"/>
              </w:tabs>
              <w:spacing w:before="60" w:after="60"/>
              <w:jc w:val="left"/>
              <w:rPr>
                <w:sz w:val="14"/>
                <w:szCs w:val="14"/>
              </w:rPr>
            </w:pPr>
            <w:r w:rsidRPr="00FD1534">
              <w:rPr>
                <w:sz w:val="14"/>
                <w:szCs w:val="14"/>
              </w:rPr>
              <w:t>n.a.</w:t>
            </w:r>
          </w:p>
        </w:tc>
        <w:tc>
          <w:tcPr>
            <w:tcW w:w="1359" w:type="dxa"/>
            <w:shd w:val="clear" w:color="auto" w:fill="auto"/>
            <w:vAlign w:val="center"/>
          </w:tcPr>
          <w:p w:rsidR="00A94023" w:rsidRPr="00FD1534" w:rsidRDefault="00AB073C" w:rsidP="00FD1534">
            <w:pPr>
              <w:tabs>
                <w:tab w:val="right" w:pos="5670"/>
              </w:tabs>
              <w:spacing w:before="60" w:after="60"/>
              <w:jc w:val="left"/>
              <w:rPr>
                <w:sz w:val="14"/>
                <w:szCs w:val="14"/>
              </w:rPr>
            </w:pPr>
            <w:r w:rsidRPr="00FD1534">
              <w:rPr>
                <w:sz w:val="14"/>
                <w:szCs w:val="14"/>
              </w:rPr>
              <w:t>Internal use only</w:t>
            </w:r>
          </w:p>
        </w:tc>
        <w:tc>
          <w:tcPr>
            <w:tcW w:w="708" w:type="dxa"/>
            <w:shd w:val="clear" w:color="auto" w:fill="auto"/>
            <w:vAlign w:val="center"/>
          </w:tcPr>
          <w:p w:rsidR="00A94023" w:rsidRPr="00FD1534" w:rsidRDefault="00AB073C" w:rsidP="00FD1534">
            <w:pPr>
              <w:tabs>
                <w:tab w:val="right" w:pos="5670"/>
              </w:tabs>
              <w:spacing w:before="60" w:after="60"/>
              <w:jc w:val="left"/>
              <w:rPr>
                <w:sz w:val="14"/>
                <w:szCs w:val="14"/>
              </w:rPr>
            </w:pPr>
            <w:r w:rsidRPr="00FD1534">
              <w:rPr>
                <w:sz w:val="14"/>
                <w:szCs w:val="14"/>
              </w:rPr>
              <w:t>1(e)</w:t>
            </w:r>
          </w:p>
        </w:tc>
      </w:tr>
      <w:tr w:rsidR="00AE197B" w:rsidRPr="00FD1534" w:rsidTr="00FD1534">
        <w:tc>
          <w:tcPr>
            <w:tcW w:w="1036" w:type="dxa"/>
            <w:shd w:val="clear" w:color="auto" w:fill="auto"/>
            <w:vAlign w:val="center"/>
          </w:tcPr>
          <w:p w:rsidR="00AB073C" w:rsidRPr="00FD1534" w:rsidRDefault="00AB073C" w:rsidP="00FD1534">
            <w:pPr>
              <w:pStyle w:val="TableText"/>
              <w:tabs>
                <w:tab w:val="right" w:pos="5670"/>
              </w:tabs>
              <w:jc w:val="left"/>
              <w:rPr>
                <w:sz w:val="14"/>
                <w:szCs w:val="14"/>
              </w:rPr>
            </w:pPr>
            <w:r w:rsidRPr="00FD1534">
              <w:rPr>
                <w:sz w:val="14"/>
                <w:szCs w:val="14"/>
              </w:rPr>
              <w:t>3.0</w:t>
            </w:r>
          </w:p>
        </w:tc>
        <w:tc>
          <w:tcPr>
            <w:tcW w:w="1046" w:type="dxa"/>
            <w:shd w:val="clear" w:color="auto" w:fill="auto"/>
            <w:vAlign w:val="center"/>
          </w:tcPr>
          <w:p w:rsidR="00AB073C" w:rsidRPr="00FD1534" w:rsidRDefault="00AB073C" w:rsidP="00FD1534">
            <w:pPr>
              <w:tabs>
                <w:tab w:val="right" w:pos="5670"/>
              </w:tabs>
              <w:spacing w:before="60" w:after="60"/>
              <w:jc w:val="left"/>
              <w:rPr>
                <w:sz w:val="14"/>
                <w:szCs w:val="14"/>
              </w:rPr>
            </w:pPr>
            <w:r w:rsidRPr="00FD1534">
              <w:rPr>
                <w:sz w:val="14"/>
                <w:szCs w:val="14"/>
              </w:rPr>
              <w:t>Draft</w:t>
            </w:r>
          </w:p>
        </w:tc>
        <w:tc>
          <w:tcPr>
            <w:tcW w:w="1032" w:type="dxa"/>
            <w:shd w:val="clear" w:color="auto" w:fill="auto"/>
            <w:vAlign w:val="center"/>
          </w:tcPr>
          <w:p w:rsidR="00AB073C" w:rsidRPr="00FD1534" w:rsidRDefault="00AB073C" w:rsidP="00FD1534">
            <w:pPr>
              <w:tabs>
                <w:tab w:val="right" w:pos="5670"/>
              </w:tabs>
              <w:spacing w:before="60" w:after="60"/>
              <w:jc w:val="left"/>
              <w:rPr>
                <w:sz w:val="14"/>
                <w:szCs w:val="14"/>
              </w:rPr>
            </w:pPr>
            <w:r w:rsidRPr="00FD1534">
              <w:rPr>
                <w:sz w:val="14"/>
                <w:szCs w:val="14"/>
              </w:rPr>
              <w:t>26/06/17</w:t>
            </w:r>
          </w:p>
        </w:tc>
        <w:tc>
          <w:tcPr>
            <w:tcW w:w="1130" w:type="dxa"/>
            <w:shd w:val="clear" w:color="auto" w:fill="auto"/>
            <w:vAlign w:val="center"/>
          </w:tcPr>
          <w:p w:rsidR="00AB073C" w:rsidRPr="00FD1534" w:rsidRDefault="00AB073C" w:rsidP="00FD1534">
            <w:pPr>
              <w:tabs>
                <w:tab w:val="right" w:pos="5670"/>
              </w:tabs>
              <w:spacing w:before="60" w:after="60"/>
              <w:jc w:val="left"/>
              <w:rPr>
                <w:sz w:val="14"/>
                <w:szCs w:val="14"/>
              </w:rPr>
            </w:pPr>
            <w:r w:rsidRPr="00FD1534">
              <w:rPr>
                <w:sz w:val="14"/>
                <w:szCs w:val="14"/>
              </w:rPr>
              <w:t>A. Kennelly &amp; J. Stevens (DMC)</w:t>
            </w:r>
          </w:p>
        </w:tc>
        <w:tc>
          <w:tcPr>
            <w:tcW w:w="953" w:type="dxa"/>
            <w:shd w:val="clear" w:color="auto" w:fill="auto"/>
            <w:vAlign w:val="center"/>
          </w:tcPr>
          <w:p w:rsidR="00AB073C" w:rsidRPr="00FD1534" w:rsidRDefault="00AB073C" w:rsidP="00FD1534">
            <w:pPr>
              <w:tabs>
                <w:tab w:val="right" w:pos="5670"/>
              </w:tabs>
              <w:spacing w:before="60" w:after="60"/>
              <w:jc w:val="left"/>
              <w:rPr>
                <w:sz w:val="14"/>
                <w:szCs w:val="14"/>
              </w:rPr>
            </w:pPr>
            <w:r w:rsidRPr="00FD1534">
              <w:rPr>
                <w:sz w:val="14"/>
                <w:szCs w:val="14"/>
              </w:rPr>
              <w:t>n.a.</w:t>
            </w:r>
          </w:p>
        </w:tc>
        <w:tc>
          <w:tcPr>
            <w:tcW w:w="1037" w:type="dxa"/>
            <w:shd w:val="clear" w:color="auto" w:fill="auto"/>
            <w:vAlign w:val="center"/>
          </w:tcPr>
          <w:p w:rsidR="00AB073C" w:rsidRPr="00FD1534" w:rsidRDefault="00AB073C" w:rsidP="00FD1534">
            <w:pPr>
              <w:tabs>
                <w:tab w:val="right" w:pos="5670"/>
              </w:tabs>
              <w:spacing w:before="60" w:after="60"/>
              <w:jc w:val="left"/>
              <w:rPr>
                <w:sz w:val="14"/>
                <w:szCs w:val="14"/>
              </w:rPr>
            </w:pPr>
            <w:r w:rsidRPr="00FD1534">
              <w:rPr>
                <w:sz w:val="14"/>
                <w:szCs w:val="14"/>
              </w:rPr>
              <w:t>H. Buck</w:t>
            </w:r>
          </w:p>
        </w:tc>
        <w:tc>
          <w:tcPr>
            <w:tcW w:w="1045" w:type="dxa"/>
            <w:shd w:val="clear" w:color="auto" w:fill="auto"/>
            <w:vAlign w:val="center"/>
          </w:tcPr>
          <w:p w:rsidR="00AB073C" w:rsidRPr="00FD1534" w:rsidRDefault="00AB073C" w:rsidP="00FD1534">
            <w:pPr>
              <w:tabs>
                <w:tab w:val="right" w:pos="5670"/>
              </w:tabs>
              <w:spacing w:before="60" w:after="60"/>
              <w:jc w:val="left"/>
              <w:rPr>
                <w:sz w:val="14"/>
                <w:szCs w:val="14"/>
              </w:rPr>
            </w:pPr>
            <w:r w:rsidRPr="00FD1534">
              <w:rPr>
                <w:sz w:val="14"/>
                <w:szCs w:val="14"/>
              </w:rPr>
              <w:t>A. Kennelly</w:t>
            </w:r>
          </w:p>
        </w:tc>
        <w:tc>
          <w:tcPr>
            <w:tcW w:w="1359" w:type="dxa"/>
            <w:shd w:val="clear" w:color="auto" w:fill="auto"/>
            <w:vAlign w:val="center"/>
          </w:tcPr>
          <w:p w:rsidR="00AB073C" w:rsidRPr="00FD1534" w:rsidRDefault="00AB073C" w:rsidP="00FD1534">
            <w:pPr>
              <w:tabs>
                <w:tab w:val="right" w:pos="5670"/>
              </w:tabs>
              <w:spacing w:before="60" w:after="60"/>
              <w:jc w:val="left"/>
              <w:rPr>
                <w:sz w:val="14"/>
                <w:szCs w:val="14"/>
              </w:rPr>
            </w:pPr>
            <w:r w:rsidRPr="00FD1534">
              <w:rPr>
                <w:sz w:val="14"/>
                <w:szCs w:val="14"/>
              </w:rPr>
              <w:t>PCG &amp; use in consultation mtgs</w:t>
            </w:r>
          </w:p>
        </w:tc>
        <w:tc>
          <w:tcPr>
            <w:tcW w:w="708" w:type="dxa"/>
            <w:shd w:val="clear" w:color="auto" w:fill="auto"/>
            <w:vAlign w:val="center"/>
          </w:tcPr>
          <w:p w:rsidR="00AB073C" w:rsidRPr="00FD1534" w:rsidRDefault="008A7EFB" w:rsidP="00FD1534">
            <w:pPr>
              <w:tabs>
                <w:tab w:val="right" w:pos="5670"/>
              </w:tabs>
              <w:spacing w:before="60" w:after="60"/>
              <w:jc w:val="left"/>
              <w:rPr>
                <w:sz w:val="14"/>
                <w:szCs w:val="14"/>
              </w:rPr>
            </w:pPr>
            <w:r w:rsidRPr="00FD1534">
              <w:rPr>
                <w:sz w:val="14"/>
                <w:szCs w:val="14"/>
              </w:rPr>
              <w:t>M</w:t>
            </w:r>
            <w:r w:rsidR="00AB073C" w:rsidRPr="00FD1534">
              <w:rPr>
                <w:sz w:val="14"/>
                <w:szCs w:val="14"/>
              </w:rPr>
              <w:t>ultiple</w:t>
            </w:r>
          </w:p>
        </w:tc>
      </w:tr>
      <w:tr w:rsidR="00AE197B" w:rsidRPr="00FD1534" w:rsidTr="00FD1534">
        <w:tc>
          <w:tcPr>
            <w:tcW w:w="1036" w:type="dxa"/>
            <w:shd w:val="clear" w:color="auto" w:fill="auto"/>
            <w:vAlign w:val="center"/>
          </w:tcPr>
          <w:p w:rsidR="008A7EFB" w:rsidRPr="00FD1534" w:rsidRDefault="00275A8C" w:rsidP="00FD1534">
            <w:pPr>
              <w:pStyle w:val="TableText"/>
              <w:tabs>
                <w:tab w:val="right" w:pos="5670"/>
              </w:tabs>
              <w:jc w:val="left"/>
              <w:rPr>
                <w:sz w:val="14"/>
                <w:szCs w:val="14"/>
              </w:rPr>
            </w:pPr>
            <w:r w:rsidRPr="00FD1534">
              <w:rPr>
                <w:sz w:val="14"/>
                <w:szCs w:val="14"/>
              </w:rPr>
              <w:t>4.0</w:t>
            </w:r>
          </w:p>
        </w:tc>
        <w:tc>
          <w:tcPr>
            <w:tcW w:w="1046" w:type="dxa"/>
            <w:shd w:val="clear" w:color="auto" w:fill="auto"/>
            <w:vAlign w:val="center"/>
          </w:tcPr>
          <w:p w:rsidR="008A7EFB" w:rsidRPr="00FD1534" w:rsidRDefault="008A7EFB" w:rsidP="00FD1534">
            <w:pPr>
              <w:tabs>
                <w:tab w:val="right" w:pos="5670"/>
              </w:tabs>
              <w:spacing w:before="60" w:after="60"/>
              <w:jc w:val="left"/>
              <w:rPr>
                <w:sz w:val="14"/>
                <w:szCs w:val="14"/>
              </w:rPr>
            </w:pPr>
            <w:r w:rsidRPr="00FD1534">
              <w:rPr>
                <w:sz w:val="14"/>
                <w:szCs w:val="14"/>
              </w:rPr>
              <w:t>Draft</w:t>
            </w:r>
          </w:p>
        </w:tc>
        <w:tc>
          <w:tcPr>
            <w:tcW w:w="1032" w:type="dxa"/>
            <w:shd w:val="clear" w:color="auto" w:fill="auto"/>
            <w:vAlign w:val="center"/>
          </w:tcPr>
          <w:p w:rsidR="008A7EFB" w:rsidRPr="00FD1534" w:rsidRDefault="008A7EFB" w:rsidP="00FD1534">
            <w:pPr>
              <w:tabs>
                <w:tab w:val="right" w:pos="5670"/>
              </w:tabs>
              <w:spacing w:before="60" w:after="60"/>
              <w:jc w:val="left"/>
              <w:rPr>
                <w:sz w:val="14"/>
                <w:szCs w:val="14"/>
              </w:rPr>
            </w:pPr>
            <w:r w:rsidRPr="00FD1534">
              <w:rPr>
                <w:sz w:val="14"/>
                <w:szCs w:val="14"/>
              </w:rPr>
              <w:t>1</w:t>
            </w:r>
            <w:r w:rsidR="00414AE4" w:rsidRPr="00FD1534">
              <w:rPr>
                <w:sz w:val="14"/>
                <w:szCs w:val="14"/>
              </w:rPr>
              <w:t>4</w:t>
            </w:r>
            <w:r w:rsidRPr="00FD1534">
              <w:rPr>
                <w:sz w:val="14"/>
                <w:szCs w:val="14"/>
              </w:rPr>
              <w:t>/07/17</w:t>
            </w:r>
          </w:p>
        </w:tc>
        <w:tc>
          <w:tcPr>
            <w:tcW w:w="1130" w:type="dxa"/>
            <w:shd w:val="clear" w:color="auto" w:fill="auto"/>
            <w:vAlign w:val="center"/>
          </w:tcPr>
          <w:p w:rsidR="008A7EFB" w:rsidRPr="00FD1534" w:rsidRDefault="008A7EFB" w:rsidP="00FD1534">
            <w:pPr>
              <w:tabs>
                <w:tab w:val="right" w:pos="5670"/>
              </w:tabs>
              <w:spacing w:before="60" w:after="60"/>
              <w:jc w:val="left"/>
              <w:rPr>
                <w:sz w:val="14"/>
                <w:szCs w:val="14"/>
              </w:rPr>
            </w:pPr>
            <w:r w:rsidRPr="00FD1534">
              <w:rPr>
                <w:sz w:val="14"/>
                <w:szCs w:val="14"/>
              </w:rPr>
              <w:t>A. Kennelly &amp; J. Stevens (DMC)</w:t>
            </w:r>
          </w:p>
        </w:tc>
        <w:tc>
          <w:tcPr>
            <w:tcW w:w="953" w:type="dxa"/>
            <w:shd w:val="clear" w:color="auto" w:fill="auto"/>
            <w:vAlign w:val="center"/>
          </w:tcPr>
          <w:p w:rsidR="008A7EFB" w:rsidRPr="00FD1534" w:rsidRDefault="008A7EFB" w:rsidP="00FD1534">
            <w:pPr>
              <w:tabs>
                <w:tab w:val="right" w:pos="5670"/>
              </w:tabs>
              <w:spacing w:before="60" w:after="60"/>
              <w:jc w:val="left"/>
              <w:rPr>
                <w:sz w:val="14"/>
                <w:szCs w:val="14"/>
              </w:rPr>
            </w:pPr>
            <w:r w:rsidRPr="00FD1534">
              <w:rPr>
                <w:sz w:val="14"/>
                <w:szCs w:val="14"/>
              </w:rPr>
              <w:t>PCG</w:t>
            </w:r>
          </w:p>
        </w:tc>
        <w:tc>
          <w:tcPr>
            <w:tcW w:w="1037" w:type="dxa"/>
            <w:shd w:val="clear" w:color="auto" w:fill="auto"/>
            <w:vAlign w:val="center"/>
          </w:tcPr>
          <w:p w:rsidR="008A7EFB" w:rsidRPr="00FD1534" w:rsidRDefault="008A7EFB" w:rsidP="00FD1534">
            <w:pPr>
              <w:tabs>
                <w:tab w:val="right" w:pos="5670"/>
              </w:tabs>
              <w:spacing w:before="60" w:after="60"/>
              <w:jc w:val="left"/>
              <w:rPr>
                <w:sz w:val="14"/>
                <w:szCs w:val="14"/>
              </w:rPr>
            </w:pPr>
            <w:r w:rsidRPr="00FD1534">
              <w:rPr>
                <w:sz w:val="14"/>
                <w:szCs w:val="14"/>
              </w:rPr>
              <w:t>P. Mawson</w:t>
            </w:r>
          </w:p>
        </w:tc>
        <w:tc>
          <w:tcPr>
            <w:tcW w:w="1045" w:type="dxa"/>
            <w:shd w:val="clear" w:color="auto" w:fill="auto"/>
            <w:vAlign w:val="center"/>
          </w:tcPr>
          <w:p w:rsidR="008A7EFB" w:rsidRPr="00FD1534" w:rsidRDefault="008A7EFB" w:rsidP="00FD1534">
            <w:pPr>
              <w:tabs>
                <w:tab w:val="right" w:pos="5670"/>
              </w:tabs>
              <w:spacing w:before="60" w:after="60"/>
              <w:jc w:val="left"/>
              <w:rPr>
                <w:sz w:val="14"/>
                <w:szCs w:val="14"/>
              </w:rPr>
            </w:pPr>
            <w:r w:rsidRPr="00FD1534">
              <w:rPr>
                <w:sz w:val="14"/>
                <w:szCs w:val="14"/>
              </w:rPr>
              <w:t>A. Kennelly</w:t>
            </w:r>
          </w:p>
        </w:tc>
        <w:tc>
          <w:tcPr>
            <w:tcW w:w="1359" w:type="dxa"/>
            <w:shd w:val="clear" w:color="auto" w:fill="auto"/>
            <w:vAlign w:val="center"/>
          </w:tcPr>
          <w:p w:rsidR="008A7EFB" w:rsidRPr="00FD1534" w:rsidRDefault="008A7EFB" w:rsidP="00FD1534">
            <w:pPr>
              <w:tabs>
                <w:tab w:val="right" w:pos="5670"/>
              </w:tabs>
              <w:spacing w:before="60" w:after="60"/>
              <w:jc w:val="left"/>
              <w:rPr>
                <w:sz w:val="14"/>
                <w:szCs w:val="14"/>
              </w:rPr>
            </w:pPr>
            <w:r w:rsidRPr="00FD1534">
              <w:rPr>
                <w:sz w:val="14"/>
                <w:szCs w:val="14"/>
              </w:rPr>
              <w:t>T. Ellis, COGG</w:t>
            </w:r>
          </w:p>
        </w:tc>
        <w:tc>
          <w:tcPr>
            <w:tcW w:w="708" w:type="dxa"/>
            <w:shd w:val="clear" w:color="auto" w:fill="auto"/>
            <w:vAlign w:val="center"/>
          </w:tcPr>
          <w:p w:rsidR="008A7EFB" w:rsidRPr="00FD1534" w:rsidRDefault="008A7EFB" w:rsidP="00FD1534">
            <w:pPr>
              <w:tabs>
                <w:tab w:val="right" w:pos="5670"/>
              </w:tabs>
              <w:spacing w:before="60" w:after="60"/>
              <w:jc w:val="left"/>
              <w:rPr>
                <w:sz w:val="14"/>
                <w:szCs w:val="14"/>
              </w:rPr>
            </w:pPr>
            <w:r w:rsidRPr="00FD1534">
              <w:rPr>
                <w:sz w:val="14"/>
                <w:szCs w:val="14"/>
              </w:rPr>
              <w:t>1(e)</w:t>
            </w:r>
          </w:p>
        </w:tc>
      </w:tr>
      <w:tr w:rsidR="00AE197B" w:rsidRPr="00FD1534" w:rsidTr="00FD1534">
        <w:tc>
          <w:tcPr>
            <w:tcW w:w="1036" w:type="dxa"/>
            <w:shd w:val="clear" w:color="auto" w:fill="auto"/>
            <w:vAlign w:val="center"/>
          </w:tcPr>
          <w:p w:rsidR="00296042" w:rsidRPr="00FD1534" w:rsidRDefault="00296042" w:rsidP="00FD1534">
            <w:pPr>
              <w:pStyle w:val="TableText"/>
              <w:tabs>
                <w:tab w:val="right" w:pos="5670"/>
              </w:tabs>
              <w:jc w:val="left"/>
              <w:rPr>
                <w:sz w:val="14"/>
                <w:szCs w:val="14"/>
              </w:rPr>
            </w:pPr>
            <w:r w:rsidRPr="00FD1534">
              <w:rPr>
                <w:sz w:val="14"/>
                <w:szCs w:val="14"/>
              </w:rPr>
              <w:t>5.0</w:t>
            </w:r>
          </w:p>
        </w:tc>
        <w:tc>
          <w:tcPr>
            <w:tcW w:w="1046" w:type="dxa"/>
            <w:shd w:val="clear" w:color="auto" w:fill="auto"/>
            <w:vAlign w:val="center"/>
          </w:tcPr>
          <w:p w:rsidR="00296042" w:rsidRPr="00FD1534" w:rsidRDefault="00296042" w:rsidP="00FD1534">
            <w:pPr>
              <w:tabs>
                <w:tab w:val="right" w:pos="5670"/>
              </w:tabs>
              <w:spacing w:before="60" w:after="60"/>
              <w:jc w:val="left"/>
              <w:rPr>
                <w:sz w:val="14"/>
                <w:szCs w:val="14"/>
              </w:rPr>
            </w:pPr>
            <w:bookmarkStart w:id="0" w:name="_GoBack"/>
            <w:r w:rsidRPr="00FD1534">
              <w:rPr>
                <w:sz w:val="14"/>
                <w:szCs w:val="14"/>
              </w:rPr>
              <w:t>Draft</w:t>
            </w:r>
            <w:bookmarkEnd w:id="0"/>
          </w:p>
        </w:tc>
        <w:tc>
          <w:tcPr>
            <w:tcW w:w="1032" w:type="dxa"/>
            <w:shd w:val="clear" w:color="auto" w:fill="auto"/>
            <w:vAlign w:val="center"/>
          </w:tcPr>
          <w:p w:rsidR="00296042" w:rsidRPr="00FD1534" w:rsidRDefault="00296042" w:rsidP="00FD1534">
            <w:pPr>
              <w:tabs>
                <w:tab w:val="right" w:pos="5670"/>
              </w:tabs>
              <w:spacing w:before="60" w:after="60"/>
              <w:jc w:val="left"/>
              <w:rPr>
                <w:sz w:val="14"/>
                <w:szCs w:val="14"/>
              </w:rPr>
            </w:pPr>
            <w:r w:rsidRPr="00FD1534">
              <w:rPr>
                <w:sz w:val="14"/>
                <w:szCs w:val="14"/>
              </w:rPr>
              <w:t>27/07/17</w:t>
            </w:r>
          </w:p>
        </w:tc>
        <w:tc>
          <w:tcPr>
            <w:tcW w:w="1130" w:type="dxa"/>
            <w:shd w:val="clear" w:color="auto" w:fill="auto"/>
            <w:vAlign w:val="center"/>
          </w:tcPr>
          <w:p w:rsidR="00296042" w:rsidRPr="00FD1534" w:rsidRDefault="00296042" w:rsidP="00FD1534">
            <w:pPr>
              <w:tabs>
                <w:tab w:val="right" w:pos="5670"/>
              </w:tabs>
              <w:spacing w:before="60" w:after="60"/>
              <w:jc w:val="left"/>
              <w:rPr>
                <w:sz w:val="14"/>
                <w:szCs w:val="14"/>
              </w:rPr>
            </w:pPr>
            <w:r w:rsidRPr="00FD1534">
              <w:rPr>
                <w:sz w:val="14"/>
                <w:szCs w:val="14"/>
              </w:rPr>
              <w:t>A. Kennelly &amp; J. Stevens (DMC)</w:t>
            </w:r>
          </w:p>
        </w:tc>
        <w:tc>
          <w:tcPr>
            <w:tcW w:w="953" w:type="dxa"/>
            <w:shd w:val="clear" w:color="auto" w:fill="auto"/>
            <w:vAlign w:val="center"/>
          </w:tcPr>
          <w:p w:rsidR="00296042" w:rsidRPr="00FD1534" w:rsidRDefault="00296042" w:rsidP="00FD1534">
            <w:pPr>
              <w:tabs>
                <w:tab w:val="right" w:pos="5670"/>
              </w:tabs>
              <w:spacing w:before="60" w:after="60"/>
              <w:jc w:val="left"/>
              <w:rPr>
                <w:sz w:val="14"/>
                <w:szCs w:val="14"/>
              </w:rPr>
            </w:pPr>
            <w:r w:rsidRPr="00FD1534">
              <w:rPr>
                <w:sz w:val="14"/>
                <w:szCs w:val="14"/>
              </w:rPr>
              <w:t>PCG</w:t>
            </w:r>
          </w:p>
        </w:tc>
        <w:tc>
          <w:tcPr>
            <w:tcW w:w="1037" w:type="dxa"/>
            <w:shd w:val="clear" w:color="auto" w:fill="auto"/>
            <w:vAlign w:val="center"/>
          </w:tcPr>
          <w:p w:rsidR="00296042" w:rsidRPr="00FD1534" w:rsidRDefault="00296042" w:rsidP="00FD1534">
            <w:pPr>
              <w:tabs>
                <w:tab w:val="right" w:pos="5670"/>
              </w:tabs>
              <w:spacing w:before="60" w:after="60"/>
              <w:jc w:val="left"/>
              <w:rPr>
                <w:sz w:val="14"/>
                <w:szCs w:val="14"/>
              </w:rPr>
            </w:pPr>
            <w:r w:rsidRPr="00FD1534">
              <w:rPr>
                <w:sz w:val="14"/>
                <w:szCs w:val="14"/>
              </w:rPr>
              <w:t>P. Mawson</w:t>
            </w:r>
          </w:p>
        </w:tc>
        <w:tc>
          <w:tcPr>
            <w:tcW w:w="1045" w:type="dxa"/>
            <w:shd w:val="clear" w:color="auto" w:fill="auto"/>
            <w:vAlign w:val="center"/>
          </w:tcPr>
          <w:p w:rsidR="00296042" w:rsidRPr="00FD1534" w:rsidRDefault="00296042" w:rsidP="00FD1534">
            <w:pPr>
              <w:tabs>
                <w:tab w:val="right" w:pos="5670"/>
              </w:tabs>
              <w:spacing w:before="60" w:after="60"/>
              <w:jc w:val="left"/>
              <w:rPr>
                <w:sz w:val="14"/>
                <w:szCs w:val="14"/>
              </w:rPr>
            </w:pPr>
            <w:r w:rsidRPr="00FD1534">
              <w:rPr>
                <w:sz w:val="14"/>
                <w:szCs w:val="14"/>
              </w:rPr>
              <w:t>A. Kennelly</w:t>
            </w:r>
          </w:p>
        </w:tc>
        <w:tc>
          <w:tcPr>
            <w:tcW w:w="1359" w:type="dxa"/>
            <w:shd w:val="clear" w:color="auto" w:fill="auto"/>
            <w:vAlign w:val="center"/>
          </w:tcPr>
          <w:p w:rsidR="00296042" w:rsidRPr="00FD1534" w:rsidRDefault="00296042" w:rsidP="00FD1534">
            <w:pPr>
              <w:tabs>
                <w:tab w:val="right" w:pos="5670"/>
              </w:tabs>
              <w:spacing w:before="60" w:after="60"/>
              <w:jc w:val="left"/>
              <w:rPr>
                <w:sz w:val="14"/>
                <w:szCs w:val="14"/>
              </w:rPr>
            </w:pPr>
            <w:r w:rsidRPr="00FD1534">
              <w:rPr>
                <w:sz w:val="14"/>
                <w:szCs w:val="14"/>
              </w:rPr>
              <w:t>T. Ellis, COGG</w:t>
            </w:r>
          </w:p>
        </w:tc>
        <w:tc>
          <w:tcPr>
            <w:tcW w:w="708" w:type="dxa"/>
            <w:shd w:val="clear" w:color="auto" w:fill="auto"/>
            <w:vAlign w:val="center"/>
          </w:tcPr>
          <w:p w:rsidR="00296042" w:rsidRPr="00FD1534" w:rsidRDefault="00296042" w:rsidP="00FD1534">
            <w:pPr>
              <w:tabs>
                <w:tab w:val="right" w:pos="5670"/>
              </w:tabs>
              <w:spacing w:before="60" w:after="60"/>
              <w:jc w:val="left"/>
              <w:rPr>
                <w:sz w:val="14"/>
                <w:szCs w:val="14"/>
              </w:rPr>
            </w:pPr>
            <w:r w:rsidRPr="00FD1534">
              <w:rPr>
                <w:sz w:val="14"/>
                <w:szCs w:val="14"/>
              </w:rPr>
              <w:t>1(e)</w:t>
            </w:r>
          </w:p>
        </w:tc>
      </w:tr>
      <w:tr w:rsidR="00AE197B" w:rsidRPr="00FD1534" w:rsidTr="00FD1534">
        <w:tc>
          <w:tcPr>
            <w:tcW w:w="1036" w:type="dxa"/>
            <w:shd w:val="clear" w:color="auto" w:fill="auto"/>
            <w:vAlign w:val="center"/>
          </w:tcPr>
          <w:p w:rsidR="00296042" w:rsidRPr="00FD1534" w:rsidRDefault="00912CE6" w:rsidP="00FD1534">
            <w:pPr>
              <w:pStyle w:val="TableText"/>
              <w:tabs>
                <w:tab w:val="right" w:pos="5670"/>
              </w:tabs>
              <w:jc w:val="left"/>
              <w:rPr>
                <w:sz w:val="14"/>
                <w:szCs w:val="14"/>
              </w:rPr>
            </w:pPr>
            <w:r w:rsidRPr="00FD1534">
              <w:rPr>
                <w:sz w:val="14"/>
                <w:szCs w:val="14"/>
              </w:rPr>
              <w:t>6.0</w:t>
            </w:r>
          </w:p>
        </w:tc>
        <w:tc>
          <w:tcPr>
            <w:tcW w:w="1046" w:type="dxa"/>
            <w:shd w:val="clear" w:color="auto" w:fill="auto"/>
            <w:vAlign w:val="center"/>
          </w:tcPr>
          <w:p w:rsidR="00296042" w:rsidRPr="00FD1534" w:rsidRDefault="00912CE6" w:rsidP="00FD1534">
            <w:pPr>
              <w:tabs>
                <w:tab w:val="right" w:pos="5670"/>
              </w:tabs>
              <w:spacing w:before="60" w:after="60"/>
              <w:jc w:val="left"/>
              <w:rPr>
                <w:sz w:val="14"/>
                <w:szCs w:val="14"/>
              </w:rPr>
            </w:pPr>
            <w:r w:rsidRPr="00FD1534">
              <w:rPr>
                <w:sz w:val="14"/>
                <w:szCs w:val="14"/>
              </w:rPr>
              <w:t>FINAL</w:t>
            </w:r>
          </w:p>
        </w:tc>
        <w:tc>
          <w:tcPr>
            <w:tcW w:w="1032" w:type="dxa"/>
            <w:shd w:val="clear" w:color="auto" w:fill="auto"/>
            <w:vAlign w:val="center"/>
          </w:tcPr>
          <w:p w:rsidR="00296042" w:rsidRPr="00FD1534" w:rsidRDefault="00912CE6" w:rsidP="00FD1534">
            <w:pPr>
              <w:tabs>
                <w:tab w:val="right" w:pos="5670"/>
              </w:tabs>
              <w:spacing w:before="60" w:after="60"/>
              <w:jc w:val="left"/>
              <w:rPr>
                <w:sz w:val="14"/>
                <w:szCs w:val="14"/>
              </w:rPr>
            </w:pPr>
            <w:r w:rsidRPr="00FD1534">
              <w:rPr>
                <w:sz w:val="14"/>
                <w:szCs w:val="14"/>
              </w:rPr>
              <w:t>28/7/17</w:t>
            </w:r>
          </w:p>
        </w:tc>
        <w:tc>
          <w:tcPr>
            <w:tcW w:w="1130" w:type="dxa"/>
            <w:shd w:val="clear" w:color="auto" w:fill="auto"/>
            <w:vAlign w:val="center"/>
          </w:tcPr>
          <w:p w:rsidR="00296042" w:rsidRPr="00FD1534" w:rsidRDefault="00912CE6" w:rsidP="00FD1534">
            <w:pPr>
              <w:tabs>
                <w:tab w:val="right" w:pos="5670"/>
              </w:tabs>
              <w:spacing w:before="60" w:after="60"/>
              <w:jc w:val="left"/>
              <w:rPr>
                <w:sz w:val="14"/>
                <w:szCs w:val="14"/>
              </w:rPr>
            </w:pPr>
            <w:r w:rsidRPr="00FD1534">
              <w:rPr>
                <w:sz w:val="14"/>
                <w:szCs w:val="14"/>
              </w:rPr>
              <w:t>T. Ellis</w:t>
            </w:r>
          </w:p>
        </w:tc>
        <w:tc>
          <w:tcPr>
            <w:tcW w:w="953" w:type="dxa"/>
            <w:shd w:val="clear" w:color="auto" w:fill="auto"/>
            <w:vAlign w:val="center"/>
          </w:tcPr>
          <w:p w:rsidR="00296042" w:rsidRPr="00FD1534" w:rsidRDefault="00912CE6" w:rsidP="00FD1534">
            <w:pPr>
              <w:tabs>
                <w:tab w:val="right" w:pos="5670"/>
              </w:tabs>
              <w:spacing w:before="60" w:after="60"/>
              <w:jc w:val="left"/>
              <w:rPr>
                <w:sz w:val="14"/>
                <w:szCs w:val="14"/>
              </w:rPr>
            </w:pPr>
            <w:r w:rsidRPr="00FD1534">
              <w:rPr>
                <w:sz w:val="14"/>
                <w:szCs w:val="14"/>
              </w:rPr>
              <w:t>B. Luxford</w:t>
            </w:r>
          </w:p>
        </w:tc>
        <w:tc>
          <w:tcPr>
            <w:tcW w:w="1037" w:type="dxa"/>
            <w:shd w:val="clear" w:color="auto" w:fill="auto"/>
            <w:vAlign w:val="center"/>
          </w:tcPr>
          <w:p w:rsidR="00296042" w:rsidRPr="00FD1534" w:rsidRDefault="00912CE6" w:rsidP="00FD1534">
            <w:pPr>
              <w:tabs>
                <w:tab w:val="right" w:pos="5670"/>
              </w:tabs>
              <w:spacing w:before="60" w:after="60"/>
              <w:jc w:val="left"/>
              <w:rPr>
                <w:sz w:val="14"/>
                <w:szCs w:val="14"/>
              </w:rPr>
            </w:pPr>
            <w:r w:rsidRPr="00FD1534">
              <w:rPr>
                <w:sz w:val="14"/>
                <w:szCs w:val="14"/>
              </w:rPr>
              <w:t>T. Carmichael</w:t>
            </w:r>
          </w:p>
        </w:tc>
        <w:tc>
          <w:tcPr>
            <w:tcW w:w="1045" w:type="dxa"/>
            <w:shd w:val="clear" w:color="auto" w:fill="auto"/>
            <w:vAlign w:val="center"/>
          </w:tcPr>
          <w:p w:rsidR="00296042" w:rsidRPr="00FD1534" w:rsidRDefault="00912CE6" w:rsidP="00FD1534">
            <w:pPr>
              <w:tabs>
                <w:tab w:val="right" w:pos="5670"/>
              </w:tabs>
              <w:spacing w:before="60" w:after="60"/>
              <w:jc w:val="left"/>
              <w:rPr>
                <w:sz w:val="14"/>
                <w:szCs w:val="14"/>
              </w:rPr>
            </w:pPr>
            <w:r w:rsidRPr="00FD1534">
              <w:rPr>
                <w:sz w:val="14"/>
                <w:szCs w:val="14"/>
              </w:rPr>
              <w:t>B. Luxford</w:t>
            </w:r>
          </w:p>
        </w:tc>
        <w:tc>
          <w:tcPr>
            <w:tcW w:w="1359" w:type="dxa"/>
            <w:shd w:val="clear" w:color="auto" w:fill="auto"/>
            <w:vAlign w:val="center"/>
          </w:tcPr>
          <w:p w:rsidR="00296042" w:rsidRPr="00FD1534" w:rsidRDefault="00912CE6" w:rsidP="00FD1534">
            <w:pPr>
              <w:tabs>
                <w:tab w:val="right" w:pos="5670"/>
              </w:tabs>
              <w:spacing w:before="60" w:after="60"/>
              <w:jc w:val="left"/>
              <w:rPr>
                <w:sz w:val="14"/>
                <w:szCs w:val="14"/>
              </w:rPr>
            </w:pPr>
            <w:r w:rsidRPr="00FD1534">
              <w:rPr>
                <w:sz w:val="14"/>
                <w:szCs w:val="14"/>
              </w:rPr>
              <w:t>T. Ellis, COGG</w:t>
            </w:r>
          </w:p>
        </w:tc>
        <w:tc>
          <w:tcPr>
            <w:tcW w:w="708" w:type="dxa"/>
            <w:shd w:val="clear" w:color="auto" w:fill="auto"/>
            <w:vAlign w:val="center"/>
          </w:tcPr>
          <w:p w:rsidR="00296042" w:rsidRPr="00FD1534" w:rsidRDefault="00912CE6" w:rsidP="00FD1534">
            <w:pPr>
              <w:tabs>
                <w:tab w:val="right" w:pos="5670"/>
              </w:tabs>
              <w:spacing w:before="60" w:after="60"/>
              <w:jc w:val="left"/>
              <w:rPr>
                <w:sz w:val="14"/>
                <w:szCs w:val="14"/>
              </w:rPr>
            </w:pPr>
            <w:r w:rsidRPr="00FD1534">
              <w:rPr>
                <w:sz w:val="14"/>
                <w:szCs w:val="14"/>
              </w:rPr>
              <w:t>1 (e)</w:t>
            </w:r>
          </w:p>
        </w:tc>
      </w:tr>
    </w:tbl>
    <w:p w:rsidR="00A02BA0" w:rsidRDefault="00A02BA0" w:rsidP="00C61336">
      <w:pPr>
        <w:rPr>
          <w:sz w:val="24"/>
          <w:szCs w:val="24"/>
        </w:rPr>
      </w:pPr>
      <w:r w:rsidRPr="007474F2">
        <w:rPr>
          <w:rFonts w:cs="Arial"/>
          <w:sz w:val="14"/>
        </w:rPr>
        <w:t>Note: (e) after number of copies indicates electronic distribution</w:t>
      </w:r>
    </w:p>
    <w:p w:rsidR="00A02BA0" w:rsidRDefault="00A02BA0" w:rsidP="00C61336">
      <w:pPr>
        <w:pStyle w:val="Heading1"/>
        <w:ind w:left="0"/>
        <w:sectPr w:rsidR="00A02BA0" w:rsidSect="00C61336">
          <w:headerReference w:type="even" r:id="rId17"/>
          <w:headerReference w:type="default" r:id="rId18"/>
          <w:footerReference w:type="default" r:id="rId19"/>
          <w:headerReference w:type="first" r:id="rId20"/>
          <w:footnotePr>
            <w:numStart w:val="27"/>
            <w:numRestart w:val="eachSect"/>
          </w:footnotePr>
          <w:pgSz w:w="11906" w:h="16838" w:code="9"/>
          <w:pgMar w:top="1701" w:right="1274" w:bottom="1247" w:left="1276" w:header="510" w:footer="284" w:gutter="0"/>
          <w:cols w:space="227"/>
          <w:docGrid w:linePitch="360"/>
        </w:sectPr>
      </w:pPr>
    </w:p>
    <w:p w:rsidR="006079F6" w:rsidRPr="00AD7761" w:rsidRDefault="006079F6" w:rsidP="006079F6">
      <w:pPr>
        <w:pStyle w:val="TOCHeading"/>
      </w:pPr>
      <w:r w:rsidRPr="00AD7761">
        <w:lastRenderedPageBreak/>
        <w:t>Contents</w:t>
      </w:r>
    </w:p>
    <w:p w:rsidR="00076FC2" w:rsidRPr="00FD1534" w:rsidRDefault="006079F6">
      <w:pPr>
        <w:pStyle w:val="TOC1"/>
        <w:rPr>
          <w:rFonts w:eastAsia="MS Mincho"/>
          <w:b w:val="0"/>
          <w:bCs w:val="0"/>
          <w:color w:val="auto"/>
          <w:lang w:val="en-GB" w:eastAsia="en-GB"/>
        </w:rPr>
      </w:pPr>
      <w:r>
        <w:fldChar w:fldCharType="begin"/>
      </w:r>
      <w:r>
        <w:instrText xml:space="preserve"> TOC \o "1-2" \t "App Heading,1,ExecSum Heading,1" </w:instrText>
      </w:r>
      <w:r>
        <w:fldChar w:fldCharType="separate"/>
      </w:r>
      <w:r w:rsidR="00076FC2">
        <w:t>1</w:t>
      </w:r>
      <w:r w:rsidR="00076FC2" w:rsidRPr="00FD1534">
        <w:rPr>
          <w:rFonts w:eastAsia="MS Mincho"/>
          <w:b w:val="0"/>
          <w:bCs w:val="0"/>
          <w:color w:val="auto"/>
          <w:lang w:val="en-GB" w:eastAsia="en-GB"/>
        </w:rPr>
        <w:tab/>
      </w:r>
      <w:r w:rsidR="00076FC2">
        <w:t>Why agribusiness?</w:t>
      </w:r>
      <w:r w:rsidR="00076FC2">
        <w:tab/>
      </w:r>
      <w:r w:rsidR="00076FC2">
        <w:fldChar w:fldCharType="begin"/>
      </w:r>
      <w:r w:rsidR="00076FC2">
        <w:instrText xml:space="preserve"> PAGEREF _Toc487757675 \h </w:instrText>
      </w:r>
      <w:r w:rsidR="00076FC2">
        <w:fldChar w:fldCharType="separate"/>
      </w:r>
      <w:r w:rsidR="00790F89">
        <w:t>1</w:t>
      </w:r>
      <w:r w:rsidR="00076FC2">
        <w:fldChar w:fldCharType="end"/>
      </w:r>
    </w:p>
    <w:p w:rsidR="00076FC2" w:rsidRPr="00FD1534" w:rsidRDefault="00076FC2">
      <w:pPr>
        <w:pStyle w:val="TOC2"/>
        <w:rPr>
          <w:rFonts w:eastAsia="MS Mincho"/>
          <w:sz w:val="24"/>
          <w:szCs w:val="24"/>
          <w:lang w:val="en-GB" w:eastAsia="en-GB"/>
        </w:rPr>
      </w:pPr>
      <w:r>
        <w:t>1.1</w:t>
      </w:r>
      <w:r w:rsidRPr="00FD1534">
        <w:rPr>
          <w:rFonts w:eastAsia="MS Mincho"/>
          <w:sz w:val="24"/>
          <w:szCs w:val="24"/>
          <w:lang w:val="en-GB" w:eastAsia="en-GB"/>
        </w:rPr>
        <w:tab/>
      </w:r>
      <w:r>
        <w:t>A proud history</w:t>
      </w:r>
      <w:r>
        <w:tab/>
      </w:r>
      <w:r>
        <w:fldChar w:fldCharType="begin"/>
      </w:r>
      <w:r>
        <w:instrText xml:space="preserve"> PAGEREF _Toc487757676 \h </w:instrText>
      </w:r>
      <w:r>
        <w:fldChar w:fldCharType="separate"/>
      </w:r>
      <w:r w:rsidR="00790F89">
        <w:t>1</w:t>
      </w:r>
      <w:r>
        <w:fldChar w:fldCharType="end"/>
      </w:r>
    </w:p>
    <w:p w:rsidR="00076FC2" w:rsidRPr="00FD1534" w:rsidRDefault="00076FC2">
      <w:pPr>
        <w:pStyle w:val="TOC2"/>
        <w:rPr>
          <w:rFonts w:eastAsia="MS Mincho"/>
          <w:sz w:val="24"/>
          <w:szCs w:val="24"/>
          <w:lang w:val="en-GB" w:eastAsia="en-GB"/>
        </w:rPr>
      </w:pPr>
      <w:r>
        <w:t>1.2</w:t>
      </w:r>
      <w:r w:rsidRPr="00FD1534">
        <w:rPr>
          <w:rFonts w:eastAsia="MS Mincho"/>
          <w:sz w:val="24"/>
          <w:szCs w:val="24"/>
          <w:lang w:val="en-GB" w:eastAsia="en-GB"/>
        </w:rPr>
        <w:tab/>
      </w:r>
      <w:r>
        <w:t>Facilitating growth</w:t>
      </w:r>
      <w:r>
        <w:tab/>
      </w:r>
      <w:r>
        <w:fldChar w:fldCharType="begin"/>
      </w:r>
      <w:r>
        <w:instrText xml:space="preserve"> PAGEREF _Toc487757677 \h </w:instrText>
      </w:r>
      <w:r>
        <w:fldChar w:fldCharType="separate"/>
      </w:r>
      <w:r w:rsidR="00790F89">
        <w:t>1</w:t>
      </w:r>
      <w:r>
        <w:fldChar w:fldCharType="end"/>
      </w:r>
    </w:p>
    <w:p w:rsidR="00076FC2" w:rsidRPr="00FD1534" w:rsidRDefault="00076FC2">
      <w:pPr>
        <w:pStyle w:val="TOC2"/>
        <w:rPr>
          <w:rFonts w:eastAsia="MS Mincho"/>
          <w:sz w:val="24"/>
          <w:szCs w:val="24"/>
          <w:lang w:val="en-GB" w:eastAsia="en-GB"/>
        </w:rPr>
      </w:pPr>
      <w:r>
        <w:t>1.3</w:t>
      </w:r>
      <w:r w:rsidRPr="00FD1534">
        <w:rPr>
          <w:rFonts w:eastAsia="MS Mincho"/>
          <w:sz w:val="24"/>
          <w:szCs w:val="24"/>
          <w:lang w:val="en-GB" w:eastAsia="en-GB"/>
        </w:rPr>
        <w:tab/>
      </w:r>
      <w:r>
        <w:t>What is agribusiness?</w:t>
      </w:r>
      <w:r>
        <w:tab/>
      </w:r>
      <w:r>
        <w:fldChar w:fldCharType="begin"/>
      </w:r>
      <w:r>
        <w:instrText xml:space="preserve"> PAGEREF _Toc487757678 \h </w:instrText>
      </w:r>
      <w:r>
        <w:fldChar w:fldCharType="separate"/>
      </w:r>
      <w:r w:rsidR="00790F89">
        <w:t>1</w:t>
      </w:r>
      <w:r>
        <w:fldChar w:fldCharType="end"/>
      </w:r>
    </w:p>
    <w:p w:rsidR="00076FC2" w:rsidRPr="00FD1534" w:rsidRDefault="00076FC2">
      <w:pPr>
        <w:pStyle w:val="TOC1"/>
        <w:rPr>
          <w:rFonts w:eastAsia="MS Mincho"/>
          <w:b w:val="0"/>
          <w:bCs w:val="0"/>
          <w:color w:val="auto"/>
          <w:lang w:val="en-GB" w:eastAsia="en-GB"/>
        </w:rPr>
      </w:pPr>
      <w:r>
        <w:t>2</w:t>
      </w:r>
      <w:r w:rsidRPr="00FD1534">
        <w:rPr>
          <w:rFonts w:eastAsia="MS Mincho"/>
          <w:b w:val="0"/>
          <w:bCs w:val="0"/>
          <w:color w:val="auto"/>
          <w:lang w:val="en-GB" w:eastAsia="en-GB"/>
        </w:rPr>
        <w:tab/>
      </w:r>
      <w:r>
        <w:t>A significant industry in G21</w:t>
      </w:r>
      <w:r>
        <w:tab/>
      </w:r>
      <w:r>
        <w:fldChar w:fldCharType="begin"/>
      </w:r>
      <w:r>
        <w:instrText xml:space="preserve"> PAGEREF _Toc487757679 \h </w:instrText>
      </w:r>
      <w:r>
        <w:fldChar w:fldCharType="separate"/>
      </w:r>
      <w:r w:rsidR="00790F89">
        <w:t>2</w:t>
      </w:r>
      <w:r>
        <w:fldChar w:fldCharType="end"/>
      </w:r>
    </w:p>
    <w:p w:rsidR="00076FC2" w:rsidRPr="00FD1534" w:rsidRDefault="00076FC2">
      <w:pPr>
        <w:pStyle w:val="TOC2"/>
        <w:rPr>
          <w:rFonts w:eastAsia="MS Mincho"/>
          <w:sz w:val="24"/>
          <w:szCs w:val="24"/>
          <w:lang w:val="en-GB" w:eastAsia="en-GB"/>
        </w:rPr>
      </w:pPr>
      <w:r>
        <w:t>2.1</w:t>
      </w:r>
      <w:r w:rsidRPr="00FD1534">
        <w:rPr>
          <w:rFonts w:eastAsia="MS Mincho"/>
          <w:sz w:val="24"/>
          <w:szCs w:val="24"/>
          <w:lang w:val="en-GB" w:eastAsia="en-GB"/>
        </w:rPr>
        <w:tab/>
      </w:r>
      <w:r>
        <w:t>A billion-dollar industry</w:t>
      </w:r>
      <w:r>
        <w:tab/>
      </w:r>
      <w:r>
        <w:fldChar w:fldCharType="begin"/>
      </w:r>
      <w:r>
        <w:instrText xml:space="preserve"> PAGEREF _Toc487757680 \h </w:instrText>
      </w:r>
      <w:r>
        <w:fldChar w:fldCharType="separate"/>
      </w:r>
      <w:r w:rsidR="00790F89">
        <w:t>2</w:t>
      </w:r>
      <w:r>
        <w:fldChar w:fldCharType="end"/>
      </w:r>
    </w:p>
    <w:p w:rsidR="00076FC2" w:rsidRPr="00FD1534" w:rsidRDefault="00076FC2">
      <w:pPr>
        <w:pStyle w:val="TOC2"/>
        <w:rPr>
          <w:rFonts w:eastAsia="MS Mincho"/>
          <w:sz w:val="24"/>
          <w:szCs w:val="24"/>
          <w:lang w:val="en-GB" w:eastAsia="en-GB"/>
        </w:rPr>
      </w:pPr>
      <w:r>
        <w:t>2.2</w:t>
      </w:r>
      <w:r w:rsidRPr="00FD1534">
        <w:rPr>
          <w:rFonts w:eastAsia="MS Mincho"/>
          <w:sz w:val="24"/>
          <w:szCs w:val="24"/>
          <w:lang w:val="en-GB" w:eastAsia="en-GB"/>
        </w:rPr>
        <w:tab/>
      </w:r>
      <w:r>
        <w:t>A diverse industry</w:t>
      </w:r>
      <w:r>
        <w:tab/>
      </w:r>
      <w:r>
        <w:fldChar w:fldCharType="begin"/>
      </w:r>
      <w:r>
        <w:instrText xml:space="preserve"> PAGEREF _Toc487757681 \h </w:instrText>
      </w:r>
      <w:r>
        <w:fldChar w:fldCharType="separate"/>
      </w:r>
      <w:r w:rsidR="00790F89">
        <w:t>2</w:t>
      </w:r>
      <w:r>
        <w:fldChar w:fldCharType="end"/>
      </w:r>
    </w:p>
    <w:p w:rsidR="00076FC2" w:rsidRPr="00FD1534" w:rsidRDefault="00076FC2">
      <w:pPr>
        <w:pStyle w:val="TOC2"/>
        <w:rPr>
          <w:rFonts w:eastAsia="MS Mincho"/>
          <w:sz w:val="24"/>
          <w:szCs w:val="24"/>
          <w:lang w:val="en-GB" w:eastAsia="en-GB"/>
        </w:rPr>
      </w:pPr>
      <w:r>
        <w:t>2.3</w:t>
      </w:r>
      <w:r w:rsidRPr="00FD1534">
        <w:rPr>
          <w:rFonts w:eastAsia="MS Mincho"/>
          <w:sz w:val="24"/>
          <w:szCs w:val="24"/>
          <w:lang w:val="en-GB" w:eastAsia="en-GB"/>
        </w:rPr>
        <w:tab/>
      </w:r>
      <w:r>
        <w:t>An urban based processing industry</w:t>
      </w:r>
      <w:r>
        <w:tab/>
      </w:r>
      <w:r>
        <w:fldChar w:fldCharType="begin"/>
      </w:r>
      <w:r>
        <w:instrText xml:space="preserve"> PAGEREF _Toc487757682 \h </w:instrText>
      </w:r>
      <w:r>
        <w:fldChar w:fldCharType="separate"/>
      </w:r>
      <w:r w:rsidR="00790F89">
        <w:t>2</w:t>
      </w:r>
      <w:r>
        <w:fldChar w:fldCharType="end"/>
      </w:r>
    </w:p>
    <w:p w:rsidR="00076FC2" w:rsidRPr="00FD1534" w:rsidRDefault="00076FC2">
      <w:pPr>
        <w:pStyle w:val="TOC1"/>
        <w:rPr>
          <w:rFonts w:eastAsia="MS Mincho"/>
          <w:b w:val="0"/>
          <w:bCs w:val="0"/>
          <w:color w:val="auto"/>
          <w:lang w:val="en-GB" w:eastAsia="en-GB"/>
        </w:rPr>
      </w:pPr>
      <w:r>
        <w:t>3</w:t>
      </w:r>
      <w:r w:rsidRPr="00FD1534">
        <w:rPr>
          <w:rFonts w:eastAsia="MS Mincho"/>
          <w:b w:val="0"/>
          <w:bCs w:val="0"/>
          <w:color w:val="auto"/>
          <w:lang w:val="en-GB" w:eastAsia="en-GB"/>
        </w:rPr>
        <w:tab/>
      </w:r>
      <w:r>
        <w:t>A diverse and changing landscape</w:t>
      </w:r>
      <w:r>
        <w:tab/>
      </w:r>
      <w:r>
        <w:fldChar w:fldCharType="begin"/>
      </w:r>
      <w:r>
        <w:instrText xml:space="preserve"> PAGEREF _Toc487757683 \h </w:instrText>
      </w:r>
      <w:r>
        <w:fldChar w:fldCharType="separate"/>
      </w:r>
      <w:r w:rsidR="00790F89">
        <w:t>3</w:t>
      </w:r>
      <w:r>
        <w:fldChar w:fldCharType="end"/>
      </w:r>
    </w:p>
    <w:p w:rsidR="00076FC2" w:rsidRPr="00FD1534" w:rsidRDefault="00076FC2">
      <w:pPr>
        <w:pStyle w:val="TOC2"/>
        <w:rPr>
          <w:rFonts w:eastAsia="MS Mincho"/>
          <w:sz w:val="24"/>
          <w:szCs w:val="24"/>
          <w:lang w:val="en-GB" w:eastAsia="en-GB"/>
        </w:rPr>
      </w:pPr>
      <w:r>
        <w:t>3.1</w:t>
      </w:r>
      <w:r w:rsidRPr="00FD1534">
        <w:rPr>
          <w:rFonts w:eastAsia="MS Mincho"/>
          <w:sz w:val="24"/>
          <w:szCs w:val="24"/>
          <w:lang w:val="en-GB" w:eastAsia="en-GB"/>
        </w:rPr>
        <w:tab/>
      </w:r>
      <w:r>
        <w:t>A wide divergence in farm scale</w:t>
      </w:r>
      <w:r>
        <w:tab/>
      </w:r>
      <w:r>
        <w:fldChar w:fldCharType="begin"/>
      </w:r>
      <w:r>
        <w:instrText xml:space="preserve"> PAGEREF _Toc487757684 \h </w:instrText>
      </w:r>
      <w:r>
        <w:fldChar w:fldCharType="separate"/>
      </w:r>
      <w:r w:rsidR="00790F89">
        <w:t>3</w:t>
      </w:r>
      <w:r>
        <w:fldChar w:fldCharType="end"/>
      </w:r>
    </w:p>
    <w:p w:rsidR="00076FC2" w:rsidRPr="00FD1534" w:rsidRDefault="00076FC2">
      <w:pPr>
        <w:pStyle w:val="TOC2"/>
        <w:rPr>
          <w:rFonts w:eastAsia="MS Mincho"/>
          <w:sz w:val="24"/>
          <w:szCs w:val="24"/>
          <w:lang w:val="en-GB" w:eastAsia="en-GB"/>
        </w:rPr>
      </w:pPr>
      <w:r>
        <w:t>3.2</w:t>
      </w:r>
      <w:r w:rsidRPr="00FD1534">
        <w:rPr>
          <w:rFonts w:eastAsia="MS Mincho"/>
          <w:sz w:val="24"/>
          <w:szCs w:val="24"/>
          <w:lang w:val="en-GB" w:eastAsia="en-GB"/>
        </w:rPr>
        <w:tab/>
      </w:r>
      <w:r>
        <w:t>The divergence is growing</w:t>
      </w:r>
      <w:r>
        <w:tab/>
      </w:r>
      <w:r>
        <w:fldChar w:fldCharType="begin"/>
      </w:r>
      <w:r>
        <w:instrText xml:space="preserve"> PAGEREF _Toc487757685 \h </w:instrText>
      </w:r>
      <w:r>
        <w:fldChar w:fldCharType="separate"/>
      </w:r>
      <w:r w:rsidR="00790F89">
        <w:t>3</w:t>
      </w:r>
      <w:r>
        <w:fldChar w:fldCharType="end"/>
      </w:r>
    </w:p>
    <w:p w:rsidR="00076FC2" w:rsidRPr="00FD1534" w:rsidRDefault="00076FC2">
      <w:pPr>
        <w:pStyle w:val="TOC2"/>
        <w:rPr>
          <w:rFonts w:eastAsia="MS Mincho"/>
          <w:sz w:val="24"/>
          <w:szCs w:val="24"/>
          <w:lang w:val="en-GB" w:eastAsia="en-GB"/>
        </w:rPr>
      </w:pPr>
      <w:r>
        <w:t>3.3</w:t>
      </w:r>
      <w:r w:rsidRPr="00FD1534">
        <w:rPr>
          <w:rFonts w:eastAsia="MS Mincho"/>
          <w:sz w:val="24"/>
          <w:szCs w:val="24"/>
          <w:lang w:val="en-GB" w:eastAsia="en-GB"/>
        </w:rPr>
        <w:tab/>
      </w:r>
      <w:r>
        <w:t>Their enterprises differ too</w:t>
      </w:r>
      <w:r>
        <w:tab/>
      </w:r>
      <w:r>
        <w:fldChar w:fldCharType="begin"/>
      </w:r>
      <w:r>
        <w:instrText xml:space="preserve"> PAGEREF _Toc487757686 \h </w:instrText>
      </w:r>
      <w:r>
        <w:fldChar w:fldCharType="separate"/>
      </w:r>
      <w:r w:rsidR="00790F89">
        <w:t>3</w:t>
      </w:r>
      <w:r>
        <w:fldChar w:fldCharType="end"/>
      </w:r>
    </w:p>
    <w:p w:rsidR="00076FC2" w:rsidRPr="00FD1534" w:rsidRDefault="00076FC2">
      <w:pPr>
        <w:pStyle w:val="TOC1"/>
        <w:rPr>
          <w:rFonts w:eastAsia="MS Mincho"/>
          <w:b w:val="0"/>
          <w:bCs w:val="0"/>
          <w:color w:val="auto"/>
          <w:lang w:val="en-GB" w:eastAsia="en-GB"/>
        </w:rPr>
      </w:pPr>
      <w:r>
        <w:t>4</w:t>
      </w:r>
      <w:r w:rsidRPr="00FD1534">
        <w:rPr>
          <w:rFonts w:eastAsia="MS Mincho"/>
          <w:b w:val="0"/>
          <w:bCs w:val="0"/>
          <w:color w:val="auto"/>
          <w:lang w:val="en-GB" w:eastAsia="en-GB"/>
        </w:rPr>
        <w:tab/>
      </w:r>
      <w:r>
        <w:t>A few key trends</w:t>
      </w:r>
      <w:r>
        <w:tab/>
      </w:r>
      <w:r>
        <w:fldChar w:fldCharType="begin"/>
      </w:r>
      <w:r>
        <w:instrText xml:space="preserve"> PAGEREF _Toc487757687 \h </w:instrText>
      </w:r>
      <w:r>
        <w:fldChar w:fldCharType="separate"/>
      </w:r>
      <w:r w:rsidR="00790F89">
        <w:t>4</w:t>
      </w:r>
      <w:r>
        <w:fldChar w:fldCharType="end"/>
      </w:r>
    </w:p>
    <w:p w:rsidR="00076FC2" w:rsidRPr="00FD1534" w:rsidRDefault="00076FC2">
      <w:pPr>
        <w:pStyle w:val="TOC1"/>
        <w:rPr>
          <w:rFonts w:eastAsia="MS Mincho"/>
          <w:b w:val="0"/>
          <w:bCs w:val="0"/>
          <w:color w:val="auto"/>
          <w:lang w:val="en-GB" w:eastAsia="en-GB"/>
        </w:rPr>
      </w:pPr>
      <w:r>
        <w:t>5</w:t>
      </w:r>
      <w:r w:rsidRPr="00FD1534">
        <w:rPr>
          <w:rFonts w:eastAsia="MS Mincho"/>
          <w:b w:val="0"/>
          <w:bCs w:val="0"/>
          <w:color w:val="auto"/>
          <w:lang w:val="en-GB" w:eastAsia="en-GB"/>
        </w:rPr>
        <w:tab/>
      </w:r>
      <w:r>
        <w:t>Implications for the future</w:t>
      </w:r>
      <w:r>
        <w:tab/>
      </w:r>
      <w:r>
        <w:fldChar w:fldCharType="begin"/>
      </w:r>
      <w:r>
        <w:instrText xml:space="preserve"> PAGEREF _Toc487757688 \h </w:instrText>
      </w:r>
      <w:r>
        <w:fldChar w:fldCharType="separate"/>
      </w:r>
      <w:r w:rsidR="00790F89">
        <w:t>4</w:t>
      </w:r>
      <w:r>
        <w:fldChar w:fldCharType="end"/>
      </w:r>
    </w:p>
    <w:p w:rsidR="00076FC2" w:rsidRPr="00FD1534" w:rsidRDefault="00076FC2">
      <w:pPr>
        <w:pStyle w:val="TOC2"/>
        <w:rPr>
          <w:rFonts w:eastAsia="MS Mincho"/>
          <w:sz w:val="24"/>
          <w:szCs w:val="24"/>
          <w:lang w:val="en-GB" w:eastAsia="en-GB"/>
        </w:rPr>
      </w:pPr>
      <w:r>
        <w:t>5.1</w:t>
      </w:r>
      <w:r w:rsidRPr="00FD1534">
        <w:rPr>
          <w:rFonts w:eastAsia="MS Mincho"/>
          <w:sz w:val="24"/>
          <w:szCs w:val="24"/>
          <w:lang w:val="en-GB" w:eastAsia="en-GB"/>
        </w:rPr>
        <w:tab/>
      </w:r>
      <w:r>
        <w:t>What our industry looks like</w:t>
      </w:r>
      <w:r>
        <w:tab/>
      </w:r>
      <w:r>
        <w:fldChar w:fldCharType="begin"/>
      </w:r>
      <w:r>
        <w:instrText xml:space="preserve"> PAGEREF _Toc487757689 \h </w:instrText>
      </w:r>
      <w:r>
        <w:fldChar w:fldCharType="separate"/>
      </w:r>
      <w:r w:rsidR="00790F89">
        <w:t>4</w:t>
      </w:r>
      <w:r>
        <w:fldChar w:fldCharType="end"/>
      </w:r>
    </w:p>
    <w:p w:rsidR="00076FC2" w:rsidRPr="00FD1534" w:rsidRDefault="00076FC2">
      <w:pPr>
        <w:pStyle w:val="TOC2"/>
        <w:rPr>
          <w:rFonts w:eastAsia="MS Mincho"/>
          <w:sz w:val="24"/>
          <w:szCs w:val="24"/>
          <w:lang w:val="en-GB" w:eastAsia="en-GB"/>
        </w:rPr>
      </w:pPr>
      <w:r>
        <w:t>5.2</w:t>
      </w:r>
      <w:r w:rsidRPr="00FD1534">
        <w:rPr>
          <w:rFonts w:eastAsia="MS Mincho"/>
          <w:sz w:val="24"/>
          <w:szCs w:val="24"/>
          <w:lang w:val="en-GB" w:eastAsia="en-GB"/>
        </w:rPr>
        <w:tab/>
      </w:r>
      <w:r>
        <w:t>SWOT analysis</w:t>
      </w:r>
      <w:r>
        <w:tab/>
      </w:r>
      <w:r>
        <w:fldChar w:fldCharType="begin"/>
      </w:r>
      <w:r>
        <w:instrText xml:space="preserve"> PAGEREF _Toc487757690 \h </w:instrText>
      </w:r>
      <w:r>
        <w:fldChar w:fldCharType="separate"/>
      </w:r>
      <w:r w:rsidR="00790F89">
        <w:t>5</w:t>
      </w:r>
      <w:r>
        <w:fldChar w:fldCharType="end"/>
      </w:r>
    </w:p>
    <w:p w:rsidR="00076FC2" w:rsidRPr="00FD1534" w:rsidRDefault="00076FC2">
      <w:pPr>
        <w:pStyle w:val="TOC1"/>
        <w:rPr>
          <w:rFonts w:eastAsia="MS Mincho"/>
          <w:b w:val="0"/>
          <w:bCs w:val="0"/>
          <w:color w:val="auto"/>
          <w:lang w:val="en-GB" w:eastAsia="en-GB"/>
        </w:rPr>
      </w:pPr>
      <w:r>
        <w:t>6</w:t>
      </w:r>
      <w:r w:rsidRPr="00FD1534">
        <w:rPr>
          <w:rFonts w:eastAsia="MS Mincho"/>
          <w:b w:val="0"/>
          <w:bCs w:val="0"/>
          <w:color w:val="auto"/>
          <w:lang w:val="en-GB" w:eastAsia="en-GB"/>
        </w:rPr>
        <w:tab/>
      </w:r>
      <w:r>
        <w:t>Strategic framework</w:t>
      </w:r>
      <w:r>
        <w:tab/>
      </w:r>
      <w:r>
        <w:fldChar w:fldCharType="begin"/>
      </w:r>
      <w:r>
        <w:instrText xml:space="preserve"> PAGEREF _Toc487757691 \h </w:instrText>
      </w:r>
      <w:r>
        <w:fldChar w:fldCharType="separate"/>
      </w:r>
      <w:r w:rsidR="00790F89">
        <w:t>6</w:t>
      </w:r>
      <w:r>
        <w:fldChar w:fldCharType="end"/>
      </w:r>
    </w:p>
    <w:p w:rsidR="00076FC2" w:rsidRPr="00FD1534" w:rsidRDefault="00076FC2">
      <w:pPr>
        <w:pStyle w:val="TOC2"/>
        <w:rPr>
          <w:rFonts w:eastAsia="MS Mincho"/>
          <w:sz w:val="24"/>
          <w:szCs w:val="24"/>
          <w:lang w:val="en-GB" w:eastAsia="en-GB"/>
        </w:rPr>
      </w:pPr>
      <w:r>
        <w:t>6.1</w:t>
      </w:r>
      <w:r w:rsidRPr="00FD1534">
        <w:rPr>
          <w:rFonts w:eastAsia="MS Mincho"/>
          <w:sz w:val="24"/>
          <w:szCs w:val="24"/>
          <w:lang w:val="en-GB" w:eastAsia="en-GB"/>
        </w:rPr>
        <w:tab/>
      </w:r>
      <w:r>
        <w:t>A focus on collaboration</w:t>
      </w:r>
      <w:r>
        <w:tab/>
      </w:r>
      <w:r>
        <w:fldChar w:fldCharType="begin"/>
      </w:r>
      <w:r>
        <w:instrText xml:space="preserve"> PAGEREF _Toc487757692 \h </w:instrText>
      </w:r>
      <w:r>
        <w:fldChar w:fldCharType="separate"/>
      </w:r>
      <w:r w:rsidR="00790F89">
        <w:t>6</w:t>
      </w:r>
      <w:r>
        <w:fldChar w:fldCharType="end"/>
      </w:r>
    </w:p>
    <w:p w:rsidR="00076FC2" w:rsidRPr="00FD1534" w:rsidRDefault="00076FC2">
      <w:pPr>
        <w:pStyle w:val="TOC2"/>
        <w:rPr>
          <w:rFonts w:eastAsia="MS Mincho"/>
          <w:sz w:val="24"/>
          <w:szCs w:val="24"/>
          <w:lang w:val="en-GB" w:eastAsia="en-GB"/>
        </w:rPr>
      </w:pPr>
      <w:r>
        <w:t>6.2</w:t>
      </w:r>
      <w:r w:rsidRPr="00FD1534">
        <w:rPr>
          <w:rFonts w:eastAsia="MS Mincho"/>
          <w:sz w:val="24"/>
          <w:szCs w:val="24"/>
          <w:lang w:val="en-GB" w:eastAsia="en-GB"/>
        </w:rPr>
        <w:tab/>
      </w:r>
      <w:r>
        <w:t>Strategic priorities and goals</w:t>
      </w:r>
      <w:r>
        <w:tab/>
      </w:r>
      <w:r>
        <w:fldChar w:fldCharType="begin"/>
      </w:r>
      <w:r>
        <w:instrText xml:space="preserve"> PAGEREF _Toc487757693 \h </w:instrText>
      </w:r>
      <w:r>
        <w:fldChar w:fldCharType="separate"/>
      </w:r>
      <w:r w:rsidR="00790F89">
        <w:t>6</w:t>
      </w:r>
      <w:r>
        <w:fldChar w:fldCharType="end"/>
      </w:r>
    </w:p>
    <w:p w:rsidR="00076FC2" w:rsidRPr="00FD1534" w:rsidRDefault="00076FC2">
      <w:pPr>
        <w:pStyle w:val="TOC2"/>
        <w:rPr>
          <w:rFonts w:eastAsia="MS Mincho"/>
          <w:sz w:val="24"/>
          <w:szCs w:val="24"/>
          <w:lang w:val="en-GB" w:eastAsia="en-GB"/>
        </w:rPr>
      </w:pPr>
      <w:r>
        <w:t>6.3</w:t>
      </w:r>
      <w:r w:rsidRPr="00FD1534">
        <w:rPr>
          <w:rFonts w:eastAsia="MS Mincho"/>
          <w:sz w:val="24"/>
          <w:szCs w:val="24"/>
          <w:lang w:val="en-GB" w:eastAsia="en-GB"/>
        </w:rPr>
        <w:tab/>
      </w:r>
      <w:r>
        <w:t>Priority 1 – Grow our markets</w:t>
      </w:r>
      <w:r>
        <w:tab/>
      </w:r>
      <w:r>
        <w:fldChar w:fldCharType="begin"/>
      </w:r>
      <w:r>
        <w:instrText xml:space="preserve"> PAGEREF _Toc487757694 \h </w:instrText>
      </w:r>
      <w:r>
        <w:fldChar w:fldCharType="separate"/>
      </w:r>
      <w:r w:rsidR="00790F89">
        <w:t>7</w:t>
      </w:r>
      <w:r>
        <w:fldChar w:fldCharType="end"/>
      </w:r>
    </w:p>
    <w:p w:rsidR="00076FC2" w:rsidRPr="00FD1534" w:rsidRDefault="00076FC2">
      <w:pPr>
        <w:pStyle w:val="TOC2"/>
        <w:rPr>
          <w:rFonts w:eastAsia="MS Mincho"/>
          <w:sz w:val="24"/>
          <w:szCs w:val="24"/>
          <w:lang w:val="en-GB" w:eastAsia="en-GB"/>
        </w:rPr>
      </w:pPr>
      <w:r>
        <w:t>6.4</w:t>
      </w:r>
      <w:r w:rsidRPr="00FD1534">
        <w:rPr>
          <w:rFonts w:eastAsia="MS Mincho"/>
          <w:sz w:val="24"/>
          <w:szCs w:val="24"/>
          <w:lang w:val="en-GB" w:eastAsia="en-GB"/>
        </w:rPr>
        <w:tab/>
      </w:r>
      <w:r>
        <w:t>Priority 2 – Develop our people and their businesses</w:t>
      </w:r>
      <w:r>
        <w:tab/>
      </w:r>
      <w:r>
        <w:fldChar w:fldCharType="begin"/>
      </w:r>
      <w:r>
        <w:instrText xml:space="preserve"> PAGEREF _Toc487757695 \h </w:instrText>
      </w:r>
      <w:r>
        <w:fldChar w:fldCharType="separate"/>
      </w:r>
      <w:r w:rsidR="00790F89">
        <w:t>8</w:t>
      </w:r>
      <w:r>
        <w:fldChar w:fldCharType="end"/>
      </w:r>
    </w:p>
    <w:p w:rsidR="00076FC2" w:rsidRPr="00FD1534" w:rsidRDefault="00076FC2">
      <w:pPr>
        <w:pStyle w:val="TOC2"/>
        <w:rPr>
          <w:rFonts w:eastAsia="MS Mincho"/>
          <w:sz w:val="24"/>
          <w:szCs w:val="24"/>
          <w:lang w:val="en-GB" w:eastAsia="en-GB"/>
        </w:rPr>
      </w:pPr>
      <w:r>
        <w:t>6.5</w:t>
      </w:r>
      <w:r w:rsidRPr="00FD1534">
        <w:rPr>
          <w:rFonts w:eastAsia="MS Mincho"/>
          <w:sz w:val="24"/>
          <w:szCs w:val="24"/>
          <w:lang w:val="en-GB" w:eastAsia="en-GB"/>
        </w:rPr>
        <w:tab/>
      </w:r>
      <w:r>
        <w:t>Priority 3 – Encourage innovation and collaboration</w:t>
      </w:r>
      <w:r>
        <w:tab/>
      </w:r>
      <w:r>
        <w:fldChar w:fldCharType="begin"/>
      </w:r>
      <w:r>
        <w:instrText xml:space="preserve"> PAGEREF _Toc487757696 \h </w:instrText>
      </w:r>
      <w:r>
        <w:fldChar w:fldCharType="separate"/>
      </w:r>
      <w:r w:rsidR="00790F89">
        <w:t>9</w:t>
      </w:r>
      <w:r>
        <w:fldChar w:fldCharType="end"/>
      </w:r>
    </w:p>
    <w:p w:rsidR="00076FC2" w:rsidRPr="00FD1534" w:rsidRDefault="00076FC2">
      <w:pPr>
        <w:pStyle w:val="TOC2"/>
        <w:rPr>
          <w:rFonts w:eastAsia="MS Mincho"/>
          <w:sz w:val="24"/>
          <w:szCs w:val="24"/>
          <w:lang w:val="en-GB" w:eastAsia="en-GB"/>
        </w:rPr>
      </w:pPr>
      <w:r>
        <w:t>6.6</w:t>
      </w:r>
      <w:r w:rsidRPr="00FD1534">
        <w:rPr>
          <w:rFonts w:eastAsia="MS Mincho"/>
          <w:sz w:val="24"/>
          <w:szCs w:val="24"/>
          <w:lang w:val="en-GB" w:eastAsia="en-GB"/>
        </w:rPr>
        <w:tab/>
      </w:r>
      <w:r>
        <w:t>Priority 4 – Build enabling infrastructure</w:t>
      </w:r>
      <w:r>
        <w:tab/>
      </w:r>
      <w:r>
        <w:fldChar w:fldCharType="begin"/>
      </w:r>
      <w:r>
        <w:instrText xml:space="preserve"> PAGEREF _Toc487757697 \h </w:instrText>
      </w:r>
      <w:r>
        <w:fldChar w:fldCharType="separate"/>
      </w:r>
      <w:r w:rsidR="00790F89">
        <w:t>10</w:t>
      </w:r>
      <w:r>
        <w:fldChar w:fldCharType="end"/>
      </w:r>
    </w:p>
    <w:p w:rsidR="00076FC2" w:rsidRPr="00FD1534" w:rsidRDefault="00076FC2">
      <w:pPr>
        <w:pStyle w:val="TOC2"/>
        <w:rPr>
          <w:rFonts w:eastAsia="MS Mincho"/>
          <w:sz w:val="24"/>
          <w:szCs w:val="24"/>
          <w:lang w:val="en-GB" w:eastAsia="en-GB"/>
        </w:rPr>
      </w:pPr>
      <w:r>
        <w:t>6.7</w:t>
      </w:r>
      <w:r w:rsidRPr="00FD1534">
        <w:rPr>
          <w:rFonts w:eastAsia="MS Mincho"/>
          <w:sz w:val="24"/>
          <w:szCs w:val="24"/>
          <w:lang w:val="en-GB" w:eastAsia="en-GB"/>
        </w:rPr>
        <w:tab/>
      </w:r>
      <w:r>
        <w:t>Priority 5 – Implement the Strategy</w:t>
      </w:r>
      <w:r>
        <w:tab/>
      </w:r>
      <w:r>
        <w:fldChar w:fldCharType="begin"/>
      </w:r>
      <w:r>
        <w:instrText xml:space="preserve"> PAGEREF _Toc487757698 \h </w:instrText>
      </w:r>
      <w:r>
        <w:fldChar w:fldCharType="separate"/>
      </w:r>
      <w:r w:rsidR="00790F89">
        <w:t>12</w:t>
      </w:r>
      <w:r>
        <w:fldChar w:fldCharType="end"/>
      </w:r>
    </w:p>
    <w:p w:rsidR="00076FC2" w:rsidRPr="00FD1534" w:rsidRDefault="00076FC2">
      <w:pPr>
        <w:pStyle w:val="TOC1"/>
        <w:rPr>
          <w:rFonts w:eastAsia="MS Mincho"/>
          <w:b w:val="0"/>
          <w:bCs w:val="0"/>
          <w:color w:val="auto"/>
          <w:lang w:val="en-GB" w:eastAsia="en-GB"/>
        </w:rPr>
      </w:pPr>
      <w:r>
        <w:t>7</w:t>
      </w:r>
      <w:r w:rsidRPr="00FD1534">
        <w:rPr>
          <w:rFonts w:eastAsia="MS Mincho"/>
          <w:b w:val="0"/>
          <w:bCs w:val="0"/>
          <w:color w:val="auto"/>
          <w:lang w:val="en-GB" w:eastAsia="en-GB"/>
        </w:rPr>
        <w:tab/>
      </w:r>
      <w:r>
        <w:t>References</w:t>
      </w:r>
      <w:r>
        <w:tab/>
      </w:r>
      <w:r>
        <w:fldChar w:fldCharType="begin"/>
      </w:r>
      <w:r>
        <w:instrText xml:space="preserve"> PAGEREF _Toc487757699 \h </w:instrText>
      </w:r>
      <w:r>
        <w:fldChar w:fldCharType="separate"/>
      </w:r>
      <w:r w:rsidR="00790F89">
        <w:t>13</w:t>
      </w:r>
      <w:r>
        <w:fldChar w:fldCharType="end"/>
      </w:r>
    </w:p>
    <w:p w:rsidR="00076FC2" w:rsidRPr="00FD1534" w:rsidRDefault="00076FC2">
      <w:pPr>
        <w:pStyle w:val="TOC1"/>
        <w:rPr>
          <w:rFonts w:eastAsia="MS Mincho"/>
          <w:b w:val="0"/>
          <w:bCs w:val="0"/>
          <w:color w:val="auto"/>
          <w:lang w:val="en-GB" w:eastAsia="en-GB"/>
        </w:rPr>
      </w:pPr>
      <w:r>
        <w:t>8</w:t>
      </w:r>
      <w:r w:rsidRPr="00FD1534">
        <w:rPr>
          <w:rFonts w:eastAsia="MS Mincho"/>
          <w:b w:val="0"/>
          <w:bCs w:val="0"/>
          <w:color w:val="auto"/>
          <w:lang w:val="en-GB" w:eastAsia="en-GB"/>
        </w:rPr>
        <w:tab/>
      </w:r>
      <w:r>
        <w:t>Consultation list</w:t>
      </w:r>
      <w:r>
        <w:tab/>
      </w:r>
      <w:r>
        <w:fldChar w:fldCharType="begin"/>
      </w:r>
      <w:r>
        <w:instrText xml:space="preserve"> PAGEREF _Toc487757700 \h </w:instrText>
      </w:r>
      <w:r>
        <w:fldChar w:fldCharType="separate"/>
      </w:r>
      <w:r w:rsidR="00790F89">
        <w:t>14</w:t>
      </w:r>
      <w:r>
        <w:fldChar w:fldCharType="end"/>
      </w:r>
    </w:p>
    <w:p w:rsidR="006079F6" w:rsidRPr="006079F6" w:rsidRDefault="006079F6" w:rsidP="005A2DD2">
      <w:pPr>
        <w:pStyle w:val="TOC1"/>
        <w:sectPr w:rsidR="006079F6" w:rsidRPr="006079F6" w:rsidSect="00A02BA0">
          <w:headerReference w:type="even" r:id="rId21"/>
          <w:headerReference w:type="default" r:id="rId22"/>
          <w:footerReference w:type="default" r:id="rId23"/>
          <w:headerReference w:type="first" r:id="rId24"/>
          <w:footnotePr>
            <w:numStart w:val="27"/>
            <w:numRestart w:val="eachSect"/>
          </w:footnotePr>
          <w:pgSz w:w="11906" w:h="16838" w:code="9"/>
          <w:pgMar w:top="1616" w:right="1274" w:bottom="1247" w:left="1276" w:header="510" w:footer="284" w:gutter="0"/>
          <w:cols w:space="227"/>
          <w:docGrid w:linePitch="360"/>
        </w:sectPr>
      </w:pPr>
      <w:r>
        <w:fldChar w:fldCharType="end"/>
      </w:r>
    </w:p>
    <w:p w:rsidR="00F918D5" w:rsidRDefault="00B038C5" w:rsidP="00524602">
      <w:pPr>
        <w:pStyle w:val="Heading1"/>
        <w:tabs>
          <w:tab w:val="clear" w:pos="737"/>
          <w:tab w:val="num" w:pos="851"/>
        </w:tabs>
        <w:ind w:left="851" w:hanging="851"/>
      </w:pPr>
      <w:bookmarkStart w:id="1" w:name="_Toc487757675"/>
      <w:r>
        <w:lastRenderedPageBreak/>
        <w:t>Why agribusiness?</w:t>
      </w:r>
      <w:bookmarkEnd w:id="1"/>
    </w:p>
    <w:p w:rsidR="004223FB" w:rsidRDefault="00A64D48" w:rsidP="00524602">
      <w:pPr>
        <w:pStyle w:val="Heading2"/>
        <w:tabs>
          <w:tab w:val="clear" w:pos="737"/>
          <w:tab w:val="num" w:pos="851"/>
        </w:tabs>
        <w:ind w:left="851" w:hanging="851"/>
      </w:pPr>
      <w:bookmarkStart w:id="2" w:name="_Toc487757676"/>
      <w:r>
        <w:t>A proud history</w:t>
      </w:r>
      <w:bookmarkEnd w:id="2"/>
    </w:p>
    <w:p w:rsidR="004223FB" w:rsidRDefault="001B03E0" w:rsidP="004223FB">
      <w:pPr>
        <w:pStyle w:val="BodyText"/>
      </w:pPr>
      <w:r>
        <w:t xml:space="preserve">The G21 Region has a proud history in agribusiness.  The wool stores on the </w:t>
      </w:r>
      <w:r w:rsidR="00A64D48">
        <w:t xml:space="preserve">Geelong </w:t>
      </w:r>
      <w:r>
        <w:t xml:space="preserve">waterfront </w:t>
      </w:r>
      <w:r w:rsidR="00A64D48">
        <w:t>are a reminder of Geelong’s pre-eminent role in a previous era when Australia “</w:t>
      </w:r>
      <w:r w:rsidR="00A64D48" w:rsidRPr="00A64D48">
        <w:rPr>
          <w:i/>
        </w:rPr>
        <w:t>rode on the sheep’s back</w:t>
      </w:r>
      <w:r w:rsidR="00A64D48">
        <w:t>”.</w:t>
      </w:r>
      <w:r>
        <w:t xml:space="preserve"> </w:t>
      </w:r>
      <w:r w:rsidR="00A64D48">
        <w:t xml:space="preserve"> The fact that these buildings now house a modern and internationally recognised university is evidence of the profound changes that have occurred in our regional economy since that time.</w:t>
      </w:r>
    </w:p>
    <w:p w:rsidR="00A64D48" w:rsidRDefault="00A64D48" w:rsidP="004223FB">
      <w:pPr>
        <w:pStyle w:val="BodyText"/>
      </w:pPr>
      <w:r>
        <w:t xml:space="preserve">Like Geelong and its waterfront, agribusiness in our region has changed enormously since the wool stores were active.  The region now boasts a huge diversity of production; including grain, beef, lamb, wool, dairy, chicken, pork, viticulture, floriculture and other horticultural products; and a thriving transport and logistics sector, food processing sector, farm inputs sector, </w:t>
      </w:r>
      <w:r w:rsidR="007613D9">
        <w:t>agritourism</w:t>
      </w:r>
      <w:r>
        <w:t xml:space="preserve"> sector, and research, education and service sector.  These “</w:t>
      </w:r>
      <w:r w:rsidRPr="001B0230">
        <w:rPr>
          <w:i/>
        </w:rPr>
        <w:t>post farm-gate</w:t>
      </w:r>
      <w:r>
        <w:t>” sectors not only service the regional agricultural production sector, but also the agricultural production sector of a large part of south eastern Australia.</w:t>
      </w:r>
    </w:p>
    <w:p w:rsidR="00496F56" w:rsidRDefault="00496F56" w:rsidP="004223FB">
      <w:pPr>
        <w:pStyle w:val="BodyText"/>
      </w:pPr>
      <w:r>
        <w:t>The diversity of the industry and the breadth and depth of its sectors is one of its key strengths.  A rapidly growing population and a large visitor economy means that our regional landscape is changing and so is our industry.  These changes present a unique set of opportunities and challenges</w:t>
      </w:r>
      <w:r w:rsidR="00220E31">
        <w:t xml:space="preserve"> for the future, which we want to harness and utilise to facilitate growth of the industry.</w:t>
      </w:r>
      <w:r>
        <w:t xml:space="preserve"> </w:t>
      </w:r>
    </w:p>
    <w:p w:rsidR="004223FB" w:rsidRDefault="00220E31" w:rsidP="00524602">
      <w:pPr>
        <w:pStyle w:val="Heading2"/>
        <w:tabs>
          <w:tab w:val="clear" w:pos="737"/>
          <w:tab w:val="num" w:pos="851"/>
        </w:tabs>
        <w:ind w:left="851" w:hanging="851"/>
      </w:pPr>
      <w:bookmarkStart w:id="3" w:name="_Toc487757677"/>
      <w:r>
        <w:t>Facilitating growth</w:t>
      </w:r>
      <w:bookmarkEnd w:id="3"/>
    </w:p>
    <w:p w:rsidR="00665E7C" w:rsidRDefault="00665E7C" w:rsidP="00665E7C">
      <w:pPr>
        <w:pStyle w:val="BodyText"/>
      </w:pPr>
      <w:r w:rsidRPr="00D271DB">
        <w:t>The purpose of the strategy is to provide a framework that will guide both government and private sector investment decisions on how best to assist ongoing growth and development of the agribusiness sector.</w:t>
      </w:r>
    </w:p>
    <w:p w:rsidR="00665E7C" w:rsidRPr="00D271DB" w:rsidRDefault="00665E7C" w:rsidP="00665E7C">
      <w:pPr>
        <w:pStyle w:val="BodyText"/>
      </w:pPr>
      <w:r>
        <w:t>Thus, the strategy is designed to facilitate growth.  Growth in output, income, value-add, exports and local sales.  A growing industry will add vitality to our region and provide new and exciting jobs for our community.</w:t>
      </w:r>
    </w:p>
    <w:p w:rsidR="004223FB" w:rsidRDefault="004223FB" w:rsidP="00524602">
      <w:pPr>
        <w:pStyle w:val="Heading2"/>
        <w:tabs>
          <w:tab w:val="clear" w:pos="737"/>
          <w:tab w:val="num" w:pos="851"/>
        </w:tabs>
        <w:ind w:left="851" w:hanging="851"/>
      </w:pPr>
      <w:bookmarkStart w:id="4" w:name="_Toc487757678"/>
      <w:r>
        <w:t>What is agribusiness</w:t>
      </w:r>
      <w:r w:rsidR="00D04B7B">
        <w:t>?</w:t>
      </w:r>
      <w:bookmarkEnd w:id="4"/>
    </w:p>
    <w:p w:rsidR="00665E7C" w:rsidRDefault="00665E7C" w:rsidP="00665E7C">
      <w:pPr>
        <w:pStyle w:val="BodyNormal"/>
      </w:pPr>
      <w:r>
        <w:t>Agribusiness is more than just farming.  Farming is one step in a supply chain that includes:</w:t>
      </w:r>
    </w:p>
    <w:p w:rsidR="00665E7C" w:rsidRPr="0081770B" w:rsidRDefault="00665E7C" w:rsidP="00665E7C">
      <w:pPr>
        <w:pStyle w:val="ListBullet"/>
        <w:tabs>
          <w:tab w:val="clear" w:pos="425"/>
        </w:tabs>
        <w:ind w:left="357" w:hanging="357"/>
        <w:rPr>
          <w:lang w:val="en-US"/>
        </w:rPr>
      </w:pPr>
      <w:r>
        <w:t xml:space="preserve">The </w:t>
      </w:r>
      <w:r w:rsidRPr="0081770B">
        <w:rPr>
          <w:b/>
        </w:rPr>
        <w:t>inputs</w:t>
      </w:r>
      <w:r>
        <w:t xml:space="preserve"> into agriculture, such as </w:t>
      </w:r>
      <w:r w:rsidRPr="00F76B0A">
        <w:t>agronomists, chemical suppliers, ma</w:t>
      </w:r>
      <w:r>
        <w:t>chinery companies and transport to name just a few</w:t>
      </w:r>
      <w:r w:rsidR="00524602">
        <w:t>.</w:t>
      </w:r>
    </w:p>
    <w:p w:rsidR="00665E7C" w:rsidRDefault="00665E7C" w:rsidP="00665E7C">
      <w:pPr>
        <w:pStyle w:val="ListBullet"/>
        <w:tabs>
          <w:tab w:val="clear" w:pos="425"/>
        </w:tabs>
        <w:ind w:left="357" w:hanging="357"/>
      </w:pPr>
      <w:r>
        <w:rPr>
          <w:b/>
        </w:rPr>
        <w:t xml:space="preserve">Primary production, </w:t>
      </w:r>
      <w:r>
        <w:t>or farming, i</w:t>
      </w:r>
      <w:r w:rsidR="002B0650">
        <w:t>ncluding forestry</w:t>
      </w:r>
      <w:r w:rsidR="00F73CFA">
        <w:t>, aquaculture</w:t>
      </w:r>
      <w:r w:rsidR="002B0650">
        <w:t xml:space="preserve"> and fisheries</w:t>
      </w:r>
      <w:r w:rsidR="00524602">
        <w:t>.</w:t>
      </w:r>
    </w:p>
    <w:p w:rsidR="00665E7C" w:rsidRPr="007370AB" w:rsidRDefault="00665E7C" w:rsidP="00665E7C">
      <w:pPr>
        <w:pStyle w:val="ListBullet"/>
        <w:tabs>
          <w:tab w:val="clear" w:pos="425"/>
        </w:tabs>
        <w:ind w:left="357" w:hanging="357"/>
        <w:rPr>
          <w:lang w:val="en-GB"/>
        </w:rPr>
      </w:pPr>
      <w:r w:rsidRPr="001237ED">
        <w:rPr>
          <w:b/>
        </w:rPr>
        <w:t>Manufacturing</w:t>
      </w:r>
      <w:r>
        <w:t xml:space="preserve"> activities that process the primary products, such as </w:t>
      </w:r>
      <w:r w:rsidRPr="00F76B0A">
        <w:t>abat</w:t>
      </w:r>
      <w:r>
        <w:t>t</w:t>
      </w:r>
      <w:r w:rsidRPr="00F76B0A">
        <w:t>oirs, milk factories, wine</w:t>
      </w:r>
      <w:r>
        <w:t>ries</w:t>
      </w:r>
      <w:r w:rsidRPr="00F76B0A">
        <w:t>,</w:t>
      </w:r>
      <w:r>
        <w:t xml:space="preserve"> food manufacturers</w:t>
      </w:r>
      <w:r w:rsidRPr="00F76B0A">
        <w:t xml:space="preserve"> </w:t>
      </w:r>
      <w:r>
        <w:t xml:space="preserve">and </w:t>
      </w:r>
      <w:r w:rsidRPr="00F76B0A">
        <w:t>sawmill</w:t>
      </w:r>
      <w:r w:rsidR="002B0650">
        <w:t>s</w:t>
      </w:r>
      <w:r w:rsidR="00524602">
        <w:t>.</w:t>
      </w:r>
    </w:p>
    <w:p w:rsidR="00665E7C" w:rsidRPr="00184770" w:rsidRDefault="00665E7C" w:rsidP="00665E7C">
      <w:pPr>
        <w:pStyle w:val="ListBullet"/>
        <w:tabs>
          <w:tab w:val="clear" w:pos="425"/>
        </w:tabs>
        <w:ind w:left="357" w:hanging="357"/>
        <w:rPr>
          <w:lang w:val="en-GB"/>
        </w:rPr>
      </w:pPr>
      <w:r w:rsidRPr="001237ED">
        <w:rPr>
          <w:b/>
        </w:rPr>
        <w:t>Wholesaling</w:t>
      </w:r>
      <w:r>
        <w:t xml:space="preserve"> the primary, or processed products</w:t>
      </w:r>
      <w:r w:rsidR="00184770">
        <w:t xml:space="preserve">, such as </w:t>
      </w:r>
      <w:r>
        <w:t>grain storage and export through the Port of Geelong.</w:t>
      </w:r>
    </w:p>
    <w:p w:rsidR="00184770" w:rsidRPr="00184770" w:rsidRDefault="00184770" w:rsidP="00184770">
      <w:pPr>
        <w:pStyle w:val="BodyNormal"/>
      </w:pPr>
      <w:r>
        <w:t xml:space="preserve">Agribusiness is also a significant contributor to our </w:t>
      </w:r>
      <w:r w:rsidRPr="00041DF0">
        <w:rPr>
          <w:b/>
        </w:rPr>
        <w:t>visitor economy</w:t>
      </w:r>
      <w:r>
        <w:t>, with our rural landscapes, wineries, harvest trails, farmers’ markets and small scale food producers contributing enormously to the attraction of the region to our large number of domestic and international visitors.</w:t>
      </w:r>
    </w:p>
    <w:p w:rsidR="004223FB" w:rsidRPr="004223FB" w:rsidRDefault="004223FB" w:rsidP="004223FB">
      <w:pPr>
        <w:pStyle w:val="BodyText"/>
      </w:pPr>
    </w:p>
    <w:p w:rsidR="006E1BC3" w:rsidRDefault="00B038C5" w:rsidP="00524602">
      <w:pPr>
        <w:pStyle w:val="Heading1"/>
        <w:tabs>
          <w:tab w:val="clear" w:pos="737"/>
          <w:tab w:val="num" w:pos="851"/>
        </w:tabs>
        <w:ind w:left="851" w:hanging="851"/>
      </w:pPr>
      <w:bookmarkStart w:id="5" w:name="_Toc487757679"/>
      <w:bookmarkStart w:id="6" w:name="_Toc256770476"/>
      <w:bookmarkStart w:id="7" w:name="_Toc329349269"/>
      <w:bookmarkStart w:id="8" w:name="_Toc331851922"/>
      <w:bookmarkStart w:id="9" w:name="_Ref478075949"/>
      <w:bookmarkStart w:id="10" w:name="_Ref478075978"/>
      <w:bookmarkStart w:id="11" w:name="_Ref478076001"/>
      <w:bookmarkStart w:id="12" w:name="_Ref478076025"/>
      <w:r>
        <w:lastRenderedPageBreak/>
        <w:t>A significant industry in G21</w:t>
      </w:r>
      <w:bookmarkEnd w:id="5"/>
    </w:p>
    <w:p w:rsidR="00DA6DFF" w:rsidRDefault="00754BA1" w:rsidP="00524602">
      <w:pPr>
        <w:pStyle w:val="Heading2"/>
        <w:tabs>
          <w:tab w:val="clear" w:pos="737"/>
          <w:tab w:val="num" w:pos="851"/>
        </w:tabs>
        <w:ind w:left="851" w:hanging="851"/>
      </w:pPr>
      <w:bookmarkStart w:id="13" w:name="_Toc487757680"/>
      <w:r>
        <w:t>A billion-dollar industry</w:t>
      </w:r>
      <w:bookmarkEnd w:id="13"/>
    </w:p>
    <w:p w:rsidR="00704974" w:rsidRDefault="00704974" w:rsidP="00C84CDA">
      <w:pPr>
        <w:pStyle w:val="BodyText"/>
        <w:sectPr w:rsidR="00704974" w:rsidSect="00BA5175">
          <w:headerReference w:type="even" r:id="rId25"/>
          <w:footerReference w:type="default" r:id="rId26"/>
          <w:headerReference w:type="first" r:id="rId27"/>
          <w:footnotePr>
            <w:numRestart w:val="eachSect"/>
          </w:footnotePr>
          <w:type w:val="continuous"/>
          <w:pgSz w:w="11906" w:h="16838" w:code="9"/>
          <w:pgMar w:top="1383" w:right="1274" w:bottom="1247" w:left="1276" w:header="510" w:footer="284" w:gutter="0"/>
          <w:pgNumType w:start="1"/>
          <w:cols w:space="227"/>
          <w:docGrid w:linePitch="360"/>
        </w:sectPr>
      </w:pPr>
    </w:p>
    <w:p w:rsidR="00354677" w:rsidRDefault="00754BA1" w:rsidP="00C84CDA">
      <w:pPr>
        <w:pStyle w:val="BodyText"/>
      </w:pPr>
      <w:r>
        <w:t xml:space="preserve">Agribusiness in the G21 Region </w:t>
      </w:r>
      <w:r w:rsidR="00225EC7">
        <w:t xml:space="preserve">produces $1,091 million of value-add and </w:t>
      </w:r>
      <w:r w:rsidR="00F33F4F">
        <w:t xml:space="preserve">directly </w:t>
      </w:r>
      <w:r w:rsidR="00225EC7">
        <w:t xml:space="preserve">employs 8,600 people across the supply chain.  $753 million of this value-add and 5,800 of the jobs are </w:t>
      </w:r>
      <w:r w:rsidR="00EE1F8F">
        <w:t xml:space="preserve">generated beyond the farm-gate.  </w:t>
      </w:r>
      <w:r w:rsidR="00AB66D2">
        <w:t xml:space="preserve">Thus, agribusiness in the G21 region is dominated (approx. 70%) by businesses that </w:t>
      </w:r>
      <w:r w:rsidR="00225EC7">
        <w:t>support, process</w:t>
      </w:r>
      <w:r w:rsidR="00AB66D2">
        <w:t xml:space="preserve"> </w:t>
      </w:r>
      <w:r w:rsidR="00225EC7">
        <w:t>or wholesale farm production</w:t>
      </w:r>
      <w:r w:rsidR="00AB66D2">
        <w:t xml:space="preserve"> from both within the region and from right across south-eastern Australia.</w:t>
      </w:r>
      <w:r w:rsidR="00F33F4F">
        <w:t xml:space="preserve">  This does not include its contribution to the visitor economy and other service sectors, e.g. finance and insurance.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985"/>
        <w:gridCol w:w="1134"/>
        <w:gridCol w:w="1134"/>
      </w:tblGrid>
      <w:tr w:rsidR="00AE197B" w:rsidRPr="00FD1534" w:rsidTr="00FD1534">
        <w:tc>
          <w:tcPr>
            <w:tcW w:w="1985" w:type="dxa"/>
            <w:shd w:val="clear" w:color="auto" w:fill="213144"/>
            <w:vAlign w:val="center"/>
          </w:tcPr>
          <w:p w:rsidR="00BF0B43" w:rsidRPr="00FD1534" w:rsidRDefault="00BF0B43" w:rsidP="00BF0B43">
            <w:pPr>
              <w:pStyle w:val="TableHeading"/>
              <w:rPr>
                <w:b/>
                <w:sz w:val="18"/>
                <w:szCs w:val="18"/>
              </w:rPr>
            </w:pPr>
            <w:r w:rsidRPr="00FD1534">
              <w:rPr>
                <w:b/>
                <w:sz w:val="18"/>
                <w:szCs w:val="18"/>
              </w:rPr>
              <w:t>Sector</w:t>
            </w:r>
          </w:p>
        </w:tc>
        <w:tc>
          <w:tcPr>
            <w:tcW w:w="1134" w:type="dxa"/>
            <w:shd w:val="clear" w:color="auto" w:fill="213144"/>
            <w:vAlign w:val="center"/>
          </w:tcPr>
          <w:p w:rsidR="00BF0B43" w:rsidRPr="00FD1534" w:rsidRDefault="00BF0B43" w:rsidP="00FD1534">
            <w:pPr>
              <w:pStyle w:val="TableHeading"/>
              <w:jc w:val="right"/>
              <w:rPr>
                <w:b/>
                <w:sz w:val="18"/>
                <w:szCs w:val="18"/>
              </w:rPr>
            </w:pPr>
            <w:r w:rsidRPr="00FD1534">
              <w:rPr>
                <w:b/>
                <w:sz w:val="18"/>
                <w:szCs w:val="18"/>
              </w:rPr>
              <w:t>Value-add</w:t>
            </w:r>
          </w:p>
        </w:tc>
        <w:tc>
          <w:tcPr>
            <w:tcW w:w="1134" w:type="dxa"/>
            <w:shd w:val="clear" w:color="auto" w:fill="213144"/>
            <w:vAlign w:val="center"/>
          </w:tcPr>
          <w:p w:rsidR="00BF0B43" w:rsidRPr="00FD1534" w:rsidRDefault="00BF0B43" w:rsidP="00FD1534">
            <w:pPr>
              <w:pStyle w:val="TableHeading"/>
              <w:jc w:val="right"/>
              <w:rPr>
                <w:b/>
                <w:sz w:val="18"/>
                <w:szCs w:val="18"/>
              </w:rPr>
            </w:pPr>
            <w:r w:rsidRPr="00FD1534">
              <w:rPr>
                <w:b/>
                <w:sz w:val="18"/>
                <w:szCs w:val="18"/>
              </w:rPr>
              <w:t>Jobs</w:t>
            </w:r>
          </w:p>
        </w:tc>
      </w:tr>
      <w:tr w:rsidR="00AE197B" w:rsidRPr="00FD1534" w:rsidTr="00FD1534">
        <w:trPr>
          <w:trHeight w:val="396"/>
        </w:trPr>
        <w:tc>
          <w:tcPr>
            <w:tcW w:w="1985" w:type="dxa"/>
            <w:shd w:val="clear" w:color="auto" w:fill="auto"/>
            <w:vAlign w:val="center"/>
          </w:tcPr>
          <w:p w:rsidR="00BF0B43" w:rsidRPr="00FD1534" w:rsidRDefault="00BF0B43" w:rsidP="00FD1534">
            <w:pPr>
              <w:pStyle w:val="TableText"/>
              <w:tabs>
                <w:tab w:val="right" w:pos="5670"/>
              </w:tabs>
              <w:rPr>
                <w:sz w:val="18"/>
                <w:szCs w:val="18"/>
              </w:rPr>
            </w:pPr>
            <w:r w:rsidRPr="00FD1534">
              <w:rPr>
                <w:sz w:val="18"/>
                <w:szCs w:val="18"/>
              </w:rPr>
              <w:t>Inputs</w:t>
            </w:r>
          </w:p>
        </w:tc>
        <w:tc>
          <w:tcPr>
            <w:tcW w:w="1134" w:type="dxa"/>
            <w:shd w:val="clear" w:color="auto" w:fill="auto"/>
            <w:vAlign w:val="center"/>
          </w:tcPr>
          <w:p w:rsidR="00BF0B43" w:rsidRPr="00FD1534" w:rsidRDefault="003364B2" w:rsidP="00FD1534">
            <w:pPr>
              <w:pStyle w:val="TableText"/>
              <w:tabs>
                <w:tab w:val="right" w:pos="5670"/>
              </w:tabs>
              <w:jc w:val="right"/>
              <w:rPr>
                <w:sz w:val="18"/>
                <w:szCs w:val="18"/>
              </w:rPr>
            </w:pPr>
            <w:r w:rsidRPr="00FD1534">
              <w:rPr>
                <w:sz w:val="18"/>
                <w:szCs w:val="18"/>
              </w:rPr>
              <w:t>$</w:t>
            </w:r>
            <w:r w:rsidR="00BF0B43" w:rsidRPr="00FD1534">
              <w:rPr>
                <w:sz w:val="18"/>
                <w:szCs w:val="18"/>
              </w:rPr>
              <w:t>326</w:t>
            </w:r>
            <w:r w:rsidRPr="00FD1534">
              <w:rPr>
                <w:sz w:val="18"/>
                <w:szCs w:val="18"/>
              </w:rPr>
              <w:t xml:space="preserve"> M</w:t>
            </w:r>
          </w:p>
        </w:tc>
        <w:tc>
          <w:tcPr>
            <w:tcW w:w="1134" w:type="dxa"/>
            <w:shd w:val="clear" w:color="auto" w:fill="auto"/>
            <w:vAlign w:val="center"/>
          </w:tcPr>
          <w:p w:rsidR="00BF0B43" w:rsidRPr="00FD1534" w:rsidRDefault="00BF0B43" w:rsidP="00FD1534">
            <w:pPr>
              <w:pStyle w:val="TableText"/>
              <w:tabs>
                <w:tab w:val="right" w:pos="5670"/>
              </w:tabs>
              <w:jc w:val="right"/>
              <w:rPr>
                <w:sz w:val="18"/>
                <w:szCs w:val="18"/>
              </w:rPr>
            </w:pPr>
            <w:r w:rsidRPr="00FD1534">
              <w:rPr>
                <w:sz w:val="18"/>
                <w:szCs w:val="18"/>
              </w:rPr>
              <w:t>2,400</w:t>
            </w:r>
          </w:p>
        </w:tc>
      </w:tr>
      <w:tr w:rsidR="00AE197B" w:rsidRPr="00FD1534" w:rsidTr="00FD1534">
        <w:tc>
          <w:tcPr>
            <w:tcW w:w="1985" w:type="dxa"/>
            <w:shd w:val="clear" w:color="auto" w:fill="auto"/>
            <w:vAlign w:val="center"/>
          </w:tcPr>
          <w:p w:rsidR="00BF0B43" w:rsidRPr="00FD1534" w:rsidRDefault="00BF0B43" w:rsidP="00FD1534">
            <w:pPr>
              <w:pStyle w:val="TableText"/>
              <w:tabs>
                <w:tab w:val="right" w:pos="5670"/>
              </w:tabs>
              <w:rPr>
                <w:sz w:val="18"/>
                <w:szCs w:val="18"/>
              </w:rPr>
            </w:pPr>
            <w:r w:rsidRPr="00FD1534">
              <w:rPr>
                <w:sz w:val="18"/>
                <w:szCs w:val="18"/>
              </w:rPr>
              <w:t>Farming</w:t>
            </w:r>
          </w:p>
        </w:tc>
        <w:tc>
          <w:tcPr>
            <w:tcW w:w="1134" w:type="dxa"/>
            <w:shd w:val="clear" w:color="auto" w:fill="auto"/>
            <w:vAlign w:val="center"/>
          </w:tcPr>
          <w:p w:rsidR="00BF0B43" w:rsidRPr="00FD1534" w:rsidRDefault="003364B2" w:rsidP="00FD1534">
            <w:pPr>
              <w:pStyle w:val="TableText"/>
              <w:tabs>
                <w:tab w:val="right" w:pos="5670"/>
              </w:tabs>
              <w:jc w:val="right"/>
              <w:rPr>
                <w:sz w:val="18"/>
                <w:szCs w:val="18"/>
              </w:rPr>
            </w:pPr>
            <w:r w:rsidRPr="00FD1534">
              <w:rPr>
                <w:sz w:val="18"/>
                <w:szCs w:val="18"/>
              </w:rPr>
              <w:t>$</w:t>
            </w:r>
            <w:r w:rsidR="00BF0B43" w:rsidRPr="00FD1534">
              <w:rPr>
                <w:sz w:val="18"/>
                <w:szCs w:val="18"/>
              </w:rPr>
              <w:t>338</w:t>
            </w:r>
            <w:r w:rsidRPr="00FD1534">
              <w:rPr>
                <w:sz w:val="18"/>
                <w:szCs w:val="18"/>
              </w:rPr>
              <w:t xml:space="preserve"> M</w:t>
            </w:r>
          </w:p>
        </w:tc>
        <w:tc>
          <w:tcPr>
            <w:tcW w:w="1134" w:type="dxa"/>
            <w:shd w:val="clear" w:color="auto" w:fill="auto"/>
            <w:vAlign w:val="center"/>
          </w:tcPr>
          <w:p w:rsidR="00BF0B43" w:rsidRPr="00FD1534" w:rsidRDefault="00BF0B43" w:rsidP="00FD1534">
            <w:pPr>
              <w:pStyle w:val="TableText"/>
              <w:tabs>
                <w:tab w:val="right" w:pos="5670"/>
              </w:tabs>
              <w:jc w:val="right"/>
              <w:rPr>
                <w:sz w:val="18"/>
                <w:szCs w:val="18"/>
              </w:rPr>
            </w:pPr>
            <w:r w:rsidRPr="00FD1534">
              <w:rPr>
                <w:sz w:val="18"/>
                <w:szCs w:val="18"/>
              </w:rPr>
              <w:t>2,800</w:t>
            </w:r>
          </w:p>
        </w:tc>
      </w:tr>
      <w:tr w:rsidR="00AE197B" w:rsidRPr="00FD1534" w:rsidTr="00FD1534">
        <w:tc>
          <w:tcPr>
            <w:tcW w:w="1985" w:type="dxa"/>
            <w:shd w:val="clear" w:color="auto" w:fill="auto"/>
            <w:vAlign w:val="center"/>
          </w:tcPr>
          <w:p w:rsidR="00BF0B43" w:rsidRPr="00FD1534" w:rsidRDefault="00BF0B43" w:rsidP="00FD1534">
            <w:pPr>
              <w:pStyle w:val="TableText"/>
              <w:tabs>
                <w:tab w:val="right" w:pos="5670"/>
              </w:tabs>
              <w:rPr>
                <w:sz w:val="18"/>
                <w:szCs w:val="18"/>
              </w:rPr>
            </w:pPr>
            <w:r w:rsidRPr="00FD1534">
              <w:rPr>
                <w:sz w:val="18"/>
                <w:szCs w:val="18"/>
              </w:rPr>
              <w:t>Processing</w:t>
            </w:r>
          </w:p>
        </w:tc>
        <w:tc>
          <w:tcPr>
            <w:tcW w:w="1134" w:type="dxa"/>
            <w:shd w:val="clear" w:color="auto" w:fill="auto"/>
            <w:vAlign w:val="center"/>
          </w:tcPr>
          <w:p w:rsidR="00BF0B43" w:rsidRPr="00FD1534" w:rsidRDefault="003364B2" w:rsidP="00FD1534">
            <w:pPr>
              <w:pStyle w:val="TableText"/>
              <w:tabs>
                <w:tab w:val="right" w:pos="5670"/>
              </w:tabs>
              <w:jc w:val="right"/>
              <w:rPr>
                <w:sz w:val="18"/>
                <w:szCs w:val="18"/>
              </w:rPr>
            </w:pPr>
            <w:r w:rsidRPr="00FD1534">
              <w:rPr>
                <w:sz w:val="18"/>
                <w:szCs w:val="18"/>
              </w:rPr>
              <w:t>$</w:t>
            </w:r>
            <w:r w:rsidR="00BF0B43" w:rsidRPr="00FD1534">
              <w:rPr>
                <w:sz w:val="18"/>
                <w:szCs w:val="18"/>
              </w:rPr>
              <w:t>371</w:t>
            </w:r>
            <w:r w:rsidRPr="00FD1534">
              <w:rPr>
                <w:sz w:val="18"/>
                <w:szCs w:val="18"/>
              </w:rPr>
              <w:t xml:space="preserve"> M</w:t>
            </w:r>
          </w:p>
        </w:tc>
        <w:tc>
          <w:tcPr>
            <w:tcW w:w="1134" w:type="dxa"/>
            <w:shd w:val="clear" w:color="auto" w:fill="auto"/>
            <w:vAlign w:val="center"/>
          </w:tcPr>
          <w:p w:rsidR="00BF0B43" w:rsidRPr="00FD1534" w:rsidRDefault="00BF0B43" w:rsidP="00FD1534">
            <w:pPr>
              <w:pStyle w:val="TableText"/>
              <w:tabs>
                <w:tab w:val="right" w:pos="5670"/>
              </w:tabs>
              <w:jc w:val="right"/>
              <w:rPr>
                <w:sz w:val="18"/>
                <w:szCs w:val="18"/>
              </w:rPr>
            </w:pPr>
            <w:r w:rsidRPr="00FD1534">
              <w:rPr>
                <w:sz w:val="18"/>
                <w:szCs w:val="18"/>
              </w:rPr>
              <w:t>2,900</w:t>
            </w:r>
          </w:p>
        </w:tc>
      </w:tr>
      <w:tr w:rsidR="00AE197B" w:rsidRPr="00FD1534" w:rsidTr="00FD1534">
        <w:tc>
          <w:tcPr>
            <w:tcW w:w="1985" w:type="dxa"/>
            <w:tcBorders>
              <w:bottom w:val="single" w:sz="4" w:space="0" w:color="auto"/>
            </w:tcBorders>
            <w:shd w:val="clear" w:color="auto" w:fill="auto"/>
            <w:vAlign w:val="center"/>
          </w:tcPr>
          <w:p w:rsidR="00BF0B43" w:rsidRPr="00FD1534" w:rsidRDefault="00BF0B43" w:rsidP="00FD1534">
            <w:pPr>
              <w:pStyle w:val="TableText"/>
              <w:tabs>
                <w:tab w:val="right" w:pos="5670"/>
              </w:tabs>
              <w:rPr>
                <w:sz w:val="18"/>
                <w:szCs w:val="18"/>
              </w:rPr>
            </w:pPr>
            <w:r w:rsidRPr="00FD1534">
              <w:rPr>
                <w:sz w:val="18"/>
                <w:szCs w:val="18"/>
              </w:rPr>
              <w:t>Wholesale</w:t>
            </w:r>
          </w:p>
        </w:tc>
        <w:tc>
          <w:tcPr>
            <w:tcW w:w="1134" w:type="dxa"/>
            <w:tcBorders>
              <w:bottom w:val="single" w:sz="4" w:space="0" w:color="auto"/>
            </w:tcBorders>
            <w:shd w:val="clear" w:color="auto" w:fill="auto"/>
            <w:vAlign w:val="center"/>
          </w:tcPr>
          <w:p w:rsidR="00BF0B43" w:rsidRPr="00FD1534" w:rsidRDefault="003364B2" w:rsidP="00FD1534">
            <w:pPr>
              <w:pStyle w:val="TableText"/>
              <w:tabs>
                <w:tab w:val="right" w:pos="5670"/>
              </w:tabs>
              <w:jc w:val="right"/>
              <w:rPr>
                <w:sz w:val="18"/>
                <w:szCs w:val="18"/>
              </w:rPr>
            </w:pPr>
            <w:r w:rsidRPr="00FD1534">
              <w:rPr>
                <w:sz w:val="18"/>
                <w:szCs w:val="18"/>
              </w:rPr>
              <w:t>$</w:t>
            </w:r>
            <w:r w:rsidR="00BF0B43" w:rsidRPr="00FD1534">
              <w:rPr>
                <w:sz w:val="18"/>
                <w:szCs w:val="18"/>
              </w:rPr>
              <w:t>56</w:t>
            </w:r>
            <w:r w:rsidRPr="00FD1534">
              <w:rPr>
                <w:sz w:val="18"/>
                <w:szCs w:val="18"/>
              </w:rPr>
              <w:t xml:space="preserve"> M</w:t>
            </w:r>
          </w:p>
        </w:tc>
        <w:tc>
          <w:tcPr>
            <w:tcW w:w="1134" w:type="dxa"/>
            <w:tcBorders>
              <w:bottom w:val="single" w:sz="4" w:space="0" w:color="auto"/>
            </w:tcBorders>
            <w:shd w:val="clear" w:color="auto" w:fill="auto"/>
            <w:vAlign w:val="center"/>
          </w:tcPr>
          <w:p w:rsidR="00BF0B43" w:rsidRPr="00FD1534" w:rsidRDefault="00BF0B43" w:rsidP="00FD1534">
            <w:pPr>
              <w:pStyle w:val="TableText"/>
              <w:tabs>
                <w:tab w:val="right" w:pos="5670"/>
              </w:tabs>
              <w:jc w:val="right"/>
              <w:rPr>
                <w:sz w:val="18"/>
                <w:szCs w:val="18"/>
              </w:rPr>
            </w:pPr>
            <w:r w:rsidRPr="00FD1534">
              <w:rPr>
                <w:sz w:val="18"/>
                <w:szCs w:val="18"/>
              </w:rPr>
              <w:t>500</w:t>
            </w:r>
          </w:p>
        </w:tc>
      </w:tr>
      <w:tr w:rsidR="00AE197B" w:rsidRPr="00FD1534" w:rsidTr="00FD1534">
        <w:tc>
          <w:tcPr>
            <w:tcW w:w="1985" w:type="dxa"/>
            <w:shd w:val="clear" w:color="auto" w:fill="1E2B3F"/>
            <w:vAlign w:val="center"/>
          </w:tcPr>
          <w:p w:rsidR="00BF0B43" w:rsidRPr="00FD1534" w:rsidRDefault="00BF0B43" w:rsidP="00BF0B43">
            <w:pPr>
              <w:pStyle w:val="TableHeading"/>
              <w:rPr>
                <w:b/>
                <w:sz w:val="18"/>
                <w:szCs w:val="18"/>
              </w:rPr>
            </w:pPr>
            <w:r w:rsidRPr="00FD1534">
              <w:rPr>
                <w:b/>
                <w:sz w:val="18"/>
                <w:szCs w:val="18"/>
              </w:rPr>
              <w:t>Total Agribusiness</w:t>
            </w:r>
          </w:p>
        </w:tc>
        <w:tc>
          <w:tcPr>
            <w:tcW w:w="1134" w:type="dxa"/>
            <w:shd w:val="clear" w:color="auto" w:fill="1E2B3F"/>
            <w:vAlign w:val="center"/>
          </w:tcPr>
          <w:p w:rsidR="00BF0B43" w:rsidRPr="00FD1534" w:rsidRDefault="003364B2" w:rsidP="00FD1534">
            <w:pPr>
              <w:pStyle w:val="TableHeading"/>
              <w:jc w:val="right"/>
              <w:rPr>
                <w:b/>
                <w:sz w:val="18"/>
                <w:szCs w:val="18"/>
              </w:rPr>
            </w:pPr>
            <w:r w:rsidRPr="00FD1534">
              <w:rPr>
                <w:b/>
                <w:sz w:val="18"/>
                <w:szCs w:val="18"/>
              </w:rPr>
              <w:t>$</w:t>
            </w:r>
            <w:r w:rsidR="00BF0B43" w:rsidRPr="00FD1534">
              <w:rPr>
                <w:b/>
                <w:sz w:val="18"/>
                <w:szCs w:val="18"/>
              </w:rPr>
              <w:t>1,091</w:t>
            </w:r>
            <w:r w:rsidRPr="00FD1534">
              <w:rPr>
                <w:b/>
                <w:sz w:val="18"/>
                <w:szCs w:val="18"/>
              </w:rPr>
              <w:t xml:space="preserve"> M</w:t>
            </w:r>
          </w:p>
        </w:tc>
        <w:tc>
          <w:tcPr>
            <w:tcW w:w="1134" w:type="dxa"/>
            <w:shd w:val="clear" w:color="auto" w:fill="1E2B3F"/>
            <w:vAlign w:val="center"/>
          </w:tcPr>
          <w:p w:rsidR="00BF0B43" w:rsidRPr="00FD1534" w:rsidRDefault="00BF0B43" w:rsidP="00FD1534">
            <w:pPr>
              <w:pStyle w:val="TableHeading"/>
              <w:jc w:val="right"/>
              <w:rPr>
                <w:b/>
                <w:sz w:val="18"/>
                <w:szCs w:val="18"/>
              </w:rPr>
            </w:pPr>
            <w:r w:rsidRPr="00FD1534">
              <w:rPr>
                <w:b/>
                <w:sz w:val="18"/>
                <w:szCs w:val="18"/>
              </w:rPr>
              <w:t>8,600</w:t>
            </w:r>
          </w:p>
        </w:tc>
      </w:tr>
      <w:tr w:rsidR="00AE197B" w:rsidRPr="00FD1534" w:rsidTr="00FD1534">
        <w:tc>
          <w:tcPr>
            <w:tcW w:w="1985" w:type="dxa"/>
            <w:shd w:val="clear" w:color="auto" w:fill="auto"/>
            <w:vAlign w:val="center"/>
          </w:tcPr>
          <w:p w:rsidR="00BF0B43" w:rsidRPr="00FD1534" w:rsidRDefault="00BF0B43" w:rsidP="00FD1534">
            <w:pPr>
              <w:pStyle w:val="TableText"/>
              <w:tabs>
                <w:tab w:val="right" w:pos="5670"/>
              </w:tabs>
              <w:rPr>
                <w:sz w:val="18"/>
                <w:szCs w:val="18"/>
              </w:rPr>
            </w:pPr>
            <w:r w:rsidRPr="00FD1534">
              <w:rPr>
                <w:sz w:val="18"/>
                <w:szCs w:val="18"/>
              </w:rPr>
              <w:t>% of G21 Region</w:t>
            </w:r>
          </w:p>
        </w:tc>
        <w:tc>
          <w:tcPr>
            <w:tcW w:w="1134" w:type="dxa"/>
            <w:shd w:val="clear" w:color="auto" w:fill="auto"/>
            <w:vAlign w:val="center"/>
          </w:tcPr>
          <w:p w:rsidR="00BF0B43" w:rsidRPr="00FD1534" w:rsidRDefault="00BF0B43" w:rsidP="00FD1534">
            <w:pPr>
              <w:pStyle w:val="TableText"/>
              <w:tabs>
                <w:tab w:val="right" w:pos="5670"/>
              </w:tabs>
              <w:jc w:val="right"/>
              <w:rPr>
                <w:sz w:val="18"/>
                <w:szCs w:val="18"/>
              </w:rPr>
            </w:pPr>
            <w:r w:rsidRPr="00FD1534">
              <w:rPr>
                <w:sz w:val="18"/>
                <w:szCs w:val="18"/>
              </w:rPr>
              <w:t>8.4%</w:t>
            </w:r>
          </w:p>
        </w:tc>
        <w:tc>
          <w:tcPr>
            <w:tcW w:w="1134" w:type="dxa"/>
            <w:shd w:val="clear" w:color="auto" w:fill="auto"/>
            <w:vAlign w:val="center"/>
          </w:tcPr>
          <w:p w:rsidR="00BF0B43" w:rsidRPr="00FD1534" w:rsidRDefault="00BF0B43" w:rsidP="00FD1534">
            <w:pPr>
              <w:pStyle w:val="TableText"/>
              <w:tabs>
                <w:tab w:val="right" w:pos="5670"/>
              </w:tabs>
              <w:jc w:val="right"/>
              <w:rPr>
                <w:sz w:val="18"/>
                <w:szCs w:val="18"/>
              </w:rPr>
            </w:pPr>
            <w:r w:rsidRPr="00FD1534">
              <w:rPr>
                <w:sz w:val="18"/>
                <w:szCs w:val="18"/>
              </w:rPr>
              <w:t>8.7%</w:t>
            </w:r>
          </w:p>
        </w:tc>
      </w:tr>
    </w:tbl>
    <w:p w:rsidR="00704974" w:rsidRDefault="00704974" w:rsidP="0008570B">
      <w:pPr>
        <w:pStyle w:val="Heading2"/>
        <w:sectPr w:rsidR="00704974" w:rsidSect="00704974">
          <w:footnotePr>
            <w:numRestart w:val="eachSect"/>
          </w:footnotePr>
          <w:type w:val="continuous"/>
          <w:pgSz w:w="11906" w:h="16838" w:code="9"/>
          <w:pgMar w:top="1383" w:right="1274" w:bottom="1247" w:left="1276" w:header="510" w:footer="284" w:gutter="0"/>
          <w:pgNumType w:start="1"/>
          <w:cols w:num="2" w:space="227"/>
          <w:docGrid w:linePitch="360"/>
        </w:sectPr>
      </w:pPr>
    </w:p>
    <w:p w:rsidR="00DA6DFF" w:rsidRDefault="0008570B" w:rsidP="00524602">
      <w:pPr>
        <w:pStyle w:val="Heading2"/>
        <w:tabs>
          <w:tab w:val="clear" w:pos="737"/>
          <w:tab w:val="num" w:pos="851"/>
        </w:tabs>
        <w:ind w:left="851" w:hanging="851"/>
      </w:pPr>
      <w:bookmarkStart w:id="14" w:name="_Toc487757681"/>
      <w:r>
        <w:t>A diverse industry</w:t>
      </w:r>
      <w:bookmarkEnd w:id="14"/>
    </w:p>
    <w:p w:rsidR="00704974" w:rsidRDefault="00704974" w:rsidP="00C84CDA">
      <w:pPr>
        <w:pStyle w:val="BodyText"/>
        <w:sectPr w:rsidR="00704974" w:rsidSect="00BA5175">
          <w:footnotePr>
            <w:numRestart w:val="eachSect"/>
          </w:footnotePr>
          <w:type w:val="continuous"/>
          <w:pgSz w:w="11906" w:h="16838" w:code="9"/>
          <w:pgMar w:top="1383" w:right="1274" w:bottom="1247" w:left="1276" w:header="510" w:footer="284" w:gutter="0"/>
          <w:pgNumType w:start="1"/>
          <w:cols w:space="227"/>
          <w:docGrid w:linePitch="360"/>
        </w:sectPr>
      </w:pPr>
    </w:p>
    <w:p w:rsidR="00D40C85" w:rsidRDefault="009B0A44" w:rsidP="00C84CDA">
      <w:pPr>
        <w:pStyle w:val="BodyText"/>
      </w:pPr>
      <w:r w:rsidRPr="00081C84">
        <w:rPr>
          <w:noProof/>
          <w:lang w:eastAsia="en-AU"/>
        </w:rPr>
        <w:drawing>
          <wp:inline distT="0" distB="0" distL="0" distR="0">
            <wp:extent cx="2933065" cy="2405380"/>
            <wp:effectExtent l="0" t="0" r="635" b="1397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07743" w:rsidRPr="0008570B" w:rsidRDefault="00B07743" w:rsidP="00866627">
      <w:pPr>
        <w:pStyle w:val="BodyText"/>
      </w:pPr>
      <w:r>
        <w:t>Agribusiness in the G21 Region is a diverse industry with jobs spread across a wide diversity of s</w:t>
      </w:r>
      <w:r w:rsidR="005D2C6E">
        <w:t>ectors</w:t>
      </w:r>
      <w:r>
        <w:t>.  Further processing (e.g. bakery products, smallgoods), red meat (sheep and beef) and dairy account for most jobs (approx. 60%).  The m</w:t>
      </w:r>
      <w:r w:rsidRPr="002B0662">
        <w:t xml:space="preserve">ix of employment between </w:t>
      </w:r>
      <w:r>
        <w:t xml:space="preserve">the </w:t>
      </w:r>
      <w:r w:rsidRPr="002B0662">
        <w:t xml:space="preserve">primary production and processing </w:t>
      </w:r>
      <w:r>
        <w:t xml:space="preserve">functions </w:t>
      </w:r>
      <w:r w:rsidRPr="002B0662">
        <w:t>varies by sector</w:t>
      </w:r>
      <w:r>
        <w:t>, with employment in the sheep and beef sector being mostly primary production, and employment within the forestry, chicken meat and wine sectors being mostly in the processing sector.  The grains industry has a significant number of jobs in wholesaling (approx. 34%), reflecting a strong transport, storage and logistics function</w:t>
      </w:r>
      <w:r w:rsidR="000649A6">
        <w:t>, especially around the Port</w:t>
      </w:r>
      <w:r>
        <w:t>.</w:t>
      </w:r>
    </w:p>
    <w:p w:rsidR="00704974" w:rsidRDefault="00704974" w:rsidP="00B07743">
      <w:pPr>
        <w:pStyle w:val="Heading2"/>
        <w:jc w:val="left"/>
        <w:sectPr w:rsidR="00704974" w:rsidSect="00704974">
          <w:footnotePr>
            <w:numRestart w:val="eachSect"/>
          </w:footnotePr>
          <w:type w:val="continuous"/>
          <w:pgSz w:w="11906" w:h="16838" w:code="9"/>
          <w:pgMar w:top="1383" w:right="1274" w:bottom="1247" w:left="1276" w:header="510" w:footer="284" w:gutter="0"/>
          <w:pgNumType w:start="1"/>
          <w:cols w:num="2" w:space="227"/>
          <w:docGrid w:linePitch="360"/>
        </w:sectPr>
      </w:pPr>
    </w:p>
    <w:p w:rsidR="00D53182" w:rsidRDefault="00D53182" w:rsidP="00524602">
      <w:pPr>
        <w:pStyle w:val="Heading2"/>
        <w:tabs>
          <w:tab w:val="clear" w:pos="737"/>
          <w:tab w:val="num" w:pos="851"/>
        </w:tabs>
        <w:ind w:left="851" w:hanging="851"/>
        <w:jc w:val="left"/>
      </w:pPr>
      <w:bookmarkStart w:id="15" w:name="_Toc487757682"/>
      <w:r>
        <w:t>An urban based processing industry</w:t>
      </w:r>
      <w:bookmarkEnd w:id="15"/>
    </w:p>
    <w:p w:rsidR="00704974" w:rsidRDefault="00704974" w:rsidP="00B07743">
      <w:pPr>
        <w:pStyle w:val="BodyText"/>
        <w:sectPr w:rsidR="00704974" w:rsidSect="00BA5175">
          <w:footnotePr>
            <w:numRestart w:val="eachSect"/>
          </w:footnotePr>
          <w:type w:val="continuous"/>
          <w:pgSz w:w="11906" w:h="16838" w:code="9"/>
          <w:pgMar w:top="1383" w:right="1274" w:bottom="1247" w:left="1276" w:header="510" w:footer="284" w:gutter="0"/>
          <w:pgNumType w:start="1"/>
          <w:cols w:space="227"/>
          <w:docGrid w:linePitch="360"/>
        </w:sectPr>
      </w:pPr>
    </w:p>
    <w:p w:rsidR="00D53182" w:rsidRDefault="00D53182" w:rsidP="00B07743">
      <w:pPr>
        <w:pStyle w:val="BodyText"/>
      </w:pPr>
      <w:r>
        <w:t>Agribusiness processing in the G21 Region is largely based in the urban areas of Geelong and Colac.  Processing and wholesaling dominates (approx.</w:t>
      </w:r>
      <w:r w:rsidR="00F73F2C">
        <w:t xml:space="preserve"> 78%</w:t>
      </w:r>
      <w:r>
        <w:t xml:space="preserve">) agribusiness employment in </w:t>
      </w:r>
      <w:r w:rsidR="0026141C">
        <w:t xml:space="preserve">the City of Greater </w:t>
      </w:r>
      <w:r>
        <w:t>Geelong, whilst the split between pre</w:t>
      </w:r>
      <w:r w:rsidR="00524602">
        <w:t>-</w:t>
      </w:r>
      <w:r>
        <w:t xml:space="preserve"> farm-gate </w:t>
      </w:r>
      <w:r w:rsidR="0026141C">
        <w:t xml:space="preserve">(48%) </w:t>
      </w:r>
      <w:r>
        <w:t xml:space="preserve">and post farm-gate </w:t>
      </w:r>
      <w:r w:rsidR="0026141C">
        <w:t xml:space="preserve">(52%) </w:t>
      </w:r>
      <w:r>
        <w:t>in Colac-Otway Shire is much more even</w:t>
      </w:r>
      <w:r w:rsidR="0026141C">
        <w:t xml:space="preserve">.  There is only a small amount of processing and wholesaling in Surf Coast and Golden Plains Shires and, as a result, </w:t>
      </w:r>
      <w:r w:rsidR="00F2192F">
        <w:t xml:space="preserve">the total number of jobs in </w:t>
      </w:r>
      <w:r w:rsidR="0026141C">
        <w:t>agribusiness is far l</w:t>
      </w:r>
      <w:r w:rsidR="00F2192F">
        <w:t>ess</w:t>
      </w:r>
      <w:r w:rsidR="009E0195">
        <w:t>,</w:t>
      </w:r>
      <w:r w:rsidR="00F2192F">
        <w:t xml:space="preserve"> and </w:t>
      </w:r>
      <w:r w:rsidR="0026141C">
        <w:t>dominated</w:t>
      </w:r>
      <w:r w:rsidR="00F2192F">
        <w:t xml:space="preserve"> by primary production.</w:t>
      </w:r>
    </w:p>
    <w:p w:rsidR="00C53103" w:rsidRDefault="009B0A44" w:rsidP="00C84CDA">
      <w:pPr>
        <w:pStyle w:val="BodyText"/>
      </w:pPr>
      <w:r w:rsidRPr="00081C84">
        <w:rPr>
          <w:noProof/>
          <w:lang w:eastAsia="en-AU"/>
        </w:rPr>
        <w:drawing>
          <wp:inline distT="0" distB="0" distL="0" distR="0">
            <wp:extent cx="2995930" cy="2350135"/>
            <wp:effectExtent l="0" t="0" r="13970" b="12065"/>
            <wp:docPr id="12"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04974" w:rsidRDefault="00704974" w:rsidP="00C84CDA">
      <w:pPr>
        <w:pStyle w:val="BodyText"/>
        <w:sectPr w:rsidR="00704974" w:rsidSect="00704974">
          <w:footnotePr>
            <w:numRestart w:val="eachSect"/>
          </w:footnotePr>
          <w:type w:val="continuous"/>
          <w:pgSz w:w="11906" w:h="16838" w:code="9"/>
          <w:pgMar w:top="1383" w:right="1274" w:bottom="1247" w:left="1276" w:header="510" w:footer="284" w:gutter="0"/>
          <w:pgNumType w:start="1"/>
          <w:cols w:num="2" w:space="227"/>
          <w:docGrid w:linePitch="360"/>
        </w:sectPr>
      </w:pPr>
    </w:p>
    <w:p w:rsidR="00C53103" w:rsidRDefault="00C53103" w:rsidP="00C84CDA">
      <w:pPr>
        <w:pStyle w:val="BodyText"/>
      </w:pPr>
    </w:p>
    <w:p w:rsidR="00C84CDA" w:rsidRDefault="00C84CDA" w:rsidP="00524602">
      <w:pPr>
        <w:pStyle w:val="Heading1"/>
        <w:tabs>
          <w:tab w:val="clear" w:pos="737"/>
          <w:tab w:val="num" w:pos="851"/>
        </w:tabs>
        <w:ind w:left="851" w:hanging="851"/>
      </w:pPr>
      <w:bookmarkStart w:id="16" w:name="_Toc487757683"/>
      <w:r>
        <w:lastRenderedPageBreak/>
        <w:t>A</w:t>
      </w:r>
      <w:r w:rsidR="00B038C5">
        <w:t xml:space="preserve"> diverse and changing </w:t>
      </w:r>
      <w:r w:rsidR="00EE0319">
        <w:t>landscape</w:t>
      </w:r>
      <w:bookmarkEnd w:id="16"/>
    </w:p>
    <w:p w:rsidR="00C84CDA" w:rsidRDefault="00022F48" w:rsidP="00524602">
      <w:pPr>
        <w:pStyle w:val="Heading2"/>
        <w:tabs>
          <w:tab w:val="clear" w:pos="737"/>
          <w:tab w:val="num" w:pos="851"/>
        </w:tabs>
        <w:ind w:left="851" w:hanging="851"/>
      </w:pPr>
      <w:bookmarkStart w:id="17" w:name="_Toc487757684"/>
      <w:r>
        <w:t xml:space="preserve">A </w:t>
      </w:r>
      <w:r w:rsidR="00F66B13">
        <w:t>wide</w:t>
      </w:r>
      <w:r>
        <w:t xml:space="preserve"> divergence in farm scale</w:t>
      </w:r>
      <w:bookmarkEnd w:id="17"/>
    </w:p>
    <w:p w:rsidR="00D72833" w:rsidRDefault="00D72833" w:rsidP="00C84CDA">
      <w:pPr>
        <w:pStyle w:val="BodyText"/>
        <w:sectPr w:rsidR="00D72833" w:rsidSect="004002AB">
          <w:headerReference w:type="even" r:id="rId30"/>
          <w:footerReference w:type="default" r:id="rId31"/>
          <w:headerReference w:type="first" r:id="rId32"/>
          <w:footnotePr>
            <w:numRestart w:val="eachSect"/>
          </w:footnotePr>
          <w:type w:val="continuous"/>
          <w:pgSz w:w="11906" w:h="16838" w:code="9"/>
          <w:pgMar w:top="1383" w:right="1274" w:bottom="1247" w:left="1276" w:header="510" w:footer="284" w:gutter="0"/>
          <w:pgNumType w:start="2"/>
          <w:cols w:space="227"/>
          <w:docGrid w:linePitch="360"/>
        </w:sectPr>
      </w:pPr>
    </w:p>
    <w:p w:rsidR="00022F48" w:rsidRDefault="00447905" w:rsidP="00C84CDA">
      <w:pPr>
        <w:pStyle w:val="BodyText"/>
      </w:pPr>
      <w:r>
        <w:t>The farming landscape in the G21 Region has changed enormously and continues to change.  There is a wide divergence in farm scale in the region.</w:t>
      </w:r>
      <w:r w:rsidR="003A3CFC">
        <w:t xml:space="preserve">  </w:t>
      </w:r>
      <w:r w:rsidR="00A96AA1">
        <w:t>48% of farms have an annual turnover of less than $50,000</w:t>
      </w:r>
      <w:r w:rsidR="000D3408">
        <w:t xml:space="preserve"> each</w:t>
      </w:r>
      <w:r w:rsidR="00A96AA1">
        <w:t xml:space="preserve"> and, between them, only produce 4% of the total value of our primary production.  </w:t>
      </w:r>
      <w:r w:rsidR="008A621F">
        <w:t xml:space="preserve">Conversely, </w:t>
      </w:r>
      <w:r w:rsidR="00A96AA1">
        <w:t xml:space="preserve">4% of farms have an annual </w:t>
      </w:r>
      <w:r w:rsidR="008A621F">
        <w:t xml:space="preserve">turnover </w:t>
      </w:r>
      <w:r w:rsidR="00A96AA1">
        <w:t>greater than $1 million</w:t>
      </w:r>
      <w:r w:rsidR="000D3408">
        <w:t xml:space="preserve"> each</w:t>
      </w:r>
      <w:r w:rsidR="008A621F">
        <w:t>, but produce 45% of all value.</w:t>
      </w:r>
      <w:r w:rsidR="008468C1">
        <w:t xml:space="preserve">  In the middle, between these two extremes, </w:t>
      </w:r>
      <w:r w:rsidR="00524602">
        <w:t>is</w:t>
      </w:r>
      <w:r w:rsidR="008468C1">
        <w:t xml:space="preserve"> 48% of farms, which produce 51% of the value. </w:t>
      </w:r>
      <w:r w:rsidR="008A621F">
        <w:t xml:space="preserve"> Thus, our landscape is dominated by small farms, but the economy of our farm sector is dominated by a small number of large farms.</w:t>
      </w:r>
    </w:p>
    <w:p w:rsidR="004811CE" w:rsidRDefault="009B0A44" w:rsidP="00C84CDA">
      <w:pPr>
        <w:pStyle w:val="BodyText"/>
      </w:pPr>
      <w:r w:rsidRPr="00081C84">
        <w:rPr>
          <w:noProof/>
          <w:lang w:eastAsia="en-AU"/>
        </w:rPr>
        <w:drawing>
          <wp:inline distT="0" distB="0" distL="0" distR="0">
            <wp:extent cx="2873375" cy="2399665"/>
            <wp:effectExtent l="0" t="0" r="3175" b="635"/>
            <wp:docPr id="5"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72833" w:rsidRDefault="00D72833" w:rsidP="00022F48">
      <w:pPr>
        <w:pStyle w:val="Heading2"/>
        <w:sectPr w:rsidR="00D72833" w:rsidSect="00D72833">
          <w:footnotePr>
            <w:numRestart w:val="eachSect"/>
          </w:footnotePr>
          <w:type w:val="continuous"/>
          <w:pgSz w:w="11906" w:h="16838" w:code="9"/>
          <w:pgMar w:top="1383" w:right="1274" w:bottom="1247" w:left="1276" w:header="510" w:footer="284" w:gutter="0"/>
          <w:pgNumType w:start="1"/>
          <w:cols w:num="2" w:space="227"/>
          <w:docGrid w:linePitch="360"/>
        </w:sectPr>
      </w:pPr>
    </w:p>
    <w:p w:rsidR="00EE0319" w:rsidRDefault="00EF0509" w:rsidP="00524602">
      <w:pPr>
        <w:pStyle w:val="Heading2"/>
        <w:tabs>
          <w:tab w:val="clear" w:pos="737"/>
          <w:tab w:val="num" w:pos="851"/>
        </w:tabs>
        <w:ind w:left="851" w:hanging="851"/>
      </w:pPr>
      <w:bookmarkStart w:id="18" w:name="_Toc487757685"/>
      <w:r>
        <w:t>T</w:t>
      </w:r>
      <w:r w:rsidR="00022F48">
        <w:t>he divergence is growing</w:t>
      </w:r>
      <w:bookmarkEnd w:id="18"/>
    </w:p>
    <w:p w:rsidR="00D72833" w:rsidRDefault="00D72833" w:rsidP="004811CE">
      <w:pPr>
        <w:pStyle w:val="BodyText"/>
        <w:sectPr w:rsidR="00D72833" w:rsidSect="00BA5175">
          <w:footnotePr>
            <w:numRestart w:val="eachSect"/>
          </w:footnotePr>
          <w:type w:val="continuous"/>
          <w:pgSz w:w="11906" w:h="16838" w:code="9"/>
          <w:pgMar w:top="1383" w:right="1274" w:bottom="1247" w:left="1276" w:header="510" w:footer="284" w:gutter="0"/>
          <w:pgNumType w:start="1"/>
          <w:cols w:space="227"/>
          <w:docGrid w:linePitch="360"/>
        </w:sectPr>
      </w:pPr>
    </w:p>
    <w:p w:rsidR="004811CE" w:rsidRPr="004811CE" w:rsidRDefault="009B0A44" w:rsidP="004811CE">
      <w:pPr>
        <w:pStyle w:val="BodyText"/>
      </w:pPr>
      <w:r w:rsidRPr="00081C84">
        <w:rPr>
          <w:noProof/>
          <w:lang w:eastAsia="en-AU"/>
        </w:rPr>
        <w:drawing>
          <wp:inline distT="0" distB="0" distL="0" distR="0">
            <wp:extent cx="2873375" cy="2405380"/>
            <wp:effectExtent l="0" t="0" r="3175" b="13970"/>
            <wp:docPr id="6"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72833" w:rsidRDefault="008A621F" w:rsidP="00B628B6">
      <w:pPr>
        <w:pStyle w:val="BodyText"/>
        <w:sectPr w:rsidR="00D72833" w:rsidSect="00D72833">
          <w:footnotePr>
            <w:numRestart w:val="eachSect"/>
          </w:footnotePr>
          <w:type w:val="continuous"/>
          <w:pgSz w:w="11906" w:h="16838" w:code="9"/>
          <w:pgMar w:top="1383" w:right="1274" w:bottom="1247" w:left="1276" w:header="510" w:footer="284" w:gutter="0"/>
          <w:pgNumType w:start="1"/>
          <w:cols w:num="2" w:space="227"/>
          <w:docGrid w:linePitch="360"/>
        </w:sectPr>
      </w:pPr>
      <w:r>
        <w:t xml:space="preserve">This divergence has grown and is expected to continue to grow in the future.  The value of primary production generated by these large farms with over $1 million of annual turnover grew more than fourfold in the decade between 2001 and 2011.  At the other end of the scale, the number of small scale farms has grown over this time, particularly around Geelong, the Bellarine and in the hinterland of the Surf Coast, however their direct contribution to the </w:t>
      </w:r>
      <w:r w:rsidR="003A1A53">
        <w:t>value of primary production in the region has not changed.</w:t>
      </w:r>
      <w:r w:rsidR="00B628B6">
        <w:t xml:space="preserve">  The contribution of our medium scale farms has declined by about 10%, from $217 million to $195 million, over that same </w:t>
      </w:r>
      <w:r w:rsidR="004C555B">
        <w:t>period</w:t>
      </w:r>
      <w:r w:rsidR="00B628B6">
        <w:t>.</w:t>
      </w:r>
    </w:p>
    <w:p w:rsidR="00022F48" w:rsidRDefault="00AF60C0" w:rsidP="00524602">
      <w:pPr>
        <w:pStyle w:val="Heading2"/>
        <w:tabs>
          <w:tab w:val="clear" w:pos="737"/>
          <w:tab w:val="num" w:pos="851"/>
        </w:tabs>
        <w:ind w:left="851" w:hanging="851"/>
      </w:pPr>
      <w:bookmarkStart w:id="19" w:name="_Toc487757686"/>
      <w:r>
        <w:t>Their enterprises differ too</w:t>
      </w:r>
      <w:bookmarkEnd w:id="19"/>
    </w:p>
    <w:p w:rsidR="00D72833" w:rsidRDefault="00D72833" w:rsidP="00C84CDA">
      <w:pPr>
        <w:pStyle w:val="BodyText"/>
        <w:sectPr w:rsidR="00D72833" w:rsidSect="00BA5175">
          <w:footnotePr>
            <w:numRestart w:val="eachSect"/>
          </w:footnotePr>
          <w:type w:val="continuous"/>
          <w:pgSz w:w="11906" w:h="16838" w:code="9"/>
          <w:pgMar w:top="1383" w:right="1274" w:bottom="1247" w:left="1276" w:header="510" w:footer="284" w:gutter="0"/>
          <w:pgNumType w:start="1"/>
          <w:cols w:space="227"/>
          <w:docGrid w:linePitch="360"/>
        </w:sectPr>
      </w:pPr>
    </w:p>
    <w:p w:rsidR="00EE0319" w:rsidRDefault="00AF60C0" w:rsidP="00C84CDA">
      <w:pPr>
        <w:pStyle w:val="BodyText"/>
      </w:pPr>
      <w:r>
        <w:t>The divergence in farm scale also applies to the enterprises they run too</w:t>
      </w:r>
      <w:r w:rsidR="00D72833">
        <w:t>.</w:t>
      </w:r>
      <w:r>
        <w:t xml:space="preserve">  Our small-scale farms are dominated (81%) by livestock (i.e. cattle and sheep), whilst our large-scale farms are dominated by dairy (49%) </w:t>
      </w:r>
      <w:r w:rsidR="002877CF">
        <w:t xml:space="preserve">in the south-west of the region </w:t>
      </w:r>
      <w:r>
        <w:t>and intensive animals (35%)</w:t>
      </w:r>
      <w:r w:rsidR="002877CF">
        <w:t xml:space="preserve"> in the north-west of the region</w:t>
      </w:r>
      <w:r>
        <w:t xml:space="preserve">.  There is a much more even spread of livestock (41%), grain &amp; mixed (25%) and dairy (33%) farms </w:t>
      </w:r>
      <w:r w:rsidR="002877CF">
        <w:t xml:space="preserve">amongst </w:t>
      </w:r>
      <w:r w:rsidR="00775E0C">
        <w:t>our</w:t>
      </w:r>
      <w:r w:rsidR="002877CF">
        <w:t xml:space="preserve"> medium-scale farms, which is more representative of our traditional view of agricultural production in our region.</w:t>
      </w:r>
    </w:p>
    <w:p w:rsidR="00F21A46" w:rsidRDefault="009B0A44" w:rsidP="00C84CDA">
      <w:pPr>
        <w:pStyle w:val="BodyText"/>
      </w:pPr>
      <w:r w:rsidRPr="00081C84">
        <w:rPr>
          <w:noProof/>
          <w:lang w:eastAsia="en-AU"/>
        </w:rPr>
        <w:drawing>
          <wp:inline distT="0" distB="0" distL="0" distR="0">
            <wp:extent cx="2837180" cy="2140585"/>
            <wp:effectExtent l="0" t="0" r="1270" b="12065"/>
            <wp:docPr id="7"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72833" w:rsidRDefault="00D72833" w:rsidP="00C84CDA">
      <w:pPr>
        <w:pStyle w:val="BodyText"/>
        <w:sectPr w:rsidR="00D72833" w:rsidSect="00D72833">
          <w:footnotePr>
            <w:numRestart w:val="eachSect"/>
          </w:footnotePr>
          <w:type w:val="continuous"/>
          <w:pgSz w:w="11906" w:h="16838" w:code="9"/>
          <w:pgMar w:top="1383" w:right="1274" w:bottom="1247" w:left="1276" w:header="510" w:footer="284" w:gutter="0"/>
          <w:pgNumType w:start="1"/>
          <w:cols w:num="2" w:space="227"/>
          <w:docGrid w:linePitch="360"/>
        </w:sectPr>
      </w:pPr>
    </w:p>
    <w:p w:rsidR="00A94023" w:rsidRDefault="002F4044" w:rsidP="00524602">
      <w:pPr>
        <w:pStyle w:val="Heading1"/>
        <w:tabs>
          <w:tab w:val="clear" w:pos="737"/>
          <w:tab w:val="num" w:pos="851"/>
        </w:tabs>
        <w:ind w:left="851" w:hanging="851"/>
      </w:pPr>
      <w:bookmarkStart w:id="20" w:name="_Toc487757687"/>
      <w:r>
        <w:lastRenderedPageBreak/>
        <w:t>A few key trends</w:t>
      </w:r>
      <w:bookmarkEnd w:id="20"/>
    </w:p>
    <w:p w:rsidR="00E64D51" w:rsidRDefault="00E64D51" w:rsidP="00016D8E">
      <w:pPr>
        <w:pStyle w:val="ListBullet"/>
        <w:numPr>
          <w:ilvl w:val="0"/>
          <w:numId w:val="0"/>
        </w:numPr>
        <w:ind w:left="360" w:hanging="360"/>
        <w:sectPr w:rsidR="00E64D51" w:rsidSect="00D11007">
          <w:footnotePr>
            <w:numRestart w:val="eachSect"/>
          </w:footnotePr>
          <w:type w:val="continuous"/>
          <w:pgSz w:w="11906" w:h="16838" w:code="9"/>
          <w:pgMar w:top="1383" w:right="1274" w:bottom="1247" w:left="1276" w:header="510" w:footer="284" w:gutter="0"/>
          <w:pgNumType w:start="4"/>
          <w:cols w:space="227"/>
          <w:docGrid w:linePitch="360"/>
        </w:sectPr>
      </w:pPr>
    </w:p>
    <w:p w:rsidR="00016D8E" w:rsidRDefault="009B0A44" w:rsidP="00016D8E">
      <w:pPr>
        <w:pStyle w:val="ListBullet"/>
        <w:numPr>
          <w:ilvl w:val="0"/>
          <w:numId w:val="0"/>
        </w:numPr>
        <w:ind w:left="360" w:hanging="360"/>
      </w:pPr>
      <w:r w:rsidRPr="00081C84">
        <w:rPr>
          <w:noProof/>
          <w:lang w:eastAsia="en-AU"/>
        </w:rPr>
        <w:drawing>
          <wp:inline distT="0" distB="0" distL="0" distR="0">
            <wp:extent cx="2873375" cy="2415540"/>
            <wp:effectExtent l="0" t="0" r="3175" b="3810"/>
            <wp:docPr id="8"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F5729" w:rsidRDefault="008D5E0C" w:rsidP="00051941">
      <w:pPr>
        <w:pStyle w:val="BodyText"/>
      </w:pPr>
      <w:r>
        <w:t>Chicken meat production is growing</w:t>
      </w:r>
      <w:r w:rsidR="00051941">
        <w:t>:</w:t>
      </w:r>
    </w:p>
    <w:p w:rsidR="00051941" w:rsidRDefault="008D5E0C" w:rsidP="00051941">
      <w:pPr>
        <w:pStyle w:val="ListBullet"/>
      </w:pPr>
      <w:r>
        <w:t>National growth averages 4% p.a.</w:t>
      </w:r>
    </w:p>
    <w:p w:rsidR="008D5E0C" w:rsidRDefault="008D5E0C" w:rsidP="008D5E0C">
      <w:pPr>
        <w:pStyle w:val="ListBullet"/>
      </w:pPr>
      <w:r>
        <w:t xml:space="preserve">Yet growth in Victoria has </w:t>
      </w:r>
      <w:r w:rsidR="00016E58">
        <w:t>stalled</w:t>
      </w:r>
      <w:r>
        <w:t xml:space="preserve"> </w:t>
      </w:r>
      <w:r w:rsidR="00016E58">
        <w:t>since 2010</w:t>
      </w:r>
    </w:p>
    <w:p w:rsidR="008D5E0C" w:rsidRDefault="008D5E0C" w:rsidP="00051941">
      <w:pPr>
        <w:pStyle w:val="ListBullet"/>
      </w:pPr>
      <w:r>
        <w:t>Chicken</w:t>
      </w:r>
      <w:r w:rsidR="00016E58">
        <w:t xml:space="preserve"> meat production is one of our region’s largest agribusiness sectors</w:t>
      </w:r>
    </w:p>
    <w:p w:rsidR="00016E58" w:rsidRDefault="00016E58" w:rsidP="00051941">
      <w:pPr>
        <w:pStyle w:val="ListBullet"/>
      </w:pPr>
      <w:r>
        <w:t>We need to support it</w:t>
      </w:r>
      <w:r w:rsidR="000E1772">
        <w:t>, as it is significant element of the region’s agribusiness industry</w:t>
      </w:r>
    </w:p>
    <w:p w:rsidR="00016D8E" w:rsidRDefault="009B0A44" w:rsidP="00016D8E">
      <w:pPr>
        <w:pStyle w:val="ListBullet"/>
        <w:numPr>
          <w:ilvl w:val="0"/>
          <w:numId w:val="0"/>
        </w:numPr>
        <w:ind w:left="360" w:hanging="360"/>
      </w:pPr>
      <w:r w:rsidRPr="00081C84">
        <w:rPr>
          <w:noProof/>
          <w:lang w:eastAsia="en-AU"/>
        </w:rPr>
        <w:drawing>
          <wp:inline distT="0" distB="0" distL="0" distR="0">
            <wp:extent cx="2873375" cy="2415540"/>
            <wp:effectExtent l="0" t="0" r="3175" b="3810"/>
            <wp:docPr id="9"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51941" w:rsidRDefault="00051941" w:rsidP="00051941">
      <w:pPr>
        <w:pStyle w:val="BodyText"/>
      </w:pPr>
      <w:r>
        <w:t>Our region’s livestock industries have changed:</w:t>
      </w:r>
    </w:p>
    <w:p w:rsidR="00051941" w:rsidRDefault="00051941" w:rsidP="00051941">
      <w:pPr>
        <w:pStyle w:val="ListBullet"/>
      </w:pPr>
      <w:r>
        <w:t>The intensives (poultry and pork) have grown</w:t>
      </w:r>
    </w:p>
    <w:p w:rsidR="00051941" w:rsidRDefault="00051941" w:rsidP="00051941">
      <w:pPr>
        <w:pStyle w:val="ListBullet"/>
      </w:pPr>
      <w:r>
        <w:t>Sheep and dairy numbers have declined</w:t>
      </w:r>
    </w:p>
    <w:p w:rsidR="00051941" w:rsidRDefault="00051941" w:rsidP="00051941">
      <w:pPr>
        <w:pStyle w:val="ListBullet"/>
      </w:pPr>
      <w:r>
        <w:t>Beef numbers are stable at best</w:t>
      </w:r>
    </w:p>
    <w:p w:rsidR="00B743A3" w:rsidRDefault="00C342DB" w:rsidP="00051941">
      <w:pPr>
        <w:pStyle w:val="ListBullet"/>
      </w:pPr>
      <w:r>
        <w:t>More recent data (2015) on beef and sheep numbers for the Corangamite CMA region shows that these trends have continued</w:t>
      </w:r>
    </w:p>
    <w:p w:rsidR="00E64D51" w:rsidRDefault="00E64D51" w:rsidP="00977081">
      <w:pPr>
        <w:pStyle w:val="ListBullet"/>
        <w:numPr>
          <w:ilvl w:val="0"/>
          <w:numId w:val="0"/>
        </w:numPr>
        <w:ind w:left="360" w:hanging="360"/>
        <w:sectPr w:rsidR="00E64D51" w:rsidSect="00E64D51">
          <w:footnotePr>
            <w:numRestart w:val="eachSect"/>
          </w:footnotePr>
          <w:type w:val="continuous"/>
          <w:pgSz w:w="11906" w:h="16838" w:code="9"/>
          <w:pgMar w:top="1383" w:right="1274" w:bottom="1247" w:left="1276" w:header="510" w:footer="284" w:gutter="0"/>
          <w:pgNumType w:start="4"/>
          <w:cols w:num="2" w:space="720"/>
          <w:docGrid w:linePitch="360"/>
        </w:sectPr>
      </w:pPr>
    </w:p>
    <w:p w:rsidR="00E64D51" w:rsidRDefault="00E64D51" w:rsidP="00016E58">
      <w:pPr>
        <w:pStyle w:val="ListBullet"/>
        <w:numPr>
          <w:ilvl w:val="0"/>
          <w:numId w:val="0"/>
        </w:numPr>
      </w:pPr>
    </w:p>
    <w:p w:rsidR="00977081" w:rsidRDefault="009B0A44" w:rsidP="00977081">
      <w:pPr>
        <w:pStyle w:val="ListBullet"/>
        <w:numPr>
          <w:ilvl w:val="0"/>
          <w:numId w:val="0"/>
        </w:numPr>
        <w:ind w:left="360" w:hanging="360"/>
      </w:pPr>
      <w:r w:rsidRPr="00FD1534">
        <w:rPr>
          <w:noProof/>
          <w:sz w:val="22"/>
          <w:szCs w:val="22"/>
          <w:lang w:eastAsia="en-AU"/>
        </w:rPr>
        <w:drawing>
          <wp:inline distT="0" distB="0" distL="0" distR="0">
            <wp:extent cx="2873375" cy="2550795"/>
            <wp:effectExtent l="0" t="0" r="3175" b="1905"/>
            <wp:docPr id="10" name="Chart 25" descr="Title: Value of Victorian aquaculture production by sector - Description: Graph displaying aquaculture sector production from 1989 to 2015. Abalone production increased from  1 million to 16 million dollars. Trout increased from 6 million to 10 million. Native fish increased from 0 to 5 million between 2000-2015. Bivalves increased from 1 million to 3 million. Aquarium fish decreased from3 million to 2 miilion betwwen 200-2015. Yabby remained low at less then 1 million."/>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743A3" w:rsidRDefault="00B743A3" w:rsidP="00B743A3">
      <w:pPr>
        <w:pStyle w:val="BodyText"/>
      </w:pPr>
      <w:r>
        <w:t>Victorian aquaculture production value by sector:</w:t>
      </w:r>
    </w:p>
    <w:p w:rsidR="00B743A3" w:rsidRDefault="00B743A3" w:rsidP="00DF5434">
      <w:pPr>
        <w:pStyle w:val="ListBullet"/>
      </w:pPr>
      <w:r>
        <w:t>Abalone dominates Victorian aquaculture</w:t>
      </w:r>
      <w:r w:rsidR="00E64D51">
        <w:t xml:space="preserve"> and is </w:t>
      </w:r>
      <w:r>
        <w:t>the fastest growing aquaculture sector</w:t>
      </w:r>
    </w:p>
    <w:p w:rsidR="00B743A3" w:rsidRDefault="00B743A3" w:rsidP="00B743A3">
      <w:pPr>
        <w:pStyle w:val="ListBullet"/>
      </w:pPr>
      <w:r>
        <w:t>There is strong growth in native fish and bivalves</w:t>
      </w:r>
      <w:r w:rsidR="00E64D51">
        <w:t xml:space="preserve"> also</w:t>
      </w:r>
    </w:p>
    <w:p w:rsidR="00E64D51" w:rsidRDefault="00B743A3" w:rsidP="00E64D51">
      <w:pPr>
        <w:pStyle w:val="ListBullet"/>
      </w:pPr>
      <w:r>
        <w:t>The G21 Region is well placed to take advantage of this growth</w:t>
      </w:r>
    </w:p>
    <w:p w:rsidR="005025BA" w:rsidRDefault="009B0A44" w:rsidP="00A2677A">
      <w:pPr>
        <w:pStyle w:val="BodyText"/>
        <w:spacing w:before="360"/>
      </w:pPr>
      <w:r>
        <w:rPr>
          <w:noProof/>
          <w:lang w:eastAsia="en-AU"/>
        </w:rPr>
        <mc:AlternateContent>
          <mc:Choice Requires="wpg">
            <w:drawing>
              <wp:inline distT="0" distB="0" distL="0" distR="0">
                <wp:extent cx="2914650" cy="2446655"/>
                <wp:effectExtent l="0" t="0" r="0" b="10795"/>
                <wp:docPr id="1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4650" cy="2446655"/>
                          <a:chOff x="0" y="0"/>
                          <a:chExt cx="4572000" cy="2743200"/>
                        </a:xfrm>
                      </wpg:grpSpPr>
                      <wpg:graphicFrame>
                        <wpg:cNvPr id="15" name="Chart 8"/>
                        <wpg:cNvFrPr/>
                        <wpg:xfrm>
                          <a:off x="0" y="0"/>
                          <a:ext cx="4572000" cy="2743200"/>
                        </wpg:xfrm>
                        <a:graphic>
                          <a:graphicData uri="http://schemas.openxmlformats.org/drawingml/2006/chart">
                            <c:chart xmlns:c="http://schemas.openxmlformats.org/drawingml/2006/chart" xmlns:r="http://schemas.openxmlformats.org/officeDocument/2006/relationships" r:id="rId39"/>
                          </a:graphicData>
                        </a:graphic>
                      </wpg:graphicFrame>
                      <wps:wsp>
                        <wps:cNvPr id="16" name="Text Box 15"/>
                        <wps:cNvSpPr txBox="1"/>
                        <wps:spPr>
                          <a:xfrm>
                            <a:off x="2380674" y="647251"/>
                            <a:ext cx="736600" cy="228600"/>
                          </a:xfrm>
                          <a:prstGeom prst="rect">
                            <a:avLst/>
                          </a:prstGeom>
                          <a:solidFill>
                            <a:srgbClr val="FFFFFF"/>
                          </a:solidFill>
                          <a:ln w="9525" cmpd="sng">
                            <a:solidFill>
                              <a:srgbClr val="000000"/>
                            </a:solidFill>
                          </a:ln>
                          <a:effectLst/>
                        </wps:spPr>
                        <wps:txbx>
                          <w:txbxContent>
                            <w:p w:rsidR="00912CE6" w:rsidRDefault="00912CE6" w:rsidP="005025BA">
                              <w:pPr>
                                <w:pStyle w:val="NormalWeb"/>
                                <w:spacing w:before="0" w:beforeAutospacing="0" w:after="0" w:afterAutospacing="0"/>
                              </w:pPr>
                              <w:r w:rsidRPr="00FD1534">
                                <w:rPr>
                                  <w:rFonts w:ascii="Arial" w:hAnsi="Arial"/>
                                  <w:color w:val="000000"/>
                                  <w:sz w:val="16"/>
                                  <w:szCs w:val="16"/>
                                  <w:lang w:val="en-US"/>
                                </w:rPr>
                                <w:t>14% growth</w:t>
                              </w:r>
                            </w:p>
                          </w:txbxContent>
                        </wps:txbx>
                        <wps:bodyPr wrap="square" rtlCol="0" anchor="t"/>
                      </wps:wsp>
                      <wps:wsp>
                        <wps:cNvPr id="21" name="Text Box 21"/>
                        <wps:cNvSpPr txBox="1"/>
                        <wps:spPr>
                          <a:xfrm>
                            <a:off x="2480280" y="1263846"/>
                            <a:ext cx="736600" cy="228600"/>
                          </a:xfrm>
                          <a:prstGeom prst="rect">
                            <a:avLst/>
                          </a:prstGeom>
                          <a:solidFill>
                            <a:srgbClr val="FFFFFF"/>
                          </a:solidFill>
                          <a:ln w="9525" cmpd="sng">
                            <a:solidFill>
                              <a:srgbClr val="000000"/>
                            </a:solidFill>
                          </a:ln>
                          <a:effectLst/>
                        </wps:spPr>
                        <wps:txbx>
                          <w:txbxContent>
                            <w:p w:rsidR="00912CE6" w:rsidRDefault="00912CE6" w:rsidP="005025BA">
                              <w:pPr>
                                <w:pStyle w:val="NormalWeb"/>
                                <w:spacing w:before="0" w:beforeAutospacing="0" w:after="0" w:afterAutospacing="0"/>
                              </w:pPr>
                              <w:r w:rsidRPr="00FD1534">
                                <w:rPr>
                                  <w:rFonts w:ascii="Arial" w:hAnsi="Arial"/>
                                  <w:color w:val="000000"/>
                                  <w:sz w:val="16"/>
                                  <w:szCs w:val="16"/>
                                  <w:lang w:val="en-US"/>
                                </w:rPr>
                                <w:t>28% growth</w:t>
                              </w:r>
                            </w:p>
                          </w:txbxContent>
                        </wps:txbx>
                        <wps:bodyPr wrap="square" rtlCol="0" anchor="t"/>
                      </wps:wsp>
                      <wps:wsp>
                        <wps:cNvPr id="23" name="Text Box 23"/>
                        <wps:cNvSpPr txBox="1"/>
                        <wps:spPr>
                          <a:xfrm>
                            <a:off x="2579887" y="1757139"/>
                            <a:ext cx="736600" cy="228600"/>
                          </a:xfrm>
                          <a:prstGeom prst="rect">
                            <a:avLst/>
                          </a:prstGeom>
                          <a:solidFill>
                            <a:srgbClr val="FFFFFF"/>
                          </a:solidFill>
                          <a:ln w="9525" cmpd="sng">
                            <a:solidFill>
                              <a:srgbClr val="000000"/>
                            </a:solidFill>
                          </a:ln>
                          <a:effectLst/>
                        </wps:spPr>
                        <wps:txbx>
                          <w:txbxContent>
                            <w:p w:rsidR="00912CE6" w:rsidRDefault="00912CE6" w:rsidP="005025BA">
                              <w:pPr>
                                <w:pStyle w:val="NormalWeb"/>
                                <w:spacing w:before="0" w:beforeAutospacing="0" w:after="0" w:afterAutospacing="0"/>
                              </w:pPr>
                              <w:r w:rsidRPr="00FD1534">
                                <w:rPr>
                                  <w:rFonts w:ascii="Arial" w:hAnsi="Arial"/>
                                  <w:color w:val="000000"/>
                                  <w:sz w:val="16"/>
                                  <w:szCs w:val="16"/>
                                  <w:lang w:val="en-US"/>
                                </w:rPr>
                                <w:t>38% growth</w:t>
                              </w:r>
                            </w:p>
                          </w:txbxContent>
                        </wps:txbx>
                        <wps:bodyPr wrap="square" rtlCol="0" anchor="t"/>
                      </wps:wsp>
                    </wpg:wgp>
                  </a:graphicData>
                </a:graphic>
              </wp:inline>
            </w:drawing>
          </mc:Choice>
          <mc:Fallback>
            <w:pict>
              <v:group id="Group 5" o:spid="_x0000_s1028" style="width:229.5pt;height:192.65pt;mso-position-horizontal-relative:char;mso-position-vertical-relative:line" coordsize="45720,27432"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8" o:spid="_x0000_s1029" type="#_x0000_t75" style="position:absolute;left:-95;top:-68;width:45898;height:27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">
                  <v:imagedata r:id="rId40" o:title=""/>
                  <o:lock v:ext="edit" aspectratio="f"/>
                </v:shape>
                <v:shape id="Text Box 15" o:spid="_x0000_s1030" type="#_x0000_t202" style="position:absolute;left:23806;top:6472;width:736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912CE6" w:rsidRDefault="00912CE6" w:rsidP="005025BA">
                        <w:pPr>
                          <w:pStyle w:val="NormalWeb"/>
                          <w:spacing w:before="0" w:beforeAutospacing="0" w:after="0" w:afterAutospacing="0"/>
                        </w:pPr>
                        <w:r w:rsidRPr="00FD1534">
                          <w:rPr>
                            <w:rFonts w:ascii="Arial" w:hAnsi="Arial"/>
                            <w:color w:val="000000"/>
                            <w:sz w:val="16"/>
                            <w:szCs w:val="16"/>
                            <w:lang w:val="en-US"/>
                          </w:rPr>
                          <w:t>14% growth</w:t>
                        </w:r>
                      </w:p>
                    </w:txbxContent>
                  </v:textbox>
                </v:shape>
                <v:shape id="Text Box 21" o:spid="_x0000_s1031" type="#_x0000_t202" style="position:absolute;left:24802;top:12638;width:736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912CE6" w:rsidRDefault="00912CE6" w:rsidP="005025BA">
                        <w:pPr>
                          <w:pStyle w:val="NormalWeb"/>
                          <w:spacing w:before="0" w:beforeAutospacing="0" w:after="0" w:afterAutospacing="0"/>
                        </w:pPr>
                        <w:r w:rsidRPr="00FD1534">
                          <w:rPr>
                            <w:rFonts w:ascii="Arial" w:hAnsi="Arial"/>
                            <w:color w:val="000000"/>
                            <w:sz w:val="16"/>
                            <w:szCs w:val="16"/>
                            <w:lang w:val="en-US"/>
                          </w:rPr>
                          <w:t>28% growth</w:t>
                        </w:r>
                      </w:p>
                    </w:txbxContent>
                  </v:textbox>
                </v:shape>
                <v:shape id="Text Box 23" o:spid="_x0000_s1032" type="#_x0000_t202" style="position:absolute;left:25798;top:17571;width:736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912CE6" w:rsidRDefault="00912CE6" w:rsidP="005025BA">
                        <w:pPr>
                          <w:pStyle w:val="NormalWeb"/>
                          <w:spacing w:before="0" w:beforeAutospacing="0" w:after="0" w:afterAutospacing="0"/>
                        </w:pPr>
                        <w:r w:rsidRPr="00FD1534">
                          <w:rPr>
                            <w:rFonts w:ascii="Arial" w:hAnsi="Arial"/>
                            <w:color w:val="000000"/>
                            <w:sz w:val="16"/>
                            <w:szCs w:val="16"/>
                            <w:lang w:val="en-US"/>
                          </w:rPr>
                          <w:t>38% growth</w:t>
                        </w:r>
                      </w:p>
                    </w:txbxContent>
                  </v:textbox>
                </v:shape>
                <w10:anchorlock/>
              </v:group>
            </w:pict>
          </mc:Fallback>
        </mc:AlternateContent>
      </w:r>
    </w:p>
    <w:p w:rsidR="00E64D51" w:rsidRDefault="00E64D51" w:rsidP="002A7563">
      <w:pPr>
        <w:pStyle w:val="BodyText"/>
      </w:pPr>
      <w:r>
        <w:t xml:space="preserve">Visitor numbers to the G21 Region have </w:t>
      </w:r>
      <w:r w:rsidR="002A7563">
        <w:t>grown</w:t>
      </w:r>
      <w:r>
        <w:t>:</w:t>
      </w:r>
    </w:p>
    <w:p w:rsidR="00E64D51" w:rsidRDefault="00DC3356" w:rsidP="00DC3356">
      <w:pPr>
        <w:pStyle w:val="ListBullet"/>
      </w:pPr>
      <w:r>
        <w:t>The region had 7.8 million visitors in 2016</w:t>
      </w:r>
      <w:r w:rsidR="00E64D51">
        <w:t xml:space="preserve"> </w:t>
      </w:r>
      <w:r>
        <w:t>– an increase of 20% since 2012</w:t>
      </w:r>
    </w:p>
    <w:p w:rsidR="00DC3356" w:rsidRDefault="00DC3356" w:rsidP="00DC3356">
      <w:pPr>
        <w:pStyle w:val="ListBullet"/>
      </w:pPr>
      <w:r>
        <w:lastRenderedPageBreak/>
        <w:t>5.1 M (65%) were domestic day visitors and 2.6 M (33%) were domestic overnight visitors</w:t>
      </w:r>
    </w:p>
    <w:p w:rsidR="00092A6A" w:rsidRDefault="00DC3356" w:rsidP="00092A6A">
      <w:pPr>
        <w:pStyle w:val="ListBullet"/>
      </w:pPr>
      <w:r>
        <w:t>2% of 176,000 were international visitors</w:t>
      </w:r>
    </w:p>
    <w:p w:rsidR="00DC3356" w:rsidRDefault="00A06C88" w:rsidP="00092A6A">
      <w:pPr>
        <w:pStyle w:val="ListBullet"/>
      </w:pPr>
      <w:r>
        <w:t>Our</w:t>
      </w:r>
      <w:r w:rsidR="00DC3356">
        <w:t xml:space="preserve"> market is largely a domestic market, which is fertile ground for our </w:t>
      </w:r>
      <w:r w:rsidR="00A003EF">
        <w:t>food and wine</w:t>
      </w:r>
      <w:r w:rsidR="00DC3356">
        <w:t>.</w:t>
      </w:r>
    </w:p>
    <w:p w:rsidR="00E64D51" w:rsidRDefault="00E64D51" w:rsidP="00B743A3">
      <w:pPr>
        <w:pStyle w:val="BodyText"/>
        <w:sectPr w:rsidR="00E64D51" w:rsidSect="00A2677A">
          <w:footnotePr>
            <w:numRestart w:val="eachSect"/>
          </w:footnotePr>
          <w:type w:val="continuous"/>
          <w:pgSz w:w="11906" w:h="16838" w:code="9"/>
          <w:pgMar w:top="1383" w:right="1274" w:bottom="1247" w:left="1276" w:header="510" w:footer="284" w:gutter="0"/>
          <w:pgNumType w:start="4"/>
          <w:cols w:num="2" w:space="720"/>
          <w:docGrid w:linePitch="360"/>
        </w:sectPr>
      </w:pPr>
    </w:p>
    <w:p w:rsidR="00B038C5" w:rsidRDefault="00D2454B" w:rsidP="00524602">
      <w:pPr>
        <w:pStyle w:val="Heading1"/>
        <w:tabs>
          <w:tab w:val="clear" w:pos="737"/>
          <w:tab w:val="num" w:pos="851"/>
        </w:tabs>
        <w:ind w:left="851" w:hanging="851"/>
      </w:pPr>
      <w:bookmarkStart w:id="21" w:name="_Toc487757688"/>
      <w:r>
        <w:lastRenderedPageBreak/>
        <w:t>Implications for the future</w:t>
      </w:r>
      <w:bookmarkEnd w:id="21"/>
    </w:p>
    <w:p w:rsidR="00B038C5" w:rsidRDefault="00D2454B" w:rsidP="00524602">
      <w:pPr>
        <w:pStyle w:val="Heading2"/>
        <w:tabs>
          <w:tab w:val="clear" w:pos="737"/>
          <w:tab w:val="num" w:pos="851"/>
        </w:tabs>
        <w:ind w:left="851" w:hanging="851"/>
      </w:pPr>
      <w:bookmarkStart w:id="22" w:name="_Toc487757689"/>
      <w:r>
        <w:t>What our industry looks like</w:t>
      </w:r>
      <w:bookmarkEnd w:id="22"/>
    </w:p>
    <w:p w:rsidR="005D2C6E" w:rsidRDefault="005D2C6E" w:rsidP="005D2C6E">
      <w:pPr>
        <w:pStyle w:val="ListBullet"/>
      </w:pPr>
      <w:r>
        <w:t xml:space="preserve">A $1 billion industry that is significant to the G21 economy and </w:t>
      </w:r>
      <w:r w:rsidR="00DA7B22">
        <w:t xml:space="preserve">its </w:t>
      </w:r>
      <w:r>
        <w:t>community.</w:t>
      </w:r>
    </w:p>
    <w:p w:rsidR="005D2C6E" w:rsidRDefault="005D2C6E" w:rsidP="005D2C6E">
      <w:pPr>
        <w:pStyle w:val="ListBullet"/>
      </w:pPr>
      <w:r>
        <w:t>Dominated (approx. 70%) by businesses that support, process, or wholesale farm production from both within the region and from right across south-eastern Australia.</w:t>
      </w:r>
    </w:p>
    <w:p w:rsidR="00DA7B22" w:rsidRDefault="005D2C6E" w:rsidP="005D2C6E">
      <w:pPr>
        <w:pStyle w:val="ListBullet"/>
      </w:pPr>
      <w:r>
        <w:t xml:space="preserve">A diverse industry with jobs spread across a </w:t>
      </w:r>
      <w:r w:rsidR="00B74BD4">
        <w:t>range</w:t>
      </w:r>
      <w:r>
        <w:t xml:space="preserve"> of sectors, but most jobs (approx. 60%) are in further </w:t>
      </w:r>
      <w:r w:rsidR="00B74BD4">
        <w:t xml:space="preserve">(or secondary) </w:t>
      </w:r>
      <w:r>
        <w:t>processing (e.g. bakery products, smallgoods), red meat (sheep and beef) and dairy.</w:t>
      </w:r>
    </w:p>
    <w:p w:rsidR="00474ABA" w:rsidRDefault="00474ABA" w:rsidP="005D2C6E">
      <w:pPr>
        <w:pStyle w:val="ListBullet"/>
      </w:pPr>
      <w:r>
        <w:t>Spread across the region, but most of the jobs are in the City of Greater Geelong and Colac-Otway Shire because that is where most of the processors and wholesalers are based.</w:t>
      </w:r>
    </w:p>
    <w:p w:rsidR="00D2283A" w:rsidRDefault="00D2283A" w:rsidP="005D2C6E">
      <w:pPr>
        <w:pStyle w:val="ListBullet"/>
      </w:pPr>
      <w:r>
        <w:t>Responsible for managing a diverse and changing landscape where a large number of small farms dominate the landscape, but a small number of large farms dominate the economy of the farm sector.</w:t>
      </w:r>
    </w:p>
    <w:p w:rsidR="002D1459" w:rsidRDefault="00D2283A" w:rsidP="005D2C6E">
      <w:pPr>
        <w:pStyle w:val="ListBullet"/>
      </w:pPr>
      <w:r>
        <w:t>Witnessing continual growth in the divergence of farm size</w:t>
      </w:r>
      <w:r w:rsidR="00763B8B">
        <w:t>, which is driven by an increasing number of lifestyle farms</w:t>
      </w:r>
      <w:r>
        <w:t xml:space="preserve"> </w:t>
      </w:r>
      <w:r w:rsidR="00763B8B">
        <w:t xml:space="preserve">at one end </w:t>
      </w:r>
      <w:r>
        <w:t xml:space="preserve">and </w:t>
      </w:r>
      <w:r w:rsidR="00763B8B">
        <w:t>t</w:t>
      </w:r>
      <w:r>
        <w:t xml:space="preserve">he growth of </w:t>
      </w:r>
      <w:r w:rsidR="00763B8B">
        <w:t>the intensive animal industries at the other end.</w:t>
      </w:r>
    </w:p>
    <w:p w:rsidR="005D2C6E" w:rsidRDefault="002D1459" w:rsidP="005D2C6E">
      <w:pPr>
        <w:pStyle w:val="ListBullet"/>
      </w:pPr>
      <w:r>
        <w:t>A thriving service sector, especially around the large number of small farms, which are service hungry.</w:t>
      </w:r>
    </w:p>
    <w:p w:rsidR="00905588" w:rsidRDefault="00905588" w:rsidP="005D2C6E">
      <w:pPr>
        <w:pStyle w:val="ListBullet"/>
      </w:pPr>
      <w:r>
        <w:t>A</w:t>
      </w:r>
      <w:r w:rsidRPr="009360EB">
        <w:t xml:space="preserve"> key plank in the region’s offer to visitors</w:t>
      </w:r>
      <w:r w:rsidR="00457C30">
        <w:t xml:space="preserve"> is</w:t>
      </w:r>
      <w:r w:rsidRPr="009360EB">
        <w:t xml:space="preserve"> through the combination of food, wine and related experiences it provides through local cafes, wineries, providores, and farm-gate experiences as well as the agricultural landscapes</w:t>
      </w:r>
      <w:r>
        <w:t>.</w:t>
      </w:r>
    </w:p>
    <w:p w:rsidR="00905588" w:rsidRDefault="009B0A44" w:rsidP="00905588">
      <w:pPr>
        <w:pStyle w:val="BodyText"/>
      </w:pPr>
      <w:r w:rsidRPr="00081C84">
        <w:rPr>
          <w:noProof/>
          <w:lang w:eastAsia="en-AU"/>
        </w:rPr>
        <w:drawing>
          <wp:inline distT="0" distB="0" distL="0" distR="0">
            <wp:extent cx="5934075" cy="4152900"/>
            <wp:effectExtent l="0" t="0" r="0"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4152900"/>
                    </a:xfrm>
                    <a:prstGeom prst="rect">
                      <a:avLst/>
                    </a:prstGeom>
                    <a:noFill/>
                    <a:ln>
                      <a:noFill/>
                    </a:ln>
                  </pic:spPr>
                </pic:pic>
              </a:graphicData>
            </a:graphic>
          </wp:inline>
        </w:drawing>
      </w:r>
    </w:p>
    <w:p w:rsidR="00905588" w:rsidRDefault="00905588" w:rsidP="002D1459">
      <w:pPr>
        <w:pStyle w:val="BodyText"/>
        <w:spacing w:before="120"/>
      </w:pPr>
      <w:r>
        <w:t xml:space="preserve">As a result of the changes occurring in our industry, the Bellarine Peninsula and the hinterland of the Surf Coast and Otway Ranges are predominantly occupied by lifestyle farms and small agrifood or agritourism businesses, whilst production agriculture is largely confined to a shrinking area in the west of the region.  </w:t>
      </w:r>
      <w:r>
        <w:lastRenderedPageBreak/>
        <w:t>The processing and wholesaling sectors of agribusiness are largely located within the urban areas of Geelong and Colac.</w:t>
      </w:r>
    </w:p>
    <w:p w:rsidR="00D2454B" w:rsidRDefault="00EE0388" w:rsidP="00524602">
      <w:pPr>
        <w:pStyle w:val="Heading2"/>
        <w:tabs>
          <w:tab w:val="clear" w:pos="737"/>
          <w:tab w:val="num" w:pos="851"/>
        </w:tabs>
        <w:ind w:left="851" w:hanging="851"/>
      </w:pPr>
      <w:bookmarkStart w:id="23" w:name="_Toc487757690"/>
      <w:r>
        <w:t>SWOT analysis</w:t>
      </w:r>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673"/>
        <w:gridCol w:w="4673"/>
      </w:tblGrid>
      <w:tr w:rsidR="00EE0388" w:rsidRPr="00FD1534" w:rsidTr="00FD1534">
        <w:tc>
          <w:tcPr>
            <w:tcW w:w="4673" w:type="dxa"/>
            <w:shd w:val="clear" w:color="auto" w:fill="213144"/>
            <w:vAlign w:val="center"/>
          </w:tcPr>
          <w:p w:rsidR="00EE0388" w:rsidRPr="00FD1534" w:rsidRDefault="00EE0388" w:rsidP="00EE0388">
            <w:pPr>
              <w:pStyle w:val="TableHeading"/>
            </w:pPr>
            <w:r w:rsidRPr="00FD1534">
              <w:t>STRENGTHS</w:t>
            </w:r>
          </w:p>
        </w:tc>
        <w:tc>
          <w:tcPr>
            <w:tcW w:w="4673" w:type="dxa"/>
            <w:shd w:val="clear" w:color="auto" w:fill="213144"/>
            <w:vAlign w:val="center"/>
          </w:tcPr>
          <w:p w:rsidR="00EE0388" w:rsidRPr="00FD1534" w:rsidRDefault="00EE0388" w:rsidP="00EE0388">
            <w:pPr>
              <w:pStyle w:val="TableHeading"/>
            </w:pPr>
            <w:r w:rsidRPr="00FD1534">
              <w:t>WEAKNESSES</w:t>
            </w:r>
          </w:p>
        </w:tc>
      </w:tr>
      <w:tr w:rsidR="00EE0388" w:rsidRPr="00FD1534" w:rsidTr="00FD1534">
        <w:tc>
          <w:tcPr>
            <w:tcW w:w="4673" w:type="dxa"/>
            <w:tcBorders>
              <w:bottom w:val="single" w:sz="4" w:space="0" w:color="auto"/>
            </w:tcBorders>
            <w:shd w:val="clear" w:color="auto" w:fill="auto"/>
          </w:tcPr>
          <w:p w:rsidR="00EE0388" w:rsidRPr="00FD1534" w:rsidRDefault="00EE0388" w:rsidP="00FD1534">
            <w:pPr>
              <w:pStyle w:val="TableBullet"/>
              <w:tabs>
                <w:tab w:val="right" w:pos="5670"/>
              </w:tabs>
            </w:pPr>
            <w:r w:rsidRPr="00FD1534">
              <w:t>The diversity of the industry and the depth and breadth of its sectors</w:t>
            </w:r>
          </w:p>
          <w:p w:rsidR="00EE0388" w:rsidRPr="00FD1534" w:rsidRDefault="00EE0388" w:rsidP="00FD1534">
            <w:pPr>
              <w:pStyle w:val="TableBullet"/>
              <w:tabs>
                <w:tab w:val="right" w:pos="5670"/>
              </w:tabs>
            </w:pPr>
            <w:r w:rsidRPr="00FD1534">
              <w:t>Cheap land and shedding for processors compared with Melbourne</w:t>
            </w:r>
          </w:p>
          <w:p w:rsidR="00EE0388" w:rsidRPr="00FD1534" w:rsidRDefault="00EE0388" w:rsidP="00FD1534">
            <w:pPr>
              <w:pStyle w:val="TableBullet"/>
              <w:tabs>
                <w:tab w:val="right" w:pos="5670"/>
              </w:tabs>
            </w:pPr>
            <w:r w:rsidRPr="00FD1534">
              <w:t>A skilled manufacturing workforce</w:t>
            </w:r>
          </w:p>
          <w:p w:rsidR="00EE0388" w:rsidRPr="00FD1534" w:rsidRDefault="00EE0388" w:rsidP="00FD1534">
            <w:pPr>
              <w:pStyle w:val="TableBullet"/>
              <w:tabs>
                <w:tab w:val="right" w:pos="5670"/>
              </w:tabs>
            </w:pPr>
            <w:r w:rsidRPr="00FD1534">
              <w:t>A large and diverse visitor economy (GOR and the Bellarine)</w:t>
            </w:r>
            <w:r w:rsidR="00645ABA" w:rsidRPr="00FD1534">
              <w:t xml:space="preserve"> with a large number of visitors</w:t>
            </w:r>
          </w:p>
          <w:p w:rsidR="00EE0388" w:rsidRPr="00FD1534" w:rsidRDefault="00EE0388" w:rsidP="00FD1534">
            <w:pPr>
              <w:pStyle w:val="TableBullet"/>
              <w:tabs>
                <w:tab w:val="right" w:pos="5670"/>
              </w:tabs>
            </w:pPr>
            <w:r w:rsidRPr="00FD1534">
              <w:t>Water supply not constrained at present</w:t>
            </w:r>
          </w:p>
          <w:p w:rsidR="00EE0388" w:rsidRPr="00FD1534" w:rsidRDefault="00EE0388" w:rsidP="00FD1534">
            <w:pPr>
              <w:pStyle w:val="TableBullet"/>
              <w:tabs>
                <w:tab w:val="right" w:pos="5670"/>
              </w:tabs>
            </w:pPr>
            <w:r w:rsidRPr="00FD1534">
              <w:t>A diverse and growing intensive animal industry</w:t>
            </w:r>
          </w:p>
          <w:p w:rsidR="00EE0388" w:rsidRPr="00FD1534" w:rsidRDefault="00EE0388" w:rsidP="00FD1534">
            <w:pPr>
              <w:pStyle w:val="TableBullet"/>
              <w:tabs>
                <w:tab w:val="right" w:pos="5670"/>
              </w:tabs>
            </w:pPr>
            <w:r w:rsidRPr="00FD1534">
              <w:t>Diversity of land types and proximity of land to markets</w:t>
            </w:r>
          </w:p>
          <w:p w:rsidR="00EE0388" w:rsidRPr="00FD1534" w:rsidRDefault="00645ABA" w:rsidP="00FD1534">
            <w:pPr>
              <w:pStyle w:val="TableBullet"/>
              <w:tabs>
                <w:tab w:val="right" w:pos="5670"/>
              </w:tabs>
            </w:pPr>
            <w:r w:rsidRPr="00FD1534">
              <w:t>Growing local demand as the population grows</w:t>
            </w:r>
          </w:p>
          <w:p w:rsidR="002D1459" w:rsidRPr="00FD1534" w:rsidRDefault="002D1459" w:rsidP="00FD1534">
            <w:pPr>
              <w:pStyle w:val="TableBullet"/>
              <w:tabs>
                <w:tab w:val="right" w:pos="5670"/>
              </w:tabs>
            </w:pPr>
            <w:r w:rsidRPr="00FD1534">
              <w:t xml:space="preserve">Access to high quality, internationally renowned research and education providers, e.g. </w:t>
            </w:r>
            <w:r w:rsidR="00E00AAC" w:rsidRPr="00FD1534">
              <w:t xml:space="preserve">the </w:t>
            </w:r>
            <w:r w:rsidRPr="00FD1534">
              <w:t>A</w:t>
            </w:r>
            <w:r w:rsidR="00E00AAC" w:rsidRPr="00FD1534">
              <w:t xml:space="preserve">ustralian </w:t>
            </w:r>
            <w:r w:rsidRPr="00FD1534">
              <w:t>A</w:t>
            </w:r>
            <w:r w:rsidR="00E00AAC" w:rsidRPr="00FD1534">
              <w:t xml:space="preserve">nimal </w:t>
            </w:r>
            <w:r w:rsidRPr="00FD1534">
              <w:t>H</w:t>
            </w:r>
            <w:r w:rsidR="00E00AAC" w:rsidRPr="00FD1534">
              <w:t xml:space="preserve">ealth </w:t>
            </w:r>
            <w:r w:rsidRPr="00FD1534">
              <w:t>L</w:t>
            </w:r>
            <w:r w:rsidR="00E00AAC" w:rsidRPr="00FD1534">
              <w:t>aboratory</w:t>
            </w:r>
            <w:r w:rsidRPr="00FD1534">
              <w:t>, Deakin University and Marcus Oldham College.</w:t>
            </w:r>
          </w:p>
        </w:tc>
        <w:tc>
          <w:tcPr>
            <w:tcW w:w="4673" w:type="dxa"/>
            <w:tcBorders>
              <w:bottom w:val="single" w:sz="4" w:space="0" w:color="auto"/>
            </w:tcBorders>
            <w:shd w:val="clear" w:color="auto" w:fill="auto"/>
          </w:tcPr>
          <w:p w:rsidR="00EE0388" w:rsidRPr="00FD1534" w:rsidRDefault="00EE0388" w:rsidP="00FD1534">
            <w:pPr>
              <w:pStyle w:val="TableBullet"/>
              <w:tabs>
                <w:tab w:val="right" w:pos="5670"/>
              </w:tabs>
            </w:pPr>
            <w:r w:rsidRPr="00FD1534">
              <w:t>A perceived lack of collaboration across the industry, a common goal and a clear strategy</w:t>
            </w:r>
          </w:p>
          <w:p w:rsidR="00EE0388" w:rsidRPr="00FD1534" w:rsidRDefault="00EE0388" w:rsidP="00FD1534">
            <w:pPr>
              <w:pStyle w:val="TableBullet"/>
              <w:tabs>
                <w:tab w:val="right" w:pos="5670"/>
              </w:tabs>
            </w:pPr>
            <w:r w:rsidRPr="00FD1534">
              <w:t>Cost of access to the Melbourne container port</w:t>
            </w:r>
          </w:p>
          <w:p w:rsidR="00EE0388" w:rsidRPr="00FD1534" w:rsidRDefault="00645ABA" w:rsidP="00FD1534">
            <w:pPr>
              <w:pStyle w:val="TableBullet"/>
              <w:tabs>
                <w:tab w:val="right" w:pos="5670"/>
              </w:tabs>
            </w:pPr>
            <w:r w:rsidRPr="00FD1534">
              <w:t>The ability of the existing h</w:t>
            </w:r>
            <w:r w:rsidR="00EE0388" w:rsidRPr="00FD1534">
              <w:t xml:space="preserve">ousing supply </w:t>
            </w:r>
            <w:r w:rsidRPr="00FD1534">
              <w:t xml:space="preserve">to support workforce growth </w:t>
            </w:r>
            <w:r w:rsidR="00EE0388" w:rsidRPr="00FD1534">
              <w:t>in centres outside of Geelong, e.g. Colac</w:t>
            </w:r>
          </w:p>
          <w:p w:rsidR="00EE0388" w:rsidRPr="00FD1534" w:rsidRDefault="00EE0388" w:rsidP="00FD1534">
            <w:pPr>
              <w:pStyle w:val="TableBullet"/>
              <w:tabs>
                <w:tab w:val="right" w:pos="5670"/>
              </w:tabs>
            </w:pPr>
            <w:r w:rsidRPr="00FD1534">
              <w:t>The low yield from visitors</w:t>
            </w:r>
          </w:p>
          <w:p w:rsidR="00EE0388" w:rsidRPr="00FD1534" w:rsidRDefault="00EE0388" w:rsidP="00FD1534">
            <w:pPr>
              <w:pStyle w:val="TableBullet"/>
              <w:tabs>
                <w:tab w:val="right" w:pos="5670"/>
              </w:tabs>
            </w:pPr>
            <w:r w:rsidRPr="00FD1534">
              <w:t>Low value agriculture priced out of the water market when water supply is constrained</w:t>
            </w:r>
          </w:p>
          <w:p w:rsidR="00EE0388" w:rsidRPr="00FD1534" w:rsidRDefault="00EE0388" w:rsidP="00FD1534">
            <w:pPr>
              <w:pStyle w:val="TableBullet"/>
              <w:tabs>
                <w:tab w:val="right" w:pos="5670"/>
              </w:tabs>
            </w:pPr>
            <w:r w:rsidRPr="00FD1534">
              <w:t>The compliance cost of establishing intensive animal industry operations</w:t>
            </w:r>
          </w:p>
          <w:p w:rsidR="00EE0388" w:rsidRPr="00FD1534" w:rsidRDefault="00EE0388" w:rsidP="00FD1534">
            <w:pPr>
              <w:pStyle w:val="TableBullet"/>
              <w:tabs>
                <w:tab w:val="right" w:pos="5670"/>
              </w:tabs>
            </w:pPr>
            <w:r w:rsidRPr="00FD1534">
              <w:t>Lack of reputation as a significant wine and food region relative to other regions</w:t>
            </w:r>
          </w:p>
          <w:p w:rsidR="00EE0388" w:rsidRPr="00FD1534" w:rsidRDefault="00EE0388" w:rsidP="00FD1534">
            <w:pPr>
              <w:pStyle w:val="TableBullet"/>
              <w:tabs>
                <w:tab w:val="right" w:pos="5670"/>
              </w:tabs>
            </w:pPr>
            <w:r w:rsidRPr="00FD1534">
              <w:t>Availability of capital for expansion and growth</w:t>
            </w:r>
          </w:p>
          <w:p w:rsidR="00EE0388" w:rsidRPr="00FD1534" w:rsidRDefault="00EE0388" w:rsidP="00FD1534">
            <w:pPr>
              <w:pStyle w:val="TableBullet"/>
              <w:tabs>
                <w:tab w:val="right" w:pos="5670"/>
              </w:tabs>
            </w:pPr>
            <w:r w:rsidRPr="00FD1534">
              <w:t>Availability of workers for expansion and growth</w:t>
            </w:r>
          </w:p>
        </w:tc>
      </w:tr>
      <w:tr w:rsidR="00EE0388" w:rsidRPr="00FD1534" w:rsidTr="00FD1534">
        <w:tc>
          <w:tcPr>
            <w:tcW w:w="4673" w:type="dxa"/>
            <w:shd w:val="clear" w:color="auto" w:fill="212E43"/>
            <w:vAlign w:val="center"/>
          </w:tcPr>
          <w:p w:rsidR="00EE0388" w:rsidRPr="00FD1534" w:rsidRDefault="00EE0388" w:rsidP="00EE0388">
            <w:pPr>
              <w:pStyle w:val="TableHeading"/>
            </w:pPr>
            <w:r w:rsidRPr="00FD1534">
              <w:t>OPPORTUNITIES</w:t>
            </w:r>
          </w:p>
        </w:tc>
        <w:tc>
          <w:tcPr>
            <w:tcW w:w="4673" w:type="dxa"/>
            <w:shd w:val="clear" w:color="auto" w:fill="212E43"/>
            <w:vAlign w:val="center"/>
          </w:tcPr>
          <w:p w:rsidR="00EE0388" w:rsidRPr="00FD1534" w:rsidRDefault="00EE0388" w:rsidP="00EE0388">
            <w:pPr>
              <w:pStyle w:val="TableHeading"/>
            </w:pPr>
            <w:r w:rsidRPr="00FD1534">
              <w:t>THREATS</w:t>
            </w:r>
          </w:p>
        </w:tc>
      </w:tr>
      <w:tr w:rsidR="00EE0388" w:rsidRPr="00FD1534" w:rsidTr="00FD1534">
        <w:tc>
          <w:tcPr>
            <w:tcW w:w="4673" w:type="dxa"/>
            <w:shd w:val="clear" w:color="auto" w:fill="auto"/>
          </w:tcPr>
          <w:p w:rsidR="00EE0388" w:rsidRPr="00FD1534" w:rsidRDefault="00EE0388" w:rsidP="00FD1534">
            <w:pPr>
              <w:pStyle w:val="TableBullet"/>
              <w:tabs>
                <w:tab w:val="right" w:pos="5670"/>
              </w:tabs>
            </w:pPr>
            <w:r w:rsidRPr="00FD1534">
              <w:t>Development of industry networks and great use of in</w:t>
            </w:r>
            <w:r w:rsidR="00B70ABE" w:rsidRPr="00FD1534">
              <w:t>dustry clusters – collaboration</w:t>
            </w:r>
          </w:p>
          <w:p w:rsidR="00EE0388" w:rsidRPr="00FD1534" w:rsidRDefault="00EE0388" w:rsidP="00FD1534">
            <w:pPr>
              <w:pStyle w:val="TableBullet"/>
              <w:tabs>
                <w:tab w:val="right" w:pos="5670"/>
              </w:tabs>
            </w:pPr>
            <w:r w:rsidRPr="00FD1534">
              <w:t>Freight hub in Geelong to reduce the cost of access to the Melbourne Port</w:t>
            </w:r>
          </w:p>
          <w:p w:rsidR="00EE0388" w:rsidRPr="00FD1534" w:rsidRDefault="00EE0388" w:rsidP="00FD1534">
            <w:pPr>
              <w:pStyle w:val="TableBullet"/>
              <w:tabs>
                <w:tab w:val="right" w:pos="5670"/>
              </w:tabs>
            </w:pPr>
            <w:r w:rsidRPr="00FD1534">
              <w:t>The development of the Bay West port and Avalon Airport</w:t>
            </w:r>
          </w:p>
          <w:p w:rsidR="00EE0388" w:rsidRPr="00FD1534" w:rsidRDefault="00EE0388" w:rsidP="00FD1534">
            <w:pPr>
              <w:pStyle w:val="TableBullet"/>
              <w:tabs>
                <w:tab w:val="right" w:pos="5670"/>
              </w:tabs>
            </w:pPr>
            <w:r w:rsidRPr="00FD1534">
              <w:t>Leverage the Great Ocean Road and visitor economy and grow the visitor yield</w:t>
            </w:r>
          </w:p>
          <w:p w:rsidR="00642867" w:rsidRPr="00FD1534" w:rsidRDefault="00642867" w:rsidP="00FD1534">
            <w:pPr>
              <w:pStyle w:val="TableBullet"/>
              <w:tabs>
                <w:tab w:val="right" w:pos="5670"/>
              </w:tabs>
            </w:pPr>
            <w:r w:rsidRPr="00FD1534">
              <w:t>Expansion of our food trails and farm gate sales businesses</w:t>
            </w:r>
          </w:p>
          <w:p w:rsidR="00642867" w:rsidRPr="00FD1534" w:rsidRDefault="00642867" w:rsidP="00FD1534">
            <w:pPr>
              <w:pStyle w:val="TableBullet"/>
              <w:tabs>
                <w:tab w:val="right" w:pos="5670"/>
              </w:tabs>
            </w:pPr>
            <w:r w:rsidRPr="00FD1534">
              <w:t>Pursue renewable, resilient and affordable energy systems</w:t>
            </w:r>
          </w:p>
          <w:p w:rsidR="00642867" w:rsidRPr="00FD1534" w:rsidRDefault="00642867" w:rsidP="00FD1534">
            <w:pPr>
              <w:pStyle w:val="TableBullet"/>
              <w:tabs>
                <w:tab w:val="right" w:pos="5670"/>
              </w:tabs>
            </w:pPr>
            <w:r w:rsidRPr="00FD1534">
              <w:t>Foster climate change resilience</w:t>
            </w:r>
          </w:p>
          <w:p w:rsidR="00EE0388" w:rsidRPr="00FD1534" w:rsidRDefault="00EE0388" w:rsidP="00FD1534">
            <w:pPr>
              <w:pStyle w:val="TableBullet"/>
              <w:tabs>
                <w:tab w:val="right" w:pos="5670"/>
              </w:tabs>
            </w:pPr>
            <w:r w:rsidRPr="00FD1534">
              <w:t>Use of recycled water from Black Ro</w:t>
            </w:r>
            <w:r w:rsidR="00645ABA" w:rsidRPr="00FD1534">
              <w:t>ck and/or the Western Treatment Plant</w:t>
            </w:r>
          </w:p>
          <w:p w:rsidR="00EE0388" w:rsidRPr="00FD1534" w:rsidRDefault="00EE0388" w:rsidP="00FD1534">
            <w:pPr>
              <w:pStyle w:val="TableBullet"/>
              <w:tabs>
                <w:tab w:val="right" w:pos="5670"/>
              </w:tabs>
            </w:pPr>
            <w:r w:rsidRPr="00FD1534">
              <w:t>A collaborative approach with industry to facilitate further investment</w:t>
            </w:r>
          </w:p>
          <w:p w:rsidR="00642867" w:rsidRPr="00FD1534" w:rsidRDefault="00642867" w:rsidP="00FD1534">
            <w:pPr>
              <w:pStyle w:val="TableBullet"/>
              <w:tabs>
                <w:tab w:val="right" w:pos="5670"/>
              </w:tabs>
            </w:pPr>
            <w:r w:rsidRPr="00FD1534">
              <w:t>Greater connectivity between “growers” and local businesses</w:t>
            </w:r>
          </w:p>
          <w:p w:rsidR="00EE0388" w:rsidRPr="00FD1534" w:rsidRDefault="00EE0388" w:rsidP="00FD1534">
            <w:pPr>
              <w:pStyle w:val="TableBullet"/>
              <w:tabs>
                <w:tab w:val="right" w:pos="5670"/>
              </w:tabs>
            </w:pPr>
            <w:r w:rsidRPr="00FD1534">
              <w:t>Appropriate land use planning</w:t>
            </w:r>
          </w:p>
          <w:p w:rsidR="00645ABA" w:rsidRPr="00FD1534" w:rsidRDefault="00645ABA" w:rsidP="00FD1534">
            <w:pPr>
              <w:pStyle w:val="TableBullet"/>
              <w:tabs>
                <w:tab w:val="right" w:pos="5670"/>
              </w:tabs>
            </w:pPr>
            <w:r w:rsidRPr="00FD1534">
              <w:t>Extend local supply chains</w:t>
            </w:r>
          </w:p>
          <w:p w:rsidR="00DB4160" w:rsidRPr="00FD1534" w:rsidRDefault="00DB4160" w:rsidP="00FD1534">
            <w:pPr>
              <w:pStyle w:val="TableBullet"/>
              <w:tabs>
                <w:tab w:val="right" w:pos="5670"/>
              </w:tabs>
            </w:pPr>
            <w:r w:rsidRPr="00FD1534">
              <w:rPr>
                <w:lang w:val="en-GB" w:eastAsia="en-GB"/>
              </w:rPr>
              <w:t>Sizeable investment is occurring as abalone farms expand to meet growing Asian and domestic demand</w:t>
            </w:r>
          </w:p>
          <w:p w:rsidR="002D1459" w:rsidRPr="00FD1534" w:rsidRDefault="002D1459" w:rsidP="00FD1534">
            <w:pPr>
              <w:pStyle w:val="TableBullet"/>
              <w:tabs>
                <w:tab w:val="right" w:pos="5670"/>
              </w:tabs>
            </w:pPr>
            <w:r w:rsidRPr="00FD1534">
              <w:rPr>
                <w:lang w:val="en-GB" w:eastAsia="en-GB"/>
              </w:rPr>
              <w:t xml:space="preserve">Further growth and employment in the service sector, especially for small “lifestyle” farms, which </w:t>
            </w:r>
            <w:r w:rsidRPr="00FD1534">
              <w:rPr>
                <w:lang w:val="en-GB" w:eastAsia="en-GB"/>
              </w:rPr>
              <w:lastRenderedPageBreak/>
              <w:t>are service hungry</w:t>
            </w:r>
          </w:p>
        </w:tc>
        <w:tc>
          <w:tcPr>
            <w:tcW w:w="4673" w:type="dxa"/>
            <w:shd w:val="clear" w:color="auto" w:fill="auto"/>
          </w:tcPr>
          <w:p w:rsidR="00EE0388" w:rsidRPr="00FD1534" w:rsidRDefault="00EE0388" w:rsidP="00FD1534">
            <w:pPr>
              <w:pStyle w:val="TableBullet"/>
              <w:tabs>
                <w:tab w:val="right" w:pos="5670"/>
              </w:tabs>
            </w:pPr>
            <w:r w:rsidRPr="00FD1534">
              <w:lastRenderedPageBreak/>
              <w:t>Lack of collaboration leads to the loss of opportunities and businesses</w:t>
            </w:r>
          </w:p>
          <w:p w:rsidR="00EE0388" w:rsidRPr="00FD1534" w:rsidRDefault="00EE0388" w:rsidP="00FD1534">
            <w:pPr>
              <w:pStyle w:val="TableBullet"/>
              <w:tabs>
                <w:tab w:val="right" w:pos="5670"/>
              </w:tabs>
            </w:pPr>
            <w:r w:rsidRPr="00FD1534">
              <w:t>Loss of logistics and freight industry to Melbourne</w:t>
            </w:r>
          </w:p>
          <w:p w:rsidR="00EE0388" w:rsidRPr="00FD1534" w:rsidRDefault="00EE0388" w:rsidP="00FD1534">
            <w:pPr>
              <w:pStyle w:val="TableBullet"/>
              <w:tabs>
                <w:tab w:val="right" w:pos="5670"/>
              </w:tabs>
            </w:pPr>
            <w:r w:rsidRPr="00FD1534">
              <w:t>The development of the new Melbourne Port at Hastings</w:t>
            </w:r>
          </w:p>
          <w:p w:rsidR="00EE0388" w:rsidRPr="00FD1534" w:rsidRDefault="00EE0388" w:rsidP="00FD1534">
            <w:pPr>
              <w:pStyle w:val="TableBullet"/>
              <w:tabs>
                <w:tab w:val="right" w:pos="5670"/>
              </w:tabs>
            </w:pPr>
            <w:r w:rsidRPr="00FD1534">
              <w:t xml:space="preserve">Retaining investment in the intensive </w:t>
            </w:r>
            <w:r w:rsidR="00AE5D54" w:rsidRPr="00FD1534">
              <w:t>animals’</w:t>
            </w:r>
            <w:r w:rsidR="00096D79" w:rsidRPr="00FD1534">
              <w:t xml:space="preserve"> industry</w:t>
            </w:r>
          </w:p>
          <w:p w:rsidR="00EE0388" w:rsidRPr="00FD1534" w:rsidRDefault="00EE0388" w:rsidP="00FD1534">
            <w:pPr>
              <w:pStyle w:val="TableBullet"/>
              <w:tabs>
                <w:tab w:val="right" w:pos="5670"/>
              </w:tabs>
            </w:pPr>
            <w:r w:rsidRPr="00FD1534">
              <w:t>Loss of intensive animal producers and processors to other regions or States</w:t>
            </w:r>
          </w:p>
          <w:p w:rsidR="00EE0388" w:rsidRPr="00FD1534" w:rsidRDefault="00EE0388" w:rsidP="00FD1534">
            <w:pPr>
              <w:pStyle w:val="TableBullet"/>
              <w:tabs>
                <w:tab w:val="right" w:pos="5670"/>
              </w:tabs>
            </w:pPr>
            <w:r w:rsidRPr="00FD1534">
              <w:t>Land use conflict</w:t>
            </w:r>
            <w:r w:rsidR="00642867" w:rsidRPr="00FD1534">
              <w:t xml:space="preserve"> in rural areas, i.e. residential or lifestyle vs commercial farming, and urban areas, i.e. residential encroachment on industrial areas</w:t>
            </w:r>
          </w:p>
          <w:p w:rsidR="00E00AAC" w:rsidRPr="00FD1534" w:rsidRDefault="00E00AAC" w:rsidP="00FD1534">
            <w:pPr>
              <w:pStyle w:val="TableBullet"/>
              <w:tabs>
                <w:tab w:val="right" w:pos="5670"/>
              </w:tabs>
            </w:pPr>
            <w:r w:rsidRPr="00FD1534">
              <w:t>High energy costs and concerns about security of supply</w:t>
            </w:r>
          </w:p>
          <w:p w:rsidR="0097653D" w:rsidRPr="00FD1534" w:rsidRDefault="0097653D" w:rsidP="00FD1534">
            <w:pPr>
              <w:pStyle w:val="TableBullet"/>
              <w:tabs>
                <w:tab w:val="right" w:pos="5670"/>
              </w:tabs>
            </w:pPr>
            <w:r w:rsidRPr="00FD1534">
              <w:t>Biosecurity</w:t>
            </w:r>
          </w:p>
        </w:tc>
      </w:tr>
    </w:tbl>
    <w:p w:rsidR="00D2454B" w:rsidRDefault="00D2454B" w:rsidP="00905588">
      <w:pPr>
        <w:pStyle w:val="BodyText"/>
      </w:pPr>
    </w:p>
    <w:p w:rsidR="001F1593" w:rsidRDefault="00DF68AB" w:rsidP="00524602">
      <w:pPr>
        <w:pStyle w:val="Heading1"/>
        <w:tabs>
          <w:tab w:val="clear" w:pos="737"/>
          <w:tab w:val="num" w:pos="851"/>
        </w:tabs>
        <w:ind w:left="851" w:hanging="851"/>
      </w:pPr>
      <w:bookmarkStart w:id="24" w:name="_Toc487757691"/>
      <w:bookmarkEnd w:id="6"/>
      <w:bookmarkEnd w:id="7"/>
      <w:bookmarkEnd w:id="8"/>
      <w:bookmarkEnd w:id="9"/>
      <w:bookmarkEnd w:id="10"/>
      <w:bookmarkEnd w:id="11"/>
      <w:bookmarkEnd w:id="12"/>
      <w:r>
        <w:lastRenderedPageBreak/>
        <w:t>Strategic framework</w:t>
      </w:r>
      <w:bookmarkEnd w:id="24"/>
    </w:p>
    <w:p w:rsidR="00DF68AB" w:rsidRDefault="0006525E" w:rsidP="00524602">
      <w:pPr>
        <w:pStyle w:val="Heading2"/>
        <w:tabs>
          <w:tab w:val="clear" w:pos="737"/>
          <w:tab w:val="num" w:pos="851"/>
        </w:tabs>
        <w:ind w:left="851" w:hanging="851"/>
      </w:pPr>
      <w:bookmarkStart w:id="25" w:name="_Toc487757692"/>
      <w:r>
        <w:t>A focus on collaboration</w:t>
      </w:r>
      <w:bookmarkEnd w:id="25"/>
    </w:p>
    <w:p w:rsidR="00DF68AB" w:rsidRPr="00DF68AB" w:rsidRDefault="00D351A5" w:rsidP="00DF68AB">
      <w:pPr>
        <w:pStyle w:val="BodyText"/>
      </w:pPr>
      <w:r>
        <w:t>The opportunities and challenges facing the region’s agribusiness industry requires a strategic response that builds on our existing knowledge and focuses on providing a framework that will guide decision-making and facilitate the growth and development of the sector.</w:t>
      </w:r>
    </w:p>
    <w:p w:rsidR="004B1529" w:rsidRDefault="00D351A5" w:rsidP="00D351A5">
      <w:pPr>
        <w:pStyle w:val="BodyText"/>
      </w:pPr>
      <w:r w:rsidRPr="00D351A5">
        <w:t>Th</w:t>
      </w:r>
      <w:r>
        <w:t>e</w:t>
      </w:r>
      <w:r w:rsidRPr="00D351A5">
        <w:t xml:space="preserve"> strategy does not seek to replace or duplicate the strategies</w:t>
      </w:r>
      <w:r w:rsidR="004B1529">
        <w:t>, programs</w:t>
      </w:r>
      <w:r w:rsidRPr="00D351A5">
        <w:t xml:space="preserve"> or plans of individual businesses</w:t>
      </w:r>
      <w:r w:rsidR="004B1529">
        <w:t>, industry</w:t>
      </w:r>
      <w:r w:rsidR="00912CE6">
        <w:t>,</w:t>
      </w:r>
      <w:r w:rsidR="004B1529">
        <w:t xml:space="preserve"> </w:t>
      </w:r>
      <w:r w:rsidRPr="00D351A5">
        <w:t xml:space="preserve">organisations </w:t>
      </w:r>
      <w:r w:rsidR="004B1529">
        <w:t xml:space="preserve">or government agencies </w:t>
      </w:r>
      <w:r w:rsidRPr="00D351A5">
        <w:t>within the region</w:t>
      </w:r>
      <w:r w:rsidR="004B1529">
        <w:t xml:space="preserve"> and at a State and National level</w:t>
      </w:r>
      <w:r w:rsidRPr="00D351A5">
        <w:t xml:space="preserve">. </w:t>
      </w:r>
      <w:r w:rsidR="004B1529">
        <w:t xml:space="preserve"> </w:t>
      </w:r>
      <w:r w:rsidR="00FF3D87">
        <w:t>It focusses on those issues and actions that are within the control and influence of the key stakeholders that have collaborated to prepare this strategy.</w:t>
      </w:r>
    </w:p>
    <w:p w:rsidR="00D351A5" w:rsidRDefault="00D351A5" w:rsidP="00D351A5">
      <w:pPr>
        <w:pStyle w:val="BodyText"/>
      </w:pPr>
      <w:r w:rsidRPr="00D351A5">
        <w:t xml:space="preserve">It </w:t>
      </w:r>
      <w:r w:rsidR="00FF3D87">
        <w:t xml:space="preserve">also </w:t>
      </w:r>
      <w:r w:rsidRPr="00D351A5">
        <w:t>is recognised that individual</w:t>
      </w:r>
      <w:r w:rsidR="00FF3D87">
        <w:t xml:space="preserve"> businesses</w:t>
      </w:r>
      <w:r w:rsidRPr="00D351A5">
        <w:t xml:space="preserve"> will have their own goals and priorities</w:t>
      </w:r>
      <w:r w:rsidR="00553ACD">
        <w:t xml:space="preserve"> and that the farm sector has its own industry development programs (e.g. WestVic Dairy, Southern Farming Systems)</w:t>
      </w:r>
      <w:r w:rsidRPr="00D351A5">
        <w:t xml:space="preserve">. However, this is an industry-wide strategy for </w:t>
      </w:r>
      <w:r>
        <w:t>the region</w:t>
      </w:r>
      <w:r w:rsidRPr="00D351A5">
        <w:t xml:space="preserve">. </w:t>
      </w:r>
      <w:r>
        <w:t xml:space="preserve"> </w:t>
      </w:r>
      <w:r w:rsidRPr="00D351A5">
        <w:t>It does not cover everything, but it does seek to focus on those things of value to us all, where our priorities overlap and there is advantage to be gained from everybody contributing and col</w:t>
      </w:r>
      <w:r>
        <w:t>laborating to achieve our objective</w:t>
      </w:r>
      <w:r w:rsidRPr="00D351A5">
        <w:t>.</w:t>
      </w:r>
    </w:p>
    <w:p w:rsidR="00D351A5" w:rsidRDefault="00D351A5" w:rsidP="00D351A5">
      <w:pPr>
        <w:pStyle w:val="Heading2"/>
      </w:pPr>
      <w:bookmarkStart w:id="26" w:name="_Toc487757693"/>
      <w:r>
        <w:t>Strategic priorities and goals</w:t>
      </w:r>
      <w:bookmarkEnd w:id="26"/>
    </w:p>
    <w:p w:rsidR="00D351A5" w:rsidRDefault="00D351A5" w:rsidP="00D351A5">
      <w:pPr>
        <w:pStyle w:val="BodyText"/>
      </w:pPr>
      <w:r>
        <w:t>The strategy has f</w:t>
      </w:r>
      <w:r w:rsidR="00C22CBA">
        <w:t xml:space="preserve">ive </w:t>
      </w:r>
      <w:r>
        <w:t>strategic priorities and goals.  They are:</w:t>
      </w:r>
    </w:p>
    <w:p w:rsidR="00D351A5" w:rsidRDefault="00D351A5" w:rsidP="00D351A5">
      <w:pPr>
        <w:pStyle w:val="ListNumber"/>
      </w:pPr>
      <w:r>
        <w:t>Grow our markets</w:t>
      </w:r>
    </w:p>
    <w:p w:rsidR="00D351A5" w:rsidRDefault="00D351A5" w:rsidP="00D351A5">
      <w:pPr>
        <w:pStyle w:val="ListBullet"/>
        <w:ind w:left="851"/>
      </w:pPr>
      <w:r>
        <w:t>Work together to grow our existing markets and initiate entry into new markets</w:t>
      </w:r>
    </w:p>
    <w:p w:rsidR="00D351A5" w:rsidRDefault="00D351A5" w:rsidP="00C81599">
      <w:pPr>
        <w:pStyle w:val="ListNumber"/>
      </w:pPr>
      <w:r>
        <w:t>Develop our people and their businesses</w:t>
      </w:r>
    </w:p>
    <w:p w:rsidR="00D351A5" w:rsidRDefault="00D351A5" w:rsidP="00D351A5">
      <w:pPr>
        <w:pStyle w:val="ListBullet"/>
        <w:ind w:left="851"/>
      </w:pPr>
      <w:r>
        <w:t>Build our people’s capability to add value to their business, their industry and their region</w:t>
      </w:r>
    </w:p>
    <w:p w:rsidR="00D351A5" w:rsidRDefault="00D351A5" w:rsidP="00C81599">
      <w:pPr>
        <w:pStyle w:val="ListNumber"/>
      </w:pPr>
      <w:r>
        <w:t>Encourage innovation and collaboration</w:t>
      </w:r>
    </w:p>
    <w:p w:rsidR="00D351A5" w:rsidRDefault="00D351A5" w:rsidP="00D351A5">
      <w:pPr>
        <w:pStyle w:val="ListBullet"/>
        <w:ind w:left="851"/>
      </w:pPr>
      <w:r>
        <w:t>Create an environment that encourages innovation and collaboration across the supply chain to improve productivity and attract investment</w:t>
      </w:r>
    </w:p>
    <w:p w:rsidR="00D351A5" w:rsidRDefault="00C1458A" w:rsidP="00C81599">
      <w:pPr>
        <w:pStyle w:val="ListNumber"/>
      </w:pPr>
      <w:r>
        <w:t>Build</w:t>
      </w:r>
      <w:r w:rsidR="00AB14FB">
        <w:t xml:space="preserve"> e</w:t>
      </w:r>
      <w:r w:rsidR="00D351A5">
        <w:t>nabling infrastructure</w:t>
      </w:r>
    </w:p>
    <w:p w:rsidR="00D351A5" w:rsidRDefault="00D351A5" w:rsidP="00D351A5">
      <w:pPr>
        <w:pStyle w:val="ListBullet"/>
        <w:ind w:left="851"/>
      </w:pPr>
      <w:r>
        <w:t>Co-operate and advocate at a regional level to ensure appropriate infrastructure investment to facilitate industry growth</w:t>
      </w:r>
    </w:p>
    <w:p w:rsidR="00146759" w:rsidRDefault="00146759" w:rsidP="00146759">
      <w:pPr>
        <w:pStyle w:val="ListNumber"/>
      </w:pPr>
      <w:r>
        <w:t>Implement the strategy</w:t>
      </w:r>
    </w:p>
    <w:p w:rsidR="003B39D9" w:rsidRDefault="00A15684" w:rsidP="00146759">
      <w:pPr>
        <w:pStyle w:val="ListBullet"/>
        <w:ind w:left="851"/>
      </w:pPr>
      <w:r>
        <w:t xml:space="preserve"> </w:t>
      </w:r>
      <w:r w:rsidR="00146759" w:rsidRPr="00146759">
        <w:t>To ensure the efficient, effective and transparent implementation of the Strategy</w:t>
      </w:r>
    </w:p>
    <w:p w:rsidR="00C47A2D" w:rsidRDefault="00C47A2D" w:rsidP="000043DB">
      <w:pPr>
        <w:pStyle w:val="BodyText"/>
      </w:pPr>
      <w:r>
        <w:t>The fifth strategic priority is an enabling strategy</w:t>
      </w:r>
      <w:r w:rsidR="00CB506A">
        <w:t xml:space="preserve">.  </w:t>
      </w:r>
      <w:r w:rsidR="00FF3D87">
        <w:t xml:space="preserve">It responds to the overwhelming desire within the industry to see action.  </w:t>
      </w:r>
      <w:r w:rsidR="00CB506A">
        <w:t xml:space="preserve">It recognises that there is more work to be done to ensure </w:t>
      </w:r>
      <w:r w:rsidR="00A06F17">
        <w:t xml:space="preserve">that </w:t>
      </w:r>
      <w:r w:rsidR="00CB506A">
        <w:t xml:space="preserve">the strategies and actions presented in the following pages are actually implemented and evaluated for their effectiveness.  </w:t>
      </w:r>
      <w:r w:rsidR="00FF3D87">
        <w:t xml:space="preserve">It should seek to leverage relevant strategies and programs at a regional, State and National level.  </w:t>
      </w:r>
    </w:p>
    <w:p w:rsidR="00FF3D87" w:rsidRDefault="00FF3D87" w:rsidP="000043DB">
      <w:pPr>
        <w:pStyle w:val="BodyText"/>
      </w:pPr>
    </w:p>
    <w:p w:rsidR="00D351A5" w:rsidRPr="00D351A5" w:rsidRDefault="00D351A5" w:rsidP="00D351A5">
      <w:pPr>
        <w:pStyle w:val="BodyText"/>
      </w:pPr>
      <w:r w:rsidRPr="00D351A5">
        <w:t xml:space="preserve"> </w:t>
      </w:r>
    </w:p>
    <w:p w:rsidR="00DF68AB" w:rsidRPr="00685E29" w:rsidRDefault="00DF68AB" w:rsidP="00685E29">
      <w:pPr>
        <w:pStyle w:val="BodyText"/>
      </w:pPr>
    </w:p>
    <w:p w:rsidR="00E37FEB" w:rsidRPr="00F92A26" w:rsidRDefault="00E37FEB" w:rsidP="00F92A26">
      <w:pPr>
        <w:pStyle w:val="BodyText"/>
      </w:pPr>
    </w:p>
    <w:p w:rsidR="00C6595F" w:rsidRDefault="00C6595F" w:rsidP="007B29A5">
      <w:pPr>
        <w:pStyle w:val="BodyText"/>
      </w:pPr>
    </w:p>
    <w:p w:rsidR="004E545B" w:rsidRDefault="004E545B" w:rsidP="001311AB">
      <w:pPr>
        <w:pStyle w:val="Heading1"/>
        <w:tabs>
          <w:tab w:val="clear" w:pos="737"/>
        </w:tabs>
        <w:ind w:left="851" w:hanging="851"/>
        <w:sectPr w:rsidR="004E545B" w:rsidSect="00D11007">
          <w:footnotePr>
            <w:numRestart w:val="eachSect"/>
          </w:footnotePr>
          <w:type w:val="continuous"/>
          <w:pgSz w:w="11906" w:h="16838" w:code="9"/>
          <w:pgMar w:top="1383" w:right="1274" w:bottom="1247" w:left="1276" w:header="510" w:footer="284" w:gutter="0"/>
          <w:pgNumType w:start="4"/>
          <w:cols w:space="227"/>
          <w:docGrid w:linePitch="360"/>
        </w:sectPr>
      </w:pPr>
    </w:p>
    <w:p w:rsidR="001311AB" w:rsidRDefault="001F1593" w:rsidP="00524602">
      <w:pPr>
        <w:pStyle w:val="Heading2"/>
        <w:tabs>
          <w:tab w:val="clear" w:pos="737"/>
          <w:tab w:val="num" w:pos="851"/>
        </w:tabs>
        <w:ind w:left="851" w:hanging="851"/>
      </w:pPr>
      <w:bookmarkStart w:id="27" w:name="_Toc487757694"/>
      <w:r>
        <w:lastRenderedPageBreak/>
        <w:t>Priority 1 – Grow our markets</w:t>
      </w:r>
      <w:bookmarkEnd w:id="27"/>
    </w:p>
    <w:p w:rsidR="001F1593" w:rsidRPr="007D2E80" w:rsidRDefault="001F1593" w:rsidP="00C1458A">
      <w:pPr>
        <w:pStyle w:val="BodyText"/>
        <w:tabs>
          <w:tab w:val="left" w:pos="851"/>
        </w:tabs>
        <w:ind w:left="851" w:hanging="851"/>
        <w:rPr>
          <w:b/>
          <w:i/>
        </w:rPr>
      </w:pPr>
      <w:r w:rsidRPr="007D2E80">
        <w:rPr>
          <w:b/>
          <w:i/>
        </w:rPr>
        <w:t>Goal:</w:t>
      </w:r>
      <w:r w:rsidRPr="007D2E80">
        <w:rPr>
          <w:b/>
          <w:i/>
        </w:rPr>
        <w:tab/>
      </w:r>
      <w:r w:rsidRPr="007D2E80">
        <w:rPr>
          <w:i/>
        </w:rPr>
        <w:t>Work together to grow our existing markets and initiate entry into new markets.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70"/>
        <w:gridCol w:w="3402"/>
        <w:gridCol w:w="5103"/>
      </w:tblGrid>
      <w:tr w:rsidR="00AE197B" w:rsidRPr="00FD1534" w:rsidTr="00FD1534">
        <w:tc>
          <w:tcPr>
            <w:tcW w:w="5670" w:type="dxa"/>
            <w:shd w:val="clear" w:color="auto" w:fill="213144"/>
            <w:vAlign w:val="center"/>
          </w:tcPr>
          <w:p w:rsidR="009C6E1A" w:rsidRPr="00FD1534" w:rsidRDefault="009C6E1A" w:rsidP="00FD1534">
            <w:pPr>
              <w:pStyle w:val="BodyText"/>
              <w:tabs>
                <w:tab w:val="right" w:pos="5670"/>
              </w:tabs>
              <w:rPr>
                <w:b/>
                <w:sz w:val="18"/>
                <w:szCs w:val="18"/>
              </w:rPr>
            </w:pPr>
            <w:r w:rsidRPr="00FD1534">
              <w:rPr>
                <w:b/>
                <w:sz w:val="18"/>
                <w:szCs w:val="18"/>
              </w:rPr>
              <w:t>Issues</w:t>
            </w:r>
          </w:p>
        </w:tc>
        <w:tc>
          <w:tcPr>
            <w:tcW w:w="3402" w:type="dxa"/>
            <w:shd w:val="clear" w:color="auto" w:fill="213144"/>
          </w:tcPr>
          <w:p w:rsidR="009C6E1A" w:rsidRPr="00FD1534" w:rsidRDefault="009C6E1A" w:rsidP="00FD1534">
            <w:pPr>
              <w:pStyle w:val="BodyText"/>
              <w:tabs>
                <w:tab w:val="right" w:pos="5670"/>
              </w:tabs>
              <w:rPr>
                <w:b/>
                <w:sz w:val="18"/>
                <w:szCs w:val="18"/>
              </w:rPr>
            </w:pPr>
            <w:r w:rsidRPr="00FD1534">
              <w:rPr>
                <w:b/>
                <w:sz w:val="18"/>
                <w:szCs w:val="18"/>
              </w:rPr>
              <w:t>Strategies</w:t>
            </w:r>
          </w:p>
        </w:tc>
        <w:tc>
          <w:tcPr>
            <w:tcW w:w="5103" w:type="dxa"/>
            <w:shd w:val="clear" w:color="auto" w:fill="213144"/>
          </w:tcPr>
          <w:p w:rsidR="009C6E1A" w:rsidRPr="00FD1534" w:rsidRDefault="009C6E1A" w:rsidP="00FD1534">
            <w:pPr>
              <w:pStyle w:val="BodyText"/>
              <w:tabs>
                <w:tab w:val="right" w:pos="5670"/>
              </w:tabs>
              <w:rPr>
                <w:b/>
                <w:sz w:val="18"/>
                <w:szCs w:val="18"/>
              </w:rPr>
            </w:pPr>
            <w:r w:rsidRPr="00FD1534">
              <w:rPr>
                <w:b/>
                <w:sz w:val="18"/>
                <w:szCs w:val="18"/>
              </w:rPr>
              <w:t>Actions</w:t>
            </w:r>
          </w:p>
        </w:tc>
      </w:tr>
      <w:tr w:rsidR="00AE197B" w:rsidRPr="00FD1534" w:rsidTr="00FD1534">
        <w:tc>
          <w:tcPr>
            <w:tcW w:w="5670" w:type="dxa"/>
            <w:vMerge w:val="restart"/>
            <w:shd w:val="clear" w:color="auto" w:fill="auto"/>
            <w:vAlign w:val="center"/>
          </w:tcPr>
          <w:p w:rsidR="009C6E1A" w:rsidRPr="00FD1534" w:rsidRDefault="009C6E1A" w:rsidP="00FD1534">
            <w:pPr>
              <w:pStyle w:val="TableBullet"/>
              <w:tabs>
                <w:tab w:val="right" w:pos="5670"/>
              </w:tabs>
              <w:rPr>
                <w:szCs w:val="18"/>
              </w:rPr>
            </w:pPr>
            <w:r w:rsidRPr="00FD1534">
              <w:rPr>
                <w:szCs w:val="18"/>
              </w:rPr>
              <w:t>We have one of the fastest growing markets within our region, due to the rapid growth of our population.</w:t>
            </w:r>
          </w:p>
          <w:p w:rsidR="009C6E1A" w:rsidRPr="00FD1534" w:rsidRDefault="009C6E1A" w:rsidP="00FD1534">
            <w:pPr>
              <w:pStyle w:val="TableBullet"/>
              <w:tabs>
                <w:tab w:val="right" w:pos="5670"/>
              </w:tabs>
              <w:rPr>
                <w:szCs w:val="18"/>
              </w:rPr>
            </w:pPr>
            <w:r w:rsidRPr="00FD1534">
              <w:rPr>
                <w:szCs w:val="18"/>
              </w:rPr>
              <w:t>Geelong, The Bellarine and the Great Ocean Road also have very high levels of visitation, which provide an opportunity to expand our offerings to these visitors and promote our products to new markets, where these visitors come from.</w:t>
            </w:r>
          </w:p>
          <w:p w:rsidR="009C6E1A" w:rsidRPr="00FD1534" w:rsidRDefault="009C6E1A" w:rsidP="00FD1534">
            <w:pPr>
              <w:pStyle w:val="TableBullet"/>
              <w:tabs>
                <w:tab w:val="right" w:pos="5670"/>
              </w:tabs>
              <w:rPr>
                <w:szCs w:val="18"/>
              </w:rPr>
            </w:pPr>
            <w:r w:rsidRPr="00FD1534">
              <w:rPr>
                <w:szCs w:val="18"/>
              </w:rPr>
              <w:t>Agribusiness is a key plank in the region’s offer to visitors through the combination of food, wine and related experiences it provides through local cafes, wineries, providores, and farm-gate experiences, as well as the agricultural landscapes which underpin the physical experience our visitors enjoy.</w:t>
            </w:r>
          </w:p>
          <w:p w:rsidR="009C6E1A" w:rsidRPr="00FD1534" w:rsidRDefault="009C6E1A" w:rsidP="00FD1534">
            <w:pPr>
              <w:pStyle w:val="TableBullet"/>
              <w:tabs>
                <w:tab w:val="right" w:pos="5670"/>
              </w:tabs>
              <w:rPr>
                <w:szCs w:val="18"/>
              </w:rPr>
            </w:pPr>
            <w:r w:rsidRPr="00FD1534">
              <w:rPr>
                <w:szCs w:val="18"/>
              </w:rPr>
              <w:t>Our processors, especially those that have significant sales within the region, also recognise the importance of growing visitation to the region and fostering greater expenditure by visitors.</w:t>
            </w:r>
          </w:p>
          <w:p w:rsidR="009C6E1A" w:rsidRPr="00FD1534" w:rsidRDefault="009C6E1A" w:rsidP="00FD1534">
            <w:pPr>
              <w:pStyle w:val="TableBullet"/>
              <w:tabs>
                <w:tab w:val="right" w:pos="5670"/>
              </w:tabs>
              <w:rPr>
                <w:szCs w:val="18"/>
              </w:rPr>
            </w:pPr>
            <w:r w:rsidRPr="00FD1534">
              <w:rPr>
                <w:szCs w:val="18"/>
              </w:rPr>
              <w:t>There are also opportunities to pursue growth in domestic and export markets beyond our visitor economy, which require research, skills and investment.</w:t>
            </w:r>
          </w:p>
          <w:p w:rsidR="009C6E1A" w:rsidRPr="00FD1534" w:rsidRDefault="009C6E1A" w:rsidP="00FD1534">
            <w:pPr>
              <w:pStyle w:val="TableBullet"/>
              <w:tabs>
                <w:tab w:val="right" w:pos="5670"/>
              </w:tabs>
              <w:rPr>
                <w:szCs w:val="18"/>
              </w:rPr>
            </w:pPr>
            <w:r w:rsidRPr="00FD1534">
              <w:rPr>
                <w:szCs w:val="18"/>
              </w:rPr>
              <w:t>Developing our “</w:t>
            </w:r>
            <w:r w:rsidRPr="00FD1534">
              <w:rPr>
                <w:i/>
                <w:szCs w:val="18"/>
              </w:rPr>
              <w:t>reputation</w:t>
            </w:r>
            <w:r w:rsidRPr="00FD1534">
              <w:rPr>
                <w:szCs w:val="18"/>
              </w:rPr>
              <w:t>” will be a key contributor to this growth, especially with food and wine.  For example, “</w:t>
            </w:r>
            <w:r w:rsidRPr="00FD1534">
              <w:rPr>
                <w:i/>
                <w:szCs w:val="18"/>
              </w:rPr>
              <w:t>Geelong</w:t>
            </w:r>
            <w:r w:rsidRPr="00FD1534">
              <w:rPr>
                <w:szCs w:val="18"/>
              </w:rPr>
              <w:t>” does not have the reputation for wine that “</w:t>
            </w:r>
            <w:r w:rsidRPr="00FD1534">
              <w:rPr>
                <w:i/>
                <w:szCs w:val="18"/>
              </w:rPr>
              <w:t>Yarra Valley</w:t>
            </w:r>
            <w:r w:rsidRPr="00FD1534">
              <w:rPr>
                <w:szCs w:val="18"/>
              </w:rPr>
              <w:t>” or “</w:t>
            </w:r>
            <w:r w:rsidRPr="00FD1534">
              <w:rPr>
                <w:i/>
                <w:szCs w:val="18"/>
              </w:rPr>
              <w:t>Mornington Peninsula</w:t>
            </w:r>
            <w:r w:rsidRPr="00FD1534">
              <w:rPr>
                <w:szCs w:val="18"/>
              </w:rPr>
              <w:t>” have.</w:t>
            </w:r>
          </w:p>
          <w:p w:rsidR="009C6E1A" w:rsidRPr="00FD1534" w:rsidRDefault="009C6E1A" w:rsidP="00FD1534">
            <w:pPr>
              <w:pStyle w:val="TableBullet"/>
              <w:tabs>
                <w:tab w:val="right" w:pos="5670"/>
              </w:tabs>
              <w:rPr>
                <w:szCs w:val="18"/>
              </w:rPr>
            </w:pPr>
            <w:r w:rsidRPr="00FD1534">
              <w:rPr>
                <w:szCs w:val="18"/>
              </w:rPr>
              <w:t xml:space="preserve">Therefore, building brand recognition will be a crucial ingredient for success in the market place, but we need to be smart.  Regional branding may not be the answer, but support for group (e.g. </w:t>
            </w:r>
            <w:r w:rsidRPr="00FD1534">
              <w:rPr>
                <w:i/>
                <w:szCs w:val="18"/>
              </w:rPr>
              <w:t>Bellarine Taste Trail</w:t>
            </w:r>
            <w:r w:rsidRPr="00FD1534">
              <w:rPr>
                <w:szCs w:val="18"/>
              </w:rPr>
              <w:t xml:space="preserve">) and/or business (e.g. </w:t>
            </w:r>
            <w:r w:rsidRPr="00FD1534">
              <w:rPr>
                <w:i/>
                <w:szCs w:val="18"/>
              </w:rPr>
              <w:t>Otway Pork</w:t>
            </w:r>
            <w:r w:rsidRPr="00FD1534">
              <w:rPr>
                <w:szCs w:val="18"/>
              </w:rPr>
              <w:t>) branding may be a better investment.</w:t>
            </w:r>
          </w:p>
        </w:tc>
        <w:tc>
          <w:tcPr>
            <w:tcW w:w="3402" w:type="dxa"/>
            <w:shd w:val="clear" w:color="auto" w:fill="auto"/>
          </w:tcPr>
          <w:p w:rsidR="009C6E1A" w:rsidRPr="00FD1534" w:rsidRDefault="009C6E1A" w:rsidP="00FD1534">
            <w:pPr>
              <w:pStyle w:val="TableNumber"/>
              <w:keepNext/>
              <w:keepLines/>
              <w:pageBreakBefore/>
              <w:numPr>
                <w:ilvl w:val="0"/>
                <w:numId w:val="16"/>
              </w:numPr>
              <w:tabs>
                <w:tab w:val="clear" w:pos="284"/>
                <w:tab w:val="right" w:pos="5670"/>
              </w:tabs>
              <w:ind w:left="364" w:hanging="364"/>
              <w:jc w:val="left"/>
              <w:outlineLvl w:val="0"/>
              <w:rPr>
                <w:sz w:val="18"/>
                <w:szCs w:val="18"/>
              </w:rPr>
            </w:pPr>
            <w:r w:rsidRPr="00FD1534">
              <w:rPr>
                <w:sz w:val="18"/>
                <w:szCs w:val="18"/>
              </w:rPr>
              <w:t xml:space="preserve">Promote the </w:t>
            </w:r>
            <w:r w:rsidR="007C73E2" w:rsidRPr="00FD1534">
              <w:rPr>
                <w:sz w:val="18"/>
                <w:szCs w:val="18"/>
              </w:rPr>
              <w:t xml:space="preserve">value of the </w:t>
            </w:r>
            <w:r w:rsidRPr="00FD1534">
              <w:rPr>
                <w:sz w:val="18"/>
                <w:szCs w:val="18"/>
              </w:rPr>
              <w:t>sector</w:t>
            </w:r>
            <w:r w:rsidR="00935A31" w:rsidRPr="00FD1534">
              <w:rPr>
                <w:sz w:val="18"/>
                <w:szCs w:val="18"/>
              </w:rPr>
              <w:t>, its educational and career opportunities, and the potential for further investment</w:t>
            </w:r>
            <w:r w:rsidRPr="00FD1534">
              <w:rPr>
                <w:sz w:val="18"/>
                <w:szCs w:val="18"/>
              </w:rPr>
              <w:t xml:space="preserve"> to the regional community</w:t>
            </w:r>
            <w:r w:rsidR="00935A31" w:rsidRPr="00FD1534">
              <w:rPr>
                <w:sz w:val="18"/>
                <w:szCs w:val="18"/>
              </w:rPr>
              <w:t>, government</w:t>
            </w:r>
            <w:r w:rsidR="007C73E2" w:rsidRPr="00FD1534">
              <w:rPr>
                <w:sz w:val="18"/>
                <w:szCs w:val="18"/>
              </w:rPr>
              <w:t xml:space="preserve"> </w:t>
            </w:r>
            <w:r w:rsidRPr="00FD1534">
              <w:rPr>
                <w:sz w:val="18"/>
                <w:szCs w:val="18"/>
              </w:rPr>
              <w:t xml:space="preserve">and </w:t>
            </w:r>
            <w:r w:rsidR="00935A31" w:rsidRPr="00FD1534">
              <w:rPr>
                <w:sz w:val="18"/>
                <w:szCs w:val="18"/>
              </w:rPr>
              <w:t>the private sector</w:t>
            </w:r>
            <w:r w:rsidRPr="00FD1534">
              <w:rPr>
                <w:sz w:val="18"/>
                <w:szCs w:val="18"/>
              </w:rPr>
              <w:t>.</w:t>
            </w:r>
          </w:p>
        </w:tc>
        <w:tc>
          <w:tcPr>
            <w:tcW w:w="5103" w:type="dxa"/>
            <w:shd w:val="clear" w:color="auto" w:fill="auto"/>
          </w:tcPr>
          <w:p w:rsidR="009C6E1A" w:rsidRPr="00FD1534" w:rsidRDefault="009C6E1A" w:rsidP="00FD1534">
            <w:pPr>
              <w:pStyle w:val="BodyText"/>
              <w:tabs>
                <w:tab w:val="left" w:pos="418"/>
                <w:tab w:val="right" w:pos="5388"/>
              </w:tabs>
              <w:spacing w:before="60" w:after="60"/>
              <w:ind w:left="454" w:hanging="454"/>
              <w:jc w:val="left"/>
              <w:rPr>
                <w:color w:val="000000"/>
                <w:sz w:val="18"/>
                <w:szCs w:val="18"/>
              </w:rPr>
            </w:pPr>
            <w:r w:rsidRPr="00FD1534">
              <w:rPr>
                <w:color w:val="000000"/>
                <w:sz w:val="18"/>
                <w:szCs w:val="18"/>
              </w:rPr>
              <w:t>1.1</w:t>
            </w:r>
            <w:r w:rsidRPr="00FD1534">
              <w:rPr>
                <w:color w:val="000000"/>
                <w:sz w:val="18"/>
                <w:szCs w:val="18"/>
              </w:rPr>
              <w:tab/>
              <w:t>Develop and maintain relevant collateral to promote the agribusiness industry in G21, including relevant case studies and the use of digital media.</w:t>
            </w:r>
          </w:p>
          <w:p w:rsidR="00935A31" w:rsidRPr="00FD1534" w:rsidRDefault="00935A31" w:rsidP="00FD1534">
            <w:pPr>
              <w:pStyle w:val="BodyText"/>
              <w:tabs>
                <w:tab w:val="left" w:pos="418"/>
                <w:tab w:val="right" w:pos="5388"/>
              </w:tabs>
              <w:spacing w:before="60" w:after="60"/>
              <w:ind w:left="454" w:hanging="454"/>
              <w:jc w:val="left"/>
              <w:rPr>
                <w:color w:val="000000"/>
                <w:sz w:val="18"/>
                <w:szCs w:val="18"/>
              </w:rPr>
            </w:pPr>
            <w:r w:rsidRPr="00FD1534">
              <w:rPr>
                <w:color w:val="000000"/>
                <w:sz w:val="18"/>
                <w:szCs w:val="18"/>
              </w:rPr>
              <w:t>1.2</w:t>
            </w:r>
            <w:r w:rsidRPr="00FD1534">
              <w:rPr>
                <w:color w:val="000000"/>
                <w:sz w:val="18"/>
                <w:szCs w:val="18"/>
              </w:rPr>
              <w:tab/>
            </w:r>
            <w:r w:rsidR="00AF3C38" w:rsidRPr="00FD1534">
              <w:rPr>
                <w:color w:val="000000"/>
                <w:sz w:val="18"/>
                <w:szCs w:val="18"/>
              </w:rPr>
              <w:t>P</w:t>
            </w:r>
            <w:r w:rsidRPr="00FD1534">
              <w:rPr>
                <w:color w:val="000000"/>
                <w:sz w:val="18"/>
                <w:szCs w:val="18"/>
              </w:rPr>
              <w:t xml:space="preserve">romote </w:t>
            </w:r>
            <w:r w:rsidR="000D0B3E" w:rsidRPr="00FD1534">
              <w:rPr>
                <w:color w:val="000000"/>
                <w:sz w:val="18"/>
                <w:szCs w:val="18"/>
              </w:rPr>
              <w:t xml:space="preserve">the range of </w:t>
            </w:r>
            <w:r w:rsidR="00E96B60" w:rsidRPr="00FD1534">
              <w:rPr>
                <w:color w:val="000000"/>
                <w:sz w:val="18"/>
                <w:szCs w:val="18"/>
              </w:rPr>
              <w:t xml:space="preserve">agribusiness </w:t>
            </w:r>
            <w:r w:rsidRPr="00FD1534">
              <w:rPr>
                <w:color w:val="000000"/>
                <w:sz w:val="18"/>
                <w:szCs w:val="18"/>
              </w:rPr>
              <w:t xml:space="preserve">investment opportunities </w:t>
            </w:r>
            <w:r w:rsidR="002A458F" w:rsidRPr="00FD1534">
              <w:rPr>
                <w:color w:val="000000"/>
                <w:sz w:val="18"/>
                <w:szCs w:val="18"/>
              </w:rPr>
              <w:t xml:space="preserve">within the region </w:t>
            </w:r>
            <w:r w:rsidRPr="00FD1534">
              <w:rPr>
                <w:color w:val="000000"/>
                <w:sz w:val="18"/>
                <w:szCs w:val="18"/>
              </w:rPr>
              <w:t xml:space="preserve">to </w:t>
            </w:r>
            <w:r w:rsidR="00E96B60" w:rsidRPr="00FD1534">
              <w:rPr>
                <w:color w:val="000000"/>
                <w:sz w:val="18"/>
                <w:szCs w:val="18"/>
              </w:rPr>
              <w:t>Invest Victoria, other relevant government agencies and the broader private sector.</w:t>
            </w:r>
          </w:p>
        </w:tc>
      </w:tr>
      <w:tr w:rsidR="00AE197B" w:rsidRPr="00FD1534" w:rsidTr="00FD1534">
        <w:tc>
          <w:tcPr>
            <w:tcW w:w="5670" w:type="dxa"/>
            <w:vMerge/>
            <w:shd w:val="clear" w:color="auto" w:fill="auto"/>
            <w:vAlign w:val="center"/>
          </w:tcPr>
          <w:p w:rsidR="009C6E1A" w:rsidRPr="00FD1534" w:rsidRDefault="009C6E1A" w:rsidP="00FD1534">
            <w:pPr>
              <w:pStyle w:val="BodyText"/>
              <w:tabs>
                <w:tab w:val="right" w:pos="5670"/>
              </w:tabs>
              <w:rPr>
                <w:sz w:val="18"/>
                <w:szCs w:val="18"/>
              </w:rPr>
            </w:pPr>
          </w:p>
        </w:tc>
        <w:tc>
          <w:tcPr>
            <w:tcW w:w="3402" w:type="dxa"/>
            <w:shd w:val="clear" w:color="auto" w:fill="auto"/>
          </w:tcPr>
          <w:p w:rsidR="009C6E1A" w:rsidRPr="00FD1534" w:rsidRDefault="009C6E1A" w:rsidP="00FD1534">
            <w:pPr>
              <w:pStyle w:val="TableNumber"/>
              <w:keepNext/>
              <w:keepLines/>
              <w:pageBreakBefore/>
              <w:numPr>
                <w:ilvl w:val="0"/>
                <w:numId w:val="16"/>
              </w:numPr>
              <w:tabs>
                <w:tab w:val="clear" w:pos="284"/>
                <w:tab w:val="right" w:pos="5670"/>
              </w:tabs>
              <w:ind w:left="364" w:hanging="364"/>
              <w:jc w:val="left"/>
              <w:outlineLvl w:val="0"/>
              <w:rPr>
                <w:sz w:val="18"/>
                <w:szCs w:val="18"/>
              </w:rPr>
            </w:pPr>
            <w:r w:rsidRPr="00FD1534">
              <w:rPr>
                <w:sz w:val="18"/>
                <w:szCs w:val="18"/>
              </w:rPr>
              <w:t xml:space="preserve">Promote </w:t>
            </w:r>
            <w:r w:rsidR="00CA0DD4" w:rsidRPr="00FD1534">
              <w:rPr>
                <w:sz w:val="18"/>
                <w:szCs w:val="18"/>
              </w:rPr>
              <w:t>the availability of</w:t>
            </w:r>
            <w:r w:rsidRPr="00FD1534">
              <w:rPr>
                <w:sz w:val="18"/>
                <w:szCs w:val="18"/>
              </w:rPr>
              <w:t xml:space="preserve"> </w:t>
            </w:r>
            <w:r w:rsidR="00CA0DD4" w:rsidRPr="00FD1534">
              <w:rPr>
                <w:sz w:val="18"/>
                <w:szCs w:val="18"/>
              </w:rPr>
              <w:t xml:space="preserve">quality </w:t>
            </w:r>
            <w:r w:rsidRPr="00FD1534">
              <w:rPr>
                <w:sz w:val="18"/>
                <w:szCs w:val="18"/>
              </w:rPr>
              <w:t>local produce</w:t>
            </w:r>
            <w:r w:rsidR="00CA0DD4" w:rsidRPr="00FD1534">
              <w:rPr>
                <w:sz w:val="18"/>
                <w:szCs w:val="18"/>
              </w:rPr>
              <w:t xml:space="preserve"> to the regional community</w:t>
            </w:r>
            <w:r w:rsidRPr="00FD1534">
              <w:rPr>
                <w:sz w:val="18"/>
                <w:szCs w:val="18"/>
              </w:rPr>
              <w:t>.</w:t>
            </w:r>
          </w:p>
        </w:tc>
        <w:tc>
          <w:tcPr>
            <w:tcW w:w="5103" w:type="dxa"/>
            <w:shd w:val="clear" w:color="auto" w:fill="auto"/>
          </w:tcPr>
          <w:p w:rsidR="007C73E2" w:rsidRPr="00FD1534" w:rsidRDefault="009C6E1A" w:rsidP="00FD1534">
            <w:pPr>
              <w:pStyle w:val="TableNumber"/>
              <w:numPr>
                <w:ilvl w:val="0"/>
                <w:numId w:val="0"/>
              </w:numPr>
              <w:tabs>
                <w:tab w:val="right" w:pos="5670"/>
              </w:tabs>
              <w:ind w:left="454" w:hanging="454"/>
              <w:jc w:val="left"/>
              <w:rPr>
                <w:color w:val="000000"/>
                <w:sz w:val="18"/>
                <w:szCs w:val="18"/>
              </w:rPr>
            </w:pPr>
            <w:r w:rsidRPr="00FD1534">
              <w:rPr>
                <w:color w:val="000000"/>
                <w:sz w:val="18"/>
                <w:szCs w:val="18"/>
              </w:rPr>
              <w:t>2.1</w:t>
            </w:r>
            <w:r w:rsidRPr="00FD1534">
              <w:rPr>
                <w:color w:val="000000"/>
                <w:sz w:val="18"/>
                <w:szCs w:val="18"/>
              </w:rPr>
              <w:tab/>
            </w:r>
            <w:r w:rsidR="00F61799" w:rsidRPr="00FD1534">
              <w:rPr>
                <w:color w:val="000000"/>
                <w:sz w:val="18"/>
                <w:szCs w:val="18"/>
              </w:rPr>
              <w:t xml:space="preserve">Promote the presence of local producers, </w:t>
            </w:r>
            <w:r w:rsidRPr="00FD1534">
              <w:rPr>
                <w:color w:val="000000"/>
                <w:sz w:val="18"/>
                <w:szCs w:val="18"/>
              </w:rPr>
              <w:t xml:space="preserve">“food trails” </w:t>
            </w:r>
            <w:r w:rsidR="00F61799" w:rsidRPr="00FD1534">
              <w:rPr>
                <w:color w:val="000000"/>
                <w:sz w:val="18"/>
                <w:szCs w:val="18"/>
              </w:rPr>
              <w:t xml:space="preserve">and “farmers’ markets” </w:t>
            </w:r>
            <w:r w:rsidR="00F6411B" w:rsidRPr="00FD1534">
              <w:rPr>
                <w:color w:val="000000"/>
                <w:sz w:val="18"/>
                <w:szCs w:val="18"/>
              </w:rPr>
              <w:t>as a source of local fresh and quality produce.</w:t>
            </w:r>
          </w:p>
        </w:tc>
      </w:tr>
      <w:tr w:rsidR="00AE197B" w:rsidRPr="00FD1534" w:rsidTr="00FD1534">
        <w:trPr>
          <w:trHeight w:val="2707"/>
        </w:trPr>
        <w:tc>
          <w:tcPr>
            <w:tcW w:w="5670" w:type="dxa"/>
            <w:vMerge/>
            <w:shd w:val="clear" w:color="auto" w:fill="auto"/>
            <w:vAlign w:val="center"/>
          </w:tcPr>
          <w:p w:rsidR="00351865" w:rsidRPr="00FD1534" w:rsidRDefault="00351865" w:rsidP="00FD1534">
            <w:pPr>
              <w:pStyle w:val="BodyText"/>
              <w:tabs>
                <w:tab w:val="right" w:pos="5670"/>
              </w:tabs>
              <w:rPr>
                <w:sz w:val="18"/>
                <w:szCs w:val="18"/>
              </w:rPr>
            </w:pPr>
          </w:p>
        </w:tc>
        <w:tc>
          <w:tcPr>
            <w:tcW w:w="3402" w:type="dxa"/>
            <w:shd w:val="clear" w:color="auto" w:fill="auto"/>
          </w:tcPr>
          <w:p w:rsidR="00351865" w:rsidRPr="00FD1534" w:rsidRDefault="00351865" w:rsidP="00FD1534">
            <w:pPr>
              <w:pStyle w:val="TableNumber"/>
              <w:keepNext/>
              <w:keepLines/>
              <w:pageBreakBefore/>
              <w:numPr>
                <w:ilvl w:val="0"/>
                <w:numId w:val="16"/>
              </w:numPr>
              <w:tabs>
                <w:tab w:val="clear" w:pos="284"/>
                <w:tab w:val="right" w:pos="5670"/>
              </w:tabs>
              <w:ind w:left="364" w:hanging="364"/>
              <w:jc w:val="left"/>
              <w:outlineLvl w:val="0"/>
              <w:rPr>
                <w:sz w:val="18"/>
                <w:szCs w:val="18"/>
              </w:rPr>
            </w:pPr>
            <w:r w:rsidRPr="00FD1534">
              <w:rPr>
                <w:sz w:val="18"/>
                <w:szCs w:val="18"/>
              </w:rPr>
              <w:t>Grow the reputation of our food and wine</w:t>
            </w:r>
            <w:r w:rsidR="00413B59" w:rsidRPr="00FD1534">
              <w:rPr>
                <w:sz w:val="18"/>
                <w:szCs w:val="18"/>
              </w:rPr>
              <w:t xml:space="preserve"> in domestic and international markets.</w:t>
            </w:r>
          </w:p>
        </w:tc>
        <w:tc>
          <w:tcPr>
            <w:tcW w:w="5103" w:type="dxa"/>
            <w:shd w:val="clear" w:color="auto" w:fill="auto"/>
          </w:tcPr>
          <w:p w:rsidR="009E14E5" w:rsidRPr="00FD1534" w:rsidRDefault="00F6411B" w:rsidP="00FD1534">
            <w:pPr>
              <w:tabs>
                <w:tab w:val="right" w:pos="5670"/>
              </w:tabs>
              <w:spacing w:before="60" w:after="60" w:line="240" w:lineRule="auto"/>
              <w:ind w:left="454" w:hanging="454"/>
              <w:jc w:val="left"/>
              <w:rPr>
                <w:color w:val="000000"/>
                <w:sz w:val="18"/>
                <w:szCs w:val="18"/>
              </w:rPr>
            </w:pPr>
            <w:r w:rsidRPr="00FD1534">
              <w:rPr>
                <w:color w:val="000000"/>
                <w:sz w:val="18"/>
                <w:szCs w:val="18"/>
              </w:rPr>
              <w:t>3</w:t>
            </w:r>
            <w:r w:rsidR="00351865" w:rsidRPr="00FD1534">
              <w:rPr>
                <w:color w:val="000000"/>
                <w:sz w:val="18"/>
                <w:szCs w:val="18"/>
              </w:rPr>
              <w:t>.1</w:t>
            </w:r>
            <w:r w:rsidR="00351865" w:rsidRPr="00FD1534">
              <w:rPr>
                <w:color w:val="000000"/>
                <w:sz w:val="18"/>
                <w:szCs w:val="18"/>
              </w:rPr>
              <w:tab/>
            </w:r>
            <w:r w:rsidR="00413B59" w:rsidRPr="00FD1534">
              <w:rPr>
                <w:color w:val="000000"/>
                <w:sz w:val="18"/>
                <w:szCs w:val="18"/>
              </w:rPr>
              <w:t>Collaborate with the Regional Tourism Or</w:t>
            </w:r>
            <w:r w:rsidR="0080533A" w:rsidRPr="00FD1534">
              <w:rPr>
                <w:color w:val="000000"/>
                <w:sz w:val="18"/>
                <w:szCs w:val="18"/>
              </w:rPr>
              <w:t xml:space="preserve">ganisations, Geelong Wine and the region’s Food Trails </w:t>
            </w:r>
            <w:r w:rsidR="00413B59" w:rsidRPr="00FD1534">
              <w:rPr>
                <w:color w:val="000000"/>
                <w:sz w:val="18"/>
                <w:szCs w:val="18"/>
              </w:rPr>
              <w:t xml:space="preserve">to promote </w:t>
            </w:r>
            <w:r w:rsidR="00B4529B" w:rsidRPr="00FD1534">
              <w:rPr>
                <w:color w:val="000000"/>
                <w:sz w:val="18"/>
                <w:szCs w:val="18"/>
              </w:rPr>
              <w:t xml:space="preserve">the accessibility and quality of </w:t>
            </w:r>
            <w:r w:rsidR="0080533A" w:rsidRPr="00FD1534">
              <w:rPr>
                <w:color w:val="000000"/>
                <w:sz w:val="18"/>
                <w:szCs w:val="18"/>
              </w:rPr>
              <w:t>our</w:t>
            </w:r>
            <w:r w:rsidR="00413B59" w:rsidRPr="00FD1534">
              <w:rPr>
                <w:color w:val="000000"/>
                <w:sz w:val="18"/>
                <w:szCs w:val="18"/>
              </w:rPr>
              <w:t xml:space="preserve"> local food and wine.</w:t>
            </w:r>
          </w:p>
          <w:p w:rsidR="00351865" w:rsidRPr="00FD1534" w:rsidRDefault="00F6411B" w:rsidP="00FD1534">
            <w:pPr>
              <w:pStyle w:val="BodyText"/>
              <w:tabs>
                <w:tab w:val="right" w:pos="5670"/>
              </w:tabs>
              <w:spacing w:before="60" w:after="60" w:line="240" w:lineRule="auto"/>
              <w:ind w:left="454" w:hanging="454"/>
              <w:jc w:val="left"/>
              <w:rPr>
                <w:color w:val="000000"/>
                <w:sz w:val="18"/>
                <w:szCs w:val="18"/>
              </w:rPr>
            </w:pPr>
            <w:r w:rsidRPr="00FD1534">
              <w:rPr>
                <w:color w:val="000000"/>
                <w:sz w:val="18"/>
                <w:szCs w:val="18"/>
              </w:rPr>
              <w:t>3</w:t>
            </w:r>
            <w:r w:rsidR="00071799" w:rsidRPr="00FD1534">
              <w:rPr>
                <w:color w:val="000000"/>
                <w:sz w:val="18"/>
                <w:szCs w:val="18"/>
              </w:rPr>
              <w:t>.2</w:t>
            </w:r>
            <w:r w:rsidR="00071799" w:rsidRPr="00FD1534">
              <w:rPr>
                <w:color w:val="000000"/>
                <w:sz w:val="18"/>
                <w:szCs w:val="18"/>
              </w:rPr>
              <w:tab/>
              <w:t>Investigate the opportunities and value of</w:t>
            </w:r>
            <w:r w:rsidR="00351865" w:rsidRPr="00FD1534">
              <w:rPr>
                <w:color w:val="000000"/>
                <w:sz w:val="18"/>
                <w:szCs w:val="18"/>
              </w:rPr>
              <w:t xml:space="preserve"> a collaborative export program</w:t>
            </w:r>
            <w:r w:rsidR="00071799" w:rsidRPr="00FD1534">
              <w:rPr>
                <w:color w:val="000000"/>
                <w:sz w:val="18"/>
                <w:szCs w:val="18"/>
              </w:rPr>
              <w:t xml:space="preserve"> for </w:t>
            </w:r>
            <w:r w:rsidR="00C541FE" w:rsidRPr="00FD1534">
              <w:rPr>
                <w:color w:val="000000"/>
                <w:sz w:val="18"/>
                <w:szCs w:val="18"/>
              </w:rPr>
              <w:t>our</w:t>
            </w:r>
            <w:r w:rsidR="00071799" w:rsidRPr="00FD1534">
              <w:rPr>
                <w:color w:val="000000"/>
                <w:sz w:val="18"/>
                <w:szCs w:val="18"/>
              </w:rPr>
              <w:t xml:space="preserve"> produce</w:t>
            </w:r>
            <w:r w:rsidR="006C4306" w:rsidRPr="00FD1534">
              <w:rPr>
                <w:color w:val="000000"/>
                <w:sz w:val="18"/>
                <w:szCs w:val="18"/>
              </w:rPr>
              <w:t>rs</w:t>
            </w:r>
            <w:r w:rsidR="00351865" w:rsidRPr="00FD1534">
              <w:rPr>
                <w:color w:val="000000"/>
                <w:sz w:val="18"/>
                <w:szCs w:val="18"/>
              </w:rPr>
              <w:t>.</w:t>
            </w:r>
          </w:p>
          <w:p w:rsidR="00351865" w:rsidRPr="00FD1534" w:rsidRDefault="00F6411B" w:rsidP="00FD1534">
            <w:pPr>
              <w:pStyle w:val="BodyText"/>
              <w:tabs>
                <w:tab w:val="right" w:pos="5670"/>
              </w:tabs>
              <w:spacing w:before="60" w:after="60" w:line="240" w:lineRule="auto"/>
              <w:ind w:left="454" w:hanging="454"/>
              <w:jc w:val="left"/>
              <w:rPr>
                <w:color w:val="000000"/>
                <w:sz w:val="18"/>
                <w:szCs w:val="18"/>
              </w:rPr>
            </w:pPr>
            <w:r w:rsidRPr="00FD1534">
              <w:rPr>
                <w:color w:val="000000"/>
                <w:sz w:val="18"/>
                <w:szCs w:val="18"/>
              </w:rPr>
              <w:t>3</w:t>
            </w:r>
            <w:r w:rsidR="00351865" w:rsidRPr="00FD1534">
              <w:rPr>
                <w:color w:val="000000"/>
                <w:sz w:val="18"/>
                <w:szCs w:val="18"/>
              </w:rPr>
              <w:t>.3</w:t>
            </w:r>
            <w:r w:rsidR="00351865" w:rsidRPr="00FD1534">
              <w:rPr>
                <w:color w:val="000000"/>
                <w:sz w:val="18"/>
                <w:szCs w:val="18"/>
              </w:rPr>
              <w:tab/>
              <w:t xml:space="preserve">Support the development of appropriate group </w:t>
            </w:r>
            <w:r w:rsidR="00A01747" w:rsidRPr="00FD1534">
              <w:rPr>
                <w:color w:val="000000"/>
                <w:sz w:val="18"/>
                <w:szCs w:val="18"/>
              </w:rPr>
              <w:t xml:space="preserve">and/or destination </w:t>
            </w:r>
            <w:r w:rsidR="00351865" w:rsidRPr="00FD1534">
              <w:rPr>
                <w:color w:val="000000"/>
                <w:sz w:val="18"/>
                <w:szCs w:val="18"/>
              </w:rPr>
              <w:t>branding, rather than whole-of-region branding.</w:t>
            </w:r>
          </w:p>
          <w:p w:rsidR="00351865" w:rsidRPr="00FD1534" w:rsidRDefault="00F6411B" w:rsidP="00FD1534">
            <w:pPr>
              <w:pStyle w:val="BodyText"/>
              <w:tabs>
                <w:tab w:val="right" w:pos="5670"/>
              </w:tabs>
              <w:spacing w:before="60" w:after="60" w:line="240" w:lineRule="auto"/>
              <w:ind w:left="454" w:hanging="454"/>
              <w:jc w:val="left"/>
              <w:rPr>
                <w:color w:val="FF0000"/>
                <w:sz w:val="18"/>
                <w:szCs w:val="18"/>
              </w:rPr>
            </w:pPr>
            <w:r w:rsidRPr="00FD1534">
              <w:rPr>
                <w:color w:val="000000"/>
                <w:sz w:val="18"/>
                <w:szCs w:val="18"/>
              </w:rPr>
              <w:t>3.4</w:t>
            </w:r>
            <w:r w:rsidRPr="00FD1534">
              <w:rPr>
                <w:color w:val="000000"/>
                <w:sz w:val="18"/>
                <w:szCs w:val="18"/>
              </w:rPr>
              <w:tab/>
            </w:r>
            <w:r w:rsidR="007C73E2" w:rsidRPr="00FD1534">
              <w:rPr>
                <w:color w:val="000000"/>
                <w:sz w:val="18"/>
                <w:szCs w:val="18"/>
              </w:rPr>
              <w:t xml:space="preserve">Leverage key regional and State events, e.g. AFL Country Game, to showcase and promote local </w:t>
            </w:r>
            <w:r w:rsidR="0080533A" w:rsidRPr="00FD1534">
              <w:rPr>
                <w:color w:val="000000"/>
                <w:sz w:val="18"/>
                <w:szCs w:val="18"/>
              </w:rPr>
              <w:t>food and wine</w:t>
            </w:r>
            <w:r w:rsidR="007C73E2" w:rsidRPr="00FD1534">
              <w:rPr>
                <w:color w:val="000000"/>
                <w:sz w:val="18"/>
                <w:szCs w:val="18"/>
              </w:rPr>
              <w:t>.</w:t>
            </w:r>
          </w:p>
        </w:tc>
      </w:tr>
    </w:tbl>
    <w:p w:rsidR="00451A6E" w:rsidRDefault="00451A6E" w:rsidP="00451A6E">
      <w:pPr>
        <w:pStyle w:val="Heading2"/>
      </w:pPr>
      <w:bookmarkStart w:id="28" w:name="_Toc487757695"/>
      <w:r>
        <w:lastRenderedPageBreak/>
        <w:t xml:space="preserve">Priority </w:t>
      </w:r>
      <w:r w:rsidR="00C1458A">
        <w:t>2</w:t>
      </w:r>
      <w:r>
        <w:t xml:space="preserve"> – </w:t>
      </w:r>
      <w:r w:rsidR="00C1458A">
        <w:t>Develop our people and their businesses</w:t>
      </w:r>
      <w:bookmarkEnd w:id="28"/>
    </w:p>
    <w:p w:rsidR="00451A6E" w:rsidRPr="007D2E80" w:rsidRDefault="00451A6E" w:rsidP="00C1458A">
      <w:pPr>
        <w:pStyle w:val="BodyText"/>
        <w:tabs>
          <w:tab w:val="left" w:pos="851"/>
        </w:tabs>
        <w:ind w:left="851" w:hanging="851"/>
        <w:rPr>
          <w:b/>
          <w:i/>
        </w:rPr>
      </w:pPr>
      <w:r w:rsidRPr="007D2E80">
        <w:rPr>
          <w:b/>
          <w:i/>
        </w:rPr>
        <w:t>Goal:</w:t>
      </w:r>
      <w:r w:rsidRPr="007D2E80">
        <w:rPr>
          <w:b/>
          <w:i/>
        </w:rPr>
        <w:tab/>
      </w:r>
      <w:r w:rsidR="00C1458A" w:rsidRPr="007D2E80">
        <w:rPr>
          <w:i/>
        </w:rPr>
        <w:t>Build our people’s capability to add value to their business, their industry and their region</w:t>
      </w:r>
      <w:r w:rsidRPr="007D2E80">
        <w:rPr>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70"/>
        <w:gridCol w:w="3402"/>
        <w:gridCol w:w="5103"/>
      </w:tblGrid>
      <w:tr w:rsidR="00AE197B" w:rsidRPr="00FD1534" w:rsidTr="00FD1534">
        <w:tc>
          <w:tcPr>
            <w:tcW w:w="5670" w:type="dxa"/>
            <w:shd w:val="clear" w:color="auto" w:fill="213144"/>
            <w:vAlign w:val="center"/>
          </w:tcPr>
          <w:p w:rsidR="00483060" w:rsidRPr="00FD1534" w:rsidRDefault="00483060" w:rsidP="00FD1534">
            <w:pPr>
              <w:pStyle w:val="BodyText"/>
              <w:tabs>
                <w:tab w:val="right" w:pos="5670"/>
              </w:tabs>
              <w:rPr>
                <w:b/>
                <w:sz w:val="18"/>
                <w:szCs w:val="18"/>
              </w:rPr>
            </w:pPr>
            <w:r w:rsidRPr="00FD1534">
              <w:rPr>
                <w:b/>
                <w:sz w:val="18"/>
                <w:szCs w:val="18"/>
              </w:rPr>
              <w:t>Issues</w:t>
            </w:r>
          </w:p>
        </w:tc>
        <w:tc>
          <w:tcPr>
            <w:tcW w:w="3402" w:type="dxa"/>
            <w:shd w:val="clear" w:color="auto" w:fill="213144"/>
          </w:tcPr>
          <w:p w:rsidR="00483060" w:rsidRPr="00FD1534" w:rsidRDefault="00483060" w:rsidP="00FD1534">
            <w:pPr>
              <w:pStyle w:val="BodyText"/>
              <w:tabs>
                <w:tab w:val="right" w:pos="5670"/>
              </w:tabs>
              <w:rPr>
                <w:b/>
                <w:sz w:val="18"/>
                <w:szCs w:val="18"/>
              </w:rPr>
            </w:pPr>
            <w:r w:rsidRPr="00FD1534">
              <w:rPr>
                <w:b/>
                <w:sz w:val="18"/>
                <w:szCs w:val="18"/>
              </w:rPr>
              <w:t>Strategies</w:t>
            </w:r>
          </w:p>
        </w:tc>
        <w:tc>
          <w:tcPr>
            <w:tcW w:w="5103" w:type="dxa"/>
            <w:shd w:val="clear" w:color="auto" w:fill="213144"/>
          </w:tcPr>
          <w:p w:rsidR="00483060" w:rsidRPr="00FD1534" w:rsidRDefault="00483060" w:rsidP="00FD1534">
            <w:pPr>
              <w:pStyle w:val="BodyText"/>
              <w:tabs>
                <w:tab w:val="right" w:pos="5670"/>
              </w:tabs>
              <w:rPr>
                <w:b/>
                <w:sz w:val="18"/>
                <w:szCs w:val="18"/>
              </w:rPr>
            </w:pPr>
            <w:r w:rsidRPr="00FD1534">
              <w:rPr>
                <w:b/>
                <w:sz w:val="18"/>
                <w:szCs w:val="18"/>
              </w:rPr>
              <w:t>Actions</w:t>
            </w:r>
          </w:p>
        </w:tc>
      </w:tr>
      <w:tr w:rsidR="00AE197B" w:rsidRPr="00FD1534" w:rsidTr="00FD1534">
        <w:tc>
          <w:tcPr>
            <w:tcW w:w="5670" w:type="dxa"/>
            <w:vMerge w:val="restart"/>
            <w:shd w:val="clear" w:color="auto" w:fill="auto"/>
            <w:vAlign w:val="center"/>
          </w:tcPr>
          <w:p w:rsidR="00483060" w:rsidRPr="00FD1534" w:rsidRDefault="00483060" w:rsidP="00FD1534">
            <w:pPr>
              <w:pStyle w:val="TableBullet"/>
              <w:tabs>
                <w:tab w:val="right" w:pos="5670"/>
              </w:tabs>
            </w:pPr>
            <w:r w:rsidRPr="00FD1534">
              <w:t>Our industry is typified by large-scale processors and producers, and small-scale agrifood and agritourism ventures, whilst our landscape is increasingly managed by a large number of small-scale lifestyle farmers.  They all need to develop their capabilities, but the capabilities they need differ.</w:t>
            </w:r>
          </w:p>
          <w:p w:rsidR="00483060" w:rsidRPr="00FD1534" w:rsidRDefault="00483060" w:rsidP="00FD1534">
            <w:pPr>
              <w:pStyle w:val="TableBullet"/>
              <w:tabs>
                <w:tab w:val="right" w:pos="5670"/>
              </w:tabs>
            </w:pPr>
            <w:r w:rsidRPr="00FD1534">
              <w:t>Our small-scale agrifood businesses often do not have the skills, capability or networks to develop their markets and businesses beyond their current “</w:t>
            </w:r>
            <w:r w:rsidRPr="00FD1534">
              <w:rPr>
                <w:i/>
              </w:rPr>
              <w:t>micro</w:t>
            </w:r>
            <w:r w:rsidRPr="00FD1534">
              <w:t>” level.  Many come from different skilled or professional backgrounds and their “</w:t>
            </w:r>
            <w:r w:rsidRPr="00FD1534">
              <w:rPr>
                <w:i/>
              </w:rPr>
              <w:t>hobby</w:t>
            </w:r>
            <w:r w:rsidRPr="00FD1534">
              <w:t>” or passion has potential to grow into a “</w:t>
            </w:r>
            <w:r w:rsidRPr="00FD1534">
              <w:rPr>
                <w:i/>
              </w:rPr>
              <w:t>business</w:t>
            </w:r>
            <w:r w:rsidRPr="00FD1534">
              <w:t>”.  Thus, they are seeking support to develop their skills, capability and networks.</w:t>
            </w:r>
          </w:p>
          <w:p w:rsidR="00483060" w:rsidRPr="00FD1534" w:rsidRDefault="00483060" w:rsidP="00FD1534">
            <w:pPr>
              <w:pStyle w:val="TableBullet"/>
              <w:tabs>
                <w:tab w:val="right" w:pos="5670"/>
              </w:tabs>
            </w:pPr>
            <w:r w:rsidRPr="00FD1534">
              <w:t>A key area of need for these small-scale agrifood businesses is compliance with regulations that have been designed for larger businesses with the skills and capacity to comply more easily.</w:t>
            </w:r>
          </w:p>
          <w:p w:rsidR="00483060" w:rsidRPr="00FD1534" w:rsidRDefault="00483060" w:rsidP="00FD1534">
            <w:pPr>
              <w:pStyle w:val="TableBullet"/>
              <w:tabs>
                <w:tab w:val="right" w:pos="5670"/>
              </w:tabs>
            </w:pPr>
            <w:r w:rsidRPr="00FD1534">
              <w:t>Many lifestyle farms choose to keep livestock on their farms for amenity, recreational and/or commercial reasons.  When these operators do not have the required skills, experience or understanding to manage these livestock and the landscape in a way that is consistent with community standards (e.g. animal health and welfare) and or industry practices (e.g. biosecurity), there are threats to the wider agricultural community, small agrifood businesses and our visitor economy.</w:t>
            </w:r>
          </w:p>
          <w:p w:rsidR="00483060" w:rsidRPr="00FD1534" w:rsidRDefault="00483060" w:rsidP="00FD1534">
            <w:pPr>
              <w:pStyle w:val="TableBulletShadedTable"/>
              <w:tabs>
                <w:tab w:val="right" w:pos="5670"/>
              </w:tabs>
              <w:rPr>
                <w:color w:val="auto"/>
              </w:rPr>
            </w:pPr>
            <w:r w:rsidRPr="00FD1534">
              <w:rPr>
                <w:color w:val="auto"/>
              </w:rPr>
              <w:t>Our processors often report that getting new or additional workers and/or developing their workforce can be challenging.</w:t>
            </w:r>
          </w:p>
          <w:p w:rsidR="00483060" w:rsidRPr="00FD1534" w:rsidRDefault="00483060" w:rsidP="00FD1534">
            <w:pPr>
              <w:pStyle w:val="TableBulletShadedTable"/>
              <w:tabs>
                <w:tab w:val="right" w:pos="5670"/>
              </w:tabs>
              <w:rPr>
                <w:color w:val="auto"/>
              </w:rPr>
            </w:pPr>
            <w:r w:rsidRPr="00FD1534">
              <w:rPr>
                <w:color w:val="auto"/>
              </w:rPr>
              <w:t>There is help available, e.g. the value of the Geelong Region Investment Fund (GRIF) is recognised, but there is frustration with the effort required to access other forms of grants.</w:t>
            </w:r>
          </w:p>
        </w:tc>
        <w:tc>
          <w:tcPr>
            <w:tcW w:w="3402" w:type="dxa"/>
            <w:shd w:val="clear" w:color="auto" w:fill="auto"/>
          </w:tcPr>
          <w:p w:rsidR="00483060" w:rsidRPr="00FD1534" w:rsidRDefault="00483060" w:rsidP="00FD1534">
            <w:pPr>
              <w:pStyle w:val="TableNumber"/>
              <w:keepNext/>
              <w:keepLines/>
              <w:pageBreakBefore/>
              <w:numPr>
                <w:ilvl w:val="0"/>
                <w:numId w:val="16"/>
              </w:numPr>
              <w:tabs>
                <w:tab w:val="clear" w:pos="284"/>
                <w:tab w:val="right" w:pos="5670"/>
              </w:tabs>
              <w:ind w:left="364" w:hanging="364"/>
              <w:jc w:val="left"/>
              <w:outlineLvl w:val="0"/>
              <w:rPr>
                <w:sz w:val="18"/>
                <w:szCs w:val="18"/>
              </w:rPr>
            </w:pPr>
            <w:r w:rsidRPr="00FD1534">
              <w:rPr>
                <w:sz w:val="18"/>
                <w:szCs w:val="18"/>
              </w:rPr>
              <w:t>Promote training and development for our business owners and land managers.</w:t>
            </w:r>
          </w:p>
        </w:tc>
        <w:tc>
          <w:tcPr>
            <w:tcW w:w="5103" w:type="dxa"/>
            <w:shd w:val="clear" w:color="auto" w:fill="auto"/>
          </w:tcPr>
          <w:p w:rsidR="00483060" w:rsidRPr="00FD1534" w:rsidRDefault="003D15CA" w:rsidP="00FD1534">
            <w:pPr>
              <w:pStyle w:val="BodyText"/>
              <w:tabs>
                <w:tab w:val="left" w:pos="418"/>
                <w:tab w:val="right" w:pos="5670"/>
              </w:tabs>
              <w:spacing w:before="60" w:after="60"/>
              <w:ind w:left="420" w:hanging="420"/>
              <w:jc w:val="left"/>
              <w:rPr>
                <w:color w:val="000000"/>
                <w:sz w:val="18"/>
                <w:szCs w:val="18"/>
              </w:rPr>
            </w:pPr>
            <w:r w:rsidRPr="00FD1534">
              <w:rPr>
                <w:color w:val="000000"/>
                <w:sz w:val="18"/>
                <w:szCs w:val="18"/>
              </w:rPr>
              <w:t>4</w:t>
            </w:r>
            <w:r w:rsidR="00483060" w:rsidRPr="00FD1534">
              <w:rPr>
                <w:color w:val="000000"/>
                <w:sz w:val="18"/>
                <w:szCs w:val="18"/>
              </w:rPr>
              <w:t>.1</w:t>
            </w:r>
            <w:r w:rsidR="00483060" w:rsidRPr="00FD1534">
              <w:rPr>
                <w:color w:val="000000"/>
                <w:sz w:val="18"/>
                <w:szCs w:val="18"/>
              </w:rPr>
              <w:tab/>
              <w:t xml:space="preserve">Increase the capability of producers, processors and suppliers by facilitating access to relevant business </w:t>
            </w:r>
            <w:r w:rsidRPr="00FD1534">
              <w:rPr>
                <w:color w:val="000000"/>
                <w:sz w:val="18"/>
                <w:szCs w:val="18"/>
              </w:rPr>
              <w:t xml:space="preserve">and/or industry </w:t>
            </w:r>
            <w:r w:rsidR="00483060" w:rsidRPr="00FD1534">
              <w:rPr>
                <w:color w:val="000000"/>
                <w:sz w:val="18"/>
                <w:szCs w:val="18"/>
              </w:rPr>
              <w:t>training programs.</w:t>
            </w:r>
          </w:p>
        </w:tc>
      </w:tr>
      <w:tr w:rsidR="00AE197B" w:rsidRPr="00FD1534" w:rsidTr="00FD1534">
        <w:tc>
          <w:tcPr>
            <w:tcW w:w="5670" w:type="dxa"/>
            <w:vMerge/>
            <w:shd w:val="clear" w:color="auto" w:fill="auto"/>
            <w:vAlign w:val="center"/>
          </w:tcPr>
          <w:p w:rsidR="00483060" w:rsidRPr="00FD1534" w:rsidRDefault="00483060" w:rsidP="00FD1534">
            <w:pPr>
              <w:pStyle w:val="BodyText"/>
              <w:tabs>
                <w:tab w:val="right" w:pos="5670"/>
              </w:tabs>
              <w:rPr>
                <w:sz w:val="18"/>
                <w:szCs w:val="18"/>
              </w:rPr>
            </w:pPr>
          </w:p>
        </w:tc>
        <w:tc>
          <w:tcPr>
            <w:tcW w:w="3402" w:type="dxa"/>
            <w:shd w:val="clear" w:color="auto" w:fill="auto"/>
          </w:tcPr>
          <w:p w:rsidR="00483060" w:rsidRPr="00FD1534" w:rsidRDefault="00483060" w:rsidP="00FD1534">
            <w:pPr>
              <w:pStyle w:val="TableNumber"/>
              <w:keepNext/>
              <w:keepLines/>
              <w:pageBreakBefore/>
              <w:numPr>
                <w:ilvl w:val="0"/>
                <w:numId w:val="16"/>
              </w:numPr>
              <w:tabs>
                <w:tab w:val="clear" w:pos="284"/>
                <w:tab w:val="right" w:pos="5670"/>
              </w:tabs>
              <w:ind w:left="364" w:hanging="364"/>
              <w:jc w:val="left"/>
              <w:outlineLvl w:val="0"/>
              <w:rPr>
                <w:sz w:val="18"/>
                <w:szCs w:val="18"/>
              </w:rPr>
            </w:pPr>
            <w:r w:rsidRPr="00FD1534">
              <w:rPr>
                <w:sz w:val="18"/>
                <w:szCs w:val="18"/>
              </w:rPr>
              <w:t>Promote responsible animal, chemical and land management to our increasing number of new “farmers”.</w:t>
            </w:r>
          </w:p>
        </w:tc>
        <w:tc>
          <w:tcPr>
            <w:tcW w:w="5103" w:type="dxa"/>
            <w:shd w:val="clear" w:color="auto" w:fill="auto"/>
          </w:tcPr>
          <w:p w:rsidR="00483060" w:rsidRPr="00FD1534" w:rsidRDefault="00B00604" w:rsidP="00FD1534">
            <w:pPr>
              <w:pStyle w:val="BodyText"/>
              <w:tabs>
                <w:tab w:val="left" w:pos="418"/>
                <w:tab w:val="right" w:pos="5670"/>
              </w:tabs>
              <w:spacing w:before="60" w:after="60"/>
              <w:ind w:left="420" w:hanging="420"/>
              <w:jc w:val="left"/>
              <w:rPr>
                <w:color w:val="000000"/>
                <w:sz w:val="18"/>
                <w:szCs w:val="18"/>
              </w:rPr>
            </w:pPr>
            <w:r w:rsidRPr="00FD1534">
              <w:rPr>
                <w:color w:val="000000"/>
                <w:sz w:val="18"/>
                <w:szCs w:val="18"/>
              </w:rPr>
              <w:t>5</w:t>
            </w:r>
            <w:r w:rsidR="00483060" w:rsidRPr="00FD1534">
              <w:rPr>
                <w:color w:val="000000"/>
                <w:sz w:val="18"/>
                <w:szCs w:val="18"/>
              </w:rPr>
              <w:t>.1</w:t>
            </w:r>
            <w:r w:rsidR="00483060" w:rsidRPr="00FD1534">
              <w:rPr>
                <w:color w:val="000000"/>
                <w:sz w:val="18"/>
                <w:szCs w:val="18"/>
              </w:rPr>
              <w:tab/>
              <w:t xml:space="preserve">Work with agricultural agencies and training providers to offer relevant animal management, </w:t>
            </w:r>
            <w:r w:rsidR="0097653D" w:rsidRPr="00FD1534">
              <w:rPr>
                <w:color w:val="000000"/>
                <w:sz w:val="18"/>
                <w:szCs w:val="18"/>
              </w:rPr>
              <w:t xml:space="preserve">sustainable </w:t>
            </w:r>
            <w:r w:rsidR="00483060" w:rsidRPr="00FD1534">
              <w:rPr>
                <w:color w:val="000000"/>
                <w:sz w:val="18"/>
                <w:szCs w:val="18"/>
              </w:rPr>
              <w:t>land management and compliance training</w:t>
            </w:r>
            <w:r w:rsidR="006D2A84" w:rsidRPr="00FD1534">
              <w:rPr>
                <w:color w:val="000000"/>
                <w:sz w:val="18"/>
                <w:szCs w:val="18"/>
              </w:rPr>
              <w:t>, including with biosecurity requirements</w:t>
            </w:r>
            <w:r w:rsidR="00483060" w:rsidRPr="00FD1534">
              <w:rPr>
                <w:color w:val="000000"/>
                <w:sz w:val="18"/>
                <w:szCs w:val="18"/>
              </w:rPr>
              <w:t>.</w:t>
            </w:r>
          </w:p>
        </w:tc>
      </w:tr>
      <w:tr w:rsidR="00AE197B" w:rsidRPr="00FD1534" w:rsidTr="00FD1534">
        <w:tc>
          <w:tcPr>
            <w:tcW w:w="5670" w:type="dxa"/>
            <w:vMerge/>
            <w:shd w:val="clear" w:color="auto" w:fill="auto"/>
            <w:vAlign w:val="center"/>
          </w:tcPr>
          <w:p w:rsidR="00483060" w:rsidRPr="00FD1534" w:rsidRDefault="00483060" w:rsidP="00FD1534">
            <w:pPr>
              <w:pStyle w:val="BodyText"/>
              <w:tabs>
                <w:tab w:val="right" w:pos="5670"/>
              </w:tabs>
              <w:rPr>
                <w:sz w:val="18"/>
                <w:szCs w:val="18"/>
              </w:rPr>
            </w:pPr>
          </w:p>
        </w:tc>
        <w:tc>
          <w:tcPr>
            <w:tcW w:w="3402" w:type="dxa"/>
            <w:shd w:val="clear" w:color="auto" w:fill="auto"/>
          </w:tcPr>
          <w:p w:rsidR="00483060" w:rsidRPr="00FD1534" w:rsidRDefault="00260405" w:rsidP="00FD1534">
            <w:pPr>
              <w:pStyle w:val="TableNumber"/>
              <w:keepNext/>
              <w:keepLines/>
              <w:pageBreakBefore/>
              <w:numPr>
                <w:ilvl w:val="0"/>
                <w:numId w:val="16"/>
              </w:numPr>
              <w:tabs>
                <w:tab w:val="clear" w:pos="284"/>
                <w:tab w:val="right" w:pos="5670"/>
              </w:tabs>
              <w:ind w:left="364" w:hanging="364"/>
              <w:jc w:val="left"/>
              <w:outlineLvl w:val="0"/>
              <w:rPr>
                <w:sz w:val="18"/>
                <w:szCs w:val="18"/>
              </w:rPr>
            </w:pPr>
            <w:r w:rsidRPr="00FD1534">
              <w:rPr>
                <w:sz w:val="18"/>
                <w:szCs w:val="18"/>
              </w:rPr>
              <w:t>Foster the workforce capability required by the agribusiness sector</w:t>
            </w:r>
            <w:r w:rsidR="00483060" w:rsidRPr="00FD1534">
              <w:rPr>
                <w:sz w:val="18"/>
                <w:szCs w:val="18"/>
              </w:rPr>
              <w:t>.</w:t>
            </w:r>
          </w:p>
        </w:tc>
        <w:tc>
          <w:tcPr>
            <w:tcW w:w="5103" w:type="dxa"/>
            <w:shd w:val="clear" w:color="auto" w:fill="auto"/>
          </w:tcPr>
          <w:p w:rsidR="00483060" w:rsidRPr="00FD1534" w:rsidRDefault="00260405" w:rsidP="00FD1534">
            <w:pPr>
              <w:pStyle w:val="BodyText"/>
              <w:tabs>
                <w:tab w:val="left" w:pos="418"/>
                <w:tab w:val="right" w:pos="5670"/>
              </w:tabs>
              <w:spacing w:before="60" w:after="60"/>
              <w:ind w:left="420" w:hanging="420"/>
              <w:jc w:val="left"/>
              <w:rPr>
                <w:color w:val="000000"/>
                <w:sz w:val="18"/>
                <w:szCs w:val="18"/>
              </w:rPr>
            </w:pPr>
            <w:r w:rsidRPr="00FD1534">
              <w:rPr>
                <w:color w:val="000000"/>
                <w:sz w:val="18"/>
                <w:szCs w:val="18"/>
              </w:rPr>
              <w:t>6</w:t>
            </w:r>
            <w:r w:rsidR="00483060" w:rsidRPr="00FD1534">
              <w:rPr>
                <w:color w:val="000000"/>
                <w:sz w:val="18"/>
                <w:szCs w:val="18"/>
              </w:rPr>
              <w:t>.1</w:t>
            </w:r>
            <w:r w:rsidR="00483060" w:rsidRPr="00FD1534">
              <w:rPr>
                <w:color w:val="000000"/>
                <w:sz w:val="18"/>
                <w:szCs w:val="18"/>
              </w:rPr>
              <w:tab/>
              <w:t>Develop an industry workforce development plan.</w:t>
            </w:r>
          </w:p>
          <w:p w:rsidR="00483060" w:rsidRPr="00FD1534" w:rsidRDefault="00260405" w:rsidP="00FD1534">
            <w:pPr>
              <w:pStyle w:val="BodyText"/>
              <w:tabs>
                <w:tab w:val="left" w:pos="418"/>
                <w:tab w:val="right" w:pos="5670"/>
              </w:tabs>
              <w:spacing w:before="60" w:after="60"/>
              <w:ind w:left="420" w:hanging="420"/>
              <w:jc w:val="left"/>
              <w:rPr>
                <w:i/>
                <w:color w:val="FF0000"/>
                <w:sz w:val="18"/>
                <w:szCs w:val="18"/>
              </w:rPr>
            </w:pPr>
            <w:r w:rsidRPr="00FD1534">
              <w:rPr>
                <w:color w:val="000000"/>
                <w:sz w:val="18"/>
                <w:szCs w:val="18"/>
              </w:rPr>
              <w:t>6</w:t>
            </w:r>
            <w:r w:rsidR="00483060" w:rsidRPr="00FD1534">
              <w:rPr>
                <w:color w:val="000000"/>
                <w:sz w:val="18"/>
                <w:szCs w:val="18"/>
              </w:rPr>
              <w:t>.2</w:t>
            </w:r>
            <w:r w:rsidR="00483060" w:rsidRPr="00FD1534">
              <w:rPr>
                <w:color w:val="000000"/>
                <w:sz w:val="18"/>
                <w:szCs w:val="18"/>
              </w:rPr>
              <w:tab/>
              <w:t>Promote workforce opportunities.</w:t>
            </w:r>
          </w:p>
        </w:tc>
      </w:tr>
      <w:tr w:rsidR="00AE197B" w:rsidRPr="00FD1534" w:rsidTr="00FD1534">
        <w:tc>
          <w:tcPr>
            <w:tcW w:w="5670" w:type="dxa"/>
            <w:vMerge/>
            <w:shd w:val="clear" w:color="auto" w:fill="auto"/>
            <w:vAlign w:val="center"/>
          </w:tcPr>
          <w:p w:rsidR="00483060" w:rsidRPr="00FD1534" w:rsidRDefault="00483060" w:rsidP="00FD1534">
            <w:pPr>
              <w:pStyle w:val="BodyText"/>
              <w:tabs>
                <w:tab w:val="right" w:pos="5670"/>
              </w:tabs>
              <w:rPr>
                <w:sz w:val="18"/>
                <w:szCs w:val="18"/>
              </w:rPr>
            </w:pPr>
          </w:p>
        </w:tc>
        <w:tc>
          <w:tcPr>
            <w:tcW w:w="3402" w:type="dxa"/>
            <w:shd w:val="clear" w:color="auto" w:fill="auto"/>
          </w:tcPr>
          <w:p w:rsidR="00483060" w:rsidRPr="00FD1534" w:rsidRDefault="00483060" w:rsidP="00FD1534">
            <w:pPr>
              <w:pStyle w:val="TableNumber"/>
              <w:keepNext/>
              <w:keepLines/>
              <w:pageBreakBefore/>
              <w:numPr>
                <w:ilvl w:val="0"/>
                <w:numId w:val="16"/>
              </w:numPr>
              <w:tabs>
                <w:tab w:val="clear" w:pos="284"/>
                <w:tab w:val="right" w:pos="5670"/>
              </w:tabs>
              <w:ind w:left="364" w:hanging="364"/>
              <w:jc w:val="left"/>
              <w:outlineLvl w:val="0"/>
              <w:rPr>
                <w:sz w:val="18"/>
                <w:szCs w:val="18"/>
              </w:rPr>
            </w:pPr>
            <w:r w:rsidRPr="00FD1534">
              <w:rPr>
                <w:sz w:val="18"/>
                <w:szCs w:val="18"/>
              </w:rPr>
              <w:t>Facilitate access to existing business development funding programs.</w:t>
            </w:r>
          </w:p>
        </w:tc>
        <w:tc>
          <w:tcPr>
            <w:tcW w:w="5103" w:type="dxa"/>
            <w:shd w:val="clear" w:color="auto" w:fill="auto"/>
          </w:tcPr>
          <w:p w:rsidR="00483060" w:rsidRPr="00FD1534" w:rsidRDefault="00260405" w:rsidP="00FD1534">
            <w:pPr>
              <w:pStyle w:val="BodyText"/>
              <w:tabs>
                <w:tab w:val="left" w:pos="418"/>
                <w:tab w:val="right" w:pos="5670"/>
              </w:tabs>
              <w:spacing w:before="60" w:after="60"/>
              <w:ind w:left="420" w:hanging="420"/>
              <w:jc w:val="left"/>
              <w:rPr>
                <w:i/>
                <w:color w:val="FF0000"/>
                <w:sz w:val="18"/>
                <w:szCs w:val="18"/>
              </w:rPr>
            </w:pPr>
            <w:r w:rsidRPr="00FD1534">
              <w:rPr>
                <w:color w:val="000000"/>
                <w:sz w:val="18"/>
                <w:szCs w:val="18"/>
              </w:rPr>
              <w:t>7</w:t>
            </w:r>
            <w:r w:rsidR="00483060" w:rsidRPr="00FD1534">
              <w:rPr>
                <w:color w:val="000000"/>
                <w:sz w:val="18"/>
                <w:szCs w:val="18"/>
              </w:rPr>
              <w:t>.1</w:t>
            </w:r>
            <w:r w:rsidR="00483060" w:rsidRPr="00FD1534">
              <w:rPr>
                <w:color w:val="000000"/>
                <w:sz w:val="18"/>
                <w:szCs w:val="18"/>
              </w:rPr>
              <w:tab/>
              <w:t>Develop a virtual hub, including a database of agribusinesses in the region, to provide access to relevant industry information, including (but not limited to) available funding, contacts, training programs, projects and events.</w:t>
            </w:r>
          </w:p>
        </w:tc>
      </w:tr>
      <w:tr w:rsidR="00AE197B" w:rsidRPr="00FD1534" w:rsidTr="00FD1534">
        <w:tc>
          <w:tcPr>
            <w:tcW w:w="5670" w:type="dxa"/>
            <w:vMerge/>
            <w:shd w:val="clear" w:color="auto" w:fill="auto"/>
            <w:vAlign w:val="center"/>
          </w:tcPr>
          <w:p w:rsidR="00483060" w:rsidRPr="00FD1534" w:rsidRDefault="00483060" w:rsidP="00FD1534">
            <w:pPr>
              <w:pStyle w:val="BodyText"/>
              <w:tabs>
                <w:tab w:val="right" w:pos="5670"/>
              </w:tabs>
              <w:rPr>
                <w:sz w:val="18"/>
                <w:szCs w:val="18"/>
              </w:rPr>
            </w:pPr>
          </w:p>
        </w:tc>
        <w:tc>
          <w:tcPr>
            <w:tcW w:w="3402" w:type="dxa"/>
            <w:shd w:val="clear" w:color="auto" w:fill="auto"/>
          </w:tcPr>
          <w:p w:rsidR="00483060" w:rsidRPr="00FD1534" w:rsidRDefault="003464E8" w:rsidP="00FD1534">
            <w:pPr>
              <w:pStyle w:val="TableNumber"/>
              <w:keepNext/>
              <w:keepLines/>
              <w:pageBreakBefore/>
              <w:numPr>
                <w:ilvl w:val="0"/>
                <w:numId w:val="16"/>
              </w:numPr>
              <w:tabs>
                <w:tab w:val="clear" w:pos="284"/>
                <w:tab w:val="right" w:pos="5670"/>
              </w:tabs>
              <w:ind w:left="364" w:hanging="364"/>
              <w:jc w:val="left"/>
              <w:outlineLvl w:val="0"/>
              <w:rPr>
                <w:sz w:val="18"/>
                <w:szCs w:val="18"/>
              </w:rPr>
            </w:pPr>
            <w:r w:rsidRPr="00FD1534">
              <w:rPr>
                <w:sz w:val="18"/>
                <w:szCs w:val="18"/>
              </w:rPr>
              <w:t>Facilitate</w:t>
            </w:r>
            <w:r w:rsidR="00483060" w:rsidRPr="00FD1534">
              <w:rPr>
                <w:sz w:val="18"/>
                <w:szCs w:val="18"/>
              </w:rPr>
              <w:t xml:space="preserve"> industry sustainability.</w:t>
            </w:r>
          </w:p>
          <w:p w:rsidR="00494E11" w:rsidRPr="00FD1534" w:rsidRDefault="00494E11" w:rsidP="00FD1534">
            <w:pPr>
              <w:pStyle w:val="TableNumber"/>
              <w:keepNext/>
              <w:keepLines/>
              <w:pageBreakBefore/>
              <w:numPr>
                <w:ilvl w:val="0"/>
                <w:numId w:val="0"/>
              </w:numPr>
              <w:tabs>
                <w:tab w:val="right" w:pos="5670"/>
              </w:tabs>
              <w:ind w:left="364"/>
              <w:jc w:val="left"/>
              <w:outlineLvl w:val="0"/>
              <w:rPr>
                <w:sz w:val="18"/>
                <w:szCs w:val="18"/>
              </w:rPr>
            </w:pPr>
          </w:p>
          <w:p w:rsidR="00494E11" w:rsidRPr="00FD1534" w:rsidRDefault="00494E11" w:rsidP="00FD1534">
            <w:pPr>
              <w:pStyle w:val="TableNumber"/>
              <w:keepNext/>
              <w:keepLines/>
              <w:pageBreakBefore/>
              <w:numPr>
                <w:ilvl w:val="0"/>
                <w:numId w:val="0"/>
              </w:numPr>
              <w:tabs>
                <w:tab w:val="right" w:pos="5670"/>
              </w:tabs>
              <w:ind w:left="364"/>
              <w:jc w:val="left"/>
              <w:outlineLvl w:val="0"/>
              <w:rPr>
                <w:sz w:val="18"/>
                <w:szCs w:val="18"/>
              </w:rPr>
            </w:pPr>
          </w:p>
        </w:tc>
        <w:tc>
          <w:tcPr>
            <w:tcW w:w="5103" w:type="dxa"/>
            <w:shd w:val="clear" w:color="auto" w:fill="auto"/>
          </w:tcPr>
          <w:p w:rsidR="00483060" w:rsidRPr="00FD1534" w:rsidRDefault="00AF3DB9" w:rsidP="00FD1534">
            <w:pPr>
              <w:pStyle w:val="BodyText"/>
              <w:tabs>
                <w:tab w:val="left" w:pos="418"/>
                <w:tab w:val="right" w:pos="5670"/>
              </w:tabs>
              <w:spacing w:before="60" w:after="60"/>
              <w:ind w:left="420" w:hanging="420"/>
              <w:jc w:val="left"/>
              <w:rPr>
                <w:color w:val="000000"/>
                <w:sz w:val="18"/>
                <w:szCs w:val="18"/>
              </w:rPr>
            </w:pPr>
            <w:r w:rsidRPr="00FD1534">
              <w:rPr>
                <w:color w:val="000000"/>
                <w:sz w:val="18"/>
                <w:szCs w:val="18"/>
              </w:rPr>
              <w:t>8</w:t>
            </w:r>
            <w:r w:rsidR="003464E8" w:rsidRPr="00FD1534">
              <w:rPr>
                <w:color w:val="000000"/>
                <w:sz w:val="18"/>
                <w:szCs w:val="18"/>
              </w:rPr>
              <w:t>.1</w:t>
            </w:r>
            <w:r w:rsidR="003464E8" w:rsidRPr="00FD1534">
              <w:rPr>
                <w:color w:val="000000"/>
                <w:sz w:val="18"/>
                <w:szCs w:val="18"/>
              </w:rPr>
              <w:tab/>
              <w:t>Undertake actions to foster</w:t>
            </w:r>
            <w:r w:rsidR="00483060" w:rsidRPr="00FD1534">
              <w:rPr>
                <w:color w:val="000000"/>
                <w:sz w:val="18"/>
                <w:szCs w:val="18"/>
              </w:rPr>
              <w:t xml:space="preserve"> climate change resilience within our businesses.</w:t>
            </w:r>
          </w:p>
          <w:p w:rsidR="00483060" w:rsidRPr="00FD1534" w:rsidRDefault="00AF3DB9" w:rsidP="00FD1534">
            <w:pPr>
              <w:pStyle w:val="BodyText"/>
              <w:tabs>
                <w:tab w:val="left" w:pos="418"/>
                <w:tab w:val="right" w:pos="5670"/>
              </w:tabs>
              <w:spacing w:before="60" w:after="60"/>
              <w:ind w:left="420" w:hanging="420"/>
              <w:jc w:val="left"/>
              <w:rPr>
                <w:color w:val="000000"/>
                <w:sz w:val="18"/>
                <w:szCs w:val="18"/>
              </w:rPr>
            </w:pPr>
            <w:r w:rsidRPr="00FD1534">
              <w:rPr>
                <w:color w:val="000000"/>
                <w:sz w:val="18"/>
                <w:szCs w:val="18"/>
              </w:rPr>
              <w:t>8</w:t>
            </w:r>
            <w:r w:rsidR="00483060" w:rsidRPr="00FD1534">
              <w:rPr>
                <w:color w:val="000000"/>
                <w:sz w:val="18"/>
                <w:szCs w:val="18"/>
              </w:rPr>
              <w:t>.2</w:t>
            </w:r>
            <w:r w:rsidR="00483060" w:rsidRPr="00FD1534">
              <w:rPr>
                <w:color w:val="000000"/>
                <w:sz w:val="18"/>
                <w:szCs w:val="18"/>
              </w:rPr>
              <w:tab/>
              <w:t>Identify and promote, renewable, resilient and affordable energy systems for agribusiness.</w:t>
            </w:r>
          </w:p>
          <w:p w:rsidR="00494E11" w:rsidRPr="00FD1534" w:rsidRDefault="00494E11" w:rsidP="00FD1534">
            <w:pPr>
              <w:pStyle w:val="BodyText"/>
              <w:tabs>
                <w:tab w:val="left" w:pos="418"/>
                <w:tab w:val="right" w:pos="5670"/>
              </w:tabs>
              <w:spacing w:before="60" w:after="60"/>
              <w:ind w:left="420" w:hanging="420"/>
              <w:jc w:val="left"/>
              <w:rPr>
                <w:color w:val="000000"/>
                <w:sz w:val="18"/>
                <w:szCs w:val="18"/>
              </w:rPr>
            </w:pPr>
            <w:r w:rsidRPr="00FD1534">
              <w:rPr>
                <w:color w:val="000000"/>
                <w:sz w:val="18"/>
                <w:szCs w:val="18"/>
              </w:rPr>
              <w:t>8.3</w:t>
            </w:r>
            <w:r w:rsidRPr="00FD1534">
              <w:rPr>
                <w:color w:val="000000"/>
                <w:sz w:val="18"/>
                <w:szCs w:val="18"/>
              </w:rPr>
              <w:tab/>
              <w:t>Acknowledge and promote agribusiness that are undertaking landscape restoration for agriculture, aesthetics and ecological outcome.</w:t>
            </w:r>
          </w:p>
        </w:tc>
      </w:tr>
    </w:tbl>
    <w:p w:rsidR="00451A6E" w:rsidRDefault="00451A6E" w:rsidP="00451A6E">
      <w:pPr>
        <w:pStyle w:val="Heading2"/>
      </w:pPr>
      <w:bookmarkStart w:id="29" w:name="_Toc487757696"/>
      <w:r>
        <w:lastRenderedPageBreak/>
        <w:t xml:space="preserve">Priority </w:t>
      </w:r>
      <w:r w:rsidR="00C1458A">
        <w:t>3</w:t>
      </w:r>
      <w:r>
        <w:t xml:space="preserve"> – </w:t>
      </w:r>
      <w:r w:rsidR="00C1458A">
        <w:t>Encourage innovation and collaboration</w:t>
      </w:r>
      <w:bookmarkEnd w:id="29"/>
    </w:p>
    <w:p w:rsidR="00451A6E" w:rsidRPr="007D2E80" w:rsidRDefault="00451A6E" w:rsidP="00C1458A">
      <w:pPr>
        <w:pStyle w:val="BodyText"/>
        <w:tabs>
          <w:tab w:val="left" w:pos="851"/>
        </w:tabs>
        <w:ind w:left="851" w:hanging="851"/>
        <w:rPr>
          <w:i/>
        </w:rPr>
      </w:pPr>
      <w:r w:rsidRPr="007D2E80">
        <w:rPr>
          <w:b/>
          <w:i/>
        </w:rPr>
        <w:t>Goal</w:t>
      </w:r>
      <w:r w:rsidR="00C1458A" w:rsidRPr="007D2E80">
        <w:rPr>
          <w:b/>
          <w:i/>
        </w:rPr>
        <w:t>:</w:t>
      </w:r>
      <w:r w:rsidR="00C1458A" w:rsidRPr="007D2E80">
        <w:rPr>
          <w:b/>
          <w:i/>
        </w:rPr>
        <w:tab/>
      </w:r>
      <w:r w:rsidR="00C1458A" w:rsidRPr="007D2E80">
        <w:rPr>
          <w:i/>
        </w:rPr>
        <w:t>Create an environment that encourages innovation and collaboration across the supply chain to improve productivity and attract investment</w:t>
      </w:r>
      <w:r w:rsidRPr="007D2E80">
        <w:rPr>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70"/>
        <w:gridCol w:w="3402"/>
        <w:gridCol w:w="5103"/>
      </w:tblGrid>
      <w:tr w:rsidR="00AE197B" w:rsidRPr="00FD1534" w:rsidTr="00FD1534">
        <w:tc>
          <w:tcPr>
            <w:tcW w:w="5670" w:type="dxa"/>
            <w:shd w:val="clear" w:color="auto" w:fill="213144"/>
          </w:tcPr>
          <w:p w:rsidR="00303043" w:rsidRPr="00FD1534" w:rsidRDefault="00303043" w:rsidP="00FD1534">
            <w:pPr>
              <w:pStyle w:val="BodyText"/>
              <w:tabs>
                <w:tab w:val="right" w:pos="5670"/>
              </w:tabs>
              <w:rPr>
                <w:b/>
                <w:sz w:val="18"/>
                <w:szCs w:val="18"/>
              </w:rPr>
            </w:pPr>
            <w:r w:rsidRPr="00FD1534">
              <w:rPr>
                <w:b/>
                <w:sz w:val="18"/>
                <w:szCs w:val="18"/>
              </w:rPr>
              <w:t>Issues</w:t>
            </w:r>
          </w:p>
        </w:tc>
        <w:tc>
          <w:tcPr>
            <w:tcW w:w="3402" w:type="dxa"/>
            <w:shd w:val="clear" w:color="auto" w:fill="213144"/>
          </w:tcPr>
          <w:p w:rsidR="00303043" w:rsidRPr="00FD1534" w:rsidRDefault="00303043" w:rsidP="00FD1534">
            <w:pPr>
              <w:pStyle w:val="BodyText"/>
              <w:tabs>
                <w:tab w:val="right" w:pos="5670"/>
              </w:tabs>
              <w:rPr>
                <w:b/>
                <w:sz w:val="18"/>
                <w:szCs w:val="18"/>
              </w:rPr>
            </w:pPr>
            <w:r w:rsidRPr="00FD1534">
              <w:rPr>
                <w:b/>
                <w:sz w:val="18"/>
                <w:szCs w:val="18"/>
              </w:rPr>
              <w:t>Strategies</w:t>
            </w:r>
          </w:p>
        </w:tc>
        <w:tc>
          <w:tcPr>
            <w:tcW w:w="5103" w:type="dxa"/>
            <w:shd w:val="clear" w:color="auto" w:fill="213144"/>
          </w:tcPr>
          <w:p w:rsidR="00303043" w:rsidRPr="00FD1534" w:rsidRDefault="00303043" w:rsidP="00FD1534">
            <w:pPr>
              <w:pStyle w:val="BodyText"/>
              <w:tabs>
                <w:tab w:val="right" w:pos="5670"/>
              </w:tabs>
              <w:rPr>
                <w:b/>
                <w:sz w:val="18"/>
                <w:szCs w:val="18"/>
              </w:rPr>
            </w:pPr>
            <w:r w:rsidRPr="00FD1534">
              <w:rPr>
                <w:b/>
                <w:sz w:val="18"/>
                <w:szCs w:val="18"/>
              </w:rPr>
              <w:t>Actions</w:t>
            </w:r>
          </w:p>
        </w:tc>
      </w:tr>
      <w:tr w:rsidR="00AE197B" w:rsidRPr="00FD1534" w:rsidTr="00FD1534">
        <w:trPr>
          <w:trHeight w:val="656"/>
        </w:trPr>
        <w:tc>
          <w:tcPr>
            <w:tcW w:w="5670" w:type="dxa"/>
            <w:vMerge w:val="restart"/>
            <w:shd w:val="clear" w:color="auto" w:fill="auto"/>
          </w:tcPr>
          <w:p w:rsidR="00303043" w:rsidRPr="00FD1534" w:rsidRDefault="00303043" w:rsidP="00FD1534">
            <w:pPr>
              <w:pStyle w:val="TableBullet"/>
              <w:tabs>
                <w:tab w:val="right" w:pos="5670"/>
              </w:tabs>
              <w:rPr>
                <w:szCs w:val="18"/>
              </w:rPr>
            </w:pPr>
            <w:r w:rsidRPr="00FD1534">
              <w:rPr>
                <w:szCs w:val="18"/>
              </w:rPr>
              <w:t>Our producers and processors recognise the importance of innovation to improve their productivity and competitiveness, but we need to further encourage their collaboration across the supply chain to strengthen our industry and attract investment.</w:t>
            </w:r>
          </w:p>
          <w:p w:rsidR="00303043" w:rsidRPr="00FD1534" w:rsidRDefault="00303043" w:rsidP="00FD1534">
            <w:pPr>
              <w:pStyle w:val="TableBullet"/>
              <w:tabs>
                <w:tab w:val="right" w:pos="5670"/>
              </w:tabs>
              <w:rPr>
                <w:szCs w:val="18"/>
              </w:rPr>
            </w:pPr>
            <w:r w:rsidRPr="00FD1534">
              <w:rPr>
                <w:szCs w:val="18"/>
              </w:rPr>
              <w:t xml:space="preserve">Our local producers established </w:t>
            </w:r>
            <w:r w:rsidRPr="00FD1534">
              <w:rPr>
                <w:i/>
                <w:szCs w:val="18"/>
              </w:rPr>
              <w:t>Southern Farming Systems</w:t>
            </w:r>
            <w:r w:rsidRPr="00FD1534">
              <w:rPr>
                <w:szCs w:val="18"/>
              </w:rPr>
              <w:t xml:space="preserve"> twenty years ago to drive innovation in broad acre farming and the region has reaped the benefits of the improved productivity this collaborative effort has achieved. </w:t>
            </w:r>
          </w:p>
          <w:p w:rsidR="00303043" w:rsidRPr="00FD1534" w:rsidRDefault="00303043" w:rsidP="00FD1534">
            <w:pPr>
              <w:pStyle w:val="TableBullet"/>
              <w:tabs>
                <w:tab w:val="right" w:pos="5670"/>
              </w:tabs>
              <w:rPr>
                <w:szCs w:val="18"/>
              </w:rPr>
            </w:pPr>
            <w:r w:rsidRPr="00FD1534">
              <w:rPr>
                <w:szCs w:val="18"/>
              </w:rPr>
              <w:t>The G21 Agribusiness Forum is currently undertaking a project (Innovation Roadmap) to identify specific agribusiness supply chains where collaborative innovation and entrepreneurial practices can generate growth in employment and income.  It wishes to learn from these examples and develop a roadmap to facilitate broader adoption.</w:t>
            </w:r>
          </w:p>
          <w:p w:rsidR="00303043" w:rsidRPr="00FD1534" w:rsidRDefault="00303043" w:rsidP="00FD1534">
            <w:pPr>
              <w:pStyle w:val="TableBullet"/>
              <w:tabs>
                <w:tab w:val="right" w:pos="5670"/>
              </w:tabs>
              <w:rPr>
                <w:szCs w:val="18"/>
              </w:rPr>
            </w:pPr>
            <w:r w:rsidRPr="00FD1534">
              <w:t xml:space="preserve">Furthermore, a significant level </w:t>
            </w:r>
            <w:r w:rsidR="00B62E44" w:rsidRPr="00FD1534">
              <w:t>(~$3</w:t>
            </w:r>
            <w:r w:rsidRPr="00FD1534">
              <w:t>00M) of the inputs sourced by our food processors are sourced from outside of the region. Thus, an opportunity exists to replace some of these inputs from within the region</w:t>
            </w:r>
            <w:r w:rsidR="00982BA0" w:rsidRPr="00FD1534">
              <w:t>, especially service related inputs</w:t>
            </w:r>
            <w:r w:rsidRPr="00FD1534">
              <w:t>.</w:t>
            </w:r>
          </w:p>
          <w:p w:rsidR="00303043" w:rsidRPr="00FD1534" w:rsidRDefault="00303043" w:rsidP="00FD1534">
            <w:pPr>
              <w:pStyle w:val="TableBullet"/>
              <w:tabs>
                <w:tab w:val="right" w:pos="5670"/>
              </w:tabs>
              <w:rPr>
                <w:szCs w:val="18"/>
              </w:rPr>
            </w:pPr>
            <w:r w:rsidRPr="00FD1534">
              <w:t>There is also an opportunity for greater collaboration amongst our processors (both large and small) to develop greater capability with respect to establishing export markets and growing the reputation of the region in these markets.</w:t>
            </w:r>
          </w:p>
          <w:p w:rsidR="00303043" w:rsidRPr="00FD1534" w:rsidRDefault="00303043" w:rsidP="00FD1534">
            <w:pPr>
              <w:pStyle w:val="TableBullet"/>
              <w:tabs>
                <w:tab w:val="right" w:pos="5670"/>
              </w:tabs>
              <w:rPr>
                <w:szCs w:val="18"/>
              </w:rPr>
            </w:pPr>
            <w:r w:rsidRPr="00FD1534">
              <w:t>The intensive animal industries have been our fastest growing agribusiness sector in recent years.  The continued growth of this sector is threatened by prohibitive compliance costs and ageing processing capacity, which needs to be replaced.  Government and industry need to work together to resolve these complex and difficult issues to retain and grow this investment.</w:t>
            </w:r>
          </w:p>
        </w:tc>
        <w:tc>
          <w:tcPr>
            <w:tcW w:w="3402" w:type="dxa"/>
            <w:shd w:val="clear" w:color="auto" w:fill="auto"/>
          </w:tcPr>
          <w:p w:rsidR="00303043" w:rsidRPr="00FD1534" w:rsidRDefault="00303043" w:rsidP="00FD1534">
            <w:pPr>
              <w:pStyle w:val="TableNumber"/>
              <w:keepNext/>
              <w:keepLines/>
              <w:pageBreakBefore/>
              <w:numPr>
                <w:ilvl w:val="0"/>
                <w:numId w:val="16"/>
              </w:numPr>
              <w:tabs>
                <w:tab w:val="clear" w:pos="284"/>
                <w:tab w:val="right" w:pos="5670"/>
              </w:tabs>
              <w:ind w:left="364" w:hanging="364"/>
              <w:jc w:val="left"/>
              <w:outlineLvl w:val="0"/>
              <w:rPr>
                <w:sz w:val="18"/>
                <w:szCs w:val="18"/>
              </w:rPr>
            </w:pPr>
            <w:r w:rsidRPr="00FD1534">
              <w:rPr>
                <w:sz w:val="18"/>
                <w:szCs w:val="18"/>
              </w:rPr>
              <w:t>Encourage innovation and entrepreneurial practices.</w:t>
            </w:r>
          </w:p>
        </w:tc>
        <w:tc>
          <w:tcPr>
            <w:tcW w:w="5103" w:type="dxa"/>
            <w:shd w:val="clear" w:color="auto" w:fill="auto"/>
          </w:tcPr>
          <w:p w:rsidR="00303043" w:rsidRPr="00FD1534" w:rsidRDefault="00BC5440" w:rsidP="00FD1534">
            <w:pPr>
              <w:pStyle w:val="BodyText"/>
              <w:tabs>
                <w:tab w:val="left" w:pos="418"/>
                <w:tab w:val="right" w:pos="5670"/>
              </w:tabs>
              <w:spacing w:before="60" w:after="60"/>
              <w:ind w:left="420" w:hanging="420"/>
              <w:jc w:val="left"/>
              <w:rPr>
                <w:color w:val="000000"/>
                <w:sz w:val="18"/>
                <w:szCs w:val="18"/>
              </w:rPr>
            </w:pPr>
            <w:r w:rsidRPr="00FD1534">
              <w:rPr>
                <w:color w:val="000000"/>
                <w:sz w:val="18"/>
                <w:szCs w:val="18"/>
              </w:rPr>
              <w:t>9</w:t>
            </w:r>
            <w:r w:rsidR="00303043" w:rsidRPr="00FD1534">
              <w:rPr>
                <w:color w:val="000000"/>
                <w:sz w:val="18"/>
                <w:szCs w:val="18"/>
              </w:rPr>
              <w:t>.1</w:t>
            </w:r>
            <w:r w:rsidR="00303043" w:rsidRPr="00FD1534">
              <w:rPr>
                <w:color w:val="000000"/>
                <w:sz w:val="18"/>
                <w:szCs w:val="18"/>
              </w:rPr>
              <w:tab/>
              <w:t>Support the G21 Agribusiness Forum’s Innovation Roadmap project and examine ways to further support its implementation and facilitate adoption of its findings.</w:t>
            </w:r>
          </w:p>
          <w:p w:rsidR="00303043" w:rsidRPr="00FD1534" w:rsidRDefault="00BC5440" w:rsidP="00FD1534">
            <w:pPr>
              <w:pStyle w:val="BodyText"/>
              <w:tabs>
                <w:tab w:val="left" w:pos="418"/>
                <w:tab w:val="right" w:pos="5670"/>
              </w:tabs>
              <w:spacing w:before="60" w:after="60"/>
              <w:ind w:left="420" w:hanging="420"/>
              <w:jc w:val="left"/>
              <w:rPr>
                <w:color w:val="000000"/>
                <w:sz w:val="18"/>
                <w:szCs w:val="18"/>
              </w:rPr>
            </w:pPr>
            <w:r w:rsidRPr="00FD1534">
              <w:rPr>
                <w:color w:val="000000"/>
                <w:sz w:val="18"/>
                <w:szCs w:val="18"/>
              </w:rPr>
              <w:t>9</w:t>
            </w:r>
            <w:r w:rsidR="00303043" w:rsidRPr="00FD1534">
              <w:rPr>
                <w:color w:val="000000"/>
                <w:sz w:val="18"/>
                <w:szCs w:val="18"/>
              </w:rPr>
              <w:t>.2</w:t>
            </w:r>
            <w:r w:rsidR="00303043" w:rsidRPr="00FD1534">
              <w:rPr>
                <w:color w:val="000000"/>
                <w:sz w:val="18"/>
                <w:szCs w:val="18"/>
              </w:rPr>
              <w:tab/>
              <w:t xml:space="preserve">Investigate options for improved collaboration between existing agribusiness groups via the </w:t>
            </w:r>
            <w:r w:rsidR="00F1254C" w:rsidRPr="00FD1534">
              <w:rPr>
                <w:color w:val="000000"/>
                <w:sz w:val="18"/>
                <w:szCs w:val="18"/>
              </w:rPr>
              <w:t>leverag</w:t>
            </w:r>
            <w:r w:rsidR="00303043" w:rsidRPr="00FD1534">
              <w:rPr>
                <w:color w:val="000000"/>
                <w:sz w:val="18"/>
                <w:szCs w:val="18"/>
              </w:rPr>
              <w:t>ing of resources (both staff and infrastructure) and a formal network to support the implementation of the strategy.</w:t>
            </w:r>
          </w:p>
        </w:tc>
      </w:tr>
      <w:tr w:rsidR="00AE197B" w:rsidRPr="00FD1534" w:rsidTr="00FD1534">
        <w:tc>
          <w:tcPr>
            <w:tcW w:w="5670" w:type="dxa"/>
            <w:vMerge/>
            <w:shd w:val="clear" w:color="auto" w:fill="auto"/>
          </w:tcPr>
          <w:p w:rsidR="00303043" w:rsidRPr="00FD1534" w:rsidRDefault="00303043" w:rsidP="00FD1534">
            <w:pPr>
              <w:pStyle w:val="BodyText"/>
              <w:tabs>
                <w:tab w:val="right" w:pos="5670"/>
              </w:tabs>
              <w:jc w:val="left"/>
              <w:rPr>
                <w:sz w:val="18"/>
                <w:szCs w:val="18"/>
              </w:rPr>
            </w:pPr>
          </w:p>
        </w:tc>
        <w:tc>
          <w:tcPr>
            <w:tcW w:w="3402" w:type="dxa"/>
            <w:shd w:val="clear" w:color="auto" w:fill="auto"/>
          </w:tcPr>
          <w:p w:rsidR="00303043" w:rsidRPr="00FD1534" w:rsidRDefault="00303043" w:rsidP="00FD1534">
            <w:pPr>
              <w:pStyle w:val="TableNumber"/>
              <w:keepNext/>
              <w:keepLines/>
              <w:pageBreakBefore/>
              <w:numPr>
                <w:ilvl w:val="0"/>
                <w:numId w:val="16"/>
              </w:numPr>
              <w:tabs>
                <w:tab w:val="clear" w:pos="284"/>
                <w:tab w:val="right" w:pos="5670"/>
              </w:tabs>
              <w:ind w:left="364" w:hanging="364"/>
              <w:jc w:val="left"/>
              <w:outlineLvl w:val="0"/>
              <w:rPr>
                <w:sz w:val="18"/>
                <w:szCs w:val="18"/>
              </w:rPr>
            </w:pPr>
            <w:r w:rsidRPr="00FD1534">
              <w:rPr>
                <w:sz w:val="18"/>
                <w:szCs w:val="18"/>
              </w:rPr>
              <w:t>Promote the extension of local supply chains.</w:t>
            </w:r>
          </w:p>
        </w:tc>
        <w:tc>
          <w:tcPr>
            <w:tcW w:w="5103" w:type="dxa"/>
            <w:shd w:val="clear" w:color="auto" w:fill="auto"/>
          </w:tcPr>
          <w:p w:rsidR="00303043" w:rsidRPr="00FD1534" w:rsidRDefault="00303043" w:rsidP="00FD1534">
            <w:pPr>
              <w:pStyle w:val="BodyText"/>
              <w:tabs>
                <w:tab w:val="left" w:pos="418"/>
                <w:tab w:val="right" w:pos="5670"/>
              </w:tabs>
              <w:spacing w:before="60" w:after="60"/>
              <w:ind w:left="420" w:hanging="420"/>
              <w:jc w:val="left"/>
              <w:rPr>
                <w:color w:val="000000"/>
                <w:sz w:val="18"/>
                <w:szCs w:val="18"/>
              </w:rPr>
            </w:pPr>
            <w:r w:rsidRPr="00FD1534">
              <w:rPr>
                <w:color w:val="000000"/>
                <w:sz w:val="18"/>
                <w:szCs w:val="18"/>
              </w:rPr>
              <w:t>1</w:t>
            </w:r>
            <w:r w:rsidR="00BC5440" w:rsidRPr="00FD1534">
              <w:rPr>
                <w:color w:val="000000"/>
                <w:sz w:val="18"/>
                <w:szCs w:val="18"/>
              </w:rPr>
              <w:t>0</w:t>
            </w:r>
            <w:r w:rsidRPr="00FD1534">
              <w:rPr>
                <w:color w:val="000000"/>
                <w:sz w:val="18"/>
                <w:szCs w:val="18"/>
              </w:rPr>
              <w:t>.1</w:t>
            </w:r>
            <w:r w:rsidRPr="00FD1534">
              <w:rPr>
                <w:color w:val="000000"/>
                <w:sz w:val="18"/>
                <w:szCs w:val="18"/>
              </w:rPr>
              <w:tab/>
            </w:r>
            <w:r w:rsidR="007041F2" w:rsidRPr="00FD1534">
              <w:rPr>
                <w:color w:val="000000"/>
                <w:sz w:val="18"/>
                <w:szCs w:val="18"/>
              </w:rPr>
              <w:t xml:space="preserve">Investigate a suitable process for developing a greater understanding of the range </w:t>
            </w:r>
            <w:r w:rsidRPr="00FD1534">
              <w:rPr>
                <w:color w:val="000000"/>
                <w:sz w:val="18"/>
                <w:szCs w:val="18"/>
              </w:rPr>
              <w:t>of local producers and their products.</w:t>
            </w:r>
          </w:p>
          <w:p w:rsidR="00303043" w:rsidRPr="00FD1534" w:rsidRDefault="00303043" w:rsidP="00FD1534">
            <w:pPr>
              <w:pStyle w:val="BodyText"/>
              <w:tabs>
                <w:tab w:val="left" w:pos="418"/>
                <w:tab w:val="right" w:pos="5670"/>
              </w:tabs>
              <w:spacing w:before="60" w:after="60"/>
              <w:ind w:left="420" w:hanging="420"/>
              <w:jc w:val="left"/>
              <w:rPr>
                <w:color w:val="000000"/>
                <w:sz w:val="18"/>
                <w:szCs w:val="18"/>
              </w:rPr>
            </w:pPr>
            <w:r w:rsidRPr="00FD1534">
              <w:rPr>
                <w:color w:val="000000"/>
                <w:sz w:val="18"/>
                <w:szCs w:val="18"/>
              </w:rPr>
              <w:t>1</w:t>
            </w:r>
            <w:r w:rsidR="00BC5440" w:rsidRPr="00FD1534">
              <w:rPr>
                <w:color w:val="000000"/>
                <w:sz w:val="18"/>
                <w:szCs w:val="18"/>
              </w:rPr>
              <w:t>0</w:t>
            </w:r>
            <w:r w:rsidRPr="00FD1534">
              <w:rPr>
                <w:color w:val="000000"/>
                <w:sz w:val="18"/>
                <w:szCs w:val="18"/>
              </w:rPr>
              <w:t>.2</w:t>
            </w:r>
            <w:r w:rsidRPr="00FD1534">
              <w:rPr>
                <w:color w:val="000000"/>
                <w:sz w:val="18"/>
                <w:szCs w:val="18"/>
              </w:rPr>
              <w:tab/>
            </w:r>
            <w:r w:rsidR="00633B2E" w:rsidRPr="00FD1534">
              <w:rPr>
                <w:color w:val="000000"/>
                <w:sz w:val="18"/>
                <w:szCs w:val="18"/>
              </w:rPr>
              <w:t xml:space="preserve">Identify and promote opportunities for increasing the use of local providers of goods and services by regional agribusinesses. </w:t>
            </w:r>
          </w:p>
          <w:p w:rsidR="001B21AD" w:rsidRPr="00FD1534" w:rsidRDefault="001B21AD" w:rsidP="00FD1534">
            <w:pPr>
              <w:pStyle w:val="BodyText"/>
              <w:tabs>
                <w:tab w:val="left" w:pos="418"/>
                <w:tab w:val="right" w:pos="5670"/>
              </w:tabs>
              <w:spacing w:before="60" w:after="60"/>
              <w:ind w:left="420" w:hanging="420"/>
              <w:jc w:val="left"/>
              <w:rPr>
                <w:color w:val="000000"/>
                <w:sz w:val="18"/>
                <w:szCs w:val="18"/>
              </w:rPr>
            </w:pPr>
            <w:r w:rsidRPr="00FD1534">
              <w:rPr>
                <w:color w:val="000000"/>
                <w:sz w:val="18"/>
                <w:szCs w:val="18"/>
              </w:rPr>
              <w:t>10.3</w:t>
            </w:r>
            <w:r w:rsidRPr="00FD1534">
              <w:rPr>
                <w:color w:val="000000"/>
                <w:sz w:val="18"/>
                <w:szCs w:val="18"/>
              </w:rPr>
              <w:tab/>
              <w:t>Foster business models that enable smaller producers to distribute their goods to markets beyond the region.</w:t>
            </w:r>
          </w:p>
        </w:tc>
      </w:tr>
      <w:tr w:rsidR="00AE197B" w:rsidRPr="00FD1534" w:rsidTr="00FD1534">
        <w:tc>
          <w:tcPr>
            <w:tcW w:w="5670" w:type="dxa"/>
            <w:vMerge/>
            <w:shd w:val="clear" w:color="auto" w:fill="auto"/>
          </w:tcPr>
          <w:p w:rsidR="00303043" w:rsidRPr="00FD1534" w:rsidRDefault="00303043" w:rsidP="00FD1534">
            <w:pPr>
              <w:pStyle w:val="BodyText"/>
              <w:tabs>
                <w:tab w:val="right" w:pos="5670"/>
              </w:tabs>
              <w:jc w:val="left"/>
              <w:rPr>
                <w:sz w:val="18"/>
                <w:szCs w:val="18"/>
              </w:rPr>
            </w:pPr>
          </w:p>
        </w:tc>
        <w:tc>
          <w:tcPr>
            <w:tcW w:w="3402" w:type="dxa"/>
            <w:shd w:val="clear" w:color="auto" w:fill="auto"/>
          </w:tcPr>
          <w:p w:rsidR="00303043" w:rsidRPr="00FD1534" w:rsidRDefault="00303043" w:rsidP="00FD1534">
            <w:pPr>
              <w:pStyle w:val="TableNumber"/>
              <w:keepNext/>
              <w:keepLines/>
              <w:pageBreakBefore/>
              <w:numPr>
                <w:ilvl w:val="0"/>
                <w:numId w:val="16"/>
              </w:numPr>
              <w:tabs>
                <w:tab w:val="clear" w:pos="284"/>
                <w:tab w:val="right" w:pos="5670"/>
              </w:tabs>
              <w:ind w:left="364" w:hanging="364"/>
              <w:jc w:val="left"/>
              <w:outlineLvl w:val="0"/>
              <w:rPr>
                <w:sz w:val="18"/>
                <w:szCs w:val="18"/>
              </w:rPr>
            </w:pPr>
            <w:r w:rsidRPr="00FD1534">
              <w:rPr>
                <w:sz w:val="18"/>
                <w:szCs w:val="18"/>
              </w:rPr>
              <w:t>Foster export development.</w:t>
            </w:r>
          </w:p>
        </w:tc>
        <w:tc>
          <w:tcPr>
            <w:tcW w:w="5103" w:type="dxa"/>
            <w:shd w:val="clear" w:color="auto" w:fill="auto"/>
          </w:tcPr>
          <w:p w:rsidR="00303043" w:rsidRPr="00FD1534" w:rsidRDefault="00BC5440" w:rsidP="00FD1534">
            <w:pPr>
              <w:pStyle w:val="BodyText"/>
              <w:tabs>
                <w:tab w:val="left" w:pos="418"/>
                <w:tab w:val="right" w:pos="5670"/>
              </w:tabs>
              <w:spacing w:before="60" w:after="60"/>
              <w:ind w:left="420" w:hanging="420"/>
              <w:jc w:val="left"/>
              <w:rPr>
                <w:color w:val="000000"/>
                <w:sz w:val="18"/>
                <w:szCs w:val="18"/>
              </w:rPr>
            </w:pPr>
            <w:r w:rsidRPr="00FD1534">
              <w:rPr>
                <w:color w:val="000000"/>
                <w:sz w:val="18"/>
                <w:szCs w:val="18"/>
              </w:rPr>
              <w:t>11</w:t>
            </w:r>
            <w:r w:rsidR="00303043" w:rsidRPr="00FD1534">
              <w:rPr>
                <w:color w:val="000000"/>
                <w:sz w:val="18"/>
                <w:szCs w:val="18"/>
              </w:rPr>
              <w:t>.1</w:t>
            </w:r>
            <w:r w:rsidR="00303043" w:rsidRPr="00FD1534">
              <w:rPr>
                <w:color w:val="000000"/>
                <w:sz w:val="18"/>
                <w:szCs w:val="18"/>
              </w:rPr>
              <w:tab/>
            </w:r>
            <w:r w:rsidR="00943A4F" w:rsidRPr="00FD1534">
              <w:rPr>
                <w:color w:val="000000"/>
                <w:sz w:val="18"/>
                <w:szCs w:val="18"/>
              </w:rPr>
              <w:t>Identify opportunities within existing government and industry trade facilitation processes, which connect buyers and agents with export ready agribusinesses.</w:t>
            </w:r>
          </w:p>
          <w:p w:rsidR="00303043" w:rsidRPr="00FD1534" w:rsidRDefault="00943A4F" w:rsidP="00FD1534">
            <w:pPr>
              <w:pStyle w:val="BodyText"/>
              <w:tabs>
                <w:tab w:val="left" w:pos="418"/>
                <w:tab w:val="right" w:pos="5670"/>
              </w:tabs>
              <w:spacing w:before="60" w:after="60"/>
              <w:ind w:left="420" w:hanging="420"/>
              <w:jc w:val="left"/>
              <w:rPr>
                <w:color w:val="000000"/>
                <w:sz w:val="18"/>
                <w:szCs w:val="18"/>
              </w:rPr>
            </w:pPr>
            <w:r w:rsidRPr="00FD1534">
              <w:rPr>
                <w:color w:val="000000"/>
                <w:sz w:val="18"/>
                <w:szCs w:val="18"/>
              </w:rPr>
              <w:t>11.2</w:t>
            </w:r>
            <w:r w:rsidRPr="00FD1534">
              <w:rPr>
                <w:color w:val="000000"/>
                <w:sz w:val="18"/>
                <w:szCs w:val="18"/>
              </w:rPr>
              <w:tab/>
            </w:r>
            <w:r w:rsidR="00303043" w:rsidRPr="00FD1534">
              <w:rPr>
                <w:color w:val="000000"/>
                <w:sz w:val="18"/>
                <w:szCs w:val="18"/>
              </w:rPr>
              <w:t>Support international delegations to showcase local produce and capability.</w:t>
            </w:r>
          </w:p>
        </w:tc>
      </w:tr>
      <w:tr w:rsidR="00AE197B" w:rsidRPr="00FD1534" w:rsidTr="00FD1534">
        <w:tc>
          <w:tcPr>
            <w:tcW w:w="5670" w:type="dxa"/>
            <w:vMerge/>
            <w:shd w:val="clear" w:color="auto" w:fill="auto"/>
          </w:tcPr>
          <w:p w:rsidR="00303043" w:rsidRPr="00FD1534" w:rsidRDefault="00303043" w:rsidP="00FD1534">
            <w:pPr>
              <w:pStyle w:val="BodyText"/>
              <w:tabs>
                <w:tab w:val="right" w:pos="5670"/>
              </w:tabs>
              <w:jc w:val="left"/>
              <w:rPr>
                <w:sz w:val="18"/>
                <w:szCs w:val="18"/>
              </w:rPr>
            </w:pPr>
          </w:p>
        </w:tc>
        <w:tc>
          <w:tcPr>
            <w:tcW w:w="3402" w:type="dxa"/>
            <w:shd w:val="clear" w:color="auto" w:fill="auto"/>
          </w:tcPr>
          <w:p w:rsidR="00303043" w:rsidRPr="00FD1534" w:rsidRDefault="00303043" w:rsidP="00FD1534">
            <w:pPr>
              <w:pStyle w:val="TableNumber"/>
              <w:keepNext/>
              <w:keepLines/>
              <w:pageBreakBefore/>
              <w:numPr>
                <w:ilvl w:val="0"/>
                <w:numId w:val="16"/>
              </w:numPr>
              <w:tabs>
                <w:tab w:val="clear" w:pos="284"/>
                <w:tab w:val="right" w:pos="5670"/>
              </w:tabs>
              <w:ind w:left="364" w:hanging="364"/>
              <w:jc w:val="left"/>
              <w:outlineLvl w:val="0"/>
              <w:rPr>
                <w:sz w:val="18"/>
                <w:szCs w:val="18"/>
              </w:rPr>
            </w:pPr>
            <w:r w:rsidRPr="00FD1534">
              <w:rPr>
                <w:sz w:val="18"/>
                <w:szCs w:val="18"/>
              </w:rPr>
              <w:t>Foster collaboration between government and business to secure long-term</w:t>
            </w:r>
            <w:r w:rsidR="00F71251" w:rsidRPr="00FD1534">
              <w:rPr>
                <w:sz w:val="18"/>
                <w:szCs w:val="18"/>
              </w:rPr>
              <w:t xml:space="preserve"> investment.</w:t>
            </w:r>
          </w:p>
        </w:tc>
        <w:tc>
          <w:tcPr>
            <w:tcW w:w="5103" w:type="dxa"/>
            <w:shd w:val="clear" w:color="auto" w:fill="auto"/>
          </w:tcPr>
          <w:p w:rsidR="00303043" w:rsidRPr="00FD1534" w:rsidRDefault="00BC5440" w:rsidP="00FD1534">
            <w:pPr>
              <w:pStyle w:val="BodyText"/>
              <w:tabs>
                <w:tab w:val="left" w:pos="418"/>
                <w:tab w:val="right" w:pos="5670"/>
              </w:tabs>
              <w:spacing w:before="60" w:after="60"/>
              <w:ind w:left="420" w:hanging="420"/>
              <w:jc w:val="left"/>
              <w:rPr>
                <w:color w:val="000000"/>
                <w:sz w:val="18"/>
                <w:szCs w:val="18"/>
              </w:rPr>
            </w:pPr>
            <w:r w:rsidRPr="00FD1534">
              <w:rPr>
                <w:color w:val="000000"/>
                <w:sz w:val="18"/>
                <w:szCs w:val="18"/>
              </w:rPr>
              <w:t>12</w:t>
            </w:r>
            <w:r w:rsidR="00303043" w:rsidRPr="00FD1534">
              <w:rPr>
                <w:color w:val="000000"/>
                <w:sz w:val="18"/>
                <w:szCs w:val="18"/>
              </w:rPr>
              <w:t>.1</w:t>
            </w:r>
            <w:r w:rsidR="00303043" w:rsidRPr="00FD1534">
              <w:rPr>
                <w:color w:val="000000"/>
                <w:sz w:val="18"/>
                <w:szCs w:val="18"/>
              </w:rPr>
              <w:tab/>
            </w:r>
            <w:r w:rsidR="005A5FAD" w:rsidRPr="00FD1534">
              <w:rPr>
                <w:color w:val="000000"/>
                <w:sz w:val="18"/>
                <w:szCs w:val="18"/>
              </w:rPr>
              <w:t>Promote private sector investment and government s</w:t>
            </w:r>
            <w:r w:rsidR="00332F50" w:rsidRPr="00FD1534">
              <w:rPr>
                <w:color w:val="000000"/>
                <w:sz w:val="18"/>
                <w:szCs w:val="18"/>
              </w:rPr>
              <w:t>upport</w:t>
            </w:r>
            <w:r w:rsidR="00F71251" w:rsidRPr="00FD1534">
              <w:rPr>
                <w:color w:val="000000"/>
                <w:sz w:val="18"/>
                <w:szCs w:val="18"/>
              </w:rPr>
              <w:t xml:space="preserve"> </w:t>
            </w:r>
            <w:r w:rsidR="005A5FAD" w:rsidRPr="00FD1534">
              <w:rPr>
                <w:color w:val="000000"/>
                <w:sz w:val="18"/>
                <w:szCs w:val="18"/>
              </w:rPr>
              <w:t>for</w:t>
            </w:r>
            <w:r w:rsidR="00F71251" w:rsidRPr="00FD1534">
              <w:rPr>
                <w:color w:val="000000"/>
                <w:sz w:val="18"/>
                <w:szCs w:val="18"/>
              </w:rPr>
              <w:t xml:space="preserve"> </w:t>
            </w:r>
            <w:r w:rsidR="00332F50" w:rsidRPr="00FD1534">
              <w:rPr>
                <w:color w:val="000000"/>
                <w:sz w:val="18"/>
                <w:szCs w:val="18"/>
              </w:rPr>
              <w:t xml:space="preserve">the development of </w:t>
            </w:r>
            <w:r w:rsidR="00F71251" w:rsidRPr="00FD1534">
              <w:rPr>
                <w:color w:val="000000"/>
                <w:sz w:val="18"/>
                <w:szCs w:val="18"/>
              </w:rPr>
              <w:t>competitive manufacturing facilities in the region.</w:t>
            </w:r>
          </w:p>
        </w:tc>
      </w:tr>
    </w:tbl>
    <w:p w:rsidR="00451A6E" w:rsidRDefault="00451A6E" w:rsidP="00451A6E">
      <w:pPr>
        <w:pStyle w:val="Heading2"/>
      </w:pPr>
      <w:bookmarkStart w:id="30" w:name="_Toc487757697"/>
      <w:r>
        <w:lastRenderedPageBreak/>
        <w:t xml:space="preserve">Priority </w:t>
      </w:r>
      <w:r w:rsidR="00C1458A">
        <w:t>4</w:t>
      </w:r>
      <w:r>
        <w:t xml:space="preserve"> – </w:t>
      </w:r>
      <w:r w:rsidR="00C1458A">
        <w:t>Build enabling infrastructure</w:t>
      </w:r>
      <w:bookmarkEnd w:id="30"/>
    </w:p>
    <w:p w:rsidR="00451A6E" w:rsidRPr="007D2E80" w:rsidRDefault="00451A6E" w:rsidP="00C1458A">
      <w:pPr>
        <w:pStyle w:val="BodyText"/>
        <w:tabs>
          <w:tab w:val="left" w:pos="851"/>
        </w:tabs>
        <w:ind w:left="851" w:hanging="851"/>
        <w:rPr>
          <w:b/>
          <w:i/>
        </w:rPr>
      </w:pPr>
      <w:r w:rsidRPr="007D2E80">
        <w:rPr>
          <w:b/>
          <w:i/>
        </w:rPr>
        <w:t>Goal:</w:t>
      </w:r>
      <w:r w:rsidRPr="007D2E80">
        <w:rPr>
          <w:b/>
          <w:i/>
        </w:rPr>
        <w:tab/>
      </w:r>
      <w:r w:rsidR="00C1458A" w:rsidRPr="007D2E80">
        <w:rPr>
          <w:i/>
        </w:rPr>
        <w:t>Co-operate and advocate at a regional level to ensure appropriate infrastructure investment to facilitate industry growth</w:t>
      </w:r>
      <w:r w:rsidRPr="007D2E80">
        <w:rPr>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70"/>
        <w:gridCol w:w="2876"/>
        <w:gridCol w:w="5629"/>
      </w:tblGrid>
      <w:tr w:rsidR="00AE197B" w:rsidRPr="00FD1534" w:rsidTr="00FD1534">
        <w:trPr>
          <w:tblHeader/>
        </w:trPr>
        <w:tc>
          <w:tcPr>
            <w:tcW w:w="5670" w:type="dxa"/>
            <w:shd w:val="clear" w:color="auto" w:fill="213144"/>
          </w:tcPr>
          <w:p w:rsidR="001740BF" w:rsidRPr="00FD1534" w:rsidRDefault="001740BF" w:rsidP="00FD1534">
            <w:pPr>
              <w:pStyle w:val="BodyText"/>
              <w:tabs>
                <w:tab w:val="right" w:pos="5670"/>
              </w:tabs>
              <w:rPr>
                <w:b/>
                <w:sz w:val="18"/>
                <w:szCs w:val="18"/>
              </w:rPr>
            </w:pPr>
            <w:r w:rsidRPr="00FD1534">
              <w:rPr>
                <w:b/>
                <w:sz w:val="18"/>
                <w:szCs w:val="18"/>
              </w:rPr>
              <w:t>Issues</w:t>
            </w:r>
          </w:p>
        </w:tc>
        <w:tc>
          <w:tcPr>
            <w:tcW w:w="2876" w:type="dxa"/>
            <w:shd w:val="clear" w:color="auto" w:fill="213144"/>
          </w:tcPr>
          <w:p w:rsidR="001740BF" w:rsidRPr="00FD1534" w:rsidRDefault="001740BF" w:rsidP="00FD1534">
            <w:pPr>
              <w:pStyle w:val="BodyText"/>
              <w:tabs>
                <w:tab w:val="right" w:pos="5670"/>
              </w:tabs>
              <w:rPr>
                <w:b/>
                <w:sz w:val="18"/>
                <w:szCs w:val="18"/>
              </w:rPr>
            </w:pPr>
            <w:r w:rsidRPr="00FD1534">
              <w:rPr>
                <w:b/>
                <w:sz w:val="18"/>
                <w:szCs w:val="18"/>
              </w:rPr>
              <w:t>Strategies</w:t>
            </w:r>
          </w:p>
        </w:tc>
        <w:tc>
          <w:tcPr>
            <w:tcW w:w="5629" w:type="dxa"/>
            <w:shd w:val="clear" w:color="auto" w:fill="213144"/>
          </w:tcPr>
          <w:p w:rsidR="001740BF" w:rsidRPr="00FD1534" w:rsidRDefault="001740BF" w:rsidP="00FD1534">
            <w:pPr>
              <w:pStyle w:val="BodyText"/>
              <w:tabs>
                <w:tab w:val="right" w:pos="5670"/>
              </w:tabs>
              <w:rPr>
                <w:b/>
                <w:sz w:val="18"/>
                <w:szCs w:val="18"/>
              </w:rPr>
            </w:pPr>
            <w:r w:rsidRPr="00FD1534">
              <w:rPr>
                <w:b/>
                <w:sz w:val="18"/>
                <w:szCs w:val="18"/>
              </w:rPr>
              <w:t>Actions</w:t>
            </w:r>
          </w:p>
        </w:tc>
      </w:tr>
      <w:tr w:rsidR="00AE197B" w:rsidRPr="00FD1534" w:rsidTr="00FD1534">
        <w:trPr>
          <w:trHeight w:val="1075"/>
        </w:trPr>
        <w:tc>
          <w:tcPr>
            <w:tcW w:w="5670" w:type="dxa"/>
            <w:vMerge w:val="restart"/>
            <w:shd w:val="clear" w:color="auto" w:fill="auto"/>
          </w:tcPr>
          <w:p w:rsidR="006369B3" w:rsidRPr="00FD1534" w:rsidRDefault="006369B3" w:rsidP="00FD1534">
            <w:pPr>
              <w:pStyle w:val="TableBullet"/>
              <w:numPr>
                <w:ilvl w:val="0"/>
                <w:numId w:val="0"/>
              </w:numPr>
              <w:tabs>
                <w:tab w:val="right" w:pos="5670"/>
              </w:tabs>
              <w:spacing w:before="120" w:after="120"/>
              <w:ind w:left="357" w:hanging="249"/>
              <w:rPr>
                <w:b/>
              </w:rPr>
            </w:pPr>
            <w:r w:rsidRPr="00FD1534">
              <w:rPr>
                <w:b/>
              </w:rPr>
              <w:t>REGULATION</w:t>
            </w:r>
          </w:p>
          <w:p w:rsidR="001740BF" w:rsidRPr="00FD1534" w:rsidRDefault="001740BF" w:rsidP="00FD1534">
            <w:pPr>
              <w:pStyle w:val="TableBullet"/>
              <w:tabs>
                <w:tab w:val="right" w:pos="5670"/>
              </w:tabs>
            </w:pPr>
            <w:r w:rsidRPr="00FD1534">
              <w:t>We need to actively build a culture and environment that attracts and retains investment in agribusiness.</w:t>
            </w:r>
          </w:p>
          <w:p w:rsidR="001740BF" w:rsidRPr="00FD1534" w:rsidRDefault="001740BF" w:rsidP="00FD1534">
            <w:pPr>
              <w:pStyle w:val="TableBullet"/>
              <w:tabs>
                <w:tab w:val="right" w:pos="5670"/>
              </w:tabs>
            </w:pPr>
            <w:r w:rsidRPr="00FD1534">
              <w:t>Agribusiness needs rural land to produce, and industrial land to process.  It plays a vital role in managing our landscape and providing amenity value to our community and our visitors.</w:t>
            </w:r>
          </w:p>
          <w:p w:rsidR="001740BF" w:rsidRPr="00FD1534" w:rsidRDefault="001740BF" w:rsidP="00FD1534">
            <w:pPr>
              <w:pStyle w:val="TableBullet"/>
              <w:tabs>
                <w:tab w:val="right" w:pos="5670"/>
              </w:tabs>
            </w:pPr>
            <w:r w:rsidRPr="00FD1534">
              <w:t>However, conflict can occur where competing land uses abut, or neighbours do not understand each other’s needs.  For example, the interaction of lifestyle farms with larger commercial farms can sometimes be problematic.</w:t>
            </w:r>
          </w:p>
          <w:p w:rsidR="001740BF" w:rsidRPr="00FD1534" w:rsidRDefault="001740BF" w:rsidP="00FD1534">
            <w:pPr>
              <w:pStyle w:val="TableBullet"/>
              <w:tabs>
                <w:tab w:val="right" w:pos="5670"/>
              </w:tabs>
            </w:pPr>
            <w:r w:rsidRPr="00FD1534">
              <w:t>Similarly, the encroachment of residential areas on traditional industrial areas can cause disputes over traffic, noise and odour, which can lead to restrictions of business operations.</w:t>
            </w:r>
          </w:p>
          <w:p w:rsidR="001740BF" w:rsidRPr="00FD1534" w:rsidRDefault="001740BF" w:rsidP="00FD1534">
            <w:pPr>
              <w:pStyle w:val="TableBullet"/>
              <w:tabs>
                <w:tab w:val="right" w:pos="5670"/>
              </w:tabs>
            </w:pPr>
            <w:r w:rsidRPr="00FD1534">
              <w:t>Businesses need efficient and timely planning and regulatory approval processes to reduce unnecessary delays and access to key infrastructure, such as ports, energy and water.</w:t>
            </w:r>
          </w:p>
          <w:p w:rsidR="005B2238" w:rsidRPr="00FD1534" w:rsidRDefault="005B2238" w:rsidP="00FD1534">
            <w:pPr>
              <w:pStyle w:val="TableBullet"/>
              <w:tabs>
                <w:tab w:val="right" w:pos="5670"/>
              </w:tabs>
            </w:pPr>
            <w:r w:rsidRPr="00FD1534">
              <w:t>Often the regulatory environment has evolved in response to one type of business development and/or community need, but has not changed at the same pace as business practices.  This can result in regulation that has a “one size fits all” approach even though the needs and practices of different scale businesses may differ significantly.</w:t>
            </w:r>
          </w:p>
          <w:p w:rsidR="005B2238" w:rsidRPr="00FD1534" w:rsidRDefault="005B2238" w:rsidP="00FD1534">
            <w:pPr>
              <w:pStyle w:val="TableBullet"/>
              <w:tabs>
                <w:tab w:val="right" w:pos="5670"/>
              </w:tabs>
            </w:pPr>
            <w:r w:rsidRPr="00FD1534">
              <w:t>This approach can stifle innovation</w:t>
            </w:r>
            <w:r w:rsidR="00C15779" w:rsidRPr="00FD1534">
              <w:t xml:space="preserve"> and impose prohibitive costs</w:t>
            </w:r>
            <w:r w:rsidRPr="00FD1534">
              <w:t xml:space="preserve"> </w:t>
            </w:r>
            <w:r w:rsidR="00C15779" w:rsidRPr="00FD1534">
              <w:t xml:space="preserve">on businesses, </w:t>
            </w:r>
            <w:r w:rsidRPr="00FD1534">
              <w:t xml:space="preserve">especially small and medium size enterprises that </w:t>
            </w:r>
            <w:r w:rsidR="00C15779" w:rsidRPr="00FD1534">
              <w:t xml:space="preserve">have limited excess capacity and/or slim margins. </w:t>
            </w:r>
            <w:r w:rsidRPr="00FD1534">
              <w:t xml:space="preserve"> </w:t>
            </w:r>
          </w:p>
          <w:p w:rsidR="006B59C9" w:rsidRPr="00FD1534" w:rsidRDefault="006B59C9" w:rsidP="00FD1534">
            <w:pPr>
              <w:pStyle w:val="TableBulletShadedTable"/>
              <w:numPr>
                <w:ilvl w:val="0"/>
                <w:numId w:val="0"/>
              </w:numPr>
              <w:tabs>
                <w:tab w:val="right" w:pos="5670"/>
              </w:tabs>
              <w:spacing w:before="120" w:after="120"/>
              <w:ind w:left="357" w:hanging="357"/>
              <w:rPr>
                <w:b/>
                <w:color w:val="000000"/>
              </w:rPr>
            </w:pPr>
          </w:p>
          <w:p w:rsidR="006369B3" w:rsidRPr="00FD1534" w:rsidRDefault="006369B3" w:rsidP="00FD1534">
            <w:pPr>
              <w:pStyle w:val="TableBulletShadedTable"/>
              <w:numPr>
                <w:ilvl w:val="0"/>
                <w:numId w:val="0"/>
              </w:numPr>
              <w:tabs>
                <w:tab w:val="right" w:pos="5670"/>
              </w:tabs>
              <w:spacing w:before="120" w:after="120"/>
              <w:rPr>
                <w:b/>
                <w:color w:val="000000"/>
              </w:rPr>
            </w:pPr>
            <w:r w:rsidRPr="00FD1534">
              <w:rPr>
                <w:b/>
                <w:color w:val="000000"/>
              </w:rPr>
              <w:lastRenderedPageBreak/>
              <w:t>INFRASTRUCTURE</w:t>
            </w:r>
          </w:p>
          <w:p w:rsidR="001740BF" w:rsidRPr="00FD1534" w:rsidRDefault="001740BF" w:rsidP="00FD1534">
            <w:pPr>
              <w:pStyle w:val="TableBullet"/>
              <w:tabs>
                <w:tab w:val="right" w:pos="5670"/>
              </w:tabs>
            </w:pPr>
            <w:r w:rsidRPr="00FD1534">
              <w:t>The provision and management of livestock saleyards has long been a responsibility of local government</w:t>
            </w:r>
            <w:r w:rsidR="00C15779" w:rsidRPr="00FD1534">
              <w:t>, however</w:t>
            </w:r>
            <w:r w:rsidRPr="00FD1534">
              <w:t xml:space="preserve"> a number of issues have been identified with the Geelong Saleyards including financial viability, sale throughput and OH&amp;S</w:t>
            </w:r>
            <w:r w:rsidR="00C15779" w:rsidRPr="00FD1534">
              <w:t>,</w:t>
            </w:r>
            <w:r w:rsidRPr="00FD1534">
              <w:t xml:space="preserve"> which have led to its partial closure.</w:t>
            </w:r>
          </w:p>
          <w:p w:rsidR="001740BF" w:rsidRPr="00FD1534" w:rsidRDefault="001740BF" w:rsidP="00FD1534">
            <w:pPr>
              <w:pStyle w:val="TableBullet"/>
              <w:tabs>
                <w:tab w:val="right" w:pos="5670"/>
              </w:tabs>
            </w:pPr>
            <w:r w:rsidRPr="00FD1534">
              <w:t xml:space="preserve">COGG commissioned Mecardo to undertake a research project to gather information about the strategic priorities related to COGG continuing to offer a livestock selling facility and that report is now public. </w:t>
            </w:r>
          </w:p>
          <w:p w:rsidR="001740BF" w:rsidRPr="00FD1534" w:rsidRDefault="001740BF" w:rsidP="00FD1534">
            <w:pPr>
              <w:pStyle w:val="TableBullet"/>
              <w:tabs>
                <w:tab w:val="right" w:pos="5670"/>
              </w:tabs>
            </w:pPr>
            <w:r w:rsidRPr="00FD1534">
              <w:t>Our region has strategic advantages for processors, however access to the Port of Melbourne is problematic and costly.  Short-term solutions using freight hubs and/or direct rail access are needed to reduce the cost of getting goods to market, whilst the long-term solution of developing a new port occurs.</w:t>
            </w:r>
          </w:p>
          <w:p w:rsidR="00C15779" w:rsidRPr="00FD1534" w:rsidRDefault="00C15779" w:rsidP="00FD1534">
            <w:pPr>
              <w:pStyle w:val="TableBullet"/>
              <w:tabs>
                <w:tab w:val="right" w:pos="5670"/>
              </w:tabs>
            </w:pPr>
            <w:r w:rsidRPr="00FD1534">
              <w:t>Access to the Port of Geelong is problematic for both large road transport and larger load shipping.  This increases costs for exporters</w:t>
            </w:r>
            <w:r w:rsidR="00790943" w:rsidRPr="00FD1534">
              <w:t xml:space="preserve"> (refer to the Geelong Port-City 2050 Strategy).</w:t>
            </w:r>
          </w:p>
          <w:p w:rsidR="001740BF" w:rsidRPr="00FD1534" w:rsidRDefault="001740BF" w:rsidP="00FD1534">
            <w:pPr>
              <w:pStyle w:val="TableBullet"/>
              <w:tabs>
                <w:tab w:val="right" w:pos="5670"/>
              </w:tabs>
            </w:pPr>
            <w:r w:rsidRPr="00FD1534">
              <w:t xml:space="preserve">The Geelong Economic Futures Report identified the opportunity for a project based on securing high-value farming and food services through delivering low-cost and reliable water supplies. </w:t>
            </w:r>
          </w:p>
          <w:p w:rsidR="001740BF" w:rsidRPr="00FD1534" w:rsidRDefault="001740BF" w:rsidP="00FD1534">
            <w:pPr>
              <w:pStyle w:val="TableBullet"/>
              <w:tabs>
                <w:tab w:val="right" w:pos="5670"/>
              </w:tabs>
            </w:pPr>
            <w:r w:rsidRPr="00FD1534">
              <w:t>There are largely untapped resources of recycled water at Black Rock and Werribee, which could be utilised to expand our agribusiness industry.  However, recycled water is expensive.</w:t>
            </w:r>
          </w:p>
          <w:p w:rsidR="001740BF" w:rsidRPr="00FD1534" w:rsidRDefault="001740BF" w:rsidP="00FD1534">
            <w:pPr>
              <w:pStyle w:val="TableBullet"/>
              <w:tabs>
                <w:tab w:val="right" w:pos="5670"/>
              </w:tabs>
            </w:pPr>
            <w:r w:rsidRPr="00FD1534">
              <w:t>Our intensive livestock industries are a significant and growing sector of our industry.  The nature of their business leads to the production of high volumes of effluent.  This effluent can be valuable to other agricultural producers as fertilizer, however demand for this use can be highly variable.  Therefore, the industry needs access to reliable, economic and acceptable alternative disposal options to ensure its continued growth.</w:t>
            </w:r>
          </w:p>
        </w:tc>
        <w:tc>
          <w:tcPr>
            <w:tcW w:w="2876" w:type="dxa"/>
            <w:shd w:val="clear" w:color="auto" w:fill="auto"/>
          </w:tcPr>
          <w:p w:rsidR="001740BF" w:rsidRPr="00FD1534" w:rsidRDefault="001740BF" w:rsidP="00FD1534">
            <w:pPr>
              <w:pStyle w:val="TableNumber"/>
              <w:keepNext/>
              <w:keepLines/>
              <w:pageBreakBefore/>
              <w:numPr>
                <w:ilvl w:val="0"/>
                <w:numId w:val="16"/>
              </w:numPr>
              <w:tabs>
                <w:tab w:val="clear" w:pos="284"/>
                <w:tab w:val="right" w:pos="5670"/>
              </w:tabs>
              <w:ind w:left="364" w:hanging="364"/>
              <w:jc w:val="left"/>
              <w:outlineLvl w:val="0"/>
              <w:rPr>
                <w:sz w:val="18"/>
                <w:szCs w:val="18"/>
              </w:rPr>
            </w:pPr>
            <w:r w:rsidRPr="00FD1534">
              <w:rPr>
                <w:sz w:val="18"/>
                <w:szCs w:val="18"/>
              </w:rPr>
              <w:lastRenderedPageBreak/>
              <w:t>Mitigate land use conflict.</w:t>
            </w:r>
          </w:p>
        </w:tc>
        <w:tc>
          <w:tcPr>
            <w:tcW w:w="5629" w:type="dxa"/>
            <w:shd w:val="clear" w:color="auto" w:fill="auto"/>
          </w:tcPr>
          <w:p w:rsidR="001740BF" w:rsidRPr="00FD1534" w:rsidRDefault="001740BF" w:rsidP="00FD1534">
            <w:pPr>
              <w:pStyle w:val="BodyText"/>
              <w:tabs>
                <w:tab w:val="left" w:pos="418"/>
                <w:tab w:val="right" w:pos="5670"/>
              </w:tabs>
              <w:spacing w:before="60" w:after="60"/>
              <w:ind w:left="420" w:hanging="420"/>
              <w:jc w:val="left"/>
              <w:rPr>
                <w:color w:val="000000"/>
                <w:sz w:val="18"/>
                <w:szCs w:val="18"/>
              </w:rPr>
            </w:pPr>
            <w:r w:rsidRPr="00FD1534">
              <w:rPr>
                <w:color w:val="000000"/>
                <w:sz w:val="18"/>
                <w:szCs w:val="18"/>
              </w:rPr>
              <w:t>1</w:t>
            </w:r>
            <w:r w:rsidR="00834E60" w:rsidRPr="00FD1534">
              <w:rPr>
                <w:color w:val="000000"/>
                <w:sz w:val="18"/>
                <w:szCs w:val="18"/>
              </w:rPr>
              <w:t>3</w:t>
            </w:r>
            <w:r w:rsidRPr="00FD1534">
              <w:rPr>
                <w:color w:val="000000"/>
                <w:sz w:val="18"/>
                <w:szCs w:val="18"/>
              </w:rPr>
              <w:t>.1</w:t>
            </w:r>
            <w:r w:rsidRPr="00FD1534">
              <w:rPr>
                <w:color w:val="000000"/>
                <w:sz w:val="18"/>
                <w:szCs w:val="18"/>
              </w:rPr>
              <w:tab/>
              <w:t xml:space="preserve">All Councils </w:t>
            </w:r>
            <w:r w:rsidR="00C15779" w:rsidRPr="00FD1534">
              <w:rPr>
                <w:color w:val="000000"/>
                <w:sz w:val="18"/>
                <w:szCs w:val="18"/>
              </w:rPr>
              <w:t xml:space="preserve">in the region need </w:t>
            </w:r>
            <w:r w:rsidRPr="00FD1534">
              <w:rPr>
                <w:color w:val="000000"/>
                <w:sz w:val="18"/>
                <w:szCs w:val="18"/>
              </w:rPr>
              <w:t xml:space="preserve">to do the relevant strategic and policy development work </w:t>
            </w:r>
            <w:r w:rsidR="00C55AAB" w:rsidRPr="00FD1534">
              <w:rPr>
                <w:color w:val="000000"/>
                <w:sz w:val="18"/>
                <w:szCs w:val="18"/>
              </w:rPr>
              <w:t xml:space="preserve">(similar to that done on the Bellarine Peninsula by COGG) </w:t>
            </w:r>
            <w:r w:rsidRPr="00FD1534">
              <w:rPr>
                <w:color w:val="000000"/>
                <w:sz w:val="18"/>
                <w:szCs w:val="18"/>
              </w:rPr>
              <w:t>to better manage the planning challenges associated with the changes to the State-wide farming zone.</w:t>
            </w:r>
          </w:p>
          <w:p w:rsidR="001740BF" w:rsidRPr="00FD1534" w:rsidRDefault="00834E60" w:rsidP="00FD1534">
            <w:pPr>
              <w:pStyle w:val="BodyText"/>
              <w:tabs>
                <w:tab w:val="left" w:pos="418"/>
                <w:tab w:val="right" w:pos="5670"/>
              </w:tabs>
              <w:spacing w:before="60" w:after="60"/>
              <w:ind w:left="420" w:hanging="420"/>
              <w:jc w:val="left"/>
              <w:rPr>
                <w:color w:val="000000"/>
                <w:sz w:val="18"/>
                <w:szCs w:val="18"/>
              </w:rPr>
            </w:pPr>
            <w:r w:rsidRPr="00FD1534">
              <w:rPr>
                <w:color w:val="000000"/>
                <w:sz w:val="18"/>
                <w:szCs w:val="18"/>
              </w:rPr>
              <w:t>13</w:t>
            </w:r>
            <w:r w:rsidR="001740BF" w:rsidRPr="00FD1534">
              <w:rPr>
                <w:color w:val="000000"/>
                <w:sz w:val="18"/>
                <w:szCs w:val="18"/>
              </w:rPr>
              <w:t>.2</w:t>
            </w:r>
            <w:r w:rsidR="001740BF" w:rsidRPr="00FD1534">
              <w:rPr>
                <w:color w:val="000000"/>
                <w:sz w:val="18"/>
                <w:szCs w:val="18"/>
              </w:rPr>
              <w:tab/>
              <w:t>Support the development of the Surf Coast Shire’s Hinterland Futures Strategy and seek to learn from its experience and apply these learnings to similar areas in neighbouring municipalities.</w:t>
            </w:r>
          </w:p>
        </w:tc>
      </w:tr>
      <w:tr w:rsidR="00AE197B" w:rsidRPr="00FD1534" w:rsidTr="00FD1534">
        <w:tc>
          <w:tcPr>
            <w:tcW w:w="5670" w:type="dxa"/>
            <w:vMerge/>
            <w:shd w:val="clear" w:color="auto" w:fill="auto"/>
            <w:vAlign w:val="center"/>
          </w:tcPr>
          <w:p w:rsidR="001740BF" w:rsidRPr="00FD1534" w:rsidRDefault="001740BF" w:rsidP="00FD1534">
            <w:pPr>
              <w:pStyle w:val="BodyText"/>
              <w:tabs>
                <w:tab w:val="right" w:pos="5670"/>
              </w:tabs>
              <w:rPr>
                <w:sz w:val="18"/>
                <w:szCs w:val="18"/>
              </w:rPr>
            </w:pPr>
          </w:p>
        </w:tc>
        <w:tc>
          <w:tcPr>
            <w:tcW w:w="2876" w:type="dxa"/>
            <w:shd w:val="clear" w:color="auto" w:fill="auto"/>
          </w:tcPr>
          <w:p w:rsidR="001740BF" w:rsidRPr="00FD1534" w:rsidRDefault="001740BF" w:rsidP="00FD1534">
            <w:pPr>
              <w:pStyle w:val="TableNumber"/>
              <w:keepNext/>
              <w:keepLines/>
              <w:pageBreakBefore/>
              <w:numPr>
                <w:ilvl w:val="0"/>
                <w:numId w:val="16"/>
              </w:numPr>
              <w:tabs>
                <w:tab w:val="clear" w:pos="284"/>
                <w:tab w:val="right" w:pos="5670"/>
              </w:tabs>
              <w:ind w:left="364" w:hanging="364"/>
              <w:jc w:val="left"/>
              <w:outlineLvl w:val="0"/>
              <w:rPr>
                <w:sz w:val="18"/>
                <w:szCs w:val="18"/>
              </w:rPr>
            </w:pPr>
            <w:r w:rsidRPr="00FD1534">
              <w:rPr>
                <w:sz w:val="18"/>
                <w:szCs w:val="18"/>
              </w:rPr>
              <w:t xml:space="preserve">Streamline planning approvals. </w:t>
            </w:r>
          </w:p>
        </w:tc>
        <w:tc>
          <w:tcPr>
            <w:tcW w:w="5629" w:type="dxa"/>
            <w:shd w:val="clear" w:color="auto" w:fill="auto"/>
          </w:tcPr>
          <w:p w:rsidR="001740BF" w:rsidRPr="00FD1534" w:rsidRDefault="001740BF" w:rsidP="00FD1534">
            <w:pPr>
              <w:pStyle w:val="BodyText"/>
              <w:tabs>
                <w:tab w:val="left" w:pos="418"/>
                <w:tab w:val="right" w:pos="5670"/>
              </w:tabs>
              <w:spacing w:before="60" w:after="60"/>
              <w:ind w:left="420" w:hanging="420"/>
              <w:jc w:val="left"/>
              <w:rPr>
                <w:color w:val="000000"/>
                <w:sz w:val="18"/>
                <w:szCs w:val="18"/>
              </w:rPr>
            </w:pPr>
            <w:r w:rsidRPr="00FD1534">
              <w:rPr>
                <w:color w:val="000000"/>
                <w:sz w:val="18"/>
                <w:szCs w:val="18"/>
              </w:rPr>
              <w:t>1</w:t>
            </w:r>
            <w:r w:rsidR="00834E60" w:rsidRPr="00FD1534">
              <w:rPr>
                <w:color w:val="000000"/>
                <w:sz w:val="18"/>
                <w:szCs w:val="18"/>
              </w:rPr>
              <w:t>4</w:t>
            </w:r>
            <w:r w:rsidRPr="00FD1534">
              <w:rPr>
                <w:color w:val="000000"/>
                <w:sz w:val="18"/>
                <w:szCs w:val="18"/>
              </w:rPr>
              <w:t>.1</w:t>
            </w:r>
            <w:r w:rsidRPr="00FD1534">
              <w:rPr>
                <w:color w:val="000000"/>
                <w:sz w:val="18"/>
                <w:szCs w:val="18"/>
              </w:rPr>
              <w:tab/>
              <w:t>COGG and G</w:t>
            </w:r>
            <w:r w:rsidR="00985B4E" w:rsidRPr="00FD1534">
              <w:rPr>
                <w:color w:val="000000"/>
                <w:sz w:val="18"/>
                <w:szCs w:val="18"/>
              </w:rPr>
              <w:t xml:space="preserve">eelong </w:t>
            </w:r>
            <w:r w:rsidRPr="00FD1534">
              <w:rPr>
                <w:color w:val="000000"/>
                <w:sz w:val="18"/>
                <w:szCs w:val="18"/>
              </w:rPr>
              <w:t>M</w:t>
            </w:r>
            <w:r w:rsidR="00985B4E" w:rsidRPr="00FD1534">
              <w:rPr>
                <w:color w:val="000000"/>
                <w:sz w:val="18"/>
                <w:szCs w:val="18"/>
              </w:rPr>
              <w:t xml:space="preserve">anufacturing </w:t>
            </w:r>
            <w:r w:rsidRPr="00FD1534">
              <w:rPr>
                <w:color w:val="000000"/>
                <w:sz w:val="18"/>
                <w:szCs w:val="18"/>
              </w:rPr>
              <w:t>C</w:t>
            </w:r>
            <w:r w:rsidR="00985B4E" w:rsidRPr="00FD1534">
              <w:rPr>
                <w:color w:val="000000"/>
                <w:sz w:val="18"/>
                <w:szCs w:val="18"/>
              </w:rPr>
              <w:t>ouncil</w:t>
            </w:r>
            <w:r w:rsidRPr="00FD1534">
              <w:rPr>
                <w:color w:val="000000"/>
                <w:sz w:val="18"/>
                <w:szCs w:val="18"/>
              </w:rPr>
              <w:t xml:space="preserve"> collaborate to develop a mechanism that facilitates communication between food manufacturers and planners that increase the understanding of each other’s needs.</w:t>
            </w:r>
          </w:p>
          <w:p w:rsidR="007723A7" w:rsidRPr="00FD1534" w:rsidRDefault="007723A7" w:rsidP="00FD1534">
            <w:pPr>
              <w:pStyle w:val="BodyText"/>
              <w:tabs>
                <w:tab w:val="left" w:pos="418"/>
                <w:tab w:val="right" w:pos="5670"/>
              </w:tabs>
              <w:spacing w:before="60" w:after="60"/>
              <w:ind w:left="420" w:hanging="420"/>
              <w:jc w:val="left"/>
              <w:rPr>
                <w:color w:val="000000"/>
                <w:sz w:val="18"/>
                <w:szCs w:val="18"/>
              </w:rPr>
            </w:pPr>
            <w:r w:rsidRPr="00FD1534">
              <w:rPr>
                <w:color w:val="000000"/>
                <w:sz w:val="18"/>
                <w:szCs w:val="18"/>
              </w:rPr>
              <w:t>14.2 Promote the Victorian Government’s Agribusiness Development Facilitation Model to help proponents understand and navigate the development approval process.</w:t>
            </w:r>
          </w:p>
          <w:p w:rsidR="001740BF" w:rsidRPr="00FD1534" w:rsidRDefault="00834E60" w:rsidP="00FD1534">
            <w:pPr>
              <w:pStyle w:val="BodyText"/>
              <w:tabs>
                <w:tab w:val="left" w:pos="418"/>
                <w:tab w:val="right" w:pos="5670"/>
              </w:tabs>
              <w:spacing w:before="60" w:after="60"/>
              <w:ind w:left="420" w:hanging="420"/>
              <w:jc w:val="left"/>
              <w:rPr>
                <w:color w:val="000000"/>
                <w:sz w:val="18"/>
                <w:szCs w:val="18"/>
              </w:rPr>
            </w:pPr>
            <w:r w:rsidRPr="00FD1534">
              <w:rPr>
                <w:color w:val="000000"/>
                <w:sz w:val="18"/>
                <w:szCs w:val="18"/>
              </w:rPr>
              <w:t>14</w:t>
            </w:r>
            <w:r w:rsidR="001740BF" w:rsidRPr="00FD1534">
              <w:rPr>
                <w:color w:val="000000"/>
                <w:sz w:val="18"/>
                <w:szCs w:val="18"/>
              </w:rPr>
              <w:t>.2</w:t>
            </w:r>
            <w:r w:rsidR="001740BF" w:rsidRPr="00FD1534">
              <w:rPr>
                <w:color w:val="000000"/>
                <w:sz w:val="18"/>
                <w:szCs w:val="18"/>
              </w:rPr>
              <w:tab/>
              <w:t>Investigate the efficacy of streamlining the number of local planning schedules in the planning scheme to simplify planning policies and processes.</w:t>
            </w:r>
          </w:p>
          <w:p w:rsidR="001740BF" w:rsidRPr="00FD1534" w:rsidRDefault="00834E60" w:rsidP="00FD1534">
            <w:pPr>
              <w:pStyle w:val="BodyText"/>
              <w:tabs>
                <w:tab w:val="left" w:pos="418"/>
                <w:tab w:val="right" w:pos="5670"/>
              </w:tabs>
              <w:spacing w:before="60" w:after="60"/>
              <w:ind w:left="420" w:hanging="420"/>
              <w:jc w:val="left"/>
              <w:rPr>
                <w:color w:val="000000"/>
                <w:sz w:val="18"/>
                <w:szCs w:val="18"/>
              </w:rPr>
            </w:pPr>
            <w:r w:rsidRPr="00FD1534">
              <w:rPr>
                <w:color w:val="000000"/>
                <w:sz w:val="18"/>
                <w:szCs w:val="18"/>
              </w:rPr>
              <w:t>14</w:t>
            </w:r>
            <w:r w:rsidR="001740BF" w:rsidRPr="00FD1534">
              <w:rPr>
                <w:color w:val="000000"/>
                <w:sz w:val="18"/>
                <w:szCs w:val="18"/>
              </w:rPr>
              <w:t>.</w:t>
            </w:r>
            <w:r w:rsidR="00BC2AA6" w:rsidRPr="00FD1534">
              <w:rPr>
                <w:color w:val="000000"/>
                <w:sz w:val="18"/>
                <w:szCs w:val="18"/>
              </w:rPr>
              <w:t>3</w:t>
            </w:r>
            <w:r w:rsidR="001740BF" w:rsidRPr="00FD1534">
              <w:rPr>
                <w:color w:val="000000"/>
                <w:sz w:val="18"/>
                <w:szCs w:val="18"/>
              </w:rPr>
              <w:tab/>
              <w:t>Advocate to State Government to revise and update the industry codes of practice related to intensive animal production, including relevant biosecurity buffers.</w:t>
            </w:r>
          </w:p>
          <w:p w:rsidR="001740BF" w:rsidRPr="00FD1534" w:rsidRDefault="00834E60" w:rsidP="00FD1534">
            <w:pPr>
              <w:pStyle w:val="BodyText"/>
              <w:tabs>
                <w:tab w:val="left" w:pos="418"/>
                <w:tab w:val="right" w:pos="5670"/>
              </w:tabs>
              <w:spacing w:before="60" w:after="60"/>
              <w:ind w:left="420" w:hanging="420"/>
              <w:jc w:val="left"/>
              <w:rPr>
                <w:color w:val="000000"/>
                <w:sz w:val="18"/>
                <w:szCs w:val="18"/>
              </w:rPr>
            </w:pPr>
            <w:r w:rsidRPr="00FD1534">
              <w:rPr>
                <w:color w:val="000000"/>
                <w:sz w:val="18"/>
                <w:szCs w:val="18"/>
              </w:rPr>
              <w:t>14</w:t>
            </w:r>
            <w:r w:rsidR="001740BF" w:rsidRPr="00FD1534">
              <w:rPr>
                <w:color w:val="000000"/>
                <w:sz w:val="18"/>
                <w:szCs w:val="18"/>
              </w:rPr>
              <w:t>.</w:t>
            </w:r>
            <w:r w:rsidR="00BC2AA6" w:rsidRPr="00FD1534">
              <w:rPr>
                <w:color w:val="000000"/>
                <w:sz w:val="18"/>
                <w:szCs w:val="18"/>
              </w:rPr>
              <w:t>4</w:t>
            </w:r>
            <w:r w:rsidR="001740BF" w:rsidRPr="00FD1534">
              <w:rPr>
                <w:color w:val="000000"/>
                <w:sz w:val="18"/>
                <w:szCs w:val="18"/>
              </w:rPr>
              <w:tab/>
              <w:t xml:space="preserve">Advocate to State Government to broaden the definition of farm-gate sales in the farming zone to facilitate the growth of small agrifood and agritourism businesses. </w:t>
            </w:r>
          </w:p>
        </w:tc>
      </w:tr>
      <w:tr w:rsidR="00AE197B" w:rsidRPr="00FD1534" w:rsidTr="00FD1534">
        <w:tc>
          <w:tcPr>
            <w:tcW w:w="5670" w:type="dxa"/>
            <w:vMerge/>
            <w:shd w:val="clear" w:color="auto" w:fill="auto"/>
            <w:vAlign w:val="center"/>
          </w:tcPr>
          <w:p w:rsidR="001D3163" w:rsidRPr="00FD1534" w:rsidRDefault="001D3163" w:rsidP="00FD1534">
            <w:pPr>
              <w:pStyle w:val="BodyText"/>
              <w:tabs>
                <w:tab w:val="right" w:pos="5670"/>
              </w:tabs>
              <w:rPr>
                <w:sz w:val="18"/>
                <w:szCs w:val="18"/>
              </w:rPr>
            </w:pPr>
          </w:p>
        </w:tc>
        <w:tc>
          <w:tcPr>
            <w:tcW w:w="2876" w:type="dxa"/>
            <w:shd w:val="clear" w:color="auto" w:fill="auto"/>
          </w:tcPr>
          <w:p w:rsidR="001D3163" w:rsidRPr="00FD1534" w:rsidRDefault="00D67F0A" w:rsidP="00FD1534">
            <w:pPr>
              <w:pStyle w:val="TableNumber"/>
              <w:keepNext/>
              <w:keepLines/>
              <w:pageBreakBefore/>
              <w:numPr>
                <w:ilvl w:val="0"/>
                <w:numId w:val="16"/>
              </w:numPr>
              <w:tabs>
                <w:tab w:val="clear" w:pos="284"/>
                <w:tab w:val="right" w:pos="5670"/>
              </w:tabs>
              <w:ind w:left="364" w:hanging="364"/>
              <w:jc w:val="left"/>
              <w:outlineLvl w:val="0"/>
              <w:rPr>
                <w:color w:val="000000"/>
                <w:sz w:val="18"/>
                <w:szCs w:val="18"/>
              </w:rPr>
            </w:pPr>
            <w:r w:rsidRPr="00FD1534">
              <w:rPr>
                <w:color w:val="000000"/>
                <w:sz w:val="18"/>
                <w:szCs w:val="18"/>
              </w:rPr>
              <w:t>Streamline compliance requirements.</w:t>
            </w:r>
          </w:p>
        </w:tc>
        <w:tc>
          <w:tcPr>
            <w:tcW w:w="5629" w:type="dxa"/>
            <w:shd w:val="clear" w:color="auto" w:fill="auto"/>
          </w:tcPr>
          <w:p w:rsidR="001D3163" w:rsidRPr="00FD1534" w:rsidRDefault="00D67F0A" w:rsidP="00FD1534">
            <w:pPr>
              <w:pStyle w:val="BodyText"/>
              <w:tabs>
                <w:tab w:val="left" w:pos="418"/>
                <w:tab w:val="right" w:pos="5670"/>
              </w:tabs>
              <w:spacing w:before="60" w:after="60"/>
              <w:ind w:left="420" w:hanging="420"/>
              <w:jc w:val="left"/>
              <w:rPr>
                <w:color w:val="000000"/>
                <w:sz w:val="18"/>
                <w:szCs w:val="18"/>
              </w:rPr>
            </w:pPr>
            <w:r w:rsidRPr="00FD1534">
              <w:rPr>
                <w:color w:val="000000"/>
                <w:sz w:val="18"/>
                <w:szCs w:val="18"/>
              </w:rPr>
              <w:t>15.1</w:t>
            </w:r>
            <w:r w:rsidRPr="00FD1534">
              <w:rPr>
                <w:color w:val="000000"/>
                <w:sz w:val="18"/>
                <w:szCs w:val="18"/>
              </w:rPr>
              <w:tab/>
              <w:t xml:space="preserve">Investigate opportunities to </w:t>
            </w:r>
            <w:r w:rsidR="0016409C" w:rsidRPr="00FD1534">
              <w:rPr>
                <w:color w:val="000000"/>
                <w:sz w:val="18"/>
                <w:szCs w:val="18"/>
              </w:rPr>
              <w:t>rationalise and simplify the environmental health compliance requirement</w:t>
            </w:r>
            <w:r w:rsidR="00C554EB" w:rsidRPr="00FD1534">
              <w:rPr>
                <w:color w:val="000000"/>
                <w:sz w:val="18"/>
                <w:szCs w:val="18"/>
              </w:rPr>
              <w:t>s of State and Local Government for food production and sales.</w:t>
            </w:r>
          </w:p>
        </w:tc>
      </w:tr>
      <w:tr w:rsidR="00AE197B" w:rsidRPr="00FD1534" w:rsidTr="00FD1534">
        <w:tc>
          <w:tcPr>
            <w:tcW w:w="5670" w:type="dxa"/>
            <w:vMerge/>
            <w:shd w:val="clear" w:color="auto" w:fill="auto"/>
            <w:vAlign w:val="center"/>
          </w:tcPr>
          <w:p w:rsidR="001740BF" w:rsidRPr="00FD1534" w:rsidRDefault="001740BF" w:rsidP="00FD1534">
            <w:pPr>
              <w:pStyle w:val="BodyText"/>
              <w:tabs>
                <w:tab w:val="right" w:pos="5670"/>
              </w:tabs>
              <w:rPr>
                <w:sz w:val="18"/>
                <w:szCs w:val="18"/>
              </w:rPr>
            </w:pPr>
          </w:p>
        </w:tc>
        <w:tc>
          <w:tcPr>
            <w:tcW w:w="2876" w:type="dxa"/>
            <w:shd w:val="clear" w:color="auto" w:fill="auto"/>
          </w:tcPr>
          <w:p w:rsidR="001740BF" w:rsidRPr="00FD1534" w:rsidRDefault="001740BF" w:rsidP="00FD1534">
            <w:pPr>
              <w:pStyle w:val="TableNumber"/>
              <w:keepNext/>
              <w:keepLines/>
              <w:pageBreakBefore/>
              <w:numPr>
                <w:ilvl w:val="0"/>
                <w:numId w:val="16"/>
              </w:numPr>
              <w:tabs>
                <w:tab w:val="clear" w:pos="284"/>
                <w:tab w:val="right" w:pos="5670"/>
              </w:tabs>
              <w:ind w:left="364" w:hanging="364"/>
              <w:jc w:val="left"/>
              <w:outlineLvl w:val="0"/>
              <w:rPr>
                <w:sz w:val="18"/>
                <w:szCs w:val="18"/>
              </w:rPr>
            </w:pPr>
            <w:r w:rsidRPr="00FD1534">
              <w:rPr>
                <w:color w:val="000000"/>
                <w:sz w:val="18"/>
                <w:szCs w:val="18"/>
              </w:rPr>
              <w:t xml:space="preserve">Support the </w:t>
            </w:r>
            <w:r w:rsidR="00623F7B" w:rsidRPr="00FD1534">
              <w:rPr>
                <w:color w:val="000000"/>
                <w:sz w:val="18"/>
                <w:szCs w:val="18"/>
              </w:rPr>
              <w:t>options</w:t>
            </w:r>
            <w:r w:rsidRPr="00FD1534">
              <w:rPr>
                <w:color w:val="000000"/>
                <w:sz w:val="18"/>
                <w:szCs w:val="18"/>
              </w:rPr>
              <w:t xml:space="preserve"> of the Mecardo report into the </w:t>
            </w:r>
            <w:r w:rsidR="00B90BB9" w:rsidRPr="00FD1534">
              <w:rPr>
                <w:color w:val="000000"/>
                <w:sz w:val="18"/>
                <w:szCs w:val="18"/>
              </w:rPr>
              <w:t>trends and future of livestock sales in the region.</w:t>
            </w:r>
          </w:p>
        </w:tc>
        <w:tc>
          <w:tcPr>
            <w:tcW w:w="5629" w:type="dxa"/>
            <w:shd w:val="clear" w:color="auto" w:fill="auto"/>
          </w:tcPr>
          <w:p w:rsidR="001740BF" w:rsidRPr="00FD1534" w:rsidRDefault="001740BF" w:rsidP="00FD1534">
            <w:pPr>
              <w:pStyle w:val="BodyText"/>
              <w:tabs>
                <w:tab w:val="left" w:pos="418"/>
                <w:tab w:val="right" w:pos="5670"/>
              </w:tabs>
              <w:spacing w:before="60" w:after="60"/>
              <w:ind w:left="420" w:hanging="420"/>
              <w:jc w:val="left"/>
              <w:rPr>
                <w:color w:val="000000"/>
                <w:sz w:val="18"/>
                <w:szCs w:val="18"/>
              </w:rPr>
            </w:pPr>
            <w:r w:rsidRPr="00FD1534">
              <w:rPr>
                <w:color w:val="000000"/>
                <w:sz w:val="18"/>
                <w:szCs w:val="18"/>
              </w:rPr>
              <w:t>16.1</w:t>
            </w:r>
            <w:r w:rsidRPr="00FD1534">
              <w:rPr>
                <w:color w:val="000000"/>
                <w:sz w:val="18"/>
                <w:szCs w:val="18"/>
              </w:rPr>
              <w:tab/>
              <w:t>Further pursue the options presented in the Mecardo report.</w:t>
            </w:r>
          </w:p>
          <w:p w:rsidR="009737B1" w:rsidRPr="00FD1534" w:rsidRDefault="009737B1" w:rsidP="00FD1534">
            <w:pPr>
              <w:pStyle w:val="BodyText"/>
              <w:tabs>
                <w:tab w:val="left" w:pos="418"/>
                <w:tab w:val="right" w:pos="5670"/>
              </w:tabs>
              <w:spacing w:before="60" w:after="60"/>
              <w:jc w:val="left"/>
              <w:rPr>
                <w:color w:val="000000"/>
                <w:sz w:val="18"/>
                <w:szCs w:val="18"/>
              </w:rPr>
            </w:pPr>
            <w:r w:rsidRPr="00FD1534">
              <w:rPr>
                <w:color w:val="000000"/>
                <w:sz w:val="18"/>
                <w:szCs w:val="18"/>
              </w:rPr>
              <w:t xml:space="preserve">16.2 </w:t>
            </w:r>
            <w:r w:rsidR="00AC1297" w:rsidRPr="00FD1534">
              <w:rPr>
                <w:color w:val="000000"/>
                <w:sz w:val="18"/>
                <w:szCs w:val="18"/>
              </w:rPr>
              <w:t>Support a cross-regional process</w:t>
            </w:r>
            <w:r w:rsidR="00623F7B" w:rsidRPr="00FD1534">
              <w:rPr>
                <w:color w:val="000000"/>
                <w:sz w:val="18"/>
                <w:szCs w:val="18"/>
              </w:rPr>
              <w:t xml:space="preserve"> to develop a preferred outcome for small scale producers including a transition plan. </w:t>
            </w:r>
          </w:p>
        </w:tc>
      </w:tr>
      <w:tr w:rsidR="00AE197B" w:rsidRPr="00FD1534" w:rsidTr="00FD1534">
        <w:tc>
          <w:tcPr>
            <w:tcW w:w="5670" w:type="dxa"/>
            <w:vMerge/>
            <w:shd w:val="clear" w:color="auto" w:fill="auto"/>
            <w:vAlign w:val="center"/>
          </w:tcPr>
          <w:p w:rsidR="001740BF" w:rsidRPr="00FD1534" w:rsidRDefault="001740BF" w:rsidP="00FD1534">
            <w:pPr>
              <w:pStyle w:val="BodyText"/>
              <w:tabs>
                <w:tab w:val="right" w:pos="5670"/>
              </w:tabs>
              <w:rPr>
                <w:sz w:val="18"/>
                <w:szCs w:val="18"/>
              </w:rPr>
            </w:pPr>
          </w:p>
        </w:tc>
        <w:tc>
          <w:tcPr>
            <w:tcW w:w="2876" w:type="dxa"/>
            <w:shd w:val="clear" w:color="auto" w:fill="auto"/>
          </w:tcPr>
          <w:p w:rsidR="001740BF" w:rsidRPr="00FD1534" w:rsidRDefault="001740BF" w:rsidP="00FD1534">
            <w:pPr>
              <w:pStyle w:val="TableNumber"/>
              <w:keepNext/>
              <w:keepLines/>
              <w:pageBreakBefore/>
              <w:numPr>
                <w:ilvl w:val="0"/>
                <w:numId w:val="16"/>
              </w:numPr>
              <w:tabs>
                <w:tab w:val="clear" w:pos="284"/>
                <w:tab w:val="right" w:pos="5670"/>
              </w:tabs>
              <w:ind w:left="364" w:hanging="364"/>
              <w:jc w:val="left"/>
              <w:outlineLvl w:val="0"/>
              <w:rPr>
                <w:sz w:val="18"/>
                <w:szCs w:val="18"/>
              </w:rPr>
            </w:pPr>
            <w:r w:rsidRPr="00FD1534">
              <w:rPr>
                <w:sz w:val="18"/>
                <w:szCs w:val="18"/>
              </w:rPr>
              <w:t xml:space="preserve">Improve access to export </w:t>
            </w:r>
            <w:r w:rsidR="00615753" w:rsidRPr="00FD1534">
              <w:rPr>
                <w:sz w:val="18"/>
                <w:szCs w:val="18"/>
              </w:rPr>
              <w:t xml:space="preserve">and other </w:t>
            </w:r>
            <w:r w:rsidRPr="00FD1534">
              <w:rPr>
                <w:sz w:val="18"/>
                <w:szCs w:val="18"/>
              </w:rPr>
              <w:t>markets.</w:t>
            </w:r>
          </w:p>
        </w:tc>
        <w:tc>
          <w:tcPr>
            <w:tcW w:w="5629" w:type="dxa"/>
            <w:shd w:val="clear" w:color="auto" w:fill="auto"/>
          </w:tcPr>
          <w:p w:rsidR="001740BF" w:rsidRPr="00FD1534" w:rsidRDefault="001740BF" w:rsidP="00FD1534">
            <w:pPr>
              <w:pStyle w:val="BodyText"/>
              <w:tabs>
                <w:tab w:val="left" w:pos="418"/>
                <w:tab w:val="right" w:pos="5670"/>
              </w:tabs>
              <w:spacing w:before="60" w:after="60"/>
              <w:ind w:left="420" w:hanging="420"/>
              <w:jc w:val="left"/>
              <w:rPr>
                <w:color w:val="000000"/>
                <w:sz w:val="18"/>
                <w:szCs w:val="18"/>
              </w:rPr>
            </w:pPr>
            <w:r w:rsidRPr="00FD1534">
              <w:rPr>
                <w:color w:val="000000"/>
                <w:sz w:val="18"/>
                <w:szCs w:val="18"/>
              </w:rPr>
              <w:t>17.1</w:t>
            </w:r>
            <w:r w:rsidRPr="00FD1534">
              <w:rPr>
                <w:color w:val="000000"/>
                <w:sz w:val="18"/>
                <w:szCs w:val="18"/>
              </w:rPr>
              <w:tab/>
              <w:t>Advocate for the development of Bay West as the location of the State’s new container port.</w:t>
            </w:r>
          </w:p>
          <w:p w:rsidR="001740BF" w:rsidRPr="00FD1534" w:rsidRDefault="001740BF" w:rsidP="00FD1534">
            <w:pPr>
              <w:pStyle w:val="BodyText"/>
              <w:tabs>
                <w:tab w:val="left" w:pos="418"/>
                <w:tab w:val="right" w:pos="5670"/>
              </w:tabs>
              <w:spacing w:before="60" w:after="60"/>
              <w:ind w:left="420" w:hanging="420"/>
              <w:jc w:val="left"/>
              <w:rPr>
                <w:color w:val="000000"/>
                <w:sz w:val="18"/>
                <w:szCs w:val="18"/>
              </w:rPr>
            </w:pPr>
            <w:r w:rsidRPr="00FD1534">
              <w:rPr>
                <w:color w:val="000000"/>
                <w:sz w:val="18"/>
                <w:szCs w:val="18"/>
              </w:rPr>
              <w:t>17.2</w:t>
            </w:r>
            <w:r w:rsidRPr="00FD1534">
              <w:rPr>
                <w:color w:val="000000"/>
                <w:sz w:val="18"/>
                <w:szCs w:val="18"/>
              </w:rPr>
              <w:tab/>
              <w:t>Advocate and assist the development of Avalon Airport as a port of entry for international tourists and a port of exit for international air freight.</w:t>
            </w:r>
          </w:p>
          <w:p w:rsidR="001740BF" w:rsidRPr="00FD1534" w:rsidRDefault="001740BF" w:rsidP="00FD1534">
            <w:pPr>
              <w:pStyle w:val="BodyText"/>
              <w:tabs>
                <w:tab w:val="left" w:pos="418"/>
                <w:tab w:val="right" w:pos="5670"/>
              </w:tabs>
              <w:spacing w:before="60" w:after="60"/>
              <w:ind w:left="420" w:hanging="420"/>
              <w:jc w:val="left"/>
              <w:rPr>
                <w:color w:val="000000"/>
                <w:sz w:val="18"/>
                <w:szCs w:val="18"/>
              </w:rPr>
            </w:pPr>
            <w:r w:rsidRPr="00FD1534">
              <w:rPr>
                <w:color w:val="000000"/>
                <w:sz w:val="18"/>
                <w:szCs w:val="18"/>
              </w:rPr>
              <w:t>17.3</w:t>
            </w:r>
            <w:r w:rsidRPr="00FD1534">
              <w:rPr>
                <w:color w:val="000000"/>
                <w:sz w:val="18"/>
                <w:szCs w:val="18"/>
              </w:rPr>
              <w:tab/>
              <w:t>Investigate the feasibility of establishing a freight hub in the Geelong area to reduce the costs associated with accessing Melbourne’s container port.</w:t>
            </w:r>
          </w:p>
          <w:p w:rsidR="00797632" w:rsidRPr="00FD1534" w:rsidRDefault="00797632" w:rsidP="00FD1534">
            <w:pPr>
              <w:pStyle w:val="BodyText"/>
              <w:tabs>
                <w:tab w:val="left" w:pos="418"/>
                <w:tab w:val="right" w:pos="5670"/>
              </w:tabs>
              <w:spacing w:before="60" w:after="60"/>
              <w:ind w:left="420" w:hanging="420"/>
              <w:jc w:val="left"/>
              <w:rPr>
                <w:color w:val="000000"/>
                <w:sz w:val="18"/>
                <w:szCs w:val="18"/>
              </w:rPr>
            </w:pPr>
            <w:r w:rsidRPr="00FD1534">
              <w:rPr>
                <w:color w:val="000000"/>
                <w:sz w:val="18"/>
                <w:szCs w:val="18"/>
              </w:rPr>
              <w:t>17.4</w:t>
            </w:r>
            <w:r w:rsidRPr="00FD1534">
              <w:rPr>
                <w:color w:val="000000"/>
                <w:sz w:val="18"/>
                <w:szCs w:val="18"/>
              </w:rPr>
              <w:tab/>
            </w:r>
            <w:r w:rsidR="000F710F" w:rsidRPr="00FD1534">
              <w:rPr>
                <w:color w:val="000000"/>
                <w:sz w:val="18"/>
                <w:szCs w:val="18"/>
              </w:rPr>
              <w:t>Improve access to the Port of Geelong, including:</w:t>
            </w:r>
          </w:p>
          <w:p w:rsidR="000F710F" w:rsidRPr="00FD1534" w:rsidRDefault="00BC2573" w:rsidP="00FD1534">
            <w:pPr>
              <w:pStyle w:val="BodyText"/>
              <w:tabs>
                <w:tab w:val="left" w:pos="418"/>
                <w:tab w:val="left" w:pos="653"/>
                <w:tab w:val="right" w:pos="5670"/>
              </w:tabs>
              <w:spacing w:before="60" w:after="60"/>
              <w:ind w:left="420" w:hanging="420"/>
              <w:jc w:val="left"/>
              <w:rPr>
                <w:color w:val="000000"/>
                <w:sz w:val="18"/>
                <w:szCs w:val="18"/>
              </w:rPr>
            </w:pPr>
            <w:r w:rsidRPr="00FD1534">
              <w:rPr>
                <w:color w:val="000000"/>
                <w:sz w:val="18"/>
                <w:szCs w:val="18"/>
              </w:rPr>
              <w:tab/>
              <w:t>a)</w:t>
            </w:r>
            <w:r w:rsidRPr="00FD1534">
              <w:rPr>
                <w:color w:val="000000"/>
                <w:sz w:val="18"/>
                <w:szCs w:val="18"/>
              </w:rPr>
              <w:tab/>
            </w:r>
            <w:r w:rsidR="000F710F" w:rsidRPr="00FD1534">
              <w:rPr>
                <w:color w:val="000000"/>
                <w:sz w:val="18"/>
                <w:szCs w:val="18"/>
              </w:rPr>
              <w:t>more direct road access to the Port;</w:t>
            </w:r>
          </w:p>
          <w:p w:rsidR="000F710F" w:rsidRPr="00FD1534" w:rsidRDefault="00BC2573" w:rsidP="00FD1534">
            <w:pPr>
              <w:pStyle w:val="BodyText"/>
              <w:tabs>
                <w:tab w:val="left" w:pos="418"/>
                <w:tab w:val="left" w:pos="653"/>
                <w:tab w:val="right" w:pos="5670"/>
              </w:tabs>
              <w:spacing w:before="60" w:after="60"/>
              <w:ind w:left="420" w:hanging="420"/>
              <w:jc w:val="left"/>
              <w:rPr>
                <w:color w:val="000000"/>
                <w:sz w:val="18"/>
                <w:szCs w:val="18"/>
              </w:rPr>
            </w:pPr>
            <w:r w:rsidRPr="00FD1534">
              <w:rPr>
                <w:color w:val="000000"/>
                <w:sz w:val="18"/>
                <w:szCs w:val="18"/>
              </w:rPr>
              <w:tab/>
              <w:t>b)</w:t>
            </w:r>
            <w:r w:rsidRPr="00FD1534">
              <w:rPr>
                <w:color w:val="000000"/>
                <w:sz w:val="18"/>
                <w:szCs w:val="18"/>
              </w:rPr>
              <w:tab/>
            </w:r>
            <w:r w:rsidR="000F710F" w:rsidRPr="00FD1534">
              <w:rPr>
                <w:color w:val="000000"/>
                <w:sz w:val="18"/>
                <w:szCs w:val="18"/>
              </w:rPr>
              <w:t>increase the number of approved routes for HPVs;</w:t>
            </w:r>
          </w:p>
          <w:p w:rsidR="00797632" w:rsidRPr="00FD1534" w:rsidRDefault="00BC2573" w:rsidP="00FD1534">
            <w:pPr>
              <w:pStyle w:val="BodyText"/>
              <w:tabs>
                <w:tab w:val="left" w:pos="418"/>
                <w:tab w:val="left" w:pos="653"/>
                <w:tab w:val="right" w:pos="5670"/>
              </w:tabs>
              <w:spacing w:before="60" w:after="60"/>
              <w:ind w:left="420" w:hanging="420"/>
              <w:jc w:val="left"/>
              <w:rPr>
                <w:color w:val="000000"/>
                <w:sz w:val="18"/>
                <w:szCs w:val="18"/>
              </w:rPr>
            </w:pPr>
            <w:r w:rsidRPr="00FD1534">
              <w:rPr>
                <w:color w:val="000000"/>
                <w:sz w:val="18"/>
                <w:szCs w:val="18"/>
              </w:rPr>
              <w:tab/>
              <w:t>c)</w:t>
            </w:r>
            <w:r w:rsidRPr="00FD1534">
              <w:rPr>
                <w:color w:val="000000"/>
                <w:sz w:val="18"/>
                <w:szCs w:val="18"/>
              </w:rPr>
              <w:tab/>
            </w:r>
            <w:r w:rsidR="000F710F" w:rsidRPr="00FD1534">
              <w:rPr>
                <w:color w:val="000000"/>
                <w:sz w:val="18"/>
                <w:szCs w:val="18"/>
              </w:rPr>
              <w:t>deepening the sh</w:t>
            </w:r>
            <w:r w:rsidR="00623F7B" w:rsidRPr="00FD1534">
              <w:rPr>
                <w:color w:val="000000"/>
                <w:sz w:val="18"/>
                <w:szCs w:val="18"/>
              </w:rPr>
              <w:t xml:space="preserve">ipping channels in Corio Bay to </w:t>
            </w:r>
            <w:r w:rsidR="000F710F" w:rsidRPr="00FD1534">
              <w:rPr>
                <w:color w:val="000000"/>
                <w:sz w:val="18"/>
                <w:szCs w:val="18"/>
              </w:rPr>
              <w:t>facilitate larger shipping loads</w:t>
            </w:r>
            <w:r w:rsidRPr="00FD1534">
              <w:rPr>
                <w:color w:val="000000"/>
                <w:sz w:val="18"/>
                <w:szCs w:val="18"/>
              </w:rPr>
              <w:t>.</w:t>
            </w:r>
          </w:p>
          <w:p w:rsidR="00A51EAA" w:rsidRPr="00FD1534" w:rsidRDefault="00A51EAA" w:rsidP="00FD1534">
            <w:pPr>
              <w:pStyle w:val="BodyText"/>
              <w:tabs>
                <w:tab w:val="left" w:pos="418"/>
                <w:tab w:val="right" w:pos="5670"/>
              </w:tabs>
              <w:spacing w:before="60" w:after="60"/>
              <w:ind w:left="420" w:hanging="420"/>
              <w:jc w:val="left"/>
              <w:rPr>
                <w:color w:val="000000"/>
                <w:sz w:val="18"/>
                <w:szCs w:val="18"/>
              </w:rPr>
            </w:pPr>
            <w:r w:rsidRPr="00FD1534">
              <w:rPr>
                <w:color w:val="000000"/>
                <w:sz w:val="18"/>
                <w:szCs w:val="18"/>
              </w:rPr>
              <w:t>17.5</w:t>
            </w:r>
            <w:r w:rsidRPr="00FD1534">
              <w:rPr>
                <w:color w:val="000000"/>
                <w:sz w:val="18"/>
                <w:szCs w:val="18"/>
              </w:rPr>
              <w:tab/>
              <w:t xml:space="preserve">Advocate </w:t>
            </w:r>
            <w:r w:rsidR="00293735" w:rsidRPr="00FD1534">
              <w:rPr>
                <w:color w:val="000000"/>
                <w:sz w:val="18"/>
                <w:szCs w:val="18"/>
              </w:rPr>
              <w:t>for the timely completion of the Drysdale Bypass and the extension of the Geelong Ring Road to the Bellarine Highway.</w:t>
            </w:r>
          </w:p>
        </w:tc>
      </w:tr>
      <w:tr w:rsidR="00AE197B" w:rsidRPr="00FD1534" w:rsidTr="00FD1534">
        <w:tc>
          <w:tcPr>
            <w:tcW w:w="5670" w:type="dxa"/>
            <w:vMerge/>
            <w:shd w:val="clear" w:color="auto" w:fill="auto"/>
            <w:vAlign w:val="center"/>
          </w:tcPr>
          <w:p w:rsidR="001740BF" w:rsidRPr="00FD1534" w:rsidRDefault="001740BF" w:rsidP="00FD1534">
            <w:pPr>
              <w:pStyle w:val="BodyText"/>
              <w:tabs>
                <w:tab w:val="right" w:pos="5670"/>
              </w:tabs>
              <w:rPr>
                <w:sz w:val="18"/>
                <w:szCs w:val="18"/>
              </w:rPr>
            </w:pPr>
          </w:p>
        </w:tc>
        <w:tc>
          <w:tcPr>
            <w:tcW w:w="2876" w:type="dxa"/>
            <w:shd w:val="clear" w:color="auto" w:fill="auto"/>
          </w:tcPr>
          <w:p w:rsidR="00877C0C" w:rsidRPr="00FD1534" w:rsidRDefault="00877C0C" w:rsidP="00FD1534">
            <w:pPr>
              <w:pStyle w:val="TableNumber"/>
              <w:keepNext/>
              <w:keepLines/>
              <w:pageBreakBefore/>
              <w:numPr>
                <w:ilvl w:val="0"/>
                <w:numId w:val="16"/>
              </w:numPr>
              <w:tabs>
                <w:tab w:val="clear" w:pos="284"/>
                <w:tab w:val="right" w:pos="5670"/>
              </w:tabs>
              <w:ind w:left="364" w:hanging="364"/>
              <w:jc w:val="left"/>
              <w:outlineLvl w:val="0"/>
              <w:rPr>
                <w:sz w:val="18"/>
                <w:szCs w:val="18"/>
              </w:rPr>
            </w:pPr>
            <w:r w:rsidRPr="00FD1534">
              <w:rPr>
                <w:sz w:val="18"/>
                <w:szCs w:val="18"/>
              </w:rPr>
              <w:t>Encourage recycling of key resources to create value-added opportunities for the agribusiness industry</w:t>
            </w:r>
            <w:r w:rsidR="00BC2573" w:rsidRPr="00FD1534">
              <w:rPr>
                <w:sz w:val="18"/>
                <w:szCs w:val="18"/>
              </w:rPr>
              <w:t>.</w:t>
            </w:r>
          </w:p>
        </w:tc>
        <w:tc>
          <w:tcPr>
            <w:tcW w:w="5629" w:type="dxa"/>
            <w:shd w:val="clear" w:color="auto" w:fill="auto"/>
          </w:tcPr>
          <w:p w:rsidR="001740BF" w:rsidRPr="00FD1534" w:rsidRDefault="001740BF" w:rsidP="00FD1534">
            <w:pPr>
              <w:pStyle w:val="BodyText"/>
              <w:tabs>
                <w:tab w:val="left" w:pos="418"/>
                <w:tab w:val="right" w:pos="5670"/>
              </w:tabs>
              <w:spacing w:before="60" w:after="60"/>
              <w:ind w:left="420" w:hanging="420"/>
              <w:jc w:val="left"/>
              <w:rPr>
                <w:color w:val="000000"/>
                <w:sz w:val="18"/>
                <w:szCs w:val="18"/>
              </w:rPr>
            </w:pPr>
            <w:r w:rsidRPr="00FD1534">
              <w:rPr>
                <w:color w:val="000000"/>
                <w:sz w:val="18"/>
                <w:szCs w:val="18"/>
              </w:rPr>
              <w:t>18.1</w:t>
            </w:r>
            <w:r w:rsidRPr="00FD1534">
              <w:rPr>
                <w:color w:val="000000"/>
                <w:sz w:val="18"/>
                <w:szCs w:val="18"/>
              </w:rPr>
              <w:tab/>
              <w:t>Identify potential development sites and assess the initial feasibility of using recycled water for agribusiness.</w:t>
            </w:r>
          </w:p>
          <w:p w:rsidR="001740BF" w:rsidRPr="00FD1534" w:rsidRDefault="001740BF" w:rsidP="00FD1534">
            <w:pPr>
              <w:pStyle w:val="BodyText"/>
              <w:tabs>
                <w:tab w:val="left" w:pos="418"/>
                <w:tab w:val="right" w:pos="5670"/>
              </w:tabs>
              <w:spacing w:before="60" w:after="60"/>
              <w:ind w:left="420" w:hanging="420"/>
              <w:jc w:val="left"/>
              <w:rPr>
                <w:color w:val="000000"/>
                <w:sz w:val="18"/>
                <w:szCs w:val="18"/>
              </w:rPr>
            </w:pPr>
            <w:r w:rsidRPr="00FD1534">
              <w:rPr>
                <w:color w:val="000000"/>
                <w:sz w:val="18"/>
                <w:szCs w:val="18"/>
              </w:rPr>
              <w:t>18.2</w:t>
            </w:r>
            <w:r w:rsidRPr="00FD1534">
              <w:rPr>
                <w:color w:val="000000"/>
                <w:sz w:val="18"/>
                <w:szCs w:val="18"/>
              </w:rPr>
              <w:tab/>
              <w:t>Investigate alternative disposal options for waste from intensive animal operations.</w:t>
            </w:r>
          </w:p>
          <w:p w:rsidR="00877C0C" w:rsidRPr="00FD1534" w:rsidRDefault="00877C0C" w:rsidP="00FD1534">
            <w:pPr>
              <w:pStyle w:val="BodyText"/>
              <w:tabs>
                <w:tab w:val="left" w:pos="418"/>
                <w:tab w:val="right" w:pos="5670"/>
              </w:tabs>
              <w:spacing w:before="60" w:after="60"/>
              <w:ind w:left="420" w:hanging="420"/>
              <w:jc w:val="left"/>
              <w:rPr>
                <w:color w:val="000000"/>
                <w:sz w:val="18"/>
                <w:szCs w:val="18"/>
              </w:rPr>
            </w:pPr>
            <w:r w:rsidRPr="00FD1534">
              <w:rPr>
                <w:color w:val="000000"/>
                <w:sz w:val="18"/>
                <w:szCs w:val="18"/>
              </w:rPr>
              <w:t>18.3</w:t>
            </w:r>
            <w:r w:rsidRPr="00FD1534">
              <w:rPr>
                <w:color w:val="000000"/>
                <w:sz w:val="18"/>
                <w:szCs w:val="18"/>
              </w:rPr>
              <w:tab/>
              <w:t>Encourage re-use of water and effluent on farm.</w:t>
            </w:r>
          </w:p>
          <w:p w:rsidR="005E7A85" w:rsidRPr="00FD1534" w:rsidRDefault="005E7A85" w:rsidP="00FD1534">
            <w:pPr>
              <w:pStyle w:val="BodyText"/>
              <w:tabs>
                <w:tab w:val="left" w:pos="418"/>
                <w:tab w:val="right" w:pos="5670"/>
              </w:tabs>
              <w:spacing w:before="60" w:after="60"/>
              <w:ind w:left="420" w:hanging="420"/>
              <w:jc w:val="left"/>
              <w:rPr>
                <w:color w:val="000000"/>
                <w:sz w:val="18"/>
                <w:szCs w:val="18"/>
              </w:rPr>
            </w:pPr>
            <w:r w:rsidRPr="00FD1534">
              <w:rPr>
                <w:color w:val="000000"/>
                <w:sz w:val="18"/>
                <w:szCs w:val="18"/>
              </w:rPr>
              <w:t>18.4</w:t>
            </w:r>
            <w:r w:rsidRPr="00FD1534">
              <w:rPr>
                <w:color w:val="000000"/>
                <w:sz w:val="18"/>
                <w:szCs w:val="18"/>
              </w:rPr>
              <w:tab/>
              <w:t>Investigate the feasibility of extending reticulated water to rural areas to facilitate growth</w:t>
            </w:r>
            <w:r w:rsidR="002E4983" w:rsidRPr="00FD1534">
              <w:rPr>
                <w:color w:val="000000"/>
                <w:sz w:val="18"/>
                <w:szCs w:val="18"/>
              </w:rPr>
              <w:t xml:space="preserve"> of the agribusiness industry</w:t>
            </w:r>
            <w:r w:rsidRPr="00FD1534">
              <w:rPr>
                <w:color w:val="000000"/>
                <w:sz w:val="18"/>
                <w:szCs w:val="18"/>
              </w:rPr>
              <w:t xml:space="preserve"> and climate change resilience.</w:t>
            </w:r>
          </w:p>
        </w:tc>
      </w:tr>
    </w:tbl>
    <w:p w:rsidR="007723A7" w:rsidRPr="00FD1534" w:rsidRDefault="007723A7">
      <w:pPr>
        <w:spacing w:before="0" w:after="0" w:line="260" w:lineRule="atLeast"/>
        <w:jc w:val="left"/>
        <w:rPr>
          <w:b/>
          <w:bCs/>
          <w:sz w:val="24"/>
          <w:szCs w:val="24"/>
        </w:rPr>
      </w:pPr>
      <w:bookmarkStart w:id="31" w:name="_Toc487757698"/>
      <w:r>
        <w:br w:type="page"/>
      </w:r>
    </w:p>
    <w:p w:rsidR="005D7CF5" w:rsidRDefault="005D7CF5" w:rsidP="005D7CF5">
      <w:pPr>
        <w:pStyle w:val="Heading2"/>
      </w:pPr>
      <w:r>
        <w:t>Priority 5 – Implement</w:t>
      </w:r>
      <w:r w:rsidR="003A0C26">
        <w:t xml:space="preserve"> the Strategy</w:t>
      </w:r>
      <w:bookmarkEnd w:id="31"/>
    </w:p>
    <w:p w:rsidR="005D7CF5" w:rsidRPr="007D2E80" w:rsidRDefault="005D7CF5" w:rsidP="005D7CF5">
      <w:pPr>
        <w:pStyle w:val="BodyText"/>
        <w:tabs>
          <w:tab w:val="left" w:pos="851"/>
        </w:tabs>
        <w:ind w:left="851" w:hanging="851"/>
        <w:rPr>
          <w:b/>
          <w:i/>
        </w:rPr>
      </w:pPr>
      <w:r w:rsidRPr="007D2E80">
        <w:rPr>
          <w:b/>
          <w:i/>
        </w:rPr>
        <w:t>Goal:</w:t>
      </w:r>
      <w:r w:rsidRPr="007D2E80">
        <w:rPr>
          <w:b/>
          <w:i/>
        </w:rPr>
        <w:tab/>
      </w:r>
      <w:r w:rsidR="007E1600">
        <w:rPr>
          <w:i/>
        </w:rPr>
        <w:t>T</w:t>
      </w:r>
      <w:r w:rsidR="007E1600" w:rsidRPr="007E1600">
        <w:rPr>
          <w:i/>
        </w:rPr>
        <w:t>o ensure the efficient, effective and transparent implementation of the Strategy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70"/>
        <w:gridCol w:w="3402"/>
        <w:gridCol w:w="5103"/>
      </w:tblGrid>
      <w:tr w:rsidR="00AE197B" w:rsidRPr="00FD1534" w:rsidTr="00FD1534">
        <w:tc>
          <w:tcPr>
            <w:tcW w:w="5670" w:type="dxa"/>
            <w:shd w:val="clear" w:color="auto" w:fill="213144"/>
          </w:tcPr>
          <w:p w:rsidR="005138D6" w:rsidRPr="00FD1534" w:rsidRDefault="005138D6" w:rsidP="00FD1534">
            <w:pPr>
              <w:pStyle w:val="BodyText"/>
              <w:tabs>
                <w:tab w:val="right" w:pos="5670"/>
              </w:tabs>
              <w:rPr>
                <w:b/>
                <w:sz w:val="18"/>
                <w:szCs w:val="18"/>
              </w:rPr>
            </w:pPr>
            <w:r w:rsidRPr="00FD1534">
              <w:rPr>
                <w:b/>
                <w:sz w:val="18"/>
                <w:szCs w:val="18"/>
              </w:rPr>
              <w:t>Issues</w:t>
            </w:r>
          </w:p>
        </w:tc>
        <w:tc>
          <w:tcPr>
            <w:tcW w:w="3402" w:type="dxa"/>
            <w:shd w:val="clear" w:color="auto" w:fill="213144"/>
          </w:tcPr>
          <w:p w:rsidR="005138D6" w:rsidRPr="00FD1534" w:rsidRDefault="005138D6" w:rsidP="00FD1534">
            <w:pPr>
              <w:pStyle w:val="BodyText"/>
              <w:tabs>
                <w:tab w:val="right" w:pos="5670"/>
              </w:tabs>
              <w:rPr>
                <w:b/>
                <w:sz w:val="18"/>
                <w:szCs w:val="18"/>
              </w:rPr>
            </w:pPr>
            <w:r w:rsidRPr="00FD1534">
              <w:rPr>
                <w:b/>
                <w:sz w:val="18"/>
                <w:szCs w:val="18"/>
              </w:rPr>
              <w:t>Strategies</w:t>
            </w:r>
          </w:p>
        </w:tc>
        <w:tc>
          <w:tcPr>
            <w:tcW w:w="5103" w:type="dxa"/>
            <w:shd w:val="clear" w:color="auto" w:fill="213144"/>
          </w:tcPr>
          <w:p w:rsidR="005138D6" w:rsidRPr="00FD1534" w:rsidRDefault="005138D6" w:rsidP="00FD1534">
            <w:pPr>
              <w:pStyle w:val="BodyText"/>
              <w:tabs>
                <w:tab w:val="right" w:pos="5670"/>
              </w:tabs>
              <w:rPr>
                <w:b/>
                <w:sz w:val="18"/>
                <w:szCs w:val="18"/>
              </w:rPr>
            </w:pPr>
            <w:r w:rsidRPr="00FD1534">
              <w:rPr>
                <w:b/>
                <w:sz w:val="18"/>
                <w:szCs w:val="18"/>
              </w:rPr>
              <w:t>Actions</w:t>
            </w:r>
          </w:p>
        </w:tc>
      </w:tr>
      <w:tr w:rsidR="00AE197B" w:rsidRPr="00FD1534" w:rsidTr="00FD1534">
        <w:trPr>
          <w:trHeight w:val="656"/>
        </w:trPr>
        <w:tc>
          <w:tcPr>
            <w:tcW w:w="5670" w:type="dxa"/>
            <w:vMerge w:val="restart"/>
            <w:shd w:val="clear" w:color="auto" w:fill="auto"/>
          </w:tcPr>
          <w:p w:rsidR="00DB44BA" w:rsidRPr="00FD1534" w:rsidRDefault="00C15779" w:rsidP="00FD1534">
            <w:pPr>
              <w:pStyle w:val="TableBullet"/>
              <w:tabs>
                <w:tab w:val="right" w:pos="5670"/>
              </w:tabs>
              <w:rPr>
                <w:szCs w:val="18"/>
              </w:rPr>
            </w:pPr>
            <w:r w:rsidRPr="00FD1534">
              <w:rPr>
                <w:szCs w:val="18"/>
              </w:rPr>
              <w:t xml:space="preserve">The diverse and complex nature of the agribusiness industry has led to the development of a Strategy that </w:t>
            </w:r>
            <w:r w:rsidR="00DB44BA" w:rsidRPr="00FD1534">
              <w:rPr>
                <w:szCs w:val="18"/>
              </w:rPr>
              <w:t xml:space="preserve">has </w:t>
            </w:r>
            <w:r w:rsidR="00AE273C" w:rsidRPr="00FD1534">
              <w:rPr>
                <w:szCs w:val="18"/>
              </w:rPr>
              <w:t>many</w:t>
            </w:r>
            <w:r w:rsidR="00DB44BA" w:rsidRPr="00FD1534">
              <w:rPr>
                <w:szCs w:val="18"/>
              </w:rPr>
              <w:t xml:space="preserve"> actions.</w:t>
            </w:r>
          </w:p>
          <w:p w:rsidR="005138D6" w:rsidRPr="00FD1534" w:rsidRDefault="00DB44BA" w:rsidP="00FD1534">
            <w:pPr>
              <w:pStyle w:val="TableBullet"/>
              <w:tabs>
                <w:tab w:val="right" w:pos="5670"/>
              </w:tabs>
              <w:rPr>
                <w:szCs w:val="18"/>
              </w:rPr>
            </w:pPr>
            <w:r w:rsidRPr="00FD1534">
              <w:rPr>
                <w:szCs w:val="18"/>
              </w:rPr>
              <w:t>The complex nature of some of the issues these actions seek to address requires a response from multiple government agencies with overlapping responsibilities.</w:t>
            </w:r>
          </w:p>
          <w:p w:rsidR="00DB44BA" w:rsidRPr="00FD1534" w:rsidRDefault="00DB44BA" w:rsidP="00FD1534">
            <w:pPr>
              <w:pStyle w:val="TableBullet"/>
              <w:tabs>
                <w:tab w:val="right" w:pos="5670"/>
              </w:tabs>
              <w:rPr>
                <w:szCs w:val="18"/>
              </w:rPr>
            </w:pPr>
            <w:r w:rsidRPr="00FD1534">
              <w:rPr>
                <w:szCs w:val="18"/>
              </w:rPr>
              <w:t xml:space="preserve">This Strategy also seeks to leverage </w:t>
            </w:r>
            <w:r w:rsidR="00AE273C" w:rsidRPr="00FD1534">
              <w:rPr>
                <w:szCs w:val="18"/>
              </w:rPr>
              <w:t>many</w:t>
            </w:r>
            <w:r w:rsidRPr="00FD1534">
              <w:rPr>
                <w:szCs w:val="18"/>
              </w:rPr>
              <w:t xml:space="preserve"> other strategies, which are under the control of other agencies or organisations, e.g. Regional </w:t>
            </w:r>
            <w:r w:rsidR="00A76B64" w:rsidRPr="00FD1534">
              <w:rPr>
                <w:szCs w:val="18"/>
              </w:rPr>
              <w:t>Tourism</w:t>
            </w:r>
            <w:r w:rsidRPr="00FD1534">
              <w:rPr>
                <w:szCs w:val="18"/>
              </w:rPr>
              <w:t xml:space="preserve"> Organisations, the Victorian Wine Industry Strategy, G21 infrastructure priorities, </w:t>
            </w:r>
            <w:r w:rsidR="00AE273C" w:rsidRPr="00FD1534">
              <w:rPr>
                <w:szCs w:val="18"/>
              </w:rPr>
              <w:t xml:space="preserve">Council </w:t>
            </w:r>
            <w:r w:rsidRPr="00FD1534">
              <w:rPr>
                <w:szCs w:val="18"/>
              </w:rPr>
              <w:t>Economic Development Strategies, agricultural industry specific strategies.</w:t>
            </w:r>
          </w:p>
          <w:p w:rsidR="00DB44BA" w:rsidRPr="00FD1534" w:rsidRDefault="00DB44BA" w:rsidP="00FD1534">
            <w:pPr>
              <w:pStyle w:val="TableBullet"/>
              <w:tabs>
                <w:tab w:val="right" w:pos="5670"/>
              </w:tabs>
              <w:rPr>
                <w:szCs w:val="18"/>
              </w:rPr>
            </w:pPr>
            <w:r w:rsidRPr="00FD1534">
              <w:rPr>
                <w:szCs w:val="18"/>
              </w:rPr>
              <w:t>Therefore, effective implementation of this Strategy will be complex.  It is critical that all involved collaborate to define and allocate responsibilities at the start, otherwise it will be too easy to “hand-ball” responsibility and nothing will happen.</w:t>
            </w:r>
          </w:p>
          <w:p w:rsidR="00FC6F2C" w:rsidRPr="00FD1534" w:rsidRDefault="00DB44BA" w:rsidP="00FD1534">
            <w:pPr>
              <w:pStyle w:val="TableBullet"/>
              <w:tabs>
                <w:tab w:val="right" w:pos="5670"/>
              </w:tabs>
              <w:rPr>
                <w:szCs w:val="18"/>
              </w:rPr>
            </w:pPr>
            <w:r w:rsidRPr="00FD1534">
              <w:rPr>
                <w:szCs w:val="18"/>
              </w:rPr>
              <w:t xml:space="preserve">Similarly, there </w:t>
            </w:r>
            <w:r w:rsidR="00AE273C" w:rsidRPr="00FD1534">
              <w:rPr>
                <w:szCs w:val="18"/>
              </w:rPr>
              <w:t>are many</w:t>
            </w:r>
            <w:r w:rsidRPr="00FD1534">
              <w:rPr>
                <w:szCs w:val="18"/>
              </w:rPr>
              <w:t xml:space="preserve"> voluntary </w:t>
            </w:r>
            <w:r w:rsidR="00AE273C" w:rsidRPr="00FD1534">
              <w:rPr>
                <w:szCs w:val="18"/>
              </w:rPr>
              <w:t xml:space="preserve">or membership-based </w:t>
            </w:r>
            <w:r w:rsidRPr="00FD1534">
              <w:rPr>
                <w:szCs w:val="18"/>
              </w:rPr>
              <w:t>agribusiness related organisations in the region, e.g. Agribusiness Forum, Food Trails, Geelong Wine, which each have part-time executive support.</w:t>
            </w:r>
          </w:p>
          <w:p w:rsidR="005138D6" w:rsidRPr="00FD1534" w:rsidRDefault="00DB44BA" w:rsidP="00FD1534">
            <w:pPr>
              <w:pStyle w:val="TableBullet"/>
              <w:tabs>
                <w:tab w:val="right" w:pos="5670"/>
              </w:tabs>
              <w:rPr>
                <w:szCs w:val="18"/>
              </w:rPr>
            </w:pPr>
            <w:r w:rsidRPr="00FD1534">
              <w:rPr>
                <w:szCs w:val="18"/>
              </w:rPr>
              <w:t xml:space="preserve">A centralised full-time position in industry or government is not necessarily a better solution, but the key stakeholders need to </w:t>
            </w:r>
            <w:r w:rsidR="00FC6F2C" w:rsidRPr="00FD1534">
              <w:rPr>
                <w:szCs w:val="18"/>
              </w:rPr>
              <w:t xml:space="preserve">collaborate to define a model, which will ensure the best use of the available </w:t>
            </w:r>
            <w:r w:rsidR="00AE273C" w:rsidRPr="00FD1534">
              <w:rPr>
                <w:szCs w:val="18"/>
              </w:rPr>
              <w:t>people</w:t>
            </w:r>
            <w:r w:rsidR="00FC6F2C" w:rsidRPr="00FD1534">
              <w:rPr>
                <w:szCs w:val="18"/>
              </w:rPr>
              <w:t xml:space="preserve"> to implement the Strategy </w:t>
            </w:r>
          </w:p>
          <w:p w:rsidR="005138D6" w:rsidRPr="00FD1534" w:rsidRDefault="00FC6F2C" w:rsidP="00FD1534">
            <w:pPr>
              <w:pStyle w:val="TableBullet"/>
              <w:tabs>
                <w:tab w:val="right" w:pos="5670"/>
              </w:tabs>
              <w:rPr>
                <w:szCs w:val="18"/>
              </w:rPr>
            </w:pPr>
            <w:r w:rsidRPr="00FD1534">
              <w:rPr>
                <w:szCs w:val="18"/>
              </w:rPr>
              <w:t>Finally, ongoing support for the implementation of the Strategy will depend on what it achieves.  Therefore, the impact of delivery must be regularly monitored and evaluated.  This should include accessing and updating relevant data</w:t>
            </w:r>
            <w:r w:rsidR="00AE273C" w:rsidRPr="00FD1534">
              <w:rPr>
                <w:szCs w:val="18"/>
              </w:rPr>
              <w:t>,</w:t>
            </w:r>
            <w:r w:rsidRPr="00FD1534">
              <w:rPr>
                <w:szCs w:val="18"/>
              </w:rPr>
              <w:t xml:space="preserve"> which can also be </w:t>
            </w:r>
            <w:r w:rsidRPr="00FD1534">
              <w:rPr>
                <w:szCs w:val="18"/>
              </w:rPr>
              <w:lastRenderedPageBreak/>
              <w:t>used to develop relevant business cases in the future.</w:t>
            </w:r>
          </w:p>
        </w:tc>
        <w:tc>
          <w:tcPr>
            <w:tcW w:w="3402" w:type="dxa"/>
            <w:shd w:val="clear" w:color="auto" w:fill="auto"/>
          </w:tcPr>
          <w:p w:rsidR="005138D6" w:rsidRPr="00FD1534" w:rsidRDefault="005138D6" w:rsidP="00FD1534">
            <w:pPr>
              <w:pStyle w:val="TableNumber"/>
              <w:keepNext/>
              <w:keepLines/>
              <w:pageBreakBefore/>
              <w:numPr>
                <w:ilvl w:val="0"/>
                <w:numId w:val="16"/>
              </w:numPr>
              <w:tabs>
                <w:tab w:val="clear" w:pos="284"/>
                <w:tab w:val="right" w:pos="5670"/>
              </w:tabs>
              <w:ind w:left="364" w:hanging="364"/>
              <w:jc w:val="left"/>
              <w:outlineLvl w:val="0"/>
              <w:rPr>
                <w:sz w:val="18"/>
                <w:szCs w:val="18"/>
              </w:rPr>
            </w:pPr>
            <w:r w:rsidRPr="00FD1534">
              <w:rPr>
                <w:sz w:val="18"/>
                <w:szCs w:val="18"/>
              </w:rPr>
              <w:lastRenderedPageBreak/>
              <w:t>Define and allocate responsibilities for the implementation of the strategy</w:t>
            </w:r>
            <w:r w:rsidR="00BC2573" w:rsidRPr="00FD1534">
              <w:rPr>
                <w:sz w:val="18"/>
                <w:szCs w:val="18"/>
              </w:rPr>
              <w:t>.</w:t>
            </w:r>
          </w:p>
        </w:tc>
        <w:tc>
          <w:tcPr>
            <w:tcW w:w="5103" w:type="dxa"/>
            <w:shd w:val="clear" w:color="auto" w:fill="auto"/>
          </w:tcPr>
          <w:p w:rsidR="005138D6" w:rsidRPr="00FD1534" w:rsidRDefault="005138D6" w:rsidP="00FD1534">
            <w:pPr>
              <w:pStyle w:val="BodyText"/>
              <w:tabs>
                <w:tab w:val="left" w:pos="418"/>
                <w:tab w:val="right" w:pos="5670"/>
              </w:tabs>
              <w:spacing w:before="60" w:after="60"/>
              <w:ind w:left="420" w:hanging="420"/>
              <w:jc w:val="left"/>
              <w:rPr>
                <w:color w:val="000000"/>
                <w:sz w:val="18"/>
                <w:szCs w:val="18"/>
              </w:rPr>
            </w:pPr>
            <w:r w:rsidRPr="00FD1534">
              <w:rPr>
                <w:color w:val="000000"/>
                <w:sz w:val="18"/>
                <w:szCs w:val="18"/>
              </w:rPr>
              <w:t>19.1</w:t>
            </w:r>
            <w:r w:rsidRPr="00FD1534">
              <w:rPr>
                <w:color w:val="000000"/>
                <w:sz w:val="18"/>
                <w:szCs w:val="18"/>
              </w:rPr>
              <w:tab/>
              <w:t xml:space="preserve">The Project Steering Committee convene a </w:t>
            </w:r>
            <w:r w:rsidR="004C2656" w:rsidRPr="00FD1534">
              <w:rPr>
                <w:color w:val="000000"/>
                <w:sz w:val="18"/>
                <w:szCs w:val="18"/>
              </w:rPr>
              <w:t xml:space="preserve">meeting </w:t>
            </w:r>
            <w:r w:rsidRPr="00FD1534">
              <w:rPr>
                <w:color w:val="000000"/>
                <w:sz w:val="18"/>
                <w:szCs w:val="18"/>
              </w:rPr>
              <w:t>of key stakeholders to determine an appropriate implementation framework that includes:</w:t>
            </w:r>
          </w:p>
          <w:p w:rsidR="005138D6" w:rsidRPr="00FD1534" w:rsidRDefault="00BC2573" w:rsidP="00FD1534">
            <w:pPr>
              <w:pStyle w:val="BodyText"/>
              <w:tabs>
                <w:tab w:val="left" w:pos="418"/>
                <w:tab w:val="left" w:pos="653"/>
                <w:tab w:val="right" w:pos="5670"/>
              </w:tabs>
              <w:spacing w:before="60" w:after="60"/>
              <w:ind w:left="420" w:hanging="420"/>
              <w:jc w:val="left"/>
              <w:rPr>
                <w:color w:val="000000"/>
                <w:sz w:val="18"/>
                <w:szCs w:val="18"/>
              </w:rPr>
            </w:pPr>
            <w:r w:rsidRPr="00FD1534">
              <w:rPr>
                <w:color w:val="000000"/>
                <w:sz w:val="18"/>
                <w:szCs w:val="18"/>
              </w:rPr>
              <w:tab/>
              <w:t>a)</w:t>
            </w:r>
            <w:r w:rsidRPr="00FD1534">
              <w:rPr>
                <w:color w:val="000000"/>
                <w:sz w:val="18"/>
                <w:szCs w:val="18"/>
              </w:rPr>
              <w:tab/>
            </w:r>
            <w:r w:rsidR="005138D6" w:rsidRPr="00FD1534">
              <w:rPr>
                <w:color w:val="000000"/>
                <w:sz w:val="18"/>
                <w:szCs w:val="18"/>
              </w:rPr>
              <w:t xml:space="preserve">a group to oversight the implementation and </w:t>
            </w:r>
            <w:r w:rsidRPr="00FD1534">
              <w:rPr>
                <w:color w:val="000000"/>
                <w:sz w:val="18"/>
                <w:szCs w:val="18"/>
              </w:rPr>
              <w:tab/>
            </w:r>
            <w:r w:rsidR="005138D6" w:rsidRPr="00FD1534">
              <w:rPr>
                <w:color w:val="000000"/>
                <w:sz w:val="18"/>
                <w:szCs w:val="18"/>
              </w:rPr>
              <w:t>evaluation of the Strategy;</w:t>
            </w:r>
          </w:p>
          <w:p w:rsidR="005138D6" w:rsidRPr="00FD1534" w:rsidRDefault="00BC2573" w:rsidP="00FD1534">
            <w:pPr>
              <w:pStyle w:val="BodyText"/>
              <w:tabs>
                <w:tab w:val="left" w:pos="418"/>
                <w:tab w:val="left" w:pos="653"/>
                <w:tab w:val="right" w:pos="5670"/>
              </w:tabs>
              <w:spacing w:before="60" w:after="60"/>
              <w:ind w:left="420" w:hanging="420"/>
              <w:jc w:val="left"/>
              <w:rPr>
                <w:color w:val="000000"/>
                <w:sz w:val="18"/>
                <w:szCs w:val="18"/>
              </w:rPr>
            </w:pPr>
            <w:r w:rsidRPr="00FD1534">
              <w:rPr>
                <w:color w:val="000000"/>
                <w:sz w:val="18"/>
                <w:szCs w:val="18"/>
              </w:rPr>
              <w:tab/>
              <w:t>b)</w:t>
            </w:r>
            <w:r w:rsidRPr="00FD1534">
              <w:rPr>
                <w:color w:val="000000"/>
                <w:sz w:val="18"/>
                <w:szCs w:val="18"/>
              </w:rPr>
              <w:tab/>
            </w:r>
            <w:r w:rsidR="005138D6" w:rsidRPr="00FD1534">
              <w:rPr>
                <w:color w:val="000000"/>
                <w:sz w:val="18"/>
                <w:szCs w:val="18"/>
              </w:rPr>
              <w:t xml:space="preserve">identify the available funds and people to implement </w:t>
            </w:r>
            <w:r w:rsidRPr="00FD1534">
              <w:rPr>
                <w:color w:val="000000"/>
                <w:sz w:val="18"/>
                <w:szCs w:val="18"/>
              </w:rPr>
              <w:tab/>
            </w:r>
            <w:r w:rsidR="005138D6" w:rsidRPr="00FD1534">
              <w:rPr>
                <w:color w:val="000000"/>
                <w:sz w:val="18"/>
                <w:szCs w:val="18"/>
              </w:rPr>
              <w:t>the Strategy;</w:t>
            </w:r>
          </w:p>
          <w:p w:rsidR="005138D6" w:rsidRPr="00FD1534" w:rsidRDefault="00BC2573" w:rsidP="00FD1534">
            <w:pPr>
              <w:pStyle w:val="BodyText"/>
              <w:tabs>
                <w:tab w:val="left" w:pos="418"/>
                <w:tab w:val="left" w:pos="653"/>
                <w:tab w:val="right" w:pos="5670"/>
              </w:tabs>
              <w:spacing w:before="60" w:after="60"/>
              <w:ind w:left="420" w:hanging="420"/>
              <w:jc w:val="left"/>
              <w:rPr>
                <w:color w:val="000000"/>
                <w:sz w:val="18"/>
                <w:szCs w:val="18"/>
              </w:rPr>
            </w:pPr>
            <w:r w:rsidRPr="00FD1534">
              <w:rPr>
                <w:color w:val="000000"/>
                <w:sz w:val="18"/>
                <w:szCs w:val="18"/>
              </w:rPr>
              <w:tab/>
              <w:t>c)</w:t>
            </w:r>
            <w:r w:rsidRPr="00FD1534">
              <w:rPr>
                <w:color w:val="000000"/>
                <w:sz w:val="18"/>
                <w:szCs w:val="18"/>
              </w:rPr>
              <w:tab/>
            </w:r>
            <w:r w:rsidR="005138D6" w:rsidRPr="00FD1534">
              <w:rPr>
                <w:color w:val="000000"/>
                <w:sz w:val="18"/>
                <w:szCs w:val="18"/>
              </w:rPr>
              <w:t xml:space="preserve">an annual operating and communications plan, which </w:t>
            </w:r>
            <w:r w:rsidRPr="00FD1534">
              <w:rPr>
                <w:color w:val="000000"/>
                <w:sz w:val="18"/>
                <w:szCs w:val="18"/>
              </w:rPr>
              <w:tab/>
            </w:r>
            <w:r w:rsidR="005138D6" w:rsidRPr="00FD1534">
              <w:rPr>
                <w:color w:val="000000"/>
                <w:sz w:val="18"/>
                <w:szCs w:val="18"/>
              </w:rPr>
              <w:t>identifies the lead agency for each action; and</w:t>
            </w:r>
          </w:p>
          <w:p w:rsidR="005138D6" w:rsidRPr="00FD1534" w:rsidRDefault="00BC2573" w:rsidP="00FD1534">
            <w:pPr>
              <w:pStyle w:val="BodyText"/>
              <w:tabs>
                <w:tab w:val="left" w:pos="418"/>
                <w:tab w:val="left" w:pos="653"/>
                <w:tab w:val="right" w:pos="5670"/>
              </w:tabs>
              <w:spacing w:before="60" w:after="60"/>
              <w:ind w:left="420" w:hanging="420"/>
              <w:jc w:val="left"/>
              <w:rPr>
                <w:color w:val="000000"/>
                <w:sz w:val="18"/>
                <w:szCs w:val="18"/>
              </w:rPr>
            </w:pPr>
            <w:r w:rsidRPr="00FD1534">
              <w:rPr>
                <w:color w:val="000000"/>
                <w:sz w:val="18"/>
                <w:szCs w:val="18"/>
              </w:rPr>
              <w:tab/>
              <w:t>d)</w:t>
            </w:r>
            <w:r w:rsidRPr="00FD1534">
              <w:rPr>
                <w:color w:val="000000"/>
                <w:sz w:val="18"/>
                <w:szCs w:val="18"/>
              </w:rPr>
              <w:tab/>
            </w:r>
            <w:r w:rsidR="005138D6" w:rsidRPr="00FD1534">
              <w:rPr>
                <w:color w:val="000000"/>
                <w:sz w:val="18"/>
                <w:szCs w:val="18"/>
              </w:rPr>
              <w:t>an appropriate evaluation framework.</w:t>
            </w:r>
          </w:p>
        </w:tc>
      </w:tr>
      <w:tr w:rsidR="00AE197B" w:rsidRPr="00FD1534" w:rsidTr="00FD1534">
        <w:trPr>
          <w:trHeight w:val="1362"/>
        </w:trPr>
        <w:tc>
          <w:tcPr>
            <w:tcW w:w="5670" w:type="dxa"/>
            <w:vMerge/>
            <w:shd w:val="clear" w:color="auto" w:fill="auto"/>
          </w:tcPr>
          <w:p w:rsidR="005138D6" w:rsidRPr="00FD1534" w:rsidRDefault="005138D6" w:rsidP="00FD1534">
            <w:pPr>
              <w:pStyle w:val="BodyText"/>
              <w:tabs>
                <w:tab w:val="right" w:pos="5670"/>
              </w:tabs>
              <w:jc w:val="left"/>
              <w:rPr>
                <w:sz w:val="18"/>
                <w:szCs w:val="18"/>
              </w:rPr>
            </w:pPr>
          </w:p>
        </w:tc>
        <w:tc>
          <w:tcPr>
            <w:tcW w:w="3402" w:type="dxa"/>
            <w:shd w:val="clear" w:color="auto" w:fill="auto"/>
          </w:tcPr>
          <w:p w:rsidR="005138D6" w:rsidRPr="00FD1534" w:rsidRDefault="005138D6" w:rsidP="00FD1534">
            <w:pPr>
              <w:pStyle w:val="TableNumber"/>
              <w:keepNext/>
              <w:keepLines/>
              <w:pageBreakBefore/>
              <w:numPr>
                <w:ilvl w:val="0"/>
                <w:numId w:val="16"/>
              </w:numPr>
              <w:tabs>
                <w:tab w:val="clear" w:pos="284"/>
                <w:tab w:val="right" w:pos="5670"/>
              </w:tabs>
              <w:ind w:left="364" w:hanging="364"/>
              <w:jc w:val="left"/>
              <w:outlineLvl w:val="0"/>
              <w:rPr>
                <w:sz w:val="18"/>
                <w:szCs w:val="18"/>
              </w:rPr>
            </w:pPr>
            <w:r w:rsidRPr="00FD1534">
              <w:rPr>
                <w:sz w:val="18"/>
                <w:szCs w:val="18"/>
              </w:rPr>
              <w:t>Monitor and evaluate the impact of the Strategy on the growth and development of the G21 agribusiness industry</w:t>
            </w:r>
            <w:r w:rsidR="00BC2573" w:rsidRPr="00FD1534">
              <w:rPr>
                <w:sz w:val="18"/>
                <w:szCs w:val="18"/>
              </w:rPr>
              <w:t>.</w:t>
            </w:r>
          </w:p>
        </w:tc>
        <w:tc>
          <w:tcPr>
            <w:tcW w:w="5103" w:type="dxa"/>
            <w:shd w:val="clear" w:color="auto" w:fill="auto"/>
          </w:tcPr>
          <w:p w:rsidR="005138D6" w:rsidRPr="00FD1534" w:rsidRDefault="005138D6" w:rsidP="00FD1534">
            <w:pPr>
              <w:pStyle w:val="BodyText"/>
              <w:tabs>
                <w:tab w:val="left" w:pos="418"/>
                <w:tab w:val="right" w:pos="5670"/>
              </w:tabs>
              <w:spacing w:before="60" w:after="60"/>
              <w:ind w:left="420" w:hanging="420"/>
              <w:jc w:val="left"/>
              <w:rPr>
                <w:color w:val="000000"/>
                <w:sz w:val="18"/>
                <w:szCs w:val="18"/>
              </w:rPr>
            </w:pPr>
            <w:r w:rsidRPr="00FD1534">
              <w:rPr>
                <w:color w:val="000000"/>
                <w:sz w:val="18"/>
                <w:szCs w:val="18"/>
              </w:rPr>
              <w:t>20.1</w:t>
            </w:r>
            <w:r w:rsidRPr="00FD1534">
              <w:rPr>
                <w:color w:val="000000"/>
                <w:sz w:val="18"/>
                <w:szCs w:val="18"/>
              </w:rPr>
              <w:tab/>
              <w:t>Update the characteristics and trends of the G21 agribusiness industry when the relevant data is available from the 2016 ABS Census.</w:t>
            </w:r>
          </w:p>
          <w:p w:rsidR="005138D6" w:rsidRPr="00FD1534" w:rsidRDefault="005138D6" w:rsidP="00FD1534">
            <w:pPr>
              <w:pStyle w:val="BodyText"/>
              <w:tabs>
                <w:tab w:val="left" w:pos="418"/>
                <w:tab w:val="right" w:pos="5670"/>
              </w:tabs>
              <w:spacing w:before="60" w:after="60"/>
              <w:ind w:left="420" w:hanging="420"/>
              <w:jc w:val="left"/>
              <w:rPr>
                <w:color w:val="000000"/>
                <w:sz w:val="18"/>
                <w:szCs w:val="18"/>
              </w:rPr>
            </w:pPr>
            <w:r w:rsidRPr="00FD1534">
              <w:rPr>
                <w:color w:val="000000"/>
                <w:sz w:val="18"/>
                <w:szCs w:val="18"/>
              </w:rPr>
              <w:t>20.2</w:t>
            </w:r>
            <w:r w:rsidRPr="00FD1534">
              <w:rPr>
                <w:color w:val="000000"/>
                <w:sz w:val="18"/>
                <w:szCs w:val="18"/>
              </w:rPr>
              <w:tab/>
              <w:t>Utilise the outcomes of other relevant strategies and projects (e.g. Innovation Roadmap Project, SCS Hinterland Futures Strategy) to update this Strategy and revise its actions.</w:t>
            </w:r>
          </w:p>
          <w:p w:rsidR="005138D6" w:rsidRPr="00FD1534" w:rsidRDefault="005138D6" w:rsidP="00FD1534">
            <w:pPr>
              <w:pStyle w:val="BodyText"/>
              <w:tabs>
                <w:tab w:val="left" w:pos="418"/>
                <w:tab w:val="right" w:pos="5670"/>
              </w:tabs>
              <w:spacing w:before="60" w:after="60"/>
              <w:ind w:left="420" w:hanging="420"/>
              <w:jc w:val="left"/>
              <w:rPr>
                <w:color w:val="000000"/>
                <w:sz w:val="18"/>
                <w:szCs w:val="18"/>
              </w:rPr>
            </w:pPr>
            <w:r w:rsidRPr="00FD1534">
              <w:rPr>
                <w:color w:val="000000"/>
                <w:sz w:val="18"/>
                <w:szCs w:val="18"/>
              </w:rPr>
              <w:t>20.3</w:t>
            </w:r>
            <w:r w:rsidRPr="00FD1534">
              <w:rPr>
                <w:color w:val="000000"/>
                <w:sz w:val="18"/>
                <w:szCs w:val="18"/>
              </w:rPr>
              <w:tab/>
              <w:t>Develop an agreed assessment framework to measure and report on the impact of the Strategy on the growth and development of the G21 agribusiness industry.</w:t>
            </w:r>
          </w:p>
        </w:tc>
      </w:tr>
    </w:tbl>
    <w:p w:rsidR="00FE39C3" w:rsidRPr="00FE39C3" w:rsidRDefault="00FE39C3" w:rsidP="00FE39C3">
      <w:pPr>
        <w:pStyle w:val="BodyText"/>
        <w:sectPr w:rsidR="00FE39C3" w:rsidRPr="00FE39C3" w:rsidSect="008C6DFC">
          <w:headerReference w:type="default" r:id="rId42"/>
          <w:footerReference w:type="default" r:id="rId43"/>
          <w:footnotePr>
            <w:numRestart w:val="eachSect"/>
          </w:footnotePr>
          <w:pgSz w:w="16817" w:h="11901" w:orient="landscape" w:code="9"/>
          <w:pgMar w:top="1276" w:right="1247" w:bottom="1276" w:left="1383" w:header="510" w:footer="284" w:gutter="0"/>
          <w:cols w:space="227"/>
          <w:docGrid w:linePitch="360"/>
        </w:sectPr>
      </w:pPr>
    </w:p>
    <w:p w:rsidR="002E7D22" w:rsidRDefault="002E7D22" w:rsidP="002E7D22">
      <w:pPr>
        <w:pStyle w:val="Heading1"/>
      </w:pPr>
      <w:bookmarkStart w:id="32" w:name="_Toc487757699"/>
      <w:r>
        <w:lastRenderedPageBreak/>
        <w:t>References</w:t>
      </w:r>
      <w:bookmarkEnd w:id="32"/>
    </w:p>
    <w:p w:rsidR="00D36333" w:rsidRDefault="00D36333" w:rsidP="00D36333">
      <w:pPr>
        <w:pStyle w:val="ListBullet"/>
        <w:spacing w:before="120" w:after="120"/>
        <w:ind w:left="357" w:hanging="357"/>
      </w:pPr>
      <w:r>
        <w:t>Australian Bureau of Statistics Agricultural Census (2011)</w:t>
      </w:r>
    </w:p>
    <w:p w:rsidR="00D36333" w:rsidRDefault="00D36333" w:rsidP="00D36333">
      <w:pPr>
        <w:pStyle w:val="ListBullet"/>
        <w:spacing w:before="120" w:after="120"/>
        <w:ind w:left="357" w:hanging="357"/>
      </w:pPr>
      <w:r>
        <w:t>Australian Bureau of Statistics Census of Population and Housing (2011)</w:t>
      </w:r>
    </w:p>
    <w:p w:rsidR="00D36333" w:rsidRDefault="00D36333" w:rsidP="00D36333">
      <w:pPr>
        <w:pStyle w:val="ListBullet"/>
        <w:spacing w:before="120" w:after="120"/>
        <w:ind w:left="357" w:hanging="357"/>
      </w:pPr>
      <w:r>
        <w:t>Australian Bureau of Statistics Livestock Products (2015)</w:t>
      </w:r>
    </w:p>
    <w:p w:rsidR="00D36333" w:rsidRDefault="00D36333" w:rsidP="00D36333">
      <w:pPr>
        <w:pStyle w:val="ListBullet"/>
        <w:spacing w:before="120" w:after="120"/>
        <w:ind w:left="357" w:hanging="357"/>
      </w:pPr>
      <w:r>
        <w:t>Bellarine Peninsula Localised Planning Statement (2015)</w:t>
      </w:r>
    </w:p>
    <w:p w:rsidR="007D1C85" w:rsidRDefault="007D1C85" w:rsidP="00D36333">
      <w:pPr>
        <w:pStyle w:val="ListBullet"/>
        <w:spacing w:before="120" w:after="120"/>
        <w:ind w:left="357" w:hanging="357"/>
      </w:pPr>
      <w:r>
        <w:t>G21 Agriculture Environment Scan (2016)</w:t>
      </w:r>
    </w:p>
    <w:p w:rsidR="00D36333" w:rsidRDefault="00D36333" w:rsidP="00D36333">
      <w:pPr>
        <w:pStyle w:val="ListBullet"/>
        <w:spacing w:before="120" w:after="120"/>
        <w:ind w:left="357" w:hanging="357"/>
      </w:pPr>
      <w:r>
        <w:t>G21 Regional Growth Plan – Implementation Plan (2013)</w:t>
      </w:r>
    </w:p>
    <w:p w:rsidR="00D36333" w:rsidRDefault="00D36333" w:rsidP="00D36333">
      <w:pPr>
        <w:pStyle w:val="ListBullet"/>
        <w:spacing w:before="120" w:after="120"/>
        <w:ind w:left="357" w:hanging="357"/>
      </w:pPr>
      <w:r>
        <w:t>G21 Regional Growth Plan (2013)</w:t>
      </w:r>
    </w:p>
    <w:p w:rsidR="00D36333" w:rsidRDefault="00D36333" w:rsidP="00D36333">
      <w:pPr>
        <w:pStyle w:val="ListBullet"/>
        <w:spacing w:before="120" w:after="120"/>
        <w:ind w:left="357" w:hanging="357"/>
      </w:pPr>
      <w:r>
        <w:t>Geelong Economic Futures (2017)</w:t>
      </w:r>
    </w:p>
    <w:p w:rsidR="00D36333" w:rsidRDefault="00D36333" w:rsidP="00D36333">
      <w:pPr>
        <w:pStyle w:val="ListBullet"/>
        <w:spacing w:before="120" w:after="120"/>
        <w:ind w:left="357" w:hanging="357"/>
      </w:pPr>
      <w:r>
        <w:t>Gippsland Food Plan (2013)</w:t>
      </w:r>
    </w:p>
    <w:p w:rsidR="00D36333" w:rsidRDefault="00D36333" w:rsidP="00D36333">
      <w:pPr>
        <w:pStyle w:val="ListBullet"/>
        <w:spacing w:before="120" w:after="120"/>
        <w:ind w:left="357" w:hanging="357"/>
      </w:pPr>
      <w:r>
        <w:t>Great South Coast Food &amp; Fibre Strategy (2015 – 2020)</w:t>
      </w:r>
    </w:p>
    <w:p w:rsidR="00D36333" w:rsidRDefault="00D36333" w:rsidP="00D36333">
      <w:pPr>
        <w:pStyle w:val="ListBullet"/>
        <w:spacing w:before="120" w:after="120"/>
        <w:ind w:left="357" w:hanging="357"/>
      </w:pPr>
      <w:r>
        <w:t>Local Livestock Market Analysis – Geelong Saleyards (2017)</w:t>
      </w:r>
    </w:p>
    <w:p w:rsidR="00D36333" w:rsidRDefault="00D36333" w:rsidP="00D36333">
      <w:pPr>
        <w:pStyle w:val="ListBullet"/>
        <w:spacing w:before="120" w:after="120"/>
        <w:ind w:left="357" w:hanging="357"/>
      </w:pPr>
      <w:r>
        <w:t>Master Plan for the Great Ocean Road Region Visitor Economy,2015 – 2025 (2015)</w:t>
      </w:r>
    </w:p>
    <w:p w:rsidR="00D36333" w:rsidRDefault="00D36333" w:rsidP="00D36333">
      <w:pPr>
        <w:pStyle w:val="ListBullet"/>
        <w:spacing w:before="120" w:after="120"/>
        <w:ind w:left="357" w:hanging="357"/>
      </w:pPr>
      <w:r>
        <w:t>Mornington Peninsula Shire Agricultural Audit (2010)</w:t>
      </w:r>
    </w:p>
    <w:p w:rsidR="00D36333" w:rsidRDefault="00D36333" w:rsidP="00D36333">
      <w:pPr>
        <w:pStyle w:val="ListBullet"/>
        <w:spacing w:before="120" w:after="120"/>
        <w:ind w:left="357" w:hanging="357"/>
      </w:pPr>
      <w:r>
        <w:t>Mornington Peninsula Shire Local Food Strategy (2013)</w:t>
      </w:r>
    </w:p>
    <w:p w:rsidR="00D36333" w:rsidRDefault="00D36333" w:rsidP="00D36333">
      <w:pPr>
        <w:pStyle w:val="ListBullet"/>
        <w:spacing w:before="120" w:after="120"/>
        <w:ind w:left="357" w:hanging="357"/>
      </w:pPr>
      <w:r>
        <w:t>Northern Victoria Food Strategy (2014)</w:t>
      </w:r>
    </w:p>
    <w:p w:rsidR="00D36333" w:rsidRDefault="00D36333" w:rsidP="00D36333">
      <w:pPr>
        <w:pStyle w:val="ListBullet"/>
        <w:spacing w:before="120" w:after="120"/>
        <w:ind w:left="357" w:hanging="357"/>
      </w:pPr>
      <w:r>
        <w:t>REMPLAN Economic Model for the G21 Region</w:t>
      </w:r>
    </w:p>
    <w:p w:rsidR="00D36333" w:rsidRDefault="00D36333" w:rsidP="00D36333">
      <w:pPr>
        <w:pStyle w:val="ListBullet"/>
        <w:spacing w:before="120" w:after="120"/>
        <w:ind w:left="357" w:hanging="357"/>
      </w:pPr>
      <w:r>
        <w:t>Tourism Greater Geelong and The Bellarine Strategy (2017)</w:t>
      </w:r>
    </w:p>
    <w:p w:rsidR="00D36333" w:rsidRDefault="00D36333" w:rsidP="00D36333">
      <w:pPr>
        <w:pStyle w:val="ListBullet"/>
        <w:spacing w:before="120" w:after="120"/>
        <w:ind w:left="357" w:hanging="357"/>
      </w:pPr>
      <w:r>
        <w:t>Victorian Aquaculture Strategy, 2017 – 2022 (2017)</w:t>
      </w:r>
    </w:p>
    <w:p w:rsidR="00D36333" w:rsidRDefault="00D36333" w:rsidP="00D36333">
      <w:pPr>
        <w:pStyle w:val="ListBullet"/>
        <w:spacing w:before="120" w:after="120"/>
        <w:ind w:left="357" w:hanging="357"/>
      </w:pPr>
      <w:r>
        <w:t>Victorian Food and Fibre Sector Strategy (2016)</w:t>
      </w:r>
    </w:p>
    <w:p w:rsidR="00D36333" w:rsidRDefault="00D36333" w:rsidP="00D36333">
      <w:pPr>
        <w:pStyle w:val="ListBullet"/>
        <w:spacing w:before="120" w:after="120"/>
        <w:ind w:left="357" w:hanging="357"/>
      </w:pPr>
      <w:r>
        <w:t>Victorian Wine Industry Development Strategy (2017)</w:t>
      </w:r>
    </w:p>
    <w:p w:rsidR="00D36333" w:rsidRDefault="00D36333" w:rsidP="00D36333">
      <w:pPr>
        <w:pStyle w:val="ListBullet"/>
        <w:spacing w:before="120" w:after="120"/>
        <w:ind w:left="357" w:hanging="357"/>
      </w:pPr>
      <w:r>
        <w:t>Western Victorian Dairy Industry Strategic Plan, 2014 – 2019 (2014)</w:t>
      </w:r>
    </w:p>
    <w:p w:rsidR="00D36333" w:rsidRPr="0049037F" w:rsidRDefault="00D36333" w:rsidP="0049037F">
      <w:pPr>
        <w:pStyle w:val="BodyText"/>
      </w:pPr>
    </w:p>
    <w:p w:rsidR="002E7D22" w:rsidRDefault="002E7D22" w:rsidP="002E7D22">
      <w:pPr>
        <w:pStyle w:val="Heading1"/>
      </w:pPr>
      <w:bookmarkStart w:id="33" w:name="_Toc487757700"/>
      <w:r>
        <w:lastRenderedPageBreak/>
        <w:t>Consultation list</w:t>
      </w:r>
      <w:bookmarkEnd w:id="33"/>
    </w:p>
    <w:p w:rsidR="00850349" w:rsidRDefault="00850349" w:rsidP="00F535BD">
      <w:pPr>
        <w:pStyle w:val="ListBullet"/>
        <w:tabs>
          <w:tab w:val="left" w:pos="2835"/>
        </w:tabs>
      </w:pPr>
      <w:r>
        <w:t>Ahmed, Brian</w:t>
      </w:r>
      <w:r>
        <w:tab/>
        <w:t>Egg producer</w:t>
      </w:r>
    </w:p>
    <w:p w:rsidR="00850349" w:rsidRDefault="00850349" w:rsidP="00F535BD">
      <w:pPr>
        <w:pStyle w:val="ListBullet"/>
        <w:tabs>
          <w:tab w:val="left" w:pos="2835"/>
        </w:tabs>
      </w:pPr>
      <w:r>
        <w:t>Ashton, Emma</w:t>
      </w:r>
      <w:r>
        <w:tab/>
        <w:t>President Otway Harvest Trail</w:t>
      </w:r>
    </w:p>
    <w:p w:rsidR="00850349" w:rsidRDefault="00850349" w:rsidP="00F535BD">
      <w:pPr>
        <w:pStyle w:val="ListBullet"/>
        <w:tabs>
          <w:tab w:val="left" w:pos="2835"/>
        </w:tabs>
      </w:pPr>
      <w:r>
        <w:t>Austin, Scott</w:t>
      </w:r>
      <w:r>
        <w:tab/>
        <w:t>Austin Wines and Chair of Geelong Wine</w:t>
      </w:r>
    </w:p>
    <w:p w:rsidR="00850349" w:rsidRDefault="00850349" w:rsidP="00F535BD">
      <w:pPr>
        <w:pStyle w:val="ListBullet"/>
        <w:tabs>
          <w:tab w:val="left" w:pos="2835"/>
        </w:tabs>
      </w:pPr>
      <w:r>
        <w:t>Baillie, Keith</w:t>
      </w:r>
      <w:r>
        <w:tab/>
        <w:t>Surf Coast Shire</w:t>
      </w:r>
    </w:p>
    <w:p w:rsidR="00850349" w:rsidRDefault="00850349" w:rsidP="00F535BD">
      <w:pPr>
        <w:pStyle w:val="ListBullet"/>
        <w:tabs>
          <w:tab w:val="left" w:pos="2835"/>
        </w:tabs>
      </w:pPr>
      <w:r>
        <w:t>Barrow, Mike</w:t>
      </w:r>
      <w:r>
        <w:tab/>
        <w:t>Golden Plains Shire</w:t>
      </w:r>
    </w:p>
    <w:p w:rsidR="00850349" w:rsidRDefault="00850349" w:rsidP="00F535BD">
      <w:pPr>
        <w:pStyle w:val="ListBullet"/>
        <w:tabs>
          <w:tab w:val="left" w:pos="2835"/>
        </w:tabs>
      </w:pPr>
      <w:r>
        <w:t>Bell, Cr David</w:t>
      </w:r>
      <w:r>
        <w:tab/>
        <w:t>Surf Coast Shire and Farmers’ Market operator</w:t>
      </w:r>
    </w:p>
    <w:p w:rsidR="00850349" w:rsidRDefault="00850349" w:rsidP="00F535BD">
      <w:pPr>
        <w:pStyle w:val="ListBullet"/>
        <w:tabs>
          <w:tab w:val="left" w:pos="2835"/>
        </w:tabs>
      </w:pPr>
      <w:r>
        <w:t>Blackett, Corinne</w:t>
      </w:r>
      <w:r>
        <w:tab/>
        <w:t>Drysdale Cheese</w:t>
      </w:r>
    </w:p>
    <w:p w:rsidR="00850349" w:rsidRDefault="00850349" w:rsidP="00F535BD">
      <w:pPr>
        <w:pStyle w:val="ListBullet"/>
        <w:tabs>
          <w:tab w:val="left" w:pos="2835"/>
        </w:tabs>
      </w:pPr>
      <w:r>
        <w:t>Bold, Peter</w:t>
      </w:r>
      <w:r>
        <w:tab/>
        <w:t>Advanced Mussel Supply</w:t>
      </w:r>
    </w:p>
    <w:p w:rsidR="00850349" w:rsidRDefault="00850349" w:rsidP="00F535BD">
      <w:pPr>
        <w:pStyle w:val="ListBullet"/>
        <w:tabs>
          <w:tab w:val="left" w:pos="2835"/>
        </w:tabs>
      </w:pPr>
      <w:r>
        <w:t>Bolitho, Felicity</w:t>
      </w:r>
      <w:r>
        <w:tab/>
        <w:t>Golden Plains Shire</w:t>
      </w:r>
    </w:p>
    <w:p w:rsidR="00850349" w:rsidRDefault="00850349" w:rsidP="00F535BD">
      <w:pPr>
        <w:pStyle w:val="ListBullet"/>
        <w:tabs>
          <w:tab w:val="left" w:pos="2835"/>
        </w:tabs>
      </w:pPr>
      <w:r>
        <w:t>Boyle, David</w:t>
      </w:r>
      <w:r>
        <w:tab/>
        <w:t>G21 Agribusiness Forum</w:t>
      </w:r>
    </w:p>
    <w:p w:rsidR="00850349" w:rsidRDefault="00850349" w:rsidP="00F535BD">
      <w:pPr>
        <w:pStyle w:val="ListBullet"/>
        <w:tabs>
          <w:tab w:val="left" w:pos="2835"/>
        </w:tabs>
      </w:pPr>
      <w:r>
        <w:t>Brockett, Robin</w:t>
      </w:r>
      <w:r>
        <w:tab/>
        <w:t>Scotchman’s Hill</w:t>
      </w:r>
    </w:p>
    <w:p w:rsidR="00850349" w:rsidRDefault="00850349" w:rsidP="00F535BD">
      <w:pPr>
        <w:pStyle w:val="ListBullet"/>
        <w:tabs>
          <w:tab w:val="left" w:pos="2835"/>
        </w:tabs>
      </w:pPr>
      <w:r>
        <w:t>Brown, Graeme</w:t>
      </w:r>
      <w:r>
        <w:tab/>
        <w:t>Mixed farmer and President of Bellarine VFF</w:t>
      </w:r>
    </w:p>
    <w:p w:rsidR="00850349" w:rsidRDefault="00850349" w:rsidP="00F535BD">
      <w:pPr>
        <w:pStyle w:val="ListBullet"/>
        <w:tabs>
          <w:tab w:val="left" w:pos="2835"/>
        </w:tabs>
      </w:pPr>
      <w:r>
        <w:t>Bryant, Lindsay</w:t>
      </w:r>
      <w:r>
        <w:tab/>
        <w:t>Livestock producer</w:t>
      </w:r>
    </w:p>
    <w:p w:rsidR="00850349" w:rsidRDefault="00850349" w:rsidP="00F535BD">
      <w:pPr>
        <w:pStyle w:val="ListBullet"/>
        <w:tabs>
          <w:tab w:val="left" w:pos="2835"/>
        </w:tabs>
      </w:pPr>
      <w:r>
        <w:t>Bullen, Alan</w:t>
      </w:r>
      <w:r>
        <w:tab/>
        <w:t>Poultry farmer and President of the VFF Chicken Meat Council</w:t>
      </w:r>
    </w:p>
    <w:p w:rsidR="00850349" w:rsidRDefault="00850349" w:rsidP="00F535BD">
      <w:pPr>
        <w:pStyle w:val="ListBullet"/>
        <w:tabs>
          <w:tab w:val="left" w:pos="2835"/>
        </w:tabs>
      </w:pPr>
      <w:r>
        <w:t>Carbines, Elaine</w:t>
      </w:r>
      <w:r>
        <w:tab/>
        <w:t>G21 Regional Alliance</w:t>
      </w:r>
    </w:p>
    <w:p w:rsidR="00850349" w:rsidRDefault="00850349" w:rsidP="00F535BD">
      <w:pPr>
        <w:pStyle w:val="ListBullet"/>
        <w:tabs>
          <w:tab w:val="left" w:pos="2835"/>
        </w:tabs>
      </w:pPr>
      <w:r>
        <w:t>Charles, Helena</w:t>
      </w:r>
      <w:r>
        <w:tab/>
        <w:t>Golden Plains Shire</w:t>
      </w:r>
    </w:p>
    <w:p w:rsidR="00850349" w:rsidRDefault="00850349" w:rsidP="00F535BD">
      <w:pPr>
        <w:pStyle w:val="ListBullet"/>
        <w:tabs>
          <w:tab w:val="left" w:pos="2835"/>
        </w:tabs>
      </w:pPr>
      <w:r>
        <w:t>Clark, Ramon</w:t>
      </w:r>
      <w:r>
        <w:tab/>
        <w:t>Westside Meats</w:t>
      </w:r>
    </w:p>
    <w:p w:rsidR="00850349" w:rsidRDefault="00850349" w:rsidP="00F535BD">
      <w:pPr>
        <w:pStyle w:val="ListBullet"/>
        <w:tabs>
          <w:tab w:val="left" w:pos="2835"/>
        </w:tabs>
      </w:pPr>
      <w:r>
        <w:t>Coad, Russell</w:t>
      </w:r>
      <w:r>
        <w:tab/>
        <w:t>Victorian Farmers Federation and Chair of the G21 Agribusiness Forum</w:t>
      </w:r>
    </w:p>
    <w:p w:rsidR="00850349" w:rsidRDefault="00850349" w:rsidP="00F535BD">
      <w:pPr>
        <w:pStyle w:val="ListBullet"/>
        <w:tabs>
          <w:tab w:val="left" w:pos="2835"/>
        </w:tabs>
      </w:pPr>
      <w:r>
        <w:t>Cochrane, Craig</w:t>
      </w:r>
      <w:r>
        <w:tab/>
        <w:t>GrainCorp</w:t>
      </w:r>
    </w:p>
    <w:p w:rsidR="00850349" w:rsidRDefault="00850349" w:rsidP="00F535BD">
      <w:pPr>
        <w:pStyle w:val="ListBullet"/>
        <w:tabs>
          <w:tab w:val="left" w:pos="2835"/>
        </w:tabs>
      </w:pPr>
      <w:r>
        <w:t>Connell, Michael</w:t>
      </w:r>
      <w:r>
        <w:tab/>
        <w:t>Southern Bay Brewing</w:t>
      </w:r>
    </w:p>
    <w:p w:rsidR="00850349" w:rsidRDefault="00850349" w:rsidP="00F535BD">
      <w:pPr>
        <w:pStyle w:val="ListBullet"/>
        <w:tabs>
          <w:tab w:val="left" w:pos="2835"/>
        </w:tabs>
      </w:pPr>
      <w:r>
        <w:t>Conroy, Fiona</w:t>
      </w:r>
      <w:r>
        <w:tab/>
        <w:t>Livestock producer</w:t>
      </w:r>
    </w:p>
    <w:p w:rsidR="00850349" w:rsidRDefault="00850349" w:rsidP="00F535BD">
      <w:pPr>
        <w:pStyle w:val="ListBullet"/>
        <w:tabs>
          <w:tab w:val="left" w:pos="2835"/>
        </w:tabs>
      </w:pPr>
      <w:r>
        <w:t>Corless, Jason</w:t>
      </w:r>
      <w:r>
        <w:tab/>
        <w:t>Bellarine Rural &amp; Garden Centre</w:t>
      </w:r>
    </w:p>
    <w:p w:rsidR="00850349" w:rsidRDefault="00850349" w:rsidP="00F535BD">
      <w:pPr>
        <w:pStyle w:val="ListBullet"/>
        <w:tabs>
          <w:tab w:val="left" w:pos="2835"/>
        </w:tabs>
      </w:pPr>
      <w:r>
        <w:t>Cosgriff, Mick</w:t>
      </w:r>
      <w:r>
        <w:tab/>
        <w:t>Golden Plains Shire</w:t>
      </w:r>
    </w:p>
    <w:p w:rsidR="00850349" w:rsidRDefault="00850349" w:rsidP="00F535BD">
      <w:pPr>
        <w:pStyle w:val="ListBullet"/>
        <w:tabs>
          <w:tab w:val="left" w:pos="2835"/>
        </w:tabs>
      </w:pPr>
      <w:r>
        <w:t>Currie, Phil</w:t>
      </w:r>
      <w:r>
        <w:tab/>
        <w:t>Regional Development Victoria</w:t>
      </w:r>
    </w:p>
    <w:p w:rsidR="00850349" w:rsidRDefault="00850349" w:rsidP="00F535BD">
      <w:pPr>
        <w:pStyle w:val="ListBullet"/>
        <w:tabs>
          <w:tab w:val="left" w:pos="2835"/>
        </w:tabs>
      </w:pPr>
      <w:r>
        <w:t>Desborough, Ian</w:t>
      </w:r>
      <w:r>
        <w:tab/>
        <w:t>G21 Agribusiness Forum</w:t>
      </w:r>
    </w:p>
    <w:p w:rsidR="00850349" w:rsidRDefault="00850349" w:rsidP="00F535BD">
      <w:pPr>
        <w:pStyle w:val="ListBullet"/>
        <w:tabs>
          <w:tab w:val="left" w:pos="2835"/>
        </w:tabs>
      </w:pPr>
      <w:r>
        <w:t>Dingle, Tom</w:t>
      </w:r>
      <w:r>
        <w:tab/>
        <w:t>Nuchev</w:t>
      </w:r>
    </w:p>
    <w:p w:rsidR="00850349" w:rsidRDefault="00850349" w:rsidP="00F535BD">
      <w:pPr>
        <w:pStyle w:val="ListBullet"/>
        <w:tabs>
          <w:tab w:val="left" w:pos="2835"/>
        </w:tabs>
      </w:pPr>
      <w:r>
        <w:t>Duke, Cr Martin</w:t>
      </w:r>
      <w:r>
        <w:tab/>
        <w:t>Surf Coast Shire</w:t>
      </w:r>
    </w:p>
    <w:p w:rsidR="00850349" w:rsidRDefault="00850349" w:rsidP="00F535BD">
      <w:pPr>
        <w:pStyle w:val="ListBullet"/>
        <w:tabs>
          <w:tab w:val="left" w:pos="2835"/>
        </w:tabs>
      </w:pPr>
      <w:r>
        <w:t>Ferguson, Lindsay</w:t>
      </w:r>
      <w:r>
        <w:tab/>
        <w:t>WestVic Dairy</w:t>
      </w:r>
    </w:p>
    <w:p w:rsidR="00850349" w:rsidRDefault="00850349" w:rsidP="00F535BD">
      <w:pPr>
        <w:pStyle w:val="ListBullet"/>
        <w:tabs>
          <w:tab w:val="left" w:pos="2835"/>
        </w:tabs>
      </w:pPr>
      <w:r>
        <w:t>Foard, Kevin</w:t>
      </w:r>
      <w:r>
        <w:tab/>
        <w:t>Geelong Manufacturing Council</w:t>
      </w:r>
    </w:p>
    <w:p w:rsidR="00850349" w:rsidRDefault="00850349" w:rsidP="00F535BD">
      <w:pPr>
        <w:pStyle w:val="ListBullet"/>
        <w:tabs>
          <w:tab w:val="left" w:pos="2835"/>
        </w:tabs>
      </w:pPr>
      <w:r>
        <w:t>Fyfe, Judy</w:t>
      </w:r>
      <w:r>
        <w:tab/>
        <w:t>Livestock producer</w:t>
      </w:r>
    </w:p>
    <w:p w:rsidR="00850349" w:rsidRDefault="00850349" w:rsidP="00F535BD">
      <w:pPr>
        <w:pStyle w:val="ListBullet"/>
        <w:tabs>
          <w:tab w:val="left" w:pos="2835"/>
        </w:tabs>
      </w:pPr>
      <w:r>
        <w:t>Goldsworthy, Cr Clive</w:t>
      </w:r>
      <w:r>
        <w:tab/>
        <w:t>Surf Coast Shire</w:t>
      </w:r>
    </w:p>
    <w:p w:rsidR="00850349" w:rsidRDefault="00850349" w:rsidP="00F535BD">
      <w:pPr>
        <w:pStyle w:val="ListBullet"/>
        <w:tabs>
          <w:tab w:val="left" w:pos="2835"/>
        </w:tabs>
      </w:pPr>
      <w:r>
        <w:t>Goodman, Ray</w:t>
      </w:r>
      <w:r>
        <w:tab/>
        <w:t>Livestock carrier</w:t>
      </w:r>
    </w:p>
    <w:p w:rsidR="00850349" w:rsidRDefault="00850349" w:rsidP="00F535BD">
      <w:pPr>
        <w:pStyle w:val="ListBullet"/>
        <w:tabs>
          <w:tab w:val="left" w:pos="2835"/>
        </w:tabs>
      </w:pPr>
      <w:r>
        <w:t>Goonan, Dinny</w:t>
      </w:r>
      <w:r>
        <w:tab/>
        <w:t>Dinny Goonan Wines</w:t>
      </w:r>
    </w:p>
    <w:p w:rsidR="00850349" w:rsidRDefault="00850349" w:rsidP="00F535BD">
      <w:pPr>
        <w:pStyle w:val="ListBullet"/>
        <w:tabs>
          <w:tab w:val="left" w:pos="2835"/>
        </w:tabs>
      </w:pPr>
      <w:r>
        <w:t>Gugger, Geoff</w:t>
      </w:r>
      <w:r>
        <w:tab/>
        <w:t>Livestock producer</w:t>
      </w:r>
    </w:p>
    <w:p w:rsidR="00850349" w:rsidRDefault="00850349" w:rsidP="00F535BD">
      <w:pPr>
        <w:pStyle w:val="ListBullet"/>
        <w:tabs>
          <w:tab w:val="left" w:pos="2835"/>
        </w:tabs>
      </w:pPr>
      <w:r>
        <w:t>Hamilton, Stewart</w:t>
      </w:r>
      <w:r>
        <w:tab/>
        <w:t>Mixed farmer</w:t>
      </w:r>
    </w:p>
    <w:p w:rsidR="00850349" w:rsidRDefault="00850349" w:rsidP="00F535BD">
      <w:pPr>
        <w:pStyle w:val="ListBullet"/>
        <w:tabs>
          <w:tab w:val="left" w:pos="2835"/>
        </w:tabs>
      </w:pPr>
      <w:r>
        <w:t>Healey, Adrian</w:t>
      </w:r>
      <w:r>
        <w:tab/>
        <w:t>Colac Otway Shire</w:t>
      </w:r>
    </w:p>
    <w:p w:rsidR="00850349" w:rsidRDefault="00850349" w:rsidP="00F535BD">
      <w:pPr>
        <w:pStyle w:val="ListBullet"/>
        <w:tabs>
          <w:tab w:val="left" w:pos="2835"/>
        </w:tabs>
      </w:pPr>
      <w:r>
        <w:t>Hearn, Leanne</w:t>
      </w:r>
      <w:r>
        <w:tab/>
        <w:t>Agricultural teacher and lifestyle farmer</w:t>
      </w:r>
    </w:p>
    <w:p w:rsidR="00850349" w:rsidRDefault="00850349" w:rsidP="00F535BD">
      <w:pPr>
        <w:pStyle w:val="ListBullet"/>
        <w:tabs>
          <w:tab w:val="left" w:pos="2835"/>
        </w:tabs>
      </w:pPr>
      <w:r>
        <w:t>Hellsten, Tim</w:t>
      </w:r>
      <w:r>
        <w:tab/>
        <w:t>City of Greater Geelong</w:t>
      </w:r>
    </w:p>
    <w:p w:rsidR="00850349" w:rsidRDefault="00850349" w:rsidP="00F535BD">
      <w:pPr>
        <w:pStyle w:val="ListBullet"/>
        <w:tabs>
          <w:tab w:val="left" w:pos="2835"/>
        </w:tabs>
      </w:pPr>
      <w:r>
        <w:t>Herni, Derek</w:t>
      </w:r>
      <w:r>
        <w:tab/>
        <w:t>Sage Beef</w:t>
      </w:r>
    </w:p>
    <w:p w:rsidR="00850349" w:rsidRDefault="00850349" w:rsidP="00F535BD">
      <w:pPr>
        <w:pStyle w:val="ListBullet"/>
        <w:tabs>
          <w:tab w:val="left" w:pos="2835"/>
        </w:tabs>
      </w:pPr>
      <w:r>
        <w:t>Holder, Rosemary</w:t>
      </w:r>
      <w:r>
        <w:tab/>
        <w:t>Lighthouse Olive Oil</w:t>
      </w:r>
    </w:p>
    <w:p w:rsidR="00850349" w:rsidRDefault="00850349" w:rsidP="00F535BD">
      <w:pPr>
        <w:pStyle w:val="ListBullet"/>
        <w:tabs>
          <w:tab w:val="left" w:pos="2835"/>
        </w:tabs>
      </w:pPr>
      <w:r>
        <w:lastRenderedPageBreak/>
        <w:t>Hood, Allan</w:t>
      </w:r>
      <w:r>
        <w:tab/>
        <w:t>Bulla Foods</w:t>
      </w:r>
    </w:p>
    <w:p w:rsidR="00850349" w:rsidRDefault="00850349" w:rsidP="00F535BD">
      <w:pPr>
        <w:pStyle w:val="ListBullet"/>
        <w:tabs>
          <w:tab w:val="left" w:pos="2835"/>
        </w:tabs>
      </w:pPr>
      <w:r>
        <w:t>Horniblow, Chris</w:t>
      </w:r>
      <w:r>
        <w:tab/>
        <w:t>Pennyroyal Farm &amp; Otway Preserves</w:t>
      </w:r>
    </w:p>
    <w:p w:rsidR="00850349" w:rsidRDefault="00850349" w:rsidP="00F535BD">
      <w:pPr>
        <w:pStyle w:val="ListBullet"/>
        <w:tabs>
          <w:tab w:val="left" w:pos="2835"/>
        </w:tabs>
      </w:pPr>
      <w:r>
        <w:t>Hose, Karen</w:t>
      </w:r>
      <w:r>
        <w:tab/>
        <w:t>Surf Coast Shire</w:t>
      </w:r>
    </w:p>
    <w:p w:rsidR="00850349" w:rsidRDefault="00850349" w:rsidP="00F535BD">
      <w:pPr>
        <w:pStyle w:val="ListBullet"/>
        <w:tabs>
          <w:tab w:val="left" w:pos="2835"/>
        </w:tabs>
      </w:pPr>
      <w:r>
        <w:t>Humpage, Mandy</w:t>
      </w:r>
      <w:r>
        <w:tab/>
        <w:t>Wes Eggs</w:t>
      </w:r>
    </w:p>
    <w:p w:rsidR="00850349" w:rsidRDefault="00850349" w:rsidP="00F535BD">
      <w:pPr>
        <w:pStyle w:val="ListBullet"/>
        <w:tabs>
          <w:tab w:val="left" w:pos="2835"/>
        </w:tabs>
      </w:pPr>
      <w:r>
        <w:t>Hurse, Jessica</w:t>
      </w:r>
      <w:r>
        <w:tab/>
        <w:t>City of Greater Geelong</w:t>
      </w:r>
    </w:p>
    <w:p w:rsidR="00850349" w:rsidRDefault="00850349" w:rsidP="00F535BD">
      <w:pPr>
        <w:pStyle w:val="ListBullet"/>
        <w:tabs>
          <w:tab w:val="left" w:pos="2835"/>
        </w:tabs>
      </w:pPr>
      <w:r>
        <w:t>Jenner, Lenny</w:t>
      </w:r>
      <w:r>
        <w:tab/>
        <w:t>Borough of Queenscliff</w:t>
      </w:r>
      <w:r w:rsidR="00AC194B">
        <w:t>e</w:t>
      </w:r>
    </w:p>
    <w:p w:rsidR="00850349" w:rsidRDefault="00850349" w:rsidP="00F535BD">
      <w:pPr>
        <w:pStyle w:val="ListBullet"/>
        <w:tabs>
          <w:tab w:val="left" w:pos="2835"/>
        </w:tabs>
      </w:pPr>
      <w:r>
        <w:t>Jongebloed, Terry</w:t>
      </w:r>
      <w:r>
        <w:tab/>
        <w:t>Clyde Park Wines</w:t>
      </w:r>
    </w:p>
    <w:p w:rsidR="00850349" w:rsidRDefault="00850349" w:rsidP="00F535BD">
      <w:pPr>
        <w:pStyle w:val="ListBullet"/>
        <w:tabs>
          <w:tab w:val="left" w:pos="2835"/>
        </w:tabs>
      </w:pPr>
      <w:r>
        <w:t>Kelly, Ian</w:t>
      </w:r>
      <w:r>
        <w:tab/>
        <w:t>Chair Geelong Saleyards Users Advisory Committee</w:t>
      </w:r>
    </w:p>
    <w:p w:rsidR="00850349" w:rsidRDefault="00850349" w:rsidP="00F535BD">
      <w:pPr>
        <w:pStyle w:val="ListBullet"/>
        <w:tabs>
          <w:tab w:val="left" w:pos="2835"/>
        </w:tabs>
      </w:pPr>
      <w:r>
        <w:t>Kelly, Mark</w:t>
      </w:r>
      <w:r>
        <w:tab/>
        <w:t>G21 Agribusiness Forum</w:t>
      </w:r>
    </w:p>
    <w:p w:rsidR="00850349" w:rsidRDefault="00850349" w:rsidP="00F535BD">
      <w:pPr>
        <w:pStyle w:val="ListBullet"/>
        <w:tabs>
          <w:tab w:val="left" w:pos="2835"/>
        </w:tabs>
      </w:pPr>
      <w:r>
        <w:t>Kemp, Tez</w:t>
      </w:r>
      <w:r>
        <w:tab/>
        <w:t>La Madre Bakery</w:t>
      </w:r>
    </w:p>
    <w:p w:rsidR="00850349" w:rsidRDefault="00850349" w:rsidP="00F535BD">
      <w:pPr>
        <w:pStyle w:val="ListBullet"/>
        <w:tabs>
          <w:tab w:val="left" w:pos="2835"/>
        </w:tabs>
      </w:pPr>
      <w:r>
        <w:t>Kerr, Richard</w:t>
      </w:r>
      <w:r>
        <w:tab/>
        <w:t>Farm Foods</w:t>
      </w:r>
    </w:p>
    <w:p w:rsidR="00850349" w:rsidRDefault="00850349" w:rsidP="00F535BD">
      <w:pPr>
        <w:pStyle w:val="ListBullet"/>
        <w:tabs>
          <w:tab w:val="left" w:pos="2835"/>
        </w:tabs>
      </w:pPr>
      <w:r>
        <w:t>Kos, Julie</w:t>
      </w:r>
      <w:r>
        <w:tab/>
        <w:t>Kossie Free Range</w:t>
      </w:r>
    </w:p>
    <w:p w:rsidR="00850349" w:rsidRDefault="00850349" w:rsidP="00F535BD">
      <w:pPr>
        <w:pStyle w:val="ListBullet"/>
        <w:tabs>
          <w:tab w:val="left" w:pos="2835"/>
        </w:tabs>
      </w:pPr>
      <w:r>
        <w:t>Kuc, Simon</w:t>
      </w:r>
      <w:r>
        <w:tab/>
        <w:t>Baie Wines</w:t>
      </w:r>
    </w:p>
    <w:p w:rsidR="00850349" w:rsidRDefault="00850349" w:rsidP="00F535BD">
      <w:pPr>
        <w:pStyle w:val="ListBullet"/>
        <w:tabs>
          <w:tab w:val="left" w:pos="2835"/>
        </w:tabs>
      </w:pPr>
      <w:r>
        <w:t>Lean, Christine</w:t>
      </w:r>
      <w:r>
        <w:tab/>
        <w:t>Tuck</w:t>
      </w:r>
      <w:r w:rsidR="00A33EFE">
        <w:t>er</w:t>
      </w:r>
      <w:r>
        <w:t>berry Hill Blueberries</w:t>
      </w:r>
    </w:p>
    <w:p w:rsidR="00850349" w:rsidRDefault="00850349" w:rsidP="00F535BD">
      <w:pPr>
        <w:pStyle w:val="ListBullet"/>
        <w:tabs>
          <w:tab w:val="left" w:pos="2835"/>
        </w:tabs>
      </w:pPr>
      <w:r>
        <w:t>Livingstone, Simon</w:t>
      </w:r>
      <w:r>
        <w:tab/>
        <w:t>Marcus Oldham College</w:t>
      </w:r>
    </w:p>
    <w:p w:rsidR="00850349" w:rsidRDefault="00850349" w:rsidP="00F535BD">
      <w:pPr>
        <w:pStyle w:val="ListBullet"/>
        <w:tabs>
          <w:tab w:val="left" w:pos="2835"/>
        </w:tabs>
      </w:pPr>
      <w:r>
        <w:t>Loone, Simon</w:t>
      </w:r>
      <w:r>
        <w:tab/>
        <w:t>Surf Coast Shire</w:t>
      </w:r>
    </w:p>
    <w:p w:rsidR="00850349" w:rsidRDefault="00850349" w:rsidP="00F535BD">
      <w:pPr>
        <w:pStyle w:val="ListBullet"/>
        <w:tabs>
          <w:tab w:val="left" w:pos="2835"/>
        </w:tabs>
      </w:pPr>
      <w:r>
        <w:t>Mackenzie, Rowan</w:t>
      </w:r>
      <w:r>
        <w:tab/>
        <w:t>Surf Coast Shire</w:t>
      </w:r>
    </w:p>
    <w:p w:rsidR="00850349" w:rsidRDefault="00850349" w:rsidP="00F535BD">
      <w:pPr>
        <w:pStyle w:val="ListBullet"/>
        <w:tabs>
          <w:tab w:val="left" w:pos="2835"/>
        </w:tabs>
      </w:pPr>
      <w:r>
        <w:t>Malone, Claire</w:t>
      </w:r>
      <w:r>
        <w:tab/>
        <w:t>Colac Otway Shire</w:t>
      </w:r>
    </w:p>
    <w:p w:rsidR="00850349" w:rsidRDefault="00850349" w:rsidP="00F535BD">
      <w:pPr>
        <w:pStyle w:val="ListBullet"/>
        <w:tabs>
          <w:tab w:val="left" w:pos="2835"/>
        </w:tabs>
      </w:pPr>
      <w:r>
        <w:t>Mannix, Laurie</w:t>
      </w:r>
      <w:r>
        <w:tab/>
        <w:t>Victorian Farmers Federation</w:t>
      </w:r>
    </w:p>
    <w:p w:rsidR="00850349" w:rsidRDefault="00850349" w:rsidP="00F535BD">
      <w:pPr>
        <w:pStyle w:val="ListBullet"/>
        <w:tabs>
          <w:tab w:val="left" w:pos="2835"/>
        </w:tabs>
      </w:pPr>
      <w:r>
        <w:t>Mantzaris, Steven</w:t>
      </w:r>
      <w:r>
        <w:tab/>
        <w:t>Mantzaris Seafoods</w:t>
      </w:r>
    </w:p>
    <w:p w:rsidR="00850349" w:rsidRDefault="00850349" w:rsidP="00F535BD">
      <w:pPr>
        <w:pStyle w:val="ListBullet"/>
        <w:tabs>
          <w:tab w:val="left" w:pos="2835"/>
        </w:tabs>
      </w:pPr>
      <w:r>
        <w:t>Manzi, Henry</w:t>
      </w:r>
      <w:r>
        <w:tab/>
        <w:t>City of Greater Geelong</w:t>
      </w:r>
    </w:p>
    <w:p w:rsidR="00850349" w:rsidRDefault="00850349" w:rsidP="00F535BD">
      <w:pPr>
        <w:pStyle w:val="ListBullet"/>
        <w:tabs>
          <w:tab w:val="left" w:pos="2835"/>
        </w:tabs>
      </w:pPr>
      <w:r>
        <w:t>Marchant, Alison</w:t>
      </w:r>
      <w:r>
        <w:tab/>
        <w:t>Garlic and berry producer</w:t>
      </w:r>
    </w:p>
    <w:p w:rsidR="00850349" w:rsidRDefault="00850349" w:rsidP="00F535BD">
      <w:pPr>
        <w:pStyle w:val="ListBullet"/>
        <w:tabs>
          <w:tab w:val="left" w:pos="2835"/>
        </w:tabs>
      </w:pPr>
      <w:r>
        <w:t>Marshall, Stewart</w:t>
      </w:r>
      <w:r>
        <w:tab/>
        <w:t>Tall Tree Poultry</w:t>
      </w:r>
    </w:p>
    <w:p w:rsidR="00850349" w:rsidRDefault="00850349" w:rsidP="00F535BD">
      <w:pPr>
        <w:pStyle w:val="ListBullet"/>
        <w:tabs>
          <w:tab w:val="left" w:pos="2835"/>
        </w:tabs>
      </w:pPr>
      <w:r>
        <w:t>Mason, Jason</w:t>
      </w:r>
      <w:r>
        <w:tab/>
        <w:t>Bellarine Smoked Fish Co</w:t>
      </w:r>
    </w:p>
    <w:p w:rsidR="00850349" w:rsidRDefault="00850349" w:rsidP="00F535BD">
      <w:pPr>
        <w:pStyle w:val="ListBullet"/>
        <w:tabs>
          <w:tab w:val="left" w:pos="2835"/>
        </w:tabs>
      </w:pPr>
      <w:r>
        <w:t>McDonald, Graeme</w:t>
      </w:r>
      <w:r>
        <w:tab/>
        <w:t>Livestock producer</w:t>
      </w:r>
    </w:p>
    <w:p w:rsidR="00850349" w:rsidRDefault="00850349" w:rsidP="00F535BD">
      <w:pPr>
        <w:pStyle w:val="ListBullet"/>
        <w:tabs>
          <w:tab w:val="left" w:pos="2835"/>
        </w:tabs>
      </w:pPr>
      <w:r>
        <w:t>McDonald, Janet</w:t>
      </w:r>
      <w:r>
        <w:tab/>
        <w:t>Livestock producer</w:t>
      </w:r>
    </w:p>
    <w:p w:rsidR="00850349" w:rsidRDefault="00850349" w:rsidP="00F535BD">
      <w:pPr>
        <w:pStyle w:val="ListBullet"/>
        <w:tabs>
          <w:tab w:val="left" w:pos="2835"/>
        </w:tabs>
      </w:pPr>
      <w:r>
        <w:t>McGregor, Cr Carol</w:t>
      </w:r>
      <w:r>
        <w:tab/>
        <w:t>Surf Coast Shire and livestock producer</w:t>
      </w:r>
    </w:p>
    <w:p w:rsidR="00850349" w:rsidRDefault="00850349" w:rsidP="00F535BD">
      <w:pPr>
        <w:pStyle w:val="ListBullet"/>
        <w:tabs>
          <w:tab w:val="left" w:pos="2835"/>
        </w:tabs>
      </w:pPr>
      <w:r>
        <w:t>McKenzie, Melinda</w:t>
      </w:r>
      <w:r>
        <w:tab/>
        <w:t>City of Greater Geelong</w:t>
      </w:r>
    </w:p>
    <w:p w:rsidR="00850349" w:rsidRDefault="00850349" w:rsidP="00F535BD">
      <w:pPr>
        <w:pStyle w:val="ListBullet"/>
        <w:tabs>
          <w:tab w:val="left" w:pos="2835"/>
        </w:tabs>
      </w:pPr>
      <w:r>
        <w:t>McKiterick, Cr Brian</w:t>
      </w:r>
      <w:r>
        <w:tab/>
        <w:t>Surf Coast Shire</w:t>
      </w:r>
    </w:p>
    <w:p w:rsidR="00850349" w:rsidRDefault="00850349" w:rsidP="00F535BD">
      <w:pPr>
        <w:pStyle w:val="ListBullet"/>
        <w:tabs>
          <w:tab w:val="left" w:pos="2835"/>
        </w:tabs>
      </w:pPr>
      <w:r>
        <w:t>Mifsud, Michael</w:t>
      </w:r>
      <w:r>
        <w:tab/>
        <w:t>Farmers Harvest</w:t>
      </w:r>
    </w:p>
    <w:p w:rsidR="00850349" w:rsidRDefault="00850349" w:rsidP="00F535BD">
      <w:pPr>
        <w:pStyle w:val="ListBullet"/>
        <w:tabs>
          <w:tab w:val="left" w:pos="2835"/>
        </w:tabs>
      </w:pPr>
      <w:r>
        <w:t>Moran, Jamie</w:t>
      </w:r>
      <w:r>
        <w:tab/>
        <w:t>Londsdale Tomato Farm</w:t>
      </w:r>
    </w:p>
    <w:p w:rsidR="00850349" w:rsidRDefault="00850349" w:rsidP="00F535BD">
      <w:pPr>
        <w:pStyle w:val="ListBullet"/>
        <w:tabs>
          <w:tab w:val="left" w:pos="2835"/>
        </w:tabs>
      </w:pPr>
      <w:r>
        <w:t>Morgan, Peter</w:t>
      </w:r>
      <w:r>
        <w:tab/>
        <w:t>Barwon Water</w:t>
      </w:r>
    </w:p>
    <w:p w:rsidR="00850349" w:rsidRDefault="00850349" w:rsidP="00F535BD">
      <w:pPr>
        <w:pStyle w:val="ListBullet"/>
        <w:tabs>
          <w:tab w:val="left" w:pos="2835"/>
        </w:tabs>
      </w:pPr>
      <w:r>
        <w:t>Mutsaers, Jeff</w:t>
      </w:r>
      <w:r>
        <w:tab/>
        <w:t>Regional Development Victoria</w:t>
      </w:r>
    </w:p>
    <w:p w:rsidR="00850349" w:rsidRDefault="00850349" w:rsidP="00F535BD">
      <w:pPr>
        <w:pStyle w:val="ListBullet"/>
        <w:tabs>
          <w:tab w:val="left" w:pos="2835"/>
        </w:tabs>
      </w:pPr>
      <w:r>
        <w:t>Nash, Gordon</w:t>
      </w:r>
      <w:r>
        <w:tab/>
        <w:t>Agriculture Victoria</w:t>
      </w:r>
    </w:p>
    <w:p w:rsidR="00850349" w:rsidRDefault="00850349" w:rsidP="00F535BD">
      <w:pPr>
        <w:pStyle w:val="ListBullet"/>
        <w:tabs>
          <w:tab w:val="left" w:pos="2835"/>
        </w:tabs>
      </w:pPr>
      <w:r>
        <w:t>Newman, Nicole</w:t>
      </w:r>
      <w:r>
        <w:tab/>
        <w:t>The Food Purveyor</w:t>
      </w:r>
    </w:p>
    <w:p w:rsidR="00850349" w:rsidRDefault="00850349" w:rsidP="00F535BD">
      <w:pPr>
        <w:pStyle w:val="ListBullet"/>
        <w:tabs>
          <w:tab w:val="left" w:pos="2835"/>
        </w:tabs>
      </w:pPr>
      <w:r>
        <w:t>Nicholls, Rod</w:t>
      </w:r>
      <w:r>
        <w:tab/>
        <w:t>Golden Plains Shire</w:t>
      </w:r>
    </w:p>
    <w:p w:rsidR="00850349" w:rsidRDefault="00850349" w:rsidP="00F535BD">
      <w:pPr>
        <w:pStyle w:val="ListBullet"/>
        <w:tabs>
          <w:tab w:val="left" w:pos="2835"/>
        </w:tabs>
      </w:pPr>
      <w:r>
        <w:t>North, John</w:t>
      </w:r>
      <w:r>
        <w:tab/>
        <w:t>Lifestyle farmer</w:t>
      </w:r>
    </w:p>
    <w:p w:rsidR="00850349" w:rsidRDefault="00850349" w:rsidP="00F535BD">
      <w:pPr>
        <w:pStyle w:val="ListBullet"/>
        <w:tabs>
          <w:tab w:val="left" w:pos="2835"/>
        </w:tabs>
      </w:pPr>
      <w:r>
        <w:t>O’Brien, Peter</w:t>
      </w:r>
      <w:r>
        <w:tab/>
        <w:t>Golden Plains Shire</w:t>
      </w:r>
    </w:p>
    <w:p w:rsidR="00850349" w:rsidRDefault="00850349" w:rsidP="00F535BD">
      <w:pPr>
        <w:pStyle w:val="ListBullet"/>
        <w:tabs>
          <w:tab w:val="left" w:pos="2835"/>
        </w:tabs>
      </w:pPr>
      <w:r>
        <w:t>O’Reilly, Sean</w:t>
      </w:r>
      <w:r>
        <w:tab/>
        <w:t>Incitec Pivot</w:t>
      </w:r>
    </w:p>
    <w:p w:rsidR="00850349" w:rsidRDefault="00850349" w:rsidP="00F535BD">
      <w:pPr>
        <w:pStyle w:val="ListBullet"/>
        <w:tabs>
          <w:tab w:val="left" w:pos="2835"/>
        </w:tabs>
      </w:pPr>
      <w:r>
        <w:t>Peart, David</w:t>
      </w:r>
      <w:r>
        <w:tab/>
        <w:t>Geelong Manufacturing Council</w:t>
      </w:r>
    </w:p>
    <w:p w:rsidR="00850349" w:rsidRDefault="00850349" w:rsidP="00F535BD">
      <w:pPr>
        <w:pStyle w:val="ListBullet"/>
        <w:tabs>
          <w:tab w:val="left" w:pos="2835"/>
        </w:tabs>
      </w:pPr>
      <w:r>
        <w:t>Peel, Ewen</w:t>
      </w:r>
      <w:r>
        <w:tab/>
        <w:t>Mixed farmer</w:t>
      </w:r>
    </w:p>
    <w:p w:rsidR="00850349" w:rsidRDefault="00850349" w:rsidP="00F535BD">
      <w:pPr>
        <w:pStyle w:val="ListBullet"/>
        <w:tabs>
          <w:tab w:val="left" w:pos="2835"/>
        </w:tabs>
      </w:pPr>
      <w:r>
        <w:t>Perryman, Trevor</w:t>
      </w:r>
      <w:r>
        <w:tab/>
        <w:t>Malteurop</w:t>
      </w:r>
    </w:p>
    <w:p w:rsidR="00850349" w:rsidRDefault="00850349" w:rsidP="00F535BD">
      <w:pPr>
        <w:pStyle w:val="ListBullet"/>
        <w:tabs>
          <w:tab w:val="left" w:pos="2835"/>
        </w:tabs>
      </w:pPr>
      <w:r>
        <w:lastRenderedPageBreak/>
        <w:t>Potter, Cr Chris</w:t>
      </w:r>
      <w:r>
        <w:tab/>
        <w:t>Colac Otway Shire</w:t>
      </w:r>
    </w:p>
    <w:p w:rsidR="00850349" w:rsidRDefault="00850349" w:rsidP="00F535BD">
      <w:pPr>
        <w:pStyle w:val="ListBullet"/>
        <w:tabs>
          <w:tab w:val="left" w:pos="2835"/>
        </w:tabs>
      </w:pPr>
      <w:r>
        <w:t>Price, Stewart</w:t>
      </w:r>
      <w:r>
        <w:tab/>
        <w:t>Organic Dairy Farmers of Australia</w:t>
      </w:r>
    </w:p>
    <w:p w:rsidR="00850349" w:rsidRDefault="00850349" w:rsidP="00F535BD">
      <w:pPr>
        <w:pStyle w:val="ListBullet"/>
        <w:tabs>
          <w:tab w:val="left" w:pos="2835"/>
        </w:tabs>
      </w:pPr>
      <w:r>
        <w:t>Renyard, Simone</w:t>
      </w:r>
      <w:r>
        <w:tab/>
        <w:t>Dairyfarmers and Chair of WestVic Dairy</w:t>
      </w:r>
    </w:p>
    <w:p w:rsidR="00850349" w:rsidRDefault="00850349" w:rsidP="00F535BD">
      <w:pPr>
        <w:pStyle w:val="ListBullet"/>
        <w:tabs>
          <w:tab w:val="left" w:pos="2835"/>
        </w:tabs>
      </w:pPr>
      <w:r>
        <w:t>Riches, Graeme</w:t>
      </w:r>
      <w:r>
        <w:tab/>
        <w:t>Colac Otway Shire</w:t>
      </w:r>
    </w:p>
    <w:p w:rsidR="00850349" w:rsidRDefault="00850349" w:rsidP="00F535BD">
      <w:pPr>
        <w:pStyle w:val="ListBullet"/>
        <w:tabs>
          <w:tab w:val="left" w:pos="2835"/>
        </w:tabs>
      </w:pPr>
      <w:r>
        <w:t>Riordan, Jim</w:t>
      </w:r>
      <w:r>
        <w:tab/>
        <w:t>Riordan Grains</w:t>
      </w:r>
    </w:p>
    <w:p w:rsidR="00850349" w:rsidRDefault="00850349" w:rsidP="00F535BD">
      <w:pPr>
        <w:pStyle w:val="ListBullet"/>
        <w:tabs>
          <w:tab w:val="left" w:pos="2835"/>
        </w:tabs>
      </w:pPr>
      <w:r>
        <w:t>Routley, Sam</w:t>
      </w:r>
      <w:r>
        <w:tab/>
        <w:t>Routleys Bakery</w:t>
      </w:r>
    </w:p>
    <w:p w:rsidR="00850349" w:rsidRDefault="00850349" w:rsidP="00F535BD">
      <w:pPr>
        <w:pStyle w:val="ListBullet"/>
        <w:tabs>
          <w:tab w:val="left" w:pos="2835"/>
        </w:tabs>
      </w:pPr>
      <w:r>
        <w:t>Ryan, Anne-Maree</w:t>
      </w:r>
      <w:r>
        <w:tab/>
        <w:t>Geelong Regional Local Learning and Employment Network</w:t>
      </w:r>
    </w:p>
    <w:p w:rsidR="00850349" w:rsidRDefault="00850349" w:rsidP="00F535BD">
      <w:pPr>
        <w:pStyle w:val="ListBullet"/>
        <w:tabs>
          <w:tab w:val="left" w:pos="2835"/>
        </w:tabs>
      </w:pPr>
      <w:r>
        <w:t>Ryan, Daniel</w:t>
      </w:r>
      <w:r>
        <w:tab/>
        <w:t>Livestock producer</w:t>
      </w:r>
    </w:p>
    <w:p w:rsidR="00850349" w:rsidRDefault="00850349" w:rsidP="00F535BD">
      <w:pPr>
        <w:pStyle w:val="ListBullet"/>
        <w:tabs>
          <w:tab w:val="left" w:pos="2835"/>
        </w:tabs>
      </w:pPr>
      <w:r>
        <w:t>Salan, Rance</w:t>
      </w:r>
      <w:r>
        <w:tab/>
        <w:t>Surf Coast Shire</w:t>
      </w:r>
    </w:p>
    <w:p w:rsidR="00850349" w:rsidRDefault="00850349" w:rsidP="00A76B64">
      <w:pPr>
        <w:pStyle w:val="ListBullet"/>
        <w:tabs>
          <w:tab w:val="left" w:pos="2835"/>
        </w:tabs>
      </w:pPr>
      <w:r>
        <w:t>Satkunarajah, Vigi</w:t>
      </w:r>
      <w:r>
        <w:tab/>
        <w:t>Colac Otway Shire</w:t>
      </w:r>
    </w:p>
    <w:p w:rsidR="00850349" w:rsidRDefault="00850349" w:rsidP="00F535BD">
      <w:pPr>
        <w:pStyle w:val="ListBullet"/>
        <w:tabs>
          <w:tab w:val="left" w:pos="2835"/>
        </w:tabs>
      </w:pPr>
      <w:r>
        <w:t>Sharkey, Eric</w:t>
      </w:r>
      <w:r>
        <w:tab/>
        <w:t>Mixed farmer</w:t>
      </w:r>
    </w:p>
    <w:p w:rsidR="00850349" w:rsidRDefault="00850349" w:rsidP="00F535BD">
      <w:pPr>
        <w:pStyle w:val="ListBullet"/>
        <w:tabs>
          <w:tab w:val="left" w:pos="2835"/>
        </w:tabs>
      </w:pPr>
      <w:r>
        <w:t>Sharp, Lindsay</w:t>
      </w:r>
      <w:r>
        <w:tab/>
        <w:t>Leura Park and Jack Rabbit</w:t>
      </w:r>
    </w:p>
    <w:p w:rsidR="00850349" w:rsidRDefault="00850349" w:rsidP="00F535BD">
      <w:pPr>
        <w:pStyle w:val="ListBullet"/>
        <w:tabs>
          <w:tab w:val="left" w:pos="2835"/>
        </w:tabs>
      </w:pPr>
      <w:r>
        <w:t>Shay, Anthony</w:t>
      </w:r>
      <w:r>
        <w:tab/>
        <w:t>Livestock producer</w:t>
      </w:r>
    </w:p>
    <w:p w:rsidR="00850349" w:rsidRDefault="00850349" w:rsidP="00F535BD">
      <w:pPr>
        <w:pStyle w:val="ListBullet"/>
        <w:tabs>
          <w:tab w:val="left" w:pos="2835"/>
        </w:tabs>
      </w:pPr>
      <w:r>
        <w:t>Shelton, Vicki</w:t>
      </w:r>
      <w:r>
        <w:tab/>
        <w:t>City of Greater Geelong</w:t>
      </w:r>
    </w:p>
    <w:p w:rsidR="00850349" w:rsidRDefault="00850349" w:rsidP="00F535BD">
      <w:pPr>
        <w:pStyle w:val="ListBullet"/>
        <w:tabs>
          <w:tab w:val="left" w:pos="2835"/>
        </w:tabs>
      </w:pPr>
      <w:r>
        <w:t>Smith, Cr Chris</w:t>
      </w:r>
      <w:r>
        <w:tab/>
        <w:t>Colac Otway Shire</w:t>
      </w:r>
    </w:p>
    <w:p w:rsidR="00850349" w:rsidRDefault="00850349" w:rsidP="00F535BD">
      <w:pPr>
        <w:pStyle w:val="ListBullet"/>
        <w:tabs>
          <w:tab w:val="left" w:pos="2835"/>
        </w:tabs>
      </w:pPr>
      <w:r>
        <w:t>Smith, Dale</w:t>
      </w:r>
      <w:r>
        <w:tab/>
        <w:t>Australian Lamb Company</w:t>
      </w:r>
    </w:p>
    <w:p w:rsidR="00850349" w:rsidRDefault="00850349" w:rsidP="00F535BD">
      <w:pPr>
        <w:pStyle w:val="ListBullet"/>
        <w:tabs>
          <w:tab w:val="left" w:pos="2835"/>
        </w:tabs>
      </w:pPr>
      <w:r>
        <w:t>Smith, Gareth</w:t>
      </w:r>
      <w:r>
        <w:tab/>
        <w:t>Colac Otway Shire</w:t>
      </w:r>
    </w:p>
    <w:p w:rsidR="00850349" w:rsidRDefault="00850349" w:rsidP="00F535BD">
      <w:pPr>
        <w:pStyle w:val="ListBullet"/>
        <w:tabs>
          <w:tab w:val="left" w:pos="2835"/>
        </w:tabs>
      </w:pPr>
      <w:r>
        <w:t>Street, Wayne</w:t>
      </w:r>
      <w:r>
        <w:tab/>
        <w:t>Geelong Food Cluster</w:t>
      </w:r>
    </w:p>
    <w:p w:rsidR="00850349" w:rsidRDefault="00850349" w:rsidP="00F535BD">
      <w:pPr>
        <w:pStyle w:val="ListBullet"/>
        <w:tabs>
          <w:tab w:val="left" w:pos="2835"/>
        </w:tabs>
      </w:pPr>
      <w:r>
        <w:t>Taylor, Matt</w:t>
      </w:r>
      <w:r>
        <w:tab/>
        <w:t>Surf Coast Shire</w:t>
      </w:r>
    </w:p>
    <w:p w:rsidR="00850349" w:rsidRDefault="00850349" w:rsidP="00F535BD">
      <w:pPr>
        <w:pStyle w:val="ListBullet"/>
        <w:tabs>
          <w:tab w:val="left" w:pos="2835"/>
        </w:tabs>
      </w:pPr>
      <w:r>
        <w:t>Thierry, David</w:t>
      </w:r>
      <w:r>
        <w:tab/>
        <w:t>Geelong Citrus Packers</w:t>
      </w:r>
    </w:p>
    <w:p w:rsidR="00850349" w:rsidRDefault="00850349" w:rsidP="00F535BD">
      <w:pPr>
        <w:pStyle w:val="ListBullet"/>
        <w:tabs>
          <w:tab w:val="left" w:pos="2835"/>
        </w:tabs>
      </w:pPr>
      <w:r>
        <w:t>Trethowan, Adam</w:t>
      </w:r>
      <w:r>
        <w:tab/>
        <w:t>Adelia Fine Foods</w:t>
      </w:r>
    </w:p>
    <w:p w:rsidR="00850349" w:rsidRDefault="00850349" w:rsidP="00F535BD">
      <w:pPr>
        <w:pStyle w:val="ListBullet"/>
        <w:tabs>
          <w:tab w:val="left" w:pos="2835"/>
        </w:tabs>
      </w:pPr>
      <w:r>
        <w:t>Trethowan, Amelia</w:t>
      </w:r>
      <w:r>
        <w:tab/>
        <w:t>Adelia Fine Foods</w:t>
      </w:r>
    </w:p>
    <w:p w:rsidR="00850349" w:rsidRDefault="00850349" w:rsidP="00F535BD">
      <w:pPr>
        <w:pStyle w:val="ListBullet"/>
        <w:tabs>
          <w:tab w:val="left" w:pos="2835"/>
        </w:tabs>
      </w:pPr>
      <w:r>
        <w:t>Tsoumanis, Kon</w:t>
      </w:r>
      <w:r>
        <w:tab/>
        <w:t>Barwon Foods</w:t>
      </w:r>
    </w:p>
    <w:p w:rsidR="00850349" w:rsidRDefault="00850349" w:rsidP="00F535BD">
      <w:pPr>
        <w:pStyle w:val="ListBullet"/>
        <w:tabs>
          <w:tab w:val="left" w:pos="2835"/>
        </w:tabs>
      </w:pPr>
      <w:r>
        <w:t>Turner, Chris</w:t>
      </w:r>
      <w:r>
        <w:tab/>
        <w:t>Turi Foods</w:t>
      </w:r>
    </w:p>
    <w:p w:rsidR="00850349" w:rsidRDefault="00850349" w:rsidP="00F535BD">
      <w:pPr>
        <w:pStyle w:val="ListBullet"/>
        <w:tabs>
          <w:tab w:val="left" w:pos="2835"/>
        </w:tabs>
      </w:pPr>
      <w:r>
        <w:t>Van Oirschot, Megan</w:t>
      </w:r>
      <w:r>
        <w:tab/>
        <w:t>Freckleberry</w:t>
      </w:r>
    </w:p>
    <w:p w:rsidR="00850349" w:rsidRDefault="00850349" w:rsidP="00F535BD">
      <w:pPr>
        <w:pStyle w:val="ListBullet"/>
        <w:tabs>
          <w:tab w:val="left" w:pos="2835"/>
        </w:tabs>
      </w:pPr>
      <w:r>
        <w:t>Vicary, Shane</w:t>
      </w:r>
      <w:r>
        <w:tab/>
        <w:t>AKD Softwoods</w:t>
      </w:r>
    </w:p>
    <w:p w:rsidR="007D1C85" w:rsidRDefault="007D1C85" w:rsidP="00F535BD">
      <w:pPr>
        <w:pStyle w:val="ListBullet"/>
        <w:tabs>
          <w:tab w:val="left" w:pos="2835"/>
        </w:tabs>
      </w:pPr>
      <w:r>
        <w:t>Walker, Dr Jude</w:t>
      </w:r>
      <w:r>
        <w:tab/>
        <w:t>Geelong Regional Local Learning and Employment Network</w:t>
      </w:r>
    </w:p>
    <w:p w:rsidR="00850349" w:rsidRDefault="00850349" w:rsidP="00F535BD">
      <w:pPr>
        <w:pStyle w:val="ListBullet"/>
        <w:tabs>
          <w:tab w:val="left" w:pos="2835"/>
        </w:tabs>
      </w:pPr>
      <w:r>
        <w:t>Waller, Tim</w:t>
      </w:r>
      <w:r>
        <w:tab/>
        <w:t>Golden Plains Shire</w:t>
      </w:r>
    </w:p>
    <w:p w:rsidR="00850349" w:rsidRDefault="00850349" w:rsidP="00F535BD">
      <w:pPr>
        <w:pStyle w:val="ListBullet"/>
        <w:tabs>
          <w:tab w:val="left" w:pos="2835"/>
        </w:tabs>
      </w:pPr>
      <w:r>
        <w:t>Warrener, Garry</w:t>
      </w:r>
      <w:r>
        <w:tab/>
        <w:t>Colac Otway Shire</w:t>
      </w:r>
    </w:p>
    <w:p w:rsidR="00850349" w:rsidRDefault="00850349" w:rsidP="00F535BD">
      <w:pPr>
        <w:pStyle w:val="ListBullet"/>
        <w:tabs>
          <w:tab w:val="left" w:pos="2835"/>
        </w:tabs>
      </w:pPr>
      <w:r>
        <w:t>Wellington, Cr Heather</w:t>
      </w:r>
      <w:r>
        <w:tab/>
        <w:t>Surf Coast Shire</w:t>
      </w:r>
    </w:p>
    <w:p w:rsidR="00850349" w:rsidRDefault="00850349" w:rsidP="00F535BD">
      <w:pPr>
        <w:pStyle w:val="ListBullet"/>
        <w:tabs>
          <w:tab w:val="left" w:pos="2835"/>
        </w:tabs>
      </w:pPr>
      <w:r>
        <w:t>Whinney, Paul</w:t>
      </w:r>
      <w:r>
        <w:tab/>
        <w:t>Livestock producer</w:t>
      </w:r>
    </w:p>
    <w:p w:rsidR="00850349" w:rsidRDefault="00850349" w:rsidP="00F535BD">
      <w:pPr>
        <w:pStyle w:val="ListBullet"/>
        <w:tabs>
          <w:tab w:val="left" w:pos="2835"/>
        </w:tabs>
      </w:pPr>
      <w:r>
        <w:t>White, Dennis</w:t>
      </w:r>
      <w:r>
        <w:tab/>
        <w:t>White Fisheries</w:t>
      </w:r>
    </w:p>
    <w:p w:rsidR="00850349" w:rsidRDefault="00850349" w:rsidP="00F535BD">
      <w:pPr>
        <w:pStyle w:val="ListBullet"/>
        <w:tabs>
          <w:tab w:val="left" w:pos="2835"/>
        </w:tabs>
      </w:pPr>
      <w:r>
        <w:t>Wilding, Anna</w:t>
      </w:r>
      <w:r>
        <w:tab/>
        <w:t>Wildings Pantry Essentials</w:t>
      </w:r>
    </w:p>
    <w:p w:rsidR="00850349" w:rsidRDefault="00850349" w:rsidP="00F535BD">
      <w:pPr>
        <w:pStyle w:val="ListBullet"/>
        <w:tabs>
          <w:tab w:val="left" w:pos="2835"/>
        </w:tabs>
      </w:pPr>
      <w:r>
        <w:t>Wilkinson, Sue</w:t>
      </w:r>
      <w:r>
        <w:tab/>
        <w:t>Colac Otway Shire</w:t>
      </w:r>
    </w:p>
    <w:p w:rsidR="00850349" w:rsidRDefault="00850349" w:rsidP="00F535BD">
      <w:pPr>
        <w:pStyle w:val="ListBullet"/>
        <w:tabs>
          <w:tab w:val="left" w:pos="2835"/>
        </w:tabs>
      </w:pPr>
      <w:r>
        <w:t>Winter, Bill</w:t>
      </w:r>
      <w:r>
        <w:tab/>
        <w:t>G21 Agribusiness Forum</w:t>
      </w:r>
    </w:p>
    <w:p w:rsidR="00577BFA" w:rsidRDefault="00577BFA" w:rsidP="00B95E6A">
      <w:pPr>
        <w:pStyle w:val="ListBullet"/>
        <w:numPr>
          <w:ilvl w:val="0"/>
          <w:numId w:val="0"/>
        </w:numPr>
      </w:pPr>
    </w:p>
    <w:sectPr w:rsidR="00577BFA" w:rsidSect="00F13881">
      <w:headerReference w:type="default" r:id="rId44"/>
      <w:footnotePr>
        <w:numRestart w:val="eachSect"/>
      </w:footnotePr>
      <w:pgSz w:w="11906" w:h="16838" w:code="9"/>
      <w:pgMar w:top="1383" w:right="1274" w:bottom="1247" w:left="1276" w:header="510" w:footer="284" w:gutter="0"/>
      <w:cols w:space="22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77B" w:rsidRDefault="00F6177B" w:rsidP="009C30DB">
      <w:r>
        <w:separator/>
      </w:r>
    </w:p>
  </w:endnote>
  <w:endnote w:type="continuationSeparator" w:id="0">
    <w:p w:rsidR="00F6177B" w:rsidRDefault="00F6177B" w:rsidP="009C3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CE6" w:rsidRPr="00C55D40" w:rsidRDefault="00912CE6" w:rsidP="00C55D40">
    <w:pPr>
      <w:pStyle w:val="Footer"/>
    </w:pPr>
    <w:r w:rsidRPr="00C55D40">
      <w:rPr>
        <w:b/>
        <w:color w:val="auto"/>
      </w:rPr>
      <w:t>RMCG</w:t>
    </w:r>
    <w:r w:rsidRPr="00C55D40">
      <w:t xml:space="preserve"> </w:t>
    </w:r>
    <w:r w:rsidRPr="00C55D40">
      <w:tab/>
      <w:t>Environment | Water | Agriculture | Policy | Economics | Communities</w:t>
    </w:r>
  </w:p>
  <w:tbl>
    <w:tblPr>
      <w:tblpPr w:vertAnchor="page" w:horzAnchor="page" w:tblpX="9980" w:tblpYSpec="bottom"/>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34"/>
    </w:tblGrid>
    <w:tr w:rsidR="00912CE6" w:rsidRPr="00FD1534" w:rsidTr="00FD1534">
      <w:trPr>
        <w:trHeight w:val="595"/>
      </w:trPr>
      <w:tc>
        <w:tcPr>
          <w:tcW w:w="1134" w:type="dxa"/>
          <w:shd w:val="clear" w:color="auto" w:fill="auto"/>
          <w:vAlign w:val="center"/>
        </w:tcPr>
        <w:p w:rsidR="00912CE6" w:rsidRPr="00FD1534" w:rsidRDefault="00912CE6" w:rsidP="00FD1534">
          <w:pPr>
            <w:pStyle w:val="Footer"/>
            <w:tabs>
              <w:tab w:val="right" w:pos="5670"/>
            </w:tabs>
            <w:jc w:val="right"/>
            <w:rPr>
              <w:rStyle w:val="Bold"/>
              <w:b w:val="0"/>
              <w:color w:val="auto"/>
            </w:rPr>
          </w:pPr>
          <w:r w:rsidRPr="00FD1534">
            <w:rPr>
              <w:rStyle w:val="Bold"/>
              <w:b w:val="0"/>
              <w:color w:val="auto"/>
            </w:rPr>
            <w:t xml:space="preserve">Page </w:t>
          </w:r>
          <w:r w:rsidRPr="00FD1534">
            <w:rPr>
              <w:rStyle w:val="Bold"/>
              <w:b w:val="0"/>
              <w:color w:val="auto"/>
            </w:rPr>
            <w:fldChar w:fldCharType="begin"/>
          </w:r>
          <w:r w:rsidRPr="00FD1534">
            <w:rPr>
              <w:rStyle w:val="Bold"/>
              <w:b w:val="0"/>
              <w:color w:val="auto"/>
            </w:rPr>
            <w:instrText xml:space="preserve"> PAGE  \* Arabic  \* MERGEFORMAT </w:instrText>
          </w:r>
          <w:r w:rsidRPr="00FD1534">
            <w:rPr>
              <w:rStyle w:val="Bold"/>
              <w:b w:val="0"/>
              <w:color w:val="auto"/>
            </w:rPr>
            <w:fldChar w:fldCharType="separate"/>
          </w:r>
          <w:r w:rsidRPr="00FD1534">
            <w:rPr>
              <w:rStyle w:val="Bold"/>
              <w:b w:val="0"/>
              <w:noProof/>
              <w:color w:val="auto"/>
            </w:rPr>
            <w:t>2</w:t>
          </w:r>
          <w:r w:rsidRPr="00FD1534">
            <w:rPr>
              <w:rStyle w:val="Bold"/>
              <w:b w:val="0"/>
              <w:color w:val="auto"/>
            </w:rPr>
            <w:fldChar w:fldCharType="end"/>
          </w:r>
        </w:p>
      </w:tc>
    </w:tr>
  </w:tbl>
  <w:p w:rsidR="00912CE6" w:rsidRPr="00C55D40" w:rsidRDefault="00912CE6" w:rsidP="00366071">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CE6" w:rsidRPr="00C55D40" w:rsidRDefault="00912CE6" w:rsidP="00A02BA0">
    <w:pPr>
      <w:pStyle w:val="Footer"/>
    </w:pPr>
    <w:r>
      <w:rPr>
        <w:lang w:val="en-US"/>
      </w:rPr>
      <w:fldChar w:fldCharType="begin"/>
    </w:r>
    <w:r>
      <w:rPr>
        <w:lang w:val="en-US"/>
      </w:rPr>
      <w:instrText xml:space="preserve"> FILENAME \p </w:instrText>
    </w:r>
    <w:r>
      <w:rPr>
        <w:lang w:val="en-US"/>
      </w:rPr>
      <w:fldChar w:fldCharType="separate"/>
    </w:r>
    <w:r>
      <w:rPr>
        <w:noProof/>
        <w:lang w:val="en-US"/>
      </w:rPr>
      <w:t>/Users/adriank/Desktop/CLIENT FILES/33-C-06 COCG Agribusiness Strategy/STRATEGIC FRAMEWORK/G21 Agribusiness Strategy - Strategic Framework V05.docx</w:t>
    </w:r>
    <w:r>
      <w:rPr>
        <w:lang w:val="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CE6" w:rsidRDefault="00912CE6" w:rsidP="00FD1534">
    <w:pPr>
      <w:pStyle w:val="Footer"/>
      <w:pBdr>
        <w:top w:val="single" w:sz="4" w:space="1" w:color="7F7F7F"/>
      </w:pBdr>
      <w:tabs>
        <w:tab w:val="clear" w:pos="567"/>
        <w:tab w:val="right" w:pos="9356"/>
      </w:tabs>
      <w:spacing w:before="0" w:after="0"/>
      <w:jc w:val="right"/>
      <w:rPr>
        <w:b/>
        <w:color w:val="auto"/>
      </w:rPr>
    </w:pPr>
  </w:p>
  <w:p w:rsidR="00912CE6" w:rsidRDefault="00912CE6" w:rsidP="00A7196C">
    <w:pPr>
      <w:pStyle w:val="Footer"/>
      <w:tabs>
        <w:tab w:val="clear" w:pos="567"/>
        <w:tab w:val="right" w:pos="9356"/>
      </w:tabs>
      <w:spacing w:before="0" w:after="0"/>
      <w:jc w:val="left"/>
      <w:rPr>
        <w:rFonts w:cs="Arial"/>
        <w:color w:val="auto"/>
      </w:rPr>
    </w:pPr>
    <w:r w:rsidRPr="00C55D40">
      <w:rPr>
        <w:b/>
        <w:color w:val="auto"/>
      </w:rPr>
      <w:t>RMCG</w:t>
    </w:r>
    <w:r>
      <w:rPr>
        <w:b/>
        <w:color w:val="auto"/>
      </w:rPr>
      <w:t xml:space="preserve"> &amp; Dench McLean Carlson</w:t>
    </w:r>
    <w:r>
      <w:t xml:space="preserve"> </w:t>
    </w:r>
  </w:p>
  <w:p w:rsidR="00912CE6" w:rsidRPr="00C55D40" w:rsidRDefault="00912CE6" w:rsidP="00CF47BA">
    <w:pPr>
      <w:pStyle w:val="Footer"/>
      <w:tabs>
        <w:tab w:val="clear" w:pos="567"/>
        <w:tab w:val="right" w:pos="9356"/>
      </w:tabs>
      <w:spacing w:before="0" w:after="0"/>
      <w:jc w:val="right"/>
    </w:pPr>
    <w:r>
      <w:rPr>
        <w:rFonts w:cs="Arial"/>
        <w:color w:val="auto"/>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CE6" w:rsidRDefault="00912CE6" w:rsidP="00FD1534">
    <w:pPr>
      <w:pStyle w:val="Footer"/>
      <w:pBdr>
        <w:top w:val="single" w:sz="4" w:space="1" w:color="7F7F7F"/>
      </w:pBdr>
      <w:tabs>
        <w:tab w:val="clear" w:pos="567"/>
        <w:tab w:val="right" w:pos="9356"/>
      </w:tabs>
      <w:spacing w:before="0" w:after="0"/>
      <w:jc w:val="right"/>
      <w:rPr>
        <w:b/>
        <w:color w:val="auto"/>
      </w:rPr>
    </w:pPr>
  </w:p>
  <w:p w:rsidR="00912CE6" w:rsidRDefault="00912CE6" w:rsidP="004A263F">
    <w:pPr>
      <w:pStyle w:val="Footer"/>
      <w:tabs>
        <w:tab w:val="clear" w:pos="567"/>
        <w:tab w:val="right" w:pos="14175"/>
      </w:tabs>
      <w:spacing w:before="0" w:after="0"/>
      <w:rPr>
        <w:rStyle w:val="PageNumber"/>
        <w:rFonts w:cs="Arial"/>
        <w:color w:val="auto"/>
      </w:rPr>
    </w:pPr>
    <w:r w:rsidRPr="00C55D40">
      <w:rPr>
        <w:b/>
        <w:color w:val="auto"/>
      </w:rPr>
      <w:t>RMCG</w:t>
    </w:r>
    <w:r>
      <w:rPr>
        <w:b/>
        <w:color w:val="auto"/>
      </w:rPr>
      <w:t xml:space="preserve"> &amp; Dench McLean Carlson</w:t>
    </w:r>
    <w:r>
      <w:rPr>
        <w:rFonts w:cs="Arial"/>
        <w:color w:val="auto"/>
      </w:rPr>
      <w:tab/>
    </w:r>
    <w:r w:rsidRPr="008C486B">
      <w:rPr>
        <w:rFonts w:cs="Arial"/>
        <w:color w:val="auto"/>
      </w:rPr>
      <w:t xml:space="preserve">Page </w:t>
    </w:r>
    <w:r w:rsidRPr="008C486B">
      <w:rPr>
        <w:rStyle w:val="PageNumber"/>
        <w:rFonts w:cs="Arial"/>
        <w:color w:val="auto"/>
      </w:rPr>
      <w:fldChar w:fldCharType="begin"/>
    </w:r>
    <w:r w:rsidRPr="008C486B">
      <w:rPr>
        <w:rStyle w:val="PageNumber"/>
        <w:rFonts w:cs="Arial"/>
        <w:color w:val="auto"/>
      </w:rPr>
      <w:instrText xml:space="preserve"> PAGE </w:instrText>
    </w:r>
    <w:r w:rsidRPr="008C486B">
      <w:rPr>
        <w:rStyle w:val="PageNumber"/>
        <w:rFonts w:cs="Arial"/>
        <w:color w:val="auto"/>
      </w:rPr>
      <w:fldChar w:fldCharType="separate"/>
    </w:r>
    <w:r w:rsidR="009B0A44">
      <w:rPr>
        <w:rStyle w:val="PageNumber"/>
        <w:rFonts w:cs="Arial"/>
        <w:noProof/>
        <w:color w:val="auto"/>
      </w:rPr>
      <w:t>1</w:t>
    </w:r>
    <w:r w:rsidRPr="008C486B">
      <w:rPr>
        <w:rStyle w:val="PageNumber"/>
        <w:rFonts w:cs="Arial"/>
        <w:color w:val="auto"/>
      </w:rPr>
      <w:fldChar w:fldCharType="end"/>
    </w:r>
  </w:p>
  <w:p w:rsidR="00912CE6" w:rsidRPr="00C55D40" w:rsidRDefault="00912CE6" w:rsidP="00CF47BA">
    <w:pPr>
      <w:pStyle w:val="Footer"/>
      <w:tabs>
        <w:tab w:val="clear" w:pos="567"/>
        <w:tab w:val="right" w:pos="9356"/>
      </w:tabs>
      <w:spacing w:before="0" w:after="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CE6" w:rsidRDefault="00912CE6" w:rsidP="00FD1534">
    <w:pPr>
      <w:pStyle w:val="Footer"/>
      <w:pBdr>
        <w:top w:val="single" w:sz="4" w:space="1" w:color="7F7F7F"/>
      </w:pBdr>
      <w:tabs>
        <w:tab w:val="clear" w:pos="567"/>
        <w:tab w:val="right" w:pos="9356"/>
      </w:tabs>
      <w:spacing w:before="0" w:after="0"/>
      <w:jc w:val="right"/>
      <w:rPr>
        <w:b/>
        <w:color w:val="auto"/>
      </w:rPr>
    </w:pPr>
  </w:p>
  <w:p w:rsidR="00912CE6" w:rsidRDefault="00912CE6" w:rsidP="004002AB">
    <w:pPr>
      <w:pStyle w:val="Footer"/>
      <w:tabs>
        <w:tab w:val="clear" w:pos="567"/>
        <w:tab w:val="right" w:pos="14175"/>
      </w:tabs>
      <w:spacing w:before="0" w:after="0"/>
      <w:rPr>
        <w:rStyle w:val="PageNumber"/>
        <w:rFonts w:cs="Arial"/>
        <w:color w:val="auto"/>
      </w:rPr>
    </w:pPr>
    <w:r w:rsidRPr="00C55D40">
      <w:rPr>
        <w:b/>
        <w:color w:val="auto"/>
      </w:rPr>
      <w:t>RMCG</w:t>
    </w:r>
    <w:r>
      <w:rPr>
        <w:b/>
        <w:color w:val="auto"/>
      </w:rPr>
      <w:t xml:space="preserve"> &amp; Dench McLean Carlson</w:t>
    </w:r>
    <w:r>
      <w:rPr>
        <w:rFonts w:cs="Arial"/>
        <w:color w:val="auto"/>
      </w:rPr>
      <w:tab/>
    </w:r>
    <w:r w:rsidRPr="008C486B">
      <w:rPr>
        <w:rFonts w:cs="Arial"/>
        <w:color w:val="auto"/>
      </w:rPr>
      <w:t xml:space="preserve">Page </w:t>
    </w:r>
    <w:r w:rsidRPr="008C486B">
      <w:rPr>
        <w:rStyle w:val="PageNumber"/>
        <w:rFonts w:cs="Arial"/>
        <w:color w:val="auto"/>
      </w:rPr>
      <w:fldChar w:fldCharType="begin"/>
    </w:r>
    <w:r w:rsidRPr="008C486B">
      <w:rPr>
        <w:rStyle w:val="PageNumber"/>
        <w:rFonts w:cs="Arial"/>
        <w:color w:val="auto"/>
      </w:rPr>
      <w:instrText xml:space="preserve"> PAGE </w:instrText>
    </w:r>
    <w:r w:rsidRPr="008C486B">
      <w:rPr>
        <w:rStyle w:val="PageNumber"/>
        <w:rFonts w:cs="Arial"/>
        <w:color w:val="auto"/>
      </w:rPr>
      <w:fldChar w:fldCharType="separate"/>
    </w:r>
    <w:r w:rsidR="009B0A44">
      <w:rPr>
        <w:rStyle w:val="PageNumber"/>
        <w:rFonts w:cs="Arial"/>
        <w:noProof/>
        <w:color w:val="auto"/>
      </w:rPr>
      <w:t>2</w:t>
    </w:r>
    <w:r w:rsidRPr="008C486B">
      <w:rPr>
        <w:rStyle w:val="PageNumber"/>
        <w:rFonts w:cs="Arial"/>
        <w:color w:val="auto"/>
      </w:rPr>
      <w:fldChar w:fldCharType="end"/>
    </w:r>
  </w:p>
  <w:p w:rsidR="00912CE6" w:rsidRPr="00C55D40" w:rsidRDefault="00912CE6" w:rsidP="00CF47BA">
    <w:pPr>
      <w:pStyle w:val="Footer"/>
      <w:tabs>
        <w:tab w:val="clear" w:pos="567"/>
        <w:tab w:val="right" w:pos="9356"/>
      </w:tabs>
      <w:spacing w:before="0" w:after="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CE6" w:rsidRDefault="00912CE6" w:rsidP="00FD1534">
    <w:pPr>
      <w:pStyle w:val="Footer"/>
      <w:pBdr>
        <w:top w:val="single" w:sz="4" w:space="1" w:color="7F7F7F"/>
      </w:pBdr>
      <w:tabs>
        <w:tab w:val="clear" w:pos="567"/>
        <w:tab w:val="right" w:pos="9356"/>
      </w:tabs>
      <w:spacing w:before="0" w:after="0"/>
      <w:jc w:val="right"/>
      <w:rPr>
        <w:b/>
        <w:color w:val="auto"/>
      </w:rPr>
    </w:pPr>
  </w:p>
  <w:p w:rsidR="00912CE6" w:rsidRDefault="00912CE6" w:rsidP="004002AB">
    <w:pPr>
      <w:pStyle w:val="Footer"/>
      <w:tabs>
        <w:tab w:val="clear" w:pos="567"/>
        <w:tab w:val="right" w:pos="14175"/>
      </w:tabs>
      <w:spacing w:before="0" w:after="0"/>
      <w:rPr>
        <w:rStyle w:val="PageNumber"/>
        <w:rFonts w:cs="Arial"/>
        <w:color w:val="auto"/>
      </w:rPr>
    </w:pPr>
    <w:r w:rsidRPr="00C55D40">
      <w:rPr>
        <w:b/>
        <w:color w:val="auto"/>
      </w:rPr>
      <w:t>RMCG</w:t>
    </w:r>
    <w:r>
      <w:rPr>
        <w:b/>
        <w:color w:val="auto"/>
      </w:rPr>
      <w:t xml:space="preserve"> &amp; Dench McLean Carlson</w:t>
    </w:r>
    <w:r>
      <w:rPr>
        <w:rFonts w:cs="Arial"/>
        <w:color w:val="auto"/>
      </w:rPr>
      <w:tab/>
    </w:r>
    <w:r w:rsidRPr="008C486B">
      <w:rPr>
        <w:rFonts w:cs="Arial"/>
        <w:color w:val="auto"/>
      </w:rPr>
      <w:t xml:space="preserve">Page </w:t>
    </w:r>
    <w:r w:rsidRPr="008C486B">
      <w:rPr>
        <w:rStyle w:val="PageNumber"/>
        <w:rFonts w:cs="Arial"/>
        <w:color w:val="auto"/>
      </w:rPr>
      <w:fldChar w:fldCharType="begin"/>
    </w:r>
    <w:r w:rsidRPr="008C486B">
      <w:rPr>
        <w:rStyle w:val="PageNumber"/>
        <w:rFonts w:cs="Arial"/>
        <w:color w:val="auto"/>
      </w:rPr>
      <w:instrText xml:space="preserve"> PAGE </w:instrText>
    </w:r>
    <w:r w:rsidRPr="008C486B">
      <w:rPr>
        <w:rStyle w:val="PageNumber"/>
        <w:rFonts w:cs="Arial"/>
        <w:color w:val="auto"/>
      </w:rPr>
      <w:fldChar w:fldCharType="separate"/>
    </w:r>
    <w:r w:rsidR="008F7D10">
      <w:rPr>
        <w:rStyle w:val="PageNumber"/>
        <w:rFonts w:cs="Arial"/>
        <w:noProof/>
        <w:color w:val="auto"/>
      </w:rPr>
      <w:t>8</w:t>
    </w:r>
    <w:r w:rsidRPr="008C486B">
      <w:rPr>
        <w:rStyle w:val="PageNumber"/>
        <w:rFonts w:cs="Arial"/>
        <w:color w:val="auto"/>
      </w:rPr>
      <w:fldChar w:fldCharType="end"/>
    </w:r>
  </w:p>
  <w:p w:rsidR="00912CE6" w:rsidRPr="00C55D40" w:rsidRDefault="00912CE6" w:rsidP="00CF47BA">
    <w:pPr>
      <w:pStyle w:val="Footer"/>
      <w:tabs>
        <w:tab w:val="clear" w:pos="567"/>
        <w:tab w:val="right" w:pos="9356"/>
      </w:tabs>
      <w:spacing w:before="0" w:after="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77B" w:rsidRDefault="00F6177B" w:rsidP="009C30DB">
      <w:r>
        <w:separator/>
      </w:r>
    </w:p>
  </w:footnote>
  <w:footnote w:type="continuationSeparator" w:id="0">
    <w:p w:rsidR="00F6177B" w:rsidRDefault="00F6177B" w:rsidP="009C30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CE6" w:rsidRDefault="009B0A44" w:rsidP="007A60CB">
    <w:pPr>
      <w:pStyle w:val="HeaderFirstPage"/>
      <w:spacing w:after="0"/>
    </w:pPr>
    <w:r>
      <w:rPr>
        <w:noProof/>
        <w:lang w:eastAsia="en-AU"/>
      </w:rPr>
      <w:drawing>
        <wp:anchor distT="0" distB="0" distL="114300" distR="114300" simplePos="0" relativeHeight="251658752" behindDoc="0" locked="0" layoutInCell="1" allowOverlap="1">
          <wp:simplePos x="0" y="0"/>
          <wp:positionH relativeFrom="page">
            <wp:posOffset>-181610</wp:posOffset>
          </wp:positionH>
          <wp:positionV relativeFrom="page">
            <wp:posOffset>1946275</wp:posOffset>
          </wp:positionV>
          <wp:extent cx="7749540" cy="4571365"/>
          <wp:effectExtent l="0" t="0" r="381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9540" cy="4571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7728" behindDoc="0" locked="0" layoutInCell="1" allowOverlap="1">
          <wp:simplePos x="0" y="0"/>
          <wp:positionH relativeFrom="column">
            <wp:posOffset>26670</wp:posOffset>
          </wp:positionH>
          <wp:positionV relativeFrom="paragraph">
            <wp:posOffset>254635</wp:posOffset>
          </wp:positionV>
          <wp:extent cx="3049905" cy="470535"/>
          <wp:effectExtent l="0" t="0" r="0" b="5715"/>
          <wp:wrapNone/>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4990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6704" behindDoc="1" locked="0" layoutInCell="1" allowOverlap="1">
          <wp:simplePos x="0" y="0"/>
          <wp:positionH relativeFrom="page">
            <wp:posOffset>5266690</wp:posOffset>
          </wp:positionH>
          <wp:positionV relativeFrom="page">
            <wp:posOffset>573405</wp:posOffset>
          </wp:positionV>
          <wp:extent cx="1645920" cy="46228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45920" cy="4622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CE6" w:rsidRDefault="00912CE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CE6" w:rsidRDefault="00912CE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CE6" w:rsidRDefault="008F7D10" w:rsidP="00A71BC4">
    <w:pPr>
      <w:pStyle w:val="Header"/>
      <w:tabs>
        <w:tab w:val="clear" w:pos="9026"/>
        <w:tab w:val="right" w:pos="9356"/>
      </w:tabs>
      <w:spacing w:before="0" w:after="0"/>
      <w:ind w:right="0"/>
    </w:pPr>
    <w:r>
      <w:t>FINAL</w:t>
    </w:r>
  </w:p>
  <w:p w:rsidR="00912CE6" w:rsidRDefault="00912CE6" w:rsidP="00A71BC4">
    <w:pPr>
      <w:pStyle w:val="Header"/>
      <w:tabs>
        <w:tab w:val="clear" w:pos="9026"/>
        <w:tab w:val="right" w:pos="9356"/>
      </w:tabs>
      <w:spacing w:before="0" w:after="0"/>
      <w:ind w:right="0"/>
    </w:pPr>
    <w:r>
      <w:t>Sustainable Agribusiness Strategy for the G21 Region, 2017 – 2022</w:t>
    </w:r>
  </w:p>
  <w:p w:rsidR="00912CE6" w:rsidRPr="00A02BA0" w:rsidRDefault="00912CE6" w:rsidP="00A71BC4">
    <w:pPr>
      <w:pStyle w:val="Header"/>
      <w:pBdr>
        <w:bottom w:val="single" w:sz="8" w:space="1" w:color="213144"/>
      </w:pBdr>
      <w:tabs>
        <w:tab w:val="clear" w:pos="9026"/>
        <w:tab w:val="right" w:pos="9356"/>
      </w:tabs>
      <w:spacing w:before="0" w:after="0" w:line="288" w:lineRule="auto"/>
      <w:ind w:right="0"/>
      <w:rPr>
        <w:b w:val="0"/>
        <w:color w:val="008C44"/>
        <w:sz w:val="4"/>
        <w:szCs w:val="4"/>
      </w:rPr>
    </w:pPr>
  </w:p>
  <w:p w:rsidR="00912CE6" w:rsidRDefault="00912CE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CE6" w:rsidRDefault="008F7D10" w:rsidP="00A71BC4">
    <w:pPr>
      <w:pStyle w:val="Header"/>
      <w:tabs>
        <w:tab w:val="clear" w:pos="9026"/>
        <w:tab w:val="right" w:pos="9356"/>
      </w:tabs>
      <w:spacing w:before="0" w:after="0"/>
      <w:ind w:right="0"/>
    </w:pPr>
    <w:r>
      <w:t>FINAL</w:t>
    </w:r>
  </w:p>
  <w:p w:rsidR="00912CE6" w:rsidRDefault="00912CE6" w:rsidP="00A71BC4">
    <w:pPr>
      <w:pStyle w:val="Header"/>
      <w:tabs>
        <w:tab w:val="clear" w:pos="9026"/>
        <w:tab w:val="right" w:pos="9356"/>
      </w:tabs>
      <w:spacing w:before="0" w:after="0"/>
      <w:ind w:right="0"/>
    </w:pPr>
    <w:r>
      <w:t>Sustainable Agribusiness Strategy for the G21 Region, 2017 – 2022</w:t>
    </w:r>
  </w:p>
  <w:p w:rsidR="00912CE6" w:rsidRPr="00A02BA0" w:rsidRDefault="00912CE6" w:rsidP="00A71BC4">
    <w:pPr>
      <w:pStyle w:val="Header"/>
      <w:pBdr>
        <w:bottom w:val="single" w:sz="8" w:space="1" w:color="213144"/>
      </w:pBdr>
      <w:tabs>
        <w:tab w:val="clear" w:pos="9026"/>
        <w:tab w:val="right" w:pos="9356"/>
      </w:tabs>
      <w:spacing w:before="0" w:after="0" w:line="288" w:lineRule="auto"/>
      <w:ind w:right="0"/>
      <w:rPr>
        <w:b w:val="0"/>
        <w:color w:val="008C44"/>
        <w:sz w:val="4"/>
        <w:szCs w:val="4"/>
      </w:rPr>
    </w:pPr>
  </w:p>
  <w:p w:rsidR="00912CE6" w:rsidRDefault="00912C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CE6" w:rsidRDefault="00912CE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CE6" w:rsidRDefault="00912CE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CE6" w:rsidRDefault="00912CE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CE6" w:rsidRDefault="00912CE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CE6" w:rsidRDefault="008F7D10" w:rsidP="008A7EFB">
    <w:pPr>
      <w:pStyle w:val="Header"/>
      <w:tabs>
        <w:tab w:val="clear" w:pos="9026"/>
        <w:tab w:val="right" w:pos="9356"/>
      </w:tabs>
      <w:spacing w:before="0" w:after="0"/>
      <w:ind w:right="0"/>
    </w:pPr>
    <w:r>
      <w:t>FINAL</w:t>
    </w:r>
  </w:p>
  <w:p w:rsidR="00912CE6" w:rsidRPr="00F918D5" w:rsidRDefault="00912CE6" w:rsidP="008A7EFB">
    <w:pPr>
      <w:pStyle w:val="Header"/>
      <w:tabs>
        <w:tab w:val="clear" w:pos="9026"/>
        <w:tab w:val="right" w:pos="9356"/>
      </w:tabs>
      <w:spacing w:before="0" w:after="0"/>
      <w:ind w:right="0"/>
    </w:pPr>
    <w:r>
      <w:t>Sustainable Agribusiness Strategy for the G21 Region, 2017 – 2022</w:t>
    </w:r>
  </w:p>
  <w:p w:rsidR="00912CE6" w:rsidRPr="00A02BA0" w:rsidRDefault="00912CE6" w:rsidP="009B0184">
    <w:pPr>
      <w:pStyle w:val="Header"/>
      <w:pBdr>
        <w:bottom w:val="single" w:sz="8" w:space="1" w:color="213144"/>
      </w:pBdr>
      <w:tabs>
        <w:tab w:val="clear" w:pos="9026"/>
        <w:tab w:val="right" w:pos="9356"/>
      </w:tabs>
      <w:spacing w:before="0" w:after="0" w:line="288" w:lineRule="auto"/>
      <w:ind w:right="0"/>
      <w:rPr>
        <w:b w:val="0"/>
        <w:color w:val="008C44"/>
        <w:sz w:val="4"/>
        <w:szCs w:val="4"/>
      </w:rPr>
    </w:pPr>
  </w:p>
  <w:p w:rsidR="00912CE6" w:rsidRPr="00A02BA0" w:rsidRDefault="00912CE6" w:rsidP="00A02BA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CE6" w:rsidRDefault="00912CE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CE6" w:rsidRDefault="00912CE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CE6" w:rsidRDefault="00912C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A3148"/>
    <w:multiLevelType w:val="multilevel"/>
    <w:tmpl w:val="B1A6C17E"/>
    <w:name w:val="ListNumbering"/>
    <w:lvl w:ilvl="0">
      <w:start w:val="1"/>
      <w:numFmt w:val="lowerLetter"/>
      <w:lvlText w:val="(%1)"/>
      <w:lvlJc w:val="left"/>
      <w:pPr>
        <w:ind w:left="284" w:hanging="284"/>
      </w:pPr>
      <w:rPr>
        <w:rFonts w:hint="default"/>
      </w:rPr>
    </w:lvl>
    <w:lvl w:ilvl="1">
      <w:start w:val="1"/>
      <w:numFmt w:val="lowerRoman"/>
      <w:lvlText w:val="(%2)"/>
      <w:lvlJc w:val="left"/>
      <w:pPr>
        <w:ind w:left="680" w:hanging="396"/>
      </w:pPr>
      <w:rPr>
        <w:rFonts w:hint="default"/>
      </w:rPr>
    </w:lvl>
    <w:lvl w:ilvl="2">
      <w:start w:val="1"/>
      <w:numFmt w:val="upperLetter"/>
      <w:lvlText w:val="(%3)"/>
      <w:lvlJc w:val="left"/>
      <w:pPr>
        <w:ind w:left="1080" w:hanging="40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D7623A4"/>
    <w:multiLevelType w:val="hybridMultilevel"/>
    <w:tmpl w:val="685E6424"/>
    <w:lvl w:ilvl="0" w:tplc="32881390">
      <w:start w:val="1"/>
      <w:numFmt w:val="bullet"/>
      <w:pStyle w:val="TableList"/>
      <w:lvlText w:val=""/>
      <w:lvlJc w:val="left"/>
      <w:pPr>
        <w:tabs>
          <w:tab w:val="num" w:pos="284"/>
        </w:tabs>
        <w:ind w:left="284" w:hanging="284"/>
      </w:pPr>
      <w:rPr>
        <w:rFonts w:ascii="Wingdings" w:hAnsi="Wingdings" w:hint="default"/>
        <w:b w:val="0"/>
        <w:bCs w:val="0"/>
        <w:i w:val="0"/>
        <w:iCs w:val="0"/>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20DE6"/>
    <w:multiLevelType w:val="multilevel"/>
    <w:tmpl w:val="25BAA050"/>
    <w:lvl w:ilvl="0">
      <w:start w:val="1"/>
      <w:numFmt w:val="bullet"/>
      <w:pStyle w:val="ListBullet"/>
      <w:lvlText w:val=""/>
      <w:lvlJc w:val="left"/>
      <w:pPr>
        <w:ind w:left="360" w:hanging="360"/>
      </w:pPr>
      <w:rPr>
        <w:rFonts w:ascii="Wingdings" w:hAnsi="Wingdings" w:hint="default"/>
        <w:color w:val="auto"/>
        <w:spacing w:val="0"/>
        <w:position w:val="0"/>
        <w:sz w:val="20"/>
        <w:szCs w:val="20"/>
      </w:rPr>
    </w:lvl>
    <w:lvl w:ilvl="1">
      <w:start w:val="1"/>
      <w:numFmt w:val="bullet"/>
      <w:lvlText w:val=""/>
      <w:lvlJc w:val="left"/>
      <w:pPr>
        <w:tabs>
          <w:tab w:val="num" w:pos="397"/>
        </w:tabs>
        <w:ind w:left="397" w:hanging="199"/>
      </w:pPr>
      <w:rPr>
        <w:rFonts w:ascii="Symbol" w:hAnsi="Symbol" w:hint="default"/>
        <w:color w:val="auto"/>
        <w:spacing w:val="0"/>
        <w:position w:val="0"/>
      </w:rPr>
    </w:lvl>
    <w:lvl w:ilvl="2">
      <w:start w:val="1"/>
      <w:numFmt w:val="bullet"/>
      <w:pStyle w:val="ListBullet3"/>
      <w:lvlText w:val="–"/>
      <w:lvlJc w:val="left"/>
      <w:pPr>
        <w:tabs>
          <w:tab w:val="num" w:pos="595"/>
        </w:tabs>
        <w:ind w:left="595" w:hanging="198"/>
      </w:pPr>
      <w:rPr>
        <w:rFonts w:ascii="Arial" w:hAnsi="Arial" w:hint="default"/>
        <w:color w:val="auto"/>
        <w:spacing w:val="0"/>
        <w:position w:val="0"/>
      </w:rPr>
    </w:lvl>
    <w:lvl w:ilvl="3">
      <w:start w:val="1"/>
      <w:numFmt w:val="none"/>
      <w:lvlText w:val="%4"/>
      <w:lvlJc w:val="left"/>
      <w:pPr>
        <w:ind w:left="-32767" w:firstLine="0"/>
      </w:pPr>
      <w:rPr>
        <w:rFonts w:hint="default"/>
      </w:rPr>
    </w:lvl>
    <w:lvl w:ilvl="4">
      <w:start w:val="1"/>
      <w:numFmt w:val="none"/>
      <w:lvlText w:val="%5"/>
      <w:lvlJc w:val="left"/>
      <w:pPr>
        <w:ind w:left="-32767" w:firstLine="0"/>
      </w:pPr>
      <w:rPr>
        <w:rFonts w:hint="default"/>
      </w:rPr>
    </w:lvl>
    <w:lvl w:ilvl="5">
      <w:start w:val="1"/>
      <w:numFmt w:val="none"/>
      <w:lvlText w:val="%6"/>
      <w:lvlJc w:val="right"/>
      <w:pPr>
        <w:ind w:left="-32767" w:firstLine="0"/>
      </w:pPr>
      <w:rPr>
        <w:rFonts w:hint="default"/>
      </w:rPr>
    </w:lvl>
    <w:lvl w:ilvl="6">
      <w:start w:val="1"/>
      <w:numFmt w:val="none"/>
      <w:lvlText w:val="%7"/>
      <w:lvlJc w:val="left"/>
      <w:pPr>
        <w:ind w:left="-32767" w:firstLine="0"/>
      </w:pPr>
      <w:rPr>
        <w:rFonts w:hint="default"/>
      </w:rPr>
    </w:lvl>
    <w:lvl w:ilvl="7">
      <w:start w:val="1"/>
      <w:numFmt w:val="none"/>
      <w:lvlText w:val="%8"/>
      <w:lvlJc w:val="left"/>
      <w:pPr>
        <w:ind w:left="-32767" w:firstLine="0"/>
      </w:pPr>
      <w:rPr>
        <w:rFonts w:hint="default"/>
      </w:rPr>
    </w:lvl>
    <w:lvl w:ilvl="8">
      <w:start w:val="1"/>
      <w:numFmt w:val="none"/>
      <w:lvlText w:val="%9"/>
      <w:lvlJc w:val="right"/>
      <w:pPr>
        <w:ind w:left="-32767" w:firstLine="0"/>
      </w:pPr>
      <w:rPr>
        <w:rFonts w:hint="default"/>
      </w:rPr>
    </w:lvl>
  </w:abstractNum>
  <w:abstractNum w:abstractNumId="3" w15:restartNumberingAfterBreak="0">
    <w:nsid w:val="12D823D0"/>
    <w:multiLevelType w:val="hybridMultilevel"/>
    <w:tmpl w:val="1F0EB8D0"/>
    <w:lvl w:ilvl="0" w:tplc="1E48352C">
      <w:start w:val="1"/>
      <w:numFmt w:val="decimal"/>
      <w:pStyle w:val="TableNumber"/>
      <w:lvlText w:val="%1."/>
      <w:lvlJc w:val="left"/>
      <w:pPr>
        <w:tabs>
          <w:tab w:val="num" w:pos="284"/>
        </w:tabs>
        <w:ind w:left="284" w:hanging="284"/>
      </w:pPr>
      <w:rPr>
        <w:rFonts w:ascii="Arial" w:hAnsi="Arial" w:hint="default"/>
        <w:b w:val="0"/>
        <w:bCs w:val="0"/>
        <w:i w:val="0"/>
        <w:iCs w:val="0"/>
        <w:sz w:val="18"/>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F358B"/>
    <w:multiLevelType w:val="hybridMultilevel"/>
    <w:tmpl w:val="FFEC83D8"/>
    <w:lvl w:ilvl="0" w:tplc="CEEE0BBA">
      <w:start w:val="1"/>
      <w:numFmt w:val="decimal"/>
      <w:lvlText w:val="%1."/>
      <w:lvlJc w:val="left"/>
      <w:pPr>
        <w:tabs>
          <w:tab w:val="num" w:pos="284"/>
        </w:tabs>
        <w:ind w:left="284" w:hanging="284"/>
      </w:pPr>
      <w:rPr>
        <w:rFonts w:ascii="Arial" w:hAnsi="Arial" w:hint="default"/>
        <w:b w:val="0"/>
        <w:bCs w:val="0"/>
        <w:i w:val="0"/>
        <w:iCs w:val="0"/>
        <w:sz w:val="18"/>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166ADB"/>
    <w:multiLevelType w:val="hybridMultilevel"/>
    <w:tmpl w:val="953832F0"/>
    <w:lvl w:ilvl="0" w:tplc="6B24CC18">
      <w:start w:val="1"/>
      <w:numFmt w:val="lowerLetter"/>
      <w:pStyle w:val="IndentListLetter"/>
      <w:lvlText w:val="%1)"/>
      <w:lvlJc w:val="left"/>
      <w:pPr>
        <w:tabs>
          <w:tab w:val="num" w:pos="851"/>
        </w:tabs>
        <w:ind w:left="851" w:hanging="426"/>
      </w:pPr>
      <w:rPr>
        <w:rFonts w:hint="default"/>
      </w:rPr>
    </w:lvl>
    <w:lvl w:ilvl="1" w:tplc="04090019" w:tentative="1">
      <w:start w:val="1"/>
      <w:numFmt w:val="lowerLetter"/>
      <w:lvlText w:val="%2."/>
      <w:lvlJc w:val="left"/>
      <w:pPr>
        <w:ind w:left="2290" w:hanging="360"/>
      </w:p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abstractNum w:abstractNumId="6" w15:restartNumberingAfterBreak="0">
    <w:nsid w:val="22F01A43"/>
    <w:multiLevelType w:val="hybridMultilevel"/>
    <w:tmpl w:val="57746E64"/>
    <w:lvl w:ilvl="0" w:tplc="9874325C">
      <w:start w:val="1"/>
      <w:numFmt w:val="lowerRoman"/>
      <w:pStyle w:val="IndentRomanNumeral"/>
      <w:lvlText w:val="%1."/>
      <w:lvlJc w:val="left"/>
      <w:pPr>
        <w:tabs>
          <w:tab w:val="num" w:pos="851"/>
        </w:tabs>
        <w:ind w:left="851" w:hanging="42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8F4AAF"/>
    <w:multiLevelType w:val="hybridMultilevel"/>
    <w:tmpl w:val="7458D53E"/>
    <w:lvl w:ilvl="0" w:tplc="4F10F5B2">
      <w:start w:val="1"/>
      <w:numFmt w:val="bullet"/>
      <w:pStyle w:val="Bullet"/>
      <w:lvlText w:val=""/>
      <w:lvlJc w:val="left"/>
      <w:pPr>
        <w:tabs>
          <w:tab w:val="num" w:pos="1134"/>
        </w:tabs>
        <w:ind w:left="1134" w:hanging="283"/>
      </w:pPr>
      <w:rPr>
        <w:rFonts w:ascii="Wingdings" w:hAnsi="Wingdings" w:hint="default"/>
        <w:sz w:val="20"/>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6C3831"/>
    <w:multiLevelType w:val="hybridMultilevel"/>
    <w:tmpl w:val="B9C8CCF6"/>
    <w:lvl w:ilvl="0" w:tplc="7F4E79E8">
      <w:start w:val="1"/>
      <w:numFmt w:val="bullet"/>
      <w:pStyle w:val="BodyBullet1"/>
      <w:lvlText w:val=""/>
      <w:lvlJc w:val="left"/>
      <w:pPr>
        <w:ind w:left="1077" w:hanging="360"/>
      </w:pPr>
      <w:rPr>
        <w:rFonts w:ascii="Wingdings" w:hAnsi="Wingdings"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 w15:restartNumberingAfterBreak="0">
    <w:nsid w:val="2B157F57"/>
    <w:multiLevelType w:val="hybridMultilevel"/>
    <w:tmpl w:val="3F5C1574"/>
    <w:lvl w:ilvl="0" w:tplc="606C8F98">
      <w:start w:val="1"/>
      <w:numFmt w:val="bullet"/>
      <w:pStyle w:val="TableDash"/>
      <w:lvlText w:val=""/>
      <w:lvlJc w:val="left"/>
      <w:pPr>
        <w:tabs>
          <w:tab w:val="num" w:pos="568"/>
        </w:tabs>
        <w:ind w:left="568" w:hanging="284"/>
      </w:pPr>
      <w:rPr>
        <w:rFonts w:ascii="Symbol" w:hAnsi="Symbol" w:hint="default"/>
        <w:b w:val="0"/>
        <w:bCs w:val="0"/>
        <w:i w:val="0"/>
        <w:iCs w:val="0"/>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1B5604"/>
    <w:multiLevelType w:val="multilevel"/>
    <w:tmpl w:val="288CD000"/>
    <w:name w:val="Numbering"/>
    <w:lvl w:ilvl="0">
      <w:start w:val="1"/>
      <w:numFmt w:val="decimal"/>
      <w:lvlText w:val="%1"/>
      <w:lvlJc w:val="left"/>
      <w:pPr>
        <w:tabs>
          <w:tab w:val="num" w:pos="709"/>
        </w:tabs>
        <w:ind w:left="709" w:hanging="709"/>
      </w:pPr>
      <w:rPr>
        <w:rFonts w:hint="default"/>
      </w:rPr>
    </w:lvl>
    <w:lvl w:ilvl="1">
      <w:start w:val="1"/>
      <w:numFmt w:val="lowerLetter"/>
      <w:lvlText w:val="%2."/>
      <w:lvlJc w:val="left"/>
      <w:pPr>
        <w:ind w:left="2154" w:hanging="360"/>
      </w:pPr>
      <w:rPr>
        <w:rFonts w:hint="default"/>
      </w:rPr>
    </w:lvl>
    <w:lvl w:ilvl="2">
      <w:start w:val="1"/>
      <w:numFmt w:val="lowerRoman"/>
      <w:lvlText w:val="%3."/>
      <w:lvlJc w:val="right"/>
      <w:pPr>
        <w:ind w:left="2874" w:hanging="180"/>
      </w:pPr>
      <w:rPr>
        <w:rFonts w:hint="default"/>
      </w:rPr>
    </w:lvl>
    <w:lvl w:ilvl="3">
      <w:start w:val="1"/>
      <w:numFmt w:val="decimal"/>
      <w:lvlText w:val="%4."/>
      <w:lvlJc w:val="left"/>
      <w:pPr>
        <w:ind w:left="3594" w:hanging="360"/>
      </w:pPr>
      <w:rPr>
        <w:rFonts w:hint="default"/>
      </w:rPr>
    </w:lvl>
    <w:lvl w:ilvl="4">
      <w:start w:val="1"/>
      <w:numFmt w:val="lowerLetter"/>
      <w:lvlText w:val="%5."/>
      <w:lvlJc w:val="left"/>
      <w:pPr>
        <w:ind w:left="4314" w:hanging="360"/>
      </w:pPr>
      <w:rPr>
        <w:rFonts w:hint="default"/>
      </w:rPr>
    </w:lvl>
    <w:lvl w:ilvl="5">
      <w:start w:val="1"/>
      <w:numFmt w:val="lowerRoman"/>
      <w:lvlText w:val="%6."/>
      <w:lvlJc w:val="right"/>
      <w:pPr>
        <w:ind w:left="5034" w:hanging="180"/>
      </w:pPr>
      <w:rPr>
        <w:rFonts w:hint="default"/>
      </w:rPr>
    </w:lvl>
    <w:lvl w:ilvl="6">
      <w:start w:val="1"/>
      <w:numFmt w:val="decimal"/>
      <w:lvlText w:val="%7."/>
      <w:lvlJc w:val="left"/>
      <w:pPr>
        <w:ind w:left="5754" w:hanging="360"/>
      </w:pPr>
      <w:rPr>
        <w:rFonts w:hint="default"/>
      </w:rPr>
    </w:lvl>
    <w:lvl w:ilvl="7">
      <w:start w:val="1"/>
      <w:numFmt w:val="lowerLetter"/>
      <w:lvlText w:val="%8."/>
      <w:lvlJc w:val="left"/>
      <w:pPr>
        <w:ind w:left="6474" w:hanging="360"/>
      </w:pPr>
      <w:rPr>
        <w:rFonts w:hint="default"/>
      </w:rPr>
    </w:lvl>
    <w:lvl w:ilvl="8">
      <w:start w:val="1"/>
      <w:numFmt w:val="lowerRoman"/>
      <w:lvlText w:val="%9."/>
      <w:lvlJc w:val="right"/>
      <w:pPr>
        <w:ind w:left="7194" w:hanging="180"/>
      </w:pPr>
      <w:rPr>
        <w:rFonts w:hint="default"/>
      </w:rPr>
    </w:lvl>
  </w:abstractNum>
  <w:abstractNum w:abstractNumId="11" w15:restartNumberingAfterBreak="0">
    <w:nsid w:val="2D9C7FDC"/>
    <w:multiLevelType w:val="hybridMultilevel"/>
    <w:tmpl w:val="E8247524"/>
    <w:lvl w:ilvl="0" w:tplc="0CAA4318">
      <w:start w:val="1"/>
      <w:numFmt w:val="lowerRoman"/>
      <w:pStyle w:val="ListRomanNumeral"/>
      <w:lvlText w:val="%1."/>
      <w:lvlJc w:val="left"/>
      <w:pPr>
        <w:tabs>
          <w:tab w:val="num" w:pos="425"/>
        </w:tabs>
        <w:ind w:left="425" w:hanging="4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E941A7"/>
    <w:multiLevelType w:val="hybridMultilevel"/>
    <w:tmpl w:val="B764F894"/>
    <w:lvl w:ilvl="0" w:tplc="F4B8D04E">
      <w:start w:val="1"/>
      <w:numFmt w:val="lowerLetter"/>
      <w:pStyle w:val="ListLetter"/>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3" w15:restartNumberingAfterBreak="0">
    <w:nsid w:val="3ECE272A"/>
    <w:multiLevelType w:val="hybridMultilevel"/>
    <w:tmpl w:val="6A0CE434"/>
    <w:lvl w:ilvl="0" w:tplc="D6C271C8">
      <w:start w:val="1"/>
      <w:numFmt w:val="lowerLetter"/>
      <w:pStyle w:val="TableLetter"/>
      <w:lvlText w:val="%1)"/>
      <w:lvlJc w:val="left"/>
      <w:pPr>
        <w:tabs>
          <w:tab w:val="num" w:pos="284"/>
        </w:tabs>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0445F4"/>
    <w:multiLevelType w:val="multilevel"/>
    <w:tmpl w:val="09009A98"/>
    <w:styleLink w:val="Lists"/>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5" w15:restartNumberingAfterBreak="0">
    <w:nsid w:val="50A76716"/>
    <w:multiLevelType w:val="multilevel"/>
    <w:tmpl w:val="0B00645A"/>
    <w:name w:val="ListNumbering22"/>
    <w:lvl w:ilvl="0">
      <w:start w:val="1"/>
      <w:numFmt w:val="lowerLetter"/>
      <w:lvlText w:val="(%1)"/>
      <w:lvlJc w:val="left"/>
      <w:pPr>
        <w:ind w:left="284" w:hanging="284"/>
      </w:pPr>
      <w:rPr>
        <w:rFonts w:hint="default"/>
      </w:rPr>
    </w:lvl>
    <w:lvl w:ilvl="1">
      <w:start w:val="1"/>
      <w:numFmt w:val="lowerRoman"/>
      <w:lvlText w:val="(%2)"/>
      <w:lvlJc w:val="left"/>
      <w:pPr>
        <w:ind w:left="680" w:hanging="396"/>
      </w:pPr>
      <w:rPr>
        <w:rFonts w:hint="default"/>
      </w:rPr>
    </w:lvl>
    <w:lvl w:ilvl="2">
      <w:start w:val="1"/>
      <w:numFmt w:val="upperLetter"/>
      <w:lvlText w:val="(%3)"/>
      <w:lvlJc w:val="left"/>
      <w:pPr>
        <w:ind w:left="1080" w:hanging="40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A426B28"/>
    <w:multiLevelType w:val="multilevel"/>
    <w:tmpl w:val="88E67880"/>
    <w:styleLink w:val="MultiLevelheadinglist"/>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7" w15:restartNumberingAfterBreak="0">
    <w:nsid w:val="630A313D"/>
    <w:multiLevelType w:val="multilevel"/>
    <w:tmpl w:val="F9DE777E"/>
    <w:name w:val="ListNumbering222"/>
    <w:lvl w:ilvl="0">
      <w:start w:val="1"/>
      <w:numFmt w:val="lowerLetter"/>
      <w:lvlText w:val="(%1)"/>
      <w:lvlJc w:val="left"/>
      <w:pPr>
        <w:ind w:left="284" w:hanging="284"/>
      </w:pPr>
      <w:rPr>
        <w:rFonts w:hint="default"/>
      </w:rPr>
    </w:lvl>
    <w:lvl w:ilvl="1">
      <w:start w:val="1"/>
      <w:numFmt w:val="lowerRoman"/>
      <w:lvlText w:val="(%2)"/>
      <w:lvlJc w:val="left"/>
      <w:pPr>
        <w:ind w:left="680" w:hanging="396"/>
      </w:pPr>
      <w:rPr>
        <w:rFonts w:hint="default"/>
      </w:rPr>
    </w:lvl>
    <w:lvl w:ilvl="2">
      <w:start w:val="1"/>
      <w:numFmt w:val="upperLetter"/>
      <w:lvlText w:val="(%3)"/>
      <w:lvlJc w:val="left"/>
      <w:pPr>
        <w:ind w:left="1080" w:hanging="40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4247DFD"/>
    <w:multiLevelType w:val="multilevel"/>
    <w:tmpl w:val="B682185E"/>
    <w:name w:val="ListNumbering2"/>
    <w:lvl w:ilvl="0">
      <w:start w:val="1"/>
      <w:numFmt w:val="lowerLetter"/>
      <w:lvlText w:val="(%1)"/>
      <w:lvlJc w:val="left"/>
      <w:pPr>
        <w:ind w:left="284" w:hanging="284"/>
      </w:pPr>
      <w:rPr>
        <w:rFonts w:hint="default"/>
      </w:rPr>
    </w:lvl>
    <w:lvl w:ilvl="1">
      <w:start w:val="1"/>
      <w:numFmt w:val="lowerRoman"/>
      <w:lvlText w:val="(%2)"/>
      <w:lvlJc w:val="left"/>
      <w:pPr>
        <w:ind w:left="680" w:hanging="396"/>
      </w:pPr>
      <w:rPr>
        <w:rFonts w:hint="default"/>
      </w:rPr>
    </w:lvl>
    <w:lvl w:ilvl="2">
      <w:start w:val="1"/>
      <w:numFmt w:val="upperLetter"/>
      <w:lvlText w:val="(%3)"/>
      <w:lvlJc w:val="left"/>
      <w:pPr>
        <w:ind w:left="1080" w:hanging="40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F48797C"/>
    <w:multiLevelType w:val="hybridMultilevel"/>
    <w:tmpl w:val="D5220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1B1965"/>
    <w:multiLevelType w:val="multilevel"/>
    <w:tmpl w:val="4C141EE2"/>
    <w:lvl w:ilvl="0">
      <w:start w:val="1"/>
      <w:numFmt w:val="decimal"/>
      <w:pStyle w:val="ListNumber"/>
      <w:lvlText w:val="%1."/>
      <w:lvlJc w:val="left"/>
      <w:pPr>
        <w:tabs>
          <w:tab w:val="num" w:pos="425"/>
        </w:tabs>
        <w:ind w:left="425" w:hanging="425"/>
      </w:pPr>
      <w:rPr>
        <w:rFonts w:ascii="Arial" w:hAnsi="Arial" w:hint="default"/>
        <w:b w:val="0"/>
        <w:bCs w:val="0"/>
        <w:i w:val="0"/>
        <w:iCs w:val="0"/>
        <w:color w:val="auto"/>
        <w:sz w:val="20"/>
        <w:szCs w:val="20"/>
      </w:rPr>
    </w:lvl>
    <w:lvl w:ilvl="1">
      <w:start w:val="1"/>
      <w:numFmt w:val="lowerLetter"/>
      <w:lvlText w:val="%1.%2"/>
      <w:lvlJc w:val="left"/>
      <w:pPr>
        <w:tabs>
          <w:tab w:val="num" w:pos="1418"/>
        </w:tabs>
        <w:ind w:left="1418" w:hanging="709"/>
      </w:pPr>
      <w:rPr>
        <w:rFonts w:hint="default"/>
        <w:color w:val="auto"/>
      </w:rPr>
    </w:lvl>
    <w:lvl w:ilvl="2">
      <w:start w:val="1"/>
      <w:numFmt w:val="lowerRoman"/>
      <w:lvlText w:val="%1.%2.%3"/>
      <w:lvlJc w:val="left"/>
      <w:pPr>
        <w:tabs>
          <w:tab w:val="num" w:pos="2126"/>
        </w:tabs>
        <w:ind w:left="2126" w:hanging="708"/>
      </w:pPr>
      <w:rPr>
        <w:rFonts w:hint="default"/>
        <w:color w:val="auto"/>
      </w:rPr>
    </w:lvl>
    <w:lvl w:ilvl="3">
      <w:start w:val="1"/>
      <w:numFmt w:val="none"/>
      <w:lvlText w:val=""/>
      <w:lvlJc w:val="left"/>
      <w:pPr>
        <w:ind w:left="-32767" w:firstLine="0"/>
      </w:pPr>
      <w:rPr>
        <w:rFonts w:hint="default"/>
      </w:rPr>
    </w:lvl>
    <w:lvl w:ilvl="4">
      <w:start w:val="1"/>
      <w:numFmt w:val="none"/>
      <w:lvlText w:val=""/>
      <w:lvlJc w:val="left"/>
      <w:pPr>
        <w:ind w:left="-32767"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21" w15:restartNumberingAfterBreak="0">
    <w:nsid w:val="733E6AD1"/>
    <w:multiLevelType w:val="multilevel"/>
    <w:tmpl w:val="E02E0A7E"/>
    <w:lvl w:ilvl="0">
      <w:start w:val="1"/>
      <w:numFmt w:val="decimal"/>
      <w:pStyle w:val="Heading1"/>
      <w:lvlText w:val="%1"/>
      <w:lvlJc w:val="left"/>
      <w:pPr>
        <w:tabs>
          <w:tab w:val="num" w:pos="737"/>
        </w:tabs>
        <w:ind w:left="737" w:hanging="737"/>
      </w:pPr>
      <w:rPr>
        <w:rFonts w:hint="default"/>
      </w:rPr>
    </w:lvl>
    <w:lvl w:ilvl="1">
      <w:start w:val="1"/>
      <w:numFmt w:val="decimal"/>
      <w:pStyle w:val="Heading2"/>
      <w:lvlText w:val="%1.%2"/>
      <w:lvlJc w:val="left"/>
      <w:pPr>
        <w:tabs>
          <w:tab w:val="num" w:pos="737"/>
        </w:tabs>
        <w:ind w:left="737" w:hanging="737"/>
      </w:pPr>
      <w:rPr>
        <w:rFonts w:hint="default"/>
      </w:rPr>
    </w:lvl>
    <w:lvl w:ilvl="2">
      <w:start w:val="1"/>
      <w:numFmt w:val="decimal"/>
      <w:pStyle w:val="Heading3"/>
      <w:lvlText w:val="%1.%2.%3"/>
      <w:lvlJc w:val="left"/>
      <w:pPr>
        <w:tabs>
          <w:tab w:val="num" w:pos="737"/>
        </w:tabs>
        <w:ind w:left="737" w:hanging="737"/>
      </w:pPr>
      <w:rPr>
        <w:rFonts w:hint="default"/>
      </w:rPr>
    </w:lvl>
    <w:lvl w:ilvl="3">
      <w:start w:val="1"/>
      <w:numFmt w:val="none"/>
      <w:lvlText w:val=""/>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15:restartNumberingAfterBreak="0">
    <w:nsid w:val="76561E28"/>
    <w:multiLevelType w:val="hybridMultilevel"/>
    <w:tmpl w:val="131C5B5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6D23E6"/>
    <w:multiLevelType w:val="multilevel"/>
    <w:tmpl w:val="FF76E984"/>
    <w:lvl w:ilvl="0">
      <w:start w:val="1"/>
      <w:numFmt w:val="bullet"/>
      <w:pStyle w:val="TableBulletShadedTable"/>
      <w:lvlText w:val="▪"/>
      <w:lvlJc w:val="left"/>
      <w:pPr>
        <w:tabs>
          <w:tab w:val="num" w:pos="357"/>
        </w:tabs>
        <w:ind w:left="357" w:hanging="357"/>
      </w:pPr>
      <w:rPr>
        <w:rFonts w:ascii="Calibri" w:hAnsi="Calibri" w:hint="default"/>
      </w:rPr>
    </w:lvl>
    <w:lvl w:ilvl="1">
      <w:start w:val="1"/>
      <w:numFmt w:val="bullet"/>
      <w:pStyle w:val="TableBullet"/>
      <w:lvlText w:val="▪"/>
      <w:lvlJc w:val="left"/>
      <w:pPr>
        <w:tabs>
          <w:tab w:val="num" w:pos="357"/>
        </w:tabs>
        <w:ind w:left="357" w:hanging="249"/>
      </w:pPr>
      <w:rPr>
        <w:rFonts w:ascii="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D0E5421"/>
    <w:multiLevelType w:val="multilevel"/>
    <w:tmpl w:val="9FD662BA"/>
    <w:name w:val="Bullets"/>
    <w:lvl w:ilvl="0">
      <w:start w:val="1"/>
      <w:numFmt w:val="bullet"/>
      <w:lvlText w:val=""/>
      <w:lvlJc w:val="left"/>
      <w:pPr>
        <w:ind w:left="312" w:hanging="312"/>
      </w:pPr>
      <w:rPr>
        <w:rFonts w:ascii="Symbol" w:hAnsi="Symbol" w:hint="default"/>
        <w:color w:val="CE1337"/>
        <w:spacing w:val="20"/>
        <w:kern w:val="0"/>
        <w:position w:val="0"/>
        <w:sz w:val="12"/>
      </w:rPr>
    </w:lvl>
    <w:lvl w:ilvl="1">
      <w:start w:val="1"/>
      <w:numFmt w:val="bullet"/>
      <w:lvlText w:val=""/>
      <w:lvlJc w:val="left"/>
      <w:pPr>
        <w:ind w:left="624" w:hanging="312"/>
      </w:pPr>
      <w:rPr>
        <w:rFonts w:ascii="Symbol" w:hAnsi="Symbol" w:hint="default"/>
        <w:color w:val="CE1337"/>
        <w:spacing w:val="20"/>
        <w:kern w:val="0"/>
        <w:position w:val="2"/>
      </w:rPr>
    </w:lvl>
    <w:lvl w:ilvl="2">
      <w:start w:val="1"/>
      <w:numFmt w:val="bullet"/>
      <w:lvlText w:val="–"/>
      <w:lvlJc w:val="left"/>
      <w:pPr>
        <w:ind w:left="936" w:hanging="312"/>
      </w:pPr>
      <w:rPr>
        <w:rFonts w:ascii="Arial" w:hAnsi="Arial" w:hint="default"/>
        <w:color w:val="CE1337"/>
        <w:kern w:val="0"/>
        <w:position w:val="2"/>
      </w:rPr>
    </w:lvl>
    <w:lvl w:ilvl="3">
      <w:start w:val="1"/>
      <w:numFmt w:val="none"/>
      <w:lvlText w:val=""/>
      <w:lvlJc w:val="left"/>
      <w:pPr>
        <w:ind w:left="-32767" w:firstLine="0"/>
      </w:pPr>
      <w:rPr>
        <w:rFonts w:hint="default"/>
      </w:rPr>
    </w:lvl>
    <w:lvl w:ilvl="4">
      <w:start w:val="1"/>
      <w:numFmt w:val="none"/>
      <w:lvlText w:val=""/>
      <w:lvlJc w:val="left"/>
      <w:pPr>
        <w:ind w:left="-32767" w:firstLine="0"/>
      </w:pPr>
      <w:rPr>
        <w:rFonts w:hint="default"/>
      </w:rPr>
    </w:lvl>
    <w:lvl w:ilvl="5">
      <w:start w:val="1"/>
      <w:numFmt w:val="none"/>
      <w:lvlText w:val=""/>
      <w:lvlJc w:val="left"/>
      <w:pPr>
        <w:ind w:left="-32767" w:firstLine="0"/>
      </w:pPr>
      <w:rPr>
        <w:rFonts w:hint="default"/>
      </w:rPr>
    </w:lvl>
    <w:lvl w:ilvl="6">
      <w:start w:val="1"/>
      <w:numFmt w:val="none"/>
      <w:lvlText w:val="%7"/>
      <w:lvlJc w:val="left"/>
      <w:pPr>
        <w:ind w:left="-32767" w:firstLine="0"/>
      </w:pPr>
      <w:rPr>
        <w:rFonts w:hint="default"/>
      </w:rPr>
    </w:lvl>
    <w:lvl w:ilvl="7">
      <w:start w:val="1"/>
      <w:numFmt w:val="none"/>
      <w:lvlText w:val="%8"/>
      <w:lvlJc w:val="left"/>
      <w:pPr>
        <w:ind w:left="-32767" w:firstLine="0"/>
      </w:pPr>
      <w:rPr>
        <w:rFonts w:hint="default"/>
      </w:rPr>
    </w:lvl>
    <w:lvl w:ilvl="8">
      <w:start w:val="1"/>
      <w:numFmt w:val="none"/>
      <w:lvlText w:val="%9"/>
      <w:lvlJc w:val="left"/>
      <w:pPr>
        <w:ind w:left="-32767" w:firstLine="0"/>
      </w:pPr>
      <w:rPr>
        <w:rFonts w:hint="default"/>
      </w:rPr>
    </w:lvl>
  </w:abstractNum>
  <w:num w:numId="1">
    <w:abstractNumId w:val="21"/>
  </w:num>
  <w:num w:numId="2">
    <w:abstractNumId w:val="5"/>
  </w:num>
  <w:num w:numId="3">
    <w:abstractNumId w:val="6"/>
  </w:num>
  <w:num w:numId="4">
    <w:abstractNumId w:val="2"/>
  </w:num>
  <w:num w:numId="5">
    <w:abstractNumId w:val="12"/>
  </w:num>
  <w:num w:numId="6">
    <w:abstractNumId w:val="20"/>
  </w:num>
  <w:num w:numId="7">
    <w:abstractNumId w:val="11"/>
  </w:num>
  <w:num w:numId="8">
    <w:abstractNumId w:val="9"/>
  </w:num>
  <w:num w:numId="9">
    <w:abstractNumId w:val="13"/>
  </w:num>
  <w:num w:numId="10">
    <w:abstractNumId w:val="1"/>
  </w:num>
  <w:num w:numId="11">
    <w:abstractNumId w:val="7"/>
  </w:num>
  <w:num w:numId="12">
    <w:abstractNumId w:val="8"/>
  </w:num>
  <w:num w:numId="13">
    <w:abstractNumId w:val="14"/>
  </w:num>
  <w:num w:numId="14">
    <w:abstractNumId w:val="16"/>
  </w:num>
  <w:num w:numId="15">
    <w:abstractNumId w:val="23"/>
  </w:num>
  <w:num w:numId="16">
    <w:abstractNumId w:val="4"/>
    <w:lvlOverride w:ilvl="0">
      <w:startOverride w:val="1"/>
    </w:lvlOverride>
  </w:num>
  <w:num w:numId="17">
    <w:abstractNumId w:val="3"/>
  </w:num>
  <w:num w:numId="18">
    <w:abstractNumId w:val="22"/>
  </w:num>
  <w:num w:numId="19">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00"/>
  <w:displayHorizontalDrawingGridEvery w:val="2"/>
  <w:displayVerticalDrawingGridEvery w:val="2"/>
  <w:characterSpacingControl w:val="doNotCompress"/>
  <w:hdrShapeDefaults>
    <o:shapedefaults v:ext="edit" spidmax="3074">
      <o:colormru v:ext="edit" colors="white,#ce1337,#008c44"/>
    </o:shapedefaults>
  </w:hdrShapeDefaults>
  <w:footnotePr>
    <w:numStart w:val="27"/>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2B7"/>
    <w:rsid w:val="000000F1"/>
    <w:rsid w:val="0000033F"/>
    <w:rsid w:val="00000A9A"/>
    <w:rsid w:val="000015C1"/>
    <w:rsid w:val="00001BD2"/>
    <w:rsid w:val="000025A9"/>
    <w:rsid w:val="000033A3"/>
    <w:rsid w:val="000043DB"/>
    <w:rsid w:val="0000568B"/>
    <w:rsid w:val="0001085D"/>
    <w:rsid w:val="0001144B"/>
    <w:rsid w:val="00011761"/>
    <w:rsid w:val="0001263E"/>
    <w:rsid w:val="00013FE5"/>
    <w:rsid w:val="0001609F"/>
    <w:rsid w:val="00016D8E"/>
    <w:rsid w:val="00016E58"/>
    <w:rsid w:val="00020C43"/>
    <w:rsid w:val="000211EB"/>
    <w:rsid w:val="00021E17"/>
    <w:rsid w:val="00022A7D"/>
    <w:rsid w:val="00022F48"/>
    <w:rsid w:val="000236C7"/>
    <w:rsid w:val="00027B28"/>
    <w:rsid w:val="00027E50"/>
    <w:rsid w:val="0003019F"/>
    <w:rsid w:val="0003338C"/>
    <w:rsid w:val="00034B7B"/>
    <w:rsid w:val="00035AD3"/>
    <w:rsid w:val="00036280"/>
    <w:rsid w:val="00041A45"/>
    <w:rsid w:val="00041DF0"/>
    <w:rsid w:val="000442DF"/>
    <w:rsid w:val="000463E5"/>
    <w:rsid w:val="00046C99"/>
    <w:rsid w:val="0004700F"/>
    <w:rsid w:val="0004738B"/>
    <w:rsid w:val="00047482"/>
    <w:rsid w:val="00047E20"/>
    <w:rsid w:val="00051941"/>
    <w:rsid w:val="000519CF"/>
    <w:rsid w:val="000528DF"/>
    <w:rsid w:val="00053FA4"/>
    <w:rsid w:val="00054255"/>
    <w:rsid w:val="00054339"/>
    <w:rsid w:val="00054CB7"/>
    <w:rsid w:val="000636B7"/>
    <w:rsid w:val="000649A6"/>
    <w:rsid w:val="000649C6"/>
    <w:rsid w:val="00065250"/>
    <w:rsid w:val="0006525E"/>
    <w:rsid w:val="0007041F"/>
    <w:rsid w:val="00070A89"/>
    <w:rsid w:val="00070E3C"/>
    <w:rsid w:val="00071799"/>
    <w:rsid w:val="00071B15"/>
    <w:rsid w:val="00072037"/>
    <w:rsid w:val="000747D4"/>
    <w:rsid w:val="00074B5F"/>
    <w:rsid w:val="0007589E"/>
    <w:rsid w:val="00076FC2"/>
    <w:rsid w:val="00077306"/>
    <w:rsid w:val="000817D6"/>
    <w:rsid w:val="00081E73"/>
    <w:rsid w:val="00082DF8"/>
    <w:rsid w:val="0008440B"/>
    <w:rsid w:val="00084B31"/>
    <w:rsid w:val="0008570B"/>
    <w:rsid w:val="00085728"/>
    <w:rsid w:val="00085D51"/>
    <w:rsid w:val="00086FD8"/>
    <w:rsid w:val="00090CB5"/>
    <w:rsid w:val="000911B7"/>
    <w:rsid w:val="00092352"/>
    <w:rsid w:val="00092A6A"/>
    <w:rsid w:val="00092B20"/>
    <w:rsid w:val="00094903"/>
    <w:rsid w:val="00094A94"/>
    <w:rsid w:val="000959AE"/>
    <w:rsid w:val="0009655A"/>
    <w:rsid w:val="00096D79"/>
    <w:rsid w:val="00097152"/>
    <w:rsid w:val="00097844"/>
    <w:rsid w:val="000A1C9E"/>
    <w:rsid w:val="000A1F68"/>
    <w:rsid w:val="000A2004"/>
    <w:rsid w:val="000A3DA4"/>
    <w:rsid w:val="000A6313"/>
    <w:rsid w:val="000A6FAE"/>
    <w:rsid w:val="000A7B5A"/>
    <w:rsid w:val="000B0837"/>
    <w:rsid w:val="000B26E4"/>
    <w:rsid w:val="000B3F57"/>
    <w:rsid w:val="000B43B7"/>
    <w:rsid w:val="000B5F81"/>
    <w:rsid w:val="000B714C"/>
    <w:rsid w:val="000B7CB5"/>
    <w:rsid w:val="000C01AE"/>
    <w:rsid w:val="000C0E8B"/>
    <w:rsid w:val="000C1A6A"/>
    <w:rsid w:val="000C1DC8"/>
    <w:rsid w:val="000C5089"/>
    <w:rsid w:val="000C618B"/>
    <w:rsid w:val="000D0AF8"/>
    <w:rsid w:val="000D0B3E"/>
    <w:rsid w:val="000D0F85"/>
    <w:rsid w:val="000D301D"/>
    <w:rsid w:val="000D3408"/>
    <w:rsid w:val="000D3C7A"/>
    <w:rsid w:val="000D4E3D"/>
    <w:rsid w:val="000D5323"/>
    <w:rsid w:val="000D665F"/>
    <w:rsid w:val="000D6E76"/>
    <w:rsid w:val="000E1772"/>
    <w:rsid w:val="000E2C20"/>
    <w:rsid w:val="000E7853"/>
    <w:rsid w:val="000F206D"/>
    <w:rsid w:val="000F25B4"/>
    <w:rsid w:val="000F6569"/>
    <w:rsid w:val="000F65FB"/>
    <w:rsid w:val="000F6ED0"/>
    <w:rsid w:val="000F710F"/>
    <w:rsid w:val="000F718D"/>
    <w:rsid w:val="001000AD"/>
    <w:rsid w:val="00102DD4"/>
    <w:rsid w:val="00103249"/>
    <w:rsid w:val="00103830"/>
    <w:rsid w:val="00103BBA"/>
    <w:rsid w:val="00104169"/>
    <w:rsid w:val="00104983"/>
    <w:rsid w:val="0010506C"/>
    <w:rsid w:val="00105E71"/>
    <w:rsid w:val="0010767D"/>
    <w:rsid w:val="00107BE4"/>
    <w:rsid w:val="0011154D"/>
    <w:rsid w:val="0011161F"/>
    <w:rsid w:val="00111E83"/>
    <w:rsid w:val="00112197"/>
    <w:rsid w:val="001123F2"/>
    <w:rsid w:val="00115E57"/>
    <w:rsid w:val="0012145E"/>
    <w:rsid w:val="0012364C"/>
    <w:rsid w:val="00123990"/>
    <w:rsid w:val="00124763"/>
    <w:rsid w:val="00124988"/>
    <w:rsid w:val="001266D7"/>
    <w:rsid w:val="00130243"/>
    <w:rsid w:val="00130C7D"/>
    <w:rsid w:val="001311AB"/>
    <w:rsid w:val="0013200D"/>
    <w:rsid w:val="001359D7"/>
    <w:rsid w:val="00136167"/>
    <w:rsid w:val="00140137"/>
    <w:rsid w:val="00140555"/>
    <w:rsid w:val="00140D70"/>
    <w:rsid w:val="001414A3"/>
    <w:rsid w:val="00142A17"/>
    <w:rsid w:val="00142D4A"/>
    <w:rsid w:val="00142ECF"/>
    <w:rsid w:val="00143505"/>
    <w:rsid w:val="00143959"/>
    <w:rsid w:val="0014440A"/>
    <w:rsid w:val="001448C1"/>
    <w:rsid w:val="00144D94"/>
    <w:rsid w:val="00145AE4"/>
    <w:rsid w:val="00146759"/>
    <w:rsid w:val="00147D60"/>
    <w:rsid w:val="001504B4"/>
    <w:rsid w:val="00156241"/>
    <w:rsid w:val="0015728D"/>
    <w:rsid w:val="0016082C"/>
    <w:rsid w:val="00162567"/>
    <w:rsid w:val="0016409C"/>
    <w:rsid w:val="00165874"/>
    <w:rsid w:val="00170E1D"/>
    <w:rsid w:val="00172ABA"/>
    <w:rsid w:val="00173BCB"/>
    <w:rsid w:val="001740BF"/>
    <w:rsid w:val="00174406"/>
    <w:rsid w:val="00175A5E"/>
    <w:rsid w:val="00175B5D"/>
    <w:rsid w:val="0017657C"/>
    <w:rsid w:val="001765C3"/>
    <w:rsid w:val="00177250"/>
    <w:rsid w:val="00180BE7"/>
    <w:rsid w:val="0018393C"/>
    <w:rsid w:val="00184770"/>
    <w:rsid w:val="00184D5E"/>
    <w:rsid w:val="001878AE"/>
    <w:rsid w:val="001908C0"/>
    <w:rsid w:val="001913D4"/>
    <w:rsid w:val="00191EE3"/>
    <w:rsid w:val="001932D0"/>
    <w:rsid w:val="0019647D"/>
    <w:rsid w:val="00196BBC"/>
    <w:rsid w:val="00197649"/>
    <w:rsid w:val="001A246C"/>
    <w:rsid w:val="001A5C10"/>
    <w:rsid w:val="001A64B7"/>
    <w:rsid w:val="001A6A0D"/>
    <w:rsid w:val="001B0230"/>
    <w:rsid w:val="001B03E0"/>
    <w:rsid w:val="001B21AD"/>
    <w:rsid w:val="001B27E0"/>
    <w:rsid w:val="001B301B"/>
    <w:rsid w:val="001B4A66"/>
    <w:rsid w:val="001B4F41"/>
    <w:rsid w:val="001B75DF"/>
    <w:rsid w:val="001C1248"/>
    <w:rsid w:val="001C16B2"/>
    <w:rsid w:val="001C1EF4"/>
    <w:rsid w:val="001C6DAB"/>
    <w:rsid w:val="001C74D0"/>
    <w:rsid w:val="001C7B2E"/>
    <w:rsid w:val="001C7FD9"/>
    <w:rsid w:val="001D0899"/>
    <w:rsid w:val="001D132F"/>
    <w:rsid w:val="001D1940"/>
    <w:rsid w:val="001D1FCB"/>
    <w:rsid w:val="001D3163"/>
    <w:rsid w:val="001D3779"/>
    <w:rsid w:val="001D4FCF"/>
    <w:rsid w:val="001D52F7"/>
    <w:rsid w:val="001D6427"/>
    <w:rsid w:val="001D7085"/>
    <w:rsid w:val="001E45C0"/>
    <w:rsid w:val="001E4764"/>
    <w:rsid w:val="001E4D51"/>
    <w:rsid w:val="001E72C3"/>
    <w:rsid w:val="001F0194"/>
    <w:rsid w:val="001F1593"/>
    <w:rsid w:val="001F2F2B"/>
    <w:rsid w:val="001F538C"/>
    <w:rsid w:val="001F7D0E"/>
    <w:rsid w:val="0020074C"/>
    <w:rsid w:val="00201489"/>
    <w:rsid w:val="00202387"/>
    <w:rsid w:val="002033C1"/>
    <w:rsid w:val="00204250"/>
    <w:rsid w:val="00206CD8"/>
    <w:rsid w:val="002074B8"/>
    <w:rsid w:val="00210C9D"/>
    <w:rsid w:val="0021178D"/>
    <w:rsid w:val="00211B4B"/>
    <w:rsid w:val="00215039"/>
    <w:rsid w:val="0021507F"/>
    <w:rsid w:val="002208BB"/>
    <w:rsid w:val="00220E31"/>
    <w:rsid w:val="00221867"/>
    <w:rsid w:val="00221F36"/>
    <w:rsid w:val="00222268"/>
    <w:rsid w:val="00223A22"/>
    <w:rsid w:val="00224318"/>
    <w:rsid w:val="0022440A"/>
    <w:rsid w:val="00224F52"/>
    <w:rsid w:val="00225EC7"/>
    <w:rsid w:val="00226B7F"/>
    <w:rsid w:val="002271AE"/>
    <w:rsid w:val="00227288"/>
    <w:rsid w:val="00231D42"/>
    <w:rsid w:val="00234F0E"/>
    <w:rsid w:val="00236B9C"/>
    <w:rsid w:val="00237277"/>
    <w:rsid w:val="0024251F"/>
    <w:rsid w:val="00243701"/>
    <w:rsid w:val="002444B3"/>
    <w:rsid w:val="00244AC8"/>
    <w:rsid w:val="00244E38"/>
    <w:rsid w:val="0024557C"/>
    <w:rsid w:val="002456D2"/>
    <w:rsid w:val="00247703"/>
    <w:rsid w:val="002500D9"/>
    <w:rsid w:val="00251BE1"/>
    <w:rsid w:val="00253453"/>
    <w:rsid w:val="00256DC8"/>
    <w:rsid w:val="00257B9E"/>
    <w:rsid w:val="00257DEE"/>
    <w:rsid w:val="00260405"/>
    <w:rsid w:val="00260A08"/>
    <w:rsid w:val="00260B21"/>
    <w:rsid w:val="0026141C"/>
    <w:rsid w:val="00261995"/>
    <w:rsid w:val="0026210F"/>
    <w:rsid w:val="00262593"/>
    <w:rsid w:val="00262AB5"/>
    <w:rsid w:val="00265DEE"/>
    <w:rsid w:val="00267A23"/>
    <w:rsid w:val="00275A8C"/>
    <w:rsid w:val="002779F2"/>
    <w:rsid w:val="002831BF"/>
    <w:rsid w:val="00283FB6"/>
    <w:rsid w:val="00284AA0"/>
    <w:rsid w:val="00286F3D"/>
    <w:rsid w:val="002877CF"/>
    <w:rsid w:val="002877D9"/>
    <w:rsid w:val="002912C1"/>
    <w:rsid w:val="00292136"/>
    <w:rsid w:val="00293720"/>
    <w:rsid w:val="00293735"/>
    <w:rsid w:val="00294FF1"/>
    <w:rsid w:val="00295EBE"/>
    <w:rsid w:val="00296042"/>
    <w:rsid w:val="00297531"/>
    <w:rsid w:val="002A2714"/>
    <w:rsid w:val="002A3376"/>
    <w:rsid w:val="002A458F"/>
    <w:rsid w:val="002A4674"/>
    <w:rsid w:val="002A4F0A"/>
    <w:rsid w:val="002A5C68"/>
    <w:rsid w:val="002A6493"/>
    <w:rsid w:val="002A70DF"/>
    <w:rsid w:val="002A7563"/>
    <w:rsid w:val="002B0139"/>
    <w:rsid w:val="002B0650"/>
    <w:rsid w:val="002B10D1"/>
    <w:rsid w:val="002B1EB2"/>
    <w:rsid w:val="002B32DD"/>
    <w:rsid w:val="002B51C5"/>
    <w:rsid w:val="002B6EC2"/>
    <w:rsid w:val="002C143B"/>
    <w:rsid w:val="002C18C6"/>
    <w:rsid w:val="002C375F"/>
    <w:rsid w:val="002C3AC4"/>
    <w:rsid w:val="002C6DE9"/>
    <w:rsid w:val="002C7632"/>
    <w:rsid w:val="002C7B7C"/>
    <w:rsid w:val="002D1459"/>
    <w:rsid w:val="002D37A2"/>
    <w:rsid w:val="002D3843"/>
    <w:rsid w:val="002D4B85"/>
    <w:rsid w:val="002D5A8B"/>
    <w:rsid w:val="002D5C10"/>
    <w:rsid w:val="002D6679"/>
    <w:rsid w:val="002E0195"/>
    <w:rsid w:val="002E1675"/>
    <w:rsid w:val="002E1F08"/>
    <w:rsid w:val="002E3533"/>
    <w:rsid w:val="002E48C4"/>
    <w:rsid w:val="002E4983"/>
    <w:rsid w:val="002E5E78"/>
    <w:rsid w:val="002E6BB8"/>
    <w:rsid w:val="002E758B"/>
    <w:rsid w:val="002E7734"/>
    <w:rsid w:val="002E79AB"/>
    <w:rsid w:val="002E7BD4"/>
    <w:rsid w:val="002E7D22"/>
    <w:rsid w:val="002F10F1"/>
    <w:rsid w:val="002F12BF"/>
    <w:rsid w:val="002F2BED"/>
    <w:rsid w:val="002F331A"/>
    <w:rsid w:val="002F385D"/>
    <w:rsid w:val="002F3BC8"/>
    <w:rsid w:val="002F3D13"/>
    <w:rsid w:val="002F4044"/>
    <w:rsid w:val="002F6C64"/>
    <w:rsid w:val="00301520"/>
    <w:rsid w:val="00301B2A"/>
    <w:rsid w:val="00303043"/>
    <w:rsid w:val="00303471"/>
    <w:rsid w:val="0030500F"/>
    <w:rsid w:val="00305304"/>
    <w:rsid w:val="0030547A"/>
    <w:rsid w:val="00305515"/>
    <w:rsid w:val="00305DDF"/>
    <w:rsid w:val="003108C2"/>
    <w:rsid w:val="003113DF"/>
    <w:rsid w:val="0031156D"/>
    <w:rsid w:val="00312B1C"/>
    <w:rsid w:val="00314F19"/>
    <w:rsid w:val="00314FA9"/>
    <w:rsid w:val="00317198"/>
    <w:rsid w:val="00317A90"/>
    <w:rsid w:val="003274A8"/>
    <w:rsid w:val="0032785D"/>
    <w:rsid w:val="00327C79"/>
    <w:rsid w:val="0033018D"/>
    <w:rsid w:val="0033109B"/>
    <w:rsid w:val="00332F50"/>
    <w:rsid w:val="00333161"/>
    <w:rsid w:val="003333BB"/>
    <w:rsid w:val="00333498"/>
    <w:rsid w:val="0033630A"/>
    <w:rsid w:val="003364B2"/>
    <w:rsid w:val="00336D6C"/>
    <w:rsid w:val="003438F1"/>
    <w:rsid w:val="00344145"/>
    <w:rsid w:val="003464E8"/>
    <w:rsid w:val="00346F36"/>
    <w:rsid w:val="003517C0"/>
    <w:rsid w:val="00351865"/>
    <w:rsid w:val="00351BA8"/>
    <w:rsid w:val="00354616"/>
    <w:rsid w:val="00354677"/>
    <w:rsid w:val="003546F5"/>
    <w:rsid w:val="00357BD9"/>
    <w:rsid w:val="00360309"/>
    <w:rsid w:val="00360644"/>
    <w:rsid w:val="0036079C"/>
    <w:rsid w:val="0036211C"/>
    <w:rsid w:val="0036329B"/>
    <w:rsid w:val="00363359"/>
    <w:rsid w:val="003643DA"/>
    <w:rsid w:val="003647B1"/>
    <w:rsid w:val="003654FA"/>
    <w:rsid w:val="00366071"/>
    <w:rsid w:val="00366609"/>
    <w:rsid w:val="00367288"/>
    <w:rsid w:val="00367E86"/>
    <w:rsid w:val="003712EC"/>
    <w:rsid w:val="00371BA8"/>
    <w:rsid w:val="00374C45"/>
    <w:rsid w:val="00380156"/>
    <w:rsid w:val="00381EDE"/>
    <w:rsid w:val="00381F02"/>
    <w:rsid w:val="00382036"/>
    <w:rsid w:val="00383868"/>
    <w:rsid w:val="0038450D"/>
    <w:rsid w:val="00384590"/>
    <w:rsid w:val="0038608D"/>
    <w:rsid w:val="00387647"/>
    <w:rsid w:val="00390447"/>
    <w:rsid w:val="003911B9"/>
    <w:rsid w:val="003914A3"/>
    <w:rsid w:val="0039184F"/>
    <w:rsid w:val="00392773"/>
    <w:rsid w:val="00392D99"/>
    <w:rsid w:val="00393DF8"/>
    <w:rsid w:val="00395C2B"/>
    <w:rsid w:val="003974A0"/>
    <w:rsid w:val="003A0C26"/>
    <w:rsid w:val="003A0F31"/>
    <w:rsid w:val="003A14C3"/>
    <w:rsid w:val="003A1A53"/>
    <w:rsid w:val="003A1E08"/>
    <w:rsid w:val="003A3215"/>
    <w:rsid w:val="003A3CFC"/>
    <w:rsid w:val="003A6FAA"/>
    <w:rsid w:val="003A71D4"/>
    <w:rsid w:val="003B125A"/>
    <w:rsid w:val="003B39D9"/>
    <w:rsid w:val="003B69A7"/>
    <w:rsid w:val="003B7184"/>
    <w:rsid w:val="003B7606"/>
    <w:rsid w:val="003B77E0"/>
    <w:rsid w:val="003C0D63"/>
    <w:rsid w:val="003C1593"/>
    <w:rsid w:val="003C37C7"/>
    <w:rsid w:val="003C45B1"/>
    <w:rsid w:val="003C5463"/>
    <w:rsid w:val="003C54C4"/>
    <w:rsid w:val="003C6E30"/>
    <w:rsid w:val="003C70A3"/>
    <w:rsid w:val="003C7D0D"/>
    <w:rsid w:val="003D15CA"/>
    <w:rsid w:val="003D17A0"/>
    <w:rsid w:val="003D2F7D"/>
    <w:rsid w:val="003D72E5"/>
    <w:rsid w:val="003E0625"/>
    <w:rsid w:val="003E1DF0"/>
    <w:rsid w:val="003E250F"/>
    <w:rsid w:val="003E5290"/>
    <w:rsid w:val="003F0721"/>
    <w:rsid w:val="003F0853"/>
    <w:rsid w:val="003F26D3"/>
    <w:rsid w:val="003F339A"/>
    <w:rsid w:val="003F4157"/>
    <w:rsid w:val="003F4318"/>
    <w:rsid w:val="003F5B06"/>
    <w:rsid w:val="003F60FA"/>
    <w:rsid w:val="003F6755"/>
    <w:rsid w:val="003F6B03"/>
    <w:rsid w:val="00400052"/>
    <w:rsid w:val="004002AB"/>
    <w:rsid w:val="004007D5"/>
    <w:rsid w:val="00402D74"/>
    <w:rsid w:val="004105CF"/>
    <w:rsid w:val="00413B59"/>
    <w:rsid w:val="00414AE4"/>
    <w:rsid w:val="0041516B"/>
    <w:rsid w:val="0041593E"/>
    <w:rsid w:val="00416B51"/>
    <w:rsid w:val="00417586"/>
    <w:rsid w:val="00417F1E"/>
    <w:rsid w:val="00421579"/>
    <w:rsid w:val="004223A2"/>
    <w:rsid w:val="004223FB"/>
    <w:rsid w:val="00424496"/>
    <w:rsid w:val="004245B3"/>
    <w:rsid w:val="004265B1"/>
    <w:rsid w:val="004274A6"/>
    <w:rsid w:val="00427CCF"/>
    <w:rsid w:val="0043107C"/>
    <w:rsid w:val="00432B5B"/>
    <w:rsid w:val="00434793"/>
    <w:rsid w:val="00437425"/>
    <w:rsid w:val="00440D98"/>
    <w:rsid w:val="00441495"/>
    <w:rsid w:val="00443CDC"/>
    <w:rsid w:val="0044571B"/>
    <w:rsid w:val="004460A8"/>
    <w:rsid w:val="00447905"/>
    <w:rsid w:val="00447AC0"/>
    <w:rsid w:val="00450327"/>
    <w:rsid w:val="004508AD"/>
    <w:rsid w:val="00450CE9"/>
    <w:rsid w:val="004514DF"/>
    <w:rsid w:val="00451651"/>
    <w:rsid w:val="00451A6E"/>
    <w:rsid w:val="00453DF9"/>
    <w:rsid w:val="00457501"/>
    <w:rsid w:val="004577A2"/>
    <w:rsid w:val="00457C30"/>
    <w:rsid w:val="00457F93"/>
    <w:rsid w:val="004647D0"/>
    <w:rsid w:val="00466639"/>
    <w:rsid w:val="004742D8"/>
    <w:rsid w:val="0047462B"/>
    <w:rsid w:val="00474ABA"/>
    <w:rsid w:val="004753E6"/>
    <w:rsid w:val="004803BF"/>
    <w:rsid w:val="00480B3D"/>
    <w:rsid w:val="00480F4E"/>
    <w:rsid w:val="004811CE"/>
    <w:rsid w:val="00481D82"/>
    <w:rsid w:val="0048275E"/>
    <w:rsid w:val="00483060"/>
    <w:rsid w:val="00483ABB"/>
    <w:rsid w:val="00485EA2"/>
    <w:rsid w:val="00486014"/>
    <w:rsid w:val="004864DD"/>
    <w:rsid w:val="0049037F"/>
    <w:rsid w:val="00494E11"/>
    <w:rsid w:val="004955C3"/>
    <w:rsid w:val="00495E73"/>
    <w:rsid w:val="0049600D"/>
    <w:rsid w:val="0049611C"/>
    <w:rsid w:val="00496F56"/>
    <w:rsid w:val="00497611"/>
    <w:rsid w:val="004A04B0"/>
    <w:rsid w:val="004A0F60"/>
    <w:rsid w:val="004A2609"/>
    <w:rsid w:val="004A263F"/>
    <w:rsid w:val="004A5F4C"/>
    <w:rsid w:val="004A6E64"/>
    <w:rsid w:val="004A72F2"/>
    <w:rsid w:val="004A7696"/>
    <w:rsid w:val="004A7E22"/>
    <w:rsid w:val="004B1529"/>
    <w:rsid w:val="004B18DF"/>
    <w:rsid w:val="004B3AB8"/>
    <w:rsid w:val="004C190B"/>
    <w:rsid w:val="004C1CC8"/>
    <w:rsid w:val="004C2656"/>
    <w:rsid w:val="004C32CD"/>
    <w:rsid w:val="004C49E6"/>
    <w:rsid w:val="004C5533"/>
    <w:rsid w:val="004C555B"/>
    <w:rsid w:val="004C56F6"/>
    <w:rsid w:val="004C7644"/>
    <w:rsid w:val="004C7A41"/>
    <w:rsid w:val="004D12D9"/>
    <w:rsid w:val="004D188D"/>
    <w:rsid w:val="004D1D29"/>
    <w:rsid w:val="004D2916"/>
    <w:rsid w:val="004D2C14"/>
    <w:rsid w:val="004D6120"/>
    <w:rsid w:val="004E2391"/>
    <w:rsid w:val="004E25D4"/>
    <w:rsid w:val="004E3639"/>
    <w:rsid w:val="004E4BF9"/>
    <w:rsid w:val="004E512C"/>
    <w:rsid w:val="004E545B"/>
    <w:rsid w:val="004F0CC0"/>
    <w:rsid w:val="004F1E15"/>
    <w:rsid w:val="004F34FE"/>
    <w:rsid w:val="004F4687"/>
    <w:rsid w:val="004F470A"/>
    <w:rsid w:val="004F7198"/>
    <w:rsid w:val="0050203F"/>
    <w:rsid w:val="005025BA"/>
    <w:rsid w:val="0050358E"/>
    <w:rsid w:val="00503E4D"/>
    <w:rsid w:val="00505DAE"/>
    <w:rsid w:val="0050637C"/>
    <w:rsid w:val="00507755"/>
    <w:rsid w:val="005079F5"/>
    <w:rsid w:val="00511BAD"/>
    <w:rsid w:val="00513871"/>
    <w:rsid w:val="005138D6"/>
    <w:rsid w:val="00514F3B"/>
    <w:rsid w:val="005151A6"/>
    <w:rsid w:val="005171EA"/>
    <w:rsid w:val="0052191C"/>
    <w:rsid w:val="005223CA"/>
    <w:rsid w:val="00524602"/>
    <w:rsid w:val="00524B3C"/>
    <w:rsid w:val="00524C94"/>
    <w:rsid w:val="00524D1A"/>
    <w:rsid w:val="005251C6"/>
    <w:rsid w:val="00525810"/>
    <w:rsid w:val="00526580"/>
    <w:rsid w:val="005313D5"/>
    <w:rsid w:val="00531BF3"/>
    <w:rsid w:val="0053441D"/>
    <w:rsid w:val="0053565B"/>
    <w:rsid w:val="00537133"/>
    <w:rsid w:val="00541210"/>
    <w:rsid w:val="00541B64"/>
    <w:rsid w:val="005429DC"/>
    <w:rsid w:val="00543BC2"/>
    <w:rsid w:val="00545EA7"/>
    <w:rsid w:val="0054646C"/>
    <w:rsid w:val="005465B0"/>
    <w:rsid w:val="00552004"/>
    <w:rsid w:val="0055266F"/>
    <w:rsid w:val="00553322"/>
    <w:rsid w:val="0055357C"/>
    <w:rsid w:val="005538C3"/>
    <w:rsid w:val="005538FA"/>
    <w:rsid w:val="00553ACD"/>
    <w:rsid w:val="00553EA8"/>
    <w:rsid w:val="00554FCD"/>
    <w:rsid w:val="0055565E"/>
    <w:rsid w:val="00556C90"/>
    <w:rsid w:val="00560100"/>
    <w:rsid w:val="00560458"/>
    <w:rsid w:val="00560FAF"/>
    <w:rsid w:val="00561960"/>
    <w:rsid w:val="005625E3"/>
    <w:rsid w:val="00562D31"/>
    <w:rsid w:val="00564690"/>
    <w:rsid w:val="005649B4"/>
    <w:rsid w:val="00564B18"/>
    <w:rsid w:val="005673DD"/>
    <w:rsid w:val="00572338"/>
    <w:rsid w:val="00573315"/>
    <w:rsid w:val="00573A69"/>
    <w:rsid w:val="00574A90"/>
    <w:rsid w:val="00576A8E"/>
    <w:rsid w:val="005771A5"/>
    <w:rsid w:val="00577BFA"/>
    <w:rsid w:val="00580DED"/>
    <w:rsid w:val="00582465"/>
    <w:rsid w:val="00582C6E"/>
    <w:rsid w:val="00584846"/>
    <w:rsid w:val="005857FC"/>
    <w:rsid w:val="0058609E"/>
    <w:rsid w:val="00591964"/>
    <w:rsid w:val="00592450"/>
    <w:rsid w:val="00593ED5"/>
    <w:rsid w:val="005943DF"/>
    <w:rsid w:val="005957BB"/>
    <w:rsid w:val="005969AE"/>
    <w:rsid w:val="00597079"/>
    <w:rsid w:val="005A21B7"/>
    <w:rsid w:val="005A2DD2"/>
    <w:rsid w:val="005A45C4"/>
    <w:rsid w:val="005A59C4"/>
    <w:rsid w:val="005A5FAD"/>
    <w:rsid w:val="005A690B"/>
    <w:rsid w:val="005A77C8"/>
    <w:rsid w:val="005B0EA5"/>
    <w:rsid w:val="005B2238"/>
    <w:rsid w:val="005C04E2"/>
    <w:rsid w:val="005C0E76"/>
    <w:rsid w:val="005C15EB"/>
    <w:rsid w:val="005C1C50"/>
    <w:rsid w:val="005C1C6E"/>
    <w:rsid w:val="005C1F49"/>
    <w:rsid w:val="005C3B62"/>
    <w:rsid w:val="005C3F2A"/>
    <w:rsid w:val="005C53CC"/>
    <w:rsid w:val="005D0587"/>
    <w:rsid w:val="005D0D12"/>
    <w:rsid w:val="005D1730"/>
    <w:rsid w:val="005D2C6E"/>
    <w:rsid w:val="005D3F0E"/>
    <w:rsid w:val="005D479D"/>
    <w:rsid w:val="005D5E56"/>
    <w:rsid w:val="005D6190"/>
    <w:rsid w:val="005D7624"/>
    <w:rsid w:val="005D7CF5"/>
    <w:rsid w:val="005E08E5"/>
    <w:rsid w:val="005E0A52"/>
    <w:rsid w:val="005E1686"/>
    <w:rsid w:val="005E1C2E"/>
    <w:rsid w:val="005E3D8D"/>
    <w:rsid w:val="005E4679"/>
    <w:rsid w:val="005E7A85"/>
    <w:rsid w:val="005F2C78"/>
    <w:rsid w:val="005F792A"/>
    <w:rsid w:val="006009B0"/>
    <w:rsid w:val="00600D43"/>
    <w:rsid w:val="0060226A"/>
    <w:rsid w:val="00602EB8"/>
    <w:rsid w:val="00603B89"/>
    <w:rsid w:val="00603F29"/>
    <w:rsid w:val="006069EA"/>
    <w:rsid w:val="006079F6"/>
    <w:rsid w:val="00607A2E"/>
    <w:rsid w:val="006109BB"/>
    <w:rsid w:val="006142AE"/>
    <w:rsid w:val="00614A16"/>
    <w:rsid w:val="0061527C"/>
    <w:rsid w:val="00615753"/>
    <w:rsid w:val="006161BE"/>
    <w:rsid w:val="006227F4"/>
    <w:rsid w:val="006236A9"/>
    <w:rsid w:val="00623F7B"/>
    <w:rsid w:val="006260EA"/>
    <w:rsid w:val="00626223"/>
    <w:rsid w:val="00626720"/>
    <w:rsid w:val="0062693A"/>
    <w:rsid w:val="00631011"/>
    <w:rsid w:val="00631A27"/>
    <w:rsid w:val="006339A4"/>
    <w:rsid w:val="00633B2E"/>
    <w:rsid w:val="006369B3"/>
    <w:rsid w:val="00637E45"/>
    <w:rsid w:val="00640668"/>
    <w:rsid w:val="00641736"/>
    <w:rsid w:val="00642867"/>
    <w:rsid w:val="00642E24"/>
    <w:rsid w:val="00643694"/>
    <w:rsid w:val="00645ABA"/>
    <w:rsid w:val="00652669"/>
    <w:rsid w:val="006530CC"/>
    <w:rsid w:val="00654D71"/>
    <w:rsid w:val="00657035"/>
    <w:rsid w:val="0065780F"/>
    <w:rsid w:val="00657E6D"/>
    <w:rsid w:val="00663289"/>
    <w:rsid w:val="00665E7C"/>
    <w:rsid w:val="0066668A"/>
    <w:rsid w:val="00667F9B"/>
    <w:rsid w:val="00671C3B"/>
    <w:rsid w:val="00673D0F"/>
    <w:rsid w:val="0067711A"/>
    <w:rsid w:val="0068415F"/>
    <w:rsid w:val="00685E29"/>
    <w:rsid w:val="00686A80"/>
    <w:rsid w:val="006876BC"/>
    <w:rsid w:val="0069018A"/>
    <w:rsid w:val="0069058F"/>
    <w:rsid w:val="006908AA"/>
    <w:rsid w:val="00697021"/>
    <w:rsid w:val="0069791D"/>
    <w:rsid w:val="006A100C"/>
    <w:rsid w:val="006A333D"/>
    <w:rsid w:val="006A432C"/>
    <w:rsid w:val="006A46A5"/>
    <w:rsid w:val="006A49B3"/>
    <w:rsid w:val="006A4D8E"/>
    <w:rsid w:val="006A653D"/>
    <w:rsid w:val="006A7200"/>
    <w:rsid w:val="006B0D27"/>
    <w:rsid w:val="006B1366"/>
    <w:rsid w:val="006B5111"/>
    <w:rsid w:val="006B59C9"/>
    <w:rsid w:val="006B7BE0"/>
    <w:rsid w:val="006C14FF"/>
    <w:rsid w:val="006C2EEB"/>
    <w:rsid w:val="006C38A2"/>
    <w:rsid w:val="006C4306"/>
    <w:rsid w:val="006C6FBC"/>
    <w:rsid w:val="006C751A"/>
    <w:rsid w:val="006D236A"/>
    <w:rsid w:val="006D2A84"/>
    <w:rsid w:val="006D2E15"/>
    <w:rsid w:val="006D3CB5"/>
    <w:rsid w:val="006D645F"/>
    <w:rsid w:val="006E0CBE"/>
    <w:rsid w:val="006E0FAF"/>
    <w:rsid w:val="006E1BC3"/>
    <w:rsid w:val="006E1F0B"/>
    <w:rsid w:val="006E29F8"/>
    <w:rsid w:val="006E3814"/>
    <w:rsid w:val="006E49E8"/>
    <w:rsid w:val="006E590F"/>
    <w:rsid w:val="006E6619"/>
    <w:rsid w:val="006F1153"/>
    <w:rsid w:val="006F48B1"/>
    <w:rsid w:val="006F4AF9"/>
    <w:rsid w:val="006F5550"/>
    <w:rsid w:val="006F5F3D"/>
    <w:rsid w:val="006F608F"/>
    <w:rsid w:val="006F66D8"/>
    <w:rsid w:val="00700F85"/>
    <w:rsid w:val="00702C7C"/>
    <w:rsid w:val="00703921"/>
    <w:rsid w:val="00703B2F"/>
    <w:rsid w:val="007041F2"/>
    <w:rsid w:val="00704974"/>
    <w:rsid w:val="00710441"/>
    <w:rsid w:val="007106E7"/>
    <w:rsid w:val="00714141"/>
    <w:rsid w:val="00716A30"/>
    <w:rsid w:val="007176AD"/>
    <w:rsid w:val="00717C69"/>
    <w:rsid w:val="0072083C"/>
    <w:rsid w:val="00720BDA"/>
    <w:rsid w:val="007218E3"/>
    <w:rsid w:val="00722EA8"/>
    <w:rsid w:val="00723058"/>
    <w:rsid w:val="00726C54"/>
    <w:rsid w:val="00727E73"/>
    <w:rsid w:val="0073116C"/>
    <w:rsid w:val="00731EAB"/>
    <w:rsid w:val="0073330C"/>
    <w:rsid w:val="007353D4"/>
    <w:rsid w:val="00736513"/>
    <w:rsid w:val="00736F78"/>
    <w:rsid w:val="00741473"/>
    <w:rsid w:val="00741AC6"/>
    <w:rsid w:val="0074440E"/>
    <w:rsid w:val="007514E6"/>
    <w:rsid w:val="00752843"/>
    <w:rsid w:val="0075358F"/>
    <w:rsid w:val="00753E8E"/>
    <w:rsid w:val="00754BA1"/>
    <w:rsid w:val="007571C0"/>
    <w:rsid w:val="007609B1"/>
    <w:rsid w:val="007613D9"/>
    <w:rsid w:val="0076222D"/>
    <w:rsid w:val="00763B8B"/>
    <w:rsid w:val="00764488"/>
    <w:rsid w:val="00764F22"/>
    <w:rsid w:val="00765044"/>
    <w:rsid w:val="007655CE"/>
    <w:rsid w:val="007666DB"/>
    <w:rsid w:val="0076704F"/>
    <w:rsid w:val="007710C8"/>
    <w:rsid w:val="007723A7"/>
    <w:rsid w:val="00773305"/>
    <w:rsid w:val="0077580D"/>
    <w:rsid w:val="00775E0C"/>
    <w:rsid w:val="00775EDF"/>
    <w:rsid w:val="00777D30"/>
    <w:rsid w:val="00777DE8"/>
    <w:rsid w:val="00781899"/>
    <w:rsid w:val="00781E3E"/>
    <w:rsid w:val="0078254F"/>
    <w:rsid w:val="007830C3"/>
    <w:rsid w:val="007849CE"/>
    <w:rsid w:val="007865F3"/>
    <w:rsid w:val="0078755F"/>
    <w:rsid w:val="00787842"/>
    <w:rsid w:val="00790943"/>
    <w:rsid w:val="00790F89"/>
    <w:rsid w:val="00791F98"/>
    <w:rsid w:val="00792B5A"/>
    <w:rsid w:val="007942AD"/>
    <w:rsid w:val="00794303"/>
    <w:rsid w:val="00794E4D"/>
    <w:rsid w:val="00795E0F"/>
    <w:rsid w:val="00796B32"/>
    <w:rsid w:val="00797632"/>
    <w:rsid w:val="00797CD4"/>
    <w:rsid w:val="007A0DB7"/>
    <w:rsid w:val="007A0DE0"/>
    <w:rsid w:val="007A2405"/>
    <w:rsid w:val="007A2EB7"/>
    <w:rsid w:val="007A4097"/>
    <w:rsid w:val="007A588F"/>
    <w:rsid w:val="007A60CB"/>
    <w:rsid w:val="007B19D2"/>
    <w:rsid w:val="007B29A5"/>
    <w:rsid w:val="007B4820"/>
    <w:rsid w:val="007B4F6F"/>
    <w:rsid w:val="007B53CE"/>
    <w:rsid w:val="007C38D6"/>
    <w:rsid w:val="007C6A7D"/>
    <w:rsid w:val="007C73E2"/>
    <w:rsid w:val="007C7B39"/>
    <w:rsid w:val="007D1C85"/>
    <w:rsid w:val="007D2201"/>
    <w:rsid w:val="007D2522"/>
    <w:rsid w:val="007D2E80"/>
    <w:rsid w:val="007D5BB0"/>
    <w:rsid w:val="007D68D1"/>
    <w:rsid w:val="007D71FF"/>
    <w:rsid w:val="007E0AD0"/>
    <w:rsid w:val="007E1600"/>
    <w:rsid w:val="007E2E6E"/>
    <w:rsid w:val="007E3884"/>
    <w:rsid w:val="007E6101"/>
    <w:rsid w:val="007E7B8B"/>
    <w:rsid w:val="007F50C1"/>
    <w:rsid w:val="007F7CAC"/>
    <w:rsid w:val="0080132C"/>
    <w:rsid w:val="008023E9"/>
    <w:rsid w:val="0080533A"/>
    <w:rsid w:val="00805F9E"/>
    <w:rsid w:val="008062C0"/>
    <w:rsid w:val="008101DF"/>
    <w:rsid w:val="008103AC"/>
    <w:rsid w:val="00810E6F"/>
    <w:rsid w:val="008157E6"/>
    <w:rsid w:val="00816064"/>
    <w:rsid w:val="008172E3"/>
    <w:rsid w:val="008202D8"/>
    <w:rsid w:val="008226C4"/>
    <w:rsid w:val="00823055"/>
    <w:rsid w:val="008235CC"/>
    <w:rsid w:val="008246F4"/>
    <w:rsid w:val="00824AC2"/>
    <w:rsid w:val="00825427"/>
    <w:rsid w:val="008267AC"/>
    <w:rsid w:val="008274E9"/>
    <w:rsid w:val="008300B2"/>
    <w:rsid w:val="00830D42"/>
    <w:rsid w:val="00834404"/>
    <w:rsid w:val="008346E4"/>
    <w:rsid w:val="00834E60"/>
    <w:rsid w:val="00835246"/>
    <w:rsid w:val="00835950"/>
    <w:rsid w:val="00835BD5"/>
    <w:rsid w:val="00837C36"/>
    <w:rsid w:val="00837D8A"/>
    <w:rsid w:val="008408BD"/>
    <w:rsid w:val="00842080"/>
    <w:rsid w:val="00842A98"/>
    <w:rsid w:val="0084483F"/>
    <w:rsid w:val="00844F40"/>
    <w:rsid w:val="00844F60"/>
    <w:rsid w:val="00845763"/>
    <w:rsid w:val="008457C8"/>
    <w:rsid w:val="008468C1"/>
    <w:rsid w:val="00847115"/>
    <w:rsid w:val="008475B3"/>
    <w:rsid w:val="008478FA"/>
    <w:rsid w:val="00850349"/>
    <w:rsid w:val="008525AD"/>
    <w:rsid w:val="008529C9"/>
    <w:rsid w:val="008530AD"/>
    <w:rsid w:val="008532E0"/>
    <w:rsid w:val="008535D7"/>
    <w:rsid w:val="00854222"/>
    <w:rsid w:val="008604A3"/>
    <w:rsid w:val="00860E72"/>
    <w:rsid w:val="00862C03"/>
    <w:rsid w:val="00863AD0"/>
    <w:rsid w:val="00864293"/>
    <w:rsid w:val="00864D99"/>
    <w:rsid w:val="00865841"/>
    <w:rsid w:val="00866627"/>
    <w:rsid w:val="00866810"/>
    <w:rsid w:val="00867549"/>
    <w:rsid w:val="0086786C"/>
    <w:rsid w:val="008705D1"/>
    <w:rsid w:val="00870A26"/>
    <w:rsid w:val="008720FC"/>
    <w:rsid w:val="00873019"/>
    <w:rsid w:val="008735F0"/>
    <w:rsid w:val="00874467"/>
    <w:rsid w:val="00874F65"/>
    <w:rsid w:val="00875E93"/>
    <w:rsid w:val="00877C0C"/>
    <w:rsid w:val="00880387"/>
    <w:rsid w:val="0088060A"/>
    <w:rsid w:val="00884096"/>
    <w:rsid w:val="00885CBA"/>
    <w:rsid w:val="00890D9E"/>
    <w:rsid w:val="00892FB5"/>
    <w:rsid w:val="00893B91"/>
    <w:rsid w:val="008971E0"/>
    <w:rsid w:val="00897C4B"/>
    <w:rsid w:val="008A05FE"/>
    <w:rsid w:val="008A159C"/>
    <w:rsid w:val="008A253A"/>
    <w:rsid w:val="008A4467"/>
    <w:rsid w:val="008A621F"/>
    <w:rsid w:val="008A779E"/>
    <w:rsid w:val="008A7EFB"/>
    <w:rsid w:val="008B0829"/>
    <w:rsid w:val="008B1AAD"/>
    <w:rsid w:val="008B6A1B"/>
    <w:rsid w:val="008B6D31"/>
    <w:rsid w:val="008B73E9"/>
    <w:rsid w:val="008B7FA3"/>
    <w:rsid w:val="008C2293"/>
    <w:rsid w:val="008C36B0"/>
    <w:rsid w:val="008C5368"/>
    <w:rsid w:val="008C6DFC"/>
    <w:rsid w:val="008C7E1B"/>
    <w:rsid w:val="008D2460"/>
    <w:rsid w:val="008D44E7"/>
    <w:rsid w:val="008D4874"/>
    <w:rsid w:val="008D4D80"/>
    <w:rsid w:val="008D5604"/>
    <w:rsid w:val="008D5E0C"/>
    <w:rsid w:val="008E0BE2"/>
    <w:rsid w:val="008E17EE"/>
    <w:rsid w:val="008E5166"/>
    <w:rsid w:val="008E74DB"/>
    <w:rsid w:val="008E79BD"/>
    <w:rsid w:val="008F0063"/>
    <w:rsid w:val="008F1C23"/>
    <w:rsid w:val="008F43D9"/>
    <w:rsid w:val="008F5729"/>
    <w:rsid w:val="008F6053"/>
    <w:rsid w:val="008F76D7"/>
    <w:rsid w:val="008F7D10"/>
    <w:rsid w:val="00901C5E"/>
    <w:rsid w:val="009028C3"/>
    <w:rsid w:val="009030C2"/>
    <w:rsid w:val="00903601"/>
    <w:rsid w:val="009037C6"/>
    <w:rsid w:val="00905588"/>
    <w:rsid w:val="0090580B"/>
    <w:rsid w:val="009074D7"/>
    <w:rsid w:val="00912CE6"/>
    <w:rsid w:val="00914796"/>
    <w:rsid w:val="009152A5"/>
    <w:rsid w:val="009160AD"/>
    <w:rsid w:val="00916286"/>
    <w:rsid w:val="0091708F"/>
    <w:rsid w:val="0091763D"/>
    <w:rsid w:val="009178A0"/>
    <w:rsid w:val="00917DD1"/>
    <w:rsid w:val="00920868"/>
    <w:rsid w:val="00920DD0"/>
    <w:rsid w:val="0092285A"/>
    <w:rsid w:val="00922A3C"/>
    <w:rsid w:val="00922AC0"/>
    <w:rsid w:val="00923C7C"/>
    <w:rsid w:val="00923E7E"/>
    <w:rsid w:val="00924917"/>
    <w:rsid w:val="0092589B"/>
    <w:rsid w:val="009272C6"/>
    <w:rsid w:val="009276CD"/>
    <w:rsid w:val="009312E6"/>
    <w:rsid w:val="00931D53"/>
    <w:rsid w:val="00932B8D"/>
    <w:rsid w:val="00933831"/>
    <w:rsid w:val="00935A31"/>
    <w:rsid w:val="009360EB"/>
    <w:rsid w:val="00941642"/>
    <w:rsid w:val="0094273C"/>
    <w:rsid w:val="00942C54"/>
    <w:rsid w:val="00943A4F"/>
    <w:rsid w:val="0094424E"/>
    <w:rsid w:val="00944BF8"/>
    <w:rsid w:val="00947B46"/>
    <w:rsid w:val="00950BCC"/>
    <w:rsid w:val="009539F0"/>
    <w:rsid w:val="0095476A"/>
    <w:rsid w:val="009547E8"/>
    <w:rsid w:val="00956E64"/>
    <w:rsid w:val="00962D13"/>
    <w:rsid w:val="00963740"/>
    <w:rsid w:val="0096618C"/>
    <w:rsid w:val="00966E83"/>
    <w:rsid w:val="00970F1C"/>
    <w:rsid w:val="00971D21"/>
    <w:rsid w:val="00972C4B"/>
    <w:rsid w:val="00972DFD"/>
    <w:rsid w:val="009737B1"/>
    <w:rsid w:val="0097653D"/>
    <w:rsid w:val="009766F8"/>
    <w:rsid w:val="00977081"/>
    <w:rsid w:val="00980C5D"/>
    <w:rsid w:val="00980CC1"/>
    <w:rsid w:val="00980F87"/>
    <w:rsid w:val="009817B1"/>
    <w:rsid w:val="00981A03"/>
    <w:rsid w:val="00982BA0"/>
    <w:rsid w:val="009834DE"/>
    <w:rsid w:val="0098368A"/>
    <w:rsid w:val="0098549D"/>
    <w:rsid w:val="00985B4E"/>
    <w:rsid w:val="00986E13"/>
    <w:rsid w:val="00987763"/>
    <w:rsid w:val="00991E56"/>
    <w:rsid w:val="00994960"/>
    <w:rsid w:val="00995FE6"/>
    <w:rsid w:val="009970AB"/>
    <w:rsid w:val="009972EC"/>
    <w:rsid w:val="00997300"/>
    <w:rsid w:val="009A1938"/>
    <w:rsid w:val="009A220D"/>
    <w:rsid w:val="009A2232"/>
    <w:rsid w:val="009A28EC"/>
    <w:rsid w:val="009A3354"/>
    <w:rsid w:val="009A521E"/>
    <w:rsid w:val="009A5F85"/>
    <w:rsid w:val="009A7198"/>
    <w:rsid w:val="009A7708"/>
    <w:rsid w:val="009A7E4E"/>
    <w:rsid w:val="009B008C"/>
    <w:rsid w:val="009B0184"/>
    <w:rsid w:val="009B0A44"/>
    <w:rsid w:val="009B151A"/>
    <w:rsid w:val="009B2709"/>
    <w:rsid w:val="009B6B34"/>
    <w:rsid w:val="009B77D9"/>
    <w:rsid w:val="009C19A0"/>
    <w:rsid w:val="009C30DB"/>
    <w:rsid w:val="009C4932"/>
    <w:rsid w:val="009C632B"/>
    <w:rsid w:val="009C6E1A"/>
    <w:rsid w:val="009C74D4"/>
    <w:rsid w:val="009C7F6A"/>
    <w:rsid w:val="009D45E5"/>
    <w:rsid w:val="009D4D39"/>
    <w:rsid w:val="009D50DC"/>
    <w:rsid w:val="009D6E5F"/>
    <w:rsid w:val="009E0195"/>
    <w:rsid w:val="009E0F6C"/>
    <w:rsid w:val="009E14E5"/>
    <w:rsid w:val="009E1BAD"/>
    <w:rsid w:val="009E2833"/>
    <w:rsid w:val="009E2842"/>
    <w:rsid w:val="009E2979"/>
    <w:rsid w:val="009E3CB2"/>
    <w:rsid w:val="009E455B"/>
    <w:rsid w:val="009E4DE9"/>
    <w:rsid w:val="009E6DD2"/>
    <w:rsid w:val="009E72B6"/>
    <w:rsid w:val="009F0C08"/>
    <w:rsid w:val="009F18C8"/>
    <w:rsid w:val="009F2B7A"/>
    <w:rsid w:val="009F3295"/>
    <w:rsid w:val="009F3858"/>
    <w:rsid w:val="009F4292"/>
    <w:rsid w:val="009F4E2F"/>
    <w:rsid w:val="009F6F98"/>
    <w:rsid w:val="009F7DA0"/>
    <w:rsid w:val="00A003EF"/>
    <w:rsid w:val="00A007EB"/>
    <w:rsid w:val="00A01747"/>
    <w:rsid w:val="00A02BA0"/>
    <w:rsid w:val="00A02E6A"/>
    <w:rsid w:val="00A032B7"/>
    <w:rsid w:val="00A03BAB"/>
    <w:rsid w:val="00A03CAC"/>
    <w:rsid w:val="00A043DC"/>
    <w:rsid w:val="00A049B3"/>
    <w:rsid w:val="00A04C91"/>
    <w:rsid w:val="00A04E92"/>
    <w:rsid w:val="00A0698A"/>
    <w:rsid w:val="00A06C88"/>
    <w:rsid w:val="00A06F17"/>
    <w:rsid w:val="00A07ACF"/>
    <w:rsid w:val="00A100DB"/>
    <w:rsid w:val="00A103AA"/>
    <w:rsid w:val="00A1053D"/>
    <w:rsid w:val="00A11E3A"/>
    <w:rsid w:val="00A12F4B"/>
    <w:rsid w:val="00A1465E"/>
    <w:rsid w:val="00A1535A"/>
    <w:rsid w:val="00A15684"/>
    <w:rsid w:val="00A16255"/>
    <w:rsid w:val="00A16846"/>
    <w:rsid w:val="00A169A6"/>
    <w:rsid w:val="00A170FA"/>
    <w:rsid w:val="00A17E0B"/>
    <w:rsid w:val="00A21775"/>
    <w:rsid w:val="00A225F3"/>
    <w:rsid w:val="00A232AC"/>
    <w:rsid w:val="00A23C1D"/>
    <w:rsid w:val="00A24397"/>
    <w:rsid w:val="00A244CC"/>
    <w:rsid w:val="00A259DC"/>
    <w:rsid w:val="00A25FA2"/>
    <w:rsid w:val="00A2677A"/>
    <w:rsid w:val="00A27A4C"/>
    <w:rsid w:val="00A30076"/>
    <w:rsid w:val="00A32B11"/>
    <w:rsid w:val="00A333D1"/>
    <w:rsid w:val="00A33EFE"/>
    <w:rsid w:val="00A34D04"/>
    <w:rsid w:val="00A35615"/>
    <w:rsid w:val="00A36418"/>
    <w:rsid w:val="00A3648A"/>
    <w:rsid w:val="00A36F61"/>
    <w:rsid w:val="00A379C8"/>
    <w:rsid w:val="00A40C5D"/>
    <w:rsid w:val="00A4160A"/>
    <w:rsid w:val="00A42134"/>
    <w:rsid w:val="00A42ADF"/>
    <w:rsid w:val="00A42D50"/>
    <w:rsid w:val="00A43C48"/>
    <w:rsid w:val="00A441EE"/>
    <w:rsid w:val="00A447C1"/>
    <w:rsid w:val="00A4494A"/>
    <w:rsid w:val="00A460B7"/>
    <w:rsid w:val="00A46A68"/>
    <w:rsid w:val="00A46E82"/>
    <w:rsid w:val="00A46F69"/>
    <w:rsid w:val="00A47B73"/>
    <w:rsid w:val="00A51EAA"/>
    <w:rsid w:val="00A54DB8"/>
    <w:rsid w:val="00A557E7"/>
    <w:rsid w:val="00A55885"/>
    <w:rsid w:val="00A560C6"/>
    <w:rsid w:val="00A56DB4"/>
    <w:rsid w:val="00A57E03"/>
    <w:rsid w:val="00A60158"/>
    <w:rsid w:val="00A628BB"/>
    <w:rsid w:val="00A63C30"/>
    <w:rsid w:val="00A640F7"/>
    <w:rsid w:val="00A6498F"/>
    <w:rsid w:val="00A64D48"/>
    <w:rsid w:val="00A6507D"/>
    <w:rsid w:val="00A65CDC"/>
    <w:rsid w:val="00A66810"/>
    <w:rsid w:val="00A67464"/>
    <w:rsid w:val="00A678D0"/>
    <w:rsid w:val="00A704A8"/>
    <w:rsid w:val="00A70F87"/>
    <w:rsid w:val="00A7196C"/>
    <w:rsid w:val="00A71BC4"/>
    <w:rsid w:val="00A740FA"/>
    <w:rsid w:val="00A747E8"/>
    <w:rsid w:val="00A749C9"/>
    <w:rsid w:val="00A74C06"/>
    <w:rsid w:val="00A76B64"/>
    <w:rsid w:val="00A814AA"/>
    <w:rsid w:val="00A8173E"/>
    <w:rsid w:val="00A82A11"/>
    <w:rsid w:val="00A84359"/>
    <w:rsid w:val="00A85B1E"/>
    <w:rsid w:val="00A86CE7"/>
    <w:rsid w:val="00A87665"/>
    <w:rsid w:val="00A87C62"/>
    <w:rsid w:val="00A9003A"/>
    <w:rsid w:val="00A9079E"/>
    <w:rsid w:val="00A92239"/>
    <w:rsid w:val="00A94023"/>
    <w:rsid w:val="00A96AA1"/>
    <w:rsid w:val="00AA326B"/>
    <w:rsid w:val="00AA3992"/>
    <w:rsid w:val="00AA54DE"/>
    <w:rsid w:val="00AA6539"/>
    <w:rsid w:val="00AB073C"/>
    <w:rsid w:val="00AB0DFE"/>
    <w:rsid w:val="00AB14FB"/>
    <w:rsid w:val="00AB181A"/>
    <w:rsid w:val="00AB31C4"/>
    <w:rsid w:val="00AB45FB"/>
    <w:rsid w:val="00AB4F51"/>
    <w:rsid w:val="00AB6481"/>
    <w:rsid w:val="00AB66D2"/>
    <w:rsid w:val="00AB6C08"/>
    <w:rsid w:val="00AB714A"/>
    <w:rsid w:val="00AB779D"/>
    <w:rsid w:val="00AC04DA"/>
    <w:rsid w:val="00AC1297"/>
    <w:rsid w:val="00AC194B"/>
    <w:rsid w:val="00AC31F3"/>
    <w:rsid w:val="00AC5FAA"/>
    <w:rsid w:val="00AC6512"/>
    <w:rsid w:val="00AD18A6"/>
    <w:rsid w:val="00AD196A"/>
    <w:rsid w:val="00AD2983"/>
    <w:rsid w:val="00AD29AA"/>
    <w:rsid w:val="00AD362E"/>
    <w:rsid w:val="00AD4085"/>
    <w:rsid w:val="00AD4376"/>
    <w:rsid w:val="00AD4593"/>
    <w:rsid w:val="00AD4EE8"/>
    <w:rsid w:val="00AD4F42"/>
    <w:rsid w:val="00AD5C9F"/>
    <w:rsid w:val="00AD7761"/>
    <w:rsid w:val="00AE034C"/>
    <w:rsid w:val="00AE0AC5"/>
    <w:rsid w:val="00AE1267"/>
    <w:rsid w:val="00AE197B"/>
    <w:rsid w:val="00AE2171"/>
    <w:rsid w:val="00AE273C"/>
    <w:rsid w:val="00AE2B2A"/>
    <w:rsid w:val="00AE33EC"/>
    <w:rsid w:val="00AE341E"/>
    <w:rsid w:val="00AE380A"/>
    <w:rsid w:val="00AE3A87"/>
    <w:rsid w:val="00AE3CBD"/>
    <w:rsid w:val="00AE3D8A"/>
    <w:rsid w:val="00AE4D7C"/>
    <w:rsid w:val="00AE5D54"/>
    <w:rsid w:val="00AE726E"/>
    <w:rsid w:val="00AF03E1"/>
    <w:rsid w:val="00AF1914"/>
    <w:rsid w:val="00AF3C38"/>
    <w:rsid w:val="00AF3DB9"/>
    <w:rsid w:val="00AF4E9C"/>
    <w:rsid w:val="00AF5072"/>
    <w:rsid w:val="00AF5E53"/>
    <w:rsid w:val="00AF60C0"/>
    <w:rsid w:val="00AF662C"/>
    <w:rsid w:val="00AF6C65"/>
    <w:rsid w:val="00AF7AF6"/>
    <w:rsid w:val="00B00604"/>
    <w:rsid w:val="00B017B4"/>
    <w:rsid w:val="00B020EA"/>
    <w:rsid w:val="00B028F8"/>
    <w:rsid w:val="00B02A63"/>
    <w:rsid w:val="00B030AB"/>
    <w:rsid w:val="00B038C5"/>
    <w:rsid w:val="00B07743"/>
    <w:rsid w:val="00B109A1"/>
    <w:rsid w:val="00B13C96"/>
    <w:rsid w:val="00B16166"/>
    <w:rsid w:val="00B16D54"/>
    <w:rsid w:val="00B17CF1"/>
    <w:rsid w:val="00B2034B"/>
    <w:rsid w:val="00B2045C"/>
    <w:rsid w:val="00B23338"/>
    <w:rsid w:val="00B23382"/>
    <w:rsid w:val="00B2447C"/>
    <w:rsid w:val="00B245E6"/>
    <w:rsid w:val="00B24F05"/>
    <w:rsid w:val="00B264A9"/>
    <w:rsid w:val="00B2650F"/>
    <w:rsid w:val="00B3133F"/>
    <w:rsid w:val="00B321A7"/>
    <w:rsid w:val="00B33350"/>
    <w:rsid w:val="00B33584"/>
    <w:rsid w:val="00B3393D"/>
    <w:rsid w:val="00B33A47"/>
    <w:rsid w:val="00B33A5F"/>
    <w:rsid w:val="00B353FF"/>
    <w:rsid w:val="00B368C3"/>
    <w:rsid w:val="00B374B7"/>
    <w:rsid w:val="00B417A0"/>
    <w:rsid w:val="00B42377"/>
    <w:rsid w:val="00B424E8"/>
    <w:rsid w:val="00B4479D"/>
    <w:rsid w:val="00B4529B"/>
    <w:rsid w:val="00B45A9A"/>
    <w:rsid w:val="00B46911"/>
    <w:rsid w:val="00B46BBB"/>
    <w:rsid w:val="00B4758D"/>
    <w:rsid w:val="00B47DC7"/>
    <w:rsid w:val="00B50F3D"/>
    <w:rsid w:val="00B549C9"/>
    <w:rsid w:val="00B55A01"/>
    <w:rsid w:val="00B56B1B"/>
    <w:rsid w:val="00B56DF2"/>
    <w:rsid w:val="00B573F1"/>
    <w:rsid w:val="00B57BBC"/>
    <w:rsid w:val="00B60B83"/>
    <w:rsid w:val="00B61388"/>
    <w:rsid w:val="00B62660"/>
    <w:rsid w:val="00B628B6"/>
    <w:rsid w:val="00B62E44"/>
    <w:rsid w:val="00B64087"/>
    <w:rsid w:val="00B7039F"/>
    <w:rsid w:val="00B70ABE"/>
    <w:rsid w:val="00B72416"/>
    <w:rsid w:val="00B72930"/>
    <w:rsid w:val="00B72D72"/>
    <w:rsid w:val="00B743A3"/>
    <w:rsid w:val="00B74BD4"/>
    <w:rsid w:val="00B75F59"/>
    <w:rsid w:val="00B7791A"/>
    <w:rsid w:val="00B81657"/>
    <w:rsid w:val="00B8245D"/>
    <w:rsid w:val="00B83A23"/>
    <w:rsid w:val="00B845D5"/>
    <w:rsid w:val="00B85010"/>
    <w:rsid w:val="00B8633B"/>
    <w:rsid w:val="00B90B23"/>
    <w:rsid w:val="00B90BB9"/>
    <w:rsid w:val="00B91F62"/>
    <w:rsid w:val="00B92855"/>
    <w:rsid w:val="00B9331F"/>
    <w:rsid w:val="00B93D7E"/>
    <w:rsid w:val="00B94E86"/>
    <w:rsid w:val="00B95E6A"/>
    <w:rsid w:val="00B97871"/>
    <w:rsid w:val="00BA06B1"/>
    <w:rsid w:val="00BA2920"/>
    <w:rsid w:val="00BA3087"/>
    <w:rsid w:val="00BA4964"/>
    <w:rsid w:val="00BA5175"/>
    <w:rsid w:val="00BA5D46"/>
    <w:rsid w:val="00BA6045"/>
    <w:rsid w:val="00BA7D55"/>
    <w:rsid w:val="00BB21D9"/>
    <w:rsid w:val="00BB2898"/>
    <w:rsid w:val="00BB3BAC"/>
    <w:rsid w:val="00BB4141"/>
    <w:rsid w:val="00BB7081"/>
    <w:rsid w:val="00BC2573"/>
    <w:rsid w:val="00BC2AA6"/>
    <w:rsid w:val="00BC4CE1"/>
    <w:rsid w:val="00BC5440"/>
    <w:rsid w:val="00BC73CA"/>
    <w:rsid w:val="00BD0507"/>
    <w:rsid w:val="00BD06FA"/>
    <w:rsid w:val="00BD429B"/>
    <w:rsid w:val="00BD45AB"/>
    <w:rsid w:val="00BD78B7"/>
    <w:rsid w:val="00BE15A7"/>
    <w:rsid w:val="00BE1A7C"/>
    <w:rsid w:val="00BE29CC"/>
    <w:rsid w:val="00BE2DA8"/>
    <w:rsid w:val="00BE3371"/>
    <w:rsid w:val="00BE5794"/>
    <w:rsid w:val="00BE5C09"/>
    <w:rsid w:val="00BE791F"/>
    <w:rsid w:val="00BF0B43"/>
    <w:rsid w:val="00BF11B5"/>
    <w:rsid w:val="00BF2855"/>
    <w:rsid w:val="00BF28A0"/>
    <w:rsid w:val="00BF2C37"/>
    <w:rsid w:val="00C00C33"/>
    <w:rsid w:val="00C03C59"/>
    <w:rsid w:val="00C0410C"/>
    <w:rsid w:val="00C0413B"/>
    <w:rsid w:val="00C0473B"/>
    <w:rsid w:val="00C04A2D"/>
    <w:rsid w:val="00C058D4"/>
    <w:rsid w:val="00C11DFE"/>
    <w:rsid w:val="00C1308A"/>
    <w:rsid w:val="00C1458A"/>
    <w:rsid w:val="00C145C9"/>
    <w:rsid w:val="00C14912"/>
    <w:rsid w:val="00C15779"/>
    <w:rsid w:val="00C1737D"/>
    <w:rsid w:val="00C2008F"/>
    <w:rsid w:val="00C21588"/>
    <w:rsid w:val="00C224D3"/>
    <w:rsid w:val="00C22CBA"/>
    <w:rsid w:val="00C22E12"/>
    <w:rsid w:val="00C2360F"/>
    <w:rsid w:val="00C239CA"/>
    <w:rsid w:val="00C32020"/>
    <w:rsid w:val="00C34240"/>
    <w:rsid w:val="00C342DB"/>
    <w:rsid w:val="00C357BD"/>
    <w:rsid w:val="00C363BD"/>
    <w:rsid w:val="00C374BF"/>
    <w:rsid w:val="00C37555"/>
    <w:rsid w:val="00C4029F"/>
    <w:rsid w:val="00C45274"/>
    <w:rsid w:val="00C47A2D"/>
    <w:rsid w:val="00C53103"/>
    <w:rsid w:val="00C53525"/>
    <w:rsid w:val="00C541FE"/>
    <w:rsid w:val="00C545F4"/>
    <w:rsid w:val="00C554EB"/>
    <w:rsid w:val="00C55AAB"/>
    <w:rsid w:val="00C55D40"/>
    <w:rsid w:val="00C573D6"/>
    <w:rsid w:val="00C5784E"/>
    <w:rsid w:val="00C57EAB"/>
    <w:rsid w:val="00C609D3"/>
    <w:rsid w:val="00C60DDC"/>
    <w:rsid w:val="00C61336"/>
    <w:rsid w:val="00C631C0"/>
    <w:rsid w:val="00C63540"/>
    <w:rsid w:val="00C6595F"/>
    <w:rsid w:val="00C73613"/>
    <w:rsid w:val="00C74A43"/>
    <w:rsid w:val="00C759B2"/>
    <w:rsid w:val="00C75AE5"/>
    <w:rsid w:val="00C77D55"/>
    <w:rsid w:val="00C802AD"/>
    <w:rsid w:val="00C80993"/>
    <w:rsid w:val="00C81287"/>
    <w:rsid w:val="00C81599"/>
    <w:rsid w:val="00C81EDC"/>
    <w:rsid w:val="00C8302B"/>
    <w:rsid w:val="00C83D5E"/>
    <w:rsid w:val="00C84CDA"/>
    <w:rsid w:val="00C851C0"/>
    <w:rsid w:val="00C91DF8"/>
    <w:rsid w:val="00C92A20"/>
    <w:rsid w:val="00C93C78"/>
    <w:rsid w:val="00C94649"/>
    <w:rsid w:val="00C954E1"/>
    <w:rsid w:val="00C97F51"/>
    <w:rsid w:val="00C97FA7"/>
    <w:rsid w:val="00CA0DD4"/>
    <w:rsid w:val="00CA2658"/>
    <w:rsid w:val="00CA2DD5"/>
    <w:rsid w:val="00CA312E"/>
    <w:rsid w:val="00CA3DDF"/>
    <w:rsid w:val="00CB2F9A"/>
    <w:rsid w:val="00CB419F"/>
    <w:rsid w:val="00CB4D88"/>
    <w:rsid w:val="00CB506A"/>
    <w:rsid w:val="00CB5CA7"/>
    <w:rsid w:val="00CB6185"/>
    <w:rsid w:val="00CC038E"/>
    <w:rsid w:val="00CC30CC"/>
    <w:rsid w:val="00CC3B4A"/>
    <w:rsid w:val="00CC6DDD"/>
    <w:rsid w:val="00CC7A40"/>
    <w:rsid w:val="00CD05BD"/>
    <w:rsid w:val="00CD261A"/>
    <w:rsid w:val="00CD348D"/>
    <w:rsid w:val="00CD3C62"/>
    <w:rsid w:val="00CD6239"/>
    <w:rsid w:val="00CD653D"/>
    <w:rsid w:val="00CD68CC"/>
    <w:rsid w:val="00CD75E3"/>
    <w:rsid w:val="00CD7EB5"/>
    <w:rsid w:val="00CE0EA8"/>
    <w:rsid w:val="00CE4CF6"/>
    <w:rsid w:val="00CE55F0"/>
    <w:rsid w:val="00CE6669"/>
    <w:rsid w:val="00CE6EC6"/>
    <w:rsid w:val="00CF0823"/>
    <w:rsid w:val="00CF1002"/>
    <w:rsid w:val="00CF414E"/>
    <w:rsid w:val="00CF41AD"/>
    <w:rsid w:val="00CF47BA"/>
    <w:rsid w:val="00CF490A"/>
    <w:rsid w:val="00CF5782"/>
    <w:rsid w:val="00CF5E66"/>
    <w:rsid w:val="00CF7223"/>
    <w:rsid w:val="00CF7FCD"/>
    <w:rsid w:val="00D0024D"/>
    <w:rsid w:val="00D01C37"/>
    <w:rsid w:val="00D01D00"/>
    <w:rsid w:val="00D039C8"/>
    <w:rsid w:val="00D04219"/>
    <w:rsid w:val="00D04B7B"/>
    <w:rsid w:val="00D07602"/>
    <w:rsid w:val="00D10342"/>
    <w:rsid w:val="00D11007"/>
    <w:rsid w:val="00D12AC2"/>
    <w:rsid w:val="00D130CF"/>
    <w:rsid w:val="00D1342C"/>
    <w:rsid w:val="00D13511"/>
    <w:rsid w:val="00D13612"/>
    <w:rsid w:val="00D13910"/>
    <w:rsid w:val="00D16B86"/>
    <w:rsid w:val="00D1701B"/>
    <w:rsid w:val="00D17F7B"/>
    <w:rsid w:val="00D2283A"/>
    <w:rsid w:val="00D2400A"/>
    <w:rsid w:val="00D24054"/>
    <w:rsid w:val="00D2454B"/>
    <w:rsid w:val="00D271DB"/>
    <w:rsid w:val="00D319D1"/>
    <w:rsid w:val="00D327A3"/>
    <w:rsid w:val="00D334BB"/>
    <w:rsid w:val="00D351A5"/>
    <w:rsid w:val="00D357A5"/>
    <w:rsid w:val="00D36333"/>
    <w:rsid w:val="00D375C6"/>
    <w:rsid w:val="00D40C85"/>
    <w:rsid w:val="00D4150F"/>
    <w:rsid w:val="00D4163C"/>
    <w:rsid w:val="00D41AF8"/>
    <w:rsid w:val="00D41E10"/>
    <w:rsid w:val="00D41FB5"/>
    <w:rsid w:val="00D42373"/>
    <w:rsid w:val="00D42869"/>
    <w:rsid w:val="00D47D2A"/>
    <w:rsid w:val="00D506DF"/>
    <w:rsid w:val="00D50761"/>
    <w:rsid w:val="00D51510"/>
    <w:rsid w:val="00D529D9"/>
    <w:rsid w:val="00D53071"/>
    <w:rsid w:val="00D53182"/>
    <w:rsid w:val="00D54C26"/>
    <w:rsid w:val="00D557F5"/>
    <w:rsid w:val="00D558FF"/>
    <w:rsid w:val="00D567EF"/>
    <w:rsid w:val="00D56A6E"/>
    <w:rsid w:val="00D576B0"/>
    <w:rsid w:val="00D5778B"/>
    <w:rsid w:val="00D601BC"/>
    <w:rsid w:val="00D615AD"/>
    <w:rsid w:val="00D63409"/>
    <w:rsid w:val="00D652C7"/>
    <w:rsid w:val="00D6752A"/>
    <w:rsid w:val="00D67F0A"/>
    <w:rsid w:val="00D7146B"/>
    <w:rsid w:val="00D71915"/>
    <w:rsid w:val="00D72172"/>
    <w:rsid w:val="00D72833"/>
    <w:rsid w:val="00D72986"/>
    <w:rsid w:val="00D739C8"/>
    <w:rsid w:val="00D73E1D"/>
    <w:rsid w:val="00D805DB"/>
    <w:rsid w:val="00D81F9F"/>
    <w:rsid w:val="00D82BD1"/>
    <w:rsid w:val="00D82D15"/>
    <w:rsid w:val="00D83B24"/>
    <w:rsid w:val="00D8546E"/>
    <w:rsid w:val="00D87059"/>
    <w:rsid w:val="00D91BC1"/>
    <w:rsid w:val="00D925B0"/>
    <w:rsid w:val="00D95BF4"/>
    <w:rsid w:val="00D96B94"/>
    <w:rsid w:val="00DA200E"/>
    <w:rsid w:val="00DA25B8"/>
    <w:rsid w:val="00DA2759"/>
    <w:rsid w:val="00DA31E2"/>
    <w:rsid w:val="00DA3569"/>
    <w:rsid w:val="00DA3940"/>
    <w:rsid w:val="00DA3F47"/>
    <w:rsid w:val="00DA6DFF"/>
    <w:rsid w:val="00DA701D"/>
    <w:rsid w:val="00DA708C"/>
    <w:rsid w:val="00DA7B22"/>
    <w:rsid w:val="00DB025A"/>
    <w:rsid w:val="00DB4160"/>
    <w:rsid w:val="00DB44BA"/>
    <w:rsid w:val="00DB516D"/>
    <w:rsid w:val="00DB5484"/>
    <w:rsid w:val="00DB681E"/>
    <w:rsid w:val="00DB730F"/>
    <w:rsid w:val="00DB755D"/>
    <w:rsid w:val="00DB789F"/>
    <w:rsid w:val="00DB7DF1"/>
    <w:rsid w:val="00DC0242"/>
    <w:rsid w:val="00DC103F"/>
    <w:rsid w:val="00DC1678"/>
    <w:rsid w:val="00DC3356"/>
    <w:rsid w:val="00DC5402"/>
    <w:rsid w:val="00DC5B1F"/>
    <w:rsid w:val="00DD034E"/>
    <w:rsid w:val="00DD1122"/>
    <w:rsid w:val="00DD244A"/>
    <w:rsid w:val="00DD4DBD"/>
    <w:rsid w:val="00DD548E"/>
    <w:rsid w:val="00DD60E1"/>
    <w:rsid w:val="00DD6BD1"/>
    <w:rsid w:val="00DD7B3D"/>
    <w:rsid w:val="00DD7BAD"/>
    <w:rsid w:val="00DE0E02"/>
    <w:rsid w:val="00DE1CFF"/>
    <w:rsid w:val="00DE408D"/>
    <w:rsid w:val="00DE45E4"/>
    <w:rsid w:val="00DE5EC9"/>
    <w:rsid w:val="00DE6AB1"/>
    <w:rsid w:val="00DE76D6"/>
    <w:rsid w:val="00DF05EA"/>
    <w:rsid w:val="00DF0BBD"/>
    <w:rsid w:val="00DF19CC"/>
    <w:rsid w:val="00DF1DB2"/>
    <w:rsid w:val="00DF47A8"/>
    <w:rsid w:val="00DF5434"/>
    <w:rsid w:val="00DF62E8"/>
    <w:rsid w:val="00DF6605"/>
    <w:rsid w:val="00DF68AB"/>
    <w:rsid w:val="00DF7613"/>
    <w:rsid w:val="00DF7A3E"/>
    <w:rsid w:val="00DF7EA8"/>
    <w:rsid w:val="00E005FF"/>
    <w:rsid w:val="00E00AAC"/>
    <w:rsid w:val="00E029B0"/>
    <w:rsid w:val="00E036A7"/>
    <w:rsid w:val="00E0436B"/>
    <w:rsid w:val="00E06A86"/>
    <w:rsid w:val="00E07431"/>
    <w:rsid w:val="00E07DEF"/>
    <w:rsid w:val="00E10F00"/>
    <w:rsid w:val="00E12158"/>
    <w:rsid w:val="00E128E9"/>
    <w:rsid w:val="00E132B7"/>
    <w:rsid w:val="00E14771"/>
    <w:rsid w:val="00E1520F"/>
    <w:rsid w:val="00E15FE6"/>
    <w:rsid w:val="00E16090"/>
    <w:rsid w:val="00E20121"/>
    <w:rsid w:val="00E205E7"/>
    <w:rsid w:val="00E2094B"/>
    <w:rsid w:val="00E20C26"/>
    <w:rsid w:val="00E220C7"/>
    <w:rsid w:val="00E224E7"/>
    <w:rsid w:val="00E225F8"/>
    <w:rsid w:val="00E239D3"/>
    <w:rsid w:val="00E23B13"/>
    <w:rsid w:val="00E26E7B"/>
    <w:rsid w:val="00E272E2"/>
    <w:rsid w:val="00E275EB"/>
    <w:rsid w:val="00E3189C"/>
    <w:rsid w:val="00E31B87"/>
    <w:rsid w:val="00E33B23"/>
    <w:rsid w:val="00E3560E"/>
    <w:rsid w:val="00E35980"/>
    <w:rsid w:val="00E35E37"/>
    <w:rsid w:val="00E37FEB"/>
    <w:rsid w:val="00E41415"/>
    <w:rsid w:val="00E416DE"/>
    <w:rsid w:val="00E43953"/>
    <w:rsid w:val="00E43A62"/>
    <w:rsid w:val="00E447CE"/>
    <w:rsid w:val="00E45B10"/>
    <w:rsid w:val="00E47B8F"/>
    <w:rsid w:val="00E506CA"/>
    <w:rsid w:val="00E51740"/>
    <w:rsid w:val="00E525CA"/>
    <w:rsid w:val="00E54073"/>
    <w:rsid w:val="00E55B43"/>
    <w:rsid w:val="00E56EB9"/>
    <w:rsid w:val="00E57BF4"/>
    <w:rsid w:val="00E57E86"/>
    <w:rsid w:val="00E61FD0"/>
    <w:rsid w:val="00E63C91"/>
    <w:rsid w:val="00E64045"/>
    <w:rsid w:val="00E64D51"/>
    <w:rsid w:val="00E64E5B"/>
    <w:rsid w:val="00E6570E"/>
    <w:rsid w:val="00E70055"/>
    <w:rsid w:val="00E7068F"/>
    <w:rsid w:val="00E7248F"/>
    <w:rsid w:val="00E72501"/>
    <w:rsid w:val="00E735FC"/>
    <w:rsid w:val="00E74CD1"/>
    <w:rsid w:val="00E755E9"/>
    <w:rsid w:val="00E76378"/>
    <w:rsid w:val="00E76B8D"/>
    <w:rsid w:val="00E83E5A"/>
    <w:rsid w:val="00E84BC8"/>
    <w:rsid w:val="00E86719"/>
    <w:rsid w:val="00E90893"/>
    <w:rsid w:val="00E90E70"/>
    <w:rsid w:val="00E913AA"/>
    <w:rsid w:val="00E93A1C"/>
    <w:rsid w:val="00E94EEC"/>
    <w:rsid w:val="00E95E08"/>
    <w:rsid w:val="00E961FC"/>
    <w:rsid w:val="00E96A3B"/>
    <w:rsid w:val="00E96B60"/>
    <w:rsid w:val="00E9710B"/>
    <w:rsid w:val="00E971AA"/>
    <w:rsid w:val="00EA1875"/>
    <w:rsid w:val="00EA445D"/>
    <w:rsid w:val="00EA5897"/>
    <w:rsid w:val="00EB0110"/>
    <w:rsid w:val="00EB0196"/>
    <w:rsid w:val="00EB1D36"/>
    <w:rsid w:val="00EB263E"/>
    <w:rsid w:val="00EB37D0"/>
    <w:rsid w:val="00EB466E"/>
    <w:rsid w:val="00EB520E"/>
    <w:rsid w:val="00EB6983"/>
    <w:rsid w:val="00EB6F32"/>
    <w:rsid w:val="00EB7D2D"/>
    <w:rsid w:val="00EC23A9"/>
    <w:rsid w:val="00EC2506"/>
    <w:rsid w:val="00EC4458"/>
    <w:rsid w:val="00EC484B"/>
    <w:rsid w:val="00EC5F0B"/>
    <w:rsid w:val="00ED0ABA"/>
    <w:rsid w:val="00ED12CA"/>
    <w:rsid w:val="00ED1542"/>
    <w:rsid w:val="00ED2564"/>
    <w:rsid w:val="00ED2660"/>
    <w:rsid w:val="00ED2D27"/>
    <w:rsid w:val="00ED34B5"/>
    <w:rsid w:val="00ED363A"/>
    <w:rsid w:val="00ED551B"/>
    <w:rsid w:val="00ED7BC3"/>
    <w:rsid w:val="00EE0319"/>
    <w:rsid w:val="00EE0388"/>
    <w:rsid w:val="00EE1F8F"/>
    <w:rsid w:val="00EE3922"/>
    <w:rsid w:val="00EE4AB0"/>
    <w:rsid w:val="00EE5555"/>
    <w:rsid w:val="00EE5FC6"/>
    <w:rsid w:val="00EF0509"/>
    <w:rsid w:val="00EF0E2A"/>
    <w:rsid w:val="00EF1462"/>
    <w:rsid w:val="00EF179F"/>
    <w:rsid w:val="00EF5C08"/>
    <w:rsid w:val="00EF62B5"/>
    <w:rsid w:val="00F011FE"/>
    <w:rsid w:val="00F02CC3"/>
    <w:rsid w:val="00F03CEA"/>
    <w:rsid w:val="00F04281"/>
    <w:rsid w:val="00F048EF"/>
    <w:rsid w:val="00F05FA1"/>
    <w:rsid w:val="00F06004"/>
    <w:rsid w:val="00F100F8"/>
    <w:rsid w:val="00F121B3"/>
    <w:rsid w:val="00F12229"/>
    <w:rsid w:val="00F1254C"/>
    <w:rsid w:val="00F12F97"/>
    <w:rsid w:val="00F132C4"/>
    <w:rsid w:val="00F13589"/>
    <w:rsid w:val="00F13881"/>
    <w:rsid w:val="00F14B36"/>
    <w:rsid w:val="00F14D62"/>
    <w:rsid w:val="00F17C60"/>
    <w:rsid w:val="00F20132"/>
    <w:rsid w:val="00F204C7"/>
    <w:rsid w:val="00F20F8E"/>
    <w:rsid w:val="00F2192F"/>
    <w:rsid w:val="00F21A46"/>
    <w:rsid w:val="00F21BC9"/>
    <w:rsid w:val="00F22B79"/>
    <w:rsid w:val="00F22E83"/>
    <w:rsid w:val="00F245DF"/>
    <w:rsid w:val="00F257A4"/>
    <w:rsid w:val="00F308CD"/>
    <w:rsid w:val="00F30FE2"/>
    <w:rsid w:val="00F331FF"/>
    <w:rsid w:val="00F33F4F"/>
    <w:rsid w:val="00F343BE"/>
    <w:rsid w:val="00F358F9"/>
    <w:rsid w:val="00F40086"/>
    <w:rsid w:val="00F4158C"/>
    <w:rsid w:val="00F42BBC"/>
    <w:rsid w:val="00F43A01"/>
    <w:rsid w:val="00F44473"/>
    <w:rsid w:val="00F45C83"/>
    <w:rsid w:val="00F45D78"/>
    <w:rsid w:val="00F46A9A"/>
    <w:rsid w:val="00F46DDE"/>
    <w:rsid w:val="00F477CB"/>
    <w:rsid w:val="00F47CFA"/>
    <w:rsid w:val="00F50A63"/>
    <w:rsid w:val="00F516C8"/>
    <w:rsid w:val="00F535BD"/>
    <w:rsid w:val="00F55A74"/>
    <w:rsid w:val="00F564D0"/>
    <w:rsid w:val="00F56933"/>
    <w:rsid w:val="00F575A7"/>
    <w:rsid w:val="00F60BBD"/>
    <w:rsid w:val="00F61319"/>
    <w:rsid w:val="00F6177B"/>
    <w:rsid w:val="00F61799"/>
    <w:rsid w:val="00F63AE0"/>
    <w:rsid w:val="00F6411B"/>
    <w:rsid w:val="00F66298"/>
    <w:rsid w:val="00F66859"/>
    <w:rsid w:val="00F66B13"/>
    <w:rsid w:val="00F71251"/>
    <w:rsid w:val="00F71E91"/>
    <w:rsid w:val="00F72D49"/>
    <w:rsid w:val="00F7370C"/>
    <w:rsid w:val="00F739A8"/>
    <w:rsid w:val="00F73CFA"/>
    <w:rsid w:val="00F73E06"/>
    <w:rsid w:val="00F73F2C"/>
    <w:rsid w:val="00F751E8"/>
    <w:rsid w:val="00F76FA5"/>
    <w:rsid w:val="00F777AC"/>
    <w:rsid w:val="00F779C2"/>
    <w:rsid w:val="00F77ED3"/>
    <w:rsid w:val="00F80C68"/>
    <w:rsid w:val="00F82F1E"/>
    <w:rsid w:val="00F836A9"/>
    <w:rsid w:val="00F858A7"/>
    <w:rsid w:val="00F85DF2"/>
    <w:rsid w:val="00F86A5C"/>
    <w:rsid w:val="00F87D69"/>
    <w:rsid w:val="00F910BB"/>
    <w:rsid w:val="00F918D5"/>
    <w:rsid w:val="00F91B75"/>
    <w:rsid w:val="00F91EE2"/>
    <w:rsid w:val="00F92A26"/>
    <w:rsid w:val="00F970C3"/>
    <w:rsid w:val="00F97AAB"/>
    <w:rsid w:val="00FA3680"/>
    <w:rsid w:val="00FA4314"/>
    <w:rsid w:val="00FA4A62"/>
    <w:rsid w:val="00FA4AFA"/>
    <w:rsid w:val="00FA4F33"/>
    <w:rsid w:val="00FA4F59"/>
    <w:rsid w:val="00FB2014"/>
    <w:rsid w:val="00FB272A"/>
    <w:rsid w:val="00FB3013"/>
    <w:rsid w:val="00FB3565"/>
    <w:rsid w:val="00FB3C42"/>
    <w:rsid w:val="00FB3DE6"/>
    <w:rsid w:val="00FB6CFA"/>
    <w:rsid w:val="00FC206B"/>
    <w:rsid w:val="00FC2138"/>
    <w:rsid w:val="00FC2779"/>
    <w:rsid w:val="00FC407F"/>
    <w:rsid w:val="00FC49E0"/>
    <w:rsid w:val="00FC59AE"/>
    <w:rsid w:val="00FC6F2C"/>
    <w:rsid w:val="00FC7A6A"/>
    <w:rsid w:val="00FD1210"/>
    <w:rsid w:val="00FD1534"/>
    <w:rsid w:val="00FD1C8D"/>
    <w:rsid w:val="00FD1F37"/>
    <w:rsid w:val="00FD2995"/>
    <w:rsid w:val="00FD3AEF"/>
    <w:rsid w:val="00FD3C3B"/>
    <w:rsid w:val="00FD523B"/>
    <w:rsid w:val="00FD5555"/>
    <w:rsid w:val="00FD6591"/>
    <w:rsid w:val="00FD6AC3"/>
    <w:rsid w:val="00FE00A3"/>
    <w:rsid w:val="00FE177B"/>
    <w:rsid w:val="00FE189E"/>
    <w:rsid w:val="00FE1BAD"/>
    <w:rsid w:val="00FE1D4A"/>
    <w:rsid w:val="00FE37E5"/>
    <w:rsid w:val="00FE39C3"/>
    <w:rsid w:val="00FE47F7"/>
    <w:rsid w:val="00FE51EE"/>
    <w:rsid w:val="00FE6C28"/>
    <w:rsid w:val="00FF167D"/>
    <w:rsid w:val="00FF2BB8"/>
    <w:rsid w:val="00FF3004"/>
    <w:rsid w:val="00FF386B"/>
    <w:rsid w:val="00FF3D87"/>
    <w:rsid w:val="00FF4E0D"/>
    <w:rsid w:val="00FF61F0"/>
    <w:rsid w:val="00FF74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colormru v:ext="edit" colors="white,#ce1337,#008c44"/>
    </o:shapedefaults>
    <o:shapelayout v:ext="edit">
      <o:idmap v:ext="edit" data="1"/>
    </o:shapelayout>
  </w:shapeDefaults>
  <w:decimalSymbol w:val="."/>
  <w:listSeparator w:val=","/>
  <w15:docId w15:val="{9B1FD645-88E3-48C1-9733-B81454D99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Times New Roman"/>
        <w:lang w:val="en-AU" w:eastAsia="en-AU" w:bidi="ar-SA"/>
      </w:rPr>
    </w:rPrDefault>
    <w:pPrDefault/>
  </w:docDefaults>
  <w:latentStyles w:defLockedState="0" w:defUIPriority="99" w:defSemiHidden="0" w:defUnhideWhenUsed="0" w:defQFormat="0" w:count="371">
    <w:lsdException w:name="Normal" w:uiPriority="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uiPriority="1" w:unhideWhenUsed="1" w:qFormat="1"/>
    <w:lsdException w:name="List 2" w:unhideWhenUsed="1"/>
    <w:lsdException w:name="List 3" w:semiHidden="1" w:unhideWhenUsed="1"/>
    <w:lsdException w:name="List 4" w:semiHidden="1" w:unhideWhenUsed="1"/>
    <w:lsdException w:name="List 5" w:semiHidden="1" w:unhideWhenUsed="1"/>
    <w:lsdException w:name="List Bullet 2" w:semiHidden="1" w:uiPriority="1" w:unhideWhenUsed="1"/>
    <w:lsdException w:name="List Bullet 3" w:uiPriority="0" w:unhideWhenUsed="1" w:qFormat="1"/>
    <w:lsdException w:name="List Bullet 4" w:semiHidden="1" w:unhideWhenUsed="1"/>
    <w:lsdException w:name="List Bullet 5" w:semiHidden="1" w:unhideWhenUsed="1"/>
    <w:lsdException w:name="List Number 2" w:uiPriority="1" w:qFormat="1"/>
    <w:lsdException w:name="List Number 3" w:uiPriority="20" w:unhideWhenUsed="1" w:qFormat="1"/>
    <w:lsdException w:name="List Number 4" w:semiHidden="1" w:uiPriority="20" w:unhideWhenUsed="1" w:qFormat="1"/>
    <w:lsdException w:name="List Number 5" w:semiHidden="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sid w:val="00D351A5"/>
    <w:pPr>
      <w:spacing w:before="240" w:after="120" w:line="288" w:lineRule="auto"/>
      <w:jc w:val="both"/>
    </w:pPr>
    <w:rPr>
      <w:lang w:eastAsia="en-US"/>
    </w:rPr>
  </w:style>
  <w:style w:type="paragraph" w:styleId="Heading1">
    <w:name w:val="heading 1"/>
    <w:basedOn w:val="Normal"/>
    <w:next w:val="BodyText"/>
    <w:link w:val="Heading1Char"/>
    <w:qFormat/>
    <w:rsid w:val="008735F0"/>
    <w:pPr>
      <w:keepNext/>
      <w:keepLines/>
      <w:pageBreakBefore/>
      <w:numPr>
        <w:numId w:val="1"/>
      </w:numPr>
      <w:tabs>
        <w:tab w:val="left" w:pos="851"/>
      </w:tabs>
      <w:outlineLvl w:val="0"/>
    </w:pPr>
    <w:rPr>
      <w:color w:val="213144"/>
      <w:sz w:val="32"/>
      <w:szCs w:val="32"/>
    </w:rPr>
  </w:style>
  <w:style w:type="paragraph" w:styleId="Heading2">
    <w:name w:val="heading 2"/>
    <w:basedOn w:val="Normal"/>
    <w:next w:val="BodyText"/>
    <w:link w:val="Heading2Char"/>
    <w:qFormat/>
    <w:rsid w:val="00DD60E1"/>
    <w:pPr>
      <w:keepNext/>
      <w:keepLines/>
      <w:numPr>
        <w:ilvl w:val="1"/>
        <w:numId w:val="1"/>
      </w:numPr>
      <w:tabs>
        <w:tab w:val="left" w:pos="851"/>
      </w:tabs>
      <w:outlineLvl w:val="1"/>
    </w:pPr>
    <w:rPr>
      <w:b/>
      <w:bCs/>
      <w:sz w:val="24"/>
      <w:szCs w:val="24"/>
    </w:rPr>
  </w:style>
  <w:style w:type="paragraph" w:styleId="Heading3">
    <w:name w:val="heading 3"/>
    <w:basedOn w:val="Normal"/>
    <w:next w:val="BodyText"/>
    <w:link w:val="Heading3Char"/>
    <w:qFormat/>
    <w:rsid w:val="00DD60E1"/>
    <w:pPr>
      <w:keepNext/>
      <w:keepLines/>
      <w:numPr>
        <w:ilvl w:val="2"/>
        <w:numId w:val="1"/>
      </w:numPr>
      <w:tabs>
        <w:tab w:val="left" w:pos="851"/>
      </w:tabs>
      <w:outlineLvl w:val="2"/>
    </w:pPr>
    <w:rPr>
      <w:b/>
      <w:bCs/>
      <w:sz w:val="22"/>
      <w:szCs w:val="22"/>
    </w:rPr>
  </w:style>
  <w:style w:type="paragraph" w:styleId="Heading4">
    <w:name w:val="heading 4"/>
    <w:basedOn w:val="Normal"/>
    <w:next w:val="BodyText"/>
    <w:link w:val="Heading4Char"/>
    <w:semiHidden/>
    <w:qFormat/>
    <w:rsid w:val="00C61336"/>
    <w:pPr>
      <w:spacing w:before="320"/>
      <w:outlineLvl w:val="3"/>
    </w:pPr>
    <w:rPr>
      <w:b/>
      <w:bCs/>
    </w:rPr>
  </w:style>
  <w:style w:type="paragraph" w:styleId="Heading5">
    <w:name w:val="heading 5"/>
    <w:basedOn w:val="Normal"/>
    <w:next w:val="Normal"/>
    <w:link w:val="Heading5Char"/>
    <w:semiHidden/>
    <w:qFormat/>
    <w:rsid w:val="00873019"/>
    <w:pPr>
      <w:keepNext/>
      <w:keepLines/>
      <w:numPr>
        <w:ilvl w:val="4"/>
        <w:numId w:val="1"/>
      </w:numPr>
      <w:tabs>
        <w:tab w:val="left" w:pos="1191"/>
        <w:tab w:val="right" w:pos="8505"/>
      </w:tabs>
      <w:spacing w:before="60" w:after="60"/>
      <w:outlineLvl w:val="4"/>
    </w:pPr>
    <w:rPr>
      <w:rFonts w:eastAsia="MS Gothic"/>
    </w:rPr>
  </w:style>
  <w:style w:type="paragraph" w:styleId="Heading6">
    <w:name w:val="heading 6"/>
    <w:basedOn w:val="Normal"/>
    <w:next w:val="Normal"/>
    <w:link w:val="Heading6Char"/>
    <w:uiPriority w:val="9"/>
    <w:semiHidden/>
    <w:qFormat/>
    <w:rsid w:val="00873019"/>
    <w:pPr>
      <w:keepNext/>
      <w:keepLines/>
      <w:numPr>
        <w:ilvl w:val="5"/>
        <w:numId w:val="1"/>
      </w:numPr>
      <w:spacing w:before="200"/>
      <w:outlineLvl w:val="5"/>
    </w:pPr>
    <w:rPr>
      <w:rFonts w:eastAsia="MS Gothic"/>
      <w:i/>
      <w:iCs/>
      <w:color w:val="856300"/>
    </w:rPr>
  </w:style>
  <w:style w:type="paragraph" w:styleId="Heading7">
    <w:name w:val="heading 7"/>
    <w:basedOn w:val="Normal"/>
    <w:next w:val="Normal"/>
    <w:link w:val="Heading7Char"/>
    <w:uiPriority w:val="9"/>
    <w:semiHidden/>
    <w:qFormat/>
    <w:rsid w:val="00873019"/>
    <w:pPr>
      <w:keepNext/>
      <w:keepLines/>
      <w:numPr>
        <w:ilvl w:val="6"/>
        <w:numId w:val="1"/>
      </w:numPr>
      <w:spacing w:before="200"/>
      <w:outlineLvl w:val="6"/>
    </w:pPr>
    <w:rPr>
      <w:rFonts w:eastAsia="MS Gothic"/>
      <w:i/>
      <w:iCs/>
      <w:color w:val="404040"/>
    </w:rPr>
  </w:style>
  <w:style w:type="paragraph" w:styleId="Heading8">
    <w:name w:val="heading 8"/>
    <w:basedOn w:val="Normal"/>
    <w:next w:val="Normal"/>
    <w:link w:val="Heading8Char"/>
    <w:uiPriority w:val="9"/>
    <w:semiHidden/>
    <w:qFormat/>
    <w:rsid w:val="00873019"/>
    <w:pPr>
      <w:keepNext/>
      <w:keepLines/>
      <w:numPr>
        <w:ilvl w:val="7"/>
        <w:numId w:val="1"/>
      </w:numPr>
      <w:spacing w:before="200"/>
      <w:outlineLvl w:val="7"/>
    </w:pPr>
    <w:rPr>
      <w:rFonts w:eastAsia="MS Gothic"/>
      <w:color w:val="404040"/>
    </w:rPr>
  </w:style>
  <w:style w:type="paragraph" w:styleId="Heading9">
    <w:name w:val="heading 9"/>
    <w:basedOn w:val="Normal"/>
    <w:next w:val="Normal"/>
    <w:link w:val="Heading9Char"/>
    <w:uiPriority w:val="9"/>
    <w:semiHidden/>
    <w:qFormat/>
    <w:rsid w:val="00873019"/>
    <w:pPr>
      <w:keepNext/>
      <w:keepLines/>
      <w:numPr>
        <w:ilvl w:val="8"/>
        <w:numId w:val="1"/>
      </w:numPr>
      <w:spacing w:before="200"/>
      <w:outlineLvl w:val="8"/>
    </w:pPr>
    <w:rPr>
      <w:rFonts w:eastAsia="MS Gothic"/>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735F0"/>
    <w:rPr>
      <w:rFonts w:ascii="Arial" w:hAnsi="Arial"/>
      <w:color w:val="213144"/>
      <w:sz w:val="32"/>
      <w:szCs w:val="32"/>
    </w:rPr>
  </w:style>
  <w:style w:type="character" w:customStyle="1" w:styleId="Heading2Char">
    <w:name w:val="Heading 2 Char"/>
    <w:link w:val="Heading2"/>
    <w:rsid w:val="00DD60E1"/>
    <w:rPr>
      <w:rFonts w:ascii="Arial" w:hAnsi="Arial"/>
      <w:b/>
      <w:bCs/>
      <w:sz w:val="24"/>
      <w:szCs w:val="24"/>
    </w:rPr>
  </w:style>
  <w:style w:type="paragraph" w:styleId="BodyText">
    <w:name w:val="Body Text"/>
    <w:basedOn w:val="Normal"/>
    <w:link w:val="BodyTextChar"/>
    <w:qFormat/>
    <w:rsid w:val="00873019"/>
  </w:style>
  <w:style w:type="character" w:customStyle="1" w:styleId="BodyTextChar">
    <w:name w:val="Body Text Char"/>
    <w:link w:val="BodyText"/>
    <w:rsid w:val="00873019"/>
    <w:rPr>
      <w:sz w:val="20"/>
      <w:szCs w:val="20"/>
    </w:rPr>
  </w:style>
  <w:style w:type="paragraph" w:styleId="ListBullet">
    <w:name w:val="List Bullet"/>
    <w:basedOn w:val="Normal"/>
    <w:qFormat/>
    <w:rsid w:val="00DD60E1"/>
    <w:pPr>
      <w:numPr>
        <w:numId w:val="4"/>
      </w:numPr>
      <w:tabs>
        <w:tab w:val="left" w:pos="425"/>
      </w:tabs>
      <w:spacing w:before="60" w:after="60"/>
    </w:pPr>
  </w:style>
  <w:style w:type="table" w:styleId="TableGrid">
    <w:name w:val="Table Grid"/>
    <w:basedOn w:val="TableNormal"/>
    <w:uiPriority w:val="59"/>
    <w:rsid w:val="008735F0"/>
    <w:pPr>
      <w:tabs>
        <w:tab w:val="right" w:pos="5670"/>
      </w:tabs>
      <w:spacing w:before="60" w:after="60" w:line="288"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cPr>
      <w:vAlign w:val="center"/>
    </w:tcPr>
    <w:tblStylePr w:type="firstRow">
      <w:rPr>
        <w:b/>
        <w:color w:val="auto"/>
      </w:rPr>
      <w:tblPr/>
      <w:tcPr>
        <w:shd w:val="clear" w:color="auto" w:fill="213144"/>
      </w:tcPr>
    </w:tblStylePr>
  </w:style>
  <w:style w:type="paragraph" w:styleId="ListParagraph">
    <w:name w:val="List Paragraph"/>
    <w:basedOn w:val="Normal"/>
    <w:link w:val="ListParagraphChar"/>
    <w:uiPriority w:val="1"/>
    <w:qFormat/>
    <w:rsid w:val="000911B7"/>
    <w:pPr>
      <w:ind w:left="720"/>
      <w:contextualSpacing/>
    </w:pPr>
  </w:style>
  <w:style w:type="character" w:customStyle="1" w:styleId="Heading3Char">
    <w:name w:val="Heading 3 Char"/>
    <w:link w:val="Heading3"/>
    <w:rsid w:val="00DD60E1"/>
    <w:rPr>
      <w:b/>
      <w:bCs/>
      <w:sz w:val="22"/>
      <w:szCs w:val="22"/>
    </w:rPr>
  </w:style>
  <w:style w:type="character" w:styleId="Hyperlink">
    <w:name w:val="Hyperlink"/>
    <w:uiPriority w:val="99"/>
    <w:unhideWhenUsed/>
    <w:rsid w:val="001D6427"/>
    <w:rPr>
      <w:color w:val="0070C0"/>
      <w:u w:val="single"/>
    </w:rPr>
  </w:style>
  <w:style w:type="paragraph" w:styleId="BalloonText">
    <w:name w:val="Balloon Text"/>
    <w:basedOn w:val="Normal"/>
    <w:link w:val="BalloonTextChar"/>
    <w:uiPriority w:val="99"/>
    <w:semiHidden/>
    <w:rsid w:val="00C61336"/>
    <w:pPr>
      <w:spacing w:line="240" w:lineRule="auto"/>
    </w:pPr>
    <w:rPr>
      <w:rFonts w:ascii="Lucida Grande" w:hAnsi="Lucida Grande" w:cs="Lucida Grande"/>
    </w:rPr>
  </w:style>
  <w:style w:type="character" w:customStyle="1" w:styleId="BalloonTextChar">
    <w:name w:val="Balloon Text Char"/>
    <w:link w:val="BalloonText"/>
    <w:uiPriority w:val="99"/>
    <w:semiHidden/>
    <w:rsid w:val="00C61336"/>
    <w:rPr>
      <w:rFonts w:ascii="Lucida Grande" w:hAnsi="Lucida Grande" w:cs="Lucida Grande"/>
    </w:rPr>
  </w:style>
  <w:style w:type="character" w:customStyle="1" w:styleId="Heading4Char">
    <w:name w:val="Heading 4 Char"/>
    <w:link w:val="Heading4"/>
    <w:semiHidden/>
    <w:rsid w:val="00C61336"/>
    <w:rPr>
      <w:b/>
      <w:bCs/>
      <w:sz w:val="20"/>
      <w:szCs w:val="20"/>
    </w:rPr>
  </w:style>
  <w:style w:type="paragraph" w:styleId="Header">
    <w:name w:val="header"/>
    <w:basedOn w:val="Normal"/>
    <w:link w:val="HeaderChar"/>
    <w:uiPriority w:val="99"/>
    <w:unhideWhenUsed/>
    <w:rsid w:val="009B0184"/>
    <w:pPr>
      <w:tabs>
        <w:tab w:val="center" w:pos="4513"/>
        <w:tab w:val="right" w:pos="9026"/>
      </w:tabs>
      <w:spacing w:line="240" w:lineRule="auto"/>
      <w:ind w:right="57"/>
      <w:jc w:val="right"/>
    </w:pPr>
    <w:rPr>
      <w:b/>
      <w:color w:val="213144"/>
      <w:sz w:val="14"/>
    </w:rPr>
  </w:style>
  <w:style w:type="character" w:customStyle="1" w:styleId="HeaderChar">
    <w:name w:val="Header Char"/>
    <w:link w:val="Header"/>
    <w:uiPriority w:val="99"/>
    <w:rsid w:val="009B0184"/>
    <w:rPr>
      <w:b/>
      <w:color w:val="213144"/>
      <w:sz w:val="14"/>
      <w:szCs w:val="20"/>
    </w:rPr>
  </w:style>
  <w:style w:type="paragraph" w:styleId="Footer">
    <w:name w:val="footer"/>
    <w:basedOn w:val="Normal"/>
    <w:link w:val="FooterChar"/>
    <w:uiPriority w:val="99"/>
    <w:unhideWhenUsed/>
    <w:rsid w:val="00C61336"/>
    <w:pPr>
      <w:tabs>
        <w:tab w:val="left" w:pos="567"/>
      </w:tabs>
      <w:spacing w:line="240" w:lineRule="auto"/>
    </w:pPr>
    <w:rPr>
      <w:color w:val="808285"/>
      <w:sz w:val="14"/>
      <w:szCs w:val="14"/>
    </w:rPr>
  </w:style>
  <w:style w:type="character" w:customStyle="1" w:styleId="FooterChar">
    <w:name w:val="Footer Char"/>
    <w:link w:val="Footer"/>
    <w:uiPriority w:val="99"/>
    <w:rsid w:val="00C61336"/>
    <w:rPr>
      <w:color w:val="808285"/>
      <w:sz w:val="14"/>
      <w:szCs w:val="14"/>
    </w:rPr>
  </w:style>
  <w:style w:type="paragraph" w:styleId="TOCHeading">
    <w:name w:val="TOC Heading"/>
    <w:next w:val="Normal"/>
    <w:uiPriority w:val="39"/>
    <w:rsid w:val="009B0184"/>
    <w:pPr>
      <w:keepNext/>
      <w:keepLines/>
      <w:spacing w:after="120" w:line="288" w:lineRule="auto"/>
    </w:pPr>
    <w:rPr>
      <w:rFonts w:eastAsia="MS Gothic"/>
      <w:color w:val="213144"/>
      <w:sz w:val="32"/>
      <w:szCs w:val="32"/>
      <w:lang w:eastAsia="ja-JP"/>
    </w:rPr>
  </w:style>
  <w:style w:type="paragraph" w:customStyle="1" w:styleId="FooterFirstPage">
    <w:name w:val="Footer First Page"/>
    <w:basedOn w:val="Normal"/>
    <w:link w:val="FooterFirstPageChar"/>
    <w:uiPriority w:val="99"/>
    <w:rsid w:val="00C61336"/>
  </w:style>
  <w:style w:type="paragraph" w:customStyle="1" w:styleId="AppHeading">
    <w:name w:val="App Heading"/>
    <w:basedOn w:val="Normal"/>
    <w:next w:val="BodyText"/>
    <w:link w:val="AppHeadingChar"/>
    <w:uiPriority w:val="1"/>
    <w:rsid w:val="008735F0"/>
    <w:pPr>
      <w:pageBreakBefore/>
      <w:spacing w:before="480"/>
    </w:pPr>
    <w:rPr>
      <w:color w:val="213144"/>
      <w:sz w:val="28"/>
      <w:szCs w:val="28"/>
    </w:rPr>
  </w:style>
  <w:style w:type="character" w:customStyle="1" w:styleId="FooterFirstPageChar">
    <w:name w:val="Footer First Page Char"/>
    <w:basedOn w:val="DefaultParagraphFont"/>
    <w:link w:val="FooterFirstPage"/>
    <w:uiPriority w:val="99"/>
    <w:rsid w:val="00C61336"/>
  </w:style>
  <w:style w:type="paragraph" w:styleId="TOC1">
    <w:name w:val="toc 1"/>
    <w:basedOn w:val="Normal"/>
    <w:next w:val="Normal"/>
    <w:autoRedefine/>
    <w:uiPriority w:val="39"/>
    <w:rsid w:val="009B0184"/>
    <w:pPr>
      <w:tabs>
        <w:tab w:val="left" w:pos="567"/>
        <w:tab w:val="right" w:pos="9356"/>
      </w:tabs>
      <w:ind w:left="567" w:hanging="567"/>
    </w:pPr>
    <w:rPr>
      <w:b/>
      <w:bCs/>
      <w:noProof/>
      <w:color w:val="213144"/>
      <w:sz w:val="24"/>
      <w:szCs w:val="24"/>
    </w:rPr>
  </w:style>
  <w:style w:type="paragraph" w:styleId="ListBullet3">
    <w:name w:val="List Bullet 3"/>
    <w:aliases w:val="List Dash"/>
    <w:basedOn w:val="Normal"/>
    <w:qFormat/>
    <w:rsid w:val="00DD60E1"/>
    <w:pPr>
      <w:numPr>
        <w:ilvl w:val="2"/>
        <w:numId w:val="4"/>
      </w:numPr>
      <w:tabs>
        <w:tab w:val="clear" w:pos="595"/>
        <w:tab w:val="left" w:pos="851"/>
      </w:tabs>
      <w:spacing w:before="60" w:after="60"/>
      <w:ind w:left="850" w:hanging="425"/>
    </w:pPr>
  </w:style>
  <w:style w:type="paragraph" w:customStyle="1" w:styleId="HeaderFirstPage">
    <w:name w:val="Header First Page"/>
    <w:basedOn w:val="Normal"/>
    <w:link w:val="HeaderFirstPageChar"/>
    <w:uiPriority w:val="99"/>
    <w:rsid w:val="00C61336"/>
    <w:pPr>
      <w:spacing w:after="5340"/>
    </w:pPr>
  </w:style>
  <w:style w:type="character" w:customStyle="1" w:styleId="Bold">
    <w:name w:val="Bold"/>
    <w:uiPriority w:val="2"/>
    <w:rsid w:val="00573315"/>
    <w:rPr>
      <w:b/>
    </w:rPr>
  </w:style>
  <w:style w:type="character" w:customStyle="1" w:styleId="HeaderFirstPageChar">
    <w:name w:val="Header First Page Char"/>
    <w:basedOn w:val="DefaultParagraphFont"/>
    <w:link w:val="HeaderFirstPage"/>
    <w:uiPriority w:val="99"/>
    <w:rsid w:val="00C61336"/>
  </w:style>
  <w:style w:type="character" w:customStyle="1" w:styleId="AppHeadingChar">
    <w:name w:val="App Heading Char"/>
    <w:link w:val="AppHeading"/>
    <w:uiPriority w:val="1"/>
    <w:rsid w:val="008735F0"/>
    <w:rPr>
      <w:color w:val="213144"/>
      <w:sz w:val="28"/>
      <w:szCs w:val="28"/>
    </w:rPr>
  </w:style>
  <w:style w:type="paragraph" w:styleId="ListNumber">
    <w:name w:val="List Number"/>
    <w:basedOn w:val="Normal"/>
    <w:uiPriority w:val="1"/>
    <w:qFormat/>
    <w:rsid w:val="00DD60E1"/>
    <w:pPr>
      <w:numPr>
        <w:numId w:val="6"/>
      </w:numPr>
      <w:spacing w:before="60" w:after="60"/>
    </w:pPr>
  </w:style>
  <w:style w:type="paragraph" w:customStyle="1" w:styleId="BoldBodyText">
    <w:name w:val="Bold Body Text"/>
    <w:basedOn w:val="Normal"/>
    <w:next w:val="BodyText"/>
    <w:uiPriority w:val="1"/>
    <w:qFormat/>
    <w:rsid w:val="00873019"/>
    <w:rPr>
      <w:b/>
      <w:bCs/>
    </w:rPr>
  </w:style>
  <w:style w:type="character" w:customStyle="1" w:styleId="Heading5Char">
    <w:name w:val="Heading 5 Char"/>
    <w:link w:val="Heading5"/>
    <w:semiHidden/>
    <w:rsid w:val="00873019"/>
    <w:rPr>
      <w:rFonts w:eastAsia="MS Gothic" w:cs="Times New Roman"/>
      <w:sz w:val="20"/>
      <w:szCs w:val="20"/>
    </w:rPr>
  </w:style>
  <w:style w:type="paragraph" w:styleId="TOC2">
    <w:name w:val="toc 2"/>
    <w:basedOn w:val="Normal"/>
    <w:next w:val="Normal"/>
    <w:autoRedefine/>
    <w:uiPriority w:val="39"/>
    <w:rsid w:val="00B24F05"/>
    <w:pPr>
      <w:tabs>
        <w:tab w:val="left" w:pos="1134"/>
        <w:tab w:val="right" w:leader="dot" w:pos="9356"/>
      </w:tabs>
      <w:spacing w:before="60" w:after="60" w:line="240" w:lineRule="auto"/>
      <w:ind w:left="1134" w:right="2268" w:hanging="567"/>
    </w:pPr>
    <w:rPr>
      <w:noProof/>
    </w:rPr>
  </w:style>
  <w:style w:type="paragraph" w:styleId="TOC3">
    <w:name w:val="toc 3"/>
    <w:basedOn w:val="Normal"/>
    <w:next w:val="Normal"/>
    <w:autoRedefine/>
    <w:uiPriority w:val="39"/>
    <w:rsid w:val="00C61336"/>
    <w:pPr>
      <w:tabs>
        <w:tab w:val="left" w:pos="1814"/>
        <w:tab w:val="right" w:pos="9356"/>
      </w:tabs>
      <w:spacing w:before="60" w:after="60" w:line="240" w:lineRule="auto"/>
      <w:ind w:left="1814" w:right="2268" w:hanging="567"/>
    </w:pPr>
    <w:rPr>
      <w:noProof/>
    </w:rPr>
  </w:style>
  <w:style w:type="character" w:customStyle="1" w:styleId="Heading6Char">
    <w:name w:val="Heading 6 Char"/>
    <w:link w:val="Heading6"/>
    <w:uiPriority w:val="9"/>
    <w:semiHidden/>
    <w:rsid w:val="00873019"/>
    <w:rPr>
      <w:rFonts w:ascii="Arial" w:eastAsia="MS Gothic" w:hAnsi="Arial" w:cs="Times New Roman"/>
      <w:i/>
      <w:iCs/>
      <w:color w:val="856300"/>
      <w:sz w:val="20"/>
      <w:szCs w:val="20"/>
    </w:rPr>
  </w:style>
  <w:style w:type="character" w:customStyle="1" w:styleId="Heading7Char">
    <w:name w:val="Heading 7 Char"/>
    <w:link w:val="Heading7"/>
    <w:uiPriority w:val="9"/>
    <w:semiHidden/>
    <w:rsid w:val="00873019"/>
    <w:rPr>
      <w:rFonts w:ascii="Arial" w:eastAsia="MS Gothic" w:hAnsi="Arial" w:cs="Times New Roman"/>
      <w:i/>
      <w:iCs/>
      <w:color w:val="404040"/>
      <w:sz w:val="20"/>
      <w:szCs w:val="20"/>
    </w:rPr>
  </w:style>
  <w:style w:type="character" w:customStyle="1" w:styleId="Heading8Char">
    <w:name w:val="Heading 8 Char"/>
    <w:link w:val="Heading8"/>
    <w:uiPriority w:val="9"/>
    <w:semiHidden/>
    <w:rsid w:val="00873019"/>
    <w:rPr>
      <w:rFonts w:ascii="Arial" w:eastAsia="MS Gothic" w:hAnsi="Arial" w:cs="Times New Roman"/>
      <w:color w:val="404040"/>
      <w:sz w:val="20"/>
      <w:szCs w:val="20"/>
    </w:rPr>
  </w:style>
  <w:style w:type="character" w:customStyle="1" w:styleId="Heading9Char">
    <w:name w:val="Heading 9 Char"/>
    <w:link w:val="Heading9"/>
    <w:uiPriority w:val="9"/>
    <w:semiHidden/>
    <w:rsid w:val="00873019"/>
    <w:rPr>
      <w:rFonts w:ascii="Arial" w:eastAsia="MS Gothic" w:hAnsi="Arial" w:cs="Times New Roman"/>
      <w:i/>
      <w:iCs/>
      <w:color w:val="404040"/>
      <w:sz w:val="20"/>
      <w:szCs w:val="20"/>
    </w:rPr>
  </w:style>
  <w:style w:type="character" w:styleId="PageNumber">
    <w:name w:val="page number"/>
    <w:basedOn w:val="DefaultParagraphFont"/>
    <w:uiPriority w:val="99"/>
    <w:rsid w:val="00873019"/>
  </w:style>
  <w:style w:type="paragraph" w:customStyle="1" w:styleId="xDate">
    <w:name w:val="xDate"/>
    <w:uiPriority w:val="1"/>
    <w:rsid w:val="00C61336"/>
    <w:pPr>
      <w:framePr w:hSpace="181" w:wrap="around" w:vAnchor="page" w:hAnchor="page" w:x="1135" w:y="10717"/>
      <w:spacing w:before="110" w:after="100"/>
      <w:suppressOverlap/>
      <w:jc w:val="right"/>
    </w:pPr>
    <w:rPr>
      <w:color w:val="000000"/>
      <w:lang w:eastAsia="en-US"/>
    </w:rPr>
  </w:style>
  <w:style w:type="paragraph" w:styleId="Date">
    <w:name w:val="Date"/>
    <w:next w:val="Normal"/>
    <w:link w:val="DateChar"/>
    <w:uiPriority w:val="99"/>
    <w:rsid w:val="00140D70"/>
    <w:pPr>
      <w:tabs>
        <w:tab w:val="right" w:pos="5670"/>
      </w:tabs>
      <w:spacing w:before="110" w:after="100"/>
      <w:jc w:val="right"/>
    </w:pPr>
    <w:rPr>
      <w:color w:val="000000"/>
      <w:lang w:eastAsia="en-US"/>
    </w:rPr>
  </w:style>
  <w:style w:type="character" w:customStyle="1" w:styleId="DateChar">
    <w:name w:val="Date Char"/>
    <w:link w:val="Date"/>
    <w:uiPriority w:val="99"/>
    <w:rsid w:val="00140D70"/>
    <w:rPr>
      <w:color w:val="000000"/>
      <w:sz w:val="20"/>
      <w:szCs w:val="20"/>
    </w:rPr>
  </w:style>
  <w:style w:type="paragraph" w:customStyle="1" w:styleId="xDocType">
    <w:name w:val="xDocType"/>
    <w:uiPriority w:val="1"/>
    <w:rsid w:val="009B0184"/>
    <w:pPr>
      <w:tabs>
        <w:tab w:val="right" w:pos="5670"/>
      </w:tabs>
      <w:spacing w:before="40"/>
      <w:jc w:val="right"/>
    </w:pPr>
    <w:rPr>
      <w:b/>
      <w:bCs/>
      <w:color w:val="213144"/>
      <w:sz w:val="32"/>
      <w:szCs w:val="32"/>
      <w:lang w:eastAsia="en-US"/>
    </w:rPr>
  </w:style>
  <w:style w:type="paragraph" w:customStyle="1" w:styleId="xWebAddress">
    <w:name w:val="xWebAddress"/>
    <w:uiPriority w:val="1"/>
    <w:rsid w:val="009B0184"/>
    <w:pPr>
      <w:spacing w:line="260" w:lineRule="atLeast"/>
      <w:jc w:val="right"/>
    </w:pPr>
    <w:rPr>
      <w:b/>
      <w:bCs/>
      <w:color w:val="213144"/>
      <w:sz w:val="28"/>
      <w:szCs w:val="28"/>
      <w:lang w:eastAsia="en-US"/>
    </w:rPr>
  </w:style>
  <w:style w:type="paragraph" w:styleId="Title">
    <w:name w:val="Title"/>
    <w:next w:val="Normal"/>
    <w:link w:val="TitleChar"/>
    <w:uiPriority w:val="10"/>
    <w:rsid w:val="009B0184"/>
    <w:pPr>
      <w:framePr w:hSpace="181" w:wrap="around" w:vAnchor="page" w:hAnchor="page" w:x="1135" w:y="10717"/>
      <w:tabs>
        <w:tab w:val="right" w:pos="5670"/>
      </w:tabs>
      <w:spacing w:line="440" w:lineRule="exact"/>
      <w:suppressOverlap/>
      <w:jc w:val="right"/>
    </w:pPr>
    <w:rPr>
      <w:color w:val="213144"/>
      <w:sz w:val="36"/>
      <w:szCs w:val="36"/>
      <w:lang w:eastAsia="en-US"/>
    </w:rPr>
  </w:style>
  <w:style w:type="character" w:customStyle="1" w:styleId="TitleChar">
    <w:name w:val="Title Char"/>
    <w:link w:val="Title"/>
    <w:uiPriority w:val="10"/>
    <w:rsid w:val="009B0184"/>
    <w:rPr>
      <w:color w:val="213144"/>
      <w:sz w:val="36"/>
      <w:szCs w:val="36"/>
    </w:rPr>
  </w:style>
  <w:style w:type="paragraph" w:styleId="Subtitle">
    <w:name w:val="Subtitle"/>
    <w:next w:val="Normal"/>
    <w:link w:val="SubtitleChar"/>
    <w:uiPriority w:val="11"/>
    <w:rsid w:val="00E447CE"/>
    <w:pPr>
      <w:framePr w:hSpace="181" w:wrap="around" w:vAnchor="page" w:hAnchor="page" w:x="1135" w:y="10581"/>
      <w:tabs>
        <w:tab w:val="right" w:pos="5670"/>
      </w:tabs>
      <w:spacing w:before="80" w:after="100"/>
      <w:suppressOverlap/>
      <w:jc w:val="right"/>
    </w:pPr>
    <w:rPr>
      <w:b/>
      <w:i/>
      <w:iCs/>
      <w:color w:val="000000"/>
      <w:sz w:val="28"/>
      <w:szCs w:val="28"/>
      <w:lang w:eastAsia="en-US"/>
    </w:rPr>
  </w:style>
  <w:style w:type="character" w:customStyle="1" w:styleId="SubtitleChar">
    <w:name w:val="Subtitle Char"/>
    <w:link w:val="Subtitle"/>
    <w:uiPriority w:val="11"/>
    <w:rsid w:val="00E447CE"/>
    <w:rPr>
      <w:b/>
      <w:i/>
      <w:iCs/>
      <w:color w:val="000000"/>
      <w:sz w:val="28"/>
      <w:szCs w:val="28"/>
    </w:rPr>
  </w:style>
  <w:style w:type="paragraph" w:customStyle="1" w:styleId="TableHeading">
    <w:name w:val="Table Heading"/>
    <w:basedOn w:val="Normal"/>
    <w:uiPriority w:val="1"/>
    <w:qFormat/>
    <w:rsid w:val="009028C3"/>
    <w:pPr>
      <w:tabs>
        <w:tab w:val="right" w:pos="5670"/>
      </w:tabs>
      <w:spacing w:before="60" w:after="60"/>
    </w:pPr>
  </w:style>
  <w:style w:type="paragraph" w:customStyle="1" w:styleId="TableText">
    <w:name w:val="Table Text"/>
    <w:basedOn w:val="Normal"/>
    <w:uiPriority w:val="1"/>
    <w:qFormat/>
    <w:rsid w:val="00C61336"/>
    <w:pPr>
      <w:spacing w:before="60" w:after="60"/>
    </w:pPr>
  </w:style>
  <w:style w:type="paragraph" w:styleId="TOC4">
    <w:name w:val="toc 4"/>
    <w:basedOn w:val="Normal"/>
    <w:next w:val="Normal"/>
    <w:autoRedefine/>
    <w:uiPriority w:val="39"/>
    <w:semiHidden/>
    <w:rsid w:val="00A02BA0"/>
    <w:pPr>
      <w:ind w:left="540"/>
    </w:pPr>
  </w:style>
  <w:style w:type="paragraph" w:styleId="TOC5">
    <w:name w:val="toc 5"/>
    <w:basedOn w:val="Normal"/>
    <w:next w:val="Normal"/>
    <w:autoRedefine/>
    <w:uiPriority w:val="39"/>
    <w:semiHidden/>
    <w:rsid w:val="00A02BA0"/>
    <w:pPr>
      <w:ind w:left="720"/>
    </w:pPr>
  </w:style>
  <w:style w:type="paragraph" w:styleId="TOC6">
    <w:name w:val="toc 6"/>
    <w:basedOn w:val="Normal"/>
    <w:next w:val="Normal"/>
    <w:autoRedefine/>
    <w:uiPriority w:val="39"/>
    <w:semiHidden/>
    <w:rsid w:val="00A02BA0"/>
    <w:pPr>
      <w:ind w:left="900"/>
    </w:pPr>
  </w:style>
  <w:style w:type="paragraph" w:styleId="TOC7">
    <w:name w:val="toc 7"/>
    <w:basedOn w:val="Normal"/>
    <w:next w:val="Normal"/>
    <w:autoRedefine/>
    <w:uiPriority w:val="39"/>
    <w:semiHidden/>
    <w:rsid w:val="00A02BA0"/>
    <w:pPr>
      <w:ind w:left="1080"/>
    </w:pPr>
  </w:style>
  <w:style w:type="paragraph" w:styleId="TOC8">
    <w:name w:val="toc 8"/>
    <w:basedOn w:val="Normal"/>
    <w:next w:val="Normal"/>
    <w:autoRedefine/>
    <w:uiPriority w:val="39"/>
    <w:semiHidden/>
    <w:rsid w:val="00A02BA0"/>
    <w:pPr>
      <w:ind w:left="1260"/>
    </w:pPr>
  </w:style>
  <w:style w:type="paragraph" w:styleId="TOC9">
    <w:name w:val="toc 9"/>
    <w:basedOn w:val="Normal"/>
    <w:next w:val="Normal"/>
    <w:autoRedefine/>
    <w:uiPriority w:val="39"/>
    <w:semiHidden/>
    <w:rsid w:val="00A02BA0"/>
    <w:pPr>
      <w:ind w:left="1440"/>
    </w:pPr>
  </w:style>
  <w:style w:type="paragraph" w:styleId="Caption">
    <w:name w:val="caption"/>
    <w:basedOn w:val="Normal"/>
    <w:next w:val="Normal"/>
    <w:uiPriority w:val="35"/>
    <w:qFormat/>
    <w:rsid w:val="00C61336"/>
    <w:pPr>
      <w:spacing w:after="200" w:line="240" w:lineRule="auto"/>
    </w:pPr>
    <w:rPr>
      <w:b/>
      <w:bCs/>
    </w:rPr>
  </w:style>
  <w:style w:type="paragraph" w:customStyle="1" w:styleId="ExecSumH1">
    <w:name w:val="ExecSum H1"/>
    <w:basedOn w:val="Normal"/>
    <w:next w:val="BodyText"/>
    <w:link w:val="ExecSumH1Char"/>
    <w:uiPriority w:val="1"/>
    <w:qFormat/>
    <w:rsid w:val="00DD60E1"/>
    <w:pPr>
      <w:keepNext/>
      <w:keepLines/>
    </w:pPr>
    <w:rPr>
      <w:b/>
      <w:bCs/>
      <w:sz w:val="28"/>
      <w:szCs w:val="28"/>
    </w:rPr>
  </w:style>
  <w:style w:type="character" w:customStyle="1" w:styleId="ExecSumH1Char">
    <w:name w:val="ExecSum H1 Char"/>
    <w:link w:val="ExecSumH1"/>
    <w:uiPriority w:val="1"/>
    <w:rsid w:val="00DD60E1"/>
    <w:rPr>
      <w:b/>
      <w:bCs/>
      <w:sz w:val="28"/>
      <w:szCs w:val="28"/>
    </w:rPr>
  </w:style>
  <w:style w:type="paragraph" w:customStyle="1" w:styleId="ExecSumH2">
    <w:name w:val="ExecSum H2"/>
    <w:basedOn w:val="Normal"/>
    <w:next w:val="BodyText"/>
    <w:link w:val="ExecSumH2Char"/>
    <w:uiPriority w:val="1"/>
    <w:qFormat/>
    <w:rsid w:val="00DD60E1"/>
    <w:pPr>
      <w:keepNext/>
      <w:keepLines/>
    </w:pPr>
    <w:rPr>
      <w:b/>
      <w:bCs/>
      <w:sz w:val="24"/>
      <w:szCs w:val="24"/>
    </w:rPr>
  </w:style>
  <w:style w:type="character" w:customStyle="1" w:styleId="ExecSumH2Char">
    <w:name w:val="ExecSum H2 Char"/>
    <w:link w:val="ExecSumH2"/>
    <w:uiPriority w:val="1"/>
    <w:rsid w:val="00DD60E1"/>
    <w:rPr>
      <w:b/>
      <w:bCs/>
      <w:sz w:val="24"/>
      <w:szCs w:val="24"/>
    </w:rPr>
  </w:style>
  <w:style w:type="paragraph" w:customStyle="1" w:styleId="ExecSumH3">
    <w:name w:val="ExecSum H3"/>
    <w:basedOn w:val="Normal"/>
    <w:next w:val="BodyText"/>
    <w:link w:val="ExecSumH3Char"/>
    <w:uiPriority w:val="1"/>
    <w:qFormat/>
    <w:rsid w:val="00DD60E1"/>
    <w:pPr>
      <w:keepNext/>
      <w:keepLines/>
    </w:pPr>
    <w:rPr>
      <w:b/>
      <w:bCs/>
      <w:sz w:val="22"/>
      <w:szCs w:val="22"/>
    </w:rPr>
  </w:style>
  <w:style w:type="character" w:customStyle="1" w:styleId="ExecSumH3Char">
    <w:name w:val="ExecSum H3 Char"/>
    <w:link w:val="ExecSumH3"/>
    <w:uiPriority w:val="1"/>
    <w:rsid w:val="00DD60E1"/>
    <w:rPr>
      <w:b/>
      <w:bCs/>
      <w:sz w:val="22"/>
      <w:szCs w:val="22"/>
    </w:rPr>
  </w:style>
  <w:style w:type="paragraph" w:customStyle="1" w:styleId="ExecSumH4">
    <w:name w:val="ExecSum H4"/>
    <w:basedOn w:val="Normal"/>
    <w:next w:val="BodyText"/>
    <w:link w:val="ExecSumH4Char"/>
    <w:uiPriority w:val="1"/>
    <w:qFormat/>
    <w:rsid w:val="00DD60E1"/>
    <w:pPr>
      <w:keepNext/>
      <w:keepLines/>
    </w:pPr>
    <w:rPr>
      <w:b/>
      <w:bCs/>
    </w:rPr>
  </w:style>
  <w:style w:type="character" w:customStyle="1" w:styleId="ExecSumH4Char">
    <w:name w:val="ExecSum H4 Char"/>
    <w:link w:val="ExecSumH4"/>
    <w:uiPriority w:val="1"/>
    <w:rsid w:val="00DD60E1"/>
    <w:rPr>
      <w:b/>
      <w:bCs/>
      <w:sz w:val="20"/>
      <w:szCs w:val="20"/>
    </w:rPr>
  </w:style>
  <w:style w:type="paragraph" w:customStyle="1" w:styleId="ExecSumHeading">
    <w:name w:val="ExecSum Heading"/>
    <w:basedOn w:val="Normal"/>
    <w:next w:val="BodyText"/>
    <w:link w:val="ExecSumHeadingChar"/>
    <w:uiPriority w:val="1"/>
    <w:rsid w:val="00F918D5"/>
    <w:pPr>
      <w:pageBreakBefore/>
      <w:spacing w:before="480"/>
    </w:pPr>
    <w:rPr>
      <w:color w:val="008000"/>
      <w:sz w:val="28"/>
      <w:szCs w:val="28"/>
    </w:rPr>
  </w:style>
  <w:style w:type="character" w:customStyle="1" w:styleId="ExecSumHeadingChar">
    <w:name w:val="ExecSum Heading Char"/>
    <w:link w:val="ExecSumHeading"/>
    <w:uiPriority w:val="1"/>
    <w:rsid w:val="00F918D5"/>
    <w:rPr>
      <w:color w:val="008000"/>
      <w:sz w:val="28"/>
      <w:szCs w:val="28"/>
    </w:rPr>
  </w:style>
  <w:style w:type="paragraph" w:customStyle="1" w:styleId="IndentItalicText">
    <w:name w:val="Indent Italic Text"/>
    <w:basedOn w:val="Normal"/>
    <w:next w:val="BodyText"/>
    <w:link w:val="IndentItalicTextChar"/>
    <w:uiPriority w:val="1"/>
    <w:qFormat/>
    <w:rsid w:val="00873019"/>
    <w:pPr>
      <w:ind w:left="425"/>
    </w:pPr>
    <w:rPr>
      <w:i/>
      <w:iCs/>
    </w:rPr>
  </w:style>
  <w:style w:type="character" w:customStyle="1" w:styleId="IndentItalicTextChar">
    <w:name w:val="Indent Italic Text Char"/>
    <w:link w:val="IndentItalicText"/>
    <w:uiPriority w:val="1"/>
    <w:rsid w:val="00873019"/>
    <w:rPr>
      <w:i/>
      <w:iCs/>
      <w:sz w:val="20"/>
      <w:szCs w:val="20"/>
    </w:rPr>
  </w:style>
  <w:style w:type="paragraph" w:customStyle="1" w:styleId="IndentListLetter">
    <w:name w:val="Indent List Letter"/>
    <w:basedOn w:val="Normal"/>
    <w:uiPriority w:val="1"/>
    <w:qFormat/>
    <w:rsid w:val="00DD60E1"/>
    <w:pPr>
      <w:numPr>
        <w:numId w:val="2"/>
      </w:numPr>
      <w:spacing w:before="60" w:after="60"/>
      <w:ind w:left="850" w:hanging="425"/>
    </w:pPr>
  </w:style>
  <w:style w:type="paragraph" w:customStyle="1" w:styleId="IndentRomanNumeral">
    <w:name w:val="Indent Roman Numeral"/>
    <w:basedOn w:val="Normal"/>
    <w:uiPriority w:val="1"/>
    <w:qFormat/>
    <w:rsid w:val="00DD60E1"/>
    <w:pPr>
      <w:numPr>
        <w:numId w:val="3"/>
      </w:numPr>
      <w:spacing w:before="60" w:after="60"/>
      <w:ind w:left="850" w:hanging="425"/>
    </w:pPr>
  </w:style>
  <w:style w:type="paragraph" w:customStyle="1" w:styleId="ItalicBodyText">
    <w:name w:val="Italic Body Text"/>
    <w:basedOn w:val="BodyText"/>
    <w:next w:val="BodyText"/>
    <w:link w:val="ItalicBodyTextChar"/>
    <w:rsid w:val="00C61336"/>
    <w:pPr>
      <w:ind w:left="851"/>
    </w:pPr>
    <w:rPr>
      <w:rFonts w:eastAsia="Times New Roman"/>
      <w:i/>
      <w:szCs w:val="24"/>
    </w:rPr>
  </w:style>
  <w:style w:type="character" w:customStyle="1" w:styleId="ItalicBodyTextChar">
    <w:name w:val="Italic Body Text Char"/>
    <w:link w:val="ItalicBodyText"/>
    <w:rsid w:val="00C61336"/>
    <w:rPr>
      <w:rFonts w:ascii="Arial" w:eastAsia="Times New Roman" w:hAnsi="Arial" w:cs="Times New Roman"/>
      <w:i/>
      <w:sz w:val="20"/>
      <w:szCs w:val="24"/>
    </w:rPr>
  </w:style>
  <w:style w:type="paragraph" w:customStyle="1" w:styleId="ListLetter">
    <w:name w:val="List Letter"/>
    <w:basedOn w:val="Normal"/>
    <w:uiPriority w:val="1"/>
    <w:qFormat/>
    <w:rsid w:val="00DD60E1"/>
    <w:pPr>
      <w:numPr>
        <w:numId w:val="5"/>
      </w:numPr>
      <w:tabs>
        <w:tab w:val="left" w:pos="425"/>
      </w:tabs>
      <w:spacing w:before="60" w:after="60"/>
      <w:ind w:left="425" w:hanging="425"/>
    </w:pPr>
  </w:style>
  <w:style w:type="paragraph" w:customStyle="1" w:styleId="ListRomanNumeral">
    <w:name w:val="List Roman Numeral"/>
    <w:basedOn w:val="Normal"/>
    <w:uiPriority w:val="1"/>
    <w:qFormat/>
    <w:rsid w:val="00DD60E1"/>
    <w:pPr>
      <w:numPr>
        <w:numId w:val="7"/>
      </w:numPr>
      <w:spacing w:before="60" w:after="60"/>
    </w:pPr>
  </w:style>
  <w:style w:type="paragraph" w:customStyle="1" w:styleId="TableDash">
    <w:name w:val="Table Dash"/>
    <w:basedOn w:val="Normal"/>
    <w:uiPriority w:val="1"/>
    <w:qFormat/>
    <w:rsid w:val="00873019"/>
    <w:pPr>
      <w:numPr>
        <w:numId w:val="8"/>
      </w:numPr>
      <w:spacing w:before="60" w:after="60"/>
    </w:pPr>
  </w:style>
  <w:style w:type="paragraph" w:customStyle="1" w:styleId="TableLetter">
    <w:name w:val="Table Letter"/>
    <w:basedOn w:val="Normal"/>
    <w:uiPriority w:val="1"/>
    <w:qFormat/>
    <w:rsid w:val="00873019"/>
    <w:pPr>
      <w:numPr>
        <w:numId w:val="9"/>
      </w:numPr>
      <w:spacing w:before="60" w:after="60"/>
    </w:pPr>
  </w:style>
  <w:style w:type="paragraph" w:customStyle="1" w:styleId="TableList">
    <w:name w:val="Table List"/>
    <w:basedOn w:val="Normal"/>
    <w:uiPriority w:val="1"/>
    <w:qFormat/>
    <w:rsid w:val="00873019"/>
    <w:pPr>
      <w:numPr>
        <w:numId w:val="10"/>
      </w:numPr>
      <w:spacing w:before="60" w:after="60"/>
    </w:pPr>
  </w:style>
  <w:style w:type="character" w:styleId="FollowedHyperlink">
    <w:name w:val="FollowedHyperlink"/>
    <w:uiPriority w:val="99"/>
    <w:semiHidden/>
    <w:unhideWhenUsed/>
    <w:rsid w:val="00CF47BA"/>
    <w:rPr>
      <w:color w:val="800080"/>
      <w:u w:val="single"/>
    </w:rPr>
  </w:style>
  <w:style w:type="paragraph" w:styleId="FootnoteText">
    <w:name w:val="footnote text"/>
    <w:basedOn w:val="Normal"/>
    <w:link w:val="FootnoteTextChar"/>
    <w:uiPriority w:val="99"/>
    <w:unhideWhenUsed/>
    <w:rsid w:val="00CE4CF6"/>
    <w:pPr>
      <w:tabs>
        <w:tab w:val="left" w:pos="113"/>
      </w:tabs>
      <w:spacing w:before="0" w:after="0" w:line="240" w:lineRule="auto"/>
      <w:ind w:left="113" w:hanging="113"/>
    </w:pPr>
    <w:rPr>
      <w:sz w:val="16"/>
      <w:szCs w:val="16"/>
    </w:rPr>
  </w:style>
  <w:style w:type="character" w:customStyle="1" w:styleId="FootnoteTextChar">
    <w:name w:val="Footnote Text Char"/>
    <w:link w:val="FootnoteText"/>
    <w:uiPriority w:val="99"/>
    <w:rsid w:val="00CE4CF6"/>
    <w:rPr>
      <w:sz w:val="16"/>
      <w:szCs w:val="16"/>
    </w:rPr>
  </w:style>
  <w:style w:type="character" w:styleId="FootnoteReference">
    <w:name w:val="footnote reference"/>
    <w:uiPriority w:val="99"/>
    <w:unhideWhenUsed/>
    <w:rsid w:val="00284AA0"/>
    <w:rPr>
      <w:vertAlign w:val="superscript"/>
    </w:rPr>
  </w:style>
  <w:style w:type="character" w:styleId="BookTitle">
    <w:name w:val="Book Title"/>
    <w:uiPriority w:val="33"/>
    <w:rsid w:val="00CE4CF6"/>
    <w:rPr>
      <w:b/>
      <w:bCs/>
      <w:smallCaps/>
      <w:spacing w:val="5"/>
    </w:rPr>
  </w:style>
  <w:style w:type="character" w:styleId="IntenseReference">
    <w:name w:val="Intense Reference"/>
    <w:uiPriority w:val="32"/>
    <w:rsid w:val="00CE4CF6"/>
    <w:rPr>
      <w:b/>
      <w:bCs/>
      <w:smallCaps/>
      <w:color w:val="008C44"/>
      <w:spacing w:val="5"/>
      <w:u w:val="single"/>
    </w:rPr>
  </w:style>
  <w:style w:type="paragraph" w:styleId="NoSpacing">
    <w:name w:val="No Spacing"/>
    <w:uiPriority w:val="1"/>
    <w:rsid w:val="00CE4CF6"/>
    <w:pPr>
      <w:jc w:val="both"/>
    </w:pPr>
    <w:rPr>
      <w:lang w:eastAsia="en-US"/>
    </w:rPr>
  </w:style>
  <w:style w:type="character" w:styleId="Emphasis">
    <w:name w:val="Emphasis"/>
    <w:uiPriority w:val="20"/>
    <w:rsid w:val="00CE4CF6"/>
    <w:rPr>
      <w:i/>
      <w:iCs/>
    </w:rPr>
  </w:style>
  <w:style w:type="character" w:styleId="SubtleEmphasis">
    <w:name w:val="Subtle Emphasis"/>
    <w:uiPriority w:val="19"/>
    <w:rsid w:val="00CE4CF6"/>
    <w:rPr>
      <w:i/>
      <w:iCs/>
      <w:color w:val="808080"/>
    </w:rPr>
  </w:style>
  <w:style w:type="character" w:styleId="IntenseEmphasis">
    <w:name w:val="Intense Emphasis"/>
    <w:uiPriority w:val="21"/>
    <w:rsid w:val="00CE4CF6"/>
    <w:rPr>
      <w:b/>
      <w:bCs/>
      <w:i/>
      <w:iCs/>
      <w:color w:val="FFC20E"/>
    </w:rPr>
  </w:style>
  <w:style w:type="character" w:styleId="Strong">
    <w:name w:val="Strong"/>
    <w:uiPriority w:val="22"/>
    <w:rsid w:val="00CE4CF6"/>
    <w:rPr>
      <w:b/>
      <w:bCs/>
    </w:rPr>
  </w:style>
  <w:style w:type="paragraph" w:styleId="Quote">
    <w:name w:val="Quote"/>
    <w:basedOn w:val="Normal"/>
    <w:next w:val="Normal"/>
    <w:link w:val="QuoteChar"/>
    <w:uiPriority w:val="29"/>
    <w:rsid w:val="00CE4CF6"/>
    <w:rPr>
      <w:i/>
      <w:iCs/>
      <w:color w:val="000000"/>
    </w:rPr>
  </w:style>
  <w:style w:type="character" w:customStyle="1" w:styleId="QuoteChar">
    <w:name w:val="Quote Char"/>
    <w:link w:val="Quote"/>
    <w:uiPriority w:val="29"/>
    <w:rsid w:val="00CE4CF6"/>
    <w:rPr>
      <w:i/>
      <w:iCs/>
      <w:color w:val="000000"/>
      <w:sz w:val="20"/>
      <w:szCs w:val="20"/>
    </w:rPr>
  </w:style>
  <w:style w:type="paragraph" w:styleId="IntenseQuote">
    <w:name w:val="Intense Quote"/>
    <w:basedOn w:val="Normal"/>
    <w:next w:val="Normal"/>
    <w:link w:val="IntenseQuoteChar"/>
    <w:uiPriority w:val="30"/>
    <w:rsid w:val="00CE4CF6"/>
    <w:pPr>
      <w:pBdr>
        <w:bottom w:val="single" w:sz="4" w:space="4" w:color="FFC20E"/>
      </w:pBdr>
      <w:spacing w:before="200" w:after="280"/>
      <w:ind w:left="936" w:right="936"/>
    </w:pPr>
    <w:rPr>
      <w:b/>
      <w:bCs/>
      <w:i/>
      <w:iCs/>
      <w:color w:val="FFC20E"/>
    </w:rPr>
  </w:style>
  <w:style w:type="character" w:customStyle="1" w:styleId="IntenseQuoteChar">
    <w:name w:val="Intense Quote Char"/>
    <w:link w:val="IntenseQuote"/>
    <w:uiPriority w:val="30"/>
    <w:rsid w:val="00CE4CF6"/>
    <w:rPr>
      <w:b/>
      <w:bCs/>
      <w:i/>
      <w:iCs/>
      <w:color w:val="FFC20E"/>
      <w:sz w:val="20"/>
      <w:szCs w:val="20"/>
    </w:rPr>
  </w:style>
  <w:style w:type="character" w:styleId="SubtleReference">
    <w:name w:val="Subtle Reference"/>
    <w:uiPriority w:val="31"/>
    <w:rsid w:val="00CE4CF6"/>
    <w:rPr>
      <w:smallCaps/>
      <w:color w:val="008C44"/>
      <w:u w:val="single"/>
    </w:rPr>
  </w:style>
  <w:style w:type="paragraph" w:customStyle="1" w:styleId="TableNumber">
    <w:name w:val="Table Number"/>
    <w:basedOn w:val="Normal"/>
    <w:uiPriority w:val="1"/>
    <w:qFormat/>
    <w:rsid w:val="00CE4CF6"/>
    <w:pPr>
      <w:numPr>
        <w:numId w:val="17"/>
      </w:numPr>
      <w:spacing w:before="60" w:after="60"/>
    </w:pPr>
  </w:style>
  <w:style w:type="paragraph" w:customStyle="1" w:styleId="Headingsmall">
    <w:name w:val="Heading small"/>
    <w:basedOn w:val="Heading3"/>
    <w:next w:val="BodyText"/>
    <w:uiPriority w:val="1"/>
    <w:qFormat/>
    <w:rsid w:val="005A21B7"/>
    <w:pPr>
      <w:numPr>
        <w:ilvl w:val="0"/>
        <w:numId w:val="0"/>
      </w:numPr>
    </w:pPr>
    <w:rPr>
      <w:sz w:val="20"/>
    </w:rPr>
  </w:style>
  <w:style w:type="paragraph" w:styleId="DocumentMap">
    <w:name w:val="Document Map"/>
    <w:basedOn w:val="Normal"/>
    <w:link w:val="DocumentMapChar"/>
    <w:uiPriority w:val="99"/>
    <w:semiHidden/>
    <w:unhideWhenUsed/>
    <w:rsid w:val="009F2B7A"/>
    <w:pPr>
      <w:spacing w:before="0" w:after="0" w:line="240" w:lineRule="auto"/>
    </w:pPr>
    <w:rPr>
      <w:rFonts w:ascii="Times New Roman" w:hAnsi="Times New Roman"/>
      <w:sz w:val="24"/>
      <w:szCs w:val="24"/>
    </w:rPr>
  </w:style>
  <w:style w:type="character" w:customStyle="1" w:styleId="DocumentMapChar">
    <w:name w:val="Document Map Char"/>
    <w:link w:val="DocumentMap"/>
    <w:uiPriority w:val="99"/>
    <w:semiHidden/>
    <w:rsid w:val="009F2B7A"/>
    <w:rPr>
      <w:rFonts w:ascii="Times New Roman" w:hAnsi="Times New Roman" w:cs="Times New Roman"/>
      <w:sz w:val="24"/>
      <w:szCs w:val="24"/>
    </w:rPr>
  </w:style>
  <w:style w:type="paragraph" w:customStyle="1" w:styleId="Bullet">
    <w:name w:val="Bullet"/>
    <w:rsid w:val="000000F1"/>
    <w:pPr>
      <w:numPr>
        <w:numId w:val="11"/>
      </w:numPr>
      <w:spacing w:after="120" w:line="288" w:lineRule="auto"/>
      <w:jc w:val="both"/>
    </w:pPr>
    <w:rPr>
      <w:rFonts w:eastAsia="Times New Roman"/>
      <w:lang w:eastAsia="en-US"/>
    </w:rPr>
  </w:style>
  <w:style w:type="character" w:customStyle="1" w:styleId="ListParagraphChar">
    <w:name w:val="List Paragraph Char"/>
    <w:link w:val="ListParagraph"/>
    <w:uiPriority w:val="34"/>
    <w:locked/>
    <w:rsid w:val="00552004"/>
    <w:rPr>
      <w:sz w:val="20"/>
      <w:szCs w:val="20"/>
    </w:rPr>
  </w:style>
  <w:style w:type="character" w:styleId="CommentReference">
    <w:name w:val="annotation reference"/>
    <w:uiPriority w:val="99"/>
    <w:semiHidden/>
    <w:unhideWhenUsed/>
    <w:rsid w:val="006009B0"/>
    <w:rPr>
      <w:sz w:val="18"/>
      <w:szCs w:val="18"/>
    </w:rPr>
  </w:style>
  <w:style w:type="paragraph" w:styleId="CommentText">
    <w:name w:val="annotation text"/>
    <w:basedOn w:val="Normal"/>
    <w:link w:val="CommentTextChar"/>
    <w:uiPriority w:val="99"/>
    <w:unhideWhenUsed/>
    <w:rsid w:val="006009B0"/>
    <w:pPr>
      <w:spacing w:line="240" w:lineRule="auto"/>
    </w:pPr>
    <w:rPr>
      <w:sz w:val="24"/>
      <w:szCs w:val="24"/>
    </w:rPr>
  </w:style>
  <w:style w:type="character" w:customStyle="1" w:styleId="CommentTextChar">
    <w:name w:val="Comment Text Char"/>
    <w:link w:val="CommentText"/>
    <w:uiPriority w:val="99"/>
    <w:rsid w:val="006009B0"/>
    <w:rPr>
      <w:sz w:val="24"/>
      <w:szCs w:val="24"/>
    </w:rPr>
  </w:style>
  <w:style w:type="paragraph" w:styleId="CommentSubject">
    <w:name w:val="annotation subject"/>
    <w:basedOn w:val="CommentText"/>
    <w:next w:val="CommentText"/>
    <w:link w:val="CommentSubjectChar"/>
    <w:uiPriority w:val="99"/>
    <w:semiHidden/>
    <w:unhideWhenUsed/>
    <w:rsid w:val="006009B0"/>
    <w:rPr>
      <w:b/>
      <w:bCs/>
      <w:sz w:val="20"/>
      <w:szCs w:val="20"/>
    </w:rPr>
  </w:style>
  <w:style w:type="character" w:customStyle="1" w:styleId="CommentSubjectChar">
    <w:name w:val="Comment Subject Char"/>
    <w:link w:val="CommentSubject"/>
    <w:uiPriority w:val="99"/>
    <w:semiHidden/>
    <w:rsid w:val="006009B0"/>
    <w:rPr>
      <w:b/>
      <w:bCs/>
      <w:sz w:val="20"/>
      <w:szCs w:val="20"/>
    </w:rPr>
  </w:style>
  <w:style w:type="paragraph" w:customStyle="1" w:styleId="BodyNormal">
    <w:name w:val="Body Normal"/>
    <w:basedOn w:val="Normal"/>
    <w:qFormat/>
    <w:rsid w:val="00A65CDC"/>
    <w:rPr>
      <w:szCs w:val="16"/>
      <w:lang w:val="en-US"/>
    </w:rPr>
  </w:style>
  <w:style w:type="paragraph" w:customStyle="1" w:styleId="BodyBullet1">
    <w:name w:val="Body Bullet 1"/>
    <w:basedOn w:val="Normal"/>
    <w:semiHidden/>
    <w:qFormat/>
    <w:locked/>
    <w:rsid w:val="00531BF3"/>
    <w:pPr>
      <w:numPr>
        <w:numId w:val="12"/>
      </w:numPr>
      <w:spacing w:before="0" w:after="0" w:line="240" w:lineRule="atLeast"/>
      <w:ind w:left="714" w:hanging="357"/>
      <w:contextualSpacing/>
    </w:pPr>
  </w:style>
  <w:style w:type="paragraph" w:customStyle="1" w:styleId="BodyBold">
    <w:name w:val="Body Bold"/>
    <w:basedOn w:val="Normal"/>
    <w:next w:val="Normal"/>
    <w:qFormat/>
    <w:locked/>
    <w:rsid w:val="009F3295"/>
    <w:pPr>
      <w:spacing w:before="0" w:after="0" w:line="240" w:lineRule="auto"/>
    </w:pPr>
    <w:rPr>
      <w:b/>
    </w:rPr>
  </w:style>
  <w:style w:type="paragraph" w:styleId="ListNumber2">
    <w:name w:val="List Number 2"/>
    <w:uiPriority w:val="1"/>
    <w:qFormat/>
    <w:rsid w:val="009F3295"/>
    <w:pPr>
      <w:tabs>
        <w:tab w:val="num" w:pos="720"/>
      </w:tabs>
      <w:spacing w:before="60" w:after="60" w:line="288" w:lineRule="auto"/>
      <w:ind w:left="714" w:hanging="357"/>
      <w:contextualSpacing/>
      <w:jc w:val="both"/>
    </w:pPr>
    <w:rPr>
      <w:lang w:eastAsia="en-US"/>
    </w:rPr>
  </w:style>
  <w:style w:type="numbering" w:customStyle="1" w:styleId="Lists">
    <w:name w:val="Lists"/>
    <w:uiPriority w:val="99"/>
    <w:rsid w:val="009F3295"/>
    <w:pPr>
      <w:numPr>
        <w:numId w:val="13"/>
      </w:numPr>
    </w:pPr>
  </w:style>
  <w:style w:type="paragraph" w:styleId="ListNumber3">
    <w:name w:val="List Number 3"/>
    <w:basedOn w:val="Normal"/>
    <w:uiPriority w:val="20"/>
    <w:qFormat/>
    <w:rsid w:val="009F3295"/>
    <w:pPr>
      <w:tabs>
        <w:tab w:val="num" w:pos="1077"/>
      </w:tabs>
      <w:spacing w:before="0" w:after="0" w:line="240" w:lineRule="auto"/>
      <w:ind w:left="1077" w:hanging="357"/>
    </w:pPr>
  </w:style>
  <w:style w:type="numbering" w:customStyle="1" w:styleId="MultiLevelheadinglist">
    <w:name w:val="Multi Level heading list"/>
    <w:uiPriority w:val="99"/>
    <w:rsid w:val="009F3295"/>
    <w:pPr>
      <w:numPr>
        <w:numId w:val="14"/>
      </w:numPr>
    </w:pPr>
  </w:style>
  <w:style w:type="paragraph" w:styleId="ListNumber4">
    <w:name w:val="List Number 4"/>
    <w:basedOn w:val="Normal"/>
    <w:uiPriority w:val="20"/>
    <w:semiHidden/>
    <w:qFormat/>
    <w:rsid w:val="009F3295"/>
    <w:pPr>
      <w:tabs>
        <w:tab w:val="num" w:pos="1435"/>
      </w:tabs>
      <w:spacing w:before="0" w:after="0" w:line="240" w:lineRule="auto"/>
      <w:ind w:left="1435" w:hanging="358"/>
      <w:contextualSpacing/>
    </w:pPr>
  </w:style>
  <w:style w:type="paragraph" w:customStyle="1" w:styleId="TableBulletShadedTable">
    <w:name w:val="Table Bullet Shaded Table"/>
    <w:uiPriority w:val="1"/>
    <w:qFormat/>
    <w:rsid w:val="005D0587"/>
    <w:pPr>
      <w:numPr>
        <w:numId w:val="15"/>
      </w:numPr>
      <w:spacing w:before="60" w:after="60" w:line="288" w:lineRule="auto"/>
    </w:pPr>
    <w:rPr>
      <w:color w:val="FFFFFF"/>
      <w:sz w:val="18"/>
      <w:lang w:eastAsia="en-US"/>
    </w:rPr>
  </w:style>
  <w:style w:type="paragraph" w:customStyle="1" w:styleId="TableBullet">
    <w:name w:val="Table Bullet"/>
    <w:basedOn w:val="TableBulletShadedTable"/>
    <w:uiPriority w:val="1"/>
    <w:qFormat/>
    <w:rsid w:val="005D0587"/>
    <w:pPr>
      <w:numPr>
        <w:ilvl w:val="1"/>
      </w:numPr>
    </w:pPr>
    <w:rPr>
      <w:color w:val="000000"/>
    </w:rPr>
  </w:style>
  <w:style w:type="paragraph" w:styleId="TableofFigures">
    <w:name w:val="table of figures"/>
    <w:basedOn w:val="Normal"/>
    <w:next w:val="Normal"/>
    <w:uiPriority w:val="99"/>
    <w:unhideWhenUsed/>
    <w:rsid w:val="006079F6"/>
    <w:pPr>
      <w:ind w:left="400" w:hanging="400"/>
    </w:pPr>
  </w:style>
  <w:style w:type="paragraph" w:styleId="Revision">
    <w:name w:val="Revision"/>
    <w:hidden/>
    <w:uiPriority w:val="99"/>
    <w:semiHidden/>
    <w:rsid w:val="00AB073C"/>
    <w:rPr>
      <w:lang w:eastAsia="en-US"/>
    </w:rPr>
  </w:style>
  <w:style w:type="paragraph" w:styleId="NormalWeb">
    <w:name w:val="Normal (Web)"/>
    <w:basedOn w:val="Normal"/>
    <w:uiPriority w:val="99"/>
    <w:semiHidden/>
    <w:unhideWhenUsed/>
    <w:rsid w:val="005025BA"/>
    <w:pPr>
      <w:spacing w:before="100" w:beforeAutospacing="1" w:after="100" w:afterAutospacing="1" w:line="240" w:lineRule="auto"/>
      <w:jc w:val="left"/>
    </w:pPr>
    <w:rPr>
      <w:rFonts w:ascii="Times New Roman" w:eastAsia="MS Mincho"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698180">
      <w:bodyDiv w:val="1"/>
      <w:marLeft w:val="0"/>
      <w:marRight w:val="0"/>
      <w:marTop w:val="0"/>
      <w:marBottom w:val="0"/>
      <w:divBdr>
        <w:top w:val="none" w:sz="0" w:space="0" w:color="auto"/>
        <w:left w:val="none" w:sz="0" w:space="0" w:color="auto"/>
        <w:bottom w:val="none" w:sz="0" w:space="0" w:color="auto"/>
        <w:right w:val="none" w:sz="0" w:space="0" w:color="auto"/>
      </w:divBdr>
    </w:div>
    <w:div w:id="242493449">
      <w:bodyDiv w:val="1"/>
      <w:marLeft w:val="0"/>
      <w:marRight w:val="0"/>
      <w:marTop w:val="0"/>
      <w:marBottom w:val="0"/>
      <w:divBdr>
        <w:top w:val="none" w:sz="0" w:space="0" w:color="auto"/>
        <w:left w:val="none" w:sz="0" w:space="0" w:color="auto"/>
        <w:bottom w:val="none" w:sz="0" w:space="0" w:color="auto"/>
        <w:right w:val="none" w:sz="0" w:space="0" w:color="auto"/>
      </w:divBdr>
    </w:div>
    <w:div w:id="263340326">
      <w:bodyDiv w:val="1"/>
      <w:marLeft w:val="0"/>
      <w:marRight w:val="0"/>
      <w:marTop w:val="0"/>
      <w:marBottom w:val="0"/>
      <w:divBdr>
        <w:top w:val="none" w:sz="0" w:space="0" w:color="auto"/>
        <w:left w:val="none" w:sz="0" w:space="0" w:color="auto"/>
        <w:bottom w:val="none" w:sz="0" w:space="0" w:color="auto"/>
        <w:right w:val="none" w:sz="0" w:space="0" w:color="auto"/>
      </w:divBdr>
    </w:div>
    <w:div w:id="330181974">
      <w:bodyDiv w:val="1"/>
      <w:marLeft w:val="0"/>
      <w:marRight w:val="0"/>
      <w:marTop w:val="0"/>
      <w:marBottom w:val="0"/>
      <w:divBdr>
        <w:top w:val="none" w:sz="0" w:space="0" w:color="auto"/>
        <w:left w:val="none" w:sz="0" w:space="0" w:color="auto"/>
        <w:bottom w:val="none" w:sz="0" w:space="0" w:color="auto"/>
        <w:right w:val="none" w:sz="0" w:space="0" w:color="auto"/>
      </w:divBdr>
    </w:div>
    <w:div w:id="343241358">
      <w:bodyDiv w:val="1"/>
      <w:marLeft w:val="0"/>
      <w:marRight w:val="0"/>
      <w:marTop w:val="0"/>
      <w:marBottom w:val="0"/>
      <w:divBdr>
        <w:top w:val="none" w:sz="0" w:space="0" w:color="auto"/>
        <w:left w:val="none" w:sz="0" w:space="0" w:color="auto"/>
        <w:bottom w:val="none" w:sz="0" w:space="0" w:color="auto"/>
        <w:right w:val="none" w:sz="0" w:space="0" w:color="auto"/>
      </w:divBdr>
    </w:div>
    <w:div w:id="355499904">
      <w:bodyDiv w:val="1"/>
      <w:marLeft w:val="0"/>
      <w:marRight w:val="0"/>
      <w:marTop w:val="0"/>
      <w:marBottom w:val="0"/>
      <w:divBdr>
        <w:top w:val="none" w:sz="0" w:space="0" w:color="auto"/>
        <w:left w:val="none" w:sz="0" w:space="0" w:color="auto"/>
        <w:bottom w:val="none" w:sz="0" w:space="0" w:color="auto"/>
        <w:right w:val="none" w:sz="0" w:space="0" w:color="auto"/>
      </w:divBdr>
    </w:div>
    <w:div w:id="389616207">
      <w:bodyDiv w:val="1"/>
      <w:marLeft w:val="0"/>
      <w:marRight w:val="0"/>
      <w:marTop w:val="0"/>
      <w:marBottom w:val="0"/>
      <w:divBdr>
        <w:top w:val="none" w:sz="0" w:space="0" w:color="auto"/>
        <w:left w:val="none" w:sz="0" w:space="0" w:color="auto"/>
        <w:bottom w:val="none" w:sz="0" w:space="0" w:color="auto"/>
        <w:right w:val="none" w:sz="0" w:space="0" w:color="auto"/>
      </w:divBdr>
    </w:div>
    <w:div w:id="412246044">
      <w:bodyDiv w:val="1"/>
      <w:marLeft w:val="0"/>
      <w:marRight w:val="0"/>
      <w:marTop w:val="0"/>
      <w:marBottom w:val="0"/>
      <w:divBdr>
        <w:top w:val="none" w:sz="0" w:space="0" w:color="auto"/>
        <w:left w:val="none" w:sz="0" w:space="0" w:color="auto"/>
        <w:bottom w:val="none" w:sz="0" w:space="0" w:color="auto"/>
        <w:right w:val="none" w:sz="0" w:space="0" w:color="auto"/>
      </w:divBdr>
    </w:div>
    <w:div w:id="545216925">
      <w:bodyDiv w:val="1"/>
      <w:marLeft w:val="0"/>
      <w:marRight w:val="0"/>
      <w:marTop w:val="0"/>
      <w:marBottom w:val="0"/>
      <w:divBdr>
        <w:top w:val="none" w:sz="0" w:space="0" w:color="auto"/>
        <w:left w:val="none" w:sz="0" w:space="0" w:color="auto"/>
        <w:bottom w:val="none" w:sz="0" w:space="0" w:color="auto"/>
        <w:right w:val="none" w:sz="0" w:space="0" w:color="auto"/>
      </w:divBdr>
    </w:div>
    <w:div w:id="579874426">
      <w:bodyDiv w:val="1"/>
      <w:marLeft w:val="0"/>
      <w:marRight w:val="0"/>
      <w:marTop w:val="0"/>
      <w:marBottom w:val="0"/>
      <w:divBdr>
        <w:top w:val="none" w:sz="0" w:space="0" w:color="auto"/>
        <w:left w:val="none" w:sz="0" w:space="0" w:color="auto"/>
        <w:bottom w:val="none" w:sz="0" w:space="0" w:color="auto"/>
        <w:right w:val="none" w:sz="0" w:space="0" w:color="auto"/>
      </w:divBdr>
    </w:div>
    <w:div w:id="769814320">
      <w:bodyDiv w:val="1"/>
      <w:marLeft w:val="0"/>
      <w:marRight w:val="0"/>
      <w:marTop w:val="0"/>
      <w:marBottom w:val="0"/>
      <w:divBdr>
        <w:top w:val="none" w:sz="0" w:space="0" w:color="auto"/>
        <w:left w:val="none" w:sz="0" w:space="0" w:color="auto"/>
        <w:bottom w:val="none" w:sz="0" w:space="0" w:color="auto"/>
        <w:right w:val="none" w:sz="0" w:space="0" w:color="auto"/>
      </w:divBdr>
    </w:div>
    <w:div w:id="1703700893">
      <w:bodyDiv w:val="1"/>
      <w:marLeft w:val="0"/>
      <w:marRight w:val="0"/>
      <w:marTop w:val="0"/>
      <w:marBottom w:val="0"/>
      <w:divBdr>
        <w:top w:val="none" w:sz="0" w:space="0" w:color="auto"/>
        <w:left w:val="none" w:sz="0" w:space="0" w:color="auto"/>
        <w:bottom w:val="none" w:sz="0" w:space="0" w:color="auto"/>
        <w:right w:val="none" w:sz="0" w:space="0" w:color="auto"/>
      </w:divBdr>
      <w:divsChild>
        <w:div w:id="3965130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footer" Target="footer4.xml"/><Relationship Id="rId39" Type="http://schemas.openxmlformats.org/officeDocument/2006/relationships/chart" Target="charts/chart9.xml"/><Relationship Id="rId3" Type="http://schemas.openxmlformats.org/officeDocument/2006/relationships/numbering" Target="numbering.xml"/><Relationship Id="rId21" Type="http://schemas.openxmlformats.org/officeDocument/2006/relationships/header" Target="header5.xml"/><Relationship Id="rId34" Type="http://schemas.openxmlformats.org/officeDocument/2006/relationships/chart" Target="charts/chart4.xml"/><Relationship Id="rId42" Type="http://schemas.openxmlformats.org/officeDocument/2006/relationships/header" Target="header1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eader" Target="header8.xml"/><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4.xml"/><Relationship Id="rId29" Type="http://schemas.openxmlformats.org/officeDocument/2006/relationships/chart" Target="charts/chart2.xml"/><Relationship Id="rId41"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chart" Target="charts/chart7.xml"/><Relationship Id="rId40" Type="http://schemas.openxmlformats.org/officeDocument/2006/relationships/image" Target="media/image8.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rmcg.com.au" TargetMode="External"/><Relationship Id="rId23" Type="http://schemas.openxmlformats.org/officeDocument/2006/relationships/footer" Target="footer3.xml"/><Relationship Id="rId28" Type="http://schemas.openxmlformats.org/officeDocument/2006/relationships/chart" Target="charts/chart1.xml"/><Relationship Id="rId36" Type="http://schemas.openxmlformats.org/officeDocument/2006/relationships/chart" Target="charts/chart6.xm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footer" Target="footer5.xml"/><Relationship Id="rId44" Type="http://schemas.openxmlformats.org/officeDocument/2006/relationships/header" Target="header1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rm@rmcg.com.au" TargetMode="Externa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chart" Target="charts/chart5.xml"/><Relationship Id="rId43" Type="http://schemas.openxmlformats.org/officeDocument/2006/relationships/footer" Target="footer6.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Volumes\RMCG%20Bendigo\RMCG%20Client%20Files\ADRIAN%20-%2033\A%20-%20K\33-C-06%20CoGG%20Brief%20for%20G21%20Sustainable%20Agribusiness%20Strategy\ECONOMIC%20PROFILE\G21%20data.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Volumes\RMCG%20Bendigo\RMCG%20Client%20Files\ADRIAN%20-%2033\A%20-%20K\33-C-06%20CoGG%20Brief%20for%20G21%20Sustainable%20Agribusiness%20Strategy\ECONOMIC%20PROFILE\G21%20data.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Users\adriank\Desktop\CLIENT%20FILES\33-C-06%20COCG%20Agribusiness%20Strategy\DATA%20FOR%20WILL\HZ05108%20RMCG%20G21%20data.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Users\adriank\Desktop\CLIENT%20FILES\33-C-06%20COCG%20Agribusiness%20Strategy\DATA%20FOR%20WILL\HZ05108%20RMCG%20G21%20data.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Users\adriank\Desktop\CLIENT%20FILES\33-C-06%20COCG%20Agribusiness%20Strategy\DATA%20FOR%20WILL\HZ05108%20RMCG%20G21%20data.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Volumes\RMCG%20Bendigo\RMCG%20Client%20Files\WILL%20-%2069\zTo%20Be%20Archived\69-D-05%20DEDJTR%20-%20Economic%20value%20of%20Victoria's%20chicken%20meat%20industry\REPORT\FINAL%20REPORT\Graphs%20and%20maps\ABS%20chicken%20meat%20production%20by%20state.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Users\adriank\Desktop\CLIENT%20FILES\33-C-06%20COCG%20Agribusiness%20Strategy\DATA%20FOR%20WILL\Agricultural%20production%20data.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C:\Data\AndrewC\Aqua%20statistics\Production%20Figures\2015\Annual%20Aquaculture%20Production%20AC.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Users\adriank\Desktop\CLIENT%20FILES\33-C-06%20COCG%20Agribusiness%20Strategy\STRATEGIC%20FRAMEWORK\WORKSHOPS\G21%20Visitation%20Trend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79827787056099"/>
          <c:y val="4.9751243781094502E-2"/>
          <c:w val="0.77004984933690501"/>
          <c:h val="0.73777020409762195"/>
        </c:manualLayout>
      </c:layout>
      <c:barChart>
        <c:barDir val="bar"/>
        <c:grouping val="stacked"/>
        <c:varyColors val="0"/>
        <c:ser>
          <c:idx val="0"/>
          <c:order val="0"/>
          <c:tx>
            <c:strRef>
              <c:f>'2011 pivot'!$L$39</c:f>
              <c:strCache>
                <c:ptCount val="1"/>
                <c:pt idx="0">
                  <c:v>Primary production</c:v>
                </c:pt>
              </c:strCache>
            </c:strRef>
          </c:tx>
          <c:spPr>
            <a:solidFill>
              <a:schemeClr val="accent2"/>
            </a:solidFill>
            <a:ln>
              <a:noFill/>
            </a:ln>
            <a:effectLst/>
          </c:spPr>
          <c:invertIfNegative val="0"/>
          <c:cat>
            <c:strRef>
              <c:f>'2011 pivot'!$K$40:$K$52</c:f>
              <c:strCache>
                <c:ptCount val="13"/>
                <c:pt idx="0">
                  <c:v>Sheep and beef</c:v>
                </c:pt>
                <c:pt idx="1">
                  <c:v>Dairy</c:v>
                </c:pt>
                <c:pt idx="2">
                  <c:v>Grain</c:v>
                </c:pt>
                <c:pt idx="3">
                  <c:v>Forestry</c:v>
                </c:pt>
                <c:pt idx="4">
                  <c:v>Chicken meat</c:v>
                </c:pt>
                <c:pt idx="5">
                  <c:v>Horticulture</c:v>
                </c:pt>
                <c:pt idx="6">
                  <c:v>Wine</c:v>
                </c:pt>
                <c:pt idx="7">
                  <c:v>Aquaculture/fishing</c:v>
                </c:pt>
                <c:pt idx="8">
                  <c:v>Eggs</c:v>
                </c:pt>
                <c:pt idx="9">
                  <c:v>Other livestock</c:v>
                </c:pt>
                <c:pt idx="10">
                  <c:v>Pigs</c:v>
                </c:pt>
                <c:pt idx="11">
                  <c:v>Other</c:v>
                </c:pt>
                <c:pt idx="12">
                  <c:v>Further processing</c:v>
                </c:pt>
              </c:strCache>
            </c:strRef>
          </c:cat>
          <c:val>
            <c:numRef>
              <c:f>'2011 pivot'!$L$40:$L$52</c:f>
              <c:numCache>
                <c:formatCode>_(* #,##0_);_(* \(#,##0\);_(* "-"??_);_(@_)</c:formatCode>
                <c:ptCount val="13"/>
                <c:pt idx="0">
                  <c:v>945</c:v>
                </c:pt>
                <c:pt idx="1">
                  <c:v>623</c:v>
                </c:pt>
                <c:pt idx="2">
                  <c:v>301</c:v>
                </c:pt>
                <c:pt idx="3">
                  <c:v>58</c:v>
                </c:pt>
                <c:pt idx="4">
                  <c:v>142</c:v>
                </c:pt>
                <c:pt idx="5">
                  <c:v>277</c:v>
                </c:pt>
                <c:pt idx="6">
                  <c:v>37</c:v>
                </c:pt>
                <c:pt idx="7">
                  <c:v>76</c:v>
                </c:pt>
                <c:pt idx="8">
                  <c:v>89</c:v>
                </c:pt>
                <c:pt idx="9">
                  <c:v>76</c:v>
                </c:pt>
                <c:pt idx="10">
                  <c:v>50</c:v>
                </c:pt>
                <c:pt idx="11">
                  <c:v>128</c:v>
                </c:pt>
              </c:numCache>
            </c:numRef>
          </c:val>
        </c:ser>
        <c:ser>
          <c:idx val="1"/>
          <c:order val="1"/>
          <c:tx>
            <c:strRef>
              <c:f>'2011 pivot'!$M$39</c:f>
              <c:strCache>
                <c:ptCount val="1"/>
                <c:pt idx="0">
                  <c:v>Processing</c:v>
                </c:pt>
              </c:strCache>
            </c:strRef>
          </c:tx>
          <c:spPr>
            <a:solidFill>
              <a:schemeClr val="accent1"/>
            </a:solidFill>
            <a:ln>
              <a:noFill/>
            </a:ln>
            <a:effectLst/>
          </c:spPr>
          <c:invertIfNegative val="0"/>
          <c:cat>
            <c:strRef>
              <c:f>'2011 pivot'!$K$40:$K$52</c:f>
              <c:strCache>
                <c:ptCount val="13"/>
                <c:pt idx="0">
                  <c:v>Sheep and beef</c:v>
                </c:pt>
                <c:pt idx="1">
                  <c:v>Dairy</c:v>
                </c:pt>
                <c:pt idx="2">
                  <c:v>Grain</c:v>
                </c:pt>
                <c:pt idx="3">
                  <c:v>Forestry</c:v>
                </c:pt>
                <c:pt idx="4">
                  <c:v>Chicken meat</c:v>
                </c:pt>
                <c:pt idx="5">
                  <c:v>Horticulture</c:v>
                </c:pt>
                <c:pt idx="6">
                  <c:v>Wine</c:v>
                </c:pt>
                <c:pt idx="7">
                  <c:v>Aquaculture/fishing</c:v>
                </c:pt>
                <c:pt idx="8">
                  <c:v>Eggs</c:v>
                </c:pt>
                <c:pt idx="9">
                  <c:v>Other livestock</c:v>
                </c:pt>
                <c:pt idx="10">
                  <c:v>Pigs</c:v>
                </c:pt>
                <c:pt idx="11">
                  <c:v>Other</c:v>
                </c:pt>
                <c:pt idx="12">
                  <c:v>Further processing</c:v>
                </c:pt>
              </c:strCache>
            </c:strRef>
          </c:cat>
          <c:val>
            <c:numRef>
              <c:f>'2011 pivot'!$M$40:$M$52</c:f>
              <c:numCache>
                <c:formatCode>_(* #,##0_);_(* \(#,##0\);_(* "-"??_);_(@_)</c:formatCode>
                <c:ptCount val="13"/>
                <c:pt idx="0">
                  <c:v>235</c:v>
                </c:pt>
                <c:pt idx="1">
                  <c:v>519</c:v>
                </c:pt>
                <c:pt idx="2">
                  <c:v>37</c:v>
                </c:pt>
                <c:pt idx="3">
                  <c:v>358</c:v>
                </c:pt>
                <c:pt idx="4">
                  <c:v>258</c:v>
                </c:pt>
                <c:pt idx="5">
                  <c:v>22</c:v>
                </c:pt>
                <c:pt idx="6">
                  <c:v>165</c:v>
                </c:pt>
                <c:pt idx="7">
                  <c:v>25</c:v>
                </c:pt>
                <c:pt idx="11">
                  <c:v>0</c:v>
                </c:pt>
                <c:pt idx="12">
                  <c:v>1288</c:v>
                </c:pt>
              </c:numCache>
            </c:numRef>
          </c:val>
        </c:ser>
        <c:ser>
          <c:idx val="2"/>
          <c:order val="2"/>
          <c:tx>
            <c:strRef>
              <c:f>'2011 pivot'!$N$39</c:f>
              <c:strCache>
                <c:ptCount val="1"/>
                <c:pt idx="0">
                  <c:v>Wholesaling</c:v>
                </c:pt>
              </c:strCache>
            </c:strRef>
          </c:tx>
          <c:spPr>
            <a:solidFill>
              <a:schemeClr val="tx2"/>
            </a:solidFill>
            <a:ln>
              <a:noFill/>
            </a:ln>
            <a:effectLst/>
          </c:spPr>
          <c:invertIfNegative val="0"/>
          <c:cat>
            <c:strRef>
              <c:f>'2011 pivot'!$K$40:$K$52</c:f>
              <c:strCache>
                <c:ptCount val="13"/>
                <c:pt idx="0">
                  <c:v>Sheep and beef</c:v>
                </c:pt>
                <c:pt idx="1">
                  <c:v>Dairy</c:v>
                </c:pt>
                <c:pt idx="2">
                  <c:v>Grain</c:v>
                </c:pt>
                <c:pt idx="3">
                  <c:v>Forestry</c:v>
                </c:pt>
                <c:pt idx="4">
                  <c:v>Chicken meat</c:v>
                </c:pt>
                <c:pt idx="5">
                  <c:v>Horticulture</c:v>
                </c:pt>
                <c:pt idx="6">
                  <c:v>Wine</c:v>
                </c:pt>
                <c:pt idx="7">
                  <c:v>Aquaculture/fishing</c:v>
                </c:pt>
                <c:pt idx="8">
                  <c:v>Eggs</c:v>
                </c:pt>
                <c:pt idx="9">
                  <c:v>Other livestock</c:v>
                </c:pt>
                <c:pt idx="10">
                  <c:v>Pigs</c:v>
                </c:pt>
                <c:pt idx="11">
                  <c:v>Other</c:v>
                </c:pt>
                <c:pt idx="12">
                  <c:v>Further processing</c:v>
                </c:pt>
              </c:strCache>
            </c:strRef>
          </c:cat>
          <c:val>
            <c:numRef>
              <c:f>'2011 pivot'!$N$40:$N$52</c:f>
              <c:numCache>
                <c:formatCode>General</c:formatCode>
                <c:ptCount val="13"/>
                <c:pt idx="0" formatCode="_(* #,##0_);_(* \(#,##0\);_(* &quot;-&quot;??_);_(@_)">
                  <c:v>62</c:v>
                </c:pt>
                <c:pt idx="2" formatCode="_(* #,##0_);_(* \(#,##0\);_(* &quot;-&quot;??_);_(@_)">
                  <c:v>177</c:v>
                </c:pt>
                <c:pt idx="3" formatCode="_(* #,##0_);_(* \(#,##0\);_(* &quot;-&quot;??_);_(@_)">
                  <c:v>78</c:v>
                </c:pt>
                <c:pt idx="11" formatCode="_(* #,##0_);_(* \(#,##0\);_(* &quot;-&quot;??_);_(@_)">
                  <c:v>209</c:v>
                </c:pt>
              </c:numCache>
            </c:numRef>
          </c:val>
        </c:ser>
        <c:dLbls>
          <c:showLegendKey val="0"/>
          <c:showVal val="0"/>
          <c:showCatName val="0"/>
          <c:showSerName val="0"/>
          <c:showPercent val="0"/>
          <c:showBubbleSize val="0"/>
        </c:dLbls>
        <c:gapWidth val="150"/>
        <c:overlap val="100"/>
        <c:axId val="713343392"/>
        <c:axId val="713338688"/>
      </c:barChart>
      <c:catAx>
        <c:axId val="713343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13338688"/>
        <c:crosses val="autoZero"/>
        <c:auto val="1"/>
        <c:lblAlgn val="ctr"/>
        <c:lblOffset val="100"/>
        <c:noMultiLvlLbl val="0"/>
      </c:catAx>
      <c:valAx>
        <c:axId val="713338688"/>
        <c:scaling>
          <c:orientation val="minMax"/>
          <c:max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GB" sz="700" baseline="0"/>
                  <a:t>No. of jobs (excl. Inputs Sector)</a:t>
                </a:r>
              </a:p>
            </c:rich>
          </c:tx>
          <c:layout>
            <c:manualLayout>
              <c:xMode val="edge"/>
              <c:yMode val="edge"/>
              <c:x val="0.35284178527673199"/>
              <c:y val="0.8562375085700040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13343392"/>
        <c:crosses val="autoZero"/>
        <c:crossBetween val="between"/>
      </c:valAx>
      <c:spPr>
        <a:noFill/>
        <a:ln>
          <a:noFill/>
        </a:ln>
        <a:effectLst/>
      </c:spPr>
    </c:plotArea>
    <c:legend>
      <c:legendPos val="b"/>
      <c:layout>
        <c:manualLayout>
          <c:xMode val="edge"/>
          <c:yMode val="edge"/>
          <c:x val="2.4031680091059798E-2"/>
          <c:y val="0.90055097334469103"/>
          <c:w val="0.899999829603641"/>
          <c:h val="8.8894936945546704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550990965146498"/>
          <c:y val="7.0327292399242597E-2"/>
          <c:w val="0.58229555662669896"/>
          <c:h val="0.66424063775906805"/>
        </c:manualLayout>
      </c:layout>
      <c:barChart>
        <c:barDir val="bar"/>
        <c:grouping val="stacked"/>
        <c:varyColors val="0"/>
        <c:ser>
          <c:idx val="0"/>
          <c:order val="0"/>
          <c:tx>
            <c:strRef>
              <c:f>'2011 pivot'!$K$3</c:f>
              <c:strCache>
                <c:ptCount val="1"/>
                <c:pt idx="0">
                  <c:v>Primary production</c:v>
                </c:pt>
              </c:strCache>
            </c:strRef>
          </c:tx>
          <c:spPr>
            <a:solidFill>
              <a:schemeClr val="accent2"/>
            </a:solidFill>
            <a:ln>
              <a:noFill/>
            </a:ln>
            <a:effectLst/>
          </c:spPr>
          <c:invertIfNegative val="0"/>
          <c:cat>
            <c:strRef>
              <c:f>'2011 pivot'!$L$2:$O$2</c:f>
              <c:strCache>
                <c:ptCount val="4"/>
                <c:pt idx="0">
                  <c:v>Colac-Otway (S)</c:v>
                </c:pt>
                <c:pt idx="1">
                  <c:v>Golden Plains (S)</c:v>
                </c:pt>
                <c:pt idx="2">
                  <c:v>Greater Geelong (C)</c:v>
                </c:pt>
                <c:pt idx="3">
                  <c:v>Surf Coast (S)</c:v>
                </c:pt>
              </c:strCache>
            </c:strRef>
          </c:cat>
          <c:val>
            <c:numRef>
              <c:f>'2011 pivot'!$L$3:$O$3</c:f>
              <c:numCache>
                <c:formatCode>General</c:formatCode>
                <c:ptCount val="4"/>
                <c:pt idx="0">
                  <c:v>989</c:v>
                </c:pt>
                <c:pt idx="1">
                  <c:v>691</c:v>
                </c:pt>
                <c:pt idx="2">
                  <c:v>672</c:v>
                </c:pt>
                <c:pt idx="3">
                  <c:v>450</c:v>
                </c:pt>
              </c:numCache>
            </c:numRef>
          </c:val>
        </c:ser>
        <c:ser>
          <c:idx val="1"/>
          <c:order val="1"/>
          <c:tx>
            <c:strRef>
              <c:f>'2011 pivot'!$K$4</c:f>
              <c:strCache>
                <c:ptCount val="1"/>
                <c:pt idx="0">
                  <c:v>Processing</c:v>
                </c:pt>
              </c:strCache>
            </c:strRef>
          </c:tx>
          <c:spPr>
            <a:solidFill>
              <a:schemeClr val="accent1"/>
            </a:solidFill>
            <a:ln>
              <a:noFill/>
            </a:ln>
            <a:effectLst/>
          </c:spPr>
          <c:invertIfNegative val="0"/>
          <c:cat>
            <c:strRef>
              <c:f>'2011 pivot'!$L$2:$O$2</c:f>
              <c:strCache>
                <c:ptCount val="4"/>
                <c:pt idx="0">
                  <c:v>Colac-Otway (S)</c:v>
                </c:pt>
                <c:pt idx="1">
                  <c:v>Golden Plains (S)</c:v>
                </c:pt>
                <c:pt idx="2">
                  <c:v>Greater Geelong (C)</c:v>
                </c:pt>
                <c:pt idx="3">
                  <c:v>Surf Coast (S)</c:v>
                </c:pt>
              </c:strCache>
            </c:strRef>
          </c:cat>
          <c:val>
            <c:numRef>
              <c:f>'2011 pivot'!$L$4:$O$4</c:f>
              <c:numCache>
                <c:formatCode>General</c:formatCode>
                <c:ptCount val="4"/>
                <c:pt idx="0">
                  <c:v>934</c:v>
                </c:pt>
                <c:pt idx="1">
                  <c:v>121</c:v>
                </c:pt>
                <c:pt idx="2">
                  <c:v>1768</c:v>
                </c:pt>
                <c:pt idx="3">
                  <c:v>84</c:v>
                </c:pt>
              </c:numCache>
            </c:numRef>
          </c:val>
        </c:ser>
        <c:ser>
          <c:idx val="2"/>
          <c:order val="2"/>
          <c:tx>
            <c:strRef>
              <c:f>'2011 pivot'!$K$5</c:f>
              <c:strCache>
                <c:ptCount val="1"/>
                <c:pt idx="0">
                  <c:v>Wholesaling</c:v>
                </c:pt>
              </c:strCache>
            </c:strRef>
          </c:tx>
          <c:spPr>
            <a:solidFill>
              <a:schemeClr val="tx2"/>
            </a:solidFill>
            <a:ln>
              <a:noFill/>
            </a:ln>
            <a:effectLst/>
          </c:spPr>
          <c:invertIfNegative val="0"/>
          <c:cat>
            <c:strRef>
              <c:f>'2011 pivot'!$L$2:$O$2</c:f>
              <c:strCache>
                <c:ptCount val="4"/>
                <c:pt idx="0">
                  <c:v>Colac-Otway (S)</c:v>
                </c:pt>
                <c:pt idx="1">
                  <c:v>Golden Plains (S)</c:v>
                </c:pt>
                <c:pt idx="2">
                  <c:v>Greater Geelong (C)</c:v>
                </c:pt>
                <c:pt idx="3">
                  <c:v>Surf Coast (S)</c:v>
                </c:pt>
              </c:strCache>
            </c:strRef>
          </c:cat>
          <c:val>
            <c:numRef>
              <c:f>'2011 pivot'!$L$5:$O$5</c:f>
              <c:numCache>
                <c:formatCode>General</c:formatCode>
                <c:ptCount val="4"/>
                <c:pt idx="0">
                  <c:v>134</c:v>
                </c:pt>
                <c:pt idx="1">
                  <c:v>42</c:v>
                </c:pt>
                <c:pt idx="2">
                  <c:v>641</c:v>
                </c:pt>
                <c:pt idx="3">
                  <c:v>27</c:v>
                </c:pt>
              </c:numCache>
            </c:numRef>
          </c:val>
        </c:ser>
        <c:dLbls>
          <c:showLegendKey val="0"/>
          <c:showVal val="0"/>
          <c:showCatName val="0"/>
          <c:showSerName val="0"/>
          <c:showPercent val="0"/>
          <c:showBubbleSize val="0"/>
        </c:dLbls>
        <c:gapWidth val="150"/>
        <c:overlap val="100"/>
        <c:axId val="713338296"/>
        <c:axId val="713342216"/>
      </c:barChart>
      <c:catAx>
        <c:axId val="713338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13342216"/>
        <c:crosses val="autoZero"/>
        <c:auto val="1"/>
        <c:lblAlgn val="ctr"/>
        <c:lblOffset val="100"/>
        <c:noMultiLvlLbl val="0"/>
      </c:catAx>
      <c:valAx>
        <c:axId val="713342216"/>
        <c:scaling>
          <c:orientation val="minMax"/>
          <c:max val="400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en-GB" sz="700" b="0" i="0" baseline="0"/>
                  <a:t>No. of jobs (excl. Inputs Sector)</a:t>
                </a:r>
              </a:p>
            </c:rich>
          </c:tx>
          <c:layout>
            <c:manualLayout>
              <c:xMode val="edge"/>
              <c:yMode val="edge"/>
              <c:x val="0.38901507254401901"/>
              <c:y val="0.83342271558765502"/>
            </c:manualLayout>
          </c:layout>
          <c:overlay val="0"/>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13338296"/>
        <c:crosses val="autoZero"/>
        <c:crossBetween val="between"/>
      </c:valAx>
      <c:spPr>
        <a:noFill/>
        <a:ln>
          <a:noFill/>
        </a:ln>
        <a:effectLst/>
      </c:spPr>
    </c:plotArea>
    <c:legend>
      <c:legendPos val="b"/>
      <c:layout>
        <c:manualLayout>
          <c:xMode val="edge"/>
          <c:yMode val="edge"/>
          <c:x val="0.112003829430239"/>
          <c:y val="0.91484008101908598"/>
          <c:w val="0.77599234113952198"/>
          <c:h val="8.5159918980914504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'EVAO pivot'!#REF!</c:f>
              <c:strCache>
                <c:ptCount val="1"/>
                <c:pt idx="0">
                  <c:v>#REF!</c:v>
                </c:pt>
              </c:strCache>
            </c:strRef>
          </c:tx>
          <c:spPr>
            <a:solidFill>
              <a:schemeClr val="accent3"/>
            </a:solidFill>
            <a:ln>
              <a:noFill/>
            </a:ln>
            <a:effectLst/>
          </c:spPr>
          <c:invertIfNegative val="0"/>
          <c:cat>
            <c:strRef>
              <c:f>'EVAO pivot'!$M$6:$M$11</c:f>
              <c:strCache>
                <c:ptCount val="6"/>
                <c:pt idx="0">
                  <c:v>&lt;$50k</c:v>
                </c:pt>
                <c:pt idx="1">
                  <c:v>$50-$150k</c:v>
                </c:pt>
                <c:pt idx="2">
                  <c:v>$150-$350k</c:v>
                </c:pt>
                <c:pt idx="3">
                  <c:v>$350-$500k</c:v>
                </c:pt>
                <c:pt idx="4">
                  <c:v>$500k-$1M</c:v>
                </c:pt>
                <c:pt idx="5">
                  <c:v>&gt;$1M</c:v>
                </c:pt>
              </c:strCache>
            </c:strRef>
          </c:cat>
          <c:val>
            <c:numRef>
              <c:f>'EVAO pivot'!#REF!</c:f>
              <c:numCache>
                <c:formatCode>General</c:formatCode>
                <c:ptCount val="1"/>
                <c:pt idx="0">
                  <c:v>1</c:v>
                </c:pt>
              </c:numCache>
            </c:numRef>
          </c:val>
        </c:ser>
        <c:ser>
          <c:idx val="3"/>
          <c:order val="3"/>
          <c:tx>
            <c:strRef>
              <c:f>'EVAO pivot'!$O$5</c:f>
              <c:strCache>
                <c:ptCount val="1"/>
                <c:pt idx="0">
                  <c:v>No. properties</c:v>
                </c:pt>
              </c:strCache>
            </c:strRef>
          </c:tx>
          <c:spPr>
            <a:solidFill>
              <a:schemeClr val="accent2"/>
            </a:solidFill>
            <a:ln>
              <a:noFill/>
            </a:ln>
            <a:effectLst/>
          </c:spPr>
          <c:invertIfNegative val="0"/>
          <c:cat>
            <c:strRef>
              <c:f>'EVAO pivot'!$M$6:$M$11</c:f>
              <c:strCache>
                <c:ptCount val="6"/>
                <c:pt idx="0">
                  <c:v>&lt;$50k</c:v>
                </c:pt>
                <c:pt idx="1">
                  <c:v>$50-$150k</c:v>
                </c:pt>
                <c:pt idx="2">
                  <c:v>$150-$350k</c:v>
                </c:pt>
                <c:pt idx="3">
                  <c:v>$350-$500k</c:v>
                </c:pt>
                <c:pt idx="4">
                  <c:v>$500k-$1M</c:v>
                </c:pt>
                <c:pt idx="5">
                  <c:v>&gt;$1M</c:v>
                </c:pt>
              </c:strCache>
            </c:strRef>
          </c:cat>
          <c:val>
            <c:numRef>
              <c:f>'EVAO pivot'!$O$6:$O$11</c:f>
              <c:numCache>
                <c:formatCode>General</c:formatCode>
                <c:ptCount val="6"/>
                <c:pt idx="0">
                  <c:v>778</c:v>
                </c:pt>
                <c:pt idx="1">
                  <c:v>376</c:v>
                </c:pt>
                <c:pt idx="2">
                  <c:v>245</c:v>
                </c:pt>
                <c:pt idx="3">
                  <c:v>79</c:v>
                </c:pt>
                <c:pt idx="4">
                  <c:v>91</c:v>
                </c:pt>
                <c:pt idx="5">
                  <c:v>58</c:v>
                </c:pt>
              </c:numCache>
            </c:numRef>
          </c:val>
        </c:ser>
        <c:dLbls>
          <c:showLegendKey val="0"/>
          <c:showVal val="0"/>
          <c:showCatName val="0"/>
          <c:showSerName val="0"/>
          <c:showPercent val="0"/>
          <c:showBubbleSize val="0"/>
        </c:dLbls>
        <c:gapWidth val="219"/>
        <c:overlap val="-27"/>
        <c:axId val="713341432"/>
        <c:axId val="713339472"/>
      </c:barChart>
      <c:barChart>
        <c:barDir val="col"/>
        <c:grouping val="clustered"/>
        <c:varyColors val="0"/>
        <c:ser>
          <c:idx val="0"/>
          <c:order val="0"/>
          <c:tx>
            <c:strRef>
              <c:f>'EVAO pivot'!$N$5</c:f>
              <c:strCache>
                <c:ptCount val="1"/>
                <c:pt idx="0">
                  <c:v>Value of production</c:v>
                </c:pt>
              </c:strCache>
            </c:strRef>
          </c:tx>
          <c:spPr>
            <a:solidFill>
              <a:schemeClr val="tx2"/>
            </a:solidFill>
            <a:ln>
              <a:noFill/>
            </a:ln>
            <a:effectLst/>
          </c:spPr>
          <c:invertIfNegative val="0"/>
          <c:cat>
            <c:strRef>
              <c:f>'EVAO pivot'!$M$6:$M$11</c:f>
              <c:strCache>
                <c:ptCount val="6"/>
                <c:pt idx="0">
                  <c:v>&lt;$50k</c:v>
                </c:pt>
                <c:pt idx="1">
                  <c:v>$50-$150k</c:v>
                </c:pt>
                <c:pt idx="2">
                  <c:v>$150-$350k</c:v>
                </c:pt>
                <c:pt idx="3">
                  <c:v>$350-$500k</c:v>
                </c:pt>
                <c:pt idx="4">
                  <c:v>$500k-$1M</c:v>
                </c:pt>
                <c:pt idx="5">
                  <c:v>&gt;$1M</c:v>
                </c:pt>
              </c:strCache>
            </c:strRef>
          </c:cat>
          <c:val>
            <c:numRef>
              <c:f>'EVAO pivot'!$N$6:$N$11</c:f>
              <c:numCache>
                <c:formatCode>0</c:formatCode>
                <c:ptCount val="6"/>
                <c:pt idx="0">
                  <c:v>17.145313000000002</c:v>
                </c:pt>
                <c:pt idx="1">
                  <c:v>34.705247999999997</c:v>
                </c:pt>
                <c:pt idx="2">
                  <c:v>59.950333999999998</c:v>
                </c:pt>
                <c:pt idx="3">
                  <c:v>34.106782000000003</c:v>
                </c:pt>
                <c:pt idx="4">
                  <c:v>66.152426000000006</c:v>
                </c:pt>
                <c:pt idx="5">
                  <c:v>177</c:v>
                </c:pt>
              </c:numCache>
            </c:numRef>
          </c:val>
        </c:ser>
        <c:ser>
          <c:idx val="1"/>
          <c:order val="1"/>
          <c:tx>
            <c:strRef>
              <c:f>'EVAO pivot'!#REF!</c:f>
              <c:strCache>
                <c:ptCount val="1"/>
                <c:pt idx="0">
                  <c:v>#REF!</c:v>
                </c:pt>
              </c:strCache>
            </c:strRef>
          </c:tx>
          <c:spPr>
            <a:solidFill>
              <a:schemeClr val="accent2"/>
            </a:solidFill>
            <a:ln>
              <a:noFill/>
            </a:ln>
            <a:effectLst/>
          </c:spPr>
          <c:invertIfNegative val="0"/>
          <c:cat>
            <c:strRef>
              <c:f>'EVAO pivot'!$M$6:$M$11</c:f>
              <c:strCache>
                <c:ptCount val="6"/>
                <c:pt idx="0">
                  <c:v>&lt;$50k</c:v>
                </c:pt>
                <c:pt idx="1">
                  <c:v>$50-$150k</c:v>
                </c:pt>
                <c:pt idx="2">
                  <c:v>$150-$350k</c:v>
                </c:pt>
                <c:pt idx="3">
                  <c:v>$350-$500k</c:v>
                </c:pt>
                <c:pt idx="4">
                  <c:v>$500k-$1M</c:v>
                </c:pt>
                <c:pt idx="5">
                  <c:v>&gt;$1M</c:v>
                </c:pt>
              </c:strCache>
            </c:strRef>
          </c:cat>
          <c:val>
            <c:numRef>
              <c:f>'EVAO pivot'!#REF!</c:f>
              <c:numCache>
                <c:formatCode>General</c:formatCode>
                <c:ptCount val="1"/>
                <c:pt idx="0">
                  <c:v>1</c:v>
                </c:pt>
              </c:numCache>
            </c:numRef>
          </c:val>
        </c:ser>
        <c:dLbls>
          <c:showLegendKey val="0"/>
          <c:showVal val="0"/>
          <c:showCatName val="0"/>
          <c:showSerName val="0"/>
          <c:showPercent val="0"/>
          <c:showBubbleSize val="0"/>
        </c:dLbls>
        <c:gapWidth val="219"/>
        <c:overlap val="-27"/>
        <c:axId val="713343784"/>
        <c:axId val="713341824"/>
      </c:barChart>
      <c:catAx>
        <c:axId val="713341432"/>
        <c:scaling>
          <c:orientation val="minMax"/>
        </c:scaling>
        <c:delete val="0"/>
        <c:axPos val="b"/>
        <c:title>
          <c:tx>
            <c:rich>
              <a:bodyPr rot="0" vert="horz"/>
              <a:lstStyle/>
              <a:p>
                <a:pPr>
                  <a:defRPr sz="800" b="0" i="0" baseline="0"/>
                </a:pPr>
                <a:r>
                  <a:rPr lang="en-US" sz="800" b="0" i="0" baseline="0"/>
                  <a:t>Business turnover</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700" baseline="0"/>
            </a:pPr>
            <a:endParaRPr lang="en-US"/>
          </a:p>
        </c:txPr>
        <c:crossAx val="713339472"/>
        <c:crosses val="autoZero"/>
        <c:auto val="1"/>
        <c:lblAlgn val="ctr"/>
        <c:lblOffset val="100"/>
        <c:noMultiLvlLbl val="0"/>
      </c:catAx>
      <c:valAx>
        <c:axId val="713339472"/>
        <c:scaling>
          <c:orientation val="minMax"/>
          <c:max val="80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sz="800" b="0" i="0" baseline="0"/>
                </a:pPr>
                <a:r>
                  <a:rPr lang="en-US" sz="800" b="0" i="0" baseline="0"/>
                  <a:t>No. of farms</a:t>
                </a:r>
              </a:p>
            </c:rich>
          </c:tx>
          <c:layout/>
          <c:overlay val="0"/>
          <c:spPr>
            <a:noFill/>
            <a:ln>
              <a:noFill/>
            </a:ln>
            <a:effectLst/>
          </c:spPr>
        </c:title>
        <c:numFmt formatCode="General" sourceLinked="0"/>
        <c:majorTickMark val="none"/>
        <c:minorTickMark val="none"/>
        <c:tickLblPos val="nextTo"/>
        <c:spPr>
          <a:noFill/>
          <a:ln>
            <a:noFill/>
          </a:ln>
          <a:effectLst/>
        </c:spPr>
        <c:txPr>
          <a:bodyPr rot="-60000000" vert="horz"/>
          <a:lstStyle/>
          <a:p>
            <a:pPr>
              <a:defRPr sz="800" baseline="0"/>
            </a:pPr>
            <a:endParaRPr lang="en-US"/>
          </a:p>
        </c:txPr>
        <c:crossAx val="713341432"/>
        <c:crosses val="autoZero"/>
        <c:crossBetween val="between"/>
        <c:majorUnit val="200"/>
      </c:valAx>
      <c:valAx>
        <c:axId val="713341824"/>
        <c:scaling>
          <c:orientation val="minMax"/>
          <c:max val="180"/>
        </c:scaling>
        <c:delete val="0"/>
        <c:axPos val="r"/>
        <c:title>
          <c:tx>
            <c:rich>
              <a:bodyPr rot="-5400000" vert="horz"/>
              <a:lstStyle/>
              <a:p>
                <a:pPr>
                  <a:defRPr sz="800" b="0" i="0" baseline="0"/>
                </a:pPr>
                <a:r>
                  <a:rPr lang="en-US" sz="800" b="0" i="0" baseline="0"/>
                  <a:t>Value of production ($m)</a:t>
                </a:r>
              </a:p>
            </c:rich>
          </c:tx>
          <c:layout/>
          <c:overlay val="0"/>
          <c:spPr>
            <a:noFill/>
            <a:ln>
              <a:noFill/>
            </a:ln>
            <a:effectLst/>
          </c:spPr>
        </c:title>
        <c:numFmt formatCode="0" sourceLinked="0"/>
        <c:majorTickMark val="out"/>
        <c:minorTickMark val="none"/>
        <c:tickLblPos val="nextTo"/>
        <c:spPr>
          <a:noFill/>
          <a:ln>
            <a:noFill/>
          </a:ln>
          <a:effectLst/>
        </c:spPr>
        <c:txPr>
          <a:bodyPr rot="-60000000" vert="horz"/>
          <a:lstStyle/>
          <a:p>
            <a:pPr>
              <a:defRPr sz="800" baseline="0"/>
            </a:pPr>
            <a:endParaRPr lang="en-US"/>
          </a:p>
        </c:txPr>
        <c:crossAx val="713343784"/>
        <c:crosses val="max"/>
        <c:crossBetween val="between"/>
        <c:majorUnit val="45"/>
      </c:valAx>
      <c:catAx>
        <c:axId val="713343784"/>
        <c:scaling>
          <c:orientation val="minMax"/>
        </c:scaling>
        <c:delete val="1"/>
        <c:axPos val="b"/>
        <c:numFmt formatCode="General" sourceLinked="1"/>
        <c:majorTickMark val="out"/>
        <c:minorTickMark val="none"/>
        <c:tickLblPos val="nextTo"/>
        <c:crossAx val="713341824"/>
        <c:crosses val="autoZero"/>
        <c:auto val="1"/>
        <c:lblAlgn val="ctr"/>
        <c:lblOffset val="100"/>
        <c:noMultiLvlLbl val="0"/>
      </c:catAx>
      <c:spPr>
        <a:noFill/>
        <a:ln>
          <a:noFill/>
        </a:ln>
        <a:effectLst/>
      </c:spPr>
    </c:plotArea>
    <c:legend>
      <c:legendPos val="t"/>
      <c:legendEntry>
        <c:idx val="0"/>
        <c:delete val="1"/>
      </c:legendEntry>
      <c:legendEntry>
        <c:idx val="3"/>
        <c:delete val="1"/>
      </c:legendEntry>
      <c:layout>
        <c:manualLayout>
          <c:xMode val="edge"/>
          <c:yMode val="edge"/>
          <c:x val="0.28941544881541398"/>
          <c:y val="9.4693546172535906E-2"/>
          <c:w val="0.43176596675415602"/>
          <c:h val="8.0449023797675795E-2"/>
        </c:manualLayout>
      </c:layout>
      <c:overlay val="1"/>
      <c:spPr>
        <a:noFill/>
        <a:ln>
          <a:noFill/>
        </a:ln>
        <a:effectLst/>
      </c:spPr>
      <c:txPr>
        <a:bodyPr rot="0" vert="horz"/>
        <a:lstStyle/>
        <a:p>
          <a:pPr>
            <a:defRPr sz="800" baseline="0"/>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980237457046499"/>
          <c:y val="6.8241469816273007E-2"/>
          <c:w val="0.72454181448951305"/>
          <c:h val="0.70566226465786297"/>
        </c:manualLayout>
      </c:layout>
      <c:barChart>
        <c:barDir val="col"/>
        <c:grouping val="clustered"/>
        <c:varyColors val="0"/>
        <c:ser>
          <c:idx val="0"/>
          <c:order val="0"/>
          <c:tx>
            <c:strRef>
              <c:f>'EVAO pivot'!$P$23</c:f>
              <c:strCache>
                <c:ptCount val="1"/>
                <c:pt idx="0">
                  <c:v>2001</c:v>
                </c:pt>
              </c:strCache>
            </c:strRef>
          </c:tx>
          <c:spPr>
            <a:solidFill>
              <a:schemeClr val="accent1"/>
            </a:solidFill>
          </c:spPr>
          <c:invertIfNegative val="0"/>
          <c:cat>
            <c:strRef>
              <c:f>'EVAO pivot'!$M$24:$M$29</c:f>
              <c:strCache>
                <c:ptCount val="6"/>
                <c:pt idx="0">
                  <c:v>&lt;$50k</c:v>
                </c:pt>
                <c:pt idx="1">
                  <c:v>$50-$150k</c:v>
                </c:pt>
                <c:pt idx="2">
                  <c:v>$150-$350k</c:v>
                </c:pt>
                <c:pt idx="3">
                  <c:v>$350-$500k</c:v>
                </c:pt>
                <c:pt idx="4">
                  <c:v>$500k-$1M</c:v>
                </c:pt>
                <c:pt idx="5">
                  <c:v>&gt;$1M</c:v>
                </c:pt>
              </c:strCache>
            </c:strRef>
          </c:cat>
          <c:val>
            <c:numRef>
              <c:f>'EVAO pivot'!$P$24:$P$29</c:f>
              <c:numCache>
                <c:formatCode>0</c:formatCode>
                <c:ptCount val="6"/>
                <c:pt idx="0">
                  <c:v>16.332764999999998</c:v>
                </c:pt>
                <c:pt idx="1">
                  <c:v>46.724105999999999</c:v>
                </c:pt>
                <c:pt idx="2">
                  <c:v>85.217979</c:v>
                </c:pt>
                <c:pt idx="3">
                  <c:v>34.935808000000002</c:v>
                </c:pt>
                <c:pt idx="4">
                  <c:v>50.186489000000002</c:v>
                </c:pt>
                <c:pt idx="5">
                  <c:v>39</c:v>
                </c:pt>
              </c:numCache>
            </c:numRef>
          </c:val>
        </c:ser>
        <c:ser>
          <c:idx val="1"/>
          <c:order val="1"/>
          <c:tx>
            <c:strRef>
              <c:f>'EVAO pivot'!$Q$23</c:f>
              <c:strCache>
                <c:ptCount val="1"/>
                <c:pt idx="0">
                  <c:v>2011</c:v>
                </c:pt>
              </c:strCache>
            </c:strRef>
          </c:tx>
          <c:spPr>
            <a:solidFill>
              <a:schemeClr val="tx2"/>
            </a:solidFill>
          </c:spPr>
          <c:invertIfNegative val="0"/>
          <c:cat>
            <c:strRef>
              <c:f>'EVAO pivot'!$M$24:$M$29</c:f>
              <c:strCache>
                <c:ptCount val="6"/>
                <c:pt idx="0">
                  <c:v>&lt;$50k</c:v>
                </c:pt>
                <c:pt idx="1">
                  <c:v>$50-$150k</c:v>
                </c:pt>
                <c:pt idx="2">
                  <c:v>$150-$350k</c:v>
                </c:pt>
                <c:pt idx="3">
                  <c:v>$350-$500k</c:v>
                </c:pt>
                <c:pt idx="4">
                  <c:v>$500k-$1M</c:v>
                </c:pt>
                <c:pt idx="5">
                  <c:v>&gt;$1M</c:v>
                </c:pt>
              </c:strCache>
            </c:strRef>
          </c:cat>
          <c:val>
            <c:numRef>
              <c:f>'EVAO pivot'!$Q$24:$Q$29</c:f>
              <c:numCache>
                <c:formatCode>0</c:formatCode>
                <c:ptCount val="6"/>
                <c:pt idx="0">
                  <c:v>17.145313000000009</c:v>
                </c:pt>
                <c:pt idx="1">
                  <c:v>34.705247999999997</c:v>
                </c:pt>
                <c:pt idx="2">
                  <c:v>59.950333999999998</c:v>
                </c:pt>
                <c:pt idx="3">
                  <c:v>34.106782000000003</c:v>
                </c:pt>
                <c:pt idx="4">
                  <c:v>66.152425999999977</c:v>
                </c:pt>
                <c:pt idx="5">
                  <c:v>177</c:v>
                </c:pt>
              </c:numCache>
            </c:numRef>
          </c:val>
        </c:ser>
        <c:dLbls>
          <c:showLegendKey val="0"/>
          <c:showVal val="0"/>
          <c:showCatName val="0"/>
          <c:showSerName val="0"/>
          <c:showPercent val="0"/>
          <c:showBubbleSize val="0"/>
        </c:dLbls>
        <c:gapWidth val="150"/>
        <c:axId val="705936752"/>
        <c:axId val="477507624"/>
      </c:barChart>
      <c:catAx>
        <c:axId val="705936752"/>
        <c:scaling>
          <c:orientation val="minMax"/>
        </c:scaling>
        <c:delete val="0"/>
        <c:axPos val="b"/>
        <c:numFmt formatCode="General" sourceLinked="0"/>
        <c:majorTickMark val="out"/>
        <c:minorTickMark val="none"/>
        <c:tickLblPos val="nextTo"/>
        <c:txPr>
          <a:bodyPr/>
          <a:lstStyle/>
          <a:p>
            <a:pPr>
              <a:defRPr sz="700" baseline="0"/>
            </a:pPr>
            <a:endParaRPr lang="en-US"/>
          </a:p>
        </c:txPr>
        <c:crossAx val="477507624"/>
        <c:crosses val="autoZero"/>
        <c:auto val="1"/>
        <c:lblAlgn val="ctr"/>
        <c:lblOffset val="100"/>
        <c:noMultiLvlLbl val="0"/>
      </c:catAx>
      <c:valAx>
        <c:axId val="477507624"/>
        <c:scaling>
          <c:orientation val="minMax"/>
          <c:max val="180"/>
        </c:scaling>
        <c:delete val="0"/>
        <c:axPos val="l"/>
        <c:majorGridlines/>
        <c:title>
          <c:tx>
            <c:rich>
              <a:bodyPr rot="-5400000" vert="horz"/>
              <a:lstStyle/>
              <a:p>
                <a:pPr>
                  <a:defRPr sz="800" b="0" i="0" baseline="0"/>
                </a:pPr>
                <a:r>
                  <a:rPr lang="en-US" sz="800" b="0" i="0" baseline="0"/>
                  <a:t>Value of production ($m)</a:t>
                </a:r>
              </a:p>
            </c:rich>
          </c:tx>
          <c:layout/>
          <c:overlay val="0"/>
        </c:title>
        <c:numFmt formatCode="0" sourceLinked="1"/>
        <c:majorTickMark val="out"/>
        <c:minorTickMark val="none"/>
        <c:tickLblPos val="nextTo"/>
        <c:txPr>
          <a:bodyPr/>
          <a:lstStyle/>
          <a:p>
            <a:pPr>
              <a:defRPr sz="800" baseline="0"/>
            </a:pPr>
            <a:endParaRPr lang="en-US"/>
          </a:p>
        </c:txPr>
        <c:crossAx val="705936752"/>
        <c:crosses val="autoZero"/>
        <c:crossBetween val="between"/>
        <c:majorUnit val="45"/>
      </c:valAx>
      <c:spPr>
        <a:ln>
          <a:noFill/>
        </a:ln>
      </c:spPr>
    </c:plotArea>
    <c:legend>
      <c:legendPos val="r"/>
      <c:layout>
        <c:manualLayout>
          <c:xMode val="edge"/>
          <c:yMode val="edge"/>
          <c:x val="0.37897882468081301"/>
          <c:y val="0.11971605821999499"/>
          <c:w val="0.328034526540188"/>
          <c:h val="7.65851995773255E-2"/>
        </c:manualLayout>
      </c:layout>
      <c:overlay val="0"/>
      <c:txPr>
        <a:bodyPr/>
        <a:lstStyle/>
        <a:p>
          <a:pPr>
            <a:defRPr sz="800" baseline="0"/>
          </a:pPr>
          <a:endParaRPr lang="en-US"/>
        </a:p>
      </c:txPr>
    </c:legend>
    <c:plotVisOnly val="1"/>
    <c:dispBlanksAs val="gap"/>
    <c:showDLblsOverMax val="0"/>
  </c:chart>
  <c:spPr>
    <a:ln>
      <a:solidFill>
        <a:schemeClr val="tx1">
          <a:lumMod val="15000"/>
          <a:lumOff val="85000"/>
        </a:schemeClr>
      </a:solidFill>
      <a:round/>
    </a:ln>
  </c:spPr>
  <c:txPr>
    <a:bodyPr/>
    <a:lstStyle/>
    <a:p>
      <a:pPr>
        <a:defRPr sz="1400"/>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'EVAO pivot'!$H$49</c:f>
              <c:strCache>
                <c:ptCount val="1"/>
                <c:pt idx="0">
                  <c:v>Livestock</c:v>
                </c:pt>
              </c:strCache>
            </c:strRef>
          </c:tx>
          <c:spPr>
            <a:solidFill>
              <a:schemeClr val="accent2"/>
            </a:solidFill>
            <a:ln>
              <a:noFill/>
            </a:ln>
            <a:effectLst/>
          </c:spPr>
          <c:invertIfNegative val="0"/>
          <c:cat>
            <c:strRef>
              <c:f>'EVAO pivot'!$G$50:$G$52</c:f>
              <c:strCache>
                <c:ptCount val="3"/>
                <c:pt idx="0">
                  <c:v>&lt;$50k</c:v>
                </c:pt>
                <c:pt idx="1">
                  <c:v>$50k-$1M</c:v>
                </c:pt>
                <c:pt idx="2">
                  <c:v>&gt;$1M</c:v>
                </c:pt>
              </c:strCache>
            </c:strRef>
          </c:cat>
          <c:val>
            <c:numRef>
              <c:f>'EVAO pivot'!$H$50:$H$52</c:f>
              <c:numCache>
                <c:formatCode>0%</c:formatCode>
                <c:ptCount val="3"/>
                <c:pt idx="0">
                  <c:v>0.80841121495327095</c:v>
                </c:pt>
                <c:pt idx="1">
                  <c:v>0.40544412607449898</c:v>
                </c:pt>
                <c:pt idx="2">
                  <c:v>3.6363636363636397E-2</c:v>
                </c:pt>
              </c:numCache>
            </c:numRef>
          </c:val>
        </c:ser>
        <c:ser>
          <c:idx val="1"/>
          <c:order val="1"/>
          <c:tx>
            <c:strRef>
              <c:f>'EVAO pivot'!$I$49</c:f>
              <c:strCache>
                <c:ptCount val="1"/>
                <c:pt idx="0">
                  <c:v>Grain &amp; Mixed</c:v>
                </c:pt>
              </c:strCache>
            </c:strRef>
          </c:tx>
          <c:spPr>
            <a:solidFill>
              <a:schemeClr val="accent1"/>
            </a:solidFill>
            <a:ln>
              <a:noFill/>
            </a:ln>
            <a:effectLst/>
          </c:spPr>
          <c:invertIfNegative val="0"/>
          <c:cat>
            <c:strRef>
              <c:f>'EVAO pivot'!$G$50:$G$52</c:f>
              <c:strCache>
                <c:ptCount val="3"/>
                <c:pt idx="0">
                  <c:v>&lt;$50k</c:v>
                </c:pt>
                <c:pt idx="1">
                  <c:v>$50k-$1M</c:v>
                </c:pt>
                <c:pt idx="2">
                  <c:v>&gt;$1M</c:v>
                </c:pt>
              </c:strCache>
            </c:strRef>
          </c:cat>
          <c:val>
            <c:numRef>
              <c:f>'EVAO pivot'!$I$50:$I$52</c:f>
              <c:numCache>
                <c:formatCode>0%</c:formatCode>
                <c:ptCount val="3"/>
                <c:pt idx="0">
                  <c:v>0.154205607476635</c:v>
                </c:pt>
                <c:pt idx="1">
                  <c:v>0.25358166189111703</c:v>
                </c:pt>
                <c:pt idx="2">
                  <c:v>0.12727272727272701</c:v>
                </c:pt>
              </c:numCache>
            </c:numRef>
          </c:val>
        </c:ser>
        <c:ser>
          <c:idx val="2"/>
          <c:order val="2"/>
          <c:tx>
            <c:strRef>
              <c:f>'EVAO pivot'!$J$49</c:f>
              <c:strCache>
                <c:ptCount val="1"/>
                <c:pt idx="0">
                  <c:v>Dairy</c:v>
                </c:pt>
              </c:strCache>
            </c:strRef>
          </c:tx>
          <c:spPr>
            <a:solidFill>
              <a:srgbClr val="0070C0"/>
            </a:solidFill>
            <a:ln>
              <a:noFill/>
            </a:ln>
            <a:effectLst/>
          </c:spPr>
          <c:invertIfNegative val="0"/>
          <c:cat>
            <c:strRef>
              <c:f>'EVAO pivot'!$G$50:$G$52</c:f>
              <c:strCache>
                <c:ptCount val="3"/>
                <c:pt idx="0">
                  <c:v>&lt;$50k</c:v>
                </c:pt>
                <c:pt idx="1">
                  <c:v>$50k-$1M</c:v>
                </c:pt>
                <c:pt idx="2">
                  <c:v>&gt;$1M</c:v>
                </c:pt>
              </c:strCache>
            </c:strRef>
          </c:cat>
          <c:val>
            <c:numRef>
              <c:f>'EVAO pivot'!$J$50:$J$52</c:f>
              <c:numCache>
                <c:formatCode>0%</c:formatCode>
                <c:ptCount val="3"/>
                <c:pt idx="0">
                  <c:v>2.4922118380062301E-2</c:v>
                </c:pt>
                <c:pt idx="1">
                  <c:v>0.32521489971346701</c:v>
                </c:pt>
                <c:pt idx="2">
                  <c:v>0.49090909090909102</c:v>
                </c:pt>
              </c:numCache>
            </c:numRef>
          </c:val>
        </c:ser>
        <c:ser>
          <c:idx val="3"/>
          <c:order val="3"/>
          <c:tx>
            <c:strRef>
              <c:f>'EVAO pivot'!$K$49</c:f>
              <c:strCache>
                <c:ptCount val="1"/>
                <c:pt idx="0">
                  <c:v>Intensive</c:v>
                </c:pt>
              </c:strCache>
            </c:strRef>
          </c:tx>
          <c:spPr>
            <a:solidFill>
              <a:schemeClr val="tx2"/>
            </a:solidFill>
            <a:ln>
              <a:noFill/>
            </a:ln>
            <a:effectLst/>
          </c:spPr>
          <c:invertIfNegative val="0"/>
          <c:cat>
            <c:strRef>
              <c:f>'EVAO pivot'!$G$50:$G$52</c:f>
              <c:strCache>
                <c:ptCount val="3"/>
                <c:pt idx="0">
                  <c:v>&lt;$50k</c:v>
                </c:pt>
                <c:pt idx="1">
                  <c:v>$50k-$1M</c:v>
                </c:pt>
                <c:pt idx="2">
                  <c:v>&gt;$1M</c:v>
                </c:pt>
              </c:strCache>
            </c:strRef>
          </c:cat>
          <c:val>
            <c:numRef>
              <c:f>'EVAO pivot'!$K$50:$K$52</c:f>
              <c:numCache>
                <c:formatCode>0%</c:formatCode>
                <c:ptCount val="3"/>
                <c:pt idx="0">
                  <c:v>1.24610591900311E-2</c:v>
                </c:pt>
                <c:pt idx="1">
                  <c:v>1.5759312320916902E-2</c:v>
                </c:pt>
                <c:pt idx="2">
                  <c:v>0.34545454545454501</c:v>
                </c:pt>
              </c:numCache>
            </c:numRef>
          </c:val>
        </c:ser>
        <c:dLbls>
          <c:showLegendKey val="0"/>
          <c:showVal val="0"/>
          <c:showCatName val="0"/>
          <c:showSerName val="0"/>
          <c:showPercent val="0"/>
          <c:showBubbleSize val="0"/>
        </c:dLbls>
        <c:gapWidth val="182"/>
        <c:overlap val="100"/>
        <c:axId val="347962032"/>
        <c:axId val="347961640"/>
      </c:barChart>
      <c:catAx>
        <c:axId val="347962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7961640"/>
        <c:crosses val="autoZero"/>
        <c:auto val="1"/>
        <c:lblAlgn val="ctr"/>
        <c:lblOffset val="100"/>
        <c:noMultiLvlLbl val="0"/>
      </c:catAx>
      <c:valAx>
        <c:axId val="34796164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7962032"/>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GB" sz="900" baseline="0"/>
              <a:t>Chicken meat production by State</a:t>
            </a:r>
          </a:p>
        </c:rich>
      </c:tx>
      <c:layout/>
      <c:overlay val="0"/>
    </c:title>
    <c:autoTitleDeleted val="0"/>
    <c:plotArea>
      <c:layout/>
      <c:lineChart>
        <c:grouping val="standard"/>
        <c:varyColors val="0"/>
        <c:ser>
          <c:idx val="0"/>
          <c:order val="0"/>
          <c:tx>
            <c:strRef>
              <c:f>Sheet2!$B$1</c:f>
              <c:strCache>
                <c:ptCount val="1"/>
                <c:pt idx="0">
                  <c:v>NSW</c:v>
                </c:pt>
              </c:strCache>
            </c:strRef>
          </c:tx>
          <c:spPr>
            <a:ln w="34925">
              <a:solidFill>
                <a:schemeClr val="accent2"/>
              </a:solidFill>
            </a:ln>
          </c:spPr>
          <c:marker>
            <c:symbol val="none"/>
          </c:marker>
          <c:cat>
            <c:numRef>
              <c:f>Sheet2!$A$12:$A$47</c:f>
              <c:numCache>
                <c:formatCode>General</c:formatCode>
                <c:ptCount val="36"/>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numCache>
            </c:numRef>
          </c:cat>
          <c:val>
            <c:numRef>
              <c:f>Sheet2!$B$12:$B$47</c:f>
              <c:numCache>
                <c:formatCode>_-* #,##0_-;\-* #,##0_-;_-* "-"??_-;_-@_-</c:formatCode>
                <c:ptCount val="36"/>
                <c:pt idx="0">
                  <c:v>129729</c:v>
                </c:pt>
                <c:pt idx="1">
                  <c:v>114916</c:v>
                </c:pt>
                <c:pt idx="2">
                  <c:v>115136</c:v>
                </c:pt>
                <c:pt idx="3">
                  <c:v>110753</c:v>
                </c:pt>
                <c:pt idx="4">
                  <c:v>113722</c:v>
                </c:pt>
                <c:pt idx="5">
                  <c:v>130995</c:v>
                </c:pt>
                <c:pt idx="6">
                  <c:v>128593</c:v>
                </c:pt>
                <c:pt idx="7">
                  <c:v>139967</c:v>
                </c:pt>
                <c:pt idx="8">
                  <c:v>144089</c:v>
                </c:pt>
                <c:pt idx="9">
                  <c:v>150928</c:v>
                </c:pt>
                <c:pt idx="10">
                  <c:v>158346</c:v>
                </c:pt>
                <c:pt idx="11">
                  <c:v>171008</c:v>
                </c:pt>
                <c:pt idx="12">
                  <c:v>166538</c:v>
                </c:pt>
                <c:pt idx="13">
                  <c:v>189985</c:v>
                </c:pt>
                <c:pt idx="14">
                  <c:v>198551</c:v>
                </c:pt>
                <c:pt idx="15">
                  <c:v>197246</c:v>
                </c:pt>
                <c:pt idx="16">
                  <c:v>199610</c:v>
                </c:pt>
                <c:pt idx="17">
                  <c:v>207396</c:v>
                </c:pt>
                <c:pt idx="18">
                  <c:v>220131</c:v>
                </c:pt>
                <c:pt idx="19">
                  <c:v>214995</c:v>
                </c:pt>
                <c:pt idx="20">
                  <c:v>234131</c:v>
                </c:pt>
                <c:pt idx="21">
                  <c:v>257582</c:v>
                </c:pt>
                <c:pt idx="22">
                  <c:v>275143</c:v>
                </c:pt>
                <c:pt idx="23">
                  <c:v>247800</c:v>
                </c:pt>
                <c:pt idx="24">
                  <c:v>255427</c:v>
                </c:pt>
                <c:pt idx="25">
                  <c:v>269897</c:v>
                </c:pt>
                <c:pt idx="26">
                  <c:v>289924</c:v>
                </c:pt>
                <c:pt idx="27">
                  <c:v>287683</c:v>
                </c:pt>
                <c:pt idx="28">
                  <c:v>267555</c:v>
                </c:pt>
                <c:pt idx="29">
                  <c:v>273681</c:v>
                </c:pt>
                <c:pt idx="30">
                  <c:v>310620</c:v>
                </c:pt>
                <c:pt idx="31">
                  <c:v>341755</c:v>
                </c:pt>
                <c:pt idx="32">
                  <c:v>340290</c:v>
                </c:pt>
                <c:pt idx="33">
                  <c:v>337068</c:v>
                </c:pt>
                <c:pt idx="34">
                  <c:v>355757</c:v>
                </c:pt>
                <c:pt idx="35">
                  <c:v>348384</c:v>
                </c:pt>
              </c:numCache>
            </c:numRef>
          </c:val>
          <c:smooth val="0"/>
        </c:ser>
        <c:ser>
          <c:idx val="1"/>
          <c:order val="1"/>
          <c:tx>
            <c:strRef>
              <c:f>Sheet2!$C$1</c:f>
              <c:strCache>
                <c:ptCount val="1"/>
                <c:pt idx="0">
                  <c:v>Vic</c:v>
                </c:pt>
              </c:strCache>
            </c:strRef>
          </c:tx>
          <c:spPr>
            <a:ln w="34925">
              <a:solidFill>
                <a:schemeClr val="tx2"/>
              </a:solidFill>
            </a:ln>
          </c:spPr>
          <c:marker>
            <c:symbol val="none"/>
          </c:marker>
          <c:cat>
            <c:numRef>
              <c:f>Sheet2!$A$12:$A$47</c:f>
              <c:numCache>
                <c:formatCode>General</c:formatCode>
                <c:ptCount val="36"/>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numCache>
            </c:numRef>
          </c:cat>
          <c:val>
            <c:numRef>
              <c:f>Sheet2!$C$12:$C$47</c:f>
              <c:numCache>
                <c:formatCode>_-* #,##0_-;\-* #,##0_-;_-* "-"??_-;_-@_-</c:formatCode>
                <c:ptCount val="36"/>
                <c:pt idx="0">
                  <c:v>57566</c:v>
                </c:pt>
                <c:pt idx="1">
                  <c:v>57375</c:v>
                </c:pt>
                <c:pt idx="2">
                  <c:v>56782</c:v>
                </c:pt>
                <c:pt idx="3">
                  <c:v>60896</c:v>
                </c:pt>
                <c:pt idx="4">
                  <c:v>66558</c:v>
                </c:pt>
                <c:pt idx="5">
                  <c:v>82957</c:v>
                </c:pt>
                <c:pt idx="6">
                  <c:v>83786</c:v>
                </c:pt>
                <c:pt idx="7">
                  <c:v>90569</c:v>
                </c:pt>
                <c:pt idx="8">
                  <c:v>96196</c:v>
                </c:pt>
                <c:pt idx="9">
                  <c:v>93590</c:v>
                </c:pt>
                <c:pt idx="10">
                  <c:v>98519</c:v>
                </c:pt>
                <c:pt idx="11">
                  <c:v>103523</c:v>
                </c:pt>
                <c:pt idx="12">
                  <c:v>108596</c:v>
                </c:pt>
                <c:pt idx="13">
                  <c:v>120071</c:v>
                </c:pt>
                <c:pt idx="14">
                  <c:v>117090</c:v>
                </c:pt>
                <c:pt idx="15">
                  <c:v>119465</c:v>
                </c:pt>
                <c:pt idx="16">
                  <c:v>125019</c:v>
                </c:pt>
                <c:pt idx="17">
                  <c:v>130836</c:v>
                </c:pt>
                <c:pt idx="18">
                  <c:v>154351</c:v>
                </c:pt>
                <c:pt idx="19">
                  <c:v>160517</c:v>
                </c:pt>
                <c:pt idx="20">
                  <c:v>175851</c:v>
                </c:pt>
                <c:pt idx="21">
                  <c:v>172590</c:v>
                </c:pt>
                <c:pt idx="22">
                  <c:v>198657</c:v>
                </c:pt>
                <c:pt idx="23">
                  <c:v>201222</c:v>
                </c:pt>
                <c:pt idx="24">
                  <c:v>210963</c:v>
                </c:pt>
                <c:pt idx="25">
                  <c:v>218008</c:v>
                </c:pt>
                <c:pt idx="26">
                  <c:v>230346</c:v>
                </c:pt>
                <c:pt idx="27">
                  <c:v>234947</c:v>
                </c:pt>
                <c:pt idx="28">
                  <c:v>234478</c:v>
                </c:pt>
                <c:pt idx="29">
                  <c:v>236668</c:v>
                </c:pt>
                <c:pt idx="30">
                  <c:v>241733</c:v>
                </c:pt>
                <c:pt idx="31">
                  <c:v>240418</c:v>
                </c:pt>
                <c:pt idx="32">
                  <c:v>241541</c:v>
                </c:pt>
                <c:pt idx="33">
                  <c:v>246045</c:v>
                </c:pt>
                <c:pt idx="34">
                  <c:v>243412</c:v>
                </c:pt>
                <c:pt idx="35">
                  <c:v>239685</c:v>
                </c:pt>
              </c:numCache>
            </c:numRef>
          </c:val>
          <c:smooth val="0"/>
        </c:ser>
        <c:ser>
          <c:idx val="2"/>
          <c:order val="2"/>
          <c:tx>
            <c:strRef>
              <c:f>Sheet2!$D$1</c:f>
              <c:strCache>
                <c:ptCount val="1"/>
                <c:pt idx="0">
                  <c:v>Qld</c:v>
                </c:pt>
              </c:strCache>
            </c:strRef>
          </c:tx>
          <c:spPr>
            <a:ln w="34925">
              <a:solidFill>
                <a:srgbClr val="0070C0"/>
              </a:solidFill>
            </a:ln>
          </c:spPr>
          <c:marker>
            <c:symbol val="none"/>
          </c:marker>
          <c:cat>
            <c:numRef>
              <c:f>Sheet2!$A$12:$A$47</c:f>
              <c:numCache>
                <c:formatCode>General</c:formatCode>
                <c:ptCount val="36"/>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numCache>
            </c:numRef>
          </c:cat>
          <c:val>
            <c:numRef>
              <c:f>Sheet2!$D$12:$D$47</c:f>
              <c:numCache>
                <c:formatCode>_-* #,##0_-;\-* #,##0_-;_-* "-"??_-;_-@_-</c:formatCode>
                <c:ptCount val="36"/>
                <c:pt idx="0">
                  <c:v>44524</c:v>
                </c:pt>
                <c:pt idx="1">
                  <c:v>39538</c:v>
                </c:pt>
                <c:pt idx="2">
                  <c:v>42080</c:v>
                </c:pt>
                <c:pt idx="3">
                  <c:v>41302</c:v>
                </c:pt>
                <c:pt idx="4">
                  <c:v>42902</c:v>
                </c:pt>
                <c:pt idx="5">
                  <c:v>48893</c:v>
                </c:pt>
                <c:pt idx="6">
                  <c:v>54118</c:v>
                </c:pt>
                <c:pt idx="7">
                  <c:v>57511</c:v>
                </c:pt>
                <c:pt idx="8">
                  <c:v>56994</c:v>
                </c:pt>
                <c:pt idx="9">
                  <c:v>58680</c:v>
                </c:pt>
                <c:pt idx="10">
                  <c:v>61717</c:v>
                </c:pt>
                <c:pt idx="11">
                  <c:v>63142</c:v>
                </c:pt>
                <c:pt idx="12">
                  <c:v>65306</c:v>
                </c:pt>
                <c:pt idx="13">
                  <c:v>68503</c:v>
                </c:pt>
                <c:pt idx="14">
                  <c:v>76873</c:v>
                </c:pt>
                <c:pt idx="15">
                  <c:v>73057</c:v>
                </c:pt>
                <c:pt idx="16">
                  <c:v>73940</c:v>
                </c:pt>
                <c:pt idx="17">
                  <c:v>86034</c:v>
                </c:pt>
                <c:pt idx="18">
                  <c:v>87716</c:v>
                </c:pt>
                <c:pt idx="19">
                  <c:v>93544</c:v>
                </c:pt>
                <c:pt idx="20">
                  <c:v>95065</c:v>
                </c:pt>
                <c:pt idx="21">
                  <c:v>93077</c:v>
                </c:pt>
                <c:pt idx="22">
                  <c:v>109659</c:v>
                </c:pt>
                <c:pt idx="23">
                  <c:v>115856</c:v>
                </c:pt>
                <c:pt idx="24">
                  <c:v>124142</c:v>
                </c:pt>
                <c:pt idx="25">
                  <c:v>134138</c:v>
                </c:pt>
                <c:pt idx="26">
                  <c:v>133109</c:v>
                </c:pt>
                <c:pt idx="27">
                  <c:v>146191</c:v>
                </c:pt>
                <c:pt idx="28">
                  <c:v>152259</c:v>
                </c:pt>
                <c:pt idx="29">
                  <c:v>157998</c:v>
                </c:pt>
                <c:pt idx="30">
                  <c:v>180320</c:v>
                </c:pt>
                <c:pt idx="31">
                  <c:v>201913</c:v>
                </c:pt>
                <c:pt idx="32">
                  <c:v>218318</c:v>
                </c:pt>
                <c:pt idx="33">
                  <c:v>224453</c:v>
                </c:pt>
                <c:pt idx="34">
                  <c:v>238166</c:v>
                </c:pt>
                <c:pt idx="35">
                  <c:v>241600</c:v>
                </c:pt>
              </c:numCache>
            </c:numRef>
          </c:val>
          <c:smooth val="0"/>
        </c:ser>
        <c:ser>
          <c:idx val="3"/>
          <c:order val="3"/>
          <c:tx>
            <c:strRef>
              <c:f>Sheet2!$E$1</c:f>
              <c:strCache>
                <c:ptCount val="1"/>
                <c:pt idx="0">
                  <c:v>Rest</c:v>
                </c:pt>
              </c:strCache>
            </c:strRef>
          </c:tx>
          <c:spPr>
            <a:ln w="34925">
              <a:solidFill>
                <a:schemeClr val="accent1"/>
              </a:solidFill>
            </a:ln>
          </c:spPr>
          <c:marker>
            <c:symbol val="none"/>
          </c:marker>
          <c:cat>
            <c:numRef>
              <c:f>Sheet2!$A$12:$A$47</c:f>
              <c:numCache>
                <c:formatCode>General</c:formatCode>
                <c:ptCount val="36"/>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numCache>
            </c:numRef>
          </c:cat>
          <c:val>
            <c:numRef>
              <c:f>Sheet2!$E$12:$E$47</c:f>
              <c:numCache>
                <c:formatCode>_-* #,##0_-;\-* #,##0_-;_-* "-"??_-;_-@_-</c:formatCode>
                <c:ptCount val="36"/>
                <c:pt idx="0">
                  <c:v>51295</c:v>
                </c:pt>
                <c:pt idx="1">
                  <c:v>49777</c:v>
                </c:pt>
                <c:pt idx="2">
                  <c:v>51193</c:v>
                </c:pt>
                <c:pt idx="3">
                  <c:v>57326</c:v>
                </c:pt>
                <c:pt idx="4">
                  <c:v>60042</c:v>
                </c:pt>
                <c:pt idx="5">
                  <c:v>64737</c:v>
                </c:pt>
                <c:pt idx="6">
                  <c:v>62811</c:v>
                </c:pt>
                <c:pt idx="7">
                  <c:v>66586</c:v>
                </c:pt>
                <c:pt idx="8">
                  <c:v>65171</c:v>
                </c:pt>
                <c:pt idx="9">
                  <c:v>68263</c:v>
                </c:pt>
                <c:pt idx="10">
                  <c:v>68493</c:v>
                </c:pt>
                <c:pt idx="11">
                  <c:v>67932</c:v>
                </c:pt>
                <c:pt idx="12">
                  <c:v>76252</c:v>
                </c:pt>
                <c:pt idx="13">
                  <c:v>76648</c:v>
                </c:pt>
                <c:pt idx="14">
                  <c:v>81048</c:v>
                </c:pt>
                <c:pt idx="15">
                  <c:v>81729</c:v>
                </c:pt>
                <c:pt idx="16">
                  <c:v>84716</c:v>
                </c:pt>
                <c:pt idx="17">
                  <c:v>87978</c:v>
                </c:pt>
                <c:pt idx="18">
                  <c:v>98620</c:v>
                </c:pt>
                <c:pt idx="19">
                  <c:v>105946</c:v>
                </c:pt>
                <c:pt idx="20">
                  <c:v>111645</c:v>
                </c:pt>
                <c:pt idx="21">
                  <c:v>104091</c:v>
                </c:pt>
                <c:pt idx="22">
                  <c:v>116069</c:v>
                </c:pt>
                <c:pt idx="23">
                  <c:v>116609</c:v>
                </c:pt>
                <c:pt idx="24">
                  <c:v>131939</c:v>
                </c:pt>
                <c:pt idx="25">
                  <c:v>133154</c:v>
                </c:pt>
                <c:pt idx="26">
                  <c:v>144037</c:v>
                </c:pt>
                <c:pt idx="27">
                  <c:v>144064</c:v>
                </c:pt>
                <c:pt idx="28">
                  <c:v>151081</c:v>
                </c:pt>
                <c:pt idx="29">
                  <c:v>160247</c:v>
                </c:pt>
                <c:pt idx="30">
                  <c:v>201679</c:v>
                </c:pt>
                <c:pt idx="31">
                  <c:v>228456</c:v>
                </c:pt>
                <c:pt idx="32">
                  <c:v>246559</c:v>
                </c:pt>
                <c:pt idx="33">
                  <c:v>258940</c:v>
                </c:pt>
                <c:pt idx="34">
                  <c:v>265734</c:v>
                </c:pt>
                <c:pt idx="35">
                  <c:v>287511</c:v>
                </c:pt>
              </c:numCache>
            </c:numRef>
          </c:val>
          <c:smooth val="0"/>
        </c:ser>
        <c:dLbls>
          <c:showLegendKey val="0"/>
          <c:showVal val="0"/>
          <c:showCatName val="0"/>
          <c:showSerName val="0"/>
          <c:showPercent val="0"/>
          <c:showBubbleSize val="0"/>
        </c:dLbls>
        <c:smooth val="0"/>
        <c:axId val="480106808"/>
        <c:axId val="480105632"/>
      </c:lineChart>
      <c:catAx>
        <c:axId val="480106808"/>
        <c:scaling>
          <c:orientation val="minMax"/>
        </c:scaling>
        <c:delete val="0"/>
        <c:axPos val="b"/>
        <c:numFmt formatCode="General" sourceLinked="0"/>
        <c:majorTickMark val="out"/>
        <c:minorTickMark val="none"/>
        <c:tickLblPos val="nextTo"/>
        <c:txPr>
          <a:bodyPr/>
          <a:lstStyle/>
          <a:p>
            <a:pPr>
              <a:defRPr sz="600" baseline="0"/>
            </a:pPr>
            <a:endParaRPr lang="en-US"/>
          </a:p>
        </c:txPr>
        <c:crossAx val="480105632"/>
        <c:crosses val="autoZero"/>
        <c:auto val="1"/>
        <c:lblAlgn val="ctr"/>
        <c:lblOffset val="100"/>
        <c:tickLblSkip val="5"/>
        <c:noMultiLvlLbl val="0"/>
      </c:catAx>
      <c:valAx>
        <c:axId val="480105632"/>
        <c:scaling>
          <c:orientation val="minMax"/>
        </c:scaling>
        <c:delete val="0"/>
        <c:axPos val="l"/>
        <c:majorGridlines/>
        <c:title>
          <c:tx>
            <c:rich>
              <a:bodyPr rot="-5400000" vert="horz"/>
              <a:lstStyle/>
              <a:p>
                <a:pPr>
                  <a:defRPr sz="900" baseline="0"/>
                </a:pPr>
                <a:r>
                  <a:rPr lang="en-US" sz="900" baseline="0"/>
                  <a:t>Production (tonnes)</a:t>
                </a:r>
              </a:p>
            </c:rich>
          </c:tx>
          <c:layout>
            <c:manualLayout>
              <c:xMode val="edge"/>
              <c:yMode val="edge"/>
              <c:x val="3.5881865857024603E-2"/>
              <c:y val="0.203134550819771"/>
            </c:manualLayout>
          </c:layout>
          <c:overlay val="0"/>
        </c:title>
        <c:numFmt formatCode="#,##0" sourceLinked="0"/>
        <c:majorTickMark val="out"/>
        <c:minorTickMark val="none"/>
        <c:tickLblPos val="nextTo"/>
        <c:txPr>
          <a:bodyPr/>
          <a:lstStyle/>
          <a:p>
            <a:pPr>
              <a:defRPr sz="600" baseline="0"/>
            </a:pPr>
            <a:endParaRPr lang="en-US"/>
          </a:p>
        </c:txPr>
        <c:crossAx val="480106808"/>
        <c:crosses val="autoZero"/>
        <c:crossBetween val="between"/>
      </c:valAx>
    </c:plotArea>
    <c:legend>
      <c:legendPos val="b"/>
      <c:layout/>
      <c:overlay val="0"/>
      <c:txPr>
        <a:bodyPr/>
        <a:lstStyle/>
        <a:p>
          <a:pPr>
            <a:defRPr sz="700" baseline="0"/>
          </a:pPr>
          <a:endParaRPr lang="en-US"/>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n-US" sz="900" b="1" i="0" baseline="0"/>
              <a:t>Regional livestock numbers</a:t>
            </a:r>
          </a:p>
          <a:p>
            <a:pPr>
              <a:defRPr sz="900" b="1"/>
            </a:pPr>
            <a:r>
              <a:rPr lang="en-US" sz="800" b="1" i="0" baseline="0"/>
              <a:t>(index  with 2001 = 100)</a:t>
            </a:r>
          </a:p>
        </c:rich>
      </c:tx>
      <c:layout>
        <c:manualLayout>
          <c:xMode val="edge"/>
          <c:yMode val="edge"/>
          <c:x val="0.22231789705782501"/>
          <c:y val="5.2493438320210001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0463558511722"/>
          <c:y val="0.19706036745406799"/>
          <c:w val="0.78265522051946501"/>
          <c:h val="0.60427511521689703"/>
        </c:manualLayout>
      </c:layout>
      <c:lineChart>
        <c:grouping val="standard"/>
        <c:varyColors val="0"/>
        <c:ser>
          <c:idx val="0"/>
          <c:order val="0"/>
          <c:tx>
            <c:strRef>
              <c:f>Sheet4!$D$21</c:f>
              <c:strCache>
                <c:ptCount val="1"/>
                <c:pt idx="0">
                  <c:v>Sheep</c:v>
                </c:pt>
              </c:strCache>
            </c:strRef>
          </c:tx>
          <c:spPr>
            <a:ln w="34925" cap="rnd">
              <a:solidFill>
                <a:schemeClr val="accent1"/>
              </a:solidFill>
              <a:round/>
            </a:ln>
            <a:effectLst/>
          </c:spPr>
          <c:marker>
            <c:symbol val="none"/>
          </c:marker>
          <c:cat>
            <c:numRef>
              <c:f>Sheet4!$E$20:$G$20</c:f>
              <c:numCache>
                <c:formatCode>General</c:formatCode>
                <c:ptCount val="3"/>
                <c:pt idx="0">
                  <c:v>2001</c:v>
                </c:pt>
                <c:pt idx="1">
                  <c:v>2006</c:v>
                </c:pt>
                <c:pt idx="2">
                  <c:v>2011</c:v>
                </c:pt>
              </c:numCache>
            </c:numRef>
          </c:cat>
          <c:val>
            <c:numRef>
              <c:f>Sheet4!$E$21:$G$21</c:f>
              <c:numCache>
                <c:formatCode>0</c:formatCode>
                <c:ptCount val="3"/>
                <c:pt idx="0" formatCode="General">
                  <c:v>100</c:v>
                </c:pt>
                <c:pt idx="1">
                  <c:v>81.250253900203603</c:v>
                </c:pt>
                <c:pt idx="2">
                  <c:v>69.878579015941</c:v>
                </c:pt>
              </c:numCache>
            </c:numRef>
          </c:val>
          <c:smooth val="0"/>
        </c:ser>
        <c:ser>
          <c:idx val="1"/>
          <c:order val="1"/>
          <c:tx>
            <c:strRef>
              <c:f>Sheet4!$D$22</c:f>
              <c:strCache>
                <c:ptCount val="1"/>
                <c:pt idx="0">
                  <c:v>Beef</c:v>
                </c:pt>
              </c:strCache>
            </c:strRef>
          </c:tx>
          <c:spPr>
            <a:ln w="34925" cap="rnd">
              <a:solidFill>
                <a:schemeClr val="accent2"/>
              </a:solidFill>
              <a:round/>
            </a:ln>
            <a:effectLst/>
          </c:spPr>
          <c:marker>
            <c:symbol val="none"/>
          </c:marker>
          <c:cat>
            <c:numRef>
              <c:f>Sheet4!$E$20:$G$20</c:f>
              <c:numCache>
                <c:formatCode>General</c:formatCode>
                <c:ptCount val="3"/>
                <c:pt idx="0">
                  <c:v>2001</c:v>
                </c:pt>
                <c:pt idx="1">
                  <c:v>2006</c:v>
                </c:pt>
                <c:pt idx="2">
                  <c:v>2011</c:v>
                </c:pt>
              </c:numCache>
            </c:numRef>
          </c:cat>
          <c:val>
            <c:numRef>
              <c:f>Sheet4!$E$22:$G$22</c:f>
              <c:numCache>
                <c:formatCode>0</c:formatCode>
                <c:ptCount val="3"/>
                <c:pt idx="0" formatCode="General">
                  <c:v>101</c:v>
                </c:pt>
                <c:pt idx="1">
                  <c:v>113.4519601486638</c:v>
                </c:pt>
                <c:pt idx="2">
                  <c:v>98.377937080680738</c:v>
                </c:pt>
              </c:numCache>
            </c:numRef>
          </c:val>
          <c:smooth val="0"/>
        </c:ser>
        <c:ser>
          <c:idx val="2"/>
          <c:order val="2"/>
          <c:tx>
            <c:strRef>
              <c:f>Sheet4!$D$23</c:f>
              <c:strCache>
                <c:ptCount val="1"/>
                <c:pt idx="0">
                  <c:v>Dairy</c:v>
                </c:pt>
              </c:strCache>
            </c:strRef>
          </c:tx>
          <c:spPr>
            <a:ln w="34925" cap="rnd">
              <a:solidFill>
                <a:srgbClr val="0070C0"/>
              </a:solidFill>
              <a:round/>
            </a:ln>
            <a:effectLst/>
          </c:spPr>
          <c:marker>
            <c:symbol val="none"/>
          </c:marker>
          <c:cat>
            <c:numRef>
              <c:f>Sheet4!$E$20:$G$20</c:f>
              <c:numCache>
                <c:formatCode>General</c:formatCode>
                <c:ptCount val="3"/>
                <c:pt idx="0">
                  <c:v>2001</c:v>
                </c:pt>
                <c:pt idx="1">
                  <c:v>2006</c:v>
                </c:pt>
                <c:pt idx="2">
                  <c:v>2011</c:v>
                </c:pt>
              </c:numCache>
            </c:numRef>
          </c:cat>
          <c:val>
            <c:numRef>
              <c:f>Sheet4!$E$23:$G$23</c:f>
              <c:numCache>
                <c:formatCode>0</c:formatCode>
                <c:ptCount val="3"/>
                <c:pt idx="0" formatCode="General">
                  <c:v>102</c:v>
                </c:pt>
                <c:pt idx="1">
                  <c:v>81.985025191361956</c:v>
                </c:pt>
                <c:pt idx="2">
                  <c:v>81.232885531449455</c:v>
                </c:pt>
              </c:numCache>
            </c:numRef>
          </c:val>
          <c:smooth val="0"/>
        </c:ser>
        <c:ser>
          <c:idx val="3"/>
          <c:order val="3"/>
          <c:tx>
            <c:strRef>
              <c:f>Sheet4!$D$24</c:f>
              <c:strCache>
                <c:ptCount val="1"/>
                <c:pt idx="0">
                  <c:v>Intensives</c:v>
                </c:pt>
              </c:strCache>
            </c:strRef>
          </c:tx>
          <c:spPr>
            <a:ln w="34925" cap="rnd">
              <a:solidFill>
                <a:schemeClr val="tx2"/>
              </a:solidFill>
              <a:round/>
            </a:ln>
            <a:effectLst/>
          </c:spPr>
          <c:marker>
            <c:symbol val="none"/>
          </c:marker>
          <c:cat>
            <c:numRef>
              <c:f>Sheet4!$E$20:$G$20</c:f>
              <c:numCache>
                <c:formatCode>General</c:formatCode>
                <c:ptCount val="3"/>
                <c:pt idx="0">
                  <c:v>2001</c:v>
                </c:pt>
                <c:pt idx="1">
                  <c:v>2006</c:v>
                </c:pt>
                <c:pt idx="2">
                  <c:v>2011</c:v>
                </c:pt>
              </c:numCache>
            </c:numRef>
          </c:cat>
          <c:val>
            <c:numRef>
              <c:f>Sheet4!$E$24:$G$24</c:f>
              <c:numCache>
                <c:formatCode>0</c:formatCode>
                <c:ptCount val="3"/>
                <c:pt idx="0" formatCode="General">
                  <c:v>100</c:v>
                </c:pt>
                <c:pt idx="1">
                  <c:v>119.09461402756661</c:v>
                </c:pt>
                <c:pt idx="2">
                  <c:v>107.90059893761919</c:v>
                </c:pt>
              </c:numCache>
            </c:numRef>
          </c:val>
          <c:smooth val="0"/>
        </c:ser>
        <c:dLbls>
          <c:showLegendKey val="0"/>
          <c:showVal val="0"/>
          <c:showCatName val="0"/>
          <c:showSerName val="0"/>
          <c:showPercent val="0"/>
          <c:showBubbleSize val="0"/>
        </c:dLbls>
        <c:smooth val="0"/>
        <c:axId val="713003080"/>
        <c:axId val="713003864"/>
      </c:lineChart>
      <c:catAx>
        <c:axId val="713003080"/>
        <c:scaling>
          <c:orientation val="minMax"/>
        </c:scaling>
        <c:delete val="0"/>
        <c:axPos val="b"/>
        <c:numFmt formatCode="General" sourceLinked="1"/>
        <c:majorTickMark val="none"/>
        <c:minorTickMark val="none"/>
        <c:tickLblPos val="nextTo"/>
        <c:spPr>
          <a:noFill/>
          <a:ln w="222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13003864"/>
        <c:crossesAt val="100"/>
        <c:auto val="1"/>
        <c:lblAlgn val="ctr"/>
        <c:lblOffset val="100"/>
        <c:noMultiLvlLbl val="0"/>
      </c:catAx>
      <c:valAx>
        <c:axId val="713003864"/>
        <c:scaling>
          <c:orientation val="minMax"/>
          <c:max val="120"/>
          <c:min val="70"/>
        </c:scaling>
        <c:delete val="0"/>
        <c:axPos val="l"/>
        <c:majorGridlines>
          <c:spPr>
            <a:ln w="9525" cap="flat" cmpd="sng" algn="ctr">
              <a:solidFill>
                <a:schemeClr val="tx1"/>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13003080"/>
        <c:crossesAt val="1"/>
        <c:crossBetween val="midCat"/>
        <c:majorUnit val="1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span"/>
    <c:showDLblsOverMax val="0"/>
  </c:chart>
  <c:spPr>
    <a:solidFill>
      <a:schemeClr val="bg1"/>
    </a:solidFill>
    <a:ln w="9525" cap="flat" cmpd="sng" algn="ctr">
      <a:solidFill>
        <a:schemeClr val="bg2"/>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Victorian</a:t>
            </a:r>
            <a:r>
              <a:rPr lang="en-GB" baseline="0"/>
              <a:t> aquaculture production</a:t>
            </a:r>
            <a:endParaRPr lang="en-GB"/>
          </a:p>
        </c:rich>
      </c:tx>
      <c:layout>
        <c:manualLayout>
          <c:xMode val="edge"/>
          <c:yMode val="edge"/>
          <c:x val="0.20838327524918701"/>
          <c:y val="7.45526838966203E-2"/>
        </c:manualLayout>
      </c:layout>
      <c:overlay val="0"/>
    </c:title>
    <c:autoTitleDeleted val="0"/>
    <c:plotArea>
      <c:layout>
        <c:manualLayout>
          <c:layoutTarget val="inner"/>
          <c:xMode val="edge"/>
          <c:yMode val="edge"/>
          <c:x val="0.160786670080308"/>
          <c:y val="6.4612326043737595E-2"/>
          <c:w val="0.76003114076566602"/>
          <c:h val="0.65562804276702003"/>
        </c:manualLayout>
      </c:layout>
      <c:lineChart>
        <c:grouping val="standard"/>
        <c:varyColors val="0"/>
        <c:ser>
          <c:idx val="0"/>
          <c:order val="0"/>
          <c:tx>
            <c:strRef>
              <c:f>Sheet2!$B$63</c:f>
              <c:strCache>
                <c:ptCount val="1"/>
                <c:pt idx="0">
                  <c:v>Abalone</c:v>
                </c:pt>
              </c:strCache>
            </c:strRef>
          </c:tx>
          <c:spPr>
            <a:ln w="34925">
              <a:solidFill>
                <a:schemeClr val="tx2"/>
              </a:solidFill>
            </a:ln>
          </c:spPr>
          <c:marker>
            <c:symbol val="none"/>
          </c:marker>
          <c:cat>
            <c:numRef>
              <c:f>Sheet2!$A$64:$A$90</c:f>
              <c:numCache>
                <c:formatCode>General</c:formatCode>
                <c:ptCount val="27"/>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numCache>
            </c:numRef>
          </c:cat>
          <c:val>
            <c:numRef>
              <c:f>Sheet2!$B$64:$B$90</c:f>
              <c:numCache>
                <c:formatCode>General</c:formatCode>
                <c:ptCount val="27"/>
                <c:pt idx="12" formatCode="#,##0">
                  <c:v>232</c:v>
                </c:pt>
                <c:pt idx="13" formatCode="#,##0">
                  <c:v>631</c:v>
                </c:pt>
                <c:pt idx="14" formatCode="#,##0">
                  <c:v>1208</c:v>
                </c:pt>
                <c:pt idx="15" formatCode="#,##0">
                  <c:v>3561.145</c:v>
                </c:pt>
                <c:pt idx="16" formatCode="#,##0">
                  <c:v>4453.8220000000001</c:v>
                </c:pt>
                <c:pt idx="17" formatCode="#,##0">
                  <c:v>5633</c:v>
                </c:pt>
                <c:pt idx="18" formatCode="#,##0">
                  <c:v>4344</c:v>
                </c:pt>
                <c:pt idx="19" formatCode="#,##0">
                  <c:v>4648</c:v>
                </c:pt>
                <c:pt idx="20" formatCode="#,##0">
                  <c:v>5852</c:v>
                </c:pt>
                <c:pt idx="21" formatCode="#,##0">
                  <c:v>7812</c:v>
                </c:pt>
                <c:pt idx="22" formatCode="#,##0">
                  <c:v>8568</c:v>
                </c:pt>
                <c:pt idx="23" formatCode="#,##0">
                  <c:v>9240</c:v>
                </c:pt>
                <c:pt idx="24" formatCode="#,##0">
                  <c:v>10220</c:v>
                </c:pt>
                <c:pt idx="25" formatCode="#,##0">
                  <c:v>13792</c:v>
                </c:pt>
                <c:pt idx="26" formatCode="#,##0">
                  <c:v>16624.68</c:v>
                </c:pt>
              </c:numCache>
            </c:numRef>
          </c:val>
          <c:smooth val="0"/>
          <c:extLst xmlns:c16r2="http://schemas.microsoft.com/office/drawing/2015/06/chart">
            <c:ext xmlns:c16="http://schemas.microsoft.com/office/drawing/2014/chart" uri="{C3380CC4-5D6E-409C-BE32-E72D297353CC}">
              <c16:uniqueId val="{00000000-A15B-46A6-A4E2-82A410D7AB1D}"/>
            </c:ext>
          </c:extLst>
        </c:ser>
        <c:ser>
          <c:idx val="1"/>
          <c:order val="1"/>
          <c:tx>
            <c:strRef>
              <c:f>Sheet2!$C$63</c:f>
              <c:strCache>
                <c:ptCount val="1"/>
                <c:pt idx="0">
                  <c:v>Trout</c:v>
                </c:pt>
              </c:strCache>
            </c:strRef>
          </c:tx>
          <c:spPr>
            <a:ln w="34925">
              <a:solidFill>
                <a:srgbClr val="0070C0"/>
              </a:solidFill>
            </a:ln>
          </c:spPr>
          <c:marker>
            <c:symbol val="none"/>
          </c:marker>
          <c:cat>
            <c:numRef>
              <c:f>Sheet2!$A$64:$A$90</c:f>
              <c:numCache>
                <c:formatCode>General</c:formatCode>
                <c:ptCount val="27"/>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numCache>
            </c:numRef>
          </c:cat>
          <c:val>
            <c:numRef>
              <c:f>Sheet2!$C$64:$C$90</c:f>
              <c:numCache>
                <c:formatCode>General</c:formatCode>
                <c:ptCount val="27"/>
                <c:pt idx="0">
                  <c:v>6010</c:v>
                </c:pt>
                <c:pt idx="1">
                  <c:v>7162</c:v>
                </c:pt>
                <c:pt idx="2">
                  <c:v>3010</c:v>
                </c:pt>
                <c:pt idx="3">
                  <c:v>6570</c:v>
                </c:pt>
                <c:pt idx="4">
                  <c:v>4800</c:v>
                </c:pt>
                <c:pt idx="5">
                  <c:v>5712</c:v>
                </c:pt>
                <c:pt idx="6">
                  <c:v>5712</c:v>
                </c:pt>
                <c:pt idx="7">
                  <c:v>11585</c:v>
                </c:pt>
                <c:pt idx="8">
                  <c:v>10000</c:v>
                </c:pt>
                <c:pt idx="9">
                  <c:v>9366</c:v>
                </c:pt>
                <c:pt idx="10">
                  <c:v>8821</c:v>
                </c:pt>
                <c:pt idx="11">
                  <c:v>10903</c:v>
                </c:pt>
                <c:pt idx="12" formatCode="#,##0">
                  <c:v>11136</c:v>
                </c:pt>
                <c:pt idx="13" formatCode="#,##0">
                  <c:v>10666</c:v>
                </c:pt>
                <c:pt idx="14" formatCode="#,##0">
                  <c:v>10404</c:v>
                </c:pt>
                <c:pt idx="15" formatCode="#,##0">
                  <c:v>12316</c:v>
                </c:pt>
                <c:pt idx="16" formatCode="#,##0">
                  <c:v>10533.2207857143</c:v>
                </c:pt>
                <c:pt idx="17" formatCode="#,##0">
                  <c:v>8163</c:v>
                </c:pt>
                <c:pt idx="18" formatCode="#,##0">
                  <c:v>6955</c:v>
                </c:pt>
                <c:pt idx="19" formatCode="#,##0">
                  <c:v>8508.5</c:v>
                </c:pt>
                <c:pt idx="20" formatCode="#,##0">
                  <c:v>5700.5</c:v>
                </c:pt>
                <c:pt idx="21" formatCode="#,##0">
                  <c:v>6427.5</c:v>
                </c:pt>
                <c:pt idx="22" formatCode="#,##0">
                  <c:v>8304.5</c:v>
                </c:pt>
                <c:pt idx="23" formatCode="#,##0">
                  <c:v>6963.5</c:v>
                </c:pt>
                <c:pt idx="24" formatCode="#,##0">
                  <c:v>10098.5</c:v>
                </c:pt>
                <c:pt idx="25" formatCode="#,##0">
                  <c:v>10674</c:v>
                </c:pt>
                <c:pt idx="26" formatCode="#,##0">
                  <c:v>10437.700000000001</c:v>
                </c:pt>
              </c:numCache>
            </c:numRef>
          </c:val>
          <c:smooth val="0"/>
          <c:extLst xmlns:c16r2="http://schemas.microsoft.com/office/drawing/2015/06/chart">
            <c:ext xmlns:c16="http://schemas.microsoft.com/office/drawing/2014/chart" uri="{C3380CC4-5D6E-409C-BE32-E72D297353CC}">
              <c16:uniqueId val="{00000001-A15B-46A6-A4E2-82A410D7AB1D}"/>
            </c:ext>
          </c:extLst>
        </c:ser>
        <c:ser>
          <c:idx val="2"/>
          <c:order val="2"/>
          <c:tx>
            <c:strRef>
              <c:f>Sheet2!$D$63</c:f>
              <c:strCache>
                <c:ptCount val="1"/>
                <c:pt idx="0">
                  <c:v>Native fish</c:v>
                </c:pt>
              </c:strCache>
            </c:strRef>
          </c:tx>
          <c:spPr>
            <a:ln w="34925">
              <a:solidFill>
                <a:schemeClr val="accent1"/>
              </a:solidFill>
            </a:ln>
          </c:spPr>
          <c:marker>
            <c:symbol val="none"/>
          </c:marker>
          <c:cat>
            <c:numRef>
              <c:f>Sheet2!$A$64:$A$90</c:f>
              <c:numCache>
                <c:formatCode>General</c:formatCode>
                <c:ptCount val="27"/>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numCache>
            </c:numRef>
          </c:cat>
          <c:val>
            <c:numRef>
              <c:f>Sheet2!$D$64:$D$90</c:f>
              <c:numCache>
                <c:formatCode>General</c:formatCode>
                <c:ptCount val="27"/>
                <c:pt idx="11">
                  <c:v>337</c:v>
                </c:pt>
                <c:pt idx="12" formatCode="#,##0">
                  <c:v>1277</c:v>
                </c:pt>
                <c:pt idx="13" formatCode="#,##0">
                  <c:v>1931</c:v>
                </c:pt>
                <c:pt idx="14" formatCode="#,##0">
                  <c:v>1727</c:v>
                </c:pt>
                <c:pt idx="15" formatCode="#,##0">
                  <c:v>1766</c:v>
                </c:pt>
                <c:pt idx="16" formatCode="#,##0">
                  <c:v>1862.629034604757</c:v>
                </c:pt>
                <c:pt idx="17" formatCode="#,##0">
                  <c:v>1629</c:v>
                </c:pt>
                <c:pt idx="18" formatCode="#,##0">
                  <c:v>1601</c:v>
                </c:pt>
                <c:pt idx="19" formatCode="#,##0">
                  <c:v>1701.0625</c:v>
                </c:pt>
                <c:pt idx="20" formatCode="#,##0">
                  <c:v>2058.4285714285711</c:v>
                </c:pt>
                <c:pt idx="21" formatCode="#,##0">
                  <c:v>3405</c:v>
                </c:pt>
                <c:pt idx="22" formatCode="#,##0">
                  <c:v>3136</c:v>
                </c:pt>
                <c:pt idx="23" formatCode="#,##0">
                  <c:v>2142</c:v>
                </c:pt>
                <c:pt idx="24" formatCode="#,##0">
                  <c:v>2880</c:v>
                </c:pt>
                <c:pt idx="25" formatCode="#,##0">
                  <c:v>2983</c:v>
                </c:pt>
                <c:pt idx="26" formatCode="#,##0">
                  <c:v>5570.1</c:v>
                </c:pt>
              </c:numCache>
            </c:numRef>
          </c:val>
          <c:smooth val="0"/>
          <c:extLst xmlns:c16r2="http://schemas.microsoft.com/office/drawing/2015/06/chart">
            <c:ext xmlns:c16="http://schemas.microsoft.com/office/drawing/2014/chart" uri="{C3380CC4-5D6E-409C-BE32-E72D297353CC}">
              <c16:uniqueId val="{00000002-A15B-46A6-A4E2-82A410D7AB1D}"/>
            </c:ext>
          </c:extLst>
        </c:ser>
        <c:ser>
          <c:idx val="3"/>
          <c:order val="3"/>
          <c:tx>
            <c:strRef>
              <c:f>Sheet2!$E$63</c:f>
              <c:strCache>
                <c:ptCount val="1"/>
                <c:pt idx="0">
                  <c:v>Bivalves</c:v>
                </c:pt>
              </c:strCache>
            </c:strRef>
          </c:tx>
          <c:spPr>
            <a:ln w="34925">
              <a:solidFill>
                <a:schemeClr val="accent2"/>
              </a:solidFill>
            </a:ln>
          </c:spPr>
          <c:marker>
            <c:symbol val="none"/>
          </c:marker>
          <c:cat>
            <c:numRef>
              <c:f>Sheet2!$A$64:$A$90</c:f>
              <c:numCache>
                <c:formatCode>General</c:formatCode>
                <c:ptCount val="27"/>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numCache>
            </c:numRef>
          </c:cat>
          <c:val>
            <c:numRef>
              <c:f>Sheet2!$E$64:$E$90</c:f>
              <c:numCache>
                <c:formatCode>General</c:formatCode>
                <c:ptCount val="27"/>
                <c:pt idx="0">
                  <c:v>1424</c:v>
                </c:pt>
                <c:pt idx="1">
                  <c:v>1452</c:v>
                </c:pt>
                <c:pt idx="2">
                  <c:v>676</c:v>
                </c:pt>
                <c:pt idx="3">
                  <c:v>620</c:v>
                </c:pt>
                <c:pt idx="4">
                  <c:v>506</c:v>
                </c:pt>
                <c:pt idx="5">
                  <c:v>516</c:v>
                </c:pt>
                <c:pt idx="6">
                  <c:v>518</c:v>
                </c:pt>
                <c:pt idx="7">
                  <c:v>1800</c:v>
                </c:pt>
                <c:pt idx="8">
                  <c:v>1800</c:v>
                </c:pt>
                <c:pt idx="9">
                  <c:v>1527</c:v>
                </c:pt>
                <c:pt idx="10">
                  <c:v>2512</c:v>
                </c:pt>
                <c:pt idx="11">
                  <c:v>2362</c:v>
                </c:pt>
                <c:pt idx="12" formatCode="#,##0">
                  <c:v>2681</c:v>
                </c:pt>
                <c:pt idx="13" formatCode="#,##0">
                  <c:v>3734</c:v>
                </c:pt>
                <c:pt idx="14" formatCode="#,##0">
                  <c:v>4042</c:v>
                </c:pt>
                <c:pt idx="15" formatCode="#,##0">
                  <c:v>2837</c:v>
                </c:pt>
                <c:pt idx="16" formatCode="#,##0">
                  <c:v>2815.5797400000001</c:v>
                </c:pt>
                <c:pt idx="17" formatCode="#,##0">
                  <c:v>1865</c:v>
                </c:pt>
                <c:pt idx="18" formatCode="#,##0">
                  <c:v>2308</c:v>
                </c:pt>
                <c:pt idx="19" formatCode="#,##0">
                  <c:v>1605</c:v>
                </c:pt>
                <c:pt idx="20" formatCode="#,##0">
                  <c:v>1927.5</c:v>
                </c:pt>
                <c:pt idx="21" formatCode="#,##0">
                  <c:v>2027.5</c:v>
                </c:pt>
                <c:pt idx="22" formatCode="#,##0">
                  <c:v>2455</c:v>
                </c:pt>
                <c:pt idx="23" formatCode="#,##0">
                  <c:v>2027.5</c:v>
                </c:pt>
                <c:pt idx="24" formatCode="#,##0">
                  <c:v>2165</c:v>
                </c:pt>
                <c:pt idx="25" formatCode="#,##0">
                  <c:v>2567.6999999999998</c:v>
                </c:pt>
                <c:pt idx="26" formatCode="#,##0">
                  <c:v>3549</c:v>
                </c:pt>
              </c:numCache>
            </c:numRef>
          </c:val>
          <c:smooth val="0"/>
          <c:extLst xmlns:c16r2="http://schemas.microsoft.com/office/drawing/2015/06/chart">
            <c:ext xmlns:c16="http://schemas.microsoft.com/office/drawing/2014/chart" uri="{C3380CC4-5D6E-409C-BE32-E72D297353CC}">
              <c16:uniqueId val="{00000003-A15B-46A6-A4E2-82A410D7AB1D}"/>
            </c:ext>
          </c:extLst>
        </c:ser>
        <c:ser>
          <c:idx val="4"/>
          <c:order val="4"/>
          <c:tx>
            <c:strRef>
              <c:f>Sheet2!$F$63</c:f>
              <c:strCache>
                <c:ptCount val="1"/>
                <c:pt idx="0">
                  <c:v>Aquarium fish</c:v>
                </c:pt>
              </c:strCache>
            </c:strRef>
          </c:tx>
          <c:spPr>
            <a:ln w="34925">
              <a:solidFill>
                <a:schemeClr val="accent4"/>
              </a:solidFill>
            </a:ln>
          </c:spPr>
          <c:marker>
            <c:symbol val="none"/>
          </c:marker>
          <c:cat>
            <c:numRef>
              <c:f>Sheet2!$A$64:$A$90</c:f>
              <c:numCache>
                <c:formatCode>General</c:formatCode>
                <c:ptCount val="27"/>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numCache>
            </c:numRef>
          </c:cat>
          <c:val>
            <c:numRef>
              <c:f>Sheet2!$F$64:$F$90</c:f>
              <c:numCache>
                <c:formatCode>General</c:formatCode>
                <c:ptCount val="27"/>
                <c:pt idx="11">
                  <c:v>2673</c:v>
                </c:pt>
                <c:pt idx="12" formatCode="#,##0">
                  <c:v>2713</c:v>
                </c:pt>
                <c:pt idx="13" formatCode="#,##0">
                  <c:v>3006</c:v>
                </c:pt>
                <c:pt idx="14" formatCode="#,##0">
                  <c:v>3003</c:v>
                </c:pt>
                <c:pt idx="15" formatCode="#,##0">
                  <c:v>2566</c:v>
                </c:pt>
                <c:pt idx="16" formatCode="#,##0">
                  <c:v>2740.599394736842</c:v>
                </c:pt>
                <c:pt idx="17" formatCode="#,##0">
                  <c:v>2478</c:v>
                </c:pt>
                <c:pt idx="18" formatCode="#,##0">
                  <c:v>1323</c:v>
                </c:pt>
                <c:pt idx="19" formatCode="#,##0">
                  <c:v>2378.704584040745</c:v>
                </c:pt>
                <c:pt idx="20" formatCode="#,##0">
                  <c:v>2197.8870967741941</c:v>
                </c:pt>
                <c:pt idx="21" formatCode="#,##0">
                  <c:v>1760.4435483870971</c:v>
                </c:pt>
                <c:pt idx="22" formatCode="#,##0">
                  <c:v>1781.2207130730051</c:v>
                </c:pt>
                <c:pt idx="23" formatCode="#,##0">
                  <c:v>1709.3429541595931</c:v>
                </c:pt>
                <c:pt idx="24" formatCode="#,##0">
                  <c:v>1831.198217317487</c:v>
                </c:pt>
                <c:pt idx="25" formatCode="#,##0">
                  <c:v>1892.4066213921899</c:v>
                </c:pt>
                <c:pt idx="26" formatCode="#,##0">
                  <c:v>1559.410441426146</c:v>
                </c:pt>
              </c:numCache>
            </c:numRef>
          </c:val>
          <c:smooth val="0"/>
          <c:extLst xmlns:c16r2="http://schemas.microsoft.com/office/drawing/2015/06/chart">
            <c:ext xmlns:c16="http://schemas.microsoft.com/office/drawing/2014/chart" uri="{C3380CC4-5D6E-409C-BE32-E72D297353CC}">
              <c16:uniqueId val="{00000004-A15B-46A6-A4E2-82A410D7AB1D}"/>
            </c:ext>
          </c:extLst>
        </c:ser>
        <c:ser>
          <c:idx val="5"/>
          <c:order val="5"/>
          <c:tx>
            <c:strRef>
              <c:f>Sheet2!$G$63</c:f>
              <c:strCache>
                <c:ptCount val="1"/>
                <c:pt idx="0">
                  <c:v>Yabby</c:v>
                </c:pt>
              </c:strCache>
            </c:strRef>
          </c:tx>
          <c:spPr>
            <a:ln w="34925">
              <a:solidFill>
                <a:schemeClr val="accent6"/>
              </a:solidFill>
            </a:ln>
          </c:spPr>
          <c:marker>
            <c:symbol val="none"/>
          </c:marker>
          <c:cat>
            <c:numRef>
              <c:f>Sheet2!$A$64:$A$90</c:f>
              <c:numCache>
                <c:formatCode>General</c:formatCode>
                <c:ptCount val="27"/>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numCache>
            </c:numRef>
          </c:cat>
          <c:val>
            <c:numRef>
              <c:f>Sheet2!$G$64:$G$90</c:f>
              <c:numCache>
                <c:formatCode>General</c:formatCode>
                <c:ptCount val="27"/>
                <c:pt idx="1">
                  <c:v>100</c:v>
                </c:pt>
                <c:pt idx="2">
                  <c:v>200</c:v>
                </c:pt>
                <c:pt idx="3">
                  <c:v>60</c:v>
                </c:pt>
                <c:pt idx="4">
                  <c:v>50</c:v>
                </c:pt>
                <c:pt idx="5">
                  <c:v>51</c:v>
                </c:pt>
                <c:pt idx="6">
                  <c:v>51</c:v>
                </c:pt>
                <c:pt idx="7">
                  <c:v>100</c:v>
                </c:pt>
                <c:pt idx="8">
                  <c:v>250</c:v>
                </c:pt>
                <c:pt idx="9">
                  <c:v>184</c:v>
                </c:pt>
                <c:pt idx="10">
                  <c:v>125</c:v>
                </c:pt>
                <c:pt idx="11">
                  <c:v>174</c:v>
                </c:pt>
                <c:pt idx="12" formatCode="#,##0">
                  <c:v>254</c:v>
                </c:pt>
                <c:pt idx="13" formatCode="#,##0">
                  <c:v>338</c:v>
                </c:pt>
                <c:pt idx="14" formatCode="#,##0">
                  <c:v>134</c:v>
                </c:pt>
                <c:pt idx="15" formatCode="#,##0">
                  <c:v>65</c:v>
                </c:pt>
                <c:pt idx="16" formatCode="#,##0">
                  <c:v>77.927499999999995</c:v>
                </c:pt>
                <c:pt idx="17" formatCode="#,##0">
                  <c:v>80</c:v>
                </c:pt>
                <c:pt idx="18" formatCode="#,##0">
                  <c:v>26</c:v>
                </c:pt>
                <c:pt idx="19" formatCode="#,##0">
                  <c:v>16</c:v>
                </c:pt>
                <c:pt idx="20" formatCode="#,##0">
                  <c:v>70</c:v>
                </c:pt>
                <c:pt idx="21" formatCode="#,##0">
                  <c:v>80</c:v>
                </c:pt>
                <c:pt idx="22" formatCode="#,##0">
                  <c:v>135</c:v>
                </c:pt>
                <c:pt idx="23" formatCode="#,##0">
                  <c:v>250</c:v>
                </c:pt>
                <c:pt idx="24" formatCode="#,##0">
                  <c:v>163.34725</c:v>
                </c:pt>
                <c:pt idx="25" formatCode="#,##0">
                  <c:v>161.21549999999999</c:v>
                </c:pt>
                <c:pt idx="26" formatCode="#,##0">
                  <c:v>174.650125</c:v>
                </c:pt>
              </c:numCache>
            </c:numRef>
          </c:val>
          <c:smooth val="0"/>
          <c:extLst xmlns:c16r2="http://schemas.microsoft.com/office/drawing/2015/06/chart">
            <c:ext xmlns:c16="http://schemas.microsoft.com/office/drawing/2014/chart" uri="{C3380CC4-5D6E-409C-BE32-E72D297353CC}">
              <c16:uniqueId val="{00000005-A15B-46A6-A4E2-82A410D7AB1D}"/>
            </c:ext>
          </c:extLst>
        </c:ser>
        <c:dLbls>
          <c:showLegendKey val="0"/>
          <c:showVal val="0"/>
          <c:showCatName val="0"/>
          <c:showSerName val="0"/>
          <c:showPercent val="0"/>
          <c:showBubbleSize val="0"/>
        </c:dLbls>
        <c:smooth val="0"/>
        <c:axId val="711318168"/>
        <c:axId val="711318560"/>
      </c:lineChart>
      <c:catAx>
        <c:axId val="711318168"/>
        <c:scaling>
          <c:orientation val="minMax"/>
        </c:scaling>
        <c:delete val="0"/>
        <c:axPos val="b"/>
        <c:numFmt formatCode="General" sourceLinked="1"/>
        <c:majorTickMark val="none"/>
        <c:minorTickMark val="none"/>
        <c:tickLblPos val="nextTo"/>
        <c:crossAx val="711318560"/>
        <c:crosses val="autoZero"/>
        <c:auto val="1"/>
        <c:lblAlgn val="ctr"/>
        <c:lblOffset val="100"/>
        <c:tickLblSkip val="5"/>
        <c:noMultiLvlLbl val="0"/>
      </c:catAx>
      <c:valAx>
        <c:axId val="711318560"/>
        <c:scaling>
          <c:orientation val="minMax"/>
        </c:scaling>
        <c:delete val="0"/>
        <c:axPos val="l"/>
        <c:majorGridlines/>
        <c:title>
          <c:tx>
            <c:rich>
              <a:bodyPr rot="0" vert="horz"/>
              <a:lstStyle/>
              <a:p>
                <a:pPr>
                  <a:defRPr/>
                </a:pPr>
                <a:r>
                  <a:rPr lang="en-AU"/>
                  <a:t>$m</a:t>
                </a:r>
              </a:p>
            </c:rich>
          </c:tx>
          <c:layout>
            <c:manualLayout>
              <c:xMode val="edge"/>
              <c:yMode val="edge"/>
              <c:x val="3.0966600309666002E-2"/>
              <c:y val="0.41679255177595798"/>
            </c:manualLayout>
          </c:layout>
          <c:overlay val="0"/>
        </c:title>
        <c:numFmt formatCode="General" sourceLinked="1"/>
        <c:majorTickMark val="none"/>
        <c:minorTickMark val="none"/>
        <c:tickLblPos val="nextTo"/>
        <c:crossAx val="711318168"/>
        <c:crosses val="autoZero"/>
        <c:crossBetween val="between"/>
        <c:majorUnit val="3000"/>
        <c:dispUnits>
          <c:builtInUnit val="thousands"/>
        </c:dispUnits>
      </c:valAx>
    </c:plotArea>
    <c:legend>
      <c:legendPos val="b"/>
      <c:layout/>
      <c:overlay val="0"/>
      <c:txPr>
        <a:bodyPr/>
        <a:lstStyle/>
        <a:p>
          <a:pPr>
            <a:defRPr sz="600" baseline="0"/>
          </a:pPr>
          <a:endParaRPr lang="en-US"/>
        </a:p>
      </c:txPr>
    </c:legend>
    <c:plotVisOnly val="1"/>
    <c:dispBlanksAs val="gap"/>
    <c:showDLblsOverMax val="0"/>
  </c:chart>
  <c:txPr>
    <a:bodyPr/>
    <a:lstStyle/>
    <a:p>
      <a:pPr>
        <a:defRPr sz="800" baseline="0"/>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n-US" sz="900" b="1" i="0" baseline="0"/>
              <a:t>G21 Visitor Number - 20% growth</a:t>
            </a:r>
          </a:p>
        </c:rich>
      </c:tx>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Sheet1!$A$27</c:f>
              <c:strCache>
                <c:ptCount val="1"/>
                <c:pt idx="0">
                  <c:v>Domestic day</c:v>
                </c:pt>
              </c:strCache>
            </c:strRef>
          </c:tx>
          <c:spPr>
            <a:ln w="28575" cap="rnd">
              <a:solidFill>
                <a:schemeClr val="accent2"/>
              </a:solidFill>
              <a:round/>
            </a:ln>
            <a:effectLst/>
          </c:spPr>
          <c:marker>
            <c:symbol val="none"/>
          </c:marker>
          <c:cat>
            <c:numRef>
              <c:f>Sheet1!$B$26:$F$26</c:f>
              <c:numCache>
                <c:formatCode>General</c:formatCode>
                <c:ptCount val="5"/>
                <c:pt idx="0">
                  <c:v>2012</c:v>
                </c:pt>
                <c:pt idx="1">
                  <c:v>2013</c:v>
                </c:pt>
                <c:pt idx="2">
                  <c:v>2014</c:v>
                </c:pt>
                <c:pt idx="3">
                  <c:v>2015</c:v>
                </c:pt>
                <c:pt idx="4">
                  <c:v>2016</c:v>
                </c:pt>
              </c:numCache>
            </c:numRef>
          </c:cat>
          <c:val>
            <c:numRef>
              <c:f>Sheet1!$B$27:$F$27</c:f>
              <c:numCache>
                <c:formatCode>_(* #,##0.00_);_(* \(#,##0.00\);_(* "-"??_);_(@_)</c:formatCode>
                <c:ptCount val="5"/>
                <c:pt idx="0">
                  <c:v>4.3649999999999931</c:v>
                </c:pt>
                <c:pt idx="1">
                  <c:v>3.98</c:v>
                </c:pt>
                <c:pt idx="2">
                  <c:v>4.556</c:v>
                </c:pt>
                <c:pt idx="3">
                  <c:v>4.6779999999999999</c:v>
                </c:pt>
                <c:pt idx="4">
                  <c:v>5.1029999999999998</c:v>
                </c:pt>
              </c:numCache>
            </c:numRef>
          </c:val>
          <c:smooth val="0"/>
        </c:ser>
        <c:ser>
          <c:idx val="1"/>
          <c:order val="1"/>
          <c:tx>
            <c:strRef>
              <c:f>Sheet1!$A$28</c:f>
              <c:strCache>
                <c:ptCount val="1"/>
                <c:pt idx="0">
                  <c:v>Domestic overnight</c:v>
                </c:pt>
              </c:strCache>
            </c:strRef>
          </c:tx>
          <c:spPr>
            <a:ln w="28575" cap="rnd">
              <a:solidFill>
                <a:schemeClr val="accent1"/>
              </a:solidFill>
              <a:round/>
            </a:ln>
            <a:effectLst/>
          </c:spPr>
          <c:marker>
            <c:symbol val="none"/>
          </c:marker>
          <c:cat>
            <c:numRef>
              <c:f>Sheet1!$B$26:$F$26</c:f>
              <c:numCache>
                <c:formatCode>General</c:formatCode>
                <c:ptCount val="5"/>
                <c:pt idx="0">
                  <c:v>2012</c:v>
                </c:pt>
                <c:pt idx="1">
                  <c:v>2013</c:v>
                </c:pt>
                <c:pt idx="2">
                  <c:v>2014</c:v>
                </c:pt>
                <c:pt idx="3">
                  <c:v>2015</c:v>
                </c:pt>
                <c:pt idx="4">
                  <c:v>2016</c:v>
                </c:pt>
              </c:numCache>
            </c:numRef>
          </c:cat>
          <c:val>
            <c:numRef>
              <c:f>Sheet1!$B$28:$F$28</c:f>
              <c:numCache>
                <c:formatCode>_(* #,##0.00_);_(* \(#,##0.00\);_(* "-"??_);_(@_)</c:formatCode>
                <c:ptCount val="5"/>
                <c:pt idx="0">
                  <c:v>1.8420000000000001</c:v>
                </c:pt>
                <c:pt idx="1">
                  <c:v>2.0139999999999998</c:v>
                </c:pt>
                <c:pt idx="2">
                  <c:v>2.3380000000000001</c:v>
                </c:pt>
                <c:pt idx="3">
                  <c:v>2.4550000000000001</c:v>
                </c:pt>
                <c:pt idx="4">
                  <c:v>2.5739999999999998</c:v>
                </c:pt>
              </c:numCache>
            </c:numRef>
          </c:val>
          <c:smooth val="0"/>
        </c:ser>
        <c:ser>
          <c:idx val="2"/>
          <c:order val="2"/>
          <c:tx>
            <c:strRef>
              <c:f>Sheet1!$A$29</c:f>
              <c:strCache>
                <c:ptCount val="1"/>
                <c:pt idx="0">
                  <c:v>International overnight</c:v>
                </c:pt>
              </c:strCache>
            </c:strRef>
          </c:tx>
          <c:spPr>
            <a:ln w="28575" cap="rnd">
              <a:solidFill>
                <a:schemeClr val="tx2"/>
              </a:solidFill>
              <a:round/>
            </a:ln>
            <a:effectLst/>
          </c:spPr>
          <c:marker>
            <c:symbol val="none"/>
          </c:marker>
          <c:cat>
            <c:numRef>
              <c:f>Sheet1!$B$26:$F$26</c:f>
              <c:numCache>
                <c:formatCode>General</c:formatCode>
                <c:ptCount val="5"/>
                <c:pt idx="0">
                  <c:v>2012</c:v>
                </c:pt>
                <c:pt idx="1">
                  <c:v>2013</c:v>
                </c:pt>
                <c:pt idx="2">
                  <c:v>2014</c:v>
                </c:pt>
                <c:pt idx="3">
                  <c:v>2015</c:v>
                </c:pt>
                <c:pt idx="4">
                  <c:v>2016</c:v>
                </c:pt>
              </c:numCache>
            </c:numRef>
          </c:cat>
          <c:val>
            <c:numRef>
              <c:f>Sheet1!$B$29:$F$29</c:f>
              <c:numCache>
                <c:formatCode>_(* #,##0.00_);_(* \(#,##0.00\);_(* "-"??_);_(@_)</c:formatCode>
                <c:ptCount val="5"/>
                <c:pt idx="0">
                  <c:v>0.1101</c:v>
                </c:pt>
                <c:pt idx="1">
                  <c:v>0.1167</c:v>
                </c:pt>
                <c:pt idx="2">
                  <c:v>0.1235</c:v>
                </c:pt>
                <c:pt idx="3">
                  <c:v>0.1651</c:v>
                </c:pt>
                <c:pt idx="4">
                  <c:v>0.17630000000000001</c:v>
                </c:pt>
              </c:numCache>
            </c:numRef>
          </c:val>
          <c:smooth val="0"/>
        </c:ser>
        <c:dLbls>
          <c:showLegendKey val="0"/>
          <c:showVal val="0"/>
          <c:showCatName val="0"/>
          <c:showSerName val="0"/>
          <c:showPercent val="0"/>
          <c:showBubbleSize val="0"/>
        </c:dLbls>
        <c:smooth val="0"/>
        <c:axId val="713341040"/>
        <c:axId val="716544304"/>
      </c:lineChart>
      <c:catAx>
        <c:axId val="71334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16544304"/>
        <c:crosses val="autoZero"/>
        <c:auto val="1"/>
        <c:lblAlgn val="ctr"/>
        <c:lblOffset val="100"/>
        <c:noMultiLvlLbl val="0"/>
      </c:catAx>
      <c:valAx>
        <c:axId val="716544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aseline="0"/>
                  <a:t>Visitor numbers (million)</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133410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RMCG Theme Colours">
    <a:dk1>
      <a:srgbClr val="000000"/>
    </a:dk1>
    <a:lt1>
      <a:srgbClr val="FFFFFF"/>
    </a:lt1>
    <a:dk2>
      <a:srgbClr val="CE1337"/>
    </a:dk2>
    <a:lt2>
      <a:srgbClr val="808285"/>
    </a:lt2>
    <a:accent1>
      <a:srgbClr val="FFC20E"/>
    </a:accent1>
    <a:accent2>
      <a:srgbClr val="008C44"/>
    </a:accent2>
    <a:accent3>
      <a:srgbClr val="1F497D"/>
    </a:accent3>
    <a:accent4>
      <a:srgbClr val="8064A2"/>
    </a:accent4>
    <a:accent5>
      <a:srgbClr val="9BBB59"/>
    </a:accent5>
    <a:accent6>
      <a:srgbClr val="F79646"/>
    </a:accent6>
    <a:hlink>
      <a:srgbClr val="0070C0"/>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RMCG Theme Colours">
    <a:dk1>
      <a:srgbClr val="000000"/>
    </a:dk1>
    <a:lt1>
      <a:srgbClr val="FFFFFF"/>
    </a:lt1>
    <a:dk2>
      <a:srgbClr val="CE1337"/>
    </a:dk2>
    <a:lt2>
      <a:srgbClr val="808285"/>
    </a:lt2>
    <a:accent1>
      <a:srgbClr val="FFC20E"/>
    </a:accent1>
    <a:accent2>
      <a:srgbClr val="008C44"/>
    </a:accent2>
    <a:accent3>
      <a:srgbClr val="1F497D"/>
    </a:accent3>
    <a:accent4>
      <a:srgbClr val="8064A2"/>
    </a:accent4>
    <a:accent5>
      <a:srgbClr val="9BBB59"/>
    </a:accent5>
    <a:accent6>
      <a:srgbClr val="F79646"/>
    </a:accent6>
    <a:hlink>
      <a:srgbClr val="0070C0"/>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RMCG Theme Colours">
    <a:dk1>
      <a:srgbClr val="000000"/>
    </a:dk1>
    <a:lt1>
      <a:srgbClr val="FFFFFF"/>
    </a:lt1>
    <a:dk2>
      <a:srgbClr val="CE1337"/>
    </a:dk2>
    <a:lt2>
      <a:srgbClr val="808285"/>
    </a:lt2>
    <a:accent1>
      <a:srgbClr val="FFC20E"/>
    </a:accent1>
    <a:accent2>
      <a:srgbClr val="008C44"/>
    </a:accent2>
    <a:accent3>
      <a:srgbClr val="1F497D"/>
    </a:accent3>
    <a:accent4>
      <a:srgbClr val="8064A2"/>
    </a:accent4>
    <a:accent5>
      <a:srgbClr val="9BBB59"/>
    </a:accent5>
    <a:accent6>
      <a:srgbClr val="F79646"/>
    </a:accent6>
    <a:hlink>
      <a:srgbClr val="0070C0"/>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RMCG Theme Colours">
    <a:dk1>
      <a:srgbClr val="000000"/>
    </a:dk1>
    <a:lt1>
      <a:srgbClr val="FFFFFF"/>
    </a:lt1>
    <a:dk2>
      <a:srgbClr val="CE1337"/>
    </a:dk2>
    <a:lt2>
      <a:srgbClr val="808285"/>
    </a:lt2>
    <a:accent1>
      <a:srgbClr val="FFC20E"/>
    </a:accent1>
    <a:accent2>
      <a:srgbClr val="008C44"/>
    </a:accent2>
    <a:accent3>
      <a:srgbClr val="1F497D"/>
    </a:accent3>
    <a:accent4>
      <a:srgbClr val="8064A2"/>
    </a:accent4>
    <a:accent5>
      <a:srgbClr val="9BBB59"/>
    </a:accent5>
    <a:accent6>
      <a:srgbClr val="F79646"/>
    </a:accent6>
    <a:hlink>
      <a:srgbClr val="0070C0"/>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RMCG Theme Colours">
    <a:dk1>
      <a:srgbClr val="000000"/>
    </a:dk1>
    <a:lt1>
      <a:srgbClr val="FFFFFF"/>
    </a:lt1>
    <a:dk2>
      <a:srgbClr val="CE1337"/>
    </a:dk2>
    <a:lt2>
      <a:srgbClr val="808285"/>
    </a:lt2>
    <a:accent1>
      <a:srgbClr val="FFC20E"/>
    </a:accent1>
    <a:accent2>
      <a:srgbClr val="008C44"/>
    </a:accent2>
    <a:accent3>
      <a:srgbClr val="1F497D"/>
    </a:accent3>
    <a:accent4>
      <a:srgbClr val="8064A2"/>
    </a:accent4>
    <a:accent5>
      <a:srgbClr val="9BBB59"/>
    </a:accent5>
    <a:accent6>
      <a:srgbClr val="F79646"/>
    </a:accent6>
    <a:hlink>
      <a:srgbClr val="0070C0"/>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RMCG Theme Colours">
    <a:dk1>
      <a:srgbClr val="000000"/>
    </a:dk1>
    <a:lt1>
      <a:srgbClr val="FFFFFF"/>
    </a:lt1>
    <a:dk2>
      <a:srgbClr val="CE1337"/>
    </a:dk2>
    <a:lt2>
      <a:srgbClr val="808285"/>
    </a:lt2>
    <a:accent1>
      <a:srgbClr val="FFC20E"/>
    </a:accent1>
    <a:accent2>
      <a:srgbClr val="008C44"/>
    </a:accent2>
    <a:accent3>
      <a:srgbClr val="1F497D"/>
    </a:accent3>
    <a:accent4>
      <a:srgbClr val="8064A2"/>
    </a:accent4>
    <a:accent5>
      <a:srgbClr val="9BBB59"/>
    </a:accent5>
    <a:accent6>
      <a:srgbClr val="F79646"/>
    </a:accent6>
    <a:hlink>
      <a:srgbClr val="0070C0"/>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RMCG Theme Colours">
    <a:dk1>
      <a:srgbClr val="000000"/>
    </a:dk1>
    <a:lt1>
      <a:srgbClr val="FFFFFF"/>
    </a:lt1>
    <a:dk2>
      <a:srgbClr val="CE1337"/>
    </a:dk2>
    <a:lt2>
      <a:srgbClr val="808285"/>
    </a:lt2>
    <a:accent1>
      <a:srgbClr val="FFC20E"/>
    </a:accent1>
    <a:accent2>
      <a:srgbClr val="008C44"/>
    </a:accent2>
    <a:accent3>
      <a:srgbClr val="1F497D"/>
    </a:accent3>
    <a:accent4>
      <a:srgbClr val="8064A2"/>
    </a:accent4>
    <a:accent5>
      <a:srgbClr val="9BBB59"/>
    </a:accent5>
    <a:accent6>
      <a:srgbClr val="F79646"/>
    </a:accent6>
    <a:hlink>
      <a:srgbClr val="0070C0"/>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RMCG Theme Colours">
    <a:dk1>
      <a:srgbClr val="000000"/>
    </a:dk1>
    <a:lt1>
      <a:srgbClr val="FFFFFF"/>
    </a:lt1>
    <a:dk2>
      <a:srgbClr val="CE1337"/>
    </a:dk2>
    <a:lt2>
      <a:srgbClr val="808285"/>
    </a:lt2>
    <a:accent1>
      <a:srgbClr val="FFC20E"/>
    </a:accent1>
    <a:accent2>
      <a:srgbClr val="008C44"/>
    </a:accent2>
    <a:accent3>
      <a:srgbClr val="1F497D"/>
    </a:accent3>
    <a:accent4>
      <a:srgbClr val="8064A2"/>
    </a:accent4>
    <a:accent5>
      <a:srgbClr val="9BBB59"/>
    </a:accent5>
    <a:accent6>
      <a:srgbClr val="F79646"/>
    </a:accent6>
    <a:hlink>
      <a:srgbClr val="0070C0"/>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RMCG Theme Colours">
    <a:dk1>
      <a:srgbClr val="000000"/>
    </a:dk1>
    <a:lt1>
      <a:srgbClr val="FFFFFF"/>
    </a:lt1>
    <a:dk2>
      <a:srgbClr val="CE1337"/>
    </a:dk2>
    <a:lt2>
      <a:srgbClr val="808285"/>
    </a:lt2>
    <a:accent1>
      <a:srgbClr val="FFC20E"/>
    </a:accent1>
    <a:accent2>
      <a:srgbClr val="008C44"/>
    </a:accent2>
    <a:accent3>
      <a:srgbClr val="1F497D"/>
    </a:accent3>
    <a:accent4>
      <a:srgbClr val="8064A2"/>
    </a:accent4>
    <a:accent5>
      <a:srgbClr val="9BBB59"/>
    </a:accent5>
    <a:accent6>
      <a:srgbClr val="F79646"/>
    </a:accent6>
    <a:hlink>
      <a:srgbClr val="0070C0"/>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00EEB3-472D-4805-8DFC-99D11D0F1270}">
  <ds:schemaRefs>
    <ds:schemaRef ds:uri="http://www.w3.org/2001/XMLSchema"/>
  </ds:schemaRefs>
</ds:datastoreItem>
</file>

<file path=customXml/itemProps2.xml><?xml version="1.0" encoding="utf-8"?>
<ds:datastoreItem xmlns:ds="http://schemas.openxmlformats.org/officeDocument/2006/customXml" ds:itemID="{93B7205E-56A0-44E8-BDBF-3076CF6E6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7242BB3A.dotm</Template>
  <TotalTime>0</TotalTime>
  <Pages>24</Pages>
  <Words>6306</Words>
  <Characters>35949</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42171</CharactersWithSpaces>
  <SharedDoc>false</SharedDoc>
  <HLinks>
    <vt:vector size="12" baseType="variant">
      <vt:variant>
        <vt:i4>2097205</vt:i4>
      </vt:variant>
      <vt:variant>
        <vt:i4>6</vt:i4>
      </vt:variant>
      <vt:variant>
        <vt:i4>0</vt:i4>
      </vt:variant>
      <vt:variant>
        <vt:i4>5</vt:i4>
      </vt:variant>
      <vt:variant>
        <vt:lpwstr>http://www.rmcg.com.au/</vt:lpwstr>
      </vt:variant>
      <vt:variant>
        <vt:lpwstr/>
      </vt:variant>
      <vt:variant>
        <vt:i4>3473497</vt:i4>
      </vt:variant>
      <vt:variant>
        <vt:i4>3</vt:i4>
      </vt:variant>
      <vt:variant>
        <vt:i4>0</vt:i4>
      </vt:variant>
      <vt:variant>
        <vt:i4>5</vt:i4>
      </vt:variant>
      <vt:variant>
        <vt:lpwstr>mailto:rm@rmcg.com.au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Kennelly</dc:creator>
  <cp:keywords/>
  <cp:lastModifiedBy>Lynne Lowery</cp:lastModifiedBy>
  <cp:revision>2</cp:revision>
  <cp:lastPrinted>2017-07-27T08:16:00Z</cp:lastPrinted>
  <dcterms:created xsi:type="dcterms:W3CDTF">2020-01-07T05:45:00Z</dcterms:created>
  <dcterms:modified xsi:type="dcterms:W3CDTF">2020-01-07T05:45:00Z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ate">
    <vt:lpwstr>Date</vt:lpwstr>
  </property>
  <property fmtid="{D5CDD505-2E9C-101B-9397-08002B2CF9AE}" pid="3" name="xTitle">
    <vt:lpwstr>Project Title</vt:lpwstr>
  </property>
  <property fmtid="{D5CDD505-2E9C-101B-9397-08002B2CF9AE}" pid="4" name="xType">
    <vt:lpwstr>Proposal</vt:lpwstr>
  </property>
  <property fmtid="{D5CDD505-2E9C-101B-9397-08002B2CF9AE}" pid="5" name="xSubtitle">
    <vt:lpwstr>Client Name
_x000d_</vt:lpwstr>
  </property>
</Properties>
</file>