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B76" w:rsidRDefault="00CF2B76" w:rsidP="00D60A2E">
      <w:pPr>
        <w:rPr>
          <w:rFonts w:cs="Arial"/>
          <w:bCs/>
          <w:color w:val="1F497D" w:themeColor="text2"/>
          <w:sz w:val="32"/>
          <w:szCs w:val="32"/>
        </w:rPr>
      </w:pPr>
    </w:p>
    <w:p w:rsidR="00E85272" w:rsidRDefault="00E85272" w:rsidP="00461FCE">
      <w:pPr>
        <w:rPr>
          <w:rFonts w:cs="Arial"/>
          <w:b/>
          <w:bCs/>
          <w:color w:val="1F497D" w:themeColor="text2"/>
          <w:u w:val="single"/>
        </w:rPr>
      </w:pPr>
    </w:p>
    <w:p w:rsidR="007008E4" w:rsidRPr="002B524A" w:rsidRDefault="007008E4" w:rsidP="007008E4">
      <w:pPr>
        <w:rPr>
          <w:rFonts w:cs="Arial"/>
          <w:bCs/>
          <w:sz w:val="32"/>
          <w:szCs w:val="32"/>
        </w:rPr>
      </w:pPr>
      <w:r>
        <w:rPr>
          <w:rFonts w:cs="Arial"/>
          <w:bCs/>
          <w:color w:val="1F497D" w:themeColor="text2"/>
          <w:sz w:val="32"/>
          <w:szCs w:val="32"/>
        </w:rPr>
        <w:t>FRP Pit Lids</w:t>
      </w:r>
      <w:r w:rsidRPr="002B524A">
        <w:rPr>
          <w:rFonts w:cs="Arial"/>
          <w:bCs/>
          <w:sz w:val="32"/>
          <w:szCs w:val="32"/>
        </w:rPr>
        <w:br/>
      </w:r>
    </w:p>
    <w:p w:rsidR="007008E4" w:rsidRPr="000F38CF" w:rsidRDefault="007008E4" w:rsidP="007008E4">
      <w:pPr>
        <w:rPr>
          <w:rFonts w:cs="Arial"/>
          <w:b/>
          <w:bCs/>
          <w:color w:val="1F497D" w:themeColor="text2"/>
          <w:u w:val="single"/>
        </w:rPr>
      </w:pPr>
      <w:r w:rsidRPr="000F38CF">
        <w:rPr>
          <w:rFonts w:cs="Arial"/>
          <w:b/>
          <w:bCs/>
          <w:color w:val="1F497D" w:themeColor="text2"/>
          <w:u w:val="single"/>
        </w:rPr>
        <w:t>Introduction:</w:t>
      </w:r>
    </w:p>
    <w:p w:rsidR="007008E4" w:rsidRPr="002B524A" w:rsidRDefault="007008E4" w:rsidP="007008E4">
      <w:pPr>
        <w:rPr>
          <w:rFonts w:cs="Arial"/>
        </w:rPr>
      </w:pPr>
    </w:p>
    <w:p w:rsidR="007008E4" w:rsidRDefault="007008E4" w:rsidP="007008E4">
      <w:pPr>
        <w:rPr>
          <w:rFonts w:cs="Arial"/>
        </w:rPr>
      </w:pPr>
      <w:r>
        <w:rPr>
          <w:rFonts w:cs="Arial"/>
        </w:rPr>
        <w:t xml:space="preserve">This Design Note, No 13, provides guidelines and requirements for the use of FRP pit lids in roadside and pathway areas, </w:t>
      </w:r>
      <w:r>
        <w:rPr>
          <w:rFonts w:cs="Arial"/>
        </w:rPr>
        <w:t>excluding vehicle crossings.</w:t>
      </w:r>
    </w:p>
    <w:p w:rsidR="007008E4" w:rsidRDefault="007008E4" w:rsidP="007008E4">
      <w:pPr>
        <w:rPr>
          <w:rFonts w:cs="Arial"/>
        </w:rPr>
      </w:pPr>
    </w:p>
    <w:p w:rsidR="007008E4" w:rsidRDefault="007008E4" w:rsidP="007008E4">
      <w:pPr>
        <w:rPr>
          <w:rFonts w:cs="Arial"/>
        </w:rPr>
      </w:pPr>
    </w:p>
    <w:p w:rsidR="007008E4" w:rsidRPr="00245692" w:rsidRDefault="007008E4" w:rsidP="007008E4">
      <w:pPr>
        <w:rPr>
          <w:rFonts w:cs="Arial"/>
          <w:b/>
          <w:bCs/>
          <w:color w:val="1F497D" w:themeColor="text2"/>
          <w:u w:val="single"/>
        </w:rPr>
      </w:pPr>
      <w:r>
        <w:rPr>
          <w:rFonts w:cs="Arial"/>
          <w:b/>
          <w:bCs/>
          <w:color w:val="1F497D" w:themeColor="text2"/>
          <w:u w:val="single"/>
        </w:rPr>
        <w:t>FRP Pit Lids</w:t>
      </w:r>
    </w:p>
    <w:p w:rsidR="007008E4" w:rsidRDefault="007008E4" w:rsidP="007008E4">
      <w:pPr>
        <w:rPr>
          <w:rFonts w:cs="Arial"/>
        </w:rPr>
      </w:pPr>
    </w:p>
    <w:p w:rsidR="007008E4" w:rsidRDefault="007008E4" w:rsidP="007008E4">
      <w:pPr>
        <w:rPr>
          <w:rFonts w:cs="Arial"/>
        </w:rPr>
      </w:pPr>
      <w:r>
        <w:rPr>
          <w:rFonts w:cs="Arial"/>
        </w:rPr>
        <w:t xml:space="preserve">FRP </w:t>
      </w:r>
      <w:r w:rsidRPr="00963B04">
        <w:rPr>
          <w:rFonts w:cs="Arial"/>
        </w:rPr>
        <w:t>(Fibreglass Reinforced Plastic)</w:t>
      </w:r>
      <w:r>
        <w:rPr>
          <w:rFonts w:cs="Arial"/>
        </w:rPr>
        <w:t xml:space="preserve"> pit lids are a lightweight alte</w:t>
      </w:r>
      <w:bookmarkStart w:id="0" w:name="_GoBack"/>
      <w:bookmarkEnd w:id="0"/>
      <w:r>
        <w:rPr>
          <w:rFonts w:cs="Arial"/>
        </w:rPr>
        <w:t>rnative to traditional concrete and steel side entry and junction pit lids.  They provide significant benefits to the health and safety of maintenance crews through reduced lifting weight and need for special equipment.</w:t>
      </w:r>
    </w:p>
    <w:p w:rsidR="007008E4" w:rsidRDefault="007008E4" w:rsidP="007008E4">
      <w:pPr>
        <w:rPr>
          <w:rFonts w:cs="Arial"/>
        </w:rPr>
      </w:pPr>
    </w:p>
    <w:p w:rsidR="007008E4" w:rsidRPr="00BF479A" w:rsidRDefault="007008E4" w:rsidP="007008E4">
      <w:pPr>
        <w:rPr>
          <w:rFonts w:cs="Arial"/>
        </w:rPr>
      </w:pPr>
      <w:r>
        <w:rPr>
          <w:rFonts w:cs="Arial"/>
        </w:rPr>
        <w:t>FRP pit lids as manufactured by R&amp;S Grating and Terrafirma Pit Lids have been considered in the preparation of this design note, however, equivalent products from alternative manufacturers may be used by approval of the responsible authority.</w:t>
      </w:r>
    </w:p>
    <w:p w:rsidR="007008E4" w:rsidRDefault="007008E4" w:rsidP="007008E4">
      <w:pPr>
        <w:rPr>
          <w:rFonts w:cs="Arial"/>
          <w:b/>
          <w:bCs/>
          <w:color w:val="1F497D" w:themeColor="text2"/>
          <w:u w:val="single"/>
        </w:rPr>
      </w:pPr>
    </w:p>
    <w:p w:rsidR="007008E4" w:rsidRDefault="007008E4" w:rsidP="007008E4">
      <w:pPr>
        <w:rPr>
          <w:rFonts w:cs="Arial"/>
          <w:b/>
          <w:bCs/>
          <w:color w:val="1F497D" w:themeColor="text2"/>
          <w:u w:val="single"/>
        </w:rPr>
      </w:pPr>
      <w:r>
        <w:rPr>
          <w:rFonts w:cs="Arial"/>
          <w:b/>
          <w:bCs/>
          <w:color w:val="1F497D" w:themeColor="text2"/>
          <w:u w:val="single"/>
        </w:rPr>
        <w:t>Definitions</w:t>
      </w:r>
    </w:p>
    <w:p w:rsidR="007008E4" w:rsidRDefault="007008E4" w:rsidP="007008E4">
      <w:pPr>
        <w:rPr>
          <w:rFonts w:cs="Arial"/>
          <w:b/>
          <w:bCs/>
          <w:color w:val="1F497D" w:themeColor="text2"/>
          <w:u w:val="single"/>
        </w:rPr>
      </w:pPr>
    </w:p>
    <w:p w:rsidR="007008E4" w:rsidRDefault="007008E4" w:rsidP="007008E4">
      <w:pPr>
        <w:ind w:left="1134" w:hanging="1134"/>
        <w:rPr>
          <w:rFonts w:cs="Arial"/>
        </w:rPr>
      </w:pPr>
      <w:r w:rsidRPr="00B3625C">
        <w:rPr>
          <w:rFonts w:cs="Arial"/>
        </w:rPr>
        <w:t xml:space="preserve">Activity </w:t>
      </w:r>
      <w:r>
        <w:rPr>
          <w:rFonts w:cs="Arial"/>
        </w:rPr>
        <w:t>Centre - V</w:t>
      </w:r>
      <w:r w:rsidRPr="00DC589A">
        <w:rPr>
          <w:rFonts w:cs="Arial"/>
        </w:rPr>
        <w:t>ibrant hubs where people shop, work, meet, relax and often live. Usually well-served by public transport, they range in size and intensity of use from local neighbourhood strip shopping centres to universities and major regional shopping malls.</w:t>
      </w:r>
    </w:p>
    <w:p w:rsidR="007008E4" w:rsidRDefault="007008E4" w:rsidP="007008E4">
      <w:pPr>
        <w:ind w:left="1134" w:hanging="1134"/>
        <w:rPr>
          <w:rFonts w:cs="Arial"/>
        </w:rPr>
      </w:pPr>
    </w:p>
    <w:p w:rsidR="007008E4" w:rsidRPr="00B3625C" w:rsidRDefault="007008E4" w:rsidP="007008E4">
      <w:pPr>
        <w:ind w:left="1134" w:hanging="1134"/>
        <w:rPr>
          <w:rFonts w:cs="Arial"/>
        </w:rPr>
      </w:pPr>
      <w:r>
        <w:rPr>
          <w:rFonts w:cs="Arial"/>
        </w:rPr>
        <w:t xml:space="preserve">Neighbourhood Centre - </w:t>
      </w:r>
      <w:r w:rsidRPr="00DC589A">
        <w:rPr>
          <w:rFonts w:cs="Arial"/>
        </w:rPr>
        <w:t>Centres which have a limited mix of uses meeting local needs and are dominated by small businesses and shops and some community services. They offer local convenience services and limited public transport provision but are not necessarily well located on the transport network.</w:t>
      </w:r>
    </w:p>
    <w:p w:rsidR="007008E4" w:rsidRDefault="007008E4" w:rsidP="007008E4">
      <w:pPr>
        <w:ind w:left="1134" w:hanging="1134"/>
        <w:rPr>
          <w:rFonts w:cs="Arial"/>
        </w:rPr>
      </w:pPr>
    </w:p>
    <w:p w:rsidR="007008E4" w:rsidRDefault="007008E4" w:rsidP="007008E4">
      <w:pPr>
        <w:ind w:left="1134" w:hanging="1134"/>
        <w:rPr>
          <w:rFonts w:cs="Arial"/>
        </w:rPr>
      </w:pPr>
      <w:r w:rsidRPr="00B3625C">
        <w:rPr>
          <w:rFonts w:cs="Arial"/>
        </w:rPr>
        <w:t>Residential Zone</w:t>
      </w:r>
      <w:r>
        <w:rPr>
          <w:rFonts w:cs="Arial"/>
        </w:rPr>
        <w:t xml:space="preserve"> – An area which provides for the housing and accommodation needs of the local population.  For the purposes of this design note a single shop within a predominantly residential area will be classified as residential, but any pits adjoining a delivery access area for the shop shall require a pit cover equivalent to a Neighbourhood Centre.</w:t>
      </w:r>
    </w:p>
    <w:p w:rsidR="007008E4" w:rsidRPr="00B3625C" w:rsidRDefault="007008E4" w:rsidP="007008E4">
      <w:pPr>
        <w:ind w:left="1134" w:hanging="1134"/>
        <w:rPr>
          <w:rFonts w:cs="Arial"/>
        </w:rPr>
      </w:pPr>
    </w:p>
    <w:p w:rsidR="007008E4" w:rsidRPr="00B3625C" w:rsidRDefault="007008E4" w:rsidP="007008E4">
      <w:pPr>
        <w:ind w:left="1134" w:hanging="1134"/>
        <w:rPr>
          <w:rFonts w:cs="Arial"/>
        </w:rPr>
      </w:pPr>
      <w:r w:rsidRPr="00B3625C">
        <w:rPr>
          <w:rFonts w:cs="Arial"/>
        </w:rPr>
        <w:t>Industrial Zone</w:t>
      </w:r>
      <w:r>
        <w:rPr>
          <w:rFonts w:cs="Arial"/>
        </w:rPr>
        <w:t xml:space="preserve"> - An area which </w:t>
      </w:r>
      <w:r w:rsidRPr="00DC589A">
        <w:rPr>
          <w:rFonts w:cs="Arial"/>
        </w:rPr>
        <w:t>provides for manufacturing industry, the storage and distribution of goods and associated uses in a manner that does not affect the safety and amenity of local communities.</w:t>
      </w:r>
    </w:p>
    <w:p w:rsidR="007008E4" w:rsidRDefault="007008E4" w:rsidP="007008E4">
      <w:pPr>
        <w:ind w:left="1134" w:hanging="1134"/>
        <w:rPr>
          <w:rFonts w:cs="Arial"/>
        </w:rPr>
      </w:pPr>
    </w:p>
    <w:p w:rsidR="007008E4" w:rsidRPr="00B3625C" w:rsidRDefault="007008E4" w:rsidP="007008E4">
      <w:pPr>
        <w:ind w:left="1134" w:hanging="1134"/>
        <w:rPr>
          <w:rFonts w:cs="Arial"/>
        </w:rPr>
      </w:pPr>
      <w:r w:rsidRPr="00B3625C">
        <w:rPr>
          <w:rFonts w:cs="Arial"/>
        </w:rPr>
        <w:t>FRP</w:t>
      </w:r>
      <w:r>
        <w:rPr>
          <w:rFonts w:cs="Arial"/>
        </w:rPr>
        <w:t xml:space="preserve"> – Fibre Reinforced Plastic.  A lightweight composite material which can be used as an alternative to conventional building materials.</w:t>
      </w:r>
    </w:p>
    <w:p w:rsidR="007008E4" w:rsidRDefault="007008E4" w:rsidP="007008E4">
      <w:pPr>
        <w:rPr>
          <w:rFonts w:cs="Arial"/>
          <w:b/>
          <w:bCs/>
          <w:color w:val="1F497D" w:themeColor="text2"/>
          <w:u w:val="single"/>
        </w:rPr>
      </w:pPr>
    </w:p>
    <w:p w:rsidR="007008E4" w:rsidRDefault="007008E4" w:rsidP="007008E4">
      <w:pPr>
        <w:rPr>
          <w:rFonts w:cs="Arial"/>
          <w:b/>
          <w:bCs/>
          <w:color w:val="1F497D" w:themeColor="text2"/>
          <w:u w:val="single"/>
        </w:rPr>
      </w:pPr>
      <w:r>
        <w:rPr>
          <w:rFonts w:cs="Arial"/>
          <w:b/>
          <w:bCs/>
          <w:color w:val="1F497D" w:themeColor="text2"/>
          <w:u w:val="single"/>
        </w:rPr>
        <w:lastRenderedPageBreak/>
        <w:t>Australian Standard Design Criteria</w:t>
      </w:r>
    </w:p>
    <w:p w:rsidR="007008E4" w:rsidRDefault="007008E4" w:rsidP="007008E4">
      <w:pPr>
        <w:rPr>
          <w:rFonts w:cs="Arial"/>
        </w:rPr>
      </w:pPr>
    </w:p>
    <w:p w:rsidR="007008E4" w:rsidRDefault="007008E4" w:rsidP="007008E4">
      <w:pPr>
        <w:rPr>
          <w:rFonts w:cs="Arial"/>
        </w:rPr>
      </w:pPr>
      <w:r>
        <w:rPr>
          <w:rFonts w:cs="Arial"/>
        </w:rPr>
        <w:t xml:space="preserve">All FRP pit lids are required to comply with the Australian Standard </w:t>
      </w:r>
      <w:r w:rsidRPr="00647E6E">
        <w:rPr>
          <w:rFonts w:cs="Arial"/>
        </w:rPr>
        <w:t>3996—2006 Access covers and grates</w:t>
      </w:r>
      <w:r>
        <w:rPr>
          <w:rFonts w:cs="Arial"/>
        </w:rPr>
        <w:t xml:space="preserve"> for loading, durability in service and markings.</w:t>
      </w:r>
    </w:p>
    <w:p w:rsidR="007008E4" w:rsidRDefault="007008E4" w:rsidP="007008E4">
      <w:pPr>
        <w:rPr>
          <w:rFonts w:cs="Arial"/>
        </w:rPr>
      </w:pPr>
    </w:p>
    <w:tbl>
      <w:tblPr>
        <w:tblStyle w:val="TableGrid"/>
        <w:tblW w:w="0" w:type="auto"/>
        <w:tblLook w:val="04A0" w:firstRow="1" w:lastRow="0" w:firstColumn="1" w:lastColumn="0" w:noHBand="0" w:noVBand="1"/>
      </w:tblPr>
      <w:tblGrid>
        <w:gridCol w:w="1356"/>
        <w:gridCol w:w="874"/>
        <w:gridCol w:w="2527"/>
        <w:gridCol w:w="1408"/>
        <w:gridCol w:w="1414"/>
        <w:gridCol w:w="1408"/>
      </w:tblGrid>
      <w:tr w:rsidR="007008E4" w:rsidTr="00E02FB8">
        <w:tc>
          <w:tcPr>
            <w:tcW w:w="1357" w:type="dxa"/>
            <w:vMerge w:val="restart"/>
          </w:tcPr>
          <w:p w:rsidR="007008E4" w:rsidRDefault="007008E4" w:rsidP="00E02FB8"/>
        </w:tc>
        <w:tc>
          <w:tcPr>
            <w:tcW w:w="878" w:type="dxa"/>
            <w:vMerge w:val="restart"/>
          </w:tcPr>
          <w:p w:rsidR="007008E4" w:rsidRDefault="007008E4" w:rsidP="00E02FB8">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Class</w:t>
            </w:r>
          </w:p>
          <w:p w:rsidR="007008E4" w:rsidRDefault="007008E4" w:rsidP="00E02FB8">
            <w:r>
              <w:rPr>
                <w:rFonts w:ascii="Helvetica-Bold" w:hAnsi="Helvetica-Bold" w:cs="Helvetica-Bold"/>
                <w:b/>
                <w:bCs/>
                <w:sz w:val="16"/>
                <w:szCs w:val="16"/>
              </w:rPr>
              <w:t>rating</w:t>
            </w:r>
          </w:p>
        </w:tc>
        <w:tc>
          <w:tcPr>
            <w:tcW w:w="2551" w:type="dxa"/>
            <w:vMerge w:val="restart"/>
          </w:tcPr>
          <w:p w:rsidR="007008E4" w:rsidRDefault="007008E4" w:rsidP="00E02FB8">
            <w:r>
              <w:rPr>
                <w:rFonts w:ascii="Helvetica-Bold" w:hAnsi="Helvetica-Bold" w:cs="Helvetica-Bold"/>
                <w:b/>
                <w:bCs/>
                <w:sz w:val="16"/>
                <w:szCs w:val="16"/>
              </w:rPr>
              <w:t>Typical use</w:t>
            </w:r>
          </w:p>
        </w:tc>
        <w:tc>
          <w:tcPr>
            <w:tcW w:w="1418" w:type="dxa"/>
          </w:tcPr>
          <w:p w:rsidR="007008E4" w:rsidRDefault="007008E4" w:rsidP="00E02FB8">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Nominal</w:t>
            </w:r>
          </w:p>
          <w:p w:rsidR="007008E4" w:rsidRDefault="007008E4" w:rsidP="00E02FB8">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wheel load</w:t>
            </w:r>
          </w:p>
          <w:p w:rsidR="007008E4" w:rsidRDefault="007008E4" w:rsidP="00E02FB8">
            <w:r>
              <w:rPr>
                <w:rFonts w:ascii="Helvetica-Bold" w:hAnsi="Helvetica-Bold" w:cs="Helvetica-Bold"/>
                <w:b/>
                <w:bCs/>
                <w:sz w:val="16"/>
                <w:szCs w:val="16"/>
              </w:rPr>
              <w:t>(kg)</w:t>
            </w:r>
          </w:p>
        </w:tc>
        <w:tc>
          <w:tcPr>
            <w:tcW w:w="1417" w:type="dxa"/>
          </w:tcPr>
          <w:p w:rsidR="007008E4" w:rsidRDefault="007008E4" w:rsidP="00E02FB8">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Serviceability</w:t>
            </w:r>
          </w:p>
          <w:p w:rsidR="007008E4" w:rsidRDefault="007008E4" w:rsidP="00E02FB8">
            <w:r>
              <w:rPr>
                <w:rFonts w:ascii="Helvetica-Bold" w:hAnsi="Helvetica-Bold" w:cs="Helvetica-Bold"/>
                <w:b/>
                <w:bCs/>
                <w:sz w:val="16"/>
                <w:szCs w:val="16"/>
              </w:rPr>
              <w:t>design load (kN)</w:t>
            </w:r>
          </w:p>
        </w:tc>
        <w:tc>
          <w:tcPr>
            <w:tcW w:w="1418" w:type="dxa"/>
          </w:tcPr>
          <w:p w:rsidR="007008E4" w:rsidRDefault="007008E4" w:rsidP="00E02FB8">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Ultimate limit</w:t>
            </w:r>
          </w:p>
          <w:p w:rsidR="007008E4" w:rsidRDefault="007008E4" w:rsidP="00E02FB8">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state design</w:t>
            </w:r>
          </w:p>
          <w:p w:rsidR="007008E4" w:rsidRDefault="007008E4" w:rsidP="00E02FB8">
            <w:r>
              <w:rPr>
                <w:rFonts w:ascii="Helvetica-Bold" w:hAnsi="Helvetica-Bold" w:cs="Helvetica-Bold"/>
                <w:b/>
                <w:bCs/>
                <w:sz w:val="16"/>
                <w:szCs w:val="16"/>
              </w:rPr>
              <w:t>load (kN)</w:t>
            </w:r>
          </w:p>
        </w:tc>
      </w:tr>
      <w:tr w:rsidR="007008E4" w:rsidTr="00E02FB8">
        <w:tc>
          <w:tcPr>
            <w:tcW w:w="1357" w:type="dxa"/>
            <w:vMerge/>
          </w:tcPr>
          <w:p w:rsidR="007008E4" w:rsidRDefault="007008E4" w:rsidP="00E02FB8"/>
        </w:tc>
        <w:tc>
          <w:tcPr>
            <w:tcW w:w="878" w:type="dxa"/>
            <w:vMerge/>
          </w:tcPr>
          <w:p w:rsidR="007008E4" w:rsidRDefault="007008E4" w:rsidP="00E02FB8"/>
        </w:tc>
        <w:tc>
          <w:tcPr>
            <w:tcW w:w="2551" w:type="dxa"/>
            <w:vMerge/>
          </w:tcPr>
          <w:p w:rsidR="007008E4" w:rsidRDefault="007008E4" w:rsidP="00E02FB8"/>
        </w:tc>
        <w:tc>
          <w:tcPr>
            <w:tcW w:w="1418" w:type="dxa"/>
          </w:tcPr>
          <w:p w:rsidR="007008E4" w:rsidRDefault="007008E4" w:rsidP="00E02FB8">
            <w:r w:rsidRPr="002E5A34">
              <w:rPr>
                <w:rFonts w:ascii="Helvetica-Bold" w:hAnsi="Helvetica-Bold" w:cs="Helvetica-Bold"/>
                <w:b/>
                <w:bCs/>
                <w:sz w:val="16"/>
                <w:szCs w:val="16"/>
              </w:rPr>
              <w:t>AS3996</w:t>
            </w:r>
          </w:p>
        </w:tc>
        <w:tc>
          <w:tcPr>
            <w:tcW w:w="1417" w:type="dxa"/>
          </w:tcPr>
          <w:p w:rsidR="007008E4" w:rsidRDefault="007008E4" w:rsidP="00E02FB8">
            <w:r w:rsidRPr="002E5A34">
              <w:rPr>
                <w:rFonts w:ascii="Helvetica-Bold" w:hAnsi="Helvetica-Bold" w:cs="Helvetica-Bold"/>
                <w:b/>
                <w:bCs/>
                <w:sz w:val="16"/>
                <w:szCs w:val="16"/>
              </w:rPr>
              <w:t>AS3996</w:t>
            </w:r>
          </w:p>
        </w:tc>
        <w:tc>
          <w:tcPr>
            <w:tcW w:w="1418" w:type="dxa"/>
          </w:tcPr>
          <w:p w:rsidR="007008E4" w:rsidRDefault="007008E4" w:rsidP="00E02FB8">
            <w:r w:rsidRPr="002E5A34">
              <w:rPr>
                <w:rFonts w:ascii="Helvetica-Bold" w:hAnsi="Helvetica-Bold" w:cs="Helvetica-Bold"/>
                <w:b/>
                <w:bCs/>
                <w:sz w:val="16"/>
                <w:szCs w:val="16"/>
              </w:rPr>
              <w:t>AS3996</w:t>
            </w:r>
          </w:p>
        </w:tc>
      </w:tr>
      <w:tr w:rsidR="007008E4" w:rsidTr="00E02FB8">
        <w:tc>
          <w:tcPr>
            <w:tcW w:w="1357" w:type="dxa"/>
          </w:tcPr>
          <w:p w:rsidR="007008E4" w:rsidRDefault="007008E4" w:rsidP="00E02FB8">
            <w:r>
              <w:rPr>
                <w:noProof/>
              </w:rPr>
              <w:drawing>
                <wp:inline distT="0" distB="0" distL="0" distR="0" wp14:anchorId="4FB29E45" wp14:editId="126EAA64">
                  <wp:extent cx="602615" cy="602615"/>
                  <wp:effectExtent l="19050" t="0" r="6985" b="0"/>
                  <wp:docPr id="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02615" cy="602615"/>
                          </a:xfrm>
                          <a:prstGeom prst="rect">
                            <a:avLst/>
                          </a:prstGeom>
                          <a:noFill/>
                          <a:ln w="9525">
                            <a:noFill/>
                            <a:miter lim="800000"/>
                            <a:headEnd/>
                            <a:tailEnd/>
                          </a:ln>
                        </pic:spPr>
                      </pic:pic>
                    </a:graphicData>
                  </a:graphic>
                </wp:inline>
              </w:drawing>
            </w:r>
          </w:p>
        </w:tc>
        <w:tc>
          <w:tcPr>
            <w:tcW w:w="878" w:type="dxa"/>
          </w:tcPr>
          <w:p w:rsidR="007008E4" w:rsidRDefault="007008E4" w:rsidP="00E02FB8">
            <w:r>
              <w:t>A</w:t>
            </w:r>
          </w:p>
        </w:tc>
        <w:tc>
          <w:tcPr>
            <w:tcW w:w="2551" w:type="dxa"/>
          </w:tcPr>
          <w:p w:rsidR="007008E4" w:rsidRPr="004F5106" w:rsidRDefault="007008E4" w:rsidP="00E02FB8">
            <w:pPr>
              <w:autoSpaceDE w:val="0"/>
              <w:autoSpaceDN w:val="0"/>
              <w:adjustRightInd w:val="0"/>
              <w:rPr>
                <w:rFonts w:ascii="Helvetica" w:hAnsi="Helvetica" w:cs="Helvetica"/>
                <w:sz w:val="16"/>
                <w:szCs w:val="16"/>
              </w:rPr>
            </w:pPr>
            <w:r w:rsidRPr="004F5106">
              <w:rPr>
                <w:rFonts w:ascii="Helvetica" w:hAnsi="Helvetica" w:cs="Helvetica"/>
                <w:sz w:val="16"/>
                <w:szCs w:val="16"/>
              </w:rPr>
              <w:t>Areas (including footways) accessible only to pedestrians and pedal cyclists and closed to other traffic (extra-light duty)</w:t>
            </w:r>
          </w:p>
        </w:tc>
        <w:tc>
          <w:tcPr>
            <w:tcW w:w="1418" w:type="dxa"/>
          </w:tcPr>
          <w:p w:rsidR="007008E4" w:rsidRDefault="007008E4" w:rsidP="00E02FB8">
            <w:r>
              <w:rPr>
                <w:rFonts w:ascii="Helvetica" w:hAnsi="Helvetica" w:cs="Helvetica"/>
                <w:sz w:val="16"/>
                <w:szCs w:val="16"/>
              </w:rPr>
              <w:t>330</w:t>
            </w:r>
          </w:p>
        </w:tc>
        <w:tc>
          <w:tcPr>
            <w:tcW w:w="1417" w:type="dxa"/>
          </w:tcPr>
          <w:p w:rsidR="007008E4" w:rsidRDefault="007008E4" w:rsidP="00E02FB8">
            <w:r>
              <w:rPr>
                <w:rFonts w:ascii="Helvetica" w:hAnsi="Helvetica" w:cs="Helvetica"/>
                <w:sz w:val="16"/>
                <w:szCs w:val="16"/>
              </w:rPr>
              <w:t>6.7</w:t>
            </w:r>
          </w:p>
        </w:tc>
        <w:tc>
          <w:tcPr>
            <w:tcW w:w="1418" w:type="dxa"/>
          </w:tcPr>
          <w:p w:rsidR="007008E4" w:rsidRDefault="007008E4" w:rsidP="00E02FB8">
            <w:r>
              <w:rPr>
                <w:rFonts w:ascii="Helvetica" w:hAnsi="Helvetica" w:cs="Helvetica"/>
                <w:sz w:val="16"/>
                <w:szCs w:val="16"/>
              </w:rPr>
              <w:t>10</w:t>
            </w:r>
          </w:p>
        </w:tc>
      </w:tr>
      <w:tr w:rsidR="007008E4" w:rsidTr="00E02FB8">
        <w:tc>
          <w:tcPr>
            <w:tcW w:w="1357" w:type="dxa"/>
          </w:tcPr>
          <w:p w:rsidR="007008E4" w:rsidRDefault="007008E4" w:rsidP="00E02FB8">
            <w:r>
              <w:rPr>
                <w:noProof/>
              </w:rPr>
              <w:drawing>
                <wp:inline distT="0" distB="0" distL="0" distR="0" wp14:anchorId="3A8B7254" wp14:editId="12ADDC9B">
                  <wp:extent cx="602615" cy="602615"/>
                  <wp:effectExtent l="19050" t="0" r="6985" b="0"/>
                  <wp:docPr id="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02615" cy="602615"/>
                          </a:xfrm>
                          <a:prstGeom prst="rect">
                            <a:avLst/>
                          </a:prstGeom>
                          <a:noFill/>
                          <a:ln w="9525">
                            <a:noFill/>
                            <a:miter lim="800000"/>
                            <a:headEnd/>
                            <a:tailEnd/>
                          </a:ln>
                        </pic:spPr>
                      </pic:pic>
                    </a:graphicData>
                  </a:graphic>
                </wp:inline>
              </w:drawing>
            </w:r>
          </w:p>
        </w:tc>
        <w:tc>
          <w:tcPr>
            <w:tcW w:w="878" w:type="dxa"/>
          </w:tcPr>
          <w:p w:rsidR="007008E4" w:rsidRDefault="007008E4" w:rsidP="00E02FB8">
            <w:r>
              <w:t>B</w:t>
            </w:r>
          </w:p>
        </w:tc>
        <w:tc>
          <w:tcPr>
            <w:tcW w:w="2551" w:type="dxa"/>
          </w:tcPr>
          <w:p w:rsidR="007008E4" w:rsidRPr="004F5106" w:rsidRDefault="007008E4" w:rsidP="00E02FB8">
            <w:pPr>
              <w:autoSpaceDE w:val="0"/>
              <w:autoSpaceDN w:val="0"/>
              <w:adjustRightInd w:val="0"/>
              <w:rPr>
                <w:rFonts w:ascii="Helvetica" w:hAnsi="Helvetica" w:cs="Helvetica"/>
                <w:sz w:val="16"/>
                <w:szCs w:val="16"/>
              </w:rPr>
            </w:pPr>
            <w:r w:rsidRPr="004F5106">
              <w:rPr>
                <w:rFonts w:ascii="Helvetica" w:hAnsi="Helvetica" w:cs="Helvetica"/>
                <w:sz w:val="16"/>
                <w:szCs w:val="16"/>
              </w:rPr>
              <w:t>Areas (including footways and light tractor paths) accessible to vehicles (excluding commercial vehicles) or livestock (light duty)</w:t>
            </w:r>
          </w:p>
        </w:tc>
        <w:tc>
          <w:tcPr>
            <w:tcW w:w="1418" w:type="dxa"/>
          </w:tcPr>
          <w:p w:rsidR="007008E4" w:rsidRDefault="007008E4" w:rsidP="00E02FB8">
            <w:r>
              <w:rPr>
                <w:rFonts w:ascii="Helvetica" w:hAnsi="Helvetica" w:cs="Helvetica"/>
                <w:sz w:val="16"/>
                <w:szCs w:val="16"/>
              </w:rPr>
              <w:t>2670</w:t>
            </w:r>
          </w:p>
        </w:tc>
        <w:tc>
          <w:tcPr>
            <w:tcW w:w="1417" w:type="dxa"/>
          </w:tcPr>
          <w:p w:rsidR="007008E4" w:rsidRDefault="007008E4" w:rsidP="00E02FB8">
            <w:r>
              <w:rPr>
                <w:rFonts w:ascii="Helvetica" w:hAnsi="Helvetica" w:cs="Helvetica"/>
                <w:sz w:val="16"/>
                <w:szCs w:val="16"/>
              </w:rPr>
              <w:t>53</w:t>
            </w:r>
          </w:p>
        </w:tc>
        <w:tc>
          <w:tcPr>
            <w:tcW w:w="1418" w:type="dxa"/>
          </w:tcPr>
          <w:p w:rsidR="007008E4" w:rsidRDefault="007008E4" w:rsidP="00E02FB8">
            <w:r>
              <w:rPr>
                <w:rFonts w:ascii="Helvetica" w:hAnsi="Helvetica" w:cs="Helvetica"/>
                <w:sz w:val="16"/>
                <w:szCs w:val="16"/>
              </w:rPr>
              <w:t>80</w:t>
            </w:r>
          </w:p>
        </w:tc>
      </w:tr>
      <w:tr w:rsidR="007008E4" w:rsidTr="00E02FB8">
        <w:tc>
          <w:tcPr>
            <w:tcW w:w="1357" w:type="dxa"/>
          </w:tcPr>
          <w:p w:rsidR="007008E4" w:rsidRDefault="007008E4" w:rsidP="00E02FB8">
            <w:r>
              <w:rPr>
                <w:noProof/>
              </w:rPr>
              <w:drawing>
                <wp:inline distT="0" distB="0" distL="0" distR="0" wp14:anchorId="32F4E2DA" wp14:editId="77AF960A">
                  <wp:extent cx="602615" cy="602615"/>
                  <wp:effectExtent l="19050" t="0" r="6985" b="0"/>
                  <wp:docPr id="1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02615" cy="602615"/>
                          </a:xfrm>
                          <a:prstGeom prst="rect">
                            <a:avLst/>
                          </a:prstGeom>
                          <a:noFill/>
                          <a:ln w="9525">
                            <a:noFill/>
                            <a:miter lim="800000"/>
                            <a:headEnd/>
                            <a:tailEnd/>
                          </a:ln>
                        </pic:spPr>
                      </pic:pic>
                    </a:graphicData>
                  </a:graphic>
                </wp:inline>
              </w:drawing>
            </w:r>
          </w:p>
        </w:tc>
        <w:tc>
          <w:tcPr>
            <w:tcW w:w="878" w:type="dxa"/>
          </w:tcPr>
          <w:p w:rsidR="007008E4" w:rsidRDefault="007008E4" w:rsidP="00E02FB8">
            <w:r>
              <w:t>C</w:t>
            </w:r>
          </w:p>
        </w:tc>
        <w:tc>
          <w:tcPr>
            <w:tcW w:w="2551" w:type="dxa"/>
          </w:tcPr>
          <w:p w:rsidR="007008E4" w:rsidRPr="004F5106" w:rsidRDefault="007008E4" w:rsidP="00E02FB8">
            <w:pPr>
              <w:autoSpaceDE w:val="0"/>
              <w:autoSpaceDN w:val="0"/>
              <w:adjustRightInd w:val="0"/>
              <w:rPr>
                <w:rFonts w:ascii="Helvetica" w:hAnsi="Helvetica" w:cs="Helvetica"/>
                <w:sz w:val="16"/>
                <w:szCs w:val="16"/>
              </w:rPr>
            </w:pPr>
            <w:r w:rsidRPr="004F5106">
              <w:rPr>
                <w:rFonts w:ascii="Helvetica" w:hAnsi="Helvetica" w:cs="Helvetica"/>
                <w:sz w:val="16"/>
                <w:szCs w:val="16"/>
              </w:rPr>
              <w:t>Malls and areas open to slow moving commercial vehicles (medium duty)</w:t>
            </w:r>
          </w:p>
        </w:tc>
        <w:tc>
          <w:tcPr>
            <w:tcW w:w="1418" w:type="dxa"/>
          </w:tcPr>
          <w:p w:rsidR="007008E4" w:rsidRDefault="007008E4" w:rsidP="00E02FB8">
            <w:r>
              <w:rPr>
                <w:rFonts w:ascii="Helvetica" w:hAnsi="Helvetica" w:cs="Helvetica"/>
                <w:sz w:val="16"/>
                <w:szCs w:val="16"/>
              </w:rPr>
              <w:t>5000</w:t>
            </w:r>
          </w:p>
        </w:tc>
        <w:tc>
          <w:tcPr>
            <w:tcW w:w="1417" w:type="dxa"/>
          </w:tcPr>
          <w:p w:rsidR="007008E4" w:rsidRDefault="007008E4" w:rsidP="00E02FB8">
            <w:r>
              <w:rPr>
                <w:rFonts w:ascii="Helvetica" w:hAnsi="Helvetica" w:cs="Helvetica"/>
                <w:sz w:val="16"/>
                <w:szCs w:val="16"/>
              </w:rPr>
              <w:t>100</w:t>
            </w:r>
          </w:p>
        </w:tc>
        <w:tc>
          <w:tcPr>
            <w:tcW w:w="1418" w:type="dxa"/>
          </w:tcPr>
          <w:p w:rsidR="007008E4" w:rsidRDefault="007008E4" w:rsidP="00E02FB8">
            <w:r>
              <w:rPr>
                <w:rFonts w:ascii="Helvetica" w:hAnsi="Helvetica" w:cs="Helvetica"/>
                <w:sz w:val="16"/>
                <w:szCs w:val="16"/>
              </w:rPr>
              <w:t>150</w:t>
            </w:r>
          </w:p>
        </w:tc>
      </w:tr>
      <w:tr w:rsidR="007008E4" w:rsidTr="007008E4">
        <w:trPr>
          <w:trHeight w:val="1191"/>
        </w:trPr>
        <w:tc>
          <w:tcPr>
            <w:tcW w:w="1357" w:type="dxa"/>
          </w:tcPr>
          <w:p w:rsidR="007008E4" w:rsidRDefault="007008E4" w:rsidP="00E02FB8">
            <w:r>
              <w:rPr>
                <w:noProof/>
              </w:rPr>
              <w:drawing>
                <wp:inline distT="0" distB="0" distL="0" distR="0" wp14:anchorId="261BFD76" wp14:editId="1AD76D37">
                  <wp:extent cx="705228" cy="683288"/>
                  <wp:effectExtent l="19050" t="0" r="0" b="0"/>
                  <wp:docPr id="1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705157" cy="683219"/>
                          </a:xfrm>
                          <a:prstGeom prst="rect">
                            <a:avLst/>
                          </a:prstGeom>
                          <a:noFill/>
                          <a:ln w="9525">
                            <a:noFill/>
                            <a:miter lim="800000"/>
                            <a:headEnd/>
                            <a:tailEnd/>
                          </a:ln>
                        </pic:spPr>
                      </pic:pic>
                    </a:graphicData>
                  </a:graphic>
                </wp:inline>
              </w:drawing>
            </w:r>
          </w:p>
        </w:tc>
        <w:tc>
          <w:tcPr>
            <w:tcW w:w="878" w:type="dxa"/>
          </w:tcPr>
          <w:p w:rsidR="007008E4" w:rsidRDefault="007008E4" w:rsidP="00E02FB8">
            <w:r>
              <w:t>D</w:t>
            </w:r>
          </w:p>
        </w:tc>
        <w:tc>
          <w:tcPr>
            <w:tcW w:w="2551" w:type="dxa"/>
          </w:tcPr>
          <w:p w:rsidR="007008E4" w:rsidRPr="004F5106" w:rsidRDefault="007008E4" w:rsidP="00E02FB8">
            <w:pPr>
              <w:autoSpaceDE w:val="0"/>
              <w:autoSpaceDN w:val="0"/>
              <w:adjustRightInd w:val="0"/>
              <w:rPr>
                <w:rFonts w:ascii="Helvetica" w:hAnsi="Helvetica" w:cs="Helvetica"/>
                <w:sz w:val="16"/>
                <w:szCs w:val="16"/>
              </w:rPr>
            </w:pPr>
            <w:r w:rsidRPr="004F5106">
              <w:rPr>
                <w:rFonts w:ascii="Helvetica" w:hAnsi="Helvetica" w:cs="Helvetica"/>
                <w:sz w:val="16"/>
                <w:szCs w:val="16"/>
              </w:rPr>
              <w:t>Carriageways of roads and areas open to commercial vehicles (heavy duty)</w:t>
            </w:r>
          </w:p>
        </w:tc>
        <w:tc>
          <w:tcPr>
            <w:tcW w:w="1418" w:type="dxa"/>
          </w:tcPr>
          <w:p w:rsidR="007008E4" w:rsidRDefault="007008E4" w:rsidP="00E02FB8">
            <w:r>
              <w:rPr>
                <w:rFonts w:ascii="Helvetica" w:hAnsi="Helvetica" w:cs="Helvetica"/>
                <w:sz w:val="16"/>
                <w:szCs w:val="16"/>
              </w:rPr>
              <w:t>8000</w:t>
            </w:r>
          </w:p>
        </w:tc>
        <w:tc>
          <w:tcPr>
            <w:tcW w:w="1417" w:type="dxa"/>
          </w:tcPr>
          <w:p w:rsidR="007008E4" w:rsidRDefault="007008E4" w:rsidP="00E02FB8">
            <w:r>
              <w:rPr>
                <w:rFonts w:ascii="Helvetica" w:hAnsi="Helvetica" w:cs="Helvetica"/>
                <w:sz w:val="16"/>
                <w:szCs w:val="16"/>
              </w:rPr>
              <w:t>140</w:t>
            </w:r>
          </w:p>
        </w:tc>
        <w:tc>
          <w:tcPr>
            <w:tcW w:w="1418" w:type="dxa"/>
          </w:tcPr>
          <w:p w:rsidR="007008E4" w:rsidRDefault="007008E4" w:rsidP="00E02FB8">
            <w:r>
              <w:rPr>
                <w:rFonts w:ascii="Helvetica" w:hAnsi="Helvetica" w:cs="Helvetica"/>
                <w:sz w:val="16"/>
                <w:szCs w:val="16"/>
              </w:rPr>
              <w:t>210</w:t>
            </w:r>
          </w:p>
        </w:tc>
      </w:tr>
    </w:tbl>
    <w:p w:rsidR="007008E4" w:rsidRDefault="007008E4" w:rsidP="007008E4"/>
    <w:p w:rsidR="007008E4" w:rsidRDefault="007008E4" w:rsidP="007008E4">
      <w:r>
        <w:t xml:space="preserve">NOTES: </w:t>
      </w:r>
    </w:p>
    <w:p w:rsidR="007008E4" w:rsidRDefault="007008E4" w:rsidP="007008E4">
      <w:pPr>
        <w:pStyle w:val="ListParagraph"/>
        <w:numPr>
          <w:ilvl w:val="0"/>
          <w:numId w:val="30"/>
        </w:numPr>
      </w:pPr>
      <w:r>
        <w:t xml:space="preserve">Nominal wheel loads are given for guidance only. Consideration should be given to the type, size and pneumatic pressure of the load applied. </w:t>
      </w:r>
    </w:p>
    <w:p w:rsidR="007008E4" w:rsidRDefault="007008E4" w:rsidP="007008E4">
      <w:pPr>
        <w:pStyle w:val="ListParagraph"/>
        <w:numPr>
          <w:ilvl w:val="0"/>
          <w:numId w:val="30"/>
        </w:numPr>
      </w:pPr>
      <w:r>
        <w:t xml:space="preserve">Class B design loads exceed AS 5100.2 requirements for footway loading. </w:t>
      </w:r>
    </w:p>
    <w:p w:rsidR="007008E4" w:rsidRDefault="007008E4" w:rsidP="007008E4">
      <w:pPr>
        <w:pStyle w:val="ListParagraph"/>
        <w:numPr>
          <w:ilvl w:val="0"/>
          <w:numId w:val="30"/>
        </w:numPr>
      </w:pPr>
      <w:r>
        <w:t xml:space="preserve">Class D design loads exceed AS 5100.2 requirements for a W80 wheel load. </w:t>
      </w:r>
    </w:p>
    <w:p w:rsidR="007008E4" w:rsidRDefault="007008E4" w:rsidP="007008E4">
      <w:pPr>
        <w:pStyle w:val="ListParagraph"/>
        <w:numPr>
          <w:ilvl w:val="0"/>
          <w:numId w:val="30"/>
        </w:numPr>
      </w:pPr>
      <w:r>
        <w:t xml:space="preserve">Class C units are based on an intermediate load. </w:t>
      </w:r>
    </w:p>
    <w:p w:rsidR="007008E4" w:rsidRDefault="007008E4" w:rsidP="007008E4">
      <w:pPr>
        <w:pStyle w:val="ListParagraph"/>
        <w:numPr>
          <w:ilvl w:val="0"/>
          <w:numId w:val="30"/>
        </w:numPr>
      </w:pPr>
      <w:r>
        <w:t xml:space="preserve">The serviceability load is set at 2/3 of the ultimate limit state design load. </w:t>
      </w:r>
    </w:p>
    <w:p w:rsidR="007008E4" w:rsidRPr="002C0D7A" w:rsidRDefault="007008E4" w:rsidP="007008E4">
      <w:pPr>
        <w:pStyle w:val="ListParagraph"/>
        <w:numPr>
          <w:ilvl w:val="0"/>
          <w:numId w:val="30"/>
        </w:numPr>
        <w:rPr>
          <w:rFonts w:cs="Arial"/>
        </w:rPr>
      </w:pPr>
      <w:r>
        <w:t>A force of 1 kN approximately equal to the weight of 100 kg.</w:t>
      </w:r>
    </w:p>
    <w:p w:rsidR="007008E4" w:rsidRPr="00D73F55" w:rsidRDefault="007008E4" w:rsidP="007008E4">
      <w:pPr>
        <w:rPr>
          <w:rFonts w:cs="Arial"/>
        </w:rPr>
      </w:pPr>
    </w:p>
    <w:p w:rsidR="007008E4" w:rsidRPr="00647E6E" w:rsidRDefault="007008E4" w:rsidP="007008E4">
      <w:pPr>
        <w:rPr>
          <w:u w:val="single"/>
        </w:rPr>
      </w:pPr>
      <w:r w:rsidRPr="00647E6E">
        <w:rPr>
          <w:u w:val="single"/>
        </w:rPr>
        <w:t xml:space="preserve">AS 3996-20006 CLAUSE 1.6 PERMANENT MARKING </w:t>
      </w:r>
    </w:p>
    <w:p w:rsidR="007008E4" w:rsidRDefault="007008E4" w:rsidP="007008E4"/>
    <w:p w:rsidR="007008E4" w:rsidRDefault="007008E4" w:rsidP="007008E4">
      <w:r>
        <w:t>Unless otherwise specified, covers and grates shall bear the following permanent marks:</w:t>
      </w:r>
    </w:p>
    <w:p w:rsidR="007008E4" w:rsidRDefault="007008E4" w:rsidP="007008E4">
      <w:pPr>
        <w:pStyle w:val="ListParagraph"/>
        <w:numPr>
          <w:ilvl w:val="0"/>
          <w:numId w:val="31"/>
        </w:numPr>
      </w:pPr>
      <w:r>
        <w:t xml:space="preserve">Manufacturer’s name or registered trademark. </w:t>
      </w:r>
    </w:p>
    <w:p w:rsidR="007008E4" w:rsidRDefault="007008E4" w:rsidP="007008E4">
      <w:pPr>
        <w:pStyle w:val="ListParagraph"/>
        <w:numPr>
          <w:ilvl w:val="0"/>
          <w:numId w:val="31"/>
        </w:numPr>
      </w:pPr>
      <w:r>
        <w:t xml:space="preserve">Date of manufacture. </w:t>
      </w:r>
    </w:p>
    <w:p w:rsidR="007008E4" w:rsidRDefault="007008E4" w:rsidP="007008E4">
      <w:pPr>
        <w:pStyle w:val="ListParagraph"/>
        <w:numPr>
          <w:ilvl w:val="0"/>
          <w:numId w:val="31"/>
        </w:numPr>
      </w:pPr>
      <w:r>
        <w:t xml:space="preserve">The number of this Standard, i.e. AS 3996. </w:t>
      </w:r>
    </w:p>
    <w:p w:rsidR="007008E4" w:rsidRDefault="007008E4" w:rsidP="007008E4">
      <w:pPr>
        <w:pStyle w:val="ListParagraph"/>
        <w:numPr>
          <w:ilvl w:val="0"/>
          <w:numId w:val="31"/>
        </w:numPr>
      </w:pPr>
      <w:r>
        <w:t xml:space="preserve">Load classification in accordance with Table 3.1 </w:t>
      </w:r>
      <w:r w:rsidRPr="002A5F70">
        <w:rPr>
          <w:i/>
        </w:rPr>
        <w:t>(see previous),</w:t>
      </w:r>
      <w:r>
        <w:t xml:space="preserve"> which may nominate more than one class, for example ‘Classes C-D’</w:t>
      </w:r>
    </w:p>
    <w:p w:rsidR="007008E4" w:rsidRDefault="007008E4" w:rsidP="007008E4">
      <w:pPr>
        <w:pStyle w:val="ListParagraph"/>
        <w:numPr>
          <w:ilvl w:val="0"/>
          <w:numId w:val="31"/>
        </w:numPr>
      </w:pPr>
      <w:r>
        <w:t xml:space="preserve">The approximate mass of the cover (including any infill) or grate, excluding the frame. </w:t>
      </w:r>
    </w:p>
    <w:p w:rsidR="007008E4" w:rsidRDefault="007008E4" w:rsidP="007008E4">
      <w:pPr>
        <w:pStyle w:val="ListParagraph"/>
        <w:numPr>
          <w:ilvl w:val="0"/>
          <w:numId w:val="31"/>
        </w:numPr>
        <w:autoSpaceDE w:val="0"/>
        <w:autoSpaceDN w:val="0"/>
        <w:adjustRightInd w:val="0"/>
      </w:pPr>
      <w:r>
        <w:t xml:space="preserve">Covers that are sealed to be marked as such in accordance with Clause 1.5(c) </w:t>
      </w:r>
      <w:r w:rsidRPr="002A5F70">
        <w:rPr>
          <w:i/>
        </w:rPr>
        <w:t>(Covers shall be classified as ventilated, unsealed, sealed, sealed watertight or sealed gas-tight. Covers classified as sealed shall be both watertight and gas-tight)</w:t>
      </w:r>
    </w:p>
    <w:p w:rsidR="007008E4" w:rsidRDefault="007008E4" w:rsidP="007008E4">
      <w:pPr>
        <w:pStyle w:val="ListParagraph"/>
        <w:numPr>
          <w:ilvl w:val="0"/>
          <w:numId w:val="31"/>
        </w:numPr>
      </w:pPr>
      <w:r>
        <w:lastRenderedPageBreak/>
        <w:t xml:space="preserve">Grates designed for a particular direction of inflow to indicate the direction of inflow on their upper surface. </w:t>
      </w:r>
    </w:p>
    <w:p w:rsidR="007008E4" w:rsidRDefault="007008E4" w:rsidP="007008E4">
      <w:pPr>
        <w:pStyle w:val="ListParagraph"/>
        <w:numPr>
          <w:ilvl w:val="0"/>
          <w:numId w:val="31"/>
        </w:numPr>
      </w:pPr>
      <w:r>
        <w:t xml:space="preserve">Grates that are not bicycle tyre penetration resistant in all directions to indicate the direction on their upper surface for which they are bicycle tyre penetration resistant. </w:t>
      </w:r>
    </w:p>
    <w:p w:rsidR="007008E4" w:rsidRDefault="007008E4" w:rsidP="007008E4">
      <w:pPr>
        <w:pStyle w:val="ListParagraph"/>
        <w:numPr>
          <w:ilvl w:val="0"/>
          <w:numId w:val="31"/>
        </w:numPr>
      </w:pPr>
      <w:r>
        <w:t xml:space="preserve">Covers requiring structural infill on site to be marked ‘STRUCTURAL INFILL’. </w:t>
      </w:r>
    </w:p>
    <w:p w:rsidR="007008E4" w:rsidRDefault="007008E4" w:rsidP="007008E4"/>
    <w:p w:rsidR="007008E4" w:rsidRDefault="007008E4" w:rsidP="007008E4">
      <w:r>
        <w:t>Markings specified in Items (d) to (h) shall be visible on the top of covers (including recessed covers after in-filling) and grates, as appropriate. Markings specified in Items (a) to (c) and (i) shall be visible on the top of covers (including recessed covers after in-filling) and grates. Alternatively, they may be on the underside, such that they are visible when the cover is removed and overturned.</w:t>
      </w:r>
    </w:p>
    <w:p w:rsidR="007008E4" w:rsidRDefault="007008E4" w:rsidP="007008E4"/>
    <w:p w:rsidR="007008E4" w:rsidRDefault="007008E4" w:rsidP="007008E4">
      <w:pPr>
        <w:rPr>
          <w:rFonts w:cs="Arial"/>
          <w:b/>
          <w:bCs/>
          <w:color w:val="1F497D" w:themeColor="text2"/>
          <w:u w:val="single"/>
        </w:rPr>
      </w:pPr>
      <w:r>
        <w:rPr>
          <w:rFonts w:cs="Arial"/>
          <w:b/>
          <w:bCs/>
          <w:color w:val="1F497D" w:themeColor="text2"/>
          <w:u w:val="single"/>
        </w:rPr>
        <w:t>Location vs. Pit Class</w:t>
      </w:r>
    </w:p>
    <w:p w:rsidR="007008E4" w:rsidRDefault="007008E4" w:rsidP="007008E4">
      <w:pPr>
        <w:rPr>
          <w:rFonts w:cs="Arial"/>
          <w:b/>
          <w:bCs/>
          <w:color w:val="1F497D" w:themeColor="text2"/>
          <w:u w:val="single"/>
        </w:rPr>
      </w:pPr>
    </w:p>
    <w:p w:rsidR="007008E4" w:rsidRPr="00613716" w:rsidRDefault="007008E4" w:rsidP="007008E4">
      <w:r w:rsidRPr="00613716">
        <w:t xml:space="preserve">The following table provides a quick guide for the </w:t>
      </w:r>
      <w:r>
        <w:t>selection of appropriate class of pit lid for various locations.  In new subdivisions due to construction vehicles associated with residential housing mounting kerbs whilst accessing individual blocks during the build out phase, a minimum C class pit lid has been specified for all installations.</w:t>
      </w:r>
    </w:p>
    <w:p w:rsidR="007008E4" w:rsidRPr="00B5034D" w:rsidRDefault="007008E4" w:rsidP="007008E4">
      <w:pPr>
        <w:rPr>
          <w:rFonts w:cs="Arial"/>
          <w:b/>
          <w:bCs/>
          <w:color w:val="1F497D" w:themeColor="text2"/>
          <w:u w:val="single"/>
        </w:rPr>
      </w:pPr>
    </w:p>
    <w:tbl>
      <w:tblPr>
        <w:tblStyle w:val="TableGrid"/>
        <w:tblW w:w="0" w:type="auto"/>
        <w:tblLook w:val="04A0" w:firstRow="1" w:lastRow="0" w:firstColumn="1" w:lastColumn="0" w:noHBand="0" w:noVBand="1"/>
      </w:tblPr>
      <w:tblGrid>
        <w:gridCol w:w="1804"/>
        <w:gridCol w:w="3377"/>
        <w:gridCol w:w="2536"/>
        <w:gridCol w:w="1270"/>
      </w:tblGrid>
      <w:tr w:rsidR="007008E4" w:rsidTr="00E02FB8">
        <w:tc>
          <w:tcPr>
            <w:tcW w:w="1809" w:type="dxa"/>
            <w:shd w:val="clear" w:color="auto" w:fill="8DB3E2" w:themeFill="text2" w:themeFillTint="66"/>
          </w:tcPr>
          <w:p w:rsidR="007008E4" w:rsidRPr="002D4B88" w:rsidRDefault="007008E4" w:rsidP="00E02FB8">
            <w:pPr>
              <w:rPr>
                <w:b/>
                <w:sz w:val="24"/>
                <w:szCs w:val="24"/>
              </w:rPr>
            </w:pPr>
            <w:r w:rsidRPr="002D4B88">
              <w:rPr>
                <w:b/>
                <w:sz w:val="24"/>
                <w:szCs w:val="24"/>
              </w:rPr>
              <w:t>Condition</w:t>
            </w:r>
          </w:p>
        </w:tc>
        <w:tc>
          <w:tcPr>
            <w:tcW w:w="3402" w:type="dxa"/>
            <w:shd w:val="clear" w:color="auto" w:fill="8DB3E2" w:themeFill="text2" w:themeFillTint="66"/>
          </w:tcPr>
          <w:p w:rsidR="007008E4" w:rsidRPr="002D4B88" w:rsidRDefault="007008E4" w:rsidP="00E02FB8">
            <w:pPr>
              <w:rPr>
                <w:b/>
                <w:sz w:val="24"/>
                <w:szCs w:val="24"/>
              </w:rPr>
            </w:pPr>
            <w:r w:rsidRPr="002D4B88">
              <w:rPr>
                <w:b/>
                <w:sz w:val="24"/>
                <w:szCs w:val="24"/>
              </w:rPr>
              <w:t>Location Type</w:t>
            </w:r>
          </w:p>
        </w:tc>
        <w:tc>
          <w:tcPr>
            <w:tcW w:w="2552" w:type="dxa"/>
            <w:shd w:val="clear" w:color="auto" w:fill="8DB3E2" w:themeFill="text2" w:themeFillTint="66"/>
          </w:tcPr>
          <w:p w:rsidR="007008E4" w:rsidRPr="002D4B88" w:rsidRDefault="007008E4" w:rsidP="00E02FB8">
            <w:pPr>
              <w:rPr>
                <w:b/>
                <w:sz w:val="24"/>
                <w:szCs w:val="24"/>
              </w:rPr>
            </w:pPr>
            <w:r w:rsidRPr="002D4B88">
              <w:rPr>
                <w:b/>
                <w:sz w:val="24"/>
                <w:szCs w:val="24"/>
              </w:rPr>
              <w:t>Area</w:t>
            </w:r>
          </w:p>
        </w:tc>
        <w:tc>
          <w:tcPr>
            <w:tcW w:w="1276" w:type="dxa"/>
            <w:shd w:val="clear" w:color="auto" w:fill="8DB3E2" w:themeFill="text2" w:themeFillTint="66"/>
          </w:tcPr>
          <w:p w:rsidR="007008E4" w:rsidRPr="002D4B88" w:rsidRDefault="007008E4" w:rsidP="00E02FB8">
            <w:pPr>
              <w:rPr>
                <w:b/>
                <w:sz w:val="24"/>
                <w:szCs w:val="24"/>
              </w:rPr>
            </w:pPr>
            <w:r w:rsidRPr="002D4B88">
              <w:rPr>
                <w:b/>
                <w:sz w:val="24"/>
                <w:szCs w:val="24"/>
              </w:rPr>
              <w:t>Class</w:t>
            </w:r>
          </w:p>
        </w:tc>
      </w:tr>
      <w:tr w:rsidR="007008E4" w:rsidTr="00E02FB8">
        <w:tc>
          <w:tcPr>
            <w:tcW w:w="1809" w:type="dxa"/>
          </w:tcPr>
          <w:p w:rsidR="007008E4" w:rsidRPr="002D4B88" w:rsidRDefault="007008E4" w:rsidP="00E02FB8">
            <w:pPr>
              <w:rPr>
                <w:b/>
                <w:i/>
              </w:rPr>
            </w:pPr>
            <w:r w:rsidRPr="002D4B88">
              <w:rPr>
                <w:b/>
                <w:i/>
              </w:rPr>
              <w:t>New Subdivision</w:t>
            </w:r>
          </w:p>
        </w:tc>
        <w:tc>
          <w:tcPr>
            <w:tcW w:w="3402" w:type="dxa"/>
          </w:tcPr>
          <w:p w:rsidR="007008E4" w:rsidRDefault="007008E4" w:rsidP="00E02FB8">
            <w:r>
              <w:t>Collector Rd Intersection – within 10m of kerb tangent point</w:t>
            </w:r>
          </w:p>
        </w:tc>
        <w:tc>
          <w:tcPr>
            <w:tcW w:w="2552" w:type="dxa"/>
          </w:tcPr>
          <w:p w:rsidR="007008E4" w:rsidRDefault="007008E4" w:rsidP="00E02FB8">
            <w:r>
              <w:t>Roundabout</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Signalised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Cross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T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r>
              <w:t>Local Rd Intersection – within 10m of kerb tangent point</w:t>
            </w:r>
          </w:p>
        </w:tc>
        <w:tc>
          <w:tcPr>
            <w:tcW w:w="2552" w:type="dxa"/>
          </w:tcPr>
          <w:p w:rsidR="007008E4" w:rsidRDefault="007008E4" w:rsidP="00E02FB8">
            <w:r>
              <w:t>Roundabout</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Cross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T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r>
              <w:t>Residential Zones</w:t>
            </w:r>
          </w:p>
        </w:tc>
        <w:tc>
          <w:tcPr>
            <w:tcW w:w="2552" w:type="dxa"/>
          </w:tcPr>
          <w:p w:rsidR="007008E4" w:rsidRDefault="007008E4" w:rsidP="00E02FB8">
            <w:r>
              <w:t>Midblock</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r>
              <w:t>Activity &amp; Neighbourhood Centres</w:t>
            </w:r>
          </w:p>
        </w:tc>
        <w:tc>
          <w:tcPr>
            <w:tcW w:w="2552" w:type="dxa"/>
          </w:tcPr>
          <w:p w:rsidR="007008E4" w:rsidRDefault="007008E4" w:rsidP="00E02FB8">
            <w:r>
              <w:t>All behind kerb</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r>
              <w:t>Industrial Zones</w:t>
            </w:r>
          </w:p>
        </w:tc>
        <w:tc>
          <w:tcPr>
            <w:tcW w:w="2552" w:type="dxa"/>
          </w:tcPr>
          <w:p w:rsidR="007008E4" w:rsidRDefault="007008E4" w:rsidP="00E02FB8">
            <w:r>
              <w:t>All behind kerb</w:t>
            </w:r>
          </w:p>
        </w:tc>
        <w:tc>
          <w:tcPr>
            <w:tcW w:w="1276" w:type="dxa"/>
          </w:tcPr>
          <w:p w:rsidR="007008E4" w:rsidRDefault="007008E4" w:rsidP="00E02FB8">
            <w:pPr>
              <w:jc w:val="center"/>
            </w:pPr>
            <w:r>
              <w:t>D</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tc>
        <w:tc>
          <w:tcPr>
            <w:tcW w:w="1276" w:type="dxa"/>
          </w:tcPr>
          <w:p w:rsidR="007008E4" w:rsidRDefault="007008E4" w:rsidP="00E02FB8">
            <w:pPr>
              <w:jc w:val="center"/>
            </w:pPr>
          </w:p>
        </w:tc>
      </w:tr>
      <w:tr w:rsidR="007008E4" w:rsidTr="00E02FB8">
        <w:tc>
          <w:tcPr>
            <w:tcW w:w="1809" w:type="dxa"/>
          </w:tcPr>
          <w:p w:rsidR="007008E4" w:rsidRPr="002D4B88" w:rsidRDefault="007008E4" w:rsidP="00E02FB8">
            <w:pPr>
              <w:rPr>
                <w:b/>
                <w:i/>
              </w:rPr>
            </w:pPr>
            <w:r w:rsidRPr="002D4B88">
              <w:rPr>
                <w:b/>
                <w:i/>
              </w:rPr>
              <w:t>Existing Area - Retrofit</w:t>
            </w:r>
          </w:p>
        </w:tc>
        <w:tc>
          <w:tcPr>
            <w:tcW w:w="3402" w:type="dxa"/>
          </w:tcPr>
          <w:p w:rsidR="007008E4" w:rsidRDefault="007008E4" w:rsidP="00E02FB8">
            <w:r>
              <w:t>Collector Rd Intersection – within 10m of kerb tangent point</w:t>
            </w:r>
          </w:p>
        </w:tc>
        <w:tc>
          <w:tcPr>
            <w:tcW w:w="2552" w:type="dxa"/>
          </w:tcPr>
          <w:p w:rsidR="007008E4" w:rsidRDefault="007008E4" w:rsidP="00E02FB8">
            <w:r>
              <w:t>Roundabout</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Signalised Intersection</w:t>
            </w:r>
          </w:p>
        </w:tc>
        <w:tc>
          <w:tcPr>
            <w:tcW w:w="1276" w:type="dxa"/>
          </w:tcPr>
          <w:p w:rsidR="007008E4" w:rsidRDefault="007008E4" w:rsidP="00E02FB8">
            <w:pPr>
              <w:jc w:val="center"/>
            </w:pPr>
            <w:r>
              <w:t>B</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Cross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T Intersection</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r>
              <w:t>Local Rd Intersection – within 10m of kerb tangent point</w:t>
            </w:r>
          </w:p>
        </w:tc>
        <w:tc>
          <w:tcPr>
            <w:tcW w:w="2552" w:type="dxa"/>
          </w:tcPr>
          <w:p w:rsidR="007008E4" w:rsidRDefault="007008E4" w:rsidP="00E02FB8">
            <w:r>
              <w:t>Roundabout</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Cross Intersection</w:t>
            </w:r>
          </w:p>
        </w:tc>
        <w:tc>
          <w:tcPr>
            <w:tcW w:w="1276" w:type="dxa"/>
          </w:tcPr>
          <w:p w:rsidR="007008E4" w:rsidRDefault="007008E4" w:rsidP="00E02FB8">
            <w:pPr>
              <w:jc w:val="center"/>
            </w:pPr>
            <w:r>
              <w:t>B</w:t>
            </w:r>
          </w:p>
        </w:tc>
      </w:tr>
      <w:tr w:rsidR="007008E4" w:rsidTr="00E02FB8">
        <w:tc>
          <w:tcPr>
            <w:tcW w:w="1809" w:type="dxa"/>
          </w:tcPr>
          <w:p w:rsidR="007008E4" w:rsidRDefault="007008E4" w:rsidP="00E02FB8"/>
        </w:tc>
        <w:tc>
          <w:tcPr>
            <w:tcW w:w="3402" w:type="dxa"/>
          </w:tcPr>
          <w:p w:rsidR="007008E4" w:rsidRDefault="007008E4" w:rsidP="00E02FB8"/>
        </w:tc>
        <w:tc>
          <w:tcPr>
            <w:tcW w:w="2552" w:type="dxa"/>
          </w:tcPr>
          <w:p w:rsidR="007008E4" w:rsidRDefault="007008E4" w:rsidP="00E02FB8">
            <w:r>
              <w:t>Unsignalised T Intersection</w:t>
            </w:r>
          </w:p>
        </w:tc>
        <w:tc>
          <w:tcPr>
            <w:tcW w:w="1276" w:type="dxa"/>
          </w:tcPr>
          <w:p w:rsidR="007008E4" w:rsidRDefault="007008E4" w:rsidP="00E02FB8">
            <w:pPr>
              <w:jc w:val="center"/>
            </w:pPr>
            <w:r>
              <w:t>B</w:t>
            </w:r>
          </w:p>
        </w:tc>
      </w:tr>
      <w:tr w:rsidR="007008E4" w:rsidTr="00E02FB8">
        <w:tc>
          <w:tcPr>
            <w:tcW w:w="1809" w:type="dxa"/>
          </w:tcPr>
          <w:p w:rsidR="007008E4" w:rsidRDefault="007008E4" w:rsidP="00E02FB8"/>
        </w:tc>
        <w:tc>
          <w:tcPr>
            <w:tcW w:w="3402" w:type="dxa"/>
          </w:tcPr>
          <w:p w:rsidR="007008E4" w:rsidRDefault="007008E4" w:rsidP="00E02FB8">
            <w:r>
              <w:t>Residential Area</w:t>
            </w:r>
          </w:p>
        </w:tc>
        <w:tc>
          <w:tcPr>
            <w:tcW w:w="2552" w:type="dxa"/>
          </w:tcPr>
          <w:p w:rsidR="007008E4" w:rsidRDefault="007008E4" w:rsidP="00E02FB8">
            <w:r>
              <w:t>Midblock</w:t>
            </w:r>
          </w:p>
        </w:tc>
        <w:tc>
          <w:tcPr>
            <w:tcW w:w="1276" w:type="dxa"/>
          </w:tcPr>
          <w:p w:rsidR="007008E4" w:rsidRDefault="007008E4" w:rsidP="00E02FB8">
            <w:pPr>
              <w:jc w:val="center"/>
            </w:pPr>
            <w:r>
              <w:t>B</w:t>
            </w:r>
          </w:p>
        </w:tc>
      </w:tr>
      <w:tr w:rsidR="007008E4" w:rsidTr="00E02FB8">
        <w:tc>
          <w:tcPr>
            <w:tcW w:w="1809" w:type="dxa"/>
          </w:tcPr>
          <w:p w:rsidR="007008E4" w:rsidRDefault="007008E4" w:rsidP="00E02FB8"/>
        </w:tc>
        <w:tc>
          <w:tcPr>
            <w:tcW w:w="3402" w:type="dxa"/>
          </w:tcPr>
          <w:p w:rsidR="007008E4" w:rsidRDefault="007008E4" w:rsidP="00E02FB8">
            <w:r>
              <w:t>Activity &amp; Neighbourhood Centres</w:t>
            </w:r>
          </w:p>
        </w:tc>
        <w:tc>
          <w:tcPr>
            <w:tcW w:w="2552" w:type="dxa"/>
          </w:tcPr>
          <w:p w:rsidR="007008E4" w:rsidRDefault="007008E4" w:rsidP="00E02FB8">
            <w:r>
              <w:t>All behind kerb</w:t>
            </w:r>
          </w:p>
        </w:tc>
        <w:tc>
          <w:tcPr>
            <w:tcW w:w="1276" w:type="dxa"/>
          </w:tcPr>
          <w:p w:rsidR="007008E4" w:rsidRDefault="007008E4" w:rsidP="00E02FB8">
            <w:pPr>
              <w:jc w:val="center"/>
            </w:pPr>
            <w:r>
              <w:t>C</w:t>
            </w:r>
          </w:p>
        </w:tc>
      </w:tr>
      <w:tr w:rsidR="007008E4" w:rsidTr="00E02FB8">
        <w:tc>
          <w:tcPr>
            <w:tcW w:w="1809" w:type="dxa"/>
          </w:tcPr>
          <w:p w:rsidR="007008E4" w:rsidRDefault="007008E4" w:rsidP="00E02FB8"/>
        </w:tc>
        <w:tc>
          <w:tcPr>
            <w:tcW w:w="3402" w:type="dxa"/>
          </w:tcPr>
          <w:p w:rsidR="007008E4" w:rsidRDefault="007008E4" w:rsidP="00E02FB8">
            <w:r>
              <w:t>Industrial Zone</w:t>
            </w:r>
          </w:p>
        </w:tc>
        <w:tc>
          <w:tcPr>
            <w:tcW w:w="2552" w:type="dxa"/>
          </w:tcPr>
          <w:p w:rsidR="007008E4" w:rsidRDefault="007008E4" w:rsidP="00E02FB8">
            <w:r>
              <w:t>All behind kerb</w:t>
            </w:r>
          </w:p>
        </w:tc>
        <w:tc>
          <w:tcPr>
            <w:tcW w:w="1276" w:type="dxa"/>
          </w:tcPr>
          <w:p w:rsidR="007008E4" w:rsidRDefault="007008E4" w:rsidP="00E02FB8">
            <w:pPr>
              <w:jc w:val="center"/>
            </w:pPr>
            <w:r>
              <w:t>D</w:t>
            </w:r>
          </w:p>
        </w:tc>
      </w:tr>
    </w:tbl>
    <w:p w:rsidR="007008E4" w:rsidRDefault="007008E4" w:rsidP="007008E4">
      <w:pPr>
        <w:rPr>
          <w:rFonts w:cs="Arial"/>
        </w:rPr>
      </w:pPr>
    </w:p>
    <w:p w:rsidR="007008E4" w:rsidRDefault="007008E4" w:rsidP="007008E4">
      <w:pPr>
        <w:rPr>
          <w:rFonts w:cs="Arial"/>
        </w:rPr>
      </w:pPr>
    </w:p>
    <w:p w:rsidR="007008E4" w:rsidRDefault="007008E4" w:rsidP="007008E4">
      <w:pPr>
        <w:rPr>
          <w:rFonts w:cs="Arial"/>
        </w:rPr>
      </w:pPr>
    </w:p>
    <w:p w:rsidR="007008E4" w:rsidRDefault="007008E4" w:rsidP="007008E4">
      <w:pPr>
        <w:rPr>
          <w:rFonts w:cs="Arial"/>
          <w:b/>
          <w:bCs/>
          <w:color w:val="1F497D" w:themeColor="text2"/>
          <w:u w:val="single"/>
        </w:rPr>
      </w:pPr>
      <w:r>
        <w:rPr>
          <w:rFonts w:cs="Arial"/>
          <w:b/>
          <w:bCs/>
          <w:color w:val="1F497D" w:themeColor="text2"/>
          <w:u w:val="single"/>
        </w:rPr>
        <w:t>Product Colour Selection</w:t>
      </w:r>
    </w:p>
    <w:p w:rsidR="007008E4" w:rsidRPr="00B5034D" w:rsidRDefault="007008E4" w:rsidP="007008E4">
      <w:pPr>
        <w:rPr>
          <w:rFonts w:cs="Arial"/>
          <w:b/>
          <w:bCs/>
          <w:color w:val="1F497D" w:themeColor="text2"/>
          <w:u w:val="single"/>
        </w:rPr>
      </w:pPr>
    </w:p>
    <w:p w:rsidR="007008E4" w:rsidRDefault="007008E4" w:rsidP="007008E4">
      <w:pPr>
        <w:tabs>
          <w:tab w:val="left" w:pos="2835"/>
        </w:tabs>
        <w:rPr>
          <w:rFonts w:cs="Arial"/>
        </w:rPr>
      </w:pPr>
      <w:r>
        <w:rPr>
          <w:rFonts w:cs="Arial"/>
        </w:rPr>
        <w:t>Product colour selection needs to be sympathetic to the surrounding streetscape.  In most instances it is expected that either a green or grey finish will be appropriate.</w:t>
      </w:r>
    </w:p>
    <w:p w:rsidR="007008E4" w:rsidRDefault="007008E4" w:rsidP="007008E4">
      <w:pPr>
        <w:tabs>
          <w:tab w:val="left" w:pos="2835"/>
        </w:tabs>
        <w:rPr>
          <w:rFonts w:cs="Arial"/>
        </w:rPr>
      </w:pPr>
    </w:p>
    <w:p w:rsidR="007008E4" w:rsidRPr="00B5034D" w:rsidRDefault="007008E4" w:rsidP="007008E4">
      <w:pPr>
        <w:rPr>
          <w:rFonts w:cs="Arial"/>
          <w:b/>
          <w:bCs/>
          <w:color w:val="1F497D" w:themeColor="text2"/>
          <w:u w:val="single"/>
        </w:rPr>
      </w:pPr>
      <w:r>
        <w:rPr>
          <w:rFonts w:cs="Arial"/>
          <w:b/>
          <w:bCs/>
          <w:color w:val="1F497D" w:themeColor="text2"/>
          <w:u w:val="single"/>
        </w:rPr>
        <w:t>Supplier product images</w:t>
      </w:r>
    </w:p>
    <w:p w:rsidR="007008E4" w:rsidRDefault="007008E4" w:rsidP="007008E4">
      <w:pPr>
        <w:tabs>
          <w:tab w:val="left" w:pos="2835"/>
        </w:tabs>
        <w:rPr>
          <w:rFonts w:cs="Arial"/>
        </w:rPr>
      </w:pPr>
    </w:p>
    <w:p w:rsidR="007008E4" w:rsidRDefault="007008E4" w:rsidP="007008E4">
      <w:r>
        <w:rPr>
          <w:noProof/>
        </w:rPr>
        <w:drawing>
          <wp:inline distT="0" distB="0" distL="0" distR="0" wp14:anchorId="5585862F" wp14:editId="7E79A38B">
            <wp:extent cx="2010717" cy="1320504"/>
            <wp:effectExtent l="19050" t="0" r="8583" b="0"/>
            <wp:docPr id="177" name="Picture 177" descr="http://www.terrafirmapitlids.com/wp-content/uploads/2016/08/Terra-Firma-Pit-Lids-B80-Access-Cover-Custom-Side-Entry-Pit-Covers-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rrafirmapitlids.com/wp-content/uploads/2016/08/Terra-Firma-Pit-Lids-B80-Access-Cover-Custom-Side-Entry-Pit-Covers-RENDER.jpg"/>
                    <pic:cNvPicPr>
                      <a:picLocks noChangeAspect="1" noChangeArrowheads="1"/>
                    </pic:cNvPicPr>
                  </pic:nvPicPr>
                  <pic:blipFill>
                    <a:blip r:embed="rId12" cstate="print"/>
                    <a:srcRect l="14944" t="4930" r="19065" b="8099"/>
                    <a:stretch>
                      <a:fillRect/>
                    </a:stretch>
                  </pic:blipFill>
                  <pic:spPr bwMode="auto">
                    <a:xfrm>
                      <a:off x="0" y="0"/>
                      <a:ext cx="2013396" cy="1322264"/>
                    </a:xfrm>
                    <a:prstGeom prst="rect">
                      <a:avLst/>
                    </a:prstGeom>
                    <a:noFill/>
                    <a:ln w="9525">
                      <a:noFill/>
                      <a:miter lim="800000"/>
                      <a:headEnd/>
                      <a:tailEnd/>
                    </a:ln>
                  </pic:spPr>
                </pic:pic>
              </a:graphicData>
            </a:graphic>
          </wp:inline>
        </w:drawing>
      </w:r>
      <w:r w:rsidRPr="005F6605">
        <w:t xml:space="preserve"> </w:t>
      </w:r>
      <w:r>
        <w:rPr>
          <w:noProof/>
        </w:rPr>
        <w:drawing>
          <wp:inline distT="0" distB="0" distL="0" distR="0" wp14:anchorId="1B840FF9" wp14:editId="34657C54">
            <wp:extent cx="1689170" cy="1265524"/>
            <wp:effectExtent l="19050" t="0" r="6280" b="0"/>
            <wp:docPr id="178" name="Picture 178" descr="Terra Firma Pit Lids - B80 Access Cover - Custom Side Entry Pit Covers REN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ra Firma Pit Lids - B80 Access Cover - Custom Side Entry Pit Covers RENDER 3"/>
                    <pic:cNvPicPr>
                      <a:picLocks noChangeAspect="1" noChangeArrowheads="1"/>
                    </pic:cNvPicPr>
                  </pic:nvPicPr>
                  <pic:blipFill>
                    <a:blip r:embed="rId13" cstate="print"/>
                    <a:srcRect l="17052" t="3169" r="22474" b="5986"/>
                    <a:stretch>
                      <a:fillRect/>
                    </a:stretch>
                  </pic:blipFill>
                  <pic:spPr bwMode="auto">
                    <a:xfrm>
                      <a:off x="0" y="0"/>
                      <a:ext cx="1699334" cy="1273139"/>
                    </a:xfrm>
                    <a:prstGeom prst="rect">
                      <a:avLst/>
                    </a:prstGeom>
                    <a:noFill/>
                    <a:ln w="9525">
                      <a:noFill/>
                      <a:miter lim="800000"/>
                      <a:headEnd/>
                      <a:tailEnd/>
                    </a:ln>
                  </pic:spPr>
                </pic:pic>
              </a:graphicData>
            </a:graphic>
          </wp:inline>
        </w:drawing>
      </w:r>
      <w:r w:rsidRPr="005F6605">
        <w:t xml:space="preserve"> </w:t>
      </w:r>
      <w:r>
        <w:rPr>
          <w:noProof/>
        </w:rPr>
        <w:drawing>
          <wp:inline distT="0" distB="0" distL="0" distR="0" wp14:anchorId="345F7730" wp14:editId="4D6C29A7">
            <wp:extent cx="1809750" cy="1273977"/>
            <wp:effectExtent l="19050" t="0" r="0" b="0"/>
            <wp:docPr id="179" name="Picture 179" descr="Terra Firma Pit Lids - B80 Access Cover - Custom Side Entry Pit Covers RE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rra Firma Pit Lids - B80 Access Cover - Custom Side Entry Pit Covers RENDER 2"/>
                    <pic:cNvPicPr>
                      <a:picLocks noChangeAspect="1" noChangeArrowheads="1"/>
                    </pic:cNvPicPr>
                  </pic:nvPicPr>
                  <pic:blipFill>
                    <a:blip r:embed="rId14" cstate="print"/>
                    <a:srcRect l="18840" t="6690" r="18889" b="5564"/>
                    <a:stretch>
                      <a:fillRect/>
                    </a:stretch>
                  </pic:blipFill>
                  <pic:spPr bwMode="auto">
                    <a:xfrm>
                      <a:off x="0" y="0"/>
                      <a:ext cx="1811033" cy="1274880"/>
                    </a:xfrm>
                    <a:prstGeom prst="rect">
                      <a:avLst/>
                    </a:prstGeom>
                    <a:noFill/>
                    <a:ln w="9525">
                      <a:noFill/>
                      <a:miter lim="800000"/>
                      <a:headEnd/>
                      <a:tailEnd/>
                    </a:ln>
                  </pic:spPr>
                </pic:pic>
              </a:graphicData>
            </a:graphic>
          </wp:inline>
        </w:drawing>
      </w:r>
      <w:r w:rsidRPr="005F6605">
        <w:t xml:space="preserve"> </w:t>
      </w:r>
    </w:p>
    <w:p w:rsidR="007008E4" w:rsidRDefault="007008E4" w:rsidP="007008E4">
      <w:r>
        <w:t>Terra-Firma Pit Lid types</w:t>
      </w:r>
    </w:p>
    <w:p w:rsidR="007008E4" w:rsidRDefault="007008E4" w:rsidP="007008E4"/>
    <w:p w:rsidR="007008E4" w:rsidRDefault="007008E4" w:rsidP="007008E4">
      <w:r>
        <w:rPr>
          <w:noProof/>
        </w:rPr>
        <w:lastRenderedPageBreak/>
        <w:drawing>
          <wp:inline distT="0" distB="0" distL="0" distR="0" wp14:anchorId="4986D4DE" wp14:editId="54A12363">
            <wp:extent cx="3424781" cy="2750632"/>
            <wp:effectExtent l="19050" t="0" r="4219"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3424654" cy="2750530"/>
                    </a:xfrm>
                    <a:prstGeom prst="rect">
                      <a:avLst/>
                    </a:prstGeom>
                    <a:noFill/>
                    <a:ln w="9525">
                      <a:noFill/>
                      <a:miter lim="800000"/>
                      <a:headEnd/>
                      <a:tailEnd/>
                    </a:ln>
                  </pic:spPr>
                </pic:pic>
              </a:graphicData>
            </a:graphic>
          </wp:inline>
        </w:drawing>
      </w:r>
      <w:r w:rsidRPr="005F6605">
        <w:t xml:space="preserve"> </w:t>
      </w:r>
      <w:r>
        <w:rPr>
          <w:noProof/>
        </w:rPr>
        <w:drawing>
          <wp:inline distT="0" distB="0" distL="0" distR="0" wp14:anchorId="44D76588" wp14:editId="165EE0B6">
            <wp:extent cx="4228957" cy="2984361"/>
            <wp:effectExtent l="19050" t="0" r="143"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4231395" cy="2986082"/>
                    </a:xfrm>
                    <a:prstGeom prst="rect">
                      <a:avLst/>
                    </a:prstGeom>
                    <a:noFill/>
                    <a:ln w="9525">
                      <a:noFill/>
                      <a:miter lim="800000"/>
                      <a:headEnd/>
                      <a:tailEnd/>
                    </a:ln>
                  </pic:spPr>
                </pic:pic>
              </a:graphicData>
            </a:graphic>
          </wp:inline>
        </w:drawing>
      </w:r>
    </w:p>
    <w:p w:rsidR="007008E4" w:rsidRDefault="007008E4" w:rsidP="007008E4">
      <w:r>
        <w:t>Terra-Firma Pit lid retrofit</w:t>
      </w:r>
    </w:p>
    <w:p w:rsidR="007008E4" w:rsidRDefault="007008E4" w:rsidP="007008E4">
      <w:r>
        <w:rPr>
          <w:noProof/>
        </w:rPr>
        <w:lastRenderedPageBreak/>
        <w:drawing>
          <wp:inline distT="0" distB="0" distL="0" distR="0" wp14:anchorId="50DF5279" wp14:editId="226BDA2E">
            <wp:extent cx="4012162" cy="2199687"/>
            <wp:effectExtent l="19050" t="0" r="7388" b="0"/>
            <wp:docPr id="182" name="Picture 182" descr="http://www.grating.com.au/wp-content/gallery/frp-ecolites/cgi_frp-open90-green-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rating.com.au/wp-content/gallery/frp-ecolites/cgi_frp-open90-green-4545.jpg"/>
                    <pic:cNvPicPr>
                      <a:picLocks noChangeAspect="1" noChangeArrowheads="1"/>
                    </pic:cNvPicPr>
                  </pic:nvPicPr>
                  <pic:blipFill>
                    <a:blip r:embed="rId17" cstate="print"/>
                    <a:srcRect/>
                    <a:stretch>
                      <a:fillRect/>
                    </a:stretch>
                  </pic:blipFill>
                  <pic:spPr bwMode="auto">
                    <a:xfrm>
                      <a:off x="0" y="0"/>
                      <a:ext cx="4009664" cy="2198318"/>
                    </a:xfrm>
                    <a:prstGeom prst="rect">
                      <a:avLst/>
                    </a:prstGeom>
                    <a:noFill/>
                    <a:ln w="9525">
                      <a:noFill/>
                      <a:miter lim="800000"/>
                      <a:headEnd/>
                      <a:tailEnd/>
                    </a:ln>
                  </pic:spPr>
                </pic:pic>
              </a:graphicData>
            </a:graphic>
          </wp:inline>
        </w:drawing>
      </w:r>
      <w:r w:rsidRPr="002016CE">
        <w:t xml:space="preserve"> </w:t>
      </w:r>
      <w:r>
        <w:rPr>
          <w:noProof/>
        </w:rPr>
        <w:drawing>
          <wp:inline distT="0" distB="0" distL="0" distR="0" wp14:anchorId="1E9DD19B" wp14:editId="277EF84F">
            <wp:extent cx="4013402" cy="2264670"/>
            <wp:effectExtent l="19050" t="0" r="6148" b="0"/>
            <wp:docPr id="183" name="Picture 183" descr="http://www.grating.com.au/wp-content/gallery/frp-ecolites/frp-open180-green-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rating.com.au/wp-content/gallery/frp-ecolites/frp-open180-green-4545.jpg"/>
                    <pic:cNvPicPr>
                      <a:picLocks noChangeAspect="1" noChangeArrowheads="1"/>
                    </pic:cNvPicPr>
                  </pic:nvPicPr>
                  <pic:blipFill>
                    <a:blip r:embed="rId18" cstate="print"/>
                    <a:srcRect/>
                    <a:stretch>
                      <a:fillRect/>
                    </a:stretch>
                  </pic:blipFill>
                  <pic:spPr bwMode="auto">
                    <a:xfrm>
                      <a:off x="0" y="0"/>
                      <a:ext cx="4011107" cy="2263375"/>
                    </a:xfrm>
                    <a:prstGeom prst="rect">
                      <a:avLst/>
                    </a:prstGeom>
                    <a:noFill/>
                    <a:ln w="9525">
                      <a:noFill/>
                      <a:miter lim="800000"/>
                      <a:headEnd/>
                      <a:tailEnd/>
                    </a:ln>
                  </pic:spPr>
                </pic:pic>
              </a:graphicData>
            </a:graphic>
          </wp:inline>
        </w:drawing>
      </w:r>
      <w:r w:rsidRPr="002016CE">
        <w:t xml:space="preserve"> </w:t>
      </w:r>
      <w:r>
        <w:rPr>
          <w:noProof/>
        </w:rPr>
        <w:drawing>
          <wp:inline distT="0" distB="0" distL="0" distR="0" wp14:anchorId="4D08AFBD" wp14:editId="614AB29C">
            <wp:extent cx="4043470" cy="2582427"/>
            <wp:effectExtent l="19050" t="0" r="0" b="0"/>
            <wp:docPr id="184" name="Picture 184" descr="http://www.grating.com.au/wp-content/gallery/frp-ecolites/im_frp-green-906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rating.com.au/wp-content/gallery/frp-ecolites/im_frp-green-9060j.jpg"/>
                    <pic:cNvPicPr>
                      <a:picLocks noChangeAspect="1" noChangeArrowheads="1"/>
                    </pic:cNvPicPr>
                  </pic:nvPicPr>
                  <pic:blipFill>
                    <a:blip r:embed="rId19" cstate="print"/>
                    <a:srcRect/>
                    <a:stretch>
                      <a:fillRect/>
                    </a:stretch>
                  </pic:blipFill>
                  <pic:spPr bwMode="auto">
                    <a:xfrm>
                      <a:off x="0" y="0"/>
                      <a:ext cx="4044809" cy="2583282"/>
                    </a:xfrm>
                    <a:prstGeom prst="rect">
                      <a:avLst/>
                    </a:prstGeom>
                    <a:noFill/>
                    <a:ln w="9525">
                      <a:noFill/>
                      <a:miter lim="800000"/>
                      <a:headEnd/>
                      <a:tailEnd/>
                    </a:ln>
                  </pic:spPr>
                </pic:pic>
              </a:graphicData>
            </a:graphic>
          </wp:inline>
        </w:drawing>
      </w:r>
    </w:p>
    <w:p w:rsidR="007008E4" w:rsidRDefault="007008E4" w:rsidP="00B5034D">
      <w:pPr>
        <w:rPr>
          <w:rFonts w:cs="Arial"/>
          <w:b/>
          <w:bCs/>
          <w:color w:val="1F497D" w:themeColor="text2"/>
          <w:u w:val="single"/>
        </w:rPr>
        <w:sectPr w:rsidR="007008E4" w:rsidSect="00E468A1">
          <w:headerReference w:type="default" r:id="rId20"/>
          <w:footerReference w:type="default" r:id="rId21"/>
          <w:headerReference w:type="first" r:id="rId22"/>
          <w:footerReference w:type="first" r:id="rId23"/>
          <w:pgSz w:w="11906" w:h="16838"/>
          <w:pgMar w:top="2127" w:right="1469" w:bottom="902" w:left="1440" w:header="0" w:footer="1077" w:gutter="0"/>
          <w:cols w:space="708"/>
          <w:docGrid w:linePitch="360"/>
        </w:sectPr>
      </w:pPr>
      <w:r>
        <w:t>R&amp;S Grating hinged pit lid in frame</w:t>
      </w:r>
    </w:p>
    <w:p w:rsidR="007008E4" w:rsidRDefault="007008E4" w:rsidP="00B5034D">
      <w:pPr>
        <w:tabs>
          <w:tab w:val="left" w:pos="2835"/>
        </w:tabs>
        <w:rPr>
          <w:rFonts w:cs="Arial"/>
        </w:rPr>
        <w:sectPr w:rsidR="007008E4" w:rsidSect="007008E4">
          <w:type w:val="continuous"/>
          <w:pgSz w:w="11906" w:h="16838"/>
          <w:pgMar w:top="1701" w:right="1469" w:bottom="902" w:left="1440" w:header="0" w:footer="1077" w:gutter="0"/>
          <w:cols w:space="708"/>
          <w:titlePg/>
          <w:docGrid w:linePitch="360"/>
        </w:sectPr>
      </w:pPr>
    </w:p>
    <w:p w:rsidR="00E468A1" w:rsidRDefault="00E468A1">
      <w:pPr>
        <w:rPr>
          <w:rFonts w:cs="Arial"/>
          <w:noProof/>
        </w:rPr>
      </w:pPr>
    </w:p>
    <w:p w:rsidR="000B6495" w:rsidRPr="007008E4" w:rsidRDefault="000B6495" w:rsidP="007008E4">
      <w:pPr>
        <w:rPr>
          <w:b/>
          <w:bCs/>
          <w:color w:val="4F81BD" w:themeColor="accent1"/>
        </w:rPr>
        <w:sectPr w:rsidR="000B6495" w:rsidRPr="007008E4" w:rsidSect="00E468A1">
          <w:headerReference w:type="first" r:id="rId24"/>
          <w:type w:val="continuous"/>
          <w:pgSz w:w="11906" w:h="16838"/>
          <w:pgMar w:top="2127" w:right="1469" w:bottom="902" w:left="1440" w:header="0" w:footer="1077" w:gutter="0"/>
          <w:cols w:num="2" w:space="317"/>
          <w:docGrid w:linePitch="360"/>
        </w:sectPr>
      </w:pPr>
      <w:bookmarkStart w:id="1" w:name="_Ref416269545"/>
    </w:p>
    <w:bookmarkEnd w:id="1"/>
    <w:p w:rsidR="00B5034D" w:rsidRDefault="00B5034D" w:rsidP="00A61487">
      <w:pPr>
        <w:rPr>
          <w:rFonts w:cs="Arial"/>
        </w:rPr>
      </w:pPr>
    </w:p>
    <w:sectPr w:rsidR="00B5034D" w:rsidSect="00A61487">
      <w:type w:val="continuous"/>
      <w:pgSz w:w="11906" w:h="16838"/>
      <w:pgMar w:top="1701" w:right="1469" w:bottom="902" w:left="1440" w:header="0" w:footer="1077" w:gutter="0"/>
      <w:cols w:space="31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3DB" w:rsidRDefault="001173DB" w:rsidP="00EC1220">
      <w:r>
        <w:separator/>
      </w:r>
    </w:p>
  </w:endnote>
  <w:endnote w:type="continuationSeparator" w:id="0">
    <w:p w:rsidR="001173DB" w:rsidRDefault="001173DB" w:rsidP="00EC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3DB" w:rsidRDefault="001173DB">
    <w:pPr>
      <w:pStyle w:val="Footer"/>
    </w:pPr>
    <w:r w:rsidRPr="002B524A">
      <w:rPr>
        <w:noProof/>
      </w:rPr>
      <w:drawing>
        <wp:anchor distT="0" distB="0" distL="114300" distR="114300" simplePos="0" relativeHeight="251661824" behindDoc="0" locked="0" layoutInCell="1" allowOverlap="1" wp14:anchorId="3538ACD3" wp14:editId="5A4AF4B7">
          <wp:simplePos x="0" y="0"/>
          <wp:positionH relativeFrom="column">
            <wp:posOffset>-300355</wp:posOffset>
          </wp:positionH>
          <wp:positionV relativeFrom="paragraph">
            <wp:posOffset>-107950</wp:posOffset>
          </wp:positionV>
          <wp:extent cx="6506210" cy="779780"/>
          <wp:effectExtent l="19050" t="0" r="8890" b="0"/>
          <wp:wrapTopAndBottom/>
          <wp:docPr id="189" name="Picture 3" descr="CoGG-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footer.jpg"/>
                  <pic:cNvPicPr/>
                </pic:nvPicPr>
                <pic:blipFill>
                  <a:blip r:embed="rId1"/>
                  <a:stretch>
                    <a:fillRect/>
                  </a:stretch>
                </pic:blipFill>
                <pic:spPr>
                  <a:xfrm>
                    <a:off x="0" y="0"/>
                    <a:ext cx="6506210" cy="77978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3DB" w:rsidRDefault="001173DB">
    <w:pPr>
      <w:pStyle w:val="Footer"/>
    </w:pPr>
    <w:r>
      <w:rPr>
        <w:noProof/>
      </w:rPr>
      <w:drawing>
        <wp:anchor distT="0" distB="0" distL="114300" distR="114300" simplePos="0" relativeHeight="251659776" behindDoc="0" locked="0" layoutInCell="1" allowOverlap="1" wp14:anchorId="1E6562AC" wp14:editId="328721AC">
          <wp:simplePos x="0" y="0"/>
          <wp:positionH relativeFrom="column">
            <wp:posOffset>-289560</wp:posOffset>
          </wp:positionH>
          <wp:positionV relativeFrom="paragraph">
            <wp:posOffset>-86360</wp:posOffset>
          </wp:positionV>
          <wp:extent cx="6506210" cy="779780"/>
          <wp:effectExtent l="19050" t="0" r="8890" b="0"/>
          <wp:wrapTopAndBottom/>
          <wp:docPr id="190" name="Picture 3" descr="CoGG-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footer.jpg"/>
                  <pic:cNvPicPr/>
                </pic:nvPicPr>
                <pic:blipFill>
                  <a:blip r:embed="rId1"/>
                  <a:stretch>
                    <a:fillRect/>
                  </a:stretch>
                </pic:blipFill>
                <pic:spPr>
                  <a:xfrm>
                    <a:off x="0" y="0"/>
                    <a:ext cx="6506210" cy="7797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3DB" w:rsidRDefault="001173DB" w:rsidP="00EC1220">
      <w:r>
        <w:separator/>
      </w:r>
    </w:p>
  </w:footnote>
  <w:footnote w:type="continuationSeparator" w:id="0">
    <w:p w:rsidR="001173DB" w:rsidRDefault="001173DB" w:rsidP="00EC1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3DB" w:rsidRDefault="001173DB" w:rsidP="006A7D15">
    <w:pPr>
      <w:pStyle w:val="Header"/>
    </w:pPr>
    <w:r>
      <w:rPr>
        <w:noProof/>
      </w:rPr>
      <w:drawing>
        <wp:anchor distT="0" distB="0" distL="114300" distR="114300" simplePos="0" relativeHeight="251656703" behindDoc="1" locked="0" layoutInCell="1" allowOverlap="1" wp14:anchorId="1FE1CA86" wp14:editId="342327AF">
          <wp:simplePos x="0" y="0"/>
          <wp:positionH relativeFrom="column">
            <wp:posOffset>-914400</wp:posOffset>
          </wp:positionH>
          <wp:positionV relativeFrom="paragraph">
            <wp:posOffset>0</wp:posOffset>
          </wp:positionV>
          <wp:extent cx="7560945" cy="1209675"/>
          <wp:effectExtent l="19050" t="0" r="1905" b="0"/>
          <wp:wrapNone/>
          <wp:docPr id="188"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rcRect b="88701"/>
                  <a:stretch>
                    <a:fillRect/>
                  </a:stretch>
                </pic:blipFill>
                <pic:spPr>
                  <a:xfrm>
                    <a:off x="0" y="0"/>
                    <a:ext cx="7560945" cy="1209675"/>
                  </a:xfrm>
                  <a:prstGeom prst="rect">
                    <a:avLst/>
                  </a:prstGeom>
                </pic:spPr>
              </pic:pic>
            </a:graphicData>
          </a:graphic>
        </wp:anchor>
      </w:drawing>
    </w:r>
    <w:r w:rsidR="00077985">
      <w:rPr>
        <w:noProof/>
      </w:rPr>
      <mc:AlternateContent>
        <mc:Choice Requires="wps">
          <w:drawing>
            <wp:anchor distT="0" distB="0" distL="114300" distR="114300" simplePos="0" relativeHeight="251655678" behindDoc="0" locked="0" layoutInCell="1" allowOverlap="1" wp14:anchorId="43B63679" wp14:editId="405487E3">
              <wp:simplePos x="0" y="0"/>
              <wp:positionH relativeFrom="column">
                <wp:posOffset>2548890</wp:posOffset>
              </wp:positionH>
              <wp:positionV relativeFrom="paragraph">
                <wp:posOffset>266065</wp:posOffset>
              </wp:positionV>
              <wp:extent cx="3390900" cy="693420"/>
              <wp:effectExtent l="0" t="0" r="3810" b="254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3DB" w:rsidRPr="007D6D8A" w:rsidRDefault="001173DB" w:rsidP="006A7D15">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rsidR="001173DB" w:rsidRPr="007D6D8A" w:rsidRDefault="001173DB" w:rsidP="006A7D15">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63679" id="_x0000_t202" coordsize="21600,21600" o:spt="202" path="m,l,21600r21600,l21600,xe">
              <v:stroke joinstyle="miter"/>
              <v:path gradientshapeok="t" o:connecttype="rect"/>
            </v:shapetype>
            <v:shape id="Text Box 1" o:spid="_x0000_s1026" type="#_x0000_t202" style="position:absolute;margin-left:200.7pt;margin-top:20.95pt;width:267pt;height:54.6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aIuQIAAME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" filled="f" stroked="f">
              <v:textbox>
                <w:txbxContent>
                  <w:p w:rsidR="001173DB" w:rsidRPr="007D6D8A" w:rsidRDefault="001173DB" w:rsidP="006A7D15">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rsidR="001173DB" w:rsidRPr="007D6D8A" w:rsidRDefault="001173DB" w:rsidP="006A7D15">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mc:Fallback>
      </mc:AlternateContent>
    </w:r>
    <w:r w:rsidRPr="00B1789A">
      <w:rPr>
        <w:rFonts w:cs="Arial"/>
        <w:noProof/>
      </w:rPr>
      <w:t xml:space="preserve"> </w:t>
    </w:r>
  </w:p>
  <w:p w:rsidR="001173DB" w:rsidRPr="006A7D15" w:rsidRDefault="007008E4" w:rsidP="006A7D15">
    <w:pPr>
      <w:pStyle w:val="Header"/>
    </w:pPr>
    <w:r>
      <w:rPr>
        <w:noProof/>
      </w:rPr>
      <mc:AlternateContent>
        <mc:Choice Requires="wps">
          <w:drawing>
            <wp:anchor distT="0" distB="0" distL="114300" distR="114300" simplePos="0" relativeHeight="251666944" behindDoc="0" locked="0" layoutInCell="1" allowOverlap="1" wp14:anchorId="49CFB039" wp14:editId="3FA86841">
              <wp:simplePos x="0" y="0"/>
              <wp:positionH relativeFrom="column">
                <wp:posOffset>3829050</wp:posOffset>
              </wp:positionH>
              <wp:positionV relativeFrom="paragraph">
                <wp:posOffset>668020</wp:posOffset>
              </wp:positionV>
              <wp:extent cx="2120265" cy="295275"/>
              <wp:effectExtent l="0" t="0" r="0" b="9525"/>
              <wp:wrapTopAndBottom/>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3DB" w:rsidRPr="00A94B18" w:rsidRDefault="001173DB" w:rsidP="006A7D15">
                          <w:pPr>
                            <w:jc w:val="right"/>
                            <w:rPr>
                              <w:b/>
                              <w:color w:val="FFFFFF" w:themeColor="background1"/>
                              <w:sz w:val="24"/>
                            </w:rPr>
                          </w:pPr>
                          <w:r w:rsidRPr="00A94B18">
                            <w:rPr>
                              <w:b/>
                              <w:color w:val="FFFFFF" w:themeColor="background1"/>
                              <w:sz w:val="24"/>
                            </w:rPr>
                            <w:t xml:space="preserve">No </w:t>
                          </w:r>
                          <w:r w:rsidR="007008E4">
                            <w:rPr>
                              <w:b/>
                              <w:color w:val="FFFFFF" w:themeColor="background1"/>
                              <w:sz w:val="24"/>
                            </w:rPr>
                            <w:t>13</w:t>
                          </w:r>
                          <w:r w:rsidRPr="00A94B18">
                            <w:rPr>
                              <w:b/>
                              <w:color w:val="FFFFFF" w:themeColor="background1"/>
                              <w:sz w:val="24"/>
                            </w:rPr>
                            <w:t xml:space="preserve">   </w:t>
                          </w:r>
                          <w:r>
                            <w:rPr>
                              <w:b/>
                              <w:color w:val="FFFFFF" w:themeColor="background1"/>
                              <w:sz w:val="24"/>
                            </w:rPr>
                            <w:t xml:space="preserve">-  </w:t>
                          </w:r>
                          <w:r w:rsidRPr="00A94B18">
                            <w:rPr>
                              <w:b/>
                              <w:color w:val="FFFFFF" w:themeColor="background1"/>
                              <w:sz w:val="24"/>
                            </w:rPr>
                            <w:t xml:space="preserve"> </w:t>
                          </w:r>
                          <w:r w:rsidR="007008E4">
                            <w:rPr>
                              <w:b/>
                              <w:color w:val="FFFFFF" w:themeColor="background1"/>
                              <w:sz w:val="24"/>
                            </w:rPr>
                            <w:t>September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FB039" id="Text Box 4" o:spid="_x0000_s1027" type="#_x0000_t202" style="position:absolute;margin-left:301.5pt;margin-top:52.6pt;width:166.9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kItAIAALo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" filled="f" stroked="f">
              <v:textbox>
                <w:txbxContent>
                  <w:p w:rsidR="001173DB" w:rsidRPr="00A94B18" w:rsidRDefault="001173DB" w:rsidP="006A7D15">
                    <w:pPr>
                      <w:jc w:val="right"/>
                      <w:rPr>
                        <w:b/>
                        <w:color w:val="FFFFFF" w:themeColor="background1"/>
                        <w:sz w:val="24"/>
                      </w:rPr>
                    </w:pPr>
                    <w:r w:rsidRPr="00A94B18">
                      <w:rPr>
                        <w:b/>
                        <w:color w:val="FFFFFF" w:themeColor="background1"/>
                        <w:sz w:val="24"/>
                      </w:rPr>
                      <w:t xml:space="preserve">No </w:t>
                    </w:r>
                    <w:r w:rsidR="007008E4">
                      <w:rPr>
                        <w:b/>
                        <w:color w:val="FFFFFF" w:themeColor="background1"/>
                        <w:sz w:val="24"/>
                      </w:rPr>
                      <w:t>13</w:t>
                    </w:r>
                    <w:r w:rsidRPr="00A94B18">
                      <w:rPr>
                        <w:b/>
                        <w:color w:val="FFFFFF" w:themeColor="background1"/>
                        <w:sz w:val="24"/>
                      </w:rPr>
                      <w:t xml:space="preserve">   </w:t>
                    </w:r>
                    <w:r>
                      <w:rPr>
                        <w:b/>
                        <w:color w:val="FFFFFF" w:themeColor="background1"/>
                        <w:sz w:val="24"/>
                      </w:rPr>
                      <w:t xml:space="preserve">-  </w:t>
                    </w:r>
                    <w:r w:rsidRPr="00A94B18">
                      <w:rPr>
                        <w:b/>
                        <w:color w:val="FFFFFF" w:themeColor="background1"/>
                        <w:sz w:val="24"/>
                      </w:rPr>
                      <w:t xml:space="preserve"> </w:t>
                    </w:r>
                    <w:r w:rsidR="007008E4">
                      <w:rPr>
                        <w:b/>
                        <w:color w:val="FFFFFF" w:themeColor="background1"/>
                        <w:sz w:val="24"/>
                      </w:rPr>
                      <w:t>September 2017</w:t>
                    </w:r>
                  </w:p>
                </w:txbxContent>
              </v:textbox>
              <w10:wrap type="topAndBottom"/>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3DB" w:rsidRDefault="00077985">
    <w:pPr>
      <w:pStyle w:val="Header"/>
    </w:pPr>
    <w:r>
      <w:rPr>
        <w:noProof/>
      </w:rPr>
      <mc:AlternateContent>
        <mc:Choice Requires="wps">
          <w:drawing>
            <wp:anchor distT="0" distB="0" distL="114300" distR="114300" simplePos="0" relativeHeight="251657728" behindDoc="0" locked="0" layoutInCell="1" allowOverlap="1" wp14:anchorId="089AF710" wp14:editId="3C04C77A">
              <wp:simplePos x="0" y="0"/>
              <wp:positionH relativeFrom="column">
                <wp:posOffset>2548890</wp:posOffset>
              </wp:positionH>
              <wp:positionV relativeFrom="paragraph">
                <wp:posOffset>266065</wp:posOffset>
              </wp:positionV>
              <wp:extent cx="3390900" cy="693420"/>
              <wp:effectExtent l="0" t="0" r="381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AF710" id="_x0000_t202" coordsize="21600,21600" o:spt="202" path="m,l,21600r21600,l21600,xe">
              <v:stroke joinstyle="miter"/>
              <v:path gradientshapeok="t" o:connecttype="rect"/>
            </v:shapetype>
            <v:shape id="Text Box 2" o:spid="_x0000_s1028" type="#_x0000_t202" style="position:absolute;margin-left:200.7pt;margin-top:20.95pt;width:267pt;height:5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V3ug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" filled="f" stroked="f">
              <v:textbox>
                <w:txbxContent>
                  <w:p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mc:Fallback>
      </mc:AlternateContent>
    </w:r>
    <w:r w:rsidR="001173DB" w:rsidRPr="00B1789A">
      <w:rPr>
        <w:rFonts w:cs="Arial"/>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3DB" w:rsidRDefault="00077985">
    <w:pPr>
      <w:pStyle w:val="Header"/>
    </w:pPr>
    <w:r>
      <w:rPr>
        <w:noProof/>
      </w:rPr>
      <mc:AlternateContent>
        <mc:Choice Requires="wps">
          <w:drawing>
            <wp:anchor distT="0" distB="0" distL="114300" distR="114300" simplePos="0" relativeHeight="251664896" behindDoc="0" locked="0" layoutInCell="1" allowOverlap="1" wp14:anchorId="7AE2C8B4" wp14:editId="693AA45D">
              <wp:simplePos x="0" y="0"/>
              <wp:positionH relativeFrom="column">
                <wp:posOffset>2548890</wp:posOffset>
              </wp:positionH>
              <wp:positionV relativeFrom="paragraph">
                <wp:posOffset>266065</wp:posOffset>
              </wp:positionV>
              <wp:extent cx="3390900" cy="693420"/>
              <wp:effectExtent l="0" t="0" r="3810" b="254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2C8B4" id="_x0000_t202" coordsize="21600,21600" o:spt="202" path="m,l,21600r21600,l21600,xe">
              <v:stroke joinstyle="miter"/>
              <v:path gradientshapeok="t" o:connecttype="rect"/>
            </v:shapetype>
            <v:shape id="Text Box 3" o:spid="_x0000_s1029" type="#_x0000_t202" style="position:absolute;margin-left:200.7pt;margin-top:20.95pt;width:267pt;height:5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" filled="f" stroked="f">
              <v:textbox>
                <w:txbxContent>
                  <w:p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mc:Fallback>
      </mc:AlternateContent>
    </w:r>
    <w:r w:rsidR="001173DB" w:rsidRPr="00B1789A">
      <w:rPr>
        <w:rFonts w:cs="Arial"/>
        <w:noProof/>
      </w:rPr>
      <w:t xml:space="preserve"> </w:t>
    </w:r>
    <w:r w:rsidR="001173DB">
      <w:rPr>
        <w:noProof/>
      </w:rPr>
      <w:drawing>
        <wp:anchor distT="0" distB="0" distL="114300" distR="114300" simplePos="0" relativeHeight="251665920" behindDoc="1" locked="0" layoutInCell="1" allowOverlap="1" wp14:anchorId="09C0711C" wp14:editId="36BFF32C">
          <wp:simplePos x="0" y="0"/>
          <wp:positionH relativeFrom="column">
            <wp:posOffset>-916305</wp:posOffset>
          </wp:positionH>
          <wp:positionV relativeFrom="paragraph">
            <wp:posOffset>0</wp:posOffset>
          </wp:positionV>
          <wp:extent cx="7560945" cy="10706735"/>
          <wp:effectExtent l="19050" t="0" r="1905" b="0"/>
          <wp:wrapNone/>
          <wp:docPr id="166"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60945" cy="107067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414"/>
    <w:multiLevelType w:val="hybridMultilevel"/>
    <w:tmpl w:val="F25AFB72"/>
    <w:lvl w:ilvl="0" w:tplc="13A63AB0">
      <w:numFmt w:val="bullet"/>
      <w:lvlText w:val="-"/>
      <w:lvlJc w:val="left"/>
      <w:pPr>
        <w:ind w:left="1080" w:hanging="360"/>
      </w:pPr>
      <w:rPr>
        <w:rFonts w:ascii="Calibri" w:eastAsia="Calibri" w:hAnsi="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nsid w:val="02CA2FAD"/>
    <w:multiLevelType w:val="hybridMultilevel"/>
    <w:tmpl w:val="7FF0C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FE69B8"/>
    <w:multiLevelType w:val="hybridMultilevel"/>
    <w:tmpl w:val="1EE6C1BA"/>
    <w:lvl w:ilvl="0" w:tplc="04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567"/>
        </w:tabs>
        <w:ind w:left="567" w:hanging="360"/>
      </w:pPr>
      <w:rPr>
        <w:rFonts w:ascii="Courier New" w:hAnsi="Courier New" w:cs="Courier New" w:hint="default"/>
      </w:rPr>
    </w:lvl>
    <w:lvl w:ilvl="2" w:tplc="0C090005" w:tentative="1">
      <w:start w:val="1"/>
      <w:numFmt w:val="bullet"/>
      <w:lvlText w:val=""/>
      <w:lvlJc w:val="left"/>
      <w:pPr>
        <w:tabs>
          <w:tab w:val="num" w:pos="1287"/>
        </w:tabs>
        <w:ind w:left="1287" w:hanging="360"/>
      </w:pPr>
      <w:rPr>
        <w:rFonts w:ascii="Wingdings" w:hAnsi="Wingdings" w:hint="default"/>
      </w:rPr>
    </w:lvl>
    <w:lvl w:ilvl="3" w:tplc="0C090001" w:tentative="1">
      <w:start w:val="1"/>
      <w:numFmt w:val="bullet"/>
      <w:lvlText w:val=""/>
      <w:lvlJc w:val="left"/>
      <w:pPr>
        <w:tabs>
          <w:tab w:val="num" w:pos="2007"/>
        </w:tabs>
        <w:ind w:left="2007" w:hanging="360"/>
      </w:pPr>
      <w:rPr>
        <w:rFonts w:ascii="Symbol" w:hAnsi="Symbol" w:hint="default"/>
      </w:rPr>
    </w:lvl>
    <w:lvl w:ilvl="4" w:tplc="0C090003" w:tentative="1">
      <w:start w:val="1"/>
      <w:numFmt w:val="bullet"/>
      <w:lvlText w:val="o"/>
      <w:lvlJc w:val="left"/>
      <w:pPr>
        <w:tabs>
          <w:tab w:val="num" w:pos="2727"/>
        </w:tabs>
        <w:ind w:left="2727" w:hanging="360"/>
      </w:pPr>
      <w:rPr>
        <w:rFonts w:ascii="Courier New" w:hAnsi="Courier New" w:cs="Courier New" w:hint="default"/>
      </w:rPr>
    </w:lvl>
    <w:lvl w:ilvl="5" w:tplc="0C090005" w:tentative="1">
      <w:start w:val="1"/>
      <w:numFmt w:val="bullet"/>
      <w:lvlText w:val=""/>
      <w:lvlJc w:val="left"/>
      <w:pPr>
        <w:tabs>
          <w:tab w:val="num" w:pos="3447"/>
        </w:tabs>
        <w:ind w:left="3447" w:hanging="360"/>
      </w:pPr>
      <w:rPr>
        <w:rFonts w:ascii="Wingdings" w:hAnsi="Wingdings" w:hint="default"/>
      </w:rPr>
    </w:lvl>
    <w:lvl w:ilvl="6" w:tplc="0C090001" w:tentative="1">
      <w:start w:val="1"/>
      <w:numFmt w:val="bullet"/>
      <w:lvlText w:val=""/>
      <w:lvlJc w:val="left"/>
      <w:pPr>
        <w:tabs>
          <w:tab w:val="num" w:pos="4167"/>
        </w:tabs>
        <w:ind w:left="4167" w:hanging="360"/>
      </w:pPr>
      <w:rPr>
        <w:rFonts w:ascii="Symbol" w:hAnsi="Symbol" w:hint="default"/>
      </w:rPr>
    </w:lvl>
    <w:lvl w:ilvl="7" w:tplc="0C090003" w:tentative="1">
      <w:start w:val="1"/>
      <w:numFmt w:val="bullet"/>
      <w:lvlText w:val="o"/>
      <w:lvlJc w:val="left"/>
      <w:pPr>
        <w:tabs>
          <w:tab w:val="num" w:pos="4887"/>
        </w:tabs>
        <w:ind w:left="4887" w:hanging="360"/>
      </w:pPr>
      <w:rPr>
        <w:rFonts w:ascii="Courier New" w:hAnsi="Courier New" w:cs="Courier New" w:hint="default"/>
      </w:rPr>
    </w:lvl>
    <w:lvl w:ilvl="8" w:tplc="0C090005" w:tentative="1">
      <w:start w:val="1"/>
      <w:numFmt w:val="bullet"/>
      <w:lvlText w:val=""/>
      <w:lvlJc w:val="left"/>
      <w:pPr>
        <w:tabs>
          <w:tab w:val="num" w:pos="5607"/>
        </w:tabs>
        <w:ind w:left="5607" w:hanging="360"/>
      </w:pPr>
      <w:rPr>
        <w:rFonts w:ascii="Wingdings" w:hAnsi="Wingdings" w:hint="default"/>
      </w:rPr>
    </w:lvl>
  </w:abstractNum>
  <w:abstractNum w:abstractNumId="3">
    <w:nsid w:val="08990242"/>
    <w:multiLevelType w:val="multilevel"/>
    <w:tmpl w:val="23EC844E"/>
    <w:lvl w:ilvl="0">
      <w:start w:val="1"/>
      <w:numFmt w:val="decimal"/>
      <w:pStyle w:val="NumberedPara"/>
      <w:lvlText w:val="%1."/>
      <w:lvlJc w:val="left"/>
      <w:pPr>
        <w:tabs>
          <w:tab w:val="num" w:pos="397"/>
        </w:tabs>
        <w:ind w:left="397" w:hanging="397"/>
      </w:pPr>
      <w:rPr>
        <w:b/>
        <w:i w:val="0"/>
      </w:rPr>
    </w:lvl>
    <w:lvl w:ilvl="1">
      <w:start w:val="1"/>
      <w:numFmt w:val="decimal"/>
      <w:pStyle w:val="NumberedPara1"/>
      <w:lvlText w:val="%1.%2"/>
      <w:lvlJc w:val="left"/>
      <w:pPr>
        <w:tabs>
          <w:tab w:val="num" w:pos="851"/>
        </w:tabs>
        <w:ind w:left="851" w:hanging="624"/>
      </w:pPr>
      <w:rPr>
        <w:b/>
        <w:i w:val="0"/>
      </w:rPr>
    </w:lvl>
    <w:lvl w:ilvl="2">
      <w:start w:val="1"/>
      <w:numFmt w:val="decimal"/>
      <w:pStyle w:val="NumberedPara2"/>
      <w:lvlText w:val="%1.%2.%3"/>
      <w:lvlJc w:val="left"/>
      <w:pPr>
        <w:tabs>
          <w:tab w:val="num" w:pos="1534"/>
        </w:tabs>
        <w:ind w:left="1134" w:hanging="680"/>
      </w:pPr>
      <w:rPr>
        <w:b w:val="0"/>
        <w:i w:val="0"/>
      </w:rPr>
    </w:lvl>
    <w:lvl w:ilvl="3">
      <w:start w:val="1"/>
      <w:numFmt w:val="decimal"/>
      <w:pStyle w:val="NumberedPara3"/>
      <w:lvlText w:val="%1.%2.%3.%4"/>
      <w:lvlJc w:val="left"/>
      <w:pPr>
        <w:tabs>
          <w:tab w:val="num" w:pos="1871"/>
        </w:tabs>
        <w:ind w:left="1871" w:hanging="907"/>
      </w:pPr>
      <w:rPr>
        <w:rFonts w:ascii="Arial" w:hAnsi="Arial" w:hint="default"/>
        <w:b w:val="0"/>
        <w:i w:val="0"/>
        <w:sz w:val="24"/>
      </w:rPr>
    </w:lvl>
    <w:lvl w:ilvl="4">
      <w:start w:val="1"/>
      <w:numFmt w:val="decimal"/>
      <w:pStyle w:val="NumberedPara4"/>
      <w:lvlText w:val="%1.%2.%5.%3.%4"/>
      <w:lvlJc w:val="left"/>
      <w:pPr>
        <w:tabs>
          <w:tab w:val="num" w:pos="4309"/>
        </w:tabs>
        <w:ind w:left="4309" w:hanging="2835"/>
      </w:pPr>
    </w:lvl>
    <w:lvl w:ilvl="5">
      <w:start w:val="1"/>
      <w:numFmt w:val="decimal"/>
      <w:pStyle w:val="NumberedPara5"/>
      <w:lvlText w:val="%1.%2.%3.%4.%5.%6."/>
      <w:lvlJc w:val="left"/>
      <w:pPr>
        <w:tabs>
          <w:tab w:val="num" w:pos="5954"/>
        </w:tabs>
        <w:ind w:left="5954" w:hanging="334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A1D2DF9"/>
    <w:multiLevelType w:val="hybridMultilevel"/>
    <w:tmpl w:val="CFC2F8D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0B020209"/>
    <w:multiLevelType w:val="hybridMultilevel"/>
    <w:tmpl w:val="A6CC5572"/>
    <w:lvl w:ilvl="0" w:tplc="03621860">
      <w:start w:val="1"/>
      <w:numFmt w:val="bullet"/>
      <w:lvlText w:val=""/>
      <w:lvlJc w:val="left"/>
      <w:pPr>
        <w:tabs>
          <w:tab w:val="num" w:pos="540"/>
        </w:tabs>
        <w:ind w:left="540" w:hanging="360"/>
      </w:pPr>
      <w:rPr>
        <w:rFonts w:ascii="Symbol" w:hAnsi="Symbol" w:hint="default"/>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6">
    <w:nsid w:val="0C013CD6"/>
    <w:multiLevelType w:val="hybridMultilevel"/>
    <w:tmpl w:val="3DF8A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0930F5"/>
    <w:multiLevelType w:val="hybridMultilevel"/>
    <w:tmpl w:val="C06E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93177D"/>
    <w:multiLevelType w:val="hybridMultilevel"/>
    <w:tmpl w:val="B4AE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74486F"/>
    <w:multiLevelType w:val="hybridMultilevel"/>
    <w:tmpl w:val="0374D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D944FF3"/>
    <w:multiLevelType w:val="hybridMultilevel"/>
    <w:tmpl w:val="4F8C07FC"/>
    <w:lvl w:ilvl="0" w:tplc="C832D52E">
      <w:start w:val="1"/>
      <w:numFmt w:val="lowerLetter"/>
      <w:lvlText w:val="(%1)"/>
      <w:lvlJc w:val="left"/>
      <w:pPr>
        <w:ind w:left="644"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E0128B9"/>
    <w:multiLevelType w:val="hybridMultilevel"/>
    <w:tmpl w:val="E9B8D8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231385"/>
    <w:multiLevelType w:val="hybridMultilevel"/>
    <w:tmpl w:val="14A45F2E"/>
    <w:lvl w:ilvl="0" w:tplc="C832D52E">
      <w:start w:val="1"/>
      <w:numFmt w:val="lowerLetter"/>
      <w:lvlText w:val="(%1)"/>
      <w:lvlJc w:val="left"/>
      <w:pPr>
        <w:ind w:left="644"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31F6E8D"/>
    <w:multiLevelType w:val="hybridMultilevel"/>
    <w:tmpl w:val="B948B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072CB8"/>
    <w:multiLevelType w:val="hybridMultilevel"/>
    <w:tmpl w:val="8A3A5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4A2864"/>
    <w:multiLevelType w:val="hybridMultilevel"/>
    <w:tmpl w:val="72A81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3DB5E99"/>
    <w:multiLevelType w:val="hybridMultilevel"/>
    <w:tmpl w:val="C6B80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6737044"/>
    <w:multiLevelType w:val="multilevel"/>
    <w:tmpl w:val="496661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49300B45"/>
    <w:multiLevelType w:val="hybridMultilevel"/>
    <w:tmpl w:val="1382C4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4C7F62AD"/>
    <w:multiLevelType w:val="hybridMultilevel"/>
    <w:tmpl w:val="7F289004"/>
    <w:lvl w:ilvl="0" w:tplc="036218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15C4013"/>
    <w:multiLevelType w:val="hybridMultilevel"/>
    <w:tmpl w:val="CAACD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4A4938"/>
    <w:multiLevelType w:val="hybridMultilevel"/>
    <w:tmpl w:val="5FB04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B25481E"/>
    <w:multiLevelType w:val="multilevel"/>
    <w:tmpl w:val="0C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nsid w:val="6E97560F"/>
    <w:multiLevelType w:val="multilevel"/>
    <w:tmpl w:val="AB36CEB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nsid w:val="7001227D"/>
    <w:multiLevelType w:val="hybridMultilevel"/>
    <w:tmpl w:val="57E455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ED00C9"/>
    <w:multiLevelType w:val="hybridMultilevel"/>
    <w:tmpl w:val="4F8C07FC"/>
    <w:lvl w:ilvl="0" w:tplc="C832D52E">
      <w:start w:val="1"/>
      <w:numFmt w:val="lowerLetter"/>
      <w:lvlText w:val="(%1)"/>
      <w:lvlJc w:val="left"/>
      <w:pPr>
        <w:ind w:left="644"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AD33C6F"/>
    <w:multiLevelType w:val="multilevel"/>
    <w:tmpl w:val="50205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B165CD6"/>
    <w:multiLevelType w:val="hybridMultilevel"/>
    <w:tmpl w:val="8CD0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0"/>
  </w:num>
  <w:num w:numId="4">
    <w:abstractNumId w:val="0"/>
  </w:num>
  <w:num w:numId="5">
    <w:abstractNumId w:val="4"/>
  </w:num>
  <w:num w:numId="6">
    <w:abstractNumId w:val="17"/>
  </w:num>
  <w:num w:numId="7">
    <w:abstractNumId w:val="23"/>
  </w:num>
  <w:num w:numId="8">
    <w:abstractNumId w:val="2"/>
  </w:num>
  <w:num w:numId="9">
    <w:abstractNumId w:val="2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6"/>
  </w:num>
  <w:num w:numId="13">
    <w:abstractNumId w:val="20"/>
  </w:num>
  <w:num w:numId="14">
    <w:abstractNumId w:val="1"/>
  </w:num>
  <w:num w:numId="15">
    <w:abstractNumId w:val="11"/>
  </w:num>
  <w:num w:numId="16">
    <w:abstractNumId w:val="9"/>
  </w:num>
  <w:num w:numId="17">
    <w:abstractNumId w:val="21"/>
  </w:num>
  <w:num w:numId="18">
    <w:abstractNumId w:val="8"/>
  </w:num>
  <w:num w:numId="19">
    <w:abstractNumId w:val="3"/>
  </w:num>
  <w:num w:numId="20">
    <w:abstractNumId w:val="27"/>
  </w:num>
  <w:num w:numId="21">
    <w:abstractNumId w:val="13"/>
  </w:num>
  <w:num w:numId="22">
    <w:abstractNumId w:val="3"/>
  </w:num>
  <w:num w:numId="23">
    <w:abstractNumId w:val="3"/>
  </w:num>
  <w:num w:numId="24">
    <w:abstractNumId w:val="14"/>
  </w:num>
  <w:num w:numId="25">
    <w:abstractNumId w:val="7"/>
  </w:num>
  <w:num w:numId="26">
    <w:abstractNumId w:val="15"/>
  </w:num>
  <w:num w:numId="27">
    <w:abstractNumId w:val="12"/>
  </w:num>
  <w:num w:numId="28">
    <w:abstractNumId w:val="10"/>
  </w:num>
  <w:num w:numId="29">
    <w:abstractNumId w:val="25"/>
  </w:num>
  <w:num w:numId="30">
    <w:abstractNumId w:val="1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61" strokecolor="none [3212]">
      <v:stroke color="none [3212]" weight="2.25pt"/>
      <o:colormru v:ext="edit" colors="#ff37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C7E"/>
    <w:rsid w:val="00012D02"/>
    <w:rsid w:val="0001544E"/>
    <w:rsid w:val="00017AAF"/>
    <w:rsid w:val="00026913"/>
    <w:rsid w:val="00026FC5"/>
    <w:rsid w:val="0003236E"/>
    <w:rsid w:val="000414EE"/>
    <w:rsid w:val="00071DF3"/>
    <w:rsid w:val="0007765A"/>
    <w:rsid w:val="00077985"/>
    <w:rsid w:val="00093AB2"/>
    <w:rsid w:val="000A0574"/>
    <w:rsid w:val="000B6157"/>
    <w:rsid w:val="000B6495"/>
    <w:rsid w:val="000C1356"/>
    <w:rsid w:val="000D12D2"/>
    <w:rsid w:val="000D1A75"/>
    <w:rsid w:val="000E22D5"/>
    <w:rsid w:val="000E728D"/>
    <w:rsid w:val="000F38CF"/>
    <w:rsid w:val="001050E3"/>
    <w:rsid w:val="00106B5B"/>
    <w:rsid w:val="001173DB"/>
    <w:rsid w:val="00134AF2"/>
    <w:rsid w:val="001359D2"/>
    <w:rsid w:val="0013738B"/>
    <w:rsid w:val="00151ECC"/>
    <w:rsid w:val="001631AB"/>
    <w:rsid w:val="00164D1A"/>
    <w:rsid w:val="001703DC"/>
    <w:rsid w:val="001A2642"/>
    <w:rsid w:val="001A3BF0"/>
    <w:rsid w:val="001B5E34"/>
    <w:rsid w:val="001B75B5"/>
    <w:rsid w:val="001C35F2"/>
    <w:rsid w:val="001C76C3"/>
    <w:rsid w:val="001F3598"/>
    <w:rsid w:val="00203FFB"/>
    <w:rsid w:val="00222589"/>
    <w:rsid w:val="00227824"/>
    <w:rsid w:val="00245692"/>
    <w:rsid w:val="00245C74"/>
    <w:rsid w:val="00246767"/>
    <w:rsid w:val="00251574"/>
    <w:rsid w:val="00251953"/>
    <w:rsid w:val="00254A5C"/>
    <w:rsid w:val="002646D6"/>
    <w:rsid w:val="00266D69"/>
    <w:rsid w:val="0027042F"/>
    <w:rsid w:val="00282637"/>
    <w:rsid w:val="0029458A"/>
    <w:rsid w:val="002B1F55"/>
    <w:rsid w:val="002B4FAE"/>
    <w:rsid w:val="002B524A"/>
    <w:rsid w:val="002D0AD7"/>
    <w:rsid w:val="002D1C7E"/>
    <w:rsid w:val="002D6534"/>
    <w:rsid w:val="002E6349"/>
    <w:rsid w:val="002F68F6"/>
    <w:rsid w:val="0031402D"/>
    <w:rsid w:val="00326966"/>
    <w:rsid w:val="00345DB1"/>
    <w:rsid w:val="00350746"/>
    <w:rsid w:val="00350A25"/>
    <w:rsid w:val="00352C7F"/>
    <w:rsid w:val="003676F6"/>
    <w:rsid w:val="003717E1"/>
    <w:rsid w:val="00380E26"/>
    <w:rsid w:val="00384B7B"/>
    <w:rsid w:val="003A32AF"/>
    <w:rsid w:val="003C0E6E"/>
    <w:rsid w:val="003C324D"/>
    <w:rsid w:val="003D0F10"/>
    <w:rsid w:val="003E0C96"/>
    <w:rsid w:val="003F295C"/>
    <w:rsid w:val="003F543A"/>
    <w:rsid w:val="003F5DBC"/>
    <w:rsid w:val="00403B47"/>
    <w:rsid w:val="00411161"/>
    <w:rsid w:val="004235B2"/>
    <w:rsid w:val="0042558E"/>
    <w:rsid w:val="0042711A"/>
    <w:rsid w:val="0043396C"/>
    <w:rsid w:val="00461FCE"/>
    <w:rsid w:val="00473BDE"/>
    <w:rsid w:val="00476B94"/>
    <w:rsid w:val="004976D2"/>
    <w:rsid w:val="004B0779"/>
    <w:rsid w:val="004B45E6"/>
    <w:rsid w:val="004C459E"/>
    <w:rsid w:val="004C7D8B"/>
    <w:rsid w:val="004D5397"/>
    <w:rsid w:val="004E044B"/>
    <w:rsid w:val="004E1CEB"/>
    <w:rsid w:val="004E52E1"/>
    <w:rsid w:val="004F1992"/>
    <w:rsid w:val="004F7BED"/>
    <w:rsid w:val="0050129D"/>
    <w:rsid w:val="00501358"/>
    <w:rsid w:val="00507F71"/>
    <w:rsid w:val="00513ABB"/>
    <w:rsid w:val="0051528C"/>
    <w:rsid w:val="00517BCD"/>
    <w:rsid w:val="00550735"/>
    <w:rsid w:val="00570D2B"/>
    <w:rsid w:val="00582169"/>
    <w:rsid w:val="00591EE7"/>
    <w:rsid w:val="00592695"/>
    <w:rsid w:val="0059613F"/>
    <w:rsid w:val="005A34C2"/>
    <w:rsid w:val="005A5FB9"/>
    <w:rsid w:val="005A7CE1"/>
    <w:rsid w:val="005B2254"/>
    <w:rsid w:val="005C0980"/>
    <w:rsid w:val="005C27B7"/>
    <w:rsid w:val="005E0E92"/>
    <w:rsid w:val="005E34EA"/>
    <w:rsid w:val="005F1665"/>
    <w:rsid w:val="005F44AC"/>
    <w:rsid w:val="005F465C"/>
    <w:rsid w:val="0060067E"/>
    <w:rsid w:val="00603E11"/>
    <w:rsid w:val="0060450F"/>
    <w:rsid w:val="00623E43"/>
    <w:rsid w:val="00623E89"/>
    <w:rsid w:val="00630BB4"/>
    <w:rsid w:val="00634004"/>
    <w:rsid w:val="0066697D"/>
    <w:rsid w:val="00676C9C"/>
    <w:rsid w:val="0069150F"/>
    <w:rsid w:val="006A7D15"/>
    <w:rsid w:val="006B30D8"/>
    <w:rsid w:val="006D6098"/>
    <w:rsid w:val="006F08EF"/>
    <w:rsid w:val="007008E4"/>
    <w:rsid w:val="0070603F"/>
    <w:rsid w:val="0070650A"/>
    <w:rsid w:val="00712A24"/>
    <w:rsid w:val="007233C1"/>
    <w:rsid w:val="00724700"/>
    <w:rsid w:val="00751688"/>
    <w:rsid w:val="00757538"/>
    <w:rsid w:val="00762987"/>
    <w:rsid w:val="00774334"/>
    <w:rsid w:val="007852B4"/>
    <w:rsid w:val="00797AEB"/>
    <w:rsid w:val="007D53C1"/>
    <w:rsid w:val="007D6876"/>
    <w:rsid w:val="007D6D8A"/>
    <w:rsid w:val="007E60AF"/>
    <w:rsid w:val="007E7007"/>
    <w:rsid w:val="007E7577"/>
    <w:rsid w:val="008058A9"/>
    <w:rsid w:val="008071CD"/>
    <w:rsid w:val="00827098"/>
    <w:rsid w:val="0083291B"/>
    <w:rsid w:val="0085796D"/>
    <w:rsid w:val="00857E48"/>
    <w:rsid w:val="008612F9"/>
    <w:rsid w:val="008749E1"/>
    <w:rsid w:val="00883D1E"/>
    <w:rsid w:val="008913F6"/>
    <w:rsid w:val="00896C2A"/>
    <w:rsid w:val="008A071F"/>
    <w:rsid w:val="008A24E8"/>
    <w:rsid w:val="008B4537"/>
    <w:rsid w:val="008C5246"/>
    <w:rsid w:val="008D4627"/>
    <w:rsid w:val="008F15BF"/>
    <w:rsid w:val="008F1F8F"/>
    <w:rsid w:val="008F5FA9"/>
    <w:rsid w:val="00902643"/>
    <w:rsid w:val="009718E1"/>
    <w:rsid w:val="009856CC"/>
    <w:rsid w:val="009936F4"/>
    <w:rsid w:val="009B5F1F"/>
    <w:rsid w:val="009C2D50"/>
    <w:rsid w:val="009C7203"/>
    <w:rsid w:val="009D7F47"/>
    <w:rsid w:val="009E1DD1"/>
    <w:rsid w:val="009E27CF"/>
    <w:rsid w:val="009E5374"/>
    <w:rsid w:val="009E6B94"/>
    <w:rsid w:val="00A029E2"/>
    <w:rsid w:val="00A03A72"/>
    <w:rsid w:val="00A11915"/>
    <w:rsid w:val="00A36D8C"/>
    <w:rsid w:val="00A37B0B"/>
    <w:rsid w:val="00A408EA"/>
    <w:rsid w:val="00A45752"/>
    <w:rsid w:val="00A502E7"/>
    <w:rsid w:val="00A61487"/>
    <w:rsid w:val="00A62B43"/>
    <w:rsid w:val="00A63F8D"/>
    <w:rsid w:val="00A6568A"/>
    <w:rsid w:val="00A7240E"/>
    <w:rsid w:val="00A94B18"/>
    <w:rsid w:val="00A9598D"/>
    <w:rsid w:val="00A96DDC"/>
    <w:rsid w:val="00AC1E57"/>
    <w:rsid w:val="00AC5B30"/>
    <w:rsid w:val="00AD3451"/>
    <w:rsid w:val="00AD3A18"/>
    <w:rsid w:val="00AF5847"/>
    <w:rsid w:val="00B00565"/>
    <w:rsid w:val="00B05838"/>
    <w:rsid w:val="00B0664A"/>
    <w:rsid w:val="00B1789A"/>
    <w:rsid w:val="00B24CE5"/>
    <w:rsid w:val="00B374DC"/>
    <w:rsid w:val="00B37B73"/>
    <w:rsid w:val="00B408BF"/>
    <w:rsid w:val="00B5034D"/>
    <w:rsid w:val="00B65CB6"/>
    <w:rsid w:val="00BB39E4"/>
    <w:rsid w:val="00BC59A5"/>
    <w:rsid w:val="00BD03CF"/>
    <w:rsid w:val="00BD1061"/>
    <w:rsid w:val="00BE1808"/>
    <w:rsid w:val="00BF0107"/>
    <w:rsid w:val="00C06104"/>
    <w:rsid w:val="00C17325"/>
    <w:rsid w:val="00C50B7F"/>
    <w:rsid w:val="00C627A1"/>
    <w:rsid w:val="00C64CFD"/>
    <w:rsid w:val="00C74480"/>
    <w:rsid w:val="00C76D1E"/>
    <w:rsid w:val="00C92383"/>
    <w:rsid w:val="00CA1BA2"/>
    <w:rsid w:val="00CA370A"/>
    <w:rsid w:val="00CB07CC"/>
    <w:rsid w:val="00CB7D51"/>
    <w:rsid w:val="00CC15A7"/>
    <w:rsid w:val="00CC317E"/>
    <w:rsid w:val="00CD200A"/>
    <w:rsid w:val="00CD67E7"/>
    <w:rsid w:val="00CE4D2A"/>
    <w:rsid w:val="00CF2B76"/>
    <w:rsid w:val="00CF7566"/>
    <w:rsid w:val="00D00422"/>
    <w:rsid w:val="00D02E0C"/>
    <w:rsid w:val="00D115C9"/>
    <w:rsid w:val="00D15EAA"/>
    <w:rsid w:val="00D26032"/>
    <w:rsid w:val="00D37446"/>
    <w:rsid w:val="00D40A05"/>
    <w:rsid w:val="00D473E2"/>
    <w:rsid w:val="00D504C5"/>
    <w:rsid w:val="00D50557"/>
    <w:rsid w:val="00D51B6A"/>
    <w:rsid w:val="00D55F9C"/>
    <w:rsid w:val="00D60A2E"/>
    <w:rsid w:val="00D66C65"/>
    <w:rsid w:val="00D70213"/>
    <w:rsid w:val="00D73F55"/>
    <w:rsid w:val="00D80825"/>
    <w:rsid w:val="00DA4E32"/>
    <w:rsid w:val="00DB13AC"/>
    <w:rsid w:val="00DB6109"/>
    <w:rsid w:val="00DC1618"/>
    <w:rsid w:val="00DE6F53"/>
    <w:rsid w:val="00DF2DB3"/>
    <w:rsid w:val="00E11166"/>
    <w:rsid w:val="00E11324"/>
    <w:rsid w:val="00E1342F"/>
    <w:rsid w:val="00E155DD"/>
    <w:rsid w:val="00E21553"/>
    <w:rsid w:val="00E2267D"/>
    <w:rsid w:val="00E31299"/>
    <w:rsid w:val="00E3322E"/>
    <w:rsid w:val="00E340BF"/>
    <w:rsid w:val="00E468A1"/>
    <w:rsid w:val="00E500B5"/>
    <w:rsid w:val="00E57EE7"/>
    <w:rsid w:val="00E709B8"/>
    <w:rsid w:val="00E817E5"/>
    <w:rsid w:val="00E85272"/>
    <w:rsid w:val="00E9442E"/>
    <w:rsid w:val="00EA0781"/>
    <w:rsid w:val="00EA225A"/>
    <w:rsid w:val="00EB47C2"/>
    <w:rsid w:val="00EC1220"/>
    <w:rsid w:val="00ED2524"/>
    <w:rsid w:val="00EE3DCD"/>
    <w:rsid w:val="00EF7193"/>
    <w:rsid w:val="00F047DA"/>
    <w:rsid w:val="00F1096B"/>
    <w:rsid w:val="00F3000C"/>
    <w:rsid w:val="00F43F42"/>
    <w:rsid w:val="00F46FB0"/>
    <w:rsid w:val="00F55B4D"/>
    <w:rsid w:val="00F55E1A"/>
    <w:rsid w:val="00F57903"/>
    <w:rsid w:val="00F820F7"/>
    <w:rsid w:val="00F85AB2"/>
    <w:rsid w:val="00F8618E"/>
    <w:rsid w:val="00F93562"/>
    <w:rsid w:val="00F93AF3"/>
    <w:rsid w:val="00F93D1C"/>
    <w:rsid w:val="00F93DCC"/>
    <w:rsid w:val="00F96526"/>
    <w:rsid w:val="00FA3D30"/>
    <w:rsid w:val="00FA3FC4"/>
    <w:rsid w:val="00FC695E"/>
    <w:rsid w:val="00FD0176"/>
    <w:rsid w:val="00FD13DA"/>
    <w:rsid w:val="00FE528A"/>
    <w:rsid w:val="00FF3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61" strokecolor="none [3212]">
      <v:stroke color="none [3212]" weight="2.25pt"/>
      <o:colormru v:ext="edit" colors="#ff3737"/>
    </o:shapedefaults>
    <o:shapelayout v:ext="edit">
      <o:idmap v:ext="edit" data="1"/>
      <o:rules v:ext="edit">
        <o:r id="V:Rule6" type="arc" idref="#_x0000_s1150"/>
        <o:r id="V:Rule11" type="arc" idref="#_x0000_s1156"/>
        <o:r id="V:Rule48" type="connector" idref="#_x0000_s1147"/>
        <o:r id="V:Rule49" type="connector" idref="#_x0000_s1148"/>
        <o:r id="V:Rule50" type="connector" idref="#_x0000_s1154"/>
        <o:r id="V:Rule51" type="connector" idref="#_x0000_s1064"/>
        <o:r id="V:Rule52" type="connector" idref="#_x0000_s1127"/>
        <o:r id="V:Rule53" type="connector" idref="#_x0000_s1057"/>
        <o:r id="V:Rule54" type="connector" idref="#_x0000_s1087"/>
        <o:r id="V:Rule55" type="connector" idref="#_x0000_s1124"/>
        <o:r id="V:Rule56" type="connector" idref="#_x0000_s1100"/>
        <o:r id="V:Rule57" type="connector" idref="#_x0000_s1117"/>
        <o:r id="V:Rule58" type="connector" idref="#_x0000_s1066"/>
        <o:r id="V:Rule59" type="connector" idref="#_x0000_s1144"/>
        <o:r id="V:Rule60" type="connector" idref="#_x0000_s1088"/>
        <o:r id="V:Rule61" type="connector" idref="#_x0000_s1072"/>
        <o:r id="V:Rule62" type="connector" idref="#_x0000_s1118"/>
        <o:r id="V:Rule63" type="connector" idref="#_x0000_s1080"/>
        <o:r id="V:Rule64" type="connector" idref="#_x0000_s1126"/>
        <o:r id="V:Rule65" type="connector" idref="#_x0000_s1103"/>
        <o:r id="V:Rule66" type="connector" idref="#_x0000_s1065"/>
        <o:r id="V:Rule67" type="connector" idref="#_x0000_s1098"/>
        <o:r id="V:Rule68" type="connector" idref="#_x0000_s1146"/>
        <o:r id="V:Rule69" type="connector" idref="#_x0000_s1131"/>
        <o:r id="V:Rule70" type="connector" idref="#_x0000_s1149"/>
        <o:r id="V:Rule71" type="connector" idref="#_x0000_s1062"/>
        <o:r id="V:Rule72" type="connector" idref="#_x0000_s1102"/>
        <o:r id="V:Rule73" type="connector" idref="#_x0000_s1121"/>
        <o:r id="V:Rule74" type="connector" idref="#_x0000_s1160"/>
        <o:r id="V:Rule75" type="connector" idref="#_x0000_s1099"/>
        <o:r id="V:Rule76" type="connector" idref="#_x0000_s1101"/>
        <o:r id="V:Rule77" type="connector" idref="#_x0000_s1120"/>
        <o:r id="V:Rule78" type="connector" idref="#_x0000_s1130"/>
        <o:r id="V:Rule79" type="connector" idref="#_x0000_s1089"/>
        <o:r id="V:Rule80" type="connector" idref="#_x0000_s1161"/>
        <o:r id="V:Rule81" type="connector" idref="#_x0000_s1155">
          <o:proxy start="" idref="#_x0000_s1156" connectloc="1"/>
        </o:r>
        <o:r id="V:Rule82" type="connector" idref="#_x0000_s1125"/>
        <o:r id="V:Rule83" type="connector" idref="#_x0000_s1122"/>
        <o:r id="V:Rule84" type="connector" idref="#_x0000_s1067"/>
        <o:r id="V:Rule85" type="connector" idref="#_x0000_s1129"/>
        <o:r id="V:Rule86" type="connector" idref="#_x0000_s1083"/>
        <o:r id="V:Rule87" type="connector" idref="#_x0000_s1152"/>
        <o:r id="V:Rule88" type="connector" idref="#_x0000_s1162"/>
        <o:r id="V:Rule89" type="connector" idref="#_x0000_s1090"/>
        <o:r id="V:Rule90" type="connector" idref="#_x0000_s1134"/>
        <o:r id="V:Rule91" type="connector" idref="#_x0000_s1061"/>
        <o:r id="V:Rule92" type="connector" idref="#_x0000_s1153"/>
      </o:rules>
    </o:shapelayout>
  </w:shapeDefaults>
  <w:decimalSymbol w:val="."/>
  <w:listSeparator w:val=","/>
  <w15:docId w15:val="{05F9D003-5F58-4593-8C70-109C5C53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F8F"/>
    <w:rPr>
      <w:rFonts w:ascii="Arial" w:hAnsi="Arial"/>
      <w:sz w:val="22"/>
      <w:szCs w:val="22"/>
    </w:rPr>
  </w:style>
  <w:style w:type="paragraph" w:styleId="Heading1">
    <w:name w:val="heading 1"/>
    <w:basedOn w:val="Normal"/>
    <w:next w:val="Normal"/>
    <w:qFormat/>
    <w:rsid w:val="00B24CE5"/>
    <w:pPr>
      <w:keepNext/>
      <w:spacing w:before="240" w:after="60"/>
      <w:outlineLvl w:val="0"/>
    </w:pPr>
    <w:rPr>
      <w:rFonts w:cs="Arial"/>
      <w:b/>
      <w:bCs/>
      <w:kern w:val="32"/>
      <w:sz w:val="32"/>
      <w:szCs w:val="32"/>
    </w:rPr>
  </w:style>
  <w:style w:type="paragraph" w:styleId="Heading2">
    <w:name w:val="heading 2"/>
    <w:basedOn w:val="Normal"/>
    <w:next w:val="Normal"/>
    <w:qFormat/>
    <w:rsid w:val="00B24CE5"/>
    <w:pPr>
      <w:keepNext/>
      <w:spacing w:before="120" w:after="120"/>
      <w:outlineLvl w:val="1"/>
    </w:pPr>
    <w:rPr>
      <w:b/>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LatinArial">
    <w:name w:val="Style Heading 1 + (Latin) Arial"/>
    <w:basedOn w:val="Heading1"/>
    <w:rsid w:val="00B24CE5"/>
    <w:rPr>
      <w:rFonts w:eastAsia="Times" w:cs="Times New Roman"/>
      <w:i/>
      <w:color w:val="008000"/>
      <w:kern w:val="28"/>
      <w:sz w:val="28"/>
      <w:szCs w:val="22"/>
      <w:lang w:eastAsia="en-US"/>
    </w:rPr>
  </w:style>
  <w:style w:type="paragraph" w:styleId="Header">
    <w:name w:val="header"/>
    <w:basedOn w:val="Normal"/>
    <w:link w:val="HeaderChar"/>
    <w:rsid w:val="001359D2"/>
    <w:pPr>
      <w:tabs>
        <w:tab w:val="center" w:pos="4153"/>
        <w:tab w:val="right" w:pos="8306"/>
      </w:tabs>
    </w:pPr>
  </w:style>
  <w:style w:type="paragraph" w:styleId="Footer">
    <w:name w:val="footer"/>
    <w:basedOn w:val="Normal"/>
    <w:rsid w:val="001359D2"/>
    <w:pPr>
      <w:tabs>
        <w:tab w:val="center" w:pos="4153"/>
        <w:tab w:val="right" w:pos="8306"/>
      </w:tabs>
    </w:p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1359D2"/>
    <w:pPr>
      <w:spacing w:after="160" w:line="240" w:lineRule="exact"/>
    </w:pPr>
    <w:rPr>
      <w:rFonts w:ascii="Tahoma" w:hAnsi="Tahoma" w:cs="Tahoma"/>
      <w:sz w:val="20"/>
      <w:szCs w:val="20"/>
      <w:lang w:val="en-US" w:eastAsia="en-US"/>
    </w:rPr>
  </w:style>
  <w:style w:type="paragraph" w:styleId="BalloonText">
    <w:name w:val="Balloon Text"/>
    <w:basedOn w:val="Normal"/>
    <w:semiHidden/>
    <w:rsid w:val="003F5DBC"/>
    <w:rPr>
      <w:rFonts w:ascii="Tahoma" w:hAnsi="Tahoma" w:cs="Tahoma"/>
      <w:sz w:val="16"/>
      <w:szCs w:val="16"/>
    </w:rPr>
  </w:style>
  <w:style w:type="character" w:customStyle="1" w:styleId="HeaderChar">
    <w:name w:val="Header Char"/>
    <w:basedOn w:val="DefaultParagraphFont"/>
    <w:link w:val="Header"/>
    <w:rsid w:val="007E60AF"/>
    <w:rPr>
      <w:rFonts w:ascii="Arial" w:hAnsi="Arial"/>
      <w:sz w:val="22"/>
      <w:szCs w:val="22"/>
    </w:rPr>
  </w:style>
  <w:style w:type="paragraph" w:styleId="ListParagraph">
    <w:name w:val="List Paragraph"/>
    <w:basedOn w:val="Normal"/>
    <w:uiPriority w:val="34"/>
    <w:qFormat/>
    <w:rsid w:val="00245692"/>
    <w:pPr>
      <w:ind w:left="720"/>
      <w:contextualSpacing/>
    </w:pPr>
  </w:style>
  <w:style w:type="character" w:styleId="Hyperlink">
    <w:name w:val="Hyperlink"/>
    <w:basedOn w:val="DefaultParagraphFont"/>
    <w:uiPriority w:val="99"/>
    <w:semiHidden/>
    <w:unhideWhenUsed/>
    <w:rsid w:val="00F8618E"/>
    <w:rPr>
      <w:strike w:val="0"/>
      <w:dstrike w:val="0"/>
      <w:color w:val="0532A5"/>
      <w:u w:val="none"/>
      <w:effect w:val="none"/>
    </w:rPr>
  </w:style>
  <w:style w:type="paragraph" w:styleId="Caption">
    <w:name w:val="caption"/>
    <w:basedOn w:val="Normal"/>
    <w:next w:val="Normal"/>
    <w:uiPriority w:val="35"/>
    <w:unhideWhenUsed/>
    <w:qFormat/>
    <w:rsid w:val="007D6876"/>
    <w:pPr>
      <w:spacing w:after="200"/>
    </w:pPr>
    <w:rPr>
      <w:b/>
      <w:bCs/>
      <w:color w:val="4F81BD" w:themeColor="accent1"/>
      <w:sz w:val="18"/>
      <w:szCs w:val="18"/>
    </w:rPr>
  </w:style>
  <w:style w:type="paragraph" w:customStyle="1" w:styleId="NumberedPara">
    <w:name w:val="Numbered Para"/>
    <w:basedOn w:val="Normal"/>
    <w:next w:val="Normal"/>
    <w:rsid w:val="00461FCE"/>
    <w:pPr>
      <w:numPr>
        <w:numId w:val="19"/>
      </w:numPr>
      <w:spacing w:before="120" w:after="120"/>
      <w:jc w:val="both"/>
    </w:pPr>
    <w:rPr>
      <w:b/>
      <w:sz w:val="24"/>
      <w:szCs w:val="20"/>
    </w:rPr>
  </w:style>
  <w:style w:type="paragraph" w:customStyle="1" w:styleId="NumberedPara1">
    <w:name w:val="Numbered Para1"/>
    <w:basedOn w:val="Normal"/>
    <w:rsid w:val="00461FCE"/>
    <w:pPr>
      <w:numPr>
        <w:ilvl w:val="1"/>
        <w:numId w:val="19"/>
      </w:numPr>
      <w:spacing w:before="120" w:after="120"/>
      <w:jc w:val="both"/>
    </w:pPr>
    <w:rPr>
      <w:b/>
      <w:sz w:val="24"/>
      <w:szCs w:val="20"/>
    </w:rPr>
  </w:style>
  <w:style w:type="paragraph" w:customStyle="1" w:styleId="NumberedPara2">
    <w:name w:val="Numbered Para2"/>
    <w:basedOn w:val="Normal"/>
    <w:rsid w:val="00461FCE"/>
    <w:pPr>
      <w:numPr>
        <w:ilvl w:val="2"/>
        <w:numId w:val="19"/>
      </w:numPr>
      <w:spacing w:before="120" w:after="120"/>
      <w:jc w:val="both"/>
    </w:pPr>
    <w:rPr>
      <w:sz w:val="24"/>
      <w:szCs w:val="20"/>
    </w:rPr>
  </w:style>
  <w:style w:type="paragraph" w:customStyle="1" w:styleId="NumberedPara3">
    <w:name w:val="Numbered Para3"/>
    <w:basedOn w:val="Normal"/>
    <w:rsid w:val="00461FCE"/>
    <w:pPr>
      <w:numPr>
        <w:ilvl w:val="3"/>
        <w:numId w:val="19"/>
      </w:numPr>
      <w:spacing w:before="120" w:after="120"/>
      <w:jc w:val="both"/>
    </w:pPr>
    <w:rPr>
      <w:sz w:val="24"/>
      <w:szCs w:val="20"/>
    </w:rPr>
  </w:style>
  <w:style w:type="paragraph" w:customStyle="1" w:styleId="NumberedPara4">
    <w:name w:val="Numbered Para4"/>
    <w:basedOn w:val="Normal"/>
    <w:rsid w:val="00461FCE"/>
    <w:pPr>
      <w:numPr>
        <w:ilvl w:val="4"/>
        <w:numId w:val="19"/>
      </w:numPr>
      <w:spacing w:before="120" w:after="120"/>
      <w:jc w:val="both"/>
    </w:pPr>
    <w:rPr>
      <w:sz w:val="24"/>
      <w:szCs w:val="20"/>
    </w:rPr>
  </w:style>
  <w:style w:type="paragraph" w:customStyle="1" w:styleId="NumberedPara5">
    <w:name w:val="Numbered Para5"/>
    <w:basedOn w:val="Normal"/>
    <w:rsid w:val="00461FCE"/>
    <w:pPr>
      <w:numPr>
        <w:ilvl w:val="5"/>
        <w:numId w:val="19"/>
      </w:numPr>
      <w:spacing w:before="120" w:after="120"/>
      <w:jc w:val="both"/>
    </w:pPr>
    <w:rPr>
      <w:sz w:val="24"/>
      <w:szCs w:val="20"/>
    </w:rPr>
  </w:style>
  <w:style w:type="character" w:styleId="CommentReference">
    <w:name w:val="annotation reference"/>
    <w:basedOn w:val="DefaultParagraphFont"/>
    <w:semiHidden/>
    <w:rsid w:val="00461FCE"/>
    <w:rPr>
      <w:sz w:val="16"/>
    </w:rPr>
  </w:style>
  <w:style w:type="paragraph" w:styleId="CommentText">
    <w:name w:val="annotation text"/>
    <w:basedOn w:val="Normal"/>
    <w:link w:val="CommentTextChar"/>
    <w:semiHidden/>
    <w:rsid w:val="00461FCE"/>
    <w:pPr>
      <w:jc w:val="both"/>
    </w:pPr>
    <w:rPr>
      <w:sz w:val="20"/>
      <w:szCs w:val="20"/>
    </w:rPr>
  </w:style>
  <w:style w:type="character" w:customStyle="1" w:styleId="CommentTextChar">
    <w:name w:val="Comment Text Char"/>
    <w:basedOn w:val="DefaultParagraphFont"/>
    <w:link w:val="CommentText"/>
    <w:semiHidden/>
    <w:rsid w:val="00461FCE"/>
    <w:rPr>
      <w:rFonts w:ascii="Arial" w:hAnsi="Arial"/>
    </w:rPr>
  </w:style>
  <w:style w:type="character" w:customStyle="1" w:styleId="apple-converted-space">
    <w:name w:val="apple-converted-space"/>
    <w:basedOn w:val="DefaultParagraphFont"/>
    <w:rsid w:val="00E709B8"/>
  </w:style>
  <w:style w:type="table" w:styleId="TableGrid">
    <w:name w:val="Table Grid"/>
    <w:basedOn w:val="TableNormal"/>
    <w:uiPriority w:val="59"/>
    <w:rsid w:val="00700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3905">
      <w:bodyDiv w:val="1"/>
      <w:marLeft w:val="60"/>
      <w:marRight w:val="60"/>
      <w:marTop w:val="60"/>
      <w:marBottom w:val="15"/>
      <w:divBdr>
        <w:top w:val="none" w:sz="0" w:space="0" w:color="auto"/>
        <w:left w:val="none" w:sz="0" w:space="0" w:color="auto"/>
        <w:bottom w:val="none" w:sz="0" w:space="0" w:color="auto"/>
        <w:right w:val="none" w:sz="0" w:space="0" w:color="auto"/>
      </w:divBdr>
    </w:div>
    <w:div w:id="1049838215">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9EDD1-A559-4FC1-A397-00B818E7A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989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Thursday 2 February 2011</vt:lpstr>
    </vt:vector>
  </TitlesOfParts>
  <Company>COGG</Company>
  <LinksUpToDate>false</LinksUpToDate>
  <CharactersWithSpaces>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2 February 2011</dc:title>
  <dc:creator>Adelle Giles</dc:creator>
  <cp:lastModifiedBy>Aaron McGlade</cp:lastModifiedBy>
  <cp:revision>3</cp:revision>
  <cp:lastPrinted>2016-04-11T22:54:00Z</cp:lastPrinted>
  <dcterms:created xsi:type="dcterms:W3CDTF">2017-08-30T00:56:00Z</dcterms:created>
  <dcterms:modified xsi:type="dcterms:W3CDTF">2017-08-30T01:05:00Z</dcterms:modified>
</cp:coreProperties>
</file>