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F42D" w14:textId="4BB2BB79" w:rsidR="00A24543" w:rsidRPr="005512BC" w:rsidRDefault="005512BC" w:rsidP="00FF2B72">
      <w:pPr>
        <w:rPr>
          <w:b/>
          <w:i/>
          <w:iCs/>
          <w:noProof/>
          <w:sz w:val="24"/>
          <w:szCs w:val="24"/>
          <w:lang w:eastAsia="en-AU"/>
        </w:rPr>
      </w:pPr>
      <w:r w:rsidRPr="005512BC">
        <w:rPr>
          <w:i/>
          <w:iCs/>
        </w:rPr>
        <w:t>*</w:t>
      </w:r>
      <w:r w:rsidR="00AB6608" w:rsidRPr="005512BC">
        <w:rPr>
          <w:i/>
          <w:iCs/>
        </w:rPr>
        <w:t>This</w:t>
      </w:r>
      <w:r w:rsidRPr="005512BC">
        <w:rPr>
          <w:i/>
          <w:iCs/>
        </w:rPr>
        <w:t xml:space="preserve"> plan is currently a pre-designed draft document, once finalised it will be sent to City’s Marketing Department to be City-branded.</w:t>
      </w:r>
    </w:p>
    <w:p w14:paraId="2ECBBDBE" w14:textId="77777777" w:rsidR="00356064" w:rsidRDefault="00356064" w:rsidP="00FF2B72">
      <w:pPr>
        <w:rPr>
          <w:b/>
          <w:noProof/>
          <w:sz w:val="24"/>
          <w:szCs w:val="24"/>
          <w:lang w:eastAsia="en-AU"/>
        </w:rPr>
      </w:pPr>
    </w:p>
    <w:p w14:paraId="42BB4E8D" w14:textId="77777777" w:rsidR="00356064" w:rsidRDefault="00356064" w:rsidP="00FF2B72">
      <w:pPr>
        <w:rPr>
          <w:b/>
          <w:noProof/>
          <w:sz w:val="24"/>
          <w:szCs w:val="24"/>
          <w:lang w:eastAsia="en-AU"/>
        </w:rPr>
      </w:pPr>
    </w:p>
    <w:p w14:paraId="5E8C844C" w14:textId="77777777" w:rsidR="00356064" w:rsidRDefault="00356064" w:rsidP="00FF2B72">
      <w:pPr>
        <w:rPr>
          <w:b/>
          <w:noProof/>
          <w:sz w:val="24"/>
          <w:szCs w:val="24"/>
          <w:lang w:eastAsia="en-AU"/>
        </w:rPr>
      </w:pPr>
    </w:p>
    <w:p w14:paraId="04233F09" w14:textId="77777777" w:rsidR="00356064" w:rsidRPr="00356064" w:rsidRDefault="00356064" w:rsidP="00FF2B72">
      <w:pPr>
        <w:rPr>
          <w:b/>
          <w:noProof/>
          <w:sz w:val="32"/>
          <w:szCs w:val="32"/>
          <w:lang w:eastAsia="en-AU"/>
        </w:rPr>
      </w:pPr>
    </w:p>
    <w:p w14:paraId="777713B9" w14:textId="20417034" w:rsidR="00362AEA" w:rsidRPr="00356064" w:rsidRDefault="006B75C8" w:rsidP="00FF2B72">
      <w:pPr>
        <w:rPr>
          <w:b/>
          <w:noProof/>
          <w:sz w:val="32"/>
          <w:szCs w:val="32"/>
          <w:lang w:eastAsia="en-AU"/>
        </w:rPr>
      </w:pPr>
      <w:r>
        <w:rPr>
          <w:b/>
          <w:noProof/>
          <w:sz w:val="32"/>
          <w:szCs w:val="32"/>
          <w:lang w:eastAsia="en-AU"/>
        </w:rPr>
        <w:t>Our MEYP</w:t>
      </w:r>
      <w:r w:rsidR="00FF2B72" w:rsidRPr="00356064">
        <w:rPr>
          <w:b/>
          <w:noProof/>
          <w:sz w:val="32"/>
          <w:szCs w:val="32"/>
          <w:lang w:eastAsia="en-AU"/>
        </w:rPr>
        <w:t xml:space="preserve"> Themes</w:t>
      </w:r>
      <w:r>
        <w:rPr>
          <w:b/>
          <w:noProof/>
          <w:sz w:val="32"/>
          <w:szCs w:val="32"/>
          <w:lang w:eastAsia="en-AU"/>
        </w:rPr>
        <w:t xml:space="preserve"> 2022-</w:t>
      </w:r>
      <w:r w:rsidR="000C4A49">
        <w:rPr>
          <w:b/>
          <w:noProof/>
          <w:sz w:val="32"/>
          <w:szCs w:val="32"/>
          <w:lang w:eastAsia="en-AU"/>
        </w:rPr>
        <w:t>20</w:t>
      </w:r>
      <w:r>
        <w:rPr>
          <w:b/>
          <w:noProof/>
          <w:sz w:val="32"/>
          <w:szCs w:val="32"/>
          <w:lang w:eastAsia="en-AU"/>
        </w:rPr>
        <w:t>25</w:t>
      </w:r>
    </w:p>
    <w:p w14:paraId="2E3C94F2" w14:textId="77777777" w:rsidR="006A4F1E" w:rsidRPr="00EB0C5C" w:rsidRDefault="006A4F1E">
      <w:pPr>
        <w:rPr>
          <w:b/>
          <w:sz w:val="24"/>
          <w:szCs w:val="24"/>
        </w:rPr>
      </w:pPr>
    </w:p>
    <w:p w14:paraId="652AE1C0" w14:textId="50A9C49C" w:rsidR="00527059" w:rsidRDefault="00093E7D" w:rsidP="0052705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w:drawing>
          <wp:inline distT="0" distB="0" distL="0" distR="0" wp14:anchorId="63AFA93D" wp14:editId="32093C34">
            <wp:extent cx="3830955" cy="2970982"/>
            <wp:effectExtent l="0" t="0" r="17145" b="3937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E756C5E" w14:textId="35B14728" w:rsidR="00527059" w:rsidRPr="00356064" w:rsidRDefault="00356064" w:rsidP="00527059">
      <w:pPr>
        <w:rPr>
          <w:b/>
          <w:sz w:val="24"/>
          <w:szCs w:val="24"/>
        </w:rPr>
      </w:pPr>
      <w:r w:rsidRPr="00F907D7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AFE356" wp14:editId="2B0C0C68">
                <wp:simplePos x="0" y="0"/>
                <wp:positionH relativeFrom="column">
                  <wp:posOffset>4285615</wp:posOffset>
                </wp:positionH>
                <wp:positionV relativeFrom="margin">
                  <wp:posOffset>4921885</wp:posOffset>
                </wp:positionV>
                <wp:extent cx="3819525" cy="2344420"/>
                <wp:effectExtent l="0" t="0" r="28575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34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B523D" w14:textId="22AC0AD7" w:rsidR="00BA5E30" w:rsidRPr="00356064" w:rsidRDefault="00D0725D">
                            <w:pPr>
                              <w:rPr>
                                <w:b/>
                              </w:rPr>
                            </w:pPr>
                            <w:r w:rsidRPr="00356064">
                              <w:rPr>
                                <w:b/>
                              </w:rPr>
                              <w:t>Strategic Direction 1 -Healthy Caring and Inclusive Community</w:t>
                            </w:r>
                          </w:p>
                          <w:p w14:paraId="1FAC9620" w14:textId="2379F2FB" w:rsidR="00861597" w:rsidRPr="00356064" w:rsidRDefault="00861597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356064">
                              <w:rPr>
                                <w:bCs/>
                                <w:i/>
                                <w:iCs/>
                              </w:rPr>
                              <w:t xml:space="preserve">1.2- Deliver health and community initiatives that are culturally sensitive and accessible across life stages </w:t>
                            </w:r>
                          </w:p>
                          <w:p w14:paraId="3D28A050" w14:textId="186B4381" w:rsidR="00861597" w:rsidRPr="00356064" w:rsidRDefault="00861597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356064">
                              <w:rPr>
                                <w:bCs/>
                                <w:i/>
                                <w:iCs/>
                              </w:rPr>
                              <w:t>1.3- Foster and embrace community connectedness</w:t>
                            </w:r>
                          </w:p>
                          <w:p w14:paraId="1D022429" w14:textId="046A1A1E" w:rsidR="00861597" w:rsidRPr="00356064" w:rsidRDefault="00861597">
                            <w:pPr>
                              <w:rPr>
                                <w:bCs/>
                              </w:rPr>
                            </w:pPr>
                            <w:r w:rsidRPr="00356064">
                              <w:rPr>
                                <w:bCs/>
                              </w:rPr>
                              <w:t>Health and Wellbeing priority: Increasing healthy eating, increase active living and improving mental wellbeing and social connectedness</w:t>
                            </w:r>
                          </w:p>
                          <w:p w14:paraId="2F2E572A" w14:textId="37F82F23" w:rsidR="00861597" w:rsidRPr="00356064" w:rsidRDefault="00861597">
                            <w:pPr>
                              <w:rPr>
                                <w:bCs/>
                              </w:rPr>
                            </w:pPr>
                          </w:p>
                          <w:p w14:paraId="327095DF" w14:textId="79F3DF06" w:rsidR="00603F06" w:rsidRPr="00356064" w:rsidRDefault="00861597">
                            <w:pPr>
                              <w:rPr>
                                <w:b/>
                              </w:rPr>
                            </w:pPr>
                            <w:r w:rsidRPr="00356064">
                              <w:rPr>
                                <w:b/>
                              </w:rPr>
                              <w:t>Strategic Direction 4 – High Performance Council and organisation</w:t>
                            </w:r>
                          </w:p>
                          <w:p w14:paraId="1BBFEF3B" w14:textId="70FCD0A5" w:rsidR="00861597" w:rsidRPr="00356064" w:rsidRDefault="00861597">
                            <w:pPr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356064">
                              <w:rPr>
                                <w:bCs/>
                                <w:i/>
                                <w:iCs/>
                              </w:rPr>
                              <w:t>4.2- Communicate and engage effectively with our community to understand their needs and advocate on their behalf</w:t>
                            </w:r>
                          </w:p>
                          <w:p w14:paraId="6C0B44C7" w14:textId="516DA31A" w:rsidR="00861597" w:rsidRPr="00356064" w:rsidRDefault="00861597">
                            <w:pPr>
                              <w:rPr>
                                <w:bCs/>
                              </w:rPr>
                            </w:pPr>
                            <w:r w:rsidRPr="00356064">
                              <w:rPr>
                                <w:bCs/>
                              </w:rPr>
                              <w:t>Health and Wellbeing Priority: Improving mental wellbeing and social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FE3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387.55pt;width:300.75pt;height:18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">
                <v:textbox>
                  <w:txbxContent>
                    <w:p w14:paraId="48FB523D" w14:textId="22AC0AD7" w:rsidR="00BA5E30" w:rsidRPr="00356064" w:rsidRDefault="00D0725D">
                      <w:pPr>
                        <w:rPr>
                          <w:b/>
                        </w:rPr>
                      </w:pPr>
                      <w:r w:rsidRPr="00356064">
                        <w:rPr>
                          <w:b/>
                        </w:rPr>
                        <w:t>Strategic Direction 1 -Healthy Caring and Inclusive Community</w:t>
                      </w:r>
                    </w:p>
                    <w:p w14:paraId="1FAC9620" w14:textId="2379F2FB" w:rsidR="00861597" w:rsidRPr="00356064" w:rsidRDefault="00861597">
                      <w:pPr>
                        <w:rPr>
                          <w:bCs/>
                          <w:i/>
                          <w:iCs/>
                        </w:rPr>
                      </w:pPr>
                      <w:r w:rsidRPr="00356064">
                        <w:rPr>
                          <w:bCs/>
                          <w:i/>
                          <w:iCs/>
                        </w:rPr>
                        <w:t xml:space="preserve">1.2- Deliver health and community initiatives that are culturally sensitive and accessible across life stages </w:t>
                      </w:r>
                    </w:p>
                    <w:p w14:paraId="3D28A050" w14:textId="186B4381" w:rsidR="00861597" w:rsidRPr="00356064" w:rsidRDefault="00861597">
                      <w:pPr>
                        <w:rPr>
                          <w:bCs/>
                          <w:i/>
                          <w:iCs/>
                        </w:rPr>
                      </w:pPr>
                      <w:r w:rsidRPr="00356064">
                        <w:rPr>
                          <w:bCs/>
                          <w:i/>
                          <w:iCs/>
                        </w:rPr>
                        <w:t>1.3- Foster and embrace community connectedness</w:t>
                      </w:r>
                    </w:p>
                    <w:p w14:paraId="1D022429" w14:textId="046A1A1E" w:rsidR="00861597" w:rsidRPr="00356064" w:rsidRDefault="00861597">
                      <w:pPr>
                        <w:rPr>
                          <w:bCs/>
                        </w:rPr>
                      </w:pPr>
                      <w:r w:rsidRPr="00356064">
                        <w:rPr>
                          <w:bCs/>
                        </w:rPr>
                        <w:t>Health and Wellbeing priority: Increasing healthy eating, increase active living and improving mental wellbeing and social connectedness</w:t>
                      </w:r>
                    </w:p>
                    <w:p w14:paraId="2F2E572A" w14:textId="37F82F23" w:rsidR="00861597" w:rsidRPr="00356064" w:rsidRDefault="00861597">
                      <w:pPr>
                        <w:rPr>
                          <w:bCs/>
                        </w:rPr>
                      </w:pPr>
                    </w:p>
                    <w:p w14:paraId="327095DF" w14:textId="79F3DF06" w:rsidR="00603F06" w:rsidRPr="00356064" w:rsidRDefault="00861597">
                      <w:pPr>
                        <w:rPr>
                          <w:b/>
                        </w:rPr>
                      </w:pPr>
                      <w:r w:rsidRPr="00356064">
                        <w:rPr>
                          <w:b/>
                        </w:rPr>
                        <w:t>Strategic Direction 4 – High Performance Council and organisation</w:t>
                      </w:r>
                    </w:p>
                    <w:p w14:paraId="1BBFEF3B" w14:textId="70FCD0A5" w:rsidR="00861597" w:rsidRPr="00356064" w:rsidRDefault="00861597">
                      <w:pPr>
                        <w:rPr>
                          <w:bCs/>
                          <w:i/>
                          <w:iCs/>
                        </w:rPr>
                      </w:pPr>
                      <w:r w:rsidRPr="00356064">
                        <w:rPr>
                          <w:bCs/>
                          <w:i/>
                          <w:iCs/>
                        </w:rPr>
                        <w:t>4.2- Communicate and engage effectively with our community to understand their needs and advocate on their behalf</w:t>
                      </w:r>
                    </w:p>
                    <w:p w14:paraId="6C0B44C7" w14:textId="516DA31A" w:rsidR="00861597" w:rsidRPr="00356064" w:rsidRDefault="00861597">
                      <w:pPr>
                        <w:rPr>
                          <w:bCs/>
                        </w:rPr>
                      </w:pPr>
                      <w:r w:rsidRPr="00356064">
                        <w:rPr>
                          <w:bCs/>
                        </w:rPr>
                        <w:t>Health and Wellbeing Priority: Improving mental wellbeing and social connection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9CB4444" w14:textId="55753193" w:rsidR="00093E7D" w:rsidRDefault="00093E7D" w:rsidP="00527059">
      <w:pPr>
        <w:rPr>
          <w:sz w:val="18"/>
          <w:szCs w:val="18"/>
        </w:rPr>
      </w:pPr>
    </w:p>
    <w:p w14:paraId="5C0FC941" w14:textId="42A3E98D" w:rsidR="00356064" w:rsidRDefault="00356064" w:rsidP="00527059">
      <w:pPr>
        <w:rPr>
          <w:sz w:val="18"/>
          <w:szCs w:val="18"/>
        </w:rPr>
      </w:pPr>
      <w:r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84864" behindDoc="0" locked="0" layoutInCell="1" allowOverlap="1" wp14:anchorId="39DB35E1" wp14:editId="1B1DAC33">
            <wp:simplePos x="0" y="0"/>
            <wp:positionH relativeFrom="margin">
              <wp:posOffset>19050</wp:posOffset>
            </wp:positionH>
            <wp:positionV relativeFrom="paragraph">
              <wp:posOffset>4588</wp:posOffset>
            </wp:positionV>
            <wp:extent cx="3830955" cy="2557733"/>
            <wp:effectExtent l="0" t="0" r="36195" b="33655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33F6FAC5" w14:textId="1B5FBB5F" w:rsidR="00356064" w:rsidRDefault="00356064" w:rsidP="00527059">
      <w:pPr>
        <w:rPr>
          <w:sz w:val="18"/>
          <w:szCs w:val="18"/>
        </w:rPr>
      </w:pPr>
    </w:p>
    <w:p w14:paraId="43A8255E" w14:textId="046FB5BC" w:rsidR="00356064" w:rsidRDefault="00356064" w:rsidP="00527059">
      <w:pPr>
        <w:rPr>
          <w:sz w:val="18"/>
          <w:szCs w:val="18"/>
        </w:rPr>
      </w:pPr>
    </w:p>
    <w:p w14:paraId="52C2A4F3" w14:textId="2A8466F0" w:rsidR="00356064" w:rsidRDefault="00356064" w:rsidP="00527059">
      <w:pPr>
        <w:rPr>
          <w:sz w:val="18"/>
          <w:szCs w:val="18"/>
        </w:rPr>
      </w:pPr>
    </w:p>
    <w:p w14:paraId="7606B0C1" w14:textId="22CEE627" w:rsidR="00527059" w:rsidRPr="00E55E3D" w:rsidRDefault="005A090D" w:rsidP="00527059">
      <w:pPr>
        <w:rPr>
          <w:sz w:val="18"/>
          <w:szCs w:val="18"/>
        </w:rPr>
      </w:pPr>
      <w:r w:rsidRPr="00C169EF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3FC559" wp14:editId="47B6ACBB">
                <wp:simplePos x="0" y="0"/>
                <wp:positionH relativeFrom="column">
                  <wp:posOffset>4469765</wp:posOffset>
                </wp:positionH>
                <wp:positionV relativeFrom="paragraph">
                  <wp:posOffset>635</wp:posOffset>
                </wp:positionV>
                <wp:extent cx="4761230" cy="8900795"/>
                <wp:effectExtent l="0" t="0" r="1587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890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B624A" w14:textId="77777777" w:rsidR="004F22BB" w:rsidRDefault="004F22BB" w:rsidP="004F22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9518C">
                              <w:rPr>
                                <w:b/>
                                <w:sz w:val="24"/>
                                <w:szCs w:val="24"/>
                              </w:rPr>
                              <w:t>Demographic profile</w:t>
                            </w:r>
                          </w:p>
                          <w:p w14:paraId="7816815A" w14:textId="77777777" w:rsidR="009B6B8C" w:rsidRDefault="009B6B8C" w:rsidP="004F22B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6D5D0C" w14:textId="493051D1" w:rsidR="004F22BB" w:rsidRPr="00976C16" w:rsidRDefault="004F22BB" w:rsidP="004F22BB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6C1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TOTAL POPULATION – FROM </w:t>
                            </w:r>
                            <w:r w:rsidR="00BC4E8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2022 </w:t>
                            </w:r>
                            <w:r w:rsidRPr="00976C1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TO 2036:</w:t>
                            </w:r>
                          </w:p>
                          <w:p w14:paraId="089758E0" w14:textId="40C3D542" w:rsidR="004F22BB" w:rsidRPr="00976C16" w:rsidRDefault="004F22BB" w:rsidP="005C2988">
                            <w:p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>•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177252">
                              <w:rPr>
                                <w:rFonts w:cs="Arial"/>
                                <w:sz w:val="16"/>
                                <w:szCs w:val="16"/>
                              </w:rPr>
                              <w:t>74 647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20</w:t>
                            </w:r>
                            <w:r w:rsidR="00177252">
                              <w:rPr>
                                <w:rFonts w:cs="Arial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31392FBD" w14:textId="33D923C3" w:rsidR="004F22BB" w:rsidRPr="00976C16" w:rsidRDefault="004F22BB" w:rsidP="005C2988">
                            <w:p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>•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177252">
                              <w:rPr>
                                <w:rFonts w:cs="Arial"/>
                                <w:sz w:val="16"/>
                                <w:szCs w:val="16"/>
                              </w:rPr>
                              <w:t>98 716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2026</w:t>
                            </w:r>
                          </w:p>
                          <w:p w14:paraId="79E93F7F" w14:textId="1D4A1FAF" w:rsidR="004F22BB" w:rsidRPr="00976C16" w:rsidRDefault="004F22BB" w:rsidP="005C2988">
                            <w:p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>•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="00177252">
                              <w:rPr>
                                <w:rFonts w:cs="Arial"/>
                                <w:sz w:val="16"/>
                                <w:szCs w:val="16"/>
                              </w:rPr>
                              <w:t>61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177252">
                              <w:rPr>
                                <w:rFonts w:cs="Arial"/>
                                <w:sz w:val="16"/>
                                <w:szCs w:val="16"/>
                              </w:rPr>
                              <w:t>014</w:t>
                            </w:r>
                            <w:r w:rsidRPr="00976C1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2036</w:t>
                            </w:r>
                          </w:p>
                          <w:p w14:paraId="0435E32D" w14:textId="77777777" w:rsidR="004F22BB" w:rsidRPr="00976C16" w:rsidRDefault="004F22BB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258E887" w14:textId="7DCD40EB" w:rsidR="004F22BB" w:rsidRPr="00976C16" w:rsidRDefault="004F22BB" w:rsidP="004F22BB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6C1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177252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976C1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47DD38D7" w14:textId="5750033C" w:rsidR="004F22BB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17</w:t>
                            </w:r>
                            <w:r w:rsidR="00912EE9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260</w:t>
                            </w:r>
                            <w:r w:rsidR="004F22BB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children aged 0 to 4 years, 6.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28</w:t>
                            </w:r>
                            <w:r w:rsidR="004F22BB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per cent of Greater Geelong’s population – which is the fourth largest municipality of children in Victoria, – expect 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5522</w:t>
                            </w:r>
                            <w:r w:rsidR="004F22BB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more children by 2036</w:t>
                            </w:r>
                          </w:p>
                          <w:p w14:paraId="0CDA79FC" w14:textId="5ABE206E" w:rsidR="004F22BB" w:rsidRPr="00BC4E8A" w:rsidRDefault="004F22BB" w:rsidP="005C2988">
                            <w:p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•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177252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7</w:t>
                            </w:r>
                            <w:r w:rsidR="00912EE9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177252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541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children aged 5 to 9 years, 6.</w:t>
                            </w:r>
                            <w:r w:rsidR="00177252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39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per cent of Greater Geelong’s population – expect </w:t>
                            </w:r>
                            <w:r w:rsidR="00177252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5335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more children by 2036</w:t>
                            </w:r>
                          </w:p>
                          <w:p w14:paraId="34865EE9" w14:textId="77777777" w:rsidR="004F22BB" w:rsidRPr="00BC4E8A" w:rsidRDefault="004F22BB" w:rsidP="005C2988">
                            <w:p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•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ab/>
                              <w:t xml:space="preserve">Suburbs which are expected to increase by more than 100 children of 0–4yrs by 2036 are: </w:t>
                            </w:r>
                          </w:p>
                          <w:p w14:paraId="257768B8" w14:textId="2C3DC110" w:rsidR="004F22BB" w:rsidRPr="00BC4E8A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Armstrong Creek</w:t>
                            </w:r>
                          </w:p>
                          <w:p w14:paraId="2355B006" w14:textId="582458C1" w:rsidR="004F22BB" w:rsidRPr="00BC4E8A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Marshall and Charlemont</w:t>
                            </w:r>
                          </w:p>
                          <w:p w14:paraId="294EA1EF" w14:textId="056DCB12" w:rsidR="004F22BB" w:rsidRPr="00BC4E8A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Lovely Banks and Batesford</w:t>
                            </w:r>
                          </w:p>
                          <w:p w14:paraId="270EAEA3" w14:textId="044BEB0D" w:rsidR="00177252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Bell Post Hill</w:t>
                            </w:r>
                          </w:p>
                          <w:p w14:paraId="6F84F653" w14:textId="0671453F" w:rsidR="00177252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Mt Duneed</w:t>
                            </w:r>
                          </w:p>
                          <w:p w14:paraId="427A3F67" w14:textId="550C689F" w:rsidR="00177252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Curlewis</w:t>
                            </w:r>
                          </w:p>
                          <w:p w14:paraId="5816712E" w14:textId="38314477" w:rsidR="00177252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Leopold</w:t>
                            </w:r>
                          </w:p>
                          <w:p w14:paraId="551C4FD0" w14:textId="5F15ADBA" w:rsidR="00177252" w:rsidRPr="00BC4E8A" w:rsidRDefault="00177252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Lara</w:t>
                            </w:r>
                          </w:p>
                          <w:p w14:paraId="4C9C6D62" w14:textId="6584D899" w:rsidR="00177252" w:rsidRPr="00BC4E8A" w:rsidRDefault="00BC4E8A" w:rsidP="00BC4E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Geelong-S</w:t>
                            </w:r>
                            <w:r w:rsidR="008B13E5">
                              <w:rPr>
                                <w:rFonts w:cs="Arial"/>
                                <w:sz w:val="16"/>
                                <w:szCs w:val="16"/>
                              </w:rPr>
                              <w:t>ou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th</w:t>
                            </w:r>
                            <w:r w:rsidR="00FD41C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Geelong-Drumcondra</w:t>
                            </w:r>
                          </w:p>
                          <w:p w14:paraId="48A719CD" w14:textId="77777777" w:rsidR="004F22BB" w:rsidRPr="00BC4E8A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Herne Hill and</w:t>
                            </w:r>
                          </w:p>
                          <w:p w14:paraId="7D6A3851" w14:textId="5CB5853A" w:rsidR="005C2988" w:rsidRPr="00BC4E8A" w:rsidRDefault="004F22BB" w:rsidP="00C46C0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7"/>
                              </w:tabs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Fyansford.</w:t>
                            </w:r>
                          </w:p>
                          <w:p w14:paraId="1F65DC69" w14:textId="77777777" w:rsidR="004F22BB" w:rsidRPr="00F0647E" w:rsidRDefault="004F22BB" w:rsidP="004F22BB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0647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Aboriginal and Torres Strait Islander population</w:t>
                            </w:r>
                          </w:p>
                          <w:p w14:paraId="21C5733A" w14:textId="3AAEC569" w:rsidR="004F22BB" w:rsidRPr="00F0647E" w:rsidRDefault="00F0647E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>1.3% of</w:t>
                            </w:r>
                            <w:r w:rsidR="004F22BB"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municipal population identify as Aboriginal and Torres Strait Islander through the Australian Bureau of Statistics census</w:t>
                            </w:r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2021</w:t>
                            </w:r>
                            <w:r w:rsidR="004F22BB"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E242B3" w14:textId="14EAF974" w:rsidR="004F22BB" w:rsidRPr="00F0647E" w:rsidRDefault="004F22BB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 census is usually regarded as showing less than the numbers who live in the municipality.  There has been a significant increase from </w:t>
                            </w:r>
                            <w:r w:rsidR="00F0647E"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>2411 in 2016 to 3562</w:t>
                            </w:r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in 20</w:t>
                            </w:r>
                            <w:r w:rsidR="00F0647E"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>21 representing a 57.8% increase from 2016.</w:t>
                            </w:r>
                          </w:p>
                          <w:p w14:paraId="3925A392" w14:textId="77777777" w:rsidR="00976C16" w:rsidRPr="00F0647E" w:rsidRDefault="00976C16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(Source: </w:t>
                            </w:r>
                            <w:hyperlink r:id="rId22" w:history="1">
                              <w:r w:rsidRPr="00F0647E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https://profile.id.com.au/geelong/assistance</w:t>
                              </w:r>
                            </w:hyperlink>
                            <w:r w:rsidRPr="00F0647E"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400EA02" w14:textId="77777777" w:rsidR="004F22BB" w:rsidRPr="00486B02" w:rsidRDefault="004F22BB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621E43FD" w14:textId="77777777" w:rsidR="004F22BB" w:rsidRPr="00F676B4" w:rsidRDefault="004F22BB" w:rsidP="004F22BB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676B4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Culture and Language Diversity</w:t>
                            </w:r>
                          </w:p>
                          <w:p w14:paraId="3E232517" w14:textId="0DCCCBF3" w:rsidR="004F22BB" w:rsidRPr="00F676B4" w:rsidRDefault="004F22BB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There is </w:t>
                            </w:r>
                            <w:r w:rsidR="00912EE9">
                              <w:rPr>
                                <w:rFonts w:cs="Arial"/>
                                <w:sz w:val="16"/>
                                <w:szCs w:val="16"/>
                              </w:rPr>
                              <w:t>significant</w:t>
                            </w: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variation in the social and economic circumstances of people living in Greater Geelong. We need to consider these differences when planning for services.</w:t>
                            </w:r>
                          </w:p>
                          <w:p w14:paraId="6552B793" w14:textId="1BDFDF73" w:rsidR="004F22BB" w:rsidRPr="00F676B4" w:rsidRDefault="00700748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77.6</w:t>
                            </w:r>
                            <w:r w:rsidR="00016152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per cent 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of the community are Australian born, with the United Kingdom, India, New Zealand, </w:t>
                            </w:r>
                            <w:r w:rsidR="000A46E1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Philippines,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China the main birthplaces outside of Australia. </w:t>
                            </w:r>
                          </w:p>
                          <w:p w14:paraId="31596289" w14:textId="53B3791A" w:rsidR="00976C16" w:rsidRPr="00F676B4" w:rsidRDefault="00700748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83.1% speak 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English, </w:t>
                            </w: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11.7% have English as their second language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The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most common languages spoken at home</w:t>
                            </w:r>
                            <w:r w:rsidR="00F619A6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other than English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46E1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include</w:t>
                            </w: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Mandarin, Punjabi</w:t>
                            </w:r>
                            <w:r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>, Italian, Croatian</w:t>
                            </w:r>
                            <w:r w:rsidR="00F676B4" w:rsidRPr="00BC4E8A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Italian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Punjabi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Filipino/Tagalog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are the non-English spoken languages that have seen the largest growth </w:t>
                            </w:r>
                            <w:r w:rsidR="00F676B4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between 2016 and 2021.</w:t>
                            </w:r>
                          </w:p>
                          <w:p w14:paraId="4D25FD55" w14:textId="77777777" w:rsidR="004F22BB" w:rsidRPr="00F676B4" w:rsidRDefault="00976C16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(Source: </w:t>
                            </w:r>
                            <w:hyperlink r:id="rId23" w:history="1">
                              <w:r w:rsidRPr="00F676B4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https://profile.id.com.au/geelong/assistance</w:t>
                              </w:r>
                            </w:hyperlink>
                            <w:r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  <w:r w:rsidR="004F22BB" w:rsidRPr="00F676B4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747E5F" w14:textId="77777777" w:rsidR="004F22BB" w:rsidRPr="00F676B4" w:rsidRDefault="004F22BB" w:rsidP="004F22BB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120C9D8" w14:textId="4FAAFD64" w:rsidR="004F22BB" w:rsidRPr="004F5BF7" w:rsidRDefault="004F22BB" w:rsidP="004F22BB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F5BF7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Family types in 20</w:t>
                            </w:r>
                            <w:r w:rsidR="005C537F" w:rsidRPr="004F5BF7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  <w:p w14:paraId="01EC3A51" w14:textId="3EE6B176" w:rsidR="004F22BB" w:rsidRPr="004F5BF7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There were </w:t>
                            </w:r>
                            <w:r w:rsidR="00F676B4"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29,541</w:t>
                            </w:r>
                            <w:r w:rsidR="00912EE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people living in couple families with dependents (</w:t>
                            </w:r>
                            <w:r w:rsidR="00331558"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27.3 </w:t>
                            </w: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per cent of households).</w:t>
                            </w:r>
                          </w:p>
                          <w:p w14:paraId="5E85D68B" w14:textId="2CD43EED" w:rsidR="004F22BB" w:rsidRPr="004F5BF7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There were 11,</w:t>
                            </w:r>
                            <w:r w:rsidR="00480006"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505 </w:t>
                            </w: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people living in one parent families, with dependents (</w:t>
                            </w:r>
                            <w:r w:rsidR="000A46E1"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10.6 per</w:t>
                            </w: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cent of households).</w:t>
                            </w:r>
                          </w:p>
                          <w:p w14:paraId="4F847747" w14:textId="161FA574" w:rsidR="004F22BB" w:rsidRPr="004F5BF7" w:rsidRDefault="004F22BB" w:rsidP="005C298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There were </w:t>
                            </w:r>
                            <w:r w:rsidR="00780920"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1092</w:t>
                            </w: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people living in other families (1 per cent of households).</w:t>
                            </w:r>
                          </w:p>
                          <w:p w14:paraId="27E0B50A" w14:textId="77777777" w:rsidR="00976C16" w:rsidRPr="004F5BF7" w:rsidRDefault="00976C16" w:rsidP="005C2988">
                            <w:pPr>
                              <w:pStyle w:val="ListParagraph"/>
                              <w:ind w:left="28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(Source: </w:t>
                            </w:r>
                            <w:hyperlink r:id="rId24" w:history="1">
                              <w:r w:rsidRPr="004F5BF7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https://profile.id.com.au/geelong/assistance</w:t>
                              </w:r>
                            </w:hyperlink>
                            <w:r w:rsidRPr="004F5BF7"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835557A" w14:textId="5968617E" w:rsidR="00D77799" w:rsidRPr="005A090D" w:rsidRDefault="00CF65B3" w:rsidP="004F22BB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A09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Australian Early Development Census</w:t>
                            </w:r>
                            <w:r w:rsidRPr="005A090D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BD3778" w:rsidRPr="005A09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AE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DC</w:t>
                            </w:r>
                            <w:r w:rsidRPr="005A09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Domains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Physical Health and Wellbeing, Social Competence, Emotional Maturity, Language and </w:t>
                            </w:r>
                            <w:r w:rsidR="00F619A6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ognitive skills, Communication </w:t>
                            </w:r>
                            <w:r w:rsidR="00F619A6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kills and </w:t>
                            </w:r>
                            <w:r w:rsidR="00F619A6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G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eneral </w:t>
                            </w:r>
                            <w:r w:rsidR="00F619A6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K</w:t>
                            </w:r>
                            <w:r w:rsidR="00C50D50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nowledge.</w:t>
                            </w:r>
                            <w:r w:rsid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090D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“</w:t>
                            </w:r>
                            <w:r w:rsidR="00FD41C2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At risk</w:t>
                            </w:r>
                            <w:r w:rsidR="005A090D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”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refers to children who score between the 10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and 25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percentile in a domain</w:t>
                            </w:r>
                            <w:r w:rsid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A090D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“</w:t>
                            </w:r>
                            <w:r w:rsidR="00FD41C2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V</w:t>
                            </w:r>
                            <w:r w:rsidR="00D77799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ulnerable</w:t>
                            </w:r>
                            <w:r w:rsidR="005A090D" w:rsidRPr="005A090D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”</w:t>
                            </w:r>
                            <w:r w:rsidR="00D77799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refers to</w:t>
                            </w:r>
                            <w:r w:rsidR="00FD41C2" w:rsidRPr="005A090D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41C2" w:rsidRP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 score lower than the 10th percentile in a domain</w:t>
                            </w:r>
                            <w:r w:rsidR="005A090D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7C40DA" w14:textId="407C3534" w:rsidR="00FD41C2" w:rsidRPr="00FD41C2" w:rsidRDefault="00FD41C2" w:rsidP="00FD41C2">
                            <w:pPr>
                              <w:spacing w:line="270" w:lineRule="atLeast"/>
                              <w:rPr>
                                <w:rFonts w:cs="Arial"/>
                                <w:b/>
                                <w:spacing w:val="2"/>
                                <w:sz w:val="16"/>
                                <w:szCs w:val="16"/>
                                <w:lang w:eastAsia="en-AU"/>
                              </w:rPr>
                            </w:pPr>
                            <w:r w:rsidRPr="00FD41C2">
                              <w:rPr>
                                <w:rFonts w:cs="Arial"/>
                                <w:b/>
                                <w:spacing w:val="2"/>
                                <w:sz w:val="16"/>
                                <w:szCs w:val="16"/>
                                <w:lang w:eastAsia="en-AU"/>
                              </w:rPr>
                              <w:t xml:space="preserve">What the </w:t>
                            </w:r>
                            <w:r w:rsidR="00CF65B3">
                              <w:rPr>
                                <w:rFonts w:cs="Arial"/>
                                <w:b/>
                                <w:spacing w:val="2"/>
                                <w:sz w:val="16"/>
                                <w:szCs w:val="16"/>
                                <w:lang w:eastAsia="en-AU"/>
                              </w:rPr>
                              <w:t>AEDC</w:t>
                            </w:r>
                            <w:r w:rsidRPr="00FD41C2">
                              <w:rPr>
                                <w:rFonts w:cs="Arial"/>
                                <w:b/>
                                <w:spacing w:val="2"/>
                                <w:sz w:val="16"/>
                                <w:szCs w:val="16"/>
                                <w:lang w:eastAsia="en-AU"/>
                              </w:rPr>
                              <w:t xml:space="preserve"> data 2021 tells us:</w:t>
                            </w:r>
                          </w:p>
                          <w:p w14:paraId="17962F58" w14:textId="6B740168" w:rsidR="004D5643" w:rsidRPr="00571EFC" w:rsidRDefault="004D5643" w:rsidP="004F22BB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Number of children measured- 2890</w:t>
                            </w:r>
                          </w:p>
                          <w:p w14:paraId="7528B68A" w14:textId="43DEF715" w:rsidR="00571EFC" w:rsidRDefault="004F22BB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When children in our region started full-time school in 20</w:t>
                            </w:r>
                            <w:r w:rsidR="00014DD0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21</w:t>
                            </w: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1445DB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19.3</w:t>
                            </w: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cent were ‘developmentally vulnerable’ in </w:t>
                            </w:r>
                            <w:r w:rsidR="00054F1A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one or</w:t>
                            </w:r>
                            <w:r w:rsidR="00915BD1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more domains </w:t>
                            </w:r>
                            <w:r w:rsidR="00054F1A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slightly lower than the state average of 19.9 percent, and </w:t>
                            </w:r>
                            <w:r w:rsidR="00DE34DA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10.3 percent</w:t>
                            </w:r>
                            <w:r w:rsidR="009110FB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two areas</w:t>
                            </w:r>
                            <w:r w:rsidR="00915BD1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 more</w:t>
                            </w:r>
                            <w:r w:rsidR="00F619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of vulnerability</w:t>
                            </w:r>
                            <w:r w:rsidR="00571E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054F1A"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slightly higher than the state average of 10.2</w:t>
                            </w: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E4814BC" w14:textId="65413E1D" w:rsidR="00DE34DA" w:rsidRDefault="004F22BB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05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97 percent of children measured had attended </w:t>
                            </w:r>
                            <w:r w:rsidR="00EC52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Preschool or Kindergarten</w:t>
                            </w:r>
                          </w:p>
                          <w:p w14:paraId="3C11B433" w14:textId="2631C38D" w:rsidR="002D3CA3" w:rsidRPr="00D77799" w:rsidRDefault="00232D29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12.2 percent of children measured were </w:t>
                            </w:r>
                            <w:r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at risk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physical health and wellbeing </w:t>
                            </w:r>
                            <w:r w:rsidRPr="00D777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9.2 percent</w:t>
                            </w:r>
                            <w:r w:rsidRPr="00A47C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7FB4" w:rsidRPr="00D777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were </w:t>
                            </w:r>
                            <w:r w:rsidR="005A7FB4"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vulnerable</w:t>
                            </w:r>
                            <w:r w:rsidR="00931DCC" w:rsidRPr="00D777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which is an increase </w:t>
                            </w:r>
                            <w:r w:rsidR="006A4886" w:rsidRPr="00D777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from 2015 and </w:t>
                            </w:r>
                            <w:r w:rsidR="00172A6F" w:rsidRPr="00D777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 change from 2018</w:t>
                            </w:r>
                          </w:p>
                          <w:p w14:paraId="223318EC" w14:textId="20729F2C" w:rsidR="005A7FB4" w:rsidRDefault="005A7FB4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12.9 percent of children measured were </w:t>
                            </w:r>
                            <w:r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at risk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social competence</w:t>
                            </w:r>
                            <w:r w:rsidR="006148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8.6% were </w:t>
                            </w:r>
                            <w:r w:rsidR="006148CA"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vulnerable</w:t>
                            </w:r>
                            <w:r w:rsidR="00172A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which was a decrease from 2018.</w:t>
                            </w:r>
                          </w:p>
                          <w:p w14:paraId="41E64296" w14:textId="0550690E" w:rsidR="006148CA" w:rsidRDefault="006148CA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13.1 percent of children measured were </w:t>
                            </w:r>
                            <w:r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at risk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16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 emotional maturity and 8.7% were </w:t>
                            </w:r>
                            <w:r w:rsidR="007216EB"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vulnerable</w:t>
                            </w:r>
                            <w:r w:rsidR="00AF6B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which was a decrease from 2018</w:t>
                            </w:r>
                          </w:p>
                          <w:p w14:paraId="5F1DFBD5" w14:textId="32D38E2B" w:rsidR="007216EB" w:rsidRDefault="007216EB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14.4 percent of children </w:t>
                            </w:r>
                            <w:r w:rsidR="00290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were </w:t>
                            </w:r>
                            <w:r w:rsidR="00290616" w:rsidRPr="005A090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at risk</w:t>
                            </w:r>
                            <w:r w:rsidR="002906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 communication skills and general knowledge and 6.2 percent were vulnerable</w:t>
                            </w:r>
                            <w:r w:rsidR="00AF6B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which was a decrease from 2018.</w:t>
                            </w:r>
                          </w:p>
                          <w:p w14:paraId="4B3F4351" w14:textId="44049154" w:rsidR="004F22BB" w:rsidRPr="00054F1A" w:rsidRDefault="00FA6518" w:rsidP="004F22BB">
                            <w:pPr>
                              <w:pStyle w:val="ListBullet"/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54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(www.aedc.gov.au)</w:t>
                            </w:r>
                          </w:p>
                          <w:p w14:paraId="54196550" w14:textId="77777777" w:rsidR="00FD3965" w:rsidRPr="00E22F7C" w:rsidRDefault="00FD3965" w:rsidP="004F22BB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FC559" id="_x0000_s1027" type="#_x0000_t202" style="position:absolute;margin-left:351.95pt;margin-top:.05pt;width:374.9pt;height:70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">
                <v:textbox>
                  <w:txbxContent>
                    <w:p w14:paraId="249B624A" w14:textId="77777777" w:rsidR="004F22BB" w:rsidRDefault="004F22BB" w:rsidP="004F22B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9518C">
                        <w:rPr>
                          <w:b/>
                          <w:sz w:val="24"/>
                          <w:szCs w:val="24"/>
                        </w:rPr>
                        <w:t>Demographic profile</w:t>
                      </w:r>
                    </w:p>
                    <w:p w14:paraId="7816815A" w14:textId="77777777" w:rsidR="009B6B8C" w:rsidRDefault="009B6B8C" w:rsidP="004F22B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26D5D0C" w14:textId="493051D1" w:rsidR="004F22BB" w:rsidRPr="00976C16" w:rsidRDefault="004F22BB" w:rsidP="004F22B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976C16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TOTAL POPULATION – FROM </w:t>
                      </w:r>
                      <w:r w:rsidR="00BC4E8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2022 </w:t>
                      </w:r>
                      <w:r w:rsidRPr="00976C16">
                        <w:rPr>
                          <w:rFonts w:cs="Arial"/>
                          <w:b/>
                          <w:sz w:val="16"/>
                          <w:szCs w:val="16"/>
                        </w:rPr>
                        <w:t>TO 2036:</w:t>
                      </w:r>
                    </w:p>
                    <w:p w14:paraId="089758E0" w14:textId="40C3D542" w:rsidR="004F22BB" w:rsidRPr="00976C16" w:rsidRDefault="004F22BB" w:rsidP="005C2988">
                      <w:p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>•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ab/>
                        <w:t>2</w:t>
                      </w:r>
                      <w:r w:rsidR="00177252">
                        <w:rPr>
                          <w:rFonts w:cs="Arial"/>
                          <w:sz w:val="16"/>
                          <w:szCs w:val="16"/>
                        </w:rPr>
                        <w:t>74 647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 xml:space="preserve"> in 20</w:t>
                      </w:r>
                      <w:r w:rsidR="00177252">
                        <w:rPr>
                          <w:rFonts w:cs="Arial"/>
                          <w:sz w:val="16"/>
                          <w:szCs w:val="16"/>
                        </w:rPr>
                        <w:t>22</w:t>
                      </w:r>
                    </w:p>
                    <w:p w14:paraId="31392FBD" w14:textId="33D923C3" w:rsidR="004F22BB" w:rsidRPr="00976C16" w:rsidRDefault="004F22BB" w:rsidP="005C2988">
                      <w:p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>•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ab/>
                        <w:t>2</w:t>
                      </w:r>
                      <w:r w:rsidR="00177252">
                        <w:rPr>
                          <w:rFonts w:cs="Arial"/>
                          <w:sz w:val="16"/>
                          <w:szCs w:val="16"/>
                        </w:rPr>
                        <w:t>98 716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 xml:space="preserve"> in 2026</w:t>
                      </w:r>
                    </w:p>
                    <w:p w14:paraId="79E93F7F" w14:textId="1D4A1FAF" w:rsidR="004F22BB" w:rsidRPr="00976C16" w:rsidRDefault="004F22BB" w:rsidP="005C2988">
                      <w:p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>•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ab/>
                        <w:t>3</w:t>
                      </w:r>
                      <w:r w:rsidR="00177252">
                        <w:rPr>
                          <w:rFonts w:cs="Arial"/>
                          <w:sz w:val="16"/>
                          <w:szCs w:val="16"/>
                        </w:rPr>
                        <w:t>61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>,</w:t>
                      </w:r>
                      <w:r w:rsidR="00177252">
                        <w:rPr>
                          <w:rFonts w:cs="Arial"/>
                          <w:sz w:val="16"/>
                          <w:szCs w:val="16"/>
                        </w:rPr>
                        <w:t>014</w:t>
                      </w:r>
                      <w:r w:rsidRPr="00976C16">
                        <w:rPr>
                          <w:rFonts w:cs="Arial"/>
                          <w:sz w:val="16"/>
                          <w:szCs w:val="16"/>
                        </w:rPr>
                        <w:t xml:space="preserve"> in 2036</w:t>
                      </w:r>
                    </w:p>
                    <w:p w14:paraId="0435E32D" w14:textId="77777777" w:rsidR="004F22BB" w:rsidRPr="00976C16" w:rsidRDefault="004F22BB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258E887" w14:textId="7DCD40EB" w:rsidR="004F22BB" w:rsidRPr="00976C16" w:rsidRDefault="004F22BB" w:rsidP="004F22B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976C16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IN </w:t>
                      </w:r>
                      <w:r w:rsidR="00177252">
                        <w:rPr>
                          <w:rFonts w:cs="Arial"/>
                          <w:b/>
                          <w:sz w:val="16"/>
                          <w:szCs w:val="16"/>
                        </w:rPr>
                        <w:t>2022</w:t>
                      </w:r>
                      <w:r w:rsidRPr="00976C16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47DD38D7" w14:textId="5750033C" w:rsidR="004F22BB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17</w:t>
                      </w:r>
                      <w:r w:rsidR="00912EE9" w:rsidRPr="00BC4E8A">
                        <w:rPr>
                          <w:rFonts w:cs="Arial"/>
                          <w:sz w:val="16"/>
                          <w:szCs w:val="16"/>
                        </w:rPr>
                        <w:t>,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260</w:t>
                      </w:r>
                      <w:r w:rsidR="004F22BB"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children aged 0 to 4 years, 6.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28</w:t>
                      </w:r>
                      <w:r w:rsidR="004F22BB"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per cent of Greater Geelong’s population – which is the fourth largest municipality of children in Victoria, – expect 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5522</w:t>
                      </w:r>
                      <w:r w:rsidR="004F22BB"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more children by 2036</w:t>
                      </w:r>
                    </w:p>
                    <w:p w14:paraId="0CDA79FC" w14:textId="5ABE206E" w:rsidR="004F22BB" w:rsidRPr="00BC4E8A" w:rsidRDefault="004F22BB" w:rsidP="005C2988">
                      <w:p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•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ab/>
                        <w:t>1</w:t>
                      </w:r>
                      <w:r w:rsidR="00177252" w:rsidRPr="00BC4E8A">
                        <w:rPr>
                          <w:rFonts w:cs="Arial"/>
                          <w:sz w:val="16"/>
                          <w:szCs w:val="16"/>
                        </w:rPr>
                        <w:t>7</w:t>
                      </w:r>
                      <w:r w:rsidR="00912EE9" w:rsidRPr="00BC4E8A">
                        <w:rPr>
                          <w:rFonts w:cs="Arial"/>
                          <w:sz w:val="16"/>
                          <w:szCs w:val="16"/>
                        </w:rPr>
                        <w:t>,</w:t>
                      </w:r>
                      <w:r w:rsidR="00177252" w:rsidRPr="00BC4E8A">
                        <w:rPr>
                          <w:rFonts w:cs="Arial"/>
                          <w:sz w:val="16"/>
                          <w:szCs w:val="16"/>
                        </w:rPr>
                        <w:t>541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children aged 5 to 9 years, 6.</w:t>
                      </w:r>
                      <w:r w:rsidR="00177252" w:rsidRPr="00BC4E8A">
                        <w:rPr>
                          <w:rFonts w:cs="Arial"/>
                          <w:sz w:val="16"/>
                          <w:szCs w:val="16"/>
                        </w:rPr>
                        <w:t>39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per cent of Greater Geelong’s population – expect </w:t>
                      </w:r>
                      <w:r w:rsidR="00177252" w:rsidRPr="00BC4E8A">
                        <w:rPr>
                          <w:rFonts w:cs="Arial"/>
                          <w:sz w:val="16"/>
                          <w:szCs w:val="16"/>
                        </w:rPr>
                        <w:t>5335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more children by 2036</w:t>
                      </w:r>
                    </w:p>
                    <w:p w14:paraId="34865EE9" w14:textId="77777777" w:rsidR="004F22BB" w:rsidRPr="00BC4E8A" w:rsidRDefault="004F22BB" w:rsidP="005C2988">
                      <w:p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•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ab/>
                        <w:t xml:space="preserve">Suburbs which are expected to increase by more than 100 children of 0–4yrs by 2036 are: </w:t>
                      </w:r>
                    </w:p>
                    <w:p w14:paraId="257768B8" w14:textId="2C3DC110" w:rsidR="004F22BB" w:rsidRPr="00BC4E8A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Armstrong Creek</w:t>
                      </w:r>
                    </w:p>
                    <w:p w14:paraId="2355B006" w14:textId="582458C1" w:rsidR="004F22BB" w:rsidRPr="00BC4E8A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Marshall and Charlemont</w:t>
                      </w:r>
                    </w:p>
                    <w:p w14:paraId="294EA1EF" w14:textId="056DCB12" w:rsidR="004F22BB" w:rsidRPr="00BC4E8A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Lovely Banks and Batesford</w:t>
                      </w:r>
                    </w:p>
                    <w:p w14:paraId="270EAEA3" w14:textId="044BEB0D" w:rsidR="00177252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Bell Post Hill</w:t>
                      </w:r>
                    </w:p>
                    <w:p w14:paraId="6F84F653" w14:textId="0671453F" w:rsidR="00177252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Mt Duneed</w:t>
                      </w:r>
                    </w:p>
                    <w:p w14:paraId="427A3F67" w14:textId="550C689F" w:rsidR="00177252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Curlewis</w:t>
                      </w:r>
                    </w:p>
                    <w:p w14:paraId="5816712E" w14:textId="38314477" w:rsidR="00177252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Leopold</w:t>
                      </w:r>
                    </w:p>
                    <w:p w14:paraId="551C4FD0" w14:textId="5F15ADBA" w:rsidR="00177252" w:rsidRPr="00BC4E8A" w:rsidRDefault="00177252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Lara</w:t>
                      </w:r>
                    </w:p>
                    <w:p w14:paraId="4C9C6D62" w14:textId="6584D899" w:rsidR="00177252" w:rsidRPr="00BC4E8A" w:rsidRDefault="00BC4E8A" w:rsidP="00BC4E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Geelong-S</w:t>
                      </w:r>
                      <w:r w:rsidR="008B13E5">
                        <w:rPr>
                          <w:rFonts w:cs="Arial"/>
                          <w:sz w:val="16"/>
                          <w:szCs w:val="16"/>
                        </w:rPr>
                        <w:t>ou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th</w:t>
                      </w:r>
                      <w:r w:rsidR="00FD41C2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Geelong-Drumcondra</w:t>
                      </w:r>
                    </w:p>
                    <w:p w14:paraId="48A719CD" w14:textId="77777777" w:rsidR="004F22BB" w:rsidRPr="00BC4E8A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Herne Hill and</w:t>
                      </w:r>
                    </w:p>
                    <w:p w14:paraId="7D6A3851" w14:textId="5CB5853A" w:rsidR="005C2988" w:rsidRPr="00BC4E8A" w:rsidRDefault="004F22BB" w:rsidP="00C46C0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567"/>
                        </w:tabs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Fyansford.</w:t>
                      </w:r>
                    </w:p>
                    <w:p w14:paraId="1F65DC69" w14:textId="77777777" w:rsidR="004F22BB" w:rsidRPr="00F0647E" w:rsidRDefault="004F22BB" w:rsidP="004F22B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0647E">
                        <w:rPr>
                          <w:rFonts w:cs="Arial"/>
                          <w:b/>
                          <w:sz w:val="16"/>
                          <w:szCs w:val="16"/>
                        </w:rPr>
                        <w:t>Aboriginal and Torres Strait Islander population</w:t>
                      </w:r>
                    </w:p>
                    <w:p w14:paraId="21C5733A" w14:textId="3AAEC569" w:rsidR="004F22BB" w:rsidRPr="00F0647E" w:rsidRDefault="00F0647E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>1.3% of</w:t>
                      </w:r>
                      <w:r w:rsidR="004F22BB" w:rsidRPr="00F0647E">
                        <w:rPr>
                          <w:rFonts w:cs="Arial"/>
                          <w:sz w:val="16"/>
                          <w:szCs w:val="16"/>
                        </w:rPr>
                        <w:t xml:space="preserve"> the municipal population identify as Aboriginal and Torres Strait Islander through the Australian Bureau of Statistics census</w:t>
                      </w:r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 xml:space="preserve"> 2021</w:t>
                      </w:r>
                      <w:r w:rsidR="004F22BB" w:rsidRPr="00F0647E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  <w:p w14:paraId="2EE242B3" w14:textId="14EAF974" w:rsidR="004F22BB" w:rsidRPr="00F0647E" w:rsidRDefault="004F22BB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 xml:space="preserve">The census is usually regarded as showing less than the numbers who live in the municipality.  There has been a significant increase from </w:t>
                      </w:r>
                      <w:r w:rsidR="00F0647E" w:rsidRPr="00F0647E">
                        <w:rPr>
                          <w:rFonts w:cs="Arial"/>
                          <w:sz w:val="16"/>
                          <w:szCs w:val="16"/>
                        </w:rPr>
                        <w:t>2411 in 2016 to 3562</w:t>
                      </w:r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 xml:space="preserve"> in 20</w:t>
                      </w:r>
                      <w:r w:rsidR="00F0647E" w:rsidRPr="00F0647E">
                        <w:rPr>
                          <w:rFonts w:cs="Arial"/>
                          <w:sz w:val="16"/>
                          <w:szCs w:val="16"/>
                        </w:rPr>
                        <w:t>21 representing a 57.8% increase from 2016.</w:t>
                      </w:r>
                    </w:p>
                    <w:p w14:paraId="3925A392" w14:textId="77777777" w:rsidR="00976C16" w:rsidRPr="00F0647E" w:rsidRDefault="00976C16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 xml:space="preserve">(Source: </w:t>
                      </w:r>
                      <w:hyperlink r:id="rId25" w:history="1">
                        <w:r w:rsidRPr="00F0647E">
                          <w:rPr>
                            <w:rFonts w:cs="Arial"/>
                            <w:sz w:val="16"/>
                            <w:szCs w:val="16"/>
                          </w:rPr>
                          <w:t>https://profile.id.com.au/geelong/assistance</w:t>
                        </w:r>
                      </w:hyperlink>
                      <w:r w:rsidRPr="00F0647E"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</w:p>
                    <w:p w14:paraId="7400EA02" w14:textId="77777777" w:rsidR="004F22BB" w:rsidRPr="00486B02" w:rsidRDefault="004F22BB" w:rsidP="004F22BB">
                      <w:pPr>
                        <w:rPr>
                          <w:rFonts w:cs="Arial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621E43FD" w14:textId="77777777" w:rsidR="004F22BB" w:rsidRPr="00F676B4" w:rsidRDefault="004F22BB" w:rsidP="004F22B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F676B4">
                        <w:rPr>
                          <w:rFonts w:cs="Arial"/>
                          <w:b/>
                          <w:sz w:val="16"/>
                          <w:szCs w:val="16"/>
                        </w:rPr>
                        <w:t>Culture and Language Diversity</w:t>
                      </w:r>
                    </w:p>
                    <w:p w14:paraId="3E232517" w14:textId="0DCCCBF3" w:rsidR="004F22BB" w:rsidRPr="00F676B4" w:rsidRDefault="004F22BB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There is </w:t>
                      </w:r>
                      <w:r w:rsidR="00912EE9">
                        <w:rPr>
                          <w:rFonts w:cs="Arial"/>
                          <w:sz w:val="16"/>
                          <w:szCs w:val="16"/>
                        </w:rPr>
                        <w:t>significant</w:t>
                      </w: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variation in the social and economic circumstances of people living in Greater Geelong. We need to consider these differences when planning for services.</w:t>
                      </w:r>
                    </w:p>
                    <w:p w14:paraId="6552B793" w14:textId="1BDFDF73" w:rsidR="004F22BB" w:rsidRPr="00F676B4" w:rsidRDefault="00700748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>77.6</w:t>
                      </w:r>
                      <w:r w:rsidR="00016152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per cent 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of the community are Australian born, with the United Kingdom, India, New Zealand, </w:t>
                      </w:r>
                      <w:r w:rsidR="000A46E1" w:rsidRPr="00F676B4">
                        <w:rPr>
                          <w:rFonts w:cs="Arial"/>
                          <w:sz w:val="16"/>
                          <w:szCs w:val="16"/>
                        </w:rPr>
                        <w:t>Philippines,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and China the main birthplaces outside of Australia. </w:t>
                      </w:r>
                    </w:p>
                    <w:p w14:paraId="31596289" w14:textId="53B3791A" w:rsidR="00976C16" w:rsidRPr="00F676B4" w:rsidRDefault="00700748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83.1% speak 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English, </w:t>
                      </w: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>11.7% have English as their second language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The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most common languages spoken at home</w:t>
                      </w:r>
                      <w:r w:rsidR="00F619A6">
                        <w:rPr>
                          <w:rFonts w:cs="Arial"/>
                          <w:sz w:val="16"/>
                          <w:szCs w:val="16"/>
                        </w:rPr>
                        <w:t xml:space="preserve"> other than English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0A46E1" w:rsidRPr="00F676B4">
                        <w:rPr>
                          <w:rFonts w:cs="Arial"/>
                          <w:sz w:val="16"/>
                          <w:szCs w:val="16"/>
                        </w:rPr>
                        <w:t>include</w:t>
                      </w: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Mandarin, Punjabi</w:t>
                      </w:r>
                      <w:r w:rsidRPr="00BC4E8A">
                        <w:rPr>
                          <w:rFonts w:cs="Arial"/>
                          <w:sz w:val="16"/>
                          <w:szCs w:val="16"/>
                        </w:rPr>
                        <w:t>, Italian, Croatian</w:t>
                      </w:r>
                      <w:r w:rsidR="00F676B4" w:rsidRPr="00BC4E8A">
                        <w:rPr>
                          <w:rFonts w:cs="Arial"/>
                          <w:sz w:val="16"/>
                          <w:szCs w:val="16"/>
                        </w:rPr>
                        <w:t xml:space="preserve"> and Italian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Punjabi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and 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Filipino/Tagalog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are the non-English spoken languages that have seen the largest growth </w:t>
                      </w:r>
                      <w:r w:rsidR="00F676B4" w:rsidRPr="00F676B4">
                        <w:rPr>
                          <w:rFonts w:cs="Arial"/>
                          <w:sz w:val="16"/>
                          <w:szCs w:val="16"/>
                        </w:rPr>
                        <w:t>between 2016 and 2021.</w:t>
                      </w:r>
                    </w:p>
                    <w:p w14:paraId="4D25FD55" w14:textId="77777777" w:rsidR="004F22BB" w:rsidRPr="00F676B4" w:rsidRDefault="00976C16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(Source: </w:t>
                      </w:r>
                      <w:hyperlink r:id="rId26" w:history="1">
                        <w:r w:rsidRPr="00F676B4">
                          <w:rPr>
                            <w:rFonts w:cs="Arial"/>
                            <w:sz w:val="16"/>
                            <w:szCs w:val="16"/>
                          </w:rPr>
                          <w:t>https://profile.id.com.au/geelong/assistance</w:t>
                        </w:r>
                      </w:hyperlink>
                      <w:r w:rsidRPr="00F676B4"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  <w:r w:rsidR="004F22BB" w:rsidRPr="00F676B4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747E5F" w14:textId="77777777" w:rsidR="004F22BB" w:rsidRPr="00F676B4" w:rsidRDefault="004F22BB" w:rsidP="004F22BB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120C9D8" w14:textId="4FAAFD64" w:rsidR="004F22BB" w:rsidRPr="004F5BF7" w:rsidRDefault="004F22BB" w:rsidP="004F22BB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4F5BF7">
                        <w:rPr>
                          <w:rFonts w:cs="Arial"/>
                          <w:b/>
                          <w:sz w:val="16"/>
                          <w:szCs w:val="16"/>
                        </w:rPr>
                        <w:t>Family types in 20</w:t>
                      </w:r>
                      <w:r w:rsidR="005C537F" w:rsidRPr="004F5BF7">
                        <w:rPr>
                          <w:rFonts w:cs="Arial"/>
                          <w:b/>
                          <w:sz w:val="16"/>
                          <w:szCs w:val="16"/>
                        </w:rPr>
                        <w:t>21</w:t>
                      </w:r>
                    </w:p>
                    <w:p w14:paraId="01EC3A51" w14:textId="3EE6B176" w:rsidR="004F22BB" w:rsidRPr="004F5BF7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There were </w:t>
                      </w:r>
                      <w:r w:rsidR="00F676B4" w:rsidRPr="004F5BF7">
                        <w:rPr>
                          <w:rFonts w:cs="Arial"/>
                          <w:sz w:val="16"/>
                          <w:szCs w:val="16"/>
                        </w:rPr>
                        <w:t>29,541</w:t>
                      </w:r>
                      <w:r w:rsidR="00912EE9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>people living in couple families with dependents (</w:t>
                      </w:r>
                      <w:r w:rsidR="00331558"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27.3 </w:t>
                      </w: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>per cent of households).</w:t>
                      </w:r>
                    </w:p>
                    <w:p w14:paraId="5E85D68B" w14:textId="2CD43EED" w:rsidR="004F22BB" w:rsidRPr="004F5BF7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>There were 11,</w:t>
                      </w:r>
                      <w:r w:rsidR="00480006"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505 </w:t>
                      </w: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>people living in one parent families, with dependents (</w:t>
                      </w:r>
                      <w:r w:rsidR="000A46E1" w:rsidRPr="004F5BF7">
                        <w:rPr>
                          <w:rFonts w:cs="Arial"/>
                          <w:sz w:val="16"/>
                          <w:szCs w:val="16"/>
                        </w:rPr>
                        <w:t>10.6 per</w:t>
                      </w: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 cent of households).</w:t>
                      </w:r>
                    </w:p>
                    <w:p w14:paraId="4F847747" w14:textId="161FA574" w:rsidR="004F22BB" w:rsidRPr="004F5BF7" w:rsidRDefault="004F22BB" w:rsidP="005C298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There were </w:t>
                      </w:r>
                      <w:r w:rsidR="00780920" w:rsidRPr="004F5BF7">
                        <w:rPr>
                          <w:rFonts w:cs="Arial"/>
                          <w:sz w:val="16"/>
                          <w:szCs w:val="16"/>
                        </w:rPr>
                        <w:t>1092</w:t>
                      </w: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 people living in other families (1 per cent of households).</w:t>
                      </w:r>
                    </w:p>
                    <w:p w14:paraId="27E0B50A" w14:textId="77777777" w:rsidR="00976C16" w:rsidRPr="004F5BF7" w:rsidRDefault="00976C16" w:rsidP="005C2988">
                      <w:pPr>
                        <w:pStyle w:val="ListParagraph"/>
                        <w:ind w:left="284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 xml:space="preserve">(Source: </w:t>
                      </w:r>
                      <w:hyperlink r:id="rId27" w:history="1">
                        <w:r w:rsidRPr="004F5BF7">
                          <w:rPr>
                            <w:rFonts w:cs="Arial"/>
                            <w:sz w:val="16"/>
                            <w:szCs w:val="16"/>
                          </w:rPr>
                          <w:t>https://profile.id.com.au/geelong/assistance</w:t>
                        </w:r>
                      </w:hyperlink>
                      <w:r w:rsidRPr="004F5BF7"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</w:p>
                    <w:p w14:paraId="1835557A" w14:textId="5968617E" w:rsidR="00D77799" w:rsidRPr="005A090D" w:rsidRDefault="00CF65B3" w:rsidP="004F22BB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5A09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Australian Early Development Census</w:t>
                      </w:r>
                      <w:r w:rsidRPr="005A090D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(</w:t>
                      </w:r>
                      <w:r w:rsidR="00BD3778" w:rsidRPr="005A09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AE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DC</w:t>
                      </w:r>
                      <w:r w:rsidRPr="005A09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)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Domains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: Physical Health and Wellbeing, Social Competence, Emotional Maturity, Language and </w:t>
                      </w:r>
                      <w:r w:rsidR="00F619A6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C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ognitive skills, Communication </w:t>
                      </w:r>
                      <w:r w:rsidR="00F619A6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S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kills and </w:t>
                      </w:r>
                      <w:r w:rsidR="00F619A6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G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eneral </w:t>
                      </w:r>
                      <w:r w:rsidR="00F619A6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K</w:t>
                      </w:r>
                      <w:r w:rsidR="00C50D50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nowledge.</w:t>
                      </w:r>
                      <w:r w:rsid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5A090D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“</w:t>
                      </w:r>
                      <w:r w:rsidR="00FD41C2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At risk</w:t>
                      </w:r>
                      <w:r w:rsidR="005A090D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”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refers to children who score between the 10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and 25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percentile in a domain</w:t>
                      </w:r>
                      <w:r w:rsid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A090D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“</w:t>
                      </w:r>
                      <w:r w:rsidR="00FD41C2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V</w:t>
                      </w:r>
                      <w:r w:rsidR="00D77799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ulnerable</w:t>
                      </w:r>
                      <w:r w:rsidR="005A090D" w:rsidRPr="005A090D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”</w:t>
                      </w:r>
                      <w:r w:rsidR="00D77799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refers to</w:t>
                      </w:r>
                      <w:r w:rsidR="00FD41C2" w:rsidRPr="005A090D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D41C2" w:rsidRP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>a score lower than the 10th percentile in a domain</w:t>
                      </w:r>
                      <w:r w:rsidR="005A090D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0A7C40DA" w14:textId="407C3534" w:rsidR="00FD41C2" w:rsidRPr="00FD41C2" w:rsidRDefault="00FD41C2" w:rsidP="00FD41C2">
                      <w:pPr>
                        <w:spacing w:line="270" w:lineRule="atLeast"/>
                        <w:rPr>
                          <w:rFonts w:cs="Arial"/>
                          <w:b/>
                          <w:spacing w:val="2"/>
                          <w:sz w:val="16"/>
                          <w:szCs w:val="16"/>
                          <w:lang w:eastAsia="en-AU"/>
                        </w:rPr>
                      </w:pPr>
                      <w:r w:rsidRPr="00FD41C2">
                        <w:rPr>
                          <w:rFonts w:cs="Arial"/>
                          <w:b/>
                          <w:spacing w:val="2"/>
                          <w:sz w:val="16"/>
                          <w:szCs w:val="16"/>
                          <w:lang w:eastAsia="en-AU"/>
                        </w:rPr>
                        <w:t xml:space="preserve">What the </w:t>
                      </w:r>
                      <w:r w:rsidR="00CF65B3">
                        <w:rPr>
                          <w:rFonts w:cs="Arial"/>
                          <w:b/>
                          <w:spacing w:val="2"/>
                          <w:sz w:val="16"/>
                          <w:szCs w:val="16"/>
                          <w:lang w:eastAsia="en-AU"/>
                        </w:rPr>
                        <w:t>AEDC</w:t>
                      </w:r>
                      <w:r w:rsidRPr="00FD41C2">
                        <w:rPr>
                          <w:rFonts w:cs="Arial"/>
                          <w:b/>
                          <w:spacing w:val="2"/>
                          <w:sz w:val="16"/>
                          <w:szCs w:val="16"/>
                          <w:lang w:eastAsia="en-AU"/>
                        </w:rPr>
                        <w:t xml:space="preserve"> data 2021 tells us:</w:t>
                      </w:r>
                    </w:p>
                    <w:p w14:paraId="17962F58" w14:textId="6B740168" w:rsidR="004D5643" w:rsidRPr="00571EFC" w:rsidRDefault="004D5643" w:rsidP="004F22BB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Number of children measured- 2890</w:t>
                      </w:r>
                    </w:p>
                    <w:p w14:paraId="7528B68A" w14:textId="43DEF715" w:rsidR="00571EFC" w:rsidRDefault="004F22BB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When children in our region started full-time school in 20</w:t>
                      </w:r>
                      <w:r w:rsidR="00014DD0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21</w:t>
                      </w: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1445DB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19.3</w:t>
                      </w: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cent were ‘developmentally vulnerable’ in </w:t>
                      </w:r>
                      <w:r w:rsidR="00054F1A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one or</w:t>
                      </w:r>
                      <w:r w:rsidR="00915BD1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more domains </w:t>
                      </w:r>
                      <w:r w:rsidR="00054F1A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slightly lower than the state average of 19.9 percent, and </w:t>
                      </w:r>
                      <w:r w:rsidR="00DE34DA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10.3 percent</w:t>
                      </w:r>
                      <w:r w:rsidR="009110FB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two areas</w:t>
                      </w:r>
                      <w:r w:rsidR="00915BD1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 more</w:t>
                      </w:r>
                      <w:r w:rsidR="00F619A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of vulnerability</w:t>
                      </w:r>
                      <w:r w:rsidR="00571EFC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="00054F1A"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slightly higher than the state average of 10.2</w:t>
                      </w: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E4814BC" w14:textId="65413E1D" w:rsidR="00DE34DA" w:rsidRDefault="004F22BB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9805E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97 percent of children measured had attended </w:t>
                      </w:r>
                      <w:r w:rsidR="00EC5229">
                        <w:rPr>
                          <w:rFonts w:ascii="Arial" w:hAnsi="Arial" w:cs="Arial"/>
                          <w:sz w:val="16"/>
                          <w:szCs w:val="16"/>
                        </w:rPr>
                        <w:t>Preschool or Kindergarten</w:t>
                      </w:r>
                    </w:p>
                    <w:p w14:paraId="3C11B433" w14:textId="2631C38D" w:rsidR="002D3CA3" w:rsidRPr="00D77799" w:rsidRDefault="00232D29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12.2 percent of children measured were </w:t>
                      </w:r>
                      <w:r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at risk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physical health and wellbeing </w:t>
                      </w:r>
                      <w:r w:rsidRPr="00D77799">
                        <w:rPr>
                          <w:rFonts w:ascii="Arial" w:hAnsi="Arial" w:cs="Arial"/>
                          <w:sz w:val="16"/>
                          <w:szCs w:val="16"/>
                        </w:rPr>
                        <w:t>and 9.2 percent</w:t>
                      </w:r>
                      <w:r w:rsidRPr="00A47C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7FB4" w:rsidRPr="00D777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were </w:t>
                      </w:r>
                      <w:r w:rsidR="005A7FB4"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vulnerable</w:t>
                      </w:r>
                      <w:r w:rsidR="00931DCC" w:rsidRPr="00D777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which is an increase </w:t>
                      </w:r>
                      <w:r w:rsidR="006A4886" w:rsidRPr="00D7779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from 2015 and </w:t>
                      </w:r>
                      <w:r w:rsidR="00172A6F" w:rsidRPr="00D77799">
                        <w:rPr>
                          <w:rFonts w:ascii="Arial" w:hAnsi="Arial" w:cs="Arial"/>
                          <w:sz w:val="16"/>
                          <w:szCs w:val="16"/>
                        </w:rPr>
                        <w:t>no change from 2018</w:t>
                      </w:r>
                    </w:p>
                    <w:p w14:paraId="223318EC" w14:textId="20729F2C" w:rsidR="005A7FB4" w:rsidRDefault="005A7FB4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12.9 percent of children measured were </w:t>
                      </w:r>
                      <w:r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at risk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social competence</w:t>
                      </w:r>
                      <w:r w:rsidR="006148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8.6% were </w:t>
                      </w:r>
                      <w:r w:rsidR="006148CA"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vulnerable</w:t>
                      </w:r>
                      <w:r w:rsidR="00172A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which was a decrease from 2018.</w:t>
                      </w:r>
                    </w:p>
                    <w:p w14:paraId="41E64296" w14:textId="0550690E" w:rsidR="006148CA" w:rsidRDefault="006148CA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13.1 percent of children measured were </w:t>
                      </w:r>
                      <w:r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at risk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216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 emotional maturity and 8.7% were </w:t>
                      </w:r>
                      <w:r w:rsidR="007216EB"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vulnerable</w:t>
                      </w:r>
                      <w:r w:rsidR="00AF6B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which was a decrease from 2018</w:t>
                      </w:r>
                    </w:p>
                    <w:p w14:paraId="5F1DFBD5" w14:textId="32D38E2B" w:rsidR="007216EB" w:rsidRDefault="007216EB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14.4 percent of children </w:t>
                      </w:r>
                      <w:r w:rsidR="002906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were </w:t>
                      </w:r>
                      <w:r w:rsidR="00290616" w:rsidRPr="005A090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at risk</w:t>
                      </w:r>
                      <w:r w:rsidR="002906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 communication skills and general knowledge and 6.2 percent were vulnerable</w:t>
                      </w:r>
                      <w:r w:rsidR="00AF6B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which was a decrease from 2018.</w:t>
                      </w:r>
                    </w:p>
                    <w:p w14:paraId="4B3F4351" w14:textId="44049154" w:rsidR="004F22BB" w:rsidRPr="00054F1A" w:rsidRDefault="00FA6518" w:rsidP="004F22BB">
                      <w:pPr>
                        <w:pStyle w:val="ListBullet"/>
                        <w:spacing w:before="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54F1A">
                        <w:rPr>
                          <w:rFonts w:ascii="Arial" w:hAnsi="Arial" w:cs="Arial"/>
                          <w:sz w:val="16"/>
                          <w:szCs w:val="16"/>
                        </w:rPr>
                        <w:t>(www.aedc.gov.au)</w:t>
                      </w:r>
                    </w:p>
                    <w:p w14:paraId="54196550" w14:textId="77777777" w:rsidR="00FD3965" w:rsidRPr="00E22F7C" w:rsidRDefault="00FD3965" w:rsidP="004F22BB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7059" w:rsidRPr="00632974">
        <w:rPr>
          <w:sz w:val="18"/>
          <w:szCs w:val="18"/>
        </w:rPr>
        <w:t>.</w:t>
      </w:r>
    </w:p>
    <w:p w14:paraId="79B7C3F6" w14:textId="6D52549B" w:rsidR="00527059" w:rsidRDefault="00527059" w:rsidP="00527059">
      <w:pPr>
        <w:rPr>
          <w:b/>
        </w:rPr>
      </w:pPr>
    </w:p>
    <w:p w14:paraId="09277658" w14:textId="7C191869" w:rsidR="00527059" w:rsidRPr="00356064" w:rsidRDefault="00356064" w:rsidP="00356064">
      <w:pPr>
        <w:jc w:val="center"/>
        <w:rPr>
          <w:b/>
          <w:sz w:val="32"/>
          <w:szCs w:val="32"/>
        </w:rPr>
      </w:pPr>
      <w:r w:rsidRPr="00356064">
        <w:rPr>
          <w:b/>
          <w:sz w:val="32"/>
          <w:szCs w:val="32"/>
        </w:rPr>
        <w:t>Greater Geelong: Clever and Creative future Community Aspirations</w:t>
      </w:r>
    </w:p>
    <w:p w14:paraId="49F3C724" w14:textId="5F1C5D9E" w:rsidR="00527059" w:rsidRDefault="00527059" w:rsidP="00527059">
      <w:pPr>
        <w:rPr>
          <w:b/>
        </w:rPr>
      </w:pPr>
    </w:p>
    <w:p w14:paraId="282B7A42" w14:textId="590D3163" w:rsidR="00527059" w:rsidRDefault="00356064" w:rsidP="00527059">
      <w:pPr>
        <w:rPr>
          <w:b/>
        </w:rPr>
      </w:pPr>
      <w:r>
        <w:rPr>
          <w:b/>
        </w:rPr>
        <w:t xml:space="preserve">At the heart of our community’s vision for Greater Geelong to be recognised regionally, nationally, and internationally as a clever and creative city region are a series of aspirations developed by the community. The following three aspirations are of </w:t>
      </w:r>
      <w:r w:rsidR="00AB6608">
        <w:rPr>
          <w:b/>
        </w:rPr>
        <w:t>relevance</w:t>
      </w:r>
      <w:r>
        <w:rPr>
          <w:b/>
        </w:rPr>
        <w:t xml:space="preserve"> to our plan</w:t>
      </w:r>
    </w:p>
    <w:p w14:paraId="3E21C8C1" w14:textId="45F888AE" w:rsidR="00177252" w:rsidRDefault="00177252" w:rsidP="00527059">
      <w:pPr>
        <w:rPr>
          <w:b/>
          <w:sz w:val="24"/>
          <w:szCs w:val="24"/>
        </w:rPr>
      </w:pPr>
    </w:p>
    <w:p w14:paraId="1DC9FB51" w14:textId="21D3E2FC" w:rsidR="00177252" w:rsidRDefault="00177252" w:rsidP="00527059">
      <w:pPr>
        <w:rPr>
          <w:b/>
          <w:sz w:val="24"/>
          <w:szCs w:val="24"/>
        </w:rPr>
      </w:pPr>
    </w:p>
    <w:p w14:paraId="69CD015D" w14:textId="58B795F7" w:rsidR="00177252" w:rsidRDefault="00356064" w:rsidP="00527059">
      <w:pPr>
        <w:rPr>
          <w:b/>
          <w:sz w:val="24"/>
          <w:szCs w:val="24"/>
        </w:rPr>
      </w:pPr>
      <w:r w:rsidRPr="00DE35AE">
        <w:rPr>
          <w:noProof/>
          <w:lang w:eastAsia="en-AU"/>
        </w:rPr>
        <w:drawing>
          <wp:anchor distT="0" distB="0" distL="114300" distR="114300" simplePos="0" relativeHeight="251682816" behindDoc="0" locked="0" layoutInCell="1" allowOverlap="1" wp14:anchorId="7AE3760B" wp14:editId="4349341D">
            <wp:simplePos x="0" y="0"/>
            <wp:positionH relativeFrom="margin">
              <wp:posOffset>6735760</wp:posOffset>
            </wp:positionH>
            <wp:positionV relativeFrom="margin">
              <wp:posOffset>2262220</wp:posOffset>
            </wp:positionV>
            <wp:extent cx="1818640" cy="6381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35AE">
        <w:rPr>
          <w:noProof/>
          <w:lang w:eastAsia="en-AU"/>
        </w:rPr>
        <w:drawing>
          <wp:inline distT="0" distB="0" distL="0" distR="0" wp14:anchorId="5B6ED716" wp14:editId="463E41E1">
            <wp:extent cx="1859988" cy="6500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37" cy="68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E510" w14:textId="2C6DDB0B" w:rsidR="00177252" w:rsidRDefault="00177252" w:rsidP="00527059">
      <w:pPr>
        <w:rPr>
          <w:b/>
          <w:sz w:val="24"/>
          <w:szCs w:val="24"/>
        </w:rPr>
      </w:pPr>
    </w:p>
    <w:p w14:paraId="7D81B69C" w14:textId="07D02A78" w:rsidR="00356064" w:rsidRDefault="00356064" w:rsidP="00527059">
      <w:pPr>
        <w:rPr>
          <w:b/>
          <w:sz w:val="24"/>
          <w:szCs w:val="24"/>
        </w:rPr>
      </w:pPr>
    </w:p>
    <w:p w14:paraId="7542D00C" w14:textId="57F9EE4C" w:rsidR="00356064" w:rsidRDefault="00356064" w:rsidP="00527059">
      <w:pPr>
        <w:rPr>
          <w:b/>
          <w:sz w:val="24"/>
          <w:szCs w:val="24"/>
        </w:rPr>
      </w:pPr>
      <w:r w:rsidRPr="003C27A2">
        <w:rPr>
          <w:b/>
          <w:noProof/>
          <w:lang w:eastAsia="en-AU"/>
        </w:rPr>
        <w:drawing>
          <wp:anchor distT="0" distB="0" distL="114300" distR="114300" simplePos="0" relativeHeight="251683840" behindDoc="0" locked="0" layoutInCell="1" allowOverlap="1" wp14:anchorId="2230EBA9" wp14:editId="7881A72F">
            <wp:simplePos x="0" y="0"/>
            <wp:positionH relativeFrom="column">
              <wp:posOffset>22213</wp:posOffset>
            </wp:positionH>
            <wp:positionV relativeFrom="margin">
              <wp:posOffset>2990850</wp:posOffset>
            </wp:positionV>
            <wp:extent cx="2160905" cy="6546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4CEF5" w14:textId="168438C3" w:rsidR="00356064" w:rsidRDefault="00356064" w:rsidP="00527059">
      <w:pPr>
        <w:rPr>
          <w:b/>
          <w:sz w:val="24"/>
          <w:szCs w:val="24"/>
        </w:rPr>
      </w:pPr>
    </w:p>
    <w:p w14:paraId="22A1792C" w14:textId="77777777" w:rsidR="00356064" w:rsidRDefault="00356064" w:rsidP="00527059">
      <w:pPr>
        <w:rPr>
          <w:b/>
          <w:sz w:val="24"/>
          <w:szCs w:val="24"/>
        </w:rPr>
      </w:pPr>
    </w:p>
    <w:p w14:paraId="7EE68370" w14:textId="77777777" w:rsidR="00356064" w:rsidRDefault="00356064" w:rsidP="00527059">
      <w:pPr>
        <w:rPr>
          <w:b/>
          <w:sz w:val="24"/>
          <w:szCs w:val="24"/>
        </w:rPr>
      </w:pPr>
    </w:p>
    <w:p w14:paraId="6E592BAD" w14:textId="77777777" w:rsidR="00356064" w:rsidRDefault="00356064" w:rsidP="00527059">
      <w:pPr>
        <w:rPr>
          <w:b/>
          <w:sz w:val="24"/>
          <w:szCs w:val="24"/>
        </w:rPr>
      </w:pPr>
    </w:p>
    <w:p w14:paraId="495CCBEC" w14:textId="77777777" w:rsidR="00356064" w:rsidRDefault="00356064" w:rsidP="00527059">
      <w:pPr>
        <w:rPr>
          <w:b/>
          <w:sz w:val="24"/>
          <w:szCs w:val="24"/>
        </w:rPr>
      </w:pPr>
    </w:p>
    <w:p w14:paraId="3612257D" w14:textId="77777777" w:rsidR="00356064" w:rsidRDefault="00356064" w:rsidP="00527059">
      <w:pPr>
        <w:rPr>
          <w:b/>
          <w:sz w:val="24"/>
          <w:szCs w:val="24"/>
        </w:rPr>
      </w:pPr>
    </w:p>
    <w:p w14:paraId="26FE0913" w14:textId="080800C4" w:rsidR="00527059" w:rsidRPr="00356064" w:rsidRDefault="00D0725D" w:rsidP="00356064">
      <w:pPr>
        <w:jc w:val="center"/>
        <w:rPr>
          <w:b/>
          <w:sz w:val="32"/>
          <w:szCs w:val="32"/>
        </w:rPr>
      </w:pPr>
      <w:r w:rsidRPr="00356064">
        <w:rPr>
          <w:b/>
          <w:sz w:val="32"/>
          <w:szCs w:val="32"/>
        </w:rPr>
        <w:t xml:space="preserve">Our </w:t>
      </w:r>
      <w:r w:rsidR="00177252" w:rsidRPr="00356064">
        <w:rPr>
          <w:b/>
          <w:sz w:val="32"/>
          <w:szCs w:val="32"/>
        </w:rPr>
        <w:t>C</w:t>
      </w:r>
      <w:r w:rsidRPr="00356064">
        <w:rPr>
          <w:b/>
          <w:sz w:val="32"/>
          <w:szCs w:val="32"/>
        </w:rPr>
        <w:t>ommunity</w:t>
      </w:r>
      <w:r w:rsidR="00177252" w:rsidRPr="00356064">
        <w:rPr>
          <w:b/>
          <w:sz w:val="32"/>
          <w:szCs w:val="32"/>
        </w:rPr>
        <w:t xml:space="preserve"> Plan 2022-2025 Related Strategic Priorities</w:t>
      </w:r>
    </w:p>
    <w:p w14:paraId="7AAEE23C" w14:textId="33ED5B30" w:rsidR="00527059" w:rsidRPr="00356064" w:rsidRDefault="00527059" w:rsidP="00527059">
      <w:pPr>
        <w:rPr>
          <w:b/>
          <w:sz w:val="32"/>
          <w:szCs w:val="32"/>
        </w:rPr>
      </w:pPr>
    </w:p>
    <w:p w14:paraId="222A0AD0" w14:textId="3D7C120D" w:rsidR="008444E6" w:rsidRPr="00356064" w:rsidRDefault="008444E6">
      <w:pPr>
        <w:rPr>
          <w:sz w:val="32"/>
          <w:szCs w:val="32"/>
        </w:rPr>
      </w:pPr>
    </w:p>
    <w:p w14:paraId="41EDA082" w14:textId="4E87DB70" w:rsidR="00BF4D01" w:rsidRDefault="00BF4D01">
      <w:pPr>
        <w:rPr>
          <w:b/>
          <w:sz w:val="16"/>
          <w:szCs w:val="16"/>
        </w:rPr>
      </w:pPr>
    </w:p>
    <w:p w14:paraId="543377FD" w14:textId="09323D05" w:rsidR="00527059" w:rsidRDefault="00527059">
      <w:pPr>
        <w:rPr>
          <w:b/>
          <w:sz w:val="16"/>
          <w:szCs w:val="16"/>
        </w:rPr>
      </w:pPr>
    </w:p>
    <w:p w14:paraId="558EF9CE" w14:textId="1709A816" w:rsidR="00527059" w:rsidRPr="00BF4D01" w:rsidRDefault="00527059">
      <w:pPr>
        <w:rPr>
          <w:b/>
          <w:sz w:val="16"/>
          <w:szCs w:val="16"/>
        </w:rPr>
      </w:pPr>
    </w:p>
    <w:p w14:paraId="579187F7" w14:textId="77777777" w:rsidR="00F24043" w:rsidRDefault="00F24043" w:rsidP="00F24043">
      <w:pPr>
        <w:tabs>
          <w:tab w:val="left" w:pos="1134"/>
        </w:tabs>
        <w:sectPr w:rsidR="00F24043" w:rsidSect="00F24043">
          <w:headerReference w:type="default" r:id="rId31"/>
          <w:pgSz w:w="23814" w:h="16839" w:orient="landscape" w:code="8"/>
          <w:pgMar w:top="1701" w:right="2835" w:bottom="851" w:left="1440" w:header="720" w:footer="720" w:gutter="0"/>
          <w:cols w:num="3" w:space="720"/>
          <w:docGrid w:linePitch="272"/>
        </w:sectPr>
      </w:pPr>
    </w:p>
    <w:tbl>
      <w:tblPr>
        <w:tblStyle w:val="TableGrid3"/>
        <w:tblW w:w="21972" w:type="dxa"/>
        <w:tblInd w:w="-572" w:type="dxa"/>
        <w:tblLook w:val="04A0" w:firstRow="1" w:lastRow="0" w:firstColumn="1" w:lastColumn="0" w:noHBand="0" w:noVBand="1"/>
      </w:tblPr>
      <w:tblGrid>
        <w:gridCol w:w="4253"/>
        <w:gridCol w:w="7229"/>
        <w:gridCol w:w="7088"/>
        <w:gridCol w:w="3402"/>
      </w:tblGrid>
      <w:tr w:rsidR="003975EE" w:rsidRPr="003975EE" w14:paraId="79F96B41" w14:textId="77777777" w:rsidTr="00AF76C4">
        <w:trPr>
          <w:trHeight w:val="699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51A033F" w14:textId="77777777" w:rsidR="003975EE" w:rsidRPr="003975EE" w:rsidRDefault="003975EE" w:rsidP="003975EE">
            <w:pPr>
              <w:jc w:val="center"/>
              <w:rPr>
                <w:b/>
                <w:sz w:val="28"/>
                <w:szCs w:val="28"/>
              </w:rPr>
            </w:pPr>
            <w:r w:rsidRPr="003975EE">
              <w:rPr>
                <w:b/>
                <w:sz w:val="28"/>
                <w:szCs w:val="28"/>
              </w:rPr>
              <w:lastRenderedPageBreak/>
              <w:t>IF WE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1FB4CAC" w14:textId="460FB603" w:rsidR="003975EE" w:rsidRPr="003975EE" w:rsidRDefault="00686A20" w:rsidP="003975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B93295" w14:textId="77777777" w:rsidR="003975EE" w:rsidRPr="003975EE" w:rsidRDefault="00B37383" w:rsidP="003975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 </w:t>
            </w:r>
            <w:r w:rsidR="003975EE" w:rsidRPr="003975EE">
              <w:rPr>
                <w:b/>
                <w:sz w:val="28"/>
                <w:szCs w:val="28"/>
              </w:rPr>
              <w:t>WILL RESULT IN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D65EA3" w14:textId="77777777" w:rsidR="003975EE" w:rsidRPr="003975EE" w:rsidRDefault="003975EE" w:rsidP="003975EE">
            <w:pPr>
              <w:jc w:val="center"/>
              <w:rPr>
                <w:b/>
                <w:sz w:val="28"/>
                <w:szCs w:val="28"/>
              </w:rPr>
            </w:pPr>
            <w:r w:rsidRPr="003975EE">
              <w:rPr>
                <w:b/>
                <w:sz w:val="28"/>
                <w:szCs w:val="28"/>
              </w:rPr>
              <w:t>AND LEAD TO</w:t>
            </w:r>
          </w:p>
        </w:tc>
      </w:tr>
      <w:tr w:rsidR="00AF76C4" w:rsidRPr="006A644B" w14:paraId="14AC09D9" w14:textId="77777777" w:rsidTr="00AF76C4">
        <w:trPr>
          <w:trHeight w:val="1267"/>
        </w:trPr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5C9002" w14:textId="77777777" w:rsidR="00AF76C4" w:rsidRDefault="00AF76C4" w:rsidP="00AF76C4">
            <w:pPr>
              <w:rPr>
                <w:b/>
                <w:sz w:val="24"/>
                <w:szCs w:val="24"/>
              </w:rPr>
            </w:pPr>
            <w:r w:rsidRPr="006A644B">
              <w:rPr>
                <w:b/>
                <w:sz w:val="24"/>
                <w:szCs w:val="24"/>
              </w:rPr>
              <w:t>Provide quality early-childhood services that prepare children to achieve their full potential</w:t>
            </w:r>
          </w:p>
          <w:p w14:paraId="709486DC" w14:textId="706D9400" w:rsidR="00133257" w:rsidRPr="006A644B" w:rsidRDefault="00133257" w:rsidP="00AF76C4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695A5" w14:textId="4ED1E812" w:rsidR="00AF76C4" w:rsidRPr="006A644B" w:rsidRDefault="00EC1BD2" w:rsidP="00AF76C4">
            <w:pPr>
              <w:spacing w:line="270" w:lineRule="atLeast"/>
              <w:rPr>
                <w:rFonts w:cs="Arial"/>
                <w:bCs/>
                <w:spacing w:val="2"/>
                <w:lang w:eastAsia="en-AU"/>
              </w:rPr>
            </w:pPr>
            <w:r>
              <w:rPr>
                <w:rFonts w:cs="Arial"/>
                <w:bCs/>
                <w:spacing w:val="2"/>
                <w:lang w:eastAsia="en-AU"/>
              </w:rPr>
              <w:t>Build workforce capability through mentoring, coaching, and upskilling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CC1202" w14:textId="51FDF2DB" w:rsidR="00AF76C4" w:rsidRDefault="00AF76C4" w:rsidP="00AF76C4">
            <w:pPr>
              <w:rPr>
                <w:bCs/>
              </w:rPr>
            </w:pPr>
            <w:r w:rsidRPr="006A644B">
              <w:rPr>
                <w:bCs/>
              </w:rPr>
              <w:t>A contemporary, skilled vibrant workforce providing high quality child centred programs to our community</w:t>
            </w:r>
            <w:r>
              <w:rPr>
                <w:bCs/>
              </w:rPr>
              <w:t xml:space="preserve"> - </w:t>
            </w:r>
            <w:r w:rsidR="00D77799">
              <w:rPr>
                <w:bCs/>
              </w:rPr>
              <w:t>m</w:t>
            </w:r>
            <w:r w:rsidR="00D77799" w:rsidRPr="006A644B">
              <w:rPr>
                <w:bCs/>
              </w:rPr>
              <w:t xml:space="preserve">ore </w:t>
            </w:r>
            <w:r w:rsidRPr="006A644B">
              <w:rPr>
                <w:bCs/>
              </w:rPr>
              <w:t>opportunities for collaboration, innovation, and responsive practice</w:t>
            </w:r>
          </w:p>
          <w:p w14:paraId="46127BEC" w14:textId="723D6802" w:rsidR="00133257" w:rsidRPr="006A644B" w:rsidRDefault="00133257" w:rsidP="00AF76C4">
            <w:pPr>
              <w:rPr>
                <w:bCs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8F782" w14:textId="10CAE25F" w:rsidR="00AF76C4" w:rsidRPr="006A644B" w:rsidRDefault="00AF76C4" w:rsidP="00506353">
            <w:pPr>
              <w:rPr>
                <w:bCs/>
              </w:rPr>
            </w:pPr>
            <w:r w:rsidRPr="006A644B">
              <w:rPr>
                <w:bCs/>
              </w:rPr>
              <w:t>INCREASED EMPOWERMENT AND COMPETENCE</w:t>
            </w:r>
          </w:p>
        </w:tc>
      </w:tr>
      <w:tr w:rsidR="00AF76C4" w:rsidRPr="006A644B" w14:paraId="7B79F3EA" w14:textId="77777777" w:rsidTr="00AF76C4">
        <w:trPr>
          <w:trHeight w:val="1058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B0E24D7" w14:textId="77777777" w:rsidR="00AF76C4" w:rsidRDefault="00AF76C4" w:rsidP="00AF76C4">
            <w:pPr>
              <w:rPr>
                <w:b/>
                <w:sz w:val="24"/>
                <w:szCs w:val="24"/>
              </w:rPr>
            </w:pPr>
            <w:r w:rsidRPr="006A644B">
              <w:rPr>
                <w:b/>
                <w:sz w:val="24"/>
                <w:szCs w:val="24"/>
              </w:rPr>
              <w:t>Build capacity of parents/carers   through education and support</w:t>
            </w:r>
          </w:p>
          <w:p w14:paraId="6E87A01D" w14:textId="36D3AB7A" w:rsidR="00133257" w:rsidRDefault="00133257" w:rsidP="00AF76C4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66E9F" w14:textId="2C5E422A" w:rsidR="00AF76C4" w:rsidRPr="006A644B" w:rsidRDefault="00AF76C4" w:rsidP="00146724">
            <w:pPr>
              <w:spacing w:before="40" w:after="70" w:line="270" w:lineRule="atLeast"/>
              <w:rPr>
                <w:rFonts w:cs="Arial"/>
                <w:bCs/>
                <w:spacing w:val="2"/>
                <w:lang w:eastAsia="en-AU"/>
              </w:rPr>
            </w:pPr>
            <w:r w:rsidRPr="006A644B">
              <w:rPr>
                <w:rFonts w:cs="Arial"/>
                <w:bCs/>
                <w:spacing w:val="2"/>
                <w:lang w:eastAsia="en-AU"/>
              </w:rPr>
              <w:t>Plan and facilitat</w:t>
            </w:r>
            <w:r w:rsidR="00EC1BD2">
              <w:rPr>
                <w:rFonts w:cs="Arial"/>
                <w:bCs/>
                <w:spacing w:val="2"/>
                <w:lang w:eastAsia="en-AU"/>
              </w:rPr>
              <w:t>e</w:t>
            </w:r>
            <w:r w:rsidRPr="006A644B">
              <w:rPr>
                <w:rFonts w:cs="Arial"/>
                <w:bCs/>
                <w:spacing w:val="2"/>
                <w:lang w:eastAsia="en-AU"/>
              </w:rPr>
              <w:t xml:space="preserve"> the delivery of parent support programs </w:t>
            </w:r>
            <w:r w:rsidR="00AB6608" w:rsidRPr="006A644B">
              <w:rPr>
                <w:rFonts w:cs="Arial"/>
                <w:bCs/>
                <w:spacing w:val="2"/>
                <w:lang w:eastAsia="en-AU"/>
              </w:rPr>
              <w:t>i.e.</w:t>
            </w:r>
            <w:r w:rsidRPr="006A644B">
              <w:rPr>
                <w:rFonts w:cs="Arial"/>
                <w:bCs/>
                <w:spacing w:val="2"/>
                <w:lang w:eastAsia="en-AU"/>
              </w:rPr>
              <w:t xml:space="preserve"> Regional Parenting sessions, New Parent groups, Supported Playgroup, Sleep settling and feeding support sessions, and family support services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9EADCA" w14:textId="33EACE6D" w:rsidR="00AF76C4" w:rsidRPr="006A644B" w:rsidRDefault="00AF76C4" w:rsidP="00AF76C4">
            <w:pPr>
              <w:rPr>
                <w:bCs/>
              </w:rPr>
            </w:pPr>
            <w:r>
              <w:rPr>
                <w:bCs/>
              </w:rPr>
              <w:t xml:space="preserve">Families feeling supported in their parenting journey - </w:t>
            </w:r>
            <w:r w:rsidR="00D77799">
              <w:rPr>
                <w:bCs/>
              </w:rPr>
              <w:t xml:space="preserve">more </w:t>
            </w:r>
            <w:r>
              <w:rPr>
                <w:bCs/>
              </w:rPr>
              <w:t xml:space="preserve">emphasis on active living and health optimisation in the early years 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7E0B08" w14:textId="77777777" w:rsidR="00AF76C4" w:rsidRPr="006A644B" w:rsidRDefault="00AF76C4" w:rsidP="00506353">
            <w:pPr>
              <w:rPr>
                <w:bCs/>
              </w:rPr>
            </w:pPr>
          </w:p>
        </w:tc>
      </w:tr>
      <w:tr w:rsidR="00AF76C4" w:rsidRPr="006A644B" w14:paraId="59C3FC94" w14:textId="77777777" w:rsidTr="00AF76C4">
        <w:trPr>
          <w:trHeight w:val="729"/>
        </w:trPr>
        <w:tc>
          <w:tcPr>
            <w:tcW w:w="4253" w:type="dxa"/>
            <w:tcBorders>
              <w:top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80C1EA" w14:textId="1EC3EAEA" w:rsidR="00AF76C4" w:rsidRPr="00011867" w:rsidRDefault="000A1791" w:rsidP="00214BE4">
            <w:pPr>
              <w:rPr>
                <w:b/>
                <w:sz w:val="24"/>
                <w:szCs w:val="24"/>
              </w:rPr>
            </w:pPr>
            <w:r w:rsidRPr="00011867">
              <w:rPr>
                <w:b/>
                <w:sz w:val="24"/>
                <w:szCs w:val="24"/>
              </w:rPr>
              <w:t xml:space="preserve">Empower children to become active </w:t>
            </w:r>
            <w:r w:rsidR="009A202C" w:rsidRPr="00011867">
              <w:rPr>
                <w:b/>
                <w:sz w:val="24"/>
                <w:szCs w:val="24"/>
              </w:rPr>
              <w:t xml:space="preserve">and engaged </w:t>
            </w:r>
            <w:r w:rsidRPr="00011867">
              <w:rPr>
                <w:b/>
                <w:sz w:val="24"/>
                <w:szCs w:val="24"/>
              </w:rPr>
              <w:t>citizens in their community</w:t>
            </w:r>
          </w:p>
          <w:p w14:paraId="108F5930" w14:textId="71663B50" w:rsidR="00133257" w:rsidRPr="00011867" w:rsidRDefault="00133257" w:rsidP="00214BE4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65D3F9B" w14:textId="5B22320A" w:rsidR="00AF76C4" w:rsidRPr="00011867" w:rsidRDefault="009A202C" w:rsidP="006A644B">
            <w:pPr>
              <w:spacing w:line="270" w:lineRule="atLeast"/>
              <w:rPr>
                <w:rFonts w:cs="Arial"/>
                <w:bCs/>
                <w:spacing w:val="2"/>
                <w:lang w:eastAsia="en-AU"/>
              </w:rPr>
            </w:pPr>
            <w:r w:rsidRPr="00011867">
              <w:rPr>
                <w:rFonts w:cs="Arial"/>
                <w:bCs/>
                <w:spacing w:val="2"/>
                <w:lang w:eastAsia="en-AU"/>
              </w:rPr>
              <w:t>Explor</w:t>
            </w:r>
            <w:r w:rsidR="007D2598">
              <w:rPr>
                <w:rFonts w:cs="Arial"/>
                <w:bCs/>
                <w:spacing w:val="2"/>
                <w:lang w:eastAsia="en-AU"/>
              </w:rPr>
              <w:t>e</w:t>
            </w:r>
            <w:r w:rsidRPr="00011867">
              <w:rPr>
                <w:rFonts w:cs="Arial"/>
                <w:bCs/>
                <w:spacing w:val="2"/>
                <w:lang w:eastAsia="en-AU"/>
              </w:rPr>
              <w:t xml:space="preserve"> the process of becoming a Child Friendly City 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5E0DDA" w14:textId="6AA0BFCB" w:rsidR="009A202C" w:rsidRPr="00011867" w:rsidRDefault="009A202C" w:rsidP="003975EE">
            <w:pPr>
              <w:rPr>
                <w:bCs/>
              </w:rPr>
            </w:pPr>
            <w:bookmarkStart w:id="0" w:name="_Hlk109134609"/>
            <w:r w:rsidRPr="00011867">
              <w:rPr>
                <w:rFonts w:cs="Arial"/>
                <w:bCs/>
                <w:spacing w:val="2"/>
                <w:lang w:eastAsia="en-AU"/>
              </w:rPr>
              <w:t>Advocating for children’s voices to be included in planning and evaluation and giving insight into what is meaningful to them</w:t>
            </w:r>
            <w:bookmarkEnd w:id="0"/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6374B" w14:textId="77777777" w:rsidR="00AF76C4" w:rsidRPr="006A644B" w:rsidRDefault="00AF76C4" w:rsidP="00506353">
            <w:pPr>
              <w:rPr>
                <w:bCs/>
              </w:rPr>
            </w:pPr>
          </w:p>
        </w:tc>
      </w:tr>
      <w:tr w:rsidR="003606E2" w:rsidRPr="006A644B" w14:paraId="142E9331" w14:textId="77777777" w:rsidTr="00AF76C4">
        <w:trPr>
          <w:trHeight w:val="948"/>
        </w:trPr>
        <w:tc>
          <w:tcPr>
            <w:tcW w:w="4253" w:type="dxa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42974F8E" w14:textId="77777777" w:rsidR="003606E2" w:rsidRDefault="003606E2" w:rsidP="006A644B">
            <w:pPr>
              <w:rPr>
                <w:rFonts w:cs="Arial"/>
                <w:b/>
                <w:sz w:val="24"/>
                <w:szCs w:val="24"/>
              </w:rPr>
            </w:pPr>
            <w:r w:rsidRPr="006A644B">
              <w:rPr>
                <w:rFonts w:cs="Arial"/>
                <w:b/>
                <w:sz w:val="24"/>
                <w:szCs w:val="24"/>
              </w:rPr>
              <w:t>Ensure that service provision is based on key themes of early years research and data to guide program development and implementation</w:t>
            </w:r>
          </w:p>
          <w:p w14:paraId="7AC91D15" w14:textId="79FE5DA7" w:rsidR="00133257" w:rsidRPr="006A644B" w:rsidRDefault="00133257" w:rsidP="006A644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DAD30" w14:textId="722AE02B" w:rsidR="003606E2" w:rsidRPr="006A644B" w:rsidRDefault="007D2598" w:rsidP="003606E2">
            <w:pPr>
              <w:spacing w:before="40" w:after="70" w:line="270" w:lineRule="atLeast"/>
              <w:rPr>
                <w:rFonts w:cs="Arial"/>
                <w:bCs/>
                <w:spacing w:val="2"/>
                <w:lang w:eastAsia="en-AU"/>
              </w:rPr>
            </w:pPr>
            <w:r>
              <w:rPr>
                <w:rFonts w:cs="Arial"/>
                <w:bCs/>
                <w:spacing w:val="2"/>
                <w:lang w:eastAsia="en-AU"/>
              </w:rPr>
              <w:t xml:space="preserve">Focus on </w:t>
            </w:r>
            <w:r w:rsidR="003606E2" w:rsidRPr="006A644B">
              <w:rPr>
                <w:rFonts w:cs="Arial"/>
                <w:bCs/>
                <w:spacing w:val="2"/>
                <w:lang w:eastAsia="en-AU"/>
              </w:rPr>
              <w:t xml:space="preserve">current data </w:t>
            </w:r>
            <w:r>
              <w:rPr>
                <w:rFonts w:cs="Arial"/>
                <w:bCs/>
                <w:spacing w:val="2"/>
                <w:lang w:eastAsia="en-AU"/>
              </w:rPr>
              <w:t xml:space="preserve">to inform </w:t>
            </w:r>
            <w:r w:rsidR="003606E2" w:rsidRPr="006A644B">
              <w:rPr>
                <w:rFonts w:cs="Arial"/>
                <w:bCs/>
                <w:spacing w:val="2"/>
                <w:lang w:eastAsia="en-AU"/>
              </w:rPr>
              <w:t>planning and decision making</w:t>
            </w:r>
            <w:r>
              <w:rPr>
                <w:rFonts w:cs="Arial"/>
                <w:bCs/>
                <w:spacing w:val="2"/>
                <w:lang w:eastAsia="en-AU"/>
              </w:rPr>
              <w:t xml:space="preserve"> that</w:t>
            </w:r>
            <w:r w:rsidR="003606E2" w:rsidRPr="006A644B">
              <w:rPr>
                <w:rFonts w:cs="Arial"/>
                <w:bCs/>
                <w:spacing w:val="2"/>
                <w:lang w:eastAsia="en-AU"/>
              </w:rPr>
              <w:t xml:space="preserve"> reflects current trends and better supports children and families within our municipality.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0D585" w14:textId="7930DCEB" w:rsidR="003606E2" w:rsidRDefault="003606E2" w:rsidP="00CD61FB">
            <w:r w:rsidRPr="006A644B">
              <w:rPr>
                <w:bCs/>
              </w:rPr>
              <w:t>A culture of research and evaluation as a basis for ongoing planning and delivery of responsive services that have a meaningful impact for children and families</w:t>
            </w:r>
            <w:r w:rsidR="00AF76C4">
              <w:rPr>
                <w:bCs/>
              </w:rPr>
              <w:t xml:space="preserve"> - </w:t>
            </w:r>
            <w:r w:rsidR="00D77799">
              <w:rPr>
                <w:bCs/>
              </w:rPr>
              <w:t>m</w:t>
            </w:r>
            <w:r w:rsidR="00D77799" w:rsidRPr="006A644B">
              <w:rPr>
                <w:bCs/>
              </w:rPr>
              <w:t xml:space="preserve">ore </w:t>
            </w:r>
            <w:r w:rsidRPr="006A644B">
              <w:rPr>
                <w:bCs/>
              </w:rPr>
              <w:t>efficient and targeted work practices providing greater opportunities to respond to identified needs</w:t>
            </w:r>
          </w:p>
          <w:p w14:paraId="5A99B5F8" w14:textId="4FB08ECC" w:rsidR="003606E2" w:rsidRPr="006A644B" w:rsidRDefault="003606E2" w:rsidP="00CD61FB">
            <w:pPr>
              <w:rPr>
                <w:bCs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5E6D963" w14:textId="23D7CDF0" w:rsidR="003606E2" w:rsidRPr="006A644B" w:rsidRDefault="003606E2" w:rsidP="007D3106">
            <w:pPr>
              <w:rPr>
                <w:bCs/>
              </w:rPr>
            </w:pPr>
            <w:r w:rsidRPr="006A644B">
              <w:rPr>
                <w:bCs/>
              </w:rPr>
              <w:t>EVIDENCE BASED DEC</w:t>
            </w:r>
            <w:r w:rsidR="00D77799">
              <w:rPr>
                <w:bCs/>
              </w:rPr>
              <w:t>I</w:t>
            </w:r>
            <w:r w:rsidRPr="006A644B">
              <w:rPr>
                <w:bCs/>
              </w:rPr>
              <w:t>SION MAKING AND OUTCOMES</w:t>
            </w:r>
          </w:p>
        </w:tc>
      </w:tr>
      <w:tr w:rsidR="003606E2" w:rsidRPr="006A644B" w14:paraId="510D5057" w14:textId="77777777" w:rsidTr="00146724">
        <w:trPr>
          <w:trHeight w:val="831"/>
        </w:trPr>
        <w:tc>
          <w:tcPr>
            <w:tcW w:w="4253" w:type="dxa"/>
            <w:vMerge/>
            <w:tcBorders>
              <w:right w:val="single" w:sz="4" w:space="0" w:color="auto"/>
            </w:tcBorders>
          </w:tcPr>
          <w:p w14:paraId="1870FF07" w14:textId="77777777" w:rsidR="003606E2" w:rsidRDefault="003606E2" w:rsidP="006A644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479CC" w14:textId="773EB777" w:rsidR="003606E2" w:rsidRPr="006A644B" w:rsidRDefault="003606E2" w:rsidP="00146724">
            <w:pPr>
              <w:spacing w:before="40" w:after="70" w:line="270" w:lineRule="atLeast"/>
              <w:rPr>
                <w:rFonts w:cs="Arial"/>
                <w:bCs/>
                <w:spacing w:val="2"/>
                <w:lang w:eastAsia="en-AU"/>
              </w:rPr>
            </w:pPr>
            <w:r w:rsidRPr="006A644B">
              <w:rPr>
                <w:rFonts w:cs="Arial"/>
                <w:bCs/>
                <w:spacing w:val="2"/>
                <w:lang w:eastAsia="en-AU"/>
              </w:rPr>
              <w:t>Promot</w:t>
            </w:r>
            <w:r w:rsidR="007D2598">
              <w:rPr>
                <w:rFonts w:cs="Arial"/>
                <w:bCs/>
                <w:spacing w:val="2"/>
                <w:lang w:eastAsia="en-AU"/>
              </w:rPr>
              <w:t>e</w:t>
            </w:r>
            <w:r w:rsidRPr="006A644B">
              <w:rPr>
                <w:rFonts w:cs="Arial"/>
                <w:bCs/>
                <w:spacing w:val="2"/>
                <w:lang w:eastAsia="en-AU"/>
              </w:rPr>
              <w:t xml:space="preserve"> a key focus on </w:t>
            </w:r>
            <w:r w:rsidR="007D2598">
              <w:rPr>
                <w:rFonts w:cs="Arial"/>
                <w:bCs/>
                <w:spacing w:val="2"/>
                <w:lang w:eastAsia="en-AU"/>
              </w:rPr>
              <w:t xml:space="preserve">psychological </w:t>
            </w:r>
            <w:r w:rsidRPr="006A644B">
              <w:rPr>
                <w:rFonts w:cs="Arial"/>
                <w:bCs/>
                <w:spacing w:val="2"/>
                <w:lang w:eastAsia="en-AU"/>
              </w:rPr>
              <w:t>health and wellbeing, active living, and promoting a healthy start to life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1612C" w14:textId="62982E70" w:rsidR="003606E2" w:rsidRPr="006A644B" w:rsidRDefault="003606E2" w:rsidP="00146724">
            <w:pPr>
              <w:rPr>
                <w:bCs/>
              </w:rPr>
            </w:pPr>
            <w:r w:rsidRPr="006A644B">
              <w:rPr>
                <w:bCs/>
              </w:rPr>
              <w:t xml:space="preserve">Better outcomes for positive health and wellbeing </w:t>
            </w:r>
            <w:r w:rsidR="00D77799">
              <w:rPr>
                <w:bCs/>
              </w:rPr>
              <w:t>for</w:t>
            </w:r>
            <w:r w:rsidR="00D77799" w:rsidRPr="006A644B">
              <w:rPr>
                <w:bCs/>
              </w:rPr>
              <w:t xml:space="preserve"> </w:t>
            </w:r>
            <w:r w:rsidRPr="006A644B">
              <w:rPr>
                <w:bCs/>
              </w:rPr>
              <w:t xml:space="preserve">children in our municipality 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7929BB8F" w14:textId="77777777" w:rsidR="003606E2" w:rsidRPr="006A644B" w:rsidRDefault="003606E2" w:rsidP="007D3106">
            <w:pPr>
              <w:rPr>
                <w:bCs/>
              </w:rPr>
            </w:pPr>
          </w:p>
        </w:tc>
      </w:tr>
      <w:tr w:rsidR="003606E2" w:rsidRPr="006A644B" w14:paraId="125A04FC" w14:textId="77777777" w:rsidTr="00146724">
        <w:trPr>
          <w:trHeight w:val="533"/>
        </w:trPr>
        <w:tc>
          <w:tcPr>
            <w:tcW w:w="4253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06CFE8F5" w14:textId="77777777" w:rsidR="003606E2" w:rsidRDefault="003606E2" w:rsidP="006A644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904AE0" w14:textId="089519E2" w:rsidR="003606E2" w:rsidRPr="008B7EA3" w:rsidRDefault="00EC1BD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 xml:space="preserve">Develop a </w:t>
            </w:r>
            <w:r w:rsidR="003606E2" w:rsidRPr="008B7EA3">
              <w:rPr>
                <w:rFonts w:cs="Arial"/>
                <w:spacing w:val="2"/>
                <w:lang w:eastAsia="en-AU"/>
              </w:rPr>
              <w:t xml:space="preserve">co-ordination </w:t>
            </w:r>
            <w:r>
              <w:rPr>
                <w:rFonts w:cs="Arial"/>
                <w:spacing w:val="2"/>
                <w:lang w:eastAsia="en-AU"/>
              </w:rPr>
              <w:t>approach to better share data sources</w:t>
            </w:r>
          </w:p>
          <w:p w14:paraId="7128C030" w14:textId="77777777" w:rsidR="003606E2" w:rsidRPr="006A644B" w:rsidRDefault="003606E2" w:rsidP="008B7EA3">
            <w:pPr>
              <w:spacing w:before="40" w:after="70" w:line="270" w:lineRule="atLeast"/>
              <w:rPr>
                <w:rFonts w:cs="Arial"/>
                <w:bCs/>
                <w:spacing w:val="2"/>
                <w:lang w:eastAsia="en-AU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61F2B0" w14:textId="43631342" w:rsidR="003606E2" w:rsidRPr="006A644B" w:rsidRDefault="003606E2" w:rsidP="00506353">
            <w:pPr>
              <w:rPr>
                <w:bCs/>
              </w:rPr>
            </w:pPr>
            <w:r>
              <w:t>A robust service system and cycle of continuous improvement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FA83084" w14:textId="77777777" w:rsidR="003606E2" w:rsidRPr="006A644B" w:rsidRDefault="003606E2" w:rsidP="007D3106">
            <w:pPr>
              <w:rPr>
                <w:bCs/>
              </w:rPr>
            </w:pPr>
          </w:p>
        </w:tc>
      </w:tr>
      <w:tr w:rsidR="003606E2" w:rsidRPr="003975EE" w14:paraId="072B6C0B" w14:textId="77777777" w:rsidTr="00146724">
        <w:trPr>
          <w:trHeight w:val="1099"/>
        </w:trPr>
        <w:tc>
          <w:tcPr>
            <w:tcW w:w="4253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8DF105E" w14:textId="77777777" w:rsidR="003606E2" w:rsidRDefault="003606E2" w:rsidP="00A12DB7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spacing w:val="2"/>
                <w:sz w:val="24"/>
                <w:szCs w:val="24"/>
                <w:lang w:eastAsia="en-AU"/>
              </w:rPr>
              <w:t>Continue to support a culture of collaboration with key stakeholders to enable a more responsive service system</w:t>
            </w:r>
          </w:p>
          <w:p w14:paraId="0D7E558B" w14:textId="2E5BB798" w:rsidR="00133257" w:rsidRPr="003975EE" w:rsidRDefault="00133257" w:rsidP="00A12DB7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single" w:sz="18" w:space="0" w:color="auto"/>
              <w:bottom w:val="nil"/>
              <w:right w:val="single" w:sz="2" w:space="0" w:color="auto"/>
            </w:tcBorders>
          </w:tcPr>
          <w:p w14:paraId="42A4732A" w14:textId="75F17555" w:rsidR="003606E2" w:rsidRPr="009C1609" w:rsidRDefault="00EC1BD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Facilitate shared opportunities for learning across the service sector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  <w:bottom w:val="nil"/>
            </w:tcBorders>
          </w:tcPr>
          <w:p w14:paraId="39E2D88B" w14:textId="5F88094E" w:rsidR="003606E2" w:rsidRPr="003975EE" w:rsidRDefault="00EC1BD2" w:rsidP="003606E2">
            <w:r>
              <w:t>A service system where expertise is shared, resources are situated appropriately, data is collected to support service planning and decision making, including transitions for children.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  <w:vAlign w:val="center"/>
          </w:tcPr>
          <w:p w14:paraId="4E9A0E82" w14:textId="77777777" w:rsidR="003606E2" w:rsidRDefault="003606E2" w:rsidP="007D3106">
            <w:r>
              <w:t>SENSE OF COMMUNITY &amp; CONNECTION</w:t>
            </w:r>
          </w:p>
        </w:tc>
      </w:tr>
      <w:tr w:rsidR="003606E2" w:rsidRPr="003975EE" w14:paraId="75D938FE" w14:textId="77777777" w:rsidTr="00AF76C4">
        <w:trPr>
          <w:trHeight w:val="566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07539412" w14:textId="77777777" w:rsidR="003606E2" w:rsidRDefault="003606E2" w:rsidP="00A12DB7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  <w:right w:val="single" w:sz="2" w:space="0" w:color="auto"/>
            </w:tcBorders>
          </w:tcPr>
          <w:p w14:paraId="2C642260" w14:textId="649D35D3" w:rsidR="003606E2" w:rsidRPr="009C1609" w:rsidRDefault="003606E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 xml:space="preserve">Work to collaborate with key stakeholders </w:t>
            </w:r>
            <w:r w:rsidR="008F5496">
              <w:rPr>
                <w:rFonts w:cs="Arial"/>
                <w:spacing w:val="2"/>
                <w:lang w:eastAsia="en-AU"/>
              </w:rPr>
              <w:t xml:space="preserve">in relation to </w:t>
            </w:r>
            <w:r w:rsidR="00D77799">
              <w:rPr>
                <w:rFonts w:cs="Arial"/>
                <w:spacing w:val="2"/>
                <w:lang w:eastAsia="en-AU"/>
              </w:rPr>
              <w:t>Early Childhood Reforms</w:t>
            </w:r>
            <w:r>
              <w:rPr>
                <w:rFonts w:cs="Arial"/>
                <w:spacing w:val="2"/>
                <w:lang w:eastAsia="en-AU"/>
              </w:rPr>
              <w:t xml:space="preserve"> </w:t>
            </w:r>
          </w:p>
        </w:tc>
        <w:tc>
          <w:tcPr>
            <w:tcW w:w="7088" w:type="dxa"/>
            <w:tcBorders>
              <w:top w:val="nil"/>
              <w:left w:val="single" w:sz="2" w:space="0" w:color="auto"/>
              <w:bottom w:val="nil"/>
            </w:tcBorders>
          </w:tcPr>
          <w:p w14:paraId="18877A52" w14:textId="33638241" w:rsidR="003606E2" w:rsidRDefault="003606E2" w:rsidP="003606E2">
            <w:r>
              <w:t>Increased opportunities for collaborative projects</w:t>
            </w:r>
          </w:p>
        </w:tc>
        <w:tc>
          <w:tcPr>
            <w:tcW w:w="3402" w:type="dxa"/>
            <w:vMerge/>
            <w:vAlign w:val="center"/>
          </w:tcPr>
          <w:p w14:paraId="206C4D2B" w14:textId="77777777" w:rsidR="003606E2" w:rsidRDefault="003606E2" w:rsidP="007D3106"/>
        </w:tc>
      </w:tr>
      <w:tr w:rsidR="003606E2" w:rsidRPr="003975EE" w14:paraId="422951C4" w14:textId="77777777" w:rsidTr="00146724">
        <w:trPr>
          <w:trHeight w:val="909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296C6854" w14:textId="77777777" w:rsidR="003606E2" w:rsidRDefault="003606E2" w:rsidP="00A12DB7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  <w:right w:val="single" w:sz="2" w:space="0" w:color="auto"/>
            </w:tcBorders>
          </w:tcPr>
          <w:p w14:paraId="3EEB2253" w14:textId="7D7C515D" w:rsidR="003606E2" w:rsidRPr="009C1609" w:rsidRDefault="003606E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Continu</w:t>
            </w:r>
            <w:r w:rsidR="007D2598">
              <w:rPr>
                <w:rFonts w:cs="Arial"/>
                <w:spacing w:val="2"/>
                <w:lang w:eastAsia="en-AU"/>
              </w:rPr>
              <w:t>e</w:t>
            </w:r>
            <w:r>
              <w:rPr>
                <w:rFonts w:cs="Arial"/>
                <w:spacing w:val="2"/>
                <w:lang w:eastAsia="en-AU"/>
              </w:rPr>
              <w:t xml:space="preserve"> to maintain early years’ service mapping and develop our understanding of gaps and opportunities within the municipality </w:t>
            </w:r>
          </w:p>
        </w:tc>
        <w:tc>
          <w:tcPr>
            <w:tcW w:w="7088" w:type="dxa"/>
            <w:tcBorders>
              <w:top w:val="nil"/>
              <w:left w:val="single" w:sz="2" w:space="0" w:color="auto"/>
              <w:bottom w:val="nil"/>
            </w:tcBorders>
          </w:tcPr>
          <w:p w14:paraId="5D90B2C0" w14:textId="0B231D5B" w:rsidR="003606E2" w:rsidRDefault="003606E2" w:rsidP="00601674">
            <w:r>
              <w:t xml:space="preserve">Easier access to information for service providers to understand service provision across the municipality and minimise </w:t>
            </w:r>
            <w:r w:rsidR="005A090D">
              <w:t xml:space="preserve">service </w:t>
            </w:r>
            <w:r>
              <w:t>duplication</w:t>
            </w:r>
          </w:p>
        </w:tc>
        <w:tc>
          <w:tcPr>
            <w:tcW w:w="3402" w:type="dxa"/>
            <w:vMerge/>
            <w:vAlign w:val="center"/>
          </w:tcPr>
          <w:p w14:paraId="13265F79" w14:textId="77777777" w:rsidR="003606E2" w:rsidRDefault="003606E2" w:rsidP="007D3106"/>
        </w:tc>
      </w:tr>
      <w:tr w:rsidR="003606E2" w:rsidRPr="003975EE" w14:paraId="19791519" w14:textId="77777777" w:rsidTr="00AF76C4">
        <w:trPr>
          <w:trHeight w:val="1096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46329782" w14:textId="77777777" w:rsidR="003606E2" w:rsidRDefault="003606E2" w:rsidP="00A12DB7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14:paraId="28D7BEDF" w14:textId="77777777" w:rsidR="005A090D" w:rsidRDefault="005A090D" w:rsidP="008B7EA3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</w:p>
          <w:p w14:paraId="1DEB1EC2" w14:textId="5D29D4DB" w:rsidR="003606E2" w:rsidRPr="009C1609" w:rsidRDefault="003606E2" w:rsidP="008B7EA3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 w:rsidRPr="009C1609">
              <w:rPr>
                <w:rFonts w:cs="Arial"/>
                <w:spacing w:val="2"/>
                <w:lang w:eastAsia="en-AU"/>
              </w:rPr>
              <w:t xml:space="preserve">Build infrastructure that supports </w:t>
            </w:r>
            <w:r w:rsidR="007D2598">
              <w:rPr>
                <w:rFonts w:cs="Arial"/>
                <w:spacing w:val="2"/>
                <w:lang w:eastAsia="en-AU"/>
              </w:rPr>
              <w:t>integrated service delivery</w:t>
            </w:r>
          </w:p>
        </w:tc>
        <w:tc>
          <w:tcPr>
            <w:tcW w:w="7088" w:type="dxa"/>
            <w:tcBorders>
              <w:top w:val="nil"/>
              <w:left w:val="single" w:sz="2" w:space="0" w:color="auto"/>
              <w:bottom w:val="single" w:sz="18" w:space="0" w:color="auto"/>
            </w:tcBorders>
          </w:tcPr>
          <w:p w14:paraId="1A162A1E" w14:textId="77777777" w:rsidR="00D77799" w:rsidRDefault="00D77799" w:rsidP="00601674"/>
          <w:p w14:paraId="6007CBB8" w14:textId="7AEE112F" w:rsidR="003606E2" w:rsidRDefault="003606E2" w:rsidP="00601674">
            <w:r>
              <w:t>Co-location of services is embedded as part of Council’s broader infrastructure planning.</w:t>
            </w: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261F4A7B" w14:textId="77777777" w:rsidR="003606E2" w:rsidRDefault="003606E2" w:rsidP="007D3106"/>
        </w:tc>
      </w:tr>
      <w:tr w:rsidR="003606E2" w:rsidRPr="003975EE" w14:paraId="5238570D" w14:textId="77777777" w:rsidTr="00AF76C4">
        <w:trPr>
          <w:trHeight w:val="962"/>
        </w:trPr>
        <w:tc>
          <w:tcPr>
            <w:tcW w:w="4253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D1DB3FA" w14:textId="77777777" w:rsidR="003606E2" w:rsidRDefault="003606E2" w:rsidP="008B7EA3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  <w:r>
              <w:rPr>
                <w:rFonts w:cs="Arial"/>
                <w:b/>
                <w:spacing w:val="2"/>
                <w:sz w:val="24"/>
                <w:szCs w:val="24"/>
                <w:lang w:eastAsia="en-AU"/>
              </w:rPr>
              <w:t>Promote children’s safety and minimise risk of harm</w:t>
            </w:r>
          </w:p>
          <w:p w14:paraId="78ACC0EF" w14:textId="0F9F19AA" w:rsidR="00133257" w:rsidRPr="003975EE" w:rsidRDefault="00133257" w:rsidP="008B7EA3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single" w:sz="18" w:space="0" w:color="auto"/>
              <w:bottom w:val="nil"/>
            </w:tcBorders>
          </w:tcPr>
          <w:p w14:paraId="167286D7" w14:textId="7F2DC7A4" w:rsidR="003606E2" w:rsidRPr="009C1609" w:rsidRDefault="003606E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Embrace the intent of the Child Safe Standards, Child Information Sharing, Family Violence Information Sharing and implementation of the Multi-agency Risk Assessment Framework</w:t>
            </w:r>
          </w:p>
        </w:tc>
        <w:tc>
          <w:tcPr>
            <w:tcW w:w="7088" w:type="dxa"/>
            <w:tcBorders>
              <w:top w:val="single" w:sz="18" w:space="0" w:color="auto"/>
              <w:bottom w:val="nil"/>
            </w:tcBorders>
          </w:tcPr>
          <w:p w14:paraId="42AB9CE1" w14:textId="6B7A4F52" w:rsidR="003606E2" w:rsidRPr="003975EE" w:rsidRDefault="003606E2" w:rsidP="003606E2">
            <w:r>
              <w:t>A consistent and coherent understanding across our services on practice and process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AE351C" w14:textId="0A056DBE" w:rsidR="003606E2" w:rsidRPr="003975EE" w:rsidRDefault="003606E2" w:rsidP="00506353">
            <w:r w:rsidRPr="003975EE">
              <w:t>SAFETY AND SUPPORT</w:t>
            </w:r>
          </w:p>
        </w:tc>
      </w:tr>
      <w:tr w:rsidR="003606E2" w:rsidRPr="003975EE" w14:paraId="3689F7AB" w14:textId="77777777" w:rsidTr="00AF76C4">
        <w:trPr>
          <w:trHeight w:val="962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1D6014D7" w14:textId="77777777" w:rsidR="003606E2" w:rsidRDefault="003606E2" w:rsidP="008B7EA3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A0C4983" w14:textId="11DC399F" w:rsidR="003606E2" w:rsidRDefault="003606E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 xml:space="preserve">Embed a culture of child safety within our organisation </w:t>
            </w:r>
            <w:r w:rsidR="008F5496">
              <w:rPr>
                <w:rFonts w:cs="Arial"/>
                <w:spacing w:val="2"/>
                <w:lang w:eastAsia="en-AU"/>
              </w:rPr>
              <w:t xml:space="preserve">to </w:t>
            </w:r>
            <w:r>
              <w:rPr>
                <w:rFonts w:cs="Arial"/>
                <w:spacing w:val="2"/>
                <w:lang w:eastAsia="en-AU"/>
              </w:rPr>
              <w:t>develop a holistic vision of child safety as a community responsibility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146CCC0F" w14:textId="4BB79E5F" w:rsidR="003606E2" w:rsidRDefault="003606E2" w:rsidP="003606E2">
            <w:r>
              <w:t xml:space="preserve">A community that has a strong commitment to child safety as a collective responsibility </w:t>
            </w: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2CDD0808" w14:textId="77777777" w:rsidR="003606E2" w:rsidRDefault="003606E2" w:rsidP="00506353"/>
        </w:tc>
      </w:tr>
      <w:tr w:rsidR="003606E2" w:rsidRPr="003975EE" w14:paraId="4F0C9541" w14:textId="77777777" w:rsidTr="00AF76C4">
        <w:trPr>
          <w:trHeight w:val="859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71558971" w14:textId="77777777" w:rsidR="003606E2" w:rsidRDefault="003606E2" w:rsidP="008B7EA3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single" w:sz="18" w:space="0" w:color="auto"/>
            </w:tcBorders>
          </w:tcPr>
          <w:p w14:paraId="7986A723" w14:textId="6CAEB14D" w:rsidR="003606E2" w:rsidRDefault="003606E2" w:rsidP="003C7D2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 xml:space="preserve">Implement trauma awareness and </w:t>
            </w:r>
            <w:r w:rsidR="00013E8F">
              <w:rPr>
                <w:rFonts w:cs="Arial"/>
                <w:spacing w:val="2"/>
                <w:lang w:eastAsia="en-AU"/>
              </w:rPr>
              <w:t xml:space="preserve">trauma </w:t>
            </w:r>
            <w:r>
              <w:rPr>
                <w:rFonts w:cs="Arial"/>
                <w:spacing w:val="2"/>
                <w:lang w:eastAsia="en-AU"/>
              </w:rPr>
              <w:t xml:space="preserve">informed practice </w:t>
            </w:r>
          </w:p>
        </w:tc>
        <w:tc>
          <w:tcPr>
            <w:tcW w:w="7088" w:type="dxa"/>
            <w:tcBorders>
              <w:top w:val="nil"/>
              <w:bottom w:val="single" w:sz="18" w:space="0" w:color="auto"/>
            </w:tcBorders>
          </w:tcPr>
          <w:p w14:paraId="3DC6E9EB" w14:textId="2194484D" w:rsidR="003606E2" w:rsidRDefault="003606E2" w:rsidP="00E22F7C">
            <w:r>
              <w:t>Practice that provides authentic support and comes from trauma informed theory</w:t>
            </w: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1308AE1F" w14:textId="77777777" w:rsidR="003606E2" w:rsidRDefault="003606E2" w:rsidP="00506353"/>
        </w:tc>
      </w:tr>
      <w:tr w:rsidR="00255936" w:rsidRPr="003975EE" w14:paraId="6A7D50E3" w14:textId="77777777" w:rsidTr="00255936">
        <w:trPr>
          <w:trHeight w:val="1212"/>
        </w:trPr>
        <w:tc>
          <w:tcPr>
            <w:tcW w:w="4253" w:type="dxa"/>
            <w:vMerge w:val="restart"/>
            <w:tcBorders>
              <w:top w:val="single" w:sz="18" w:space="0" w:color="auto"/>
            </w:tcBorders>
          </w:tcPr>
          <w:p w14:paraId="5BDF9E0D" w14:textId="77777777" w:rsidR="00255936" w:rsidRDefault="00255936" w:rsidP="00831C1E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  <w:r w:rsidRPr="003975EE">
              <w:rPr>
                <w:rFonts w:cs="Arial"/>
                <w:b/>
                <w:spacing w:val="2"/>
                <w:sz w:val="24"/>
                <w:szCs w:val="24"/>
                <w:lang w:eastAsia="en-AU"/>
              </w:rPr>
              <w:lastRenderedPageBreak/>
              <w:t>Children with the highest need are identified and offered support</w:t>
            </w:r>
          </w:p>
          <w:p w14:paraId="4550923C" w14:textId="65A84142" w:rsidR="0023069F" w:rsidRPr="003975EE" w:rsidRDefault="0023069F" w:rsidP="00831C1E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single" w:sz="18" w:space="0" w:color="auto"/>
              <w:bottom w:val="nil"/>
              <w:right w:val="single" w:sz="2" w:space="0" w:color="auto"/>
            </w:tcBorders>
          </w:tcPr>
          <w:p w14:paraId="632C7449" w14:textId="04D4D395" w:rsidR="00255936" w:rsidRDefault="00EC1BD2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Prioritise</w:t>
            </w:r>
            <w:r w:rsidR="00255936">
              <w:rPr>
                <w:rFonts w:cs="Arial"/>
                <w:spacing w:val="2"/>
                <w:lang w:eastAsia="en-AU"/>
              </w:rPr>
              <w:t xml:space="preserve"> early identification of developmental concerns and strengthe</w:t>
            </w:r>
            <w:r w:rsidR="007D2598">
              <w:rPr>
                <w:rFonts w:cs="Arial"/>
                <w:spacing w:val="2"/>
                <w:lang w:eastAsia="en-AU"/>
              </w:rPr>
              <w:t>n</w:t>
            </w:r>
            <w:r w:rsidR="00255936">
              <w:rPr>
                <w:rFonts w:cs="Arial"/>
                <w:spacing w:val="2"/>
                <w:lang w:eastAsia="en-AU"/>
              </w:rPr>
              <w:t xml:space="preserve"> referral pathways</w:t>
            </w:r>
            <w:r w:rsidR="00255936" w:rsidRPr="009C1609">
              <w:rPr>
                <w:rFonts w:cs="Arial"/>
                <w:spacing w:val="2"/>
                <w:lang w:eastAsia="en-AU"/>
              </w:rPr>
              <w:t xml:space="preserve"> </w:t>
            </w:r>
            <w:r w:rsidR="007D2598">
              <w:rPr>
                <w:rFonts w:cs="Arial"/>
                <w:spacing w:val="2"/>
                <w:lang w:eastAsia="en-AU"/>
              </w:rPr>
              <w:t xml:space="preserve">and </w:t>
            </w:r>
            <w:r w:rsidR="00255936">
              <w:rPr>
                <w:rFonts w:cs="Arial"/>
                <w:spacing w:val="2"/>
                <w:lang w:eastAsia="en-AU"/>
              </w:rPr>
              <w:t>c</w:t>
            </w:r>
            <w:r w:rsidR="00255936" w:rsidRPr="00020E21">
              <w:rPr>
                <w:rFonts w:cs="Arial"/>
                <w:spacing w:val="2"/>
                <w:lang w:eastAsia="en-AU"/>
              </w:rPr>
              <w:t>onsider barriers faced by families and children who may face disadvantage</w:t>
            </w:r>
            <w:r w:rsidR="00255936">
              <w:rPr>
                <w:rFonts w:cs="Arial"/>
                <w:spacing w:val="2"/>
                <w:lang w:eastAsia="en-AU"/>
              </w:rPr>
              <w:t xml:space="preserve"> </w:t>
            </w:r>
          </w:p>
          <w:p w14:paraId="67B977BB" w14:textId="77777777" w:rsidR="00255936" w:rsidRDefault="00255936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</w:p>
          <w:p w14:paraId="3F06EF59" w14:textId="00D9E163" w:rsidR="00255936" w:rsidRPr="009C1609" w:rsidRDefault="00255936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</w:p>
        </w:tc>
        <w:tc>
          <w:tcPr>
            <w:tcW w:w="7088" w:type="dxa"/>
            <w:tcBorders>
              <w:top w:val="single" w:sz="18" w:space="0" w:color="auto"/>
              <w:left w:val="single" w:sz="2" w:space="0" w:color="auto"/>
            </w:tcBorders>
          </w:tcPr>
          <w:p w14:paraId="33B03B15" w14:textId="1A75FE75" w:rsidR="00255936" w:rsidRDefault="00EC1BD2" w:rsidP="00506353">
            <w:r>
              <w:t>Early identification is a priority and supported within the service system. Families receive individual support in the quickest possible time and with more streamlined referral processes.</w:t>
            </w:r>
          </w:p>
          <w:p w14:paraId="05C9E25D" w14:textId="77777777" w:rsidR="00255936" w:rsidRDefault="00255936" w:rsidP="00506353"/>
          <w:p w14:paraId="1888820E" w14:textId="77777777" w:rsidR="00255936" w:rsidRDefault="00255936" w:rsidP="00506353"/>
          <w:p w14:paraId="2A3D9323" w14:textId="77777777" w:rsidR="00255936" w:rsidRDefault="00255936" w:rsidP="00506353"/>
          <w:p w14:paraId="31DEA0DC" w14:textId="77777777" w:rsidR="00255936" w:rsidRDefault="00255936" w:rsidP="00506353"/>
          <w:p w14:paraId="08190439" w14:textId="6F35F3A3" w:rsidR="00255936" w:rsidRPr="009C1609" w:rsidRDefault="00255936" w:rsidP="00506353"/>
        </w:tc>
        <w:tc>
          <w:tcPr>
            <w:tcW w:w="3402" w:type="dxa"/>
            <w:vMerge w:val="restart"/>
            <w:tcBorders>
              <w:top w:val="single" w:sz="18" w:space="0" w:color="auto"/>
            </w:tcBorders>
            <w:vAlign w:val="center"/>
          </w:tcPr>
          <w:p w14:paraId="42C3BED9" w14:textId="77777777" w:rsidR="00255936" w:rsidRDefault="00255936" w:rsidP="007D3106">
            <w:r>
              <w:t>BETTER TARGETED SUPPORTS</w:t>
            </w:r>
          </w:p>
        </w:tc>
      </w:tr>
      <w:tr w:rsidR="00255936" w:rsidRPr="003975EE" w14:paraId="1170DAC0" w14:textId="77777777" w:rsidTr="00255936">
        <w:trPr>
          <w:trHeight w:val="1495"/>
        </w:trPr>
        <w:tc>
          <w:tcPr>
            <w:tcW w:w="4253" w:type="dxa"/>
            <w:vMerge/>
          </w:tcPr>
          <w:p w14:paraId="1FAD1731" w14:textId="77777777" w:rsidR="00255936" w:rsidRPr="003975EE" w:rsidRDefault="00255936" w:rsidP="00831C1E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single" w:sz="18" w:space="0" w:color="auto"/>
              <w:right w:val="single" w:sz="2" w:space="0" w:color="auto"/>
            </w:tcBorders>
          </w:tcPr>
          <w:p w14:paraId="4E5F7AE2" w14:textId="22D29303" w:rsidR="00255936" w:rsidRDefault="00255936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 w:rsidRPr="009C1609">
              <w:rPr>
                <w:rFonts w:cs="Arial"/>
                <w:spacing w:val="2"/>
                <w:lang w:eastAsia="en-AU"/>
              </w:rPr>
              <w:t>Improv</w:t>
            </w:r>
            <w:r w:rsidR="00EC1BD2">
              <w:rPr>
                <w:rFonts w:cs="Arial"/>
                <w:spacing w:val="2"/>
                <w:lang w:eastAsia="en-AU"/>
              </w:rPr>
              <w:t>e</w:t>
            </w:r>
            <w:r w:rsidRPr="009C1609">
              <w:rPr>
                <w:rFonts w:cs="Arial"/>
                <w:spacing w:val="2"/>
                <w:lang w:eastAsia="en-AU"/>
              </w:rPr>
              <w:t xml:space="preserve"> access, participation and engagement through supporting mechanisms that promote information sharing to better plan for the wellbeing of children in </w:t>
            </w:r>
            <w:r w:rsidR="00013E8F">
              <w:rPr>
                <w:rFonts w:cs="Arial"/>
                <w:spacing w:val="2"/>
                <w:lang w:eastAsia="en-AU"/>
              </w:rPr>
              <w:t>O</w:t>
            </w:r>
            <w:r w:rsidRPr="009C1609">
              <w:rPr>
                <w:rFonts w:cs="Arial"/>
                <w:spacing w:val="2"/>
                <w:lang w:eastAsia="en-AU"/>
              </w:rPr>
              <w:t xml:space="preserve">ut of </w:t>
            </w:r>
            <w:r w:rsidR="00013E8F">
              <w:rPr>
                <w:rFonts w:cs="Arial"/>
                <w:spacing w:val="2"/>
                <w:lang w:eastAsia="en-AU"/>
              </w:rPr>
              <w:t>H</w:t>
            </w:r>
            <w:r w:rsidRPr="009C1609">
              <w:rPr>
                <w:rFonts w:cs="Arial"/>
                <w:spacing w:val="2"/>
                <w:lang w:eastAsia="en-AU"/>
              </w:rPr>
              <w:t xml:space="preserve">ome </w:t>
            </w:r>
            <w:r w:rsidR="00013E8F">
              <w:rPr>
                <w:rFonts w:cs="Arial"/>
                <w:spacing w:val="2"/>
                <w:lang w:eastAsia="en-AU"/>
              </w:rPr>
              <w:t>C</w:t>
            </w:r>
            <w:r w:rsidRPr="009C1609">
              <w:rPr>
                <w:rFonts w:cs="Arial"/>
                <w:spacing w:val="2"/>
                <w:lang w:eastAsia="en-AU"/>
              </w:rPr>
              <w:t xml:space="preserve">are through active collaboration with </w:t>
            </w:r>
            <w:r w:rsidR="00013E8F">
              <w:rPr>
                <w:rFonts w:cs="Arial"/>
                <w:spacing w:val="2"/>
                <w:lang w:eastAsia="en-AU"/>
              </w:rPr>
              <w:t>agencies and government d</w:t>
            </w:r>
            <w:r w:rsidR="00EC1BD2">
              <w:rPr>
                <w:rFonts w:cs="Arial"/>
                <w:spacing w:val="2"/>
                <w:lang w:eastAsia="en-AU"/>
              </w:rPr>
              <w:t>epartment</w:t>
            </w:r>
            <w:r w:rsidR="00013E8F">
              <w:rPr>
                <w:rFonts w:cs="Arial"/>
                <w:spacing w:val="2"/>
                <w:lang w:eastAsia="en-AU"/>
              </w:rPr>
              <w:t>s.</w:t>
            </w:r>
            <w:r w:rsidR="00EC1BD2">
              <w:rPr>
                <w:rFonts w:cs="Arial"/>
                <w:spacing w:val="2"/>
                <w:lang w:eastAsia="en-AU"/>
              </w:rPr>
              <w:t xml:space="preserve"> </w:t>
            </w:r>
          </w:p>
        </w:tc>
        <w:tc>
          <w:tcPr>
            <w:tcW w:w="7088" w:type="dxa"/>
            <w:tcBorders>
              <w:left w:val="single" w:sz="2" w:space="0" w:color="auto"/>
            </w:tcBorders>
          </w:tcPr>
          <w:p w14:paraId="3FF9FFE7" w14:textId="416DFD49" w:rsidR="00255936" w:rsidRPr="009C1609" w:rsidRDefault="00255936" w:rsidP="00506353">
            <w:r w:rsidRPr="003975EE">
              <w:t>Children utilising Out of Home Care will receive individually designed support to help meet their specific needs</w:t>
            </w:r>
            <w:r w:rsidR="00EC1BD2">
              <w:t>.</w:t>
            </w:r>
          </w:p>
        </w:tc>
        <w:tc>
          <w:tcPr>
            <w:tcW w:w="3402" w:type="dxa"/>
            <w:vMerge/>
            <w:vAlign w:val="center"/>
          </w:tcPr>
          <w:p w14:paraId="74DB058D" w14:textId="77777777" w:rsidR="00255936" w:rsidRDefault="00255936" w:rsidP="007D3106"/>
        </w:tc>
      </w:tr>
      <w:tr w:rsidR="003606E2" w:rsidRPr="003975EE" w14:paraId="25835FD2" w14:textId="77777777" w:rsidTr="00255936">
        <w:trPr>
          <w:trHeight w:val="814"/>
        </w:trPr>
        <w:tc>
          <w:tcPr>
            <w:tcW w:w="4253" w:type="dxa"/>
            <w:vMerge w:val="restart"/>
            <w:tcBorders>
              <w:top w:val="single" w:sz="18" w:space="0" w:color="auto"/>
            </w:tcBorders>
          </w:tcPr>
          <w:p w14:paraId="27C3B2D2" w14:textId="77777777" w:rsidR="003606E2" w:rsidRDefault="003606E2" w:rsidP="006A644B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  <w:r w:rsidRPr="003975EE">
              <w:rPr>
                <w:rFonts w:cs="Arial"/>
                <w:b/>
                <w:spacing w:val="2"/>
                <w:sz w:val="24"/>
                <w:szCs w:val="24"/>
                <w:lang w:eastAsia="en-AU"/>
              </w:rPr>
              <w:t>Early childhood services are designed with families to be culturally safe and responsive</w:t>
            </w:r>
          </w:p>
          <w:p w14:paraId="63D37444" w14:textId="02DC6B27" w:rsidR="0023069F" w:rsidRPr="003975EE" w:rsidRDefault="0023069F" w:rsidP="006A644B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single" w:sz="18" w:space="0" w:color="auto"/>
              <w:bottom w:val="nil"/>
            </w:tcBorders>
          </w:tcPr>
          <w:p w14:paraId="42202FE4" w14:textId="37C04B87" w:rsidR="003606E2" w:rsidRPr="003975EE" w:rsidRDefault="003606E2" w:rsidP="003606E2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Lead in the provision of high-quality information and support which values and celebrates cultural, linguistic, and social diversity.</w:t>
            </w:r>
          </w:p>
        </w:tc>
        <w:tc>
          <w:tcPr>
            <w:tcW w:w="7088" w:type="dxa"/>
            <w:tcBorders>
              <w:top w:val="single" w:sz="18" w:space="0" w:color="auto"/>
              <w:bottom w:val="nil"/>
            </w:tcBorders>
          </w:tcPr>
          <w:p w14:paraId="351E290B" w14:textId="37401A9E" w:rsidR="003606E2" w:rsidRPr="003975EE" w:rsidRDefault="003606E2" w:rsidP="003606E2">
            <w:r>
              <w:t>Greater understanding, empathy and inclusiveness for staff, families, and community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  <w:vAlign w:val="center"/>
          </w:tcPr>
          <w:p w14:paraId="61195FF7" w14:textId="77777777" w:rsidR="003606E2" w:rsidRDefault="003606E2" w:rsidP="007D3106">
            <w:r>
              <w:t>ENRICHED LIVES &amp; SHARED KNOWLEDGE</w:t>
            </w:r>
          </w:p>
        </w:tc>
      </w:tr>
      <w:tr w:rsidR="003606E2" w:rsidRPr="003975EE" w14:paraId="261E4599" w14:textId="77777777" w:rsidTr="00146724">
        <w:trPr>
          <w:trHeight w:val="975"/>
        </w:trPr>
        <w:tc>
          <w:tcPr>
            <w:tcW w:w="4253" w:type="dxa"/>
            <w:vMerge/>
          </w:tcPr>
          <w:p w14:paraId="195776F0" w14:textId="77777777" w:rsidR="003606E2" w:rsidRPr="003975EE" w:rsidRDefault="003606E2" w:rsidP="006A644B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  <w:right w:val="single" w:sz="4" w:space="0" w:color="auto"/>
            </w:tcBorders>
          </w:tcPr>
          <w:p w14:paraId="4B7AA5BC" w14:textId="7BACCA4E" w:rsidR="003606E2" w:rsidRDefault="003606E2" w:rsidP="00146724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Commit to develo</w:t>
            </w:r>
            <w:r w:rsidR="00EC1BD2">
              <w:rPr>
                <w:rFonts w:cs="Arial"/>
                <w:spacing w:val="2"/>
                <w:lang w:eastAsia="en-AU"/>
              </w:rPr>
              <w:t>p</w:t>
            </w:r>
            <w:r>
              <w:rPr>
                <w:rFonts w:cs="Arial"/>
                <w:spacing w:val="2"/>
                <w:lang w:eastAsia="en-AU"/>
              </w:rPr>
              <w:t xml:space="preserve"> our understanding of Aboriginal and Torres Strait Islander cultural history and engaging with organisations and families to ensure our services are safe and responsive to their cultural needs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</w:tcBorders>
          </w:tcPr>
          <w:p w14:paraId="3B350140" w14:textId="1D401E86" w:rsidR="003606E2" w:rsidRDefault="003606E2" w:rsidP="00146724">
            <w:r>
              <w:t>I</w:t>
            </w:r>
            <w:r w:rsidRPr="003975EE">
              <w:t>ncreased access to early childhood service</w:t>
            </w:r>
            <w:r>
              <w:t>s</w:t>
            </w:r>
            <w:r w:rsidRPr="003975EE">
              <w:t xml:space="preserve"> b</w:t>
            </w:r>
            <w:r>
              <w:t>y Aboriginal and Torres Strait Islander families</w:t>
            </w:r>
          </w:p>
        </w:tc>
        <w:tc>
          <w:tcPr>
            <w:tcW w:w="3402" w:type="dxa"/>
            <w:vMerge/>
            <w:vAlign w:val="center"/>
          </w:tcPr>
          <w:p w14:paraId="7B7DD9ED" w14:textId="77777777" w:rsidR="003606E2" w:rsidRDefault="003606E2" w:rsidP="007D3106"/>
        </w:tc>
      </w:tr>
      <w:tr w:rsidR="003606E2" w:rsidRPr="003975EE" w14:paraId="065F6B87" w14:textId="77777777" w:rsidTr="00146724">
        <w:trPr>
          <w:trHeight w:val="709"/>
        </w:trPr>
        <w:tc>
          <w:tcPr>
            <w:tcW w:w="4253" w:type="dxa"/>
            <w:vMerge/>
          </w:tcPr>
          <w:p w14:paraId="0F7B6B02" w14:textId="77777777" w:rsidR="003606E2" w:rsidRPr="003975EE" w:rsidRDefault="003606E2" w:rsidP="006A644B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  <w:right w:val="single" w:sz="4" w:space="0" w:color="auto"/>
            </w:tcBorders>
          </w:tcPr>
          <w:p w14:paraId="0CC4DAB6" w14:textId="4B7FBF23" w:rsidR="003606E2" w:rsidRDefault="003606E2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Collaborat</w:t>
            </w:r>
            <w:r w:rsidR="00EC1BD2">
              <w:rPr>
                <w:rFonts w:cs="Arial"/>
                <w:spacing w:val="2"/>
                <w:lang w:eastAsia="en-AU"/>
              </w:rPr>
              <w:t>e</w:t>
            </w:r>
            <w:r>
              <w:rPr>
                <w:rFonts w:cs="Arial"/>
                <w:spacing w:val="2"/>
                <w:lang w:eastAsia="en-AU"/>
              </w:rPr>
              <w:t xml:space="preserve"> with Aboriginal and Torres Strait Islander organisations as respectful allies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</w:tcBorders>
          </w:tcPr>
          <w:p w14:paraId="77072752" w14:textId="07E2C0FE" w:rsidR="003606E2" w:rsidRDefault="003606E2" w:rsidP="00146724">
            <w:r>
              <w:t>Increased opportunities in shared delivery of culturally appropriate programs</w:t>
            </w:r>
          </w:p>
        </w:tc>
        <w:tc>
          <w:tcPr>
            <w:tcW w:w="3402" w:type="dxa"/>
            <w:vMerge/>
            <w:vAlign w:val="center"/>
          </w:tcPr>
          <w:p w14:paraId="687C5F43" w14:textId="77777777" w:rsidR="003606E2" w:rsidRDefault="003606E2" w:rsidP="007D3106"/>
        </w:tc>
      </w:tr>
      <w:tr w:rsidR="003606E2" w:rsidRPr="003975EE" w14:paraId="46541DDB" w14:textId="77777777" w:rsidTr="00146724">
        <w:trPr>
          <w:trHeight w:val="964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7495E490" w14:textId="77777777" w:rsidR="003606E2" w:rsidRPr="003975EE" w:rsidRDefault="003606E2" w:rsidP="006A644B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single" w:sz="18" w:space="0" w:color="auto"/>
            </w:tcBorders>
          </w:tcPr>
          <w:p w14:paraId="356E6D9C" w14:textId="37E5674D" w:rsidR="003606E2" w:rsidRDefault="003606E2" w:rsidP="00831C1E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Promot</w:t>
            </w:r>
            <w:r w:rsidR="00EC1BD2">
              <w:rPr>
                <w:rFonts w:cs="Arial"/>
                <w:spacing w:val="2"/>
                <w:lang w:eastAsia="en-AU"/>
              </w:rPr>
              <w:t>e</w:t>
            </w:r>
            <w:r>
              <w:rPr>
                <w:rFonts w:cs="Arial"/>
                <w:spacing w:val="2"/>
                <w:lang w:eastAsia="en-AU"/>
              </w:rPr>
              <w:t xml:space="preserve"> and support the navigation of our service system for culturally and linguistically diverse families</w:t>
            </w:r>
          </w:p>
        </w:tc>
        <w:tc>
          <w:tcPr>
            <w:tcW w:w="7088" w:type="dxa"/>
            <w:tcBorders>
              <w:top w:val="nil"/>
              <w:bottom w:val="single" w:sz="18" w:space="0" w:color="auto"/>
            </w:tcBorders>
          </w:tcPr>
          <w:p w14:paraId="686FD8E7" w14:textId="170126A6" w:rsidR="003606E2" w:rsidRDefault="003606E2" w:rsidP="00506353">
            <w:r>
              <w:t>Increased access to early childhood services by culturally and linguistically diverse families</w:t>
            </w: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25E110F4" w14:textId="77777777" w:rsidR="003606E2" w:rsidRDefault="003606E2" w:rsidP="007D3106"/>
        </w:tc>
      </w:tr>
      <w:tr w:rsidR="00017D7C" w:rsidRPr="003975EE" w14:paraId="5950C344" w14:textId="77777777" w:rsidTr="00805636">
        <w:trPr>
          <w:trHeight w:val="664"/>
        </w:trPr>
        <w:tc>
          <w:tcPr>
            <w:tcW w:w="4253" w:type="dxa"/>
            <w:vMerge w:val="restart"/>
            <w:tcBorders>
              <w:top w:val="single" w:sz="18" w:space="0" w:color="auto"/>
            </w:tcBorders>
          </w:tcPr>
          <w:p w14:paraId="5D6F49E9" w14:textId="0640E5B3" w:rsidR="00017D7C" w:rsidRDefault="00017D7C" w:rsidP="00410018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  <w:r w:rsidRPr="00011867">
              <w:rPr>
                <w:rFonts w:cs="Arial"/>
                <w:b/>
                <w:spacing w:val="2"/>
                <w:sz w:val="24"/>
                <w:szCs w:val="24"/>
                <w:lang w:eastAsia="en-AU"/>
              </w:rPr>
              <w:t>Early childhood services foster participation by upholding social equity principles</w:t>
            </w:r>
          </w:p>
          <w:p w14:paraId="34E7663A" w14:textId="5D077967" w:rsidR="00017D7C" w:rsidRPr="003975EE" w:rsidRDefault="00017D7C" w:rsidP="00410018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single" w:sz="18" w:space="0" w:color="auto"/>
              <w:bottom w:val="nil"/>
            </w:tcBorders>
          </w:tcPr>
          <w:p w14:paraId="2C499623" w14:textId="76B8D8B3" w:rsidR="00017D7C" w:rsidRPr="003975EE" w:rsidRDefault="00017D7C" w:rsidP="00146724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Implement the City’s social equity framework including gender equity to underpin policies</w:t>
            </w:r>
            <w:r w:rsidR="00013E8F">
              <w:rPr>
                <w:rFonts w:cs="Arial"/>
                <w:spacing w:val="2"/>
                <w:lang w:eastAsia="en-AU"/>
              </w:rPr>
              <w:t>,</w:t>
            </w:r>
            <w:r>
              <w:rPr>
                <w:rFonts w:cs="Arial"/>
                <w:spacing w:val="2"/>
                <w:lang w:eastAsia="en-AU"/>
              </w:rPr>
              <w:t xml:space="preserve"> processes and decision making</w:t>
            </w:r>
            <w:r w:rsidR="006D3F30">
              <w:rPr>
                <w:rFonts w:cs="Arial"/>
                <w:spacing w:val="2"/>
                <w:lang w:eastAsia="en-AU"/>
              </w:rPr>
              <w:t xml:space="preserve"> and c</w:t>
            </w:r>
            <w:r w:rsidRPr="00020E21">
              <w:rPr>
                <w:rFonts w:cs="Arial"/>
                <w:spacing w:val="2"/>
                <w:lang w:eastAsia="en-AU"/>
              </w:rPr>
              <w:t>onsider how the service provision meets unique family needs</w:t>
            </w:r>
            <w:r>
              <w:rPr>
                <w:rFonts w:cs="Arial"/>
                <w:spacing w:val="2"/>
                <w:lang w:eastAsia="en-AU"/>
              </w:rPr>
              <w:t xml:space="preserve"> </w:t>
            </w:r>
          </w:p>
        </w:tc>
        <w:tc>
          <w:tcPr>
            <w:tcW w:w="7088" w:type="dxa"/>
            <w:tcBorders>
              <w:top w:val="single" w:sz="18" w:space="0" w:color="auto"/>
              <w:bottom w:val="nil"/>
            </w:tcBorders>
          </w:tcPr>
          <w:p w14:paraId="242B52DD" w14:textId="4CA2A9ED" w:rsidR="00017D7C" w:rsidRPr="003975EE" w:rsidRDefault="00017D7C" w:rsidP="00146724">
            <w:r w:rsidRPr="003975EE">
              <w:t>More inclusive early childhood settings</w:t>
            </w:r>
            <w:r>
              <w:t xml:space="preserve"> that enable all children and families to be supported to participate fully through creating an authentic sense of belonging.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16A8A6" w14:textId="77777777" w:rsidR="00017D7C" w:rsidRDefault="00017D7C" w:rsidP="00410018">
            <w:r>
              <w:t>INCLUSION &amp; COMMUNITY ENGAGEMENT</w:t>
            </w:r>
          </w:p>
        </w:tc>
      </w:tr>
      <w:tr w:rsidR="00017D7C" w:rsidRPr="003975EE" w14:paraId="30939AB7" w14:textId="77777777" w:rsidTr="00E7765C">
        <w:trPr>
          <w:trHeight w:val="955"/>
        </w:trPr>
        <w:tc>
          <w:tcPr>
            <w:tcW w:w="4253" w:type="dxa"/>
            <w:vMerge/>
          </w:tcPr>
          <w:p w14:paraId="471FA817" w14:textId="77777777" w:rsidR="00017D7C" w:rsidRPr="003975EE" w:rsidRDefault="00017D7C" w:rsidP="00410018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48057F1" w14:textId="73C5B14D" w:rsidR="00017D7C" w:rsidRDefault="00017D7C" w:rsidP="00410018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Ensur</w:t>
            </w:r>
            <w:r w:rsidR="00EC1BD2">
              <w:rPr>
                <w:rFonts w:cs="Arial"/>
                <w:spacing w:val="2"/>
                <w:lang w:eastAsia="en-AU"/>
              </w:rPr>
              <w:t>e</w:t>
            </w:r>
            <w:r>
              <w:rPr>
                <w:rFonts w:cs="Arial"/>
                <w:spacing w:val="2"/>
                <w:lang w:eastAsia="en-AU"/>
              </w:rPr>
              <w:t xml:space="preserve"> those who have challenges with accessibility are supported to enrol in early years services 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6ABA8D5E" w14:textId="46E5EF3D" w:rsidR="00017D7C" w:rsidRPr="003975EE" w:rsidRDefault="00017D7C" w:rsidP="00410018">
            <w:r w:rsidRPr="003975EE">
              <w:t>An easier transition into services for families, ensuring all children have access to high quality programs and services</w:t>
            </w:r>
          </w:p>
        </w:tc>
        <w:tc>
          <w:tcPr>
            <w:tcW w:w="3402" w:type="dxa"/>
            <w:vMerge/>
            <w:vAlign w:val="center"/>
          </w:tcPr>
          <w:p w14:paraId="11CE40AB" w14:textId="77777777" w:rsidR="00017D7C" w:rsidRDefault="00017D7C" w:rsidP="00410018"/>
        </w:tc>
      </w:tr>
      <w:tr w:rsidR="00017D7C" w:rsidRPr="003975EE" w14:paraId="35633A4C" w14:textId="77777777" w:rsidTr="00E7765C">
        <w:trPr>
          <w:trHeight w:val="955"/>
        </w:trPr>
        <w:tc>
          <w:tcPr>
            <w:tcW w:w="4253" w:type="dxa"/>
            <w:vMerge/>
          </w:tcPr>
          <w:p w14:paraId="542966BF" w14:textId="77777777" w:rsidR="00017D7C" w:rsidRPr="003975EE" w:rsidRDefault="00017D7C" w:rsidP="00410018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357910A" w14:textId="6E29CE4B" w:rsidR="00017D7C" w:rsidRDefault="00017D7C" w:rsidP="00410018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  <w:r>
              <w:rPr>
                <w:rFonts w:cs="Arial"/>
                <w:spacing w:val="2"/>
                <w:lang w:eastAsia="en-AU"/>
              </w:rPr>
              <w:t>Plan for the implementation of the Victorian Government Best Start Best Life initiative including support for families to access two years of quality kindergarten programs from 2023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14:paraId="61641CCC" w14:textId="74D37CF4" w:rsidR="00017D7C" w:rsidRPr="003975EE" w:rsidRDefault="00017D7C" w:rsidP="00410018">
            <w:r>
              <w:t>Better educational outcomes for 3- and 4-year-old children now and into the future</w:t>
            </w:r>
          </w:p>
        </w:tc>
        <w:tc>
          <w:tcPr>
            <w:tcW w:w="3402" w:type="dxa"/>
            <w:vAlign w:val="center"/>
          </w:tcPr>
          <w:p w14:paraId="58B1BB17" w14:textId="01C4A5EB" w:rsidR="00017D7C" w:rsidRDefault="00017D7C" w:rsidP="00410018">
            <w:r>
              <w:t>STRONGER PARTICIPATION IN EARLY YEARS EDUCATION</w:t>
            </w:r>
          </w:p>
        </w:tc>
      </w:tr>
      <w:tr w:rsidR="00017D7C" w:rsidRPr="003975EE" w14:paraId="55310213" w14:textId="77777777" w:rsidTr="00146724">
        <w:trPr>
          <w:trHeight w:val="955"/>
        </w:trPr>
        <w:tc>
          <w:tcPr>
            <w:tcW w:w="4253" w:type="dxa"/>
            <w:vMerge/>
            <w:tcBorders>
              <w:bottom w:val="single" w:sz="18" w:space="0" w:color="auto"/>
            </w:tcBorders>
          </w:tcPr>
          <w:p w14:paraId="55715610" w14:textId="77777777" w:rsidR="00017D7C" w:rsidRPr="003975EE" w:rsidRDefault="00017D7C" w:rsidP="00410018">
            <w:pPr>
              <w:spacing w:before="40" w:after="70" w:line="270" w:lineRule="atLeast"/>
              <w:rPr>
                <w:rFonts w:cs="Arial"/>
                <w:b/>
                <w:spacing w:val="2"/>
                <w:sz w:val="24"/>
                <w:szCs w:val="24"/>
                <w:lang w:eastAsia="en-AU"/>
              </w:rPr>
            </w:pPr>
          </w:p>
        </w:tc>
        <w:tc>
          <w:tcPr>
            <w:tcW w:w="7229" w:type="dxa"/>
            <w:tcBorders>
              <w:top w:val="nil"/>
              <w:bottom w:val="single" w:sz="18" w:space="0" w:color="auto"/>
            </w:tcBorders>
          </w:tcPr>
          <w:p w14:paraId="77FF8178" w14:textId="77777777" w:rsidR="00017D7C" w:rsidRDefault="00017D7C" w:rsidP="00410018">
            <w:pPr>
              <w:spacing w:before="40" w:after="70" w:line="270" w:lineRule="atLeast"/>
              <w:rPr>
                <w:rFonts w:cs="Arial"/>
                <w:spacing w:val="2"/>
                <w:lang w:eastAsia="en-AU"/>
              </w:rPr>
            </w:pPr>
          </w:p>
        </w:tc>
        <w:tc>
          <w:tcPr>
            <w:tcW w:w="7088" w:type="dxa"/>
            <w:tcBorders>
              <w:top w:val="nil"/>
              <w:bottom w:val="single" w:sz="18" w:space="0" w:color="auto"/>
            </w:tcBorders>
          </w:tcPr>
          <w:p w14:paraId="2016DABF" w14:textId="77777777" w:rsidR="00017D7C" w:rsidRPr="003975EE" w:rsidRDefault="00017D7C" w:rsidP="00410018"/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14:paraId="27D2987F" w14:textId="77777777" w:rsidR="00017D7C" w:rsidRDefault="00017D7C" w:rsidP="00410018"/>
        </w:tc>
      </w:tr>
    </w:tbl>
    <w:p w14:paraId="18322143" w14:textId="77777777" w:rsidR="008F5496" w:rsidRPr="00F907D7" w:rsidRDefault="008F5496" w:rsidP="00F24043">
      <w:pPr>
        <w:tabs>
          <w:tab w:val="left" w:pos="1134"/>
        </w:tabs>
        <w:rPr>
          <w:b/>
        </w:rPr>
      </w:pPr>
    </w:p>
    <w:sectPr w:rsidR="008F5496" w:rsidRPr="00F907D7" w:rsidSect="00017D7C">
      <w:pgSz w:w="23814" w:h="16839" w:orient="landscape" w:code="8"/>
      <w:pgMar w:top="1701" w:right="2835" w:bottom="28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7744" w14:textId="77777777" w:rsidR="00E56F6B" w:rsidRDefault="00E56F6B" w:rsidP="00B82707">
      <w:r>
        <w:separator/>
      </w:r>
    </w:p>
  </w:endnote>
  <w:endnote w:type="continuationSeparator" w:id="0">
    <w:p w14:paraId="68324945" w14:textId="77777777" w:rsidR="00E56F6B" w:rsidRDefault="00E56F6B" w:rsidP="00B8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6F64" w14:textId="77777777" w:rsidR="00E56F6B" w:rsidRDefault="00E56F6B" w:rsidP="00B82707">
      <w:r>
        <w:separator/>
      </w:r>
    </w:p>
  </w:footnote>
  <w:footnote w:type="continuationSeparator" w:id="0">
    <w:p w14:paraId="58634331" w14:textId="77777777" w:rsidR="00E56F6B" w:rsidRDefault="00E56F6B" w:rsidP="00B8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4378" w14:textId="5B74F295" w:rsidR="00B82707" w:rsidRDefault="00B82707" w:rsidP="00B82707">
    <w:pPr>
      <w:pStyle w:val="Title"/>
      <w:jc w:val="center"/>
    </w:pPr>
    <w:r w:rsidRPr="00B82707">
      <w:rPr>
        <w:b/>
      </w:rPr>
      <w:t>MUNICIPAL</w:t>
    </w:r>
    <w:r>
      <w:t xml:space="preserve"> </w:t>
    </w:r>
    <w:r w:rsidRPr="00B82707">
      <w:rPr>
        <w:b/>
      </w:rPr>
      <w:t xml:space="preserve">EARLY YEARS PLAN </w:t>
    </w:r>
    <w:r w:rsidR="00177252">
      <w:rPr>
        <w:b/>
      </w:rPr>
      <w:t>2022-2025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3B88"/>
    <w:multiLevelType w:val="hybridMultilevel"/>
    <w:tmpl w:val="167042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36B09"/>
    <w:multiLevelType w:val="hybridMultilevel"/>
    <w:tmpl w:val="31026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20E"/>
    <w:multiLevelType w:val="hybridMultilevel"/>
    <w:tmpl w:val="5024CD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58B0"/>
    <w:multiLevelType w:val="hybridMultilevel"/>
    <w:tmpl w:val="5024CD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B2BDC"/>
    <w:multiLevelType w:val="multilevel"/>
    <w:tmpl w:val="EC9497B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5B9BD5" w:themeColor="accent1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5" w15:restartNumberingAfterBreak="0">
    <w:nsid w:val="47292ECA"/>
    <w:multiLevelType w:val="hybridMultilevel"/>
    <w:tmpl w:val="0A745C66"/>
    <w:lvl w:ilvl="0" w:tplc="F10E3F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548E9"/>
    <w:multiLevelType w:val="hybridMultilevel"/>
    <w:tmpl w:val="B342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31F67"/>
    <w:multiLevelType w:val="hybridMultilevel"/>
    <w:tmpl w:val="F1BA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266E2"/>
    <w:multiLevelType w:val="hybridMultilevel"/>
    <w:tmpl w:val="8482DE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663DC3"/>
    <w:multiLevelType w:val="hybridMultilevel"/>
    <w:tmpl w:val="4C64E6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587F48"/>
    <w:multiLevelType w:val="hybridMultilevel"/>
    <w:tmpl w:val="6518B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F3AD2"/>
    <w:multiLevelType w:val="hybridMultilevel"/>
    <w:tmpl w:val="A0881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E6"/>
    <w:rsid w:val="00004F21"/>
    <w:rsid w:val="00011867"/>
    <w:rsid w:val="00013E8F"/>
    <w:rsid w:val="00014DD0"/>
    <w:rsid w:val="0001501B"/>
    <w:rsid w:val="00016152"/>
    <w:rsid w:val="00017D7C"/>
    <w:rsid w:val="00020E21"/>
    <w:rsid w:val="0003769B"/>
    <w:rsid w:val="00054A87"/>
    <w:rsid w:val="00054F1A"/>
    <w:rsid w:val="00090E2E"/>
    <w:rsid w:val="00093E7D"/>
    <w:rsid w:val="00094055"/>
    <w:rsid w:val="000A1791"/>
    <w:rsid w:val="000A46E1"/>
    <w:rsid w:val="000B07E0"/>
    <w:rsid w:val="000C4A49"/>
    <w:rsid w:val="000F3D31"/>
    <w:rsid w:val="001125D7"/>
    <w:rsid w:val="001200D6"/>
    <w:rsid w:val="001270A7"/>
    <w:rsid w:val="00133257"/>
    <w:rsid w:val="001445DB"/>
    <w:rsid w:val="00146724"/>
    <w:rsid w:val="00172A6F"/>
    <w:rsid w:val="001753C8"/>
    <w:rsid w:val="00177252"/>
    <w:rsid w:val="001B21E7"/>
    <w:rsid w:val="001B4402"/>
    <w:rsid w:val="001C29CA"/>
    <w:rsid w:val="001F3053"/>
    <w:rsid w:val="001F3DC1"/>
    <w:rsid w:val="002031BD"/>
    <w:rsid w:val="00214BE4"/>
    <w:rsid w:val="0023069F"/>
    <w:rsid w:val="00232D29"/>
    <w:rsid w:val="00255936"/>
    <w:rsid w:val="002610FA"/>
    <w:rsid w:val="0027742E"/>
    <w:rsid w:val="0028239D"/>
    <w:rsid w:val="0028670B"/>
    <w:rsid w:val="00290616"/>
    <w:rsid w:val="002A50E7"/>
    <w:rsid w:val="002B0CDC"/>
    <w:rsid w:val="002B130E"/>
    <w:rsid w:val="002B3A26"/>
    <w:rsid w:val="002C7230"/>
    <w:rsid w:val="002D3CA3"/>
    <w:rsid w:val="002D5ABA"/>
    <w:rsid w:val="00310647"/>
    <w:rsid w:val="0031497C"/>
    <w:rsid w:val="003158E6"/>
    <w:rsid w:val="00331558"/>
    <w:rsid w:val="00336394"/>
    <w:rsid w:val="003408A9"/>
    <w:rsid w:val="00342CE1"/>
    <w:rsid w:val="00356064"/>
    <w:rsid w:val="003606E2"/>
    <w:rsid w:val="00362AEA"/>
    <w:rsid w:val="00372F62"/>
    <w:rsid w:val="003975EE"/>
    <w:rsid w:val="003B0804"/>
    <w:rsid w:val="003C27A2"/>
    <w:rsid w:val="003C7D22"/>
    <w:rsid w:val="003E1A0C"/>
    <w:rsid w:val="003E21B4"/>
    <w:rsid w:val="003E78EE"/>
    <w:rsid w:val="003F086B"/>
    <w:rsid w:val="003F2315"/>
    <w:rsid w:val="00405CBE"/>
    <w:rsid w:val="00410018"/>
    <w:rsid w:val="004312FB"/>
    <w:rsid w:val="00447F2C"/>
    <w:rsid w:val="004767DF"/>
    <w:rsid w:val="00480006"/>
    <w:rsid w:val="00486B02"/>
    <w:rsid w:val="00494E9C"/>
    <w:rsid w:val="004A456B"/>
    <w:rsid w:val="004C0A6B"/>
    <w:rsid w:val="004C4633"/>
    <w:rsid w:val="004C6400"/>
    <w:rsid w:val="004D1E2D"/>
    <w:rsid w:val="004D2D29"/>
    <w:rsid w:val="004D5643"/>
    <w:rsid w:val="004E1DF6"/>
    <w:rsid w:val="004F22BB"/>
    <w:rsid w:val="004F5BF7"/>
    <w:rsid w:val="00506353"/>
    <w:rsid w:val="00527059"/>
    <w:rsid w:val="0053146B"/>
    <w:rsid w:val="00534442"/>
    <w:rsid w:val="00542ABD"/>
    <w:rsid w:val="005512BC"/>
    <w:rsid w:val="00556573"/>
    <w:rsid w:val="00571BB1"/>
    <w:rsid w:val="00571EFC"/>
    <w:rsid w:val="00583C20"/>
    <w:rsid w:val="005A090D"/>
    <w:rsid w:val="005A68D5"/>
    <w:rsid w:val="005A7FB4"/>
    <w:rsid w:val="005B56B9"/>
    <w:rsid w:val="005B7381"/>
    <w:rsid w:val="005C2988"/>
    <w:rsid w:val="005C537F"/>
    <w:rsid w:val="005F31E5"/>
    <w:rsid w:val="00601674"/>
    <w:rsid w:val="00602B4E"/>
    <w:rsid w:val="00603F06"/>
    <w:rsid w:val="0061363B"/>
    <w:rsid w:val="006148CA"/>
    <w:rsid w:val="00632974"/>
    <w:rsid w:val="0063436B"/>
    <w:rsid w:val="00640537"/>
    <w:rsid w:val="006438A7"/>
    <w:rsid w:val="00686A20"/>
    <w:rsid w:val="00691E40"/>
    <w:rsid w:val="006A1931"/>
    <w:rsid w:val="006A4886"/>
    <w:rsid w:val="006A4F1E"/>
    <w:rsid w:val="006A644B"/>
    <w:rsid w:val="006B28E4"/>
    <w:rsid w:val="006B75C8"/>
    <w:rsid w:val="006D1188"/>
    <w:rsid w:val="006D3F30"/>
    <w:rsid w:val="006F63E8"/>
    <w:rsid w:val="00700748"/>
    <w:rsid w:val="007216EB"/>
    <w:rsid w:val="00757D0C"/>
    <w:rsid w:val="00760911"/>
    <w:rsid w:val="00780920"/>
    <w:rsid w:val="007838E5"/>
    <w:rsid w:val="007A56B0"/>
    <w:rsid w:val="007B1175"/>
    <w:rsid w:val="007C59A6"/>
    <w:rsid w:val="007D2598"/>
    <w:rsid w:val="007D3106"/>
    <w:rsid w:val="007F4CC2"/>
    <w:rsid w:val="008269DD"/>
    <w:rsid w:val="00831C1E"/>
    <w:rsid w:val="00841155"/>
    <w:rsid w:val="008444E6"/>
    <w:rsid w:val="0085113D"/>
    <w:rsid w:val="00861597"/>
    <w:rsid w:val="0086231B"/>
    <w:rsid w:val="0087226A"/>
    <w:rsid w:val="0087527E"/>
    <w:rsid w:val="0089644C"/>
    <w:rsid w:val="008A046A"/>
    <w:rsid w:val="008B13E5"/>
    <w:rsid w:val="008B7EA3"/>
    <w:rsid w:val="008D34C1"/>
    <w:rsid w:val="008F5496"/>
    <w:rsid w:val="008F562D"/>
    <w:rsid w:val="008F6343"/>
    <w:rsid w:val="0090159B"/>
    <w:rsid w:val="009110FB"/>
    <w:rsid w:val="00912EE9"/>
    <w:rsid w:val="00913E3B"/>
    <w:rsid w:val="00914BE1"/>
    <w:rsid w:val="00915BD1"/>
    <w:rsid w:val="00931DCC"/>
    <w:rsid w:val="00936142"/>
    <w:rsid w:val="009657E7"/>
    <w:rsid w:val="00976C16"/>
    <w:rsid w:val="009805EA"/>
    <w:rsid w:val="00994304"/>
    <w:rsid w:val="0099518C"/>
    <w:rsid w:val="0099544B"/>
    <w:rsid w:val="009A14BC"/>
    <w:rsid w:val="009A202C"/>
    <w:rsid w:val="009B6B84"/>
    <w:rsid w:val="009B6B8C"/>
    <w:rsid w:val="009C1609"/>
    <w:rsid w:val="00A12DB7"/>
    <w:rsid w:val="00A24543"/>
    <w:rsid w:val="00A258B1"/>
    <w:rsid w:val="00A32748"/>
    <w:rsid w:val="00A47C40"/>
    <w:rsid w:val="00A97C3E"/>
    <w:rsid w:val="00AB5A7F"/>
    <w:rsid w:val="00AB6608"/>
    <w:rsid w:val="00AF6BC2"/>
    <w:rsid w:val="00AF76C4"/>
    <w:rsid w:val="00B10525"/>
    <w:rsid w:val="00B14F2E"/>
    <w:rsid w:val="00B3455B"/>
    <w:rsid w:val="00B37383"/>
    <w:rsid w:val="00B82707"/>
    <w:rsid w:val="00BA5E30"/>
    <w:rsid w:val="00BB011A"/>
    <w:rsid w:val="00BC1062"/>
    <w:rsid w:val="00BC4E8A"/>
    <w:rsid w:val="00BD3778"/>
    <w:rsid w:val="00BD4CDC"/>
    <w:rsid w:val="00BE3793"/>
    <w:rsid w:val="00BF4D01"/>
    <w:rsid w:val="00C06A48"/>
    <w:rsid w:val="00C13D64"/>
    <w:rsid w:val="00C169EF"/>
    <w:rsid w:val="00C50D50"/>
    <w:rsid w:val="00C603A1"/>
    <w:rsid w:val="00C63647"/>
    <w:rsid w:val="00C77AD9"/>
    <w:rsid w:val="00C87272"/>
    <w:rsid w:val="00CD0AE8"/>
    <w:rsid w:val="00CD61FB"/>
    <w:rsid w:val="00CD6586"/>
    <w:rsid w:val="00CF65B3"/>
    <w:rsid w:val="00CF78E3"/>
    <w:rsid w:val="00D0725D"/>
    <w:rsid w:val="00D130EE"/>
    <w:rsid w:val="00D35377"/>
    <w:rsid w:val="00D3706A"/>
    <w:rsid w:val="00D40DD7"/>
    <w:rsid w:val="00D45AB1"/>
    <w:rsid w:val="00D77799"/>
    <w:rsid w:val="00D80636"/>
    <w:rsid w:val="00DE023A"/>
    <w:rsid w:val="00DE34DA"/>
    <w:rsid w:val="00DF0E98"/>
    <w:rsid w:val="00E02B6C"/>
    <w:rsid w:val="00E057C5"/>
    <w:rsid w:val="00E22F7C"/>
    <w:rsid w:val="00E30801"/>
    <w:rsid w:val="00E47FB6"/>
    <w:rsid w:val="00E55E3D"/>
    <w:rsid w:val="00E56F6B"/>
    <w:rsid w:val="00E7765C"/>
    <w:rsid w:val="00E91162"/>
    <w:rsid w:val="00EB0C5C"/>
    <w:rsid w:val="00EC1BD2"/>
    <w:rsid w:val="00EC5229"/>
    <w:rsid w:val="00F0647E"/>
    <w:rsid w:val="00F1428C"/>
    <w:rsid w:val="00F1599F"/>
    <w:rsid w:val="00F24043"/>
    <w:rsid w:val="00F619A6"/>
    <w:rsid w:val="00F676B4"/>
    <w:rsid w:val="00F907D7"/>
    <w:rsid w:val="00FA6518"/>
    <w:rsid w:val="00FD3965"/>
    <w:rsid w:val="00FD41C2"/>
    <w:rsid w:val="00FF03B7"/>
    <w:rsid w:val="00FF2B72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D5254"/>
  <w15:chartTrackingRefBased/>
  <w15:docId w15:val="{481362AD-6D42-4F78-A1ED-45A1B895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  <w:style w:type="paragraph" w:styleId="ListParagraph">
    <w:name w:val="List Paragraph"/>
    <w:aliases w:val="List Paragraph1,Recommendation,List Paragraph11,Content descriptions,Bullet point,NFP GP Bulleted List,FooterText,numbered,Paragraphe de liste1,Bulletr List Paragraph,列出段落,列出段落1,List Paragraph2,List Paragraph21,Listeafsnit1,リスト段落1,L"/>
    <w:basedOn w:val="Normal"/>
    <w:link w:val="ListParagraphChar"/>
    <w:uiPriority w:val="34"/>
    <w:qFormat/>
    <w:rsid w:val="008444E6"/>
    <w:pPr>
      <w:ind w:left="720"/>
      <w:contextualSpacing/>
    </w:pPr>
  </w:style>
  <w:style w:type="table" w:styleId="TableGrid">
    <w:name w:val="Table Grid"/>
    <w:basedOn w:val="TableNormal"/>
    <w:uiPriority w:val="39"/>
    <w:rsid w:val="008444E6"/>
    <w:pPr>
      <w:spacing w:before="40" w:after="80" w:line="260" w:lineRule="atLeast"/>
    </w:pPr>
    <w:rPr>
      <w:rFonts w:asciiTheme="minorHAnsi" w:hAnsiTheme="minorHAnsi"/>
      <w:sz w:val="18"/>
      <w:szCs w:val="19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44546A" w:themeFill="text2"/>
      </w:tcPr>
    </w:tblStylePr>
  </w:style>
  <w:style w:type="character" w:customStyle="1" w:styleId="ListParagraphChar">
    <w:name w:val="List Paragraph Char"/>
    <w:aliases w:val="List Paragraph1 Char,Recommendation Char,List Paragraph11 Char,Content descriptions Char,Bullet point Char,NFP GP Bulleted List Char,FooterText Char,numbered Char,Paragraphe de liste1 Char,Bulletr List Paragraph Char,列出段落 Char,L Char"/>
    <w:basedOn w:val="DefaultParagraphFont"/>
    <w:link w:val="ListParagraph"/>
    <w:uiPriority w:val="34"/>
    <w:locked/>
    <w:rsid w:val="008444E6"/>
    <w:rPr>
      <w:rFonts w:ascii="Arial" w:hAnsi="Arial"/>
      <w:lang w:eastAsia="en-US"/>
    </w:rPr>
  </w:style>
  <w:style w:type="paragraph" w:styleId="ListBullet">
    <w:name w:val="List Bullet"/>
    <w:basedOn w:val="BodyText"/>
    <w:qFormat/>
    <w:rsid w:val="00BA5E30"/>
    <w:pPr>
      <w:numPr>
        <w:numId w:val="3"/>
      </w:numPr>
      <w:spacing w:before="110" w:after="110" w:line="270" w:lineRule="atLeast"/>
    </w:pPr>
    <w:rPr>
      <w:rFonts w:asciiTheme="minorHAnsi" w:hAnsiTheme="minorHAnsi"/>
      <w:spacing w:val="2"/>
      <w:sz w:val="19"/>
      <w:szCs w:val="19"/>
      <w:lang w:eastAsia="en-AU"/>
    </w:rPr>
  </w:style>
  <w:style w:type="paragraph" w:styleId="ListBullet2">
    <w:name w:val="List Bullet 2"/>
    <w:basedOn w:val="ListBullet"/>
    <w:qFormat/>
    <w:rsid w:val="00BA5E30"/>
    <w:pPr>
      <w:numPr>
        <w:ilvl w:val="1"/>
      </w:numPr>
      <w:tabs>
        <w:tab w:val="clear" w:pos="340"/>
        <w:tab w:val="num" w:pos="360"/>
      </w:tabs>
    </w:pPr>
  </w:style>
  <w:style w:type="paragraph" w:styleId="ListBullet3">
    <w:name w:val="List Bullet 3"/>
    <w:basedOn w:val="ListBullet2"/>
    <w:qFormat/>
    <w:rsid w:val="00BA5E30"/>
    <w:pPr>
      <w:numPr>
        <w:ilvl w:val="2"/>
      </w:numPr>
      <w:tabs>
        <w:tab w:val="clear" w:pos="510"/>
        <w:tab w:val="num" w:pos="360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BA5E30"/>
    <w:pPr>
      <w:spacing w:before="240" w:after="240" w:line="270" w:lineRule="atLeast"/>
      <w:ind w:left="567" w:right="567"/>
      <w:jc w:val="center"/>
    </w:pPr>
    <w:rPr>
      <w:rFonts w:asciiTheme="minorHAnsi" w:hAnsiTheme="minorHAnsi"/>
      <w:i/>
      <w:iCs/>
      <w:color w:val="44546A" w:themeColor="text2"/>
      <w:spacing w:val="2"/>
      <w:sz w:val="19"/>
      <w:szCs w:val="19"/>
      <w:lang w:eastAsia="en-AU"/>
    </w:rPr>
  </w:style>
  <w:style w:type="character" w:customStyle="1" w:styleId="QuoteChar">
    <w:name w:val="Quote Char"/>
    <w:basedOn w:val="DefaultParagraphFont"/>
    <w:link w:val="Quote"/>
    <w:uiPriority w:val="29"/>
    <w:rsid w:val="00BA5E30"/>
    <w:rPr>
      <w:rFonts w:asciiTheme="minorHAnsi" w:hAnsiTheme="minorHAnsi"/>
      <w:i/>
      <w:iCs/>
      <w:color w:val="44546A" w:themeColor="text2"/>
      <w:spacing w:val="2"/>
      <w:sz w:val="19"/>
      <w:szCs w:val="19"/>
    </w:rPr>
  </w:style>
  <w:style w:type="paragraph" w:styleId="ListBullet4">
    <w:name w:val="List Bullet 4"/>
    <w:basedOn w:val="Normal"/>
    <w:semiHidden/>
    <w:unhideWhenUsed/>
    <w:rsid w:val="00BA5E30"/>
    <w:pPr>
      <w:numPr>
        <w:ilvl w:val="3"/>
        <w:numId w:val="3"/>
      </w:numPr>
      <w:spacing w:line="270" w:lineRule="atLeast"/>
      <w:contextualSpacing/>
    </w:pPr>
    <w:rPr>
      <w:rFonts w:asciiTheme="minorHAnsi" w:hAnsiTheme="minorHAnsi"/>
      <w:spacing w:val="2"/>
      <w:sz w:val="19"/>
      <w:szCs w:val="19"/>
      <w:lang w:eastAsia="en-AU"/>
    </w:rPr>
  </w:style>
  <w:style w:type="paragraph" w:styleId="ListBullet5">
    <w:name w:val="List Bullet 5"/>
    <w:basedOn w:val="Normal"/>
    <w:semiHidden/>
    <w:unhideWhenUsed/>
    <w:rsid w:val="00BA5E30"/>
    <w:pPr>
      <w:numPr>
        <w:ilvl w:val="4"/>
        <w:numId w:val="3"/>
      </w:numPr>
      <w:spacing w:line="270" w:lineRule="atLeast"/>
      <w:contextualSpacing/>
    </w:pPr>
    <w:rPr>
      <w:rFonts w:asciiTheme="minorHAnsi" w:hAnsiTheme="minorHAnsi"/>
      <w:spacing w:val="2"/>
      <w:sz w:val="19"/>
      <w:szCs w:val="19"/>
      <w:lang w:eastAsia="en-AU"/>
    </w:rPr>
  </w:style>
  <w:style w:type="paragraph" w:customStyle="1" w:styleId="TableText">
    <w:name w:val="Table Text"/>
    <w:basedOn w:val="Normal"/>
    <w:qFormat/>
    <w:rsid w:val="00BA5E30"/>
    <w:pPr>
      <w:spacing w:before="40" w:after="70" w:line="270" w:lineRule="atLeast"/>
    </w:pPr>
    <w:rPr>
      <w:rFonts w:asciiTheme="minorHAnsi" w:hAnsiTheme="minorHAnsi"/>
      <w:spacing w:val="2"/>
      <w:sz w:val="18"/>
      <w:szCs w:val="19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E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E30"/>
    <w:rPr>
      <w:rFonts w:ascii="Arial" w:hAnsi="Arial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169EF"/>
    <w:pPr>
      <w:spacing w:before="40" w:after="80" w:line="260" w:lineRule="atLeast"/>
    </w:pPr>
    <w:rPr>
      <w:rFonts w:ascii="Arial" w:hAnsi="Arial"/>
      <w:sz w:val="18"/>
      <w:szCs w:val="19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table" w:customStyle="1" w:styleId="TableGrid2">
    <w:name w:val="Table Grid2"/>
    <w:basedOn w:val="TableNormal"/>
    <w:next w:val="TableGrid"/>
    <w:uiPriority w:val="39"/>
    <w:rsid w:val="00C169EF"/>
    <w:pPr>
      <w:spacing w:before="40" w:after="80" w:line="260" w:lineRule="atLeast"/>
    </w:pPr>
    <w:rPr>
      <w:rFonts w:ascii="Arial" w:hAnsi="Arial"/>
      <w:sz w:val="18"/>
      <w:szCs w:val="19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0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27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07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27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07"/>
    <w:rPr>
      <w:rFonts w:ascii="Arial" w:hAnsi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827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70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6A4F1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A4F1E"/>
    <w:pPr>
      <w:tabs>
        <w:tab w:val="left" w:pos="340"/>
      </w:tabs>
      <w:spacing w:before="60"/>
      <w:ind w:left="340" w:hanging="340"/>
    </w:pPr>
    <w:rPr>
      <w:rFonts w:asciiTheme="minorHAnsi" w:hAnsiTheme="minorHAnsi"/>
      <w:spacing w:val="2"/>
      <w:sz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A4F1E"/>
    <w:rPr>
      <w:rFonts w:asciiTheme="minorHAnsi" w:hAnsiTheme="minorHAnsi"/>
      <w:spacing w:val="2"/>
      <w:sz w:val="16"/>
    </w:rPr>
  </w:style>
  <w:style w:type="character" w:styleId="FootnoteReference">
    <w:name w:val="footnote reference"/>
    <w:basedOn w:val="DefaultParagraphFont"/>
    <w:semiHidden/>
    <w:unhideWhenUsed/>
    <w:rsid w:val="006A4F1E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397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0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6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6E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6E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hyperlink" Target="https://profile.id.com.au/geelong/assistance" TargetMode="Externa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yperlink" Target="https://profile.id.com.au/geelong/assistanc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rofile.id.com.au/geelong/assistance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hyperlink" Target="https://profile.id.com.au/geelong/assistance" TargetMode="External"/><Relationship Id="rId28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diagramQuickStyle" Target="diagrams/quickStyle2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profile.id.com.au/geelong/assistance" TargetMode="External"/><Relationship Id="rId27" Type="http://schemas.openxmlformats.org/officeDocument/2006/relationships/hyperlink" Target="https://profile.id.com.au/geelong/assistance" TargetMode="External"/><Relationship Id="rId30" Type="http://schemas.openxmlformats.org/officeDocument/2006/relationships/image" Target="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995C14-AFCD-48F1-B2C7-BA7168587153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55B01D3D-7F08-429A-87F0-7970F525DAA8}">
      <dgm:prSet phldrT="[Text]"/>
      <dgm:spPr/>
      <dgm:t>
        <a:bodyPr/>
        <a:lstStyle/>
        <a:p>
          <a:r>
            <a:rPr lang="en-AU"/>
            <a:t>Support families to help children achieve their full potential</a:t>
          </a:r>
        </a:p>
      </dgm:t>
    </dgm:pt>
    <dgm:pt modelId="{5CEB07BF-84E7-4031-BD70-CD29C1E7B8E9}" type="parTrans" cxnId="{0A922154-00FE-4FB0-92F5-CE4725D1EA6C}">
      <dgm:prSet/>
      <dgm:spPr/>
      <dgm:t>
        <a:bodyPr/>
        <a:lstStyle/>
        <a:p>
          <a:endParaRPr lang="en-AU"/>
        </a:p>
      </dgm:t>
    </dgm:pt>
    <dgm:pt modelId="{CB058697-CF0A-429C-8C3E-03216CEF0B80}" type="sibTrans" cxnId="{0A922154-00FE-4FB0-92F5-CE4725D1EA6C}">
      <dgm:prSet/>
      <dgm:spPr/>
      <dgm:t>
        <a:bodyPr/>
        <a:lstStyle/>
        <a:p>
          <a:endParaRPr lang="en-AU"/>
        </a:p>
      </dgm:t>
    </dgm:pt>
    <dgm:pt modelId="{F7C30D4E-BFD6-4CA6-B620-FE55F39D9E75}">
      <dgm:prSet phldrT="[Text]"/>
      <dgm:spPr/>
      <dgm:t>
        <a:bodyPr/>
        <a:lstStyle/>
        <a:p>
          <a:r>
            <a:rPr lang="en-AU"/>
            <a:t>Provide quality early childhood services that prepare children to achieve their full potential.</a:t>
          </a:r>
        </a:p>
      </dgm:t>
    </dgm:pt>
    <dgm:pt modelId="{AE2E75C4-D77B-474D-A6C7-8428076C2473}" type="parTrans" cxnId="{838B0F83-BC38-4B22-9BD6-D57C12C3912C}">
      <dgm:prSet/>
      <dgm:spPr/>
      <dgm:t>
        <a:bodyPr/>
        <a:lstStyle/>
        <a:p>
          <a:endParaRPr lang="en-AU"/>
        </a:p>
      </dgm:t>
    </dgm:pt>
    <dgm:pt modelId="{7C774BAA-C3CA-4BB9-B0EF-47D74748F56C}" type="sibTrans" cxnId="{838B0F83-BC38-4B22-9BD6-D57C12C3912C}">
      <dgm:prSet/>
      <dgm:spPr/>
      <dgm:t>
        <a:bodyPr/>
        <a:lstStyle/>
        <a:p>
          <a:endParaRPr lang="en-AU"/>
        </a:p>
      </dgm:t>
    </dgm:pt>
    <dgm:pt modelId="{E9EEE270-F036-48A5-8823-4665AED4F967}">
      <dgm:prSet phldrT="[Text]"/>
      <dgm:spPr/>
      <dgm:t>
        <a:bodyPr/>
        <a:lstStyle/>
        <a:p>
          <a:r>
            <a:rPr lang="en-AU"/>
            <a:t>Build capacity of parent/carers through education and support.</a:t>
          </a:r>
        </a:p>
      </dgm:t>
    </dgm:pt>
    <dgm:pt modelId="{C32149CC-DBCF-4787-9B51-1B6E52497EA8}" type="parTrans" cxnId="{AEC6A110-82C3-4A89-B856-B3C1B4A60FF4}">
      <dgm:prSet/>
      <dgm:spPr/>
      <dgm:t>
        <a:bodyPr/>
        <a:lstStyle/>
        <a:p>
          <a:endParaRPr lang="en-AU"/>
        </a:p>
      </dgm:t>
    </dgm:pt>
    <dgm:pt modelId="{18865955-E788-403E-9B30-B1D33A06DBE5}" type="sibTrans" cxnId="{AEC6A110-82C3-4A89-B856-B3C1B4A60FF4}">
      <dgm:prSet/>
      <dgm:spPr/>
      <dgm:t>
        <a:bodyPr/>
        <a:lstStyle/>
        <a:p>
          <a:endParaRPr lang="en-AU"/>
        </a:p>
      </dgm:t>
    </dgm:pt>
    <dgm:pt modelId="{7B3F5980-A539-4234-B694-F10B58A47C4E}">
      <dgm:prSet phldrT="[Text]"/>
      <dgm:spPr/>
      <dgm:t>
        <a:bodyPr/>
        <a:lstStyle/>
        <a:p>
          <a:r>
            <a:rPr lang="en-AU"/>
            <a:t>Support  positive  health and wellbeing of children and families</a:t>
          </a:r>
        </a:p>
      </dgm:t>
    </dgm:pt>
    <dgm:pt modelId="{2503F8E5-FFB9-4DF0-81E7-8CF7612CFD95}" type="parTrans" cxnId="{A8612704-5C69-423A-BE88-ED56231D1685}">
      <dgm:prSet/>
      <dgm:spPr/>
      <dgm:t>
        <a:bodyPr/>
        <a:lstStyle/>
        <a:p>
          <a:endParaRPr lang="en-AU"/>
        </a:p>
      </dgm:t>
    </dgm:pt>
    <dgm:pt modelId="{336DE9B4-E00C-4F08-8270-D0A2178DC802}" type="sibTrans" cxnId="{A8612704-5C69-423A-BE88-ED56231D1685}">
      <dgm:prSet/>
      <dgm:spPr/>
      <dgm:t>
        <a:bodyPr/>
        <a:lstStyle/>
        <a:p>
          <a:endParaRPr lang="en-AU"/>
        </a:p>
      </dgm:t>
    </dgm:pt>
    <dgm:pt modelId="{EA30080E-80FF-423C-8CC8-3C6E93CAEB35}">
      <dgm:prSet phldrT="[Text]"/>
      <dgm:spPr/>
      <dgm:t>
        <a:bodyPr/>
        <a:lstStyle/>
        <a:p>
          <a:r>
            <a:rPr lang="en-AU"/>
            <a:t>Ensure that service provision is based on key themes of early years research and data to guide program development and implementation</a:t>
          </a:r>
        </a:p>
      </dgm:t>
    </dgm:pt>
    <dgm:pt modelId="{4AC65D30-16A3-4610-9516-F9D730D2A81B}" type="parTrans" cxnId="{8198D89C-AE28-49C9-988E-7054C9CEFB22}">
      <dgm:prSet/>
      <dgm:spPr/>
      <dgm:t>
        <a:bodyPr/>
        <a:lstStyle/>
        <a:p>
          <a:endParaRPr lang="en-AU"/>
        </a:p>
      </dgm:t>
    </dgm:pt>
    <dgm:pt modelId="{3BC2EC36-73E1-4DAF-9497-F463E12DE2FD}" type="sibTrans" cxnId="{8198D89C-AE28-49C9-988E-7054C9CEFB22}">
      <dgm:prSet/>
      <dgm:spPr/>
      <dgm:t>
        <a:bodyPr/>
        <a:lstStyle/>
        <a:p>
          <a:endParaRPr lang="en-AU"/>
        </a:p>
      </dgm:t>
    </dgm:pt>
    <dgm:pt modelId="{63EECA7C-60D9-4F4D-A329-B49CDAAA3196}">
      <dgm:prSet phldrT="[Text]"/>
      <dgm:spPr/>
      <dgm:t>
        <a:bodyPr/>
        <a:lstStyle/>
        <a:p>
          <a:r>
            <a:rPr lang="en-AU"/>
            <a:t>Encourage a culture of collaboration with service providers to enable a more responsive service system</a:t>
          </a:r>
        </a:p>
      </dgm:t>
    </dgm:pt>
    <dgm:pt modelId="{35AE0832-F2B7-4709-91F4-061B47133D95}" type="parTrans" cxnId="{4A2B5574-92ED-4772-9736-DC6356F4FCB3}">
      <dgm:prSet/>
      <dgm:spPr/>
      <dgm:t>
        <a:bodyPr/>
        <a:lstStyle/>
        <a:p>
          <a:endParaRPr lang="en-AU"/>
        </a:p>
      </dgm:t>
    </dgm:pt>
    <dgm:pt modelId="{9F52A4A2-B5B0-4313-B9DC-4BBB41314A7B}" type="sibTrans" cxnId="{4A2B5574-92ED-4772-9736-DC6356F4FCB3}">
      <dgm:prSet/>
      <dgm:spPr/>
      <dgm:t>
        <a:bodyPr/>
        <a:lstStyle/>
        <a:p>
          <a:endParaRPr lang="en-AU"/>
        </a:p>
      </dgm:t>
    </dgm:pt>
    <dgm:pt modelId="{5B3E2598-2D6F-47C2-B8E0-B2EE082D47EC}">
      <dgm:prSet phldrT="[Text]"/>
      <dgm:spPr/>
      <dgm:t>
        <a:bodyPr/>
        <a:lstStyle/>
        <a:p>
          <a:r>
            <a:rPr lang="en-AU"/>
            <a:t>Empower children to become active and engaged citizens in the community </a:t>
          </a:r>
        </a:p>
      </dgm:t>
    </dgm:pt>
    <dgm:pt modelId="{44D076AA-F692-48E0-85BE-50E41175F223}" type="parTrans" cxnId="{585AE55B-924B-4509-A057-B3EA0F23A070}">
      <dgm:prSet/>
      <dgm:spPr/>
      <dgm:t>
        <a:bodyPr/>
        <a:lstStyle/>
        <a:p>
          <a:endParaRPr lang="en-AU"/>
        </a:p>
      </dgm:t>
    </dgm:pt>
    <dgm:pt modelId="{5C4D81DD-DCF1-4E78-98FA-B7441230A772}" type="sibTrans" cxnId="{585AE55B-924B-4509-A057-B3EA0F23A070}">
      <dgm:prSet/>
      <dgm:spPr/>
      <dgm:t>
        <a:bodyPr/>
        <a:lstStyle/>
        <a:p>
          <a:endParaRPr lang="en-AU"/>
        </a:p>
      </dgm:t>
    </dgm:pt>
    <dgm:pt modelId="{9531926A-4FD2-46AC-8258-0ED00F1177B6}" type="pres">
      <dgm:prSet presAssocID="{BF995C14-AFCD-48F1-B2C7-BA7168587153}" presName="Name0" presStyleCnt="0">
        <dgm:presLayoutVars>
          <dgm:dir/>
          <dgm:animLvl val="lvl"/>
          <dgm:resizeHandles val="exact"/>
        </dgm:presLayoutVars>
      </dgm:prSet>
      <dgm:spPr/>
    </dgm:pt>
    <dgm:pt modelId="{71F11DBE-4B2B-461B-A5D8-299E166589F0}" type="pres">
      <dgm:prSet presAssocID="{55B01D3D-7F08-429A-87F0-7970F525DAA8}" presName="linNode" presStyleCnt="0"/>
      <dgm:spPr/>
    </dgm:pt>
    <dgm:pt modelId="{C3EA198C-92CF-4A6E-97F6-9D0FBA9CCF67}" type="pres">
      <dgm:prSet presAssocID="{55B01D3D-7F08-429A-87F0-7970F525DAA8}" presName="parentText" presStyleLbl="node1" presStyleIdx="0" presStyleCnt="2">
        <dgm:presLayoutVars>
          <dgm:chMax val="1"/>
          <dgm:bulletEnabled val="1"/>
        </dgm:presLayoutVars>
      </dgm:prSet>
      <dgm:spPr/>
    </dgm:pt>
    <dgm:pt modelId="{633B0FE3-BCFE-4B70-A2B6-8B8A8BA95988}" type="pres">
      <dgm:prSet presAssocID="{55B01D3D-7F08-429A-87F0-7970F525DAA8}" presName="descendantText" presStyleLbl="alignAccFollowNode1" presStyleIdx="0" presStyleCnt="2">
        <dgm:presLayoutVars>
          <dgm:bulletEnabled val="1"/>
        </dgm:presLayoutVars>
      </dgm:prSet>
      <dgm:spPr/>
    </dgm:pt>
    <dgm:pt modelId="{B24D6C68-129E-4EFA-8F89-62FF94F1BB07}" type="pres">
      <dgm:prSet presAssocID="{CB058697-CF0A-429C-8C3E-03216CEF0B80}" presName="sp" presStyleCnt="0"/>
      <dgm:spPr/>
    </dgm:pt>
    <dgm:pt modelId="{01DDC436-9002-4E22-8FB8-A1BF8747DE04}" type="pres">
      <dgm:prSet presAssocID="{7B3F5980-A539-4234-B694-F10B58A47C4E}" presName="linNode" presStyleCnt="0"/>
      <dgm:spPr/>
    </dgm:pt>
    <dgm:pt modelId="{4BF97DB7-C741-4299-BDB2-210B878C5618}" type="pres">
      <dgm:prSet presAssocID="{7B3F5980-A539-4234-B694-F10B58A47C4E}" presName="parentText" presStyleLbl="node1" presStyleIdx="1" presStyleCnt="2">
        <dgm:presLayoutVars>
          <dgm:chMax val="1"/>
          <dgm:bulletEnabled val="1"/>
        </dgm:presLayoutVars>
      </dgm:prSet>
      <dgm:spPr/>
    </dgm:pt>
    <dgm:pt modelId="{06BE879E-81C1-4FA2-95DE-AF820B58D62A}" type="pres">
      <dgm:prSet presAssocID="{7B3F5980-A539-4234-B694-F10B58A47C4E}" presName="descendantText" presStyleLbl="alignAccFollowNode1" presStyleIdx="1" presStyleCnt="2">
        <dgm:presLayoutVars>
          <dgm:bulletEnabled val="1"/>
        </dgm:presLayoutVars>
      </dgm:prSet>
      <dgm:spPr/>
    </dgm:pt>
  </dgm:ptLst>
  <dgm:cxnLst>
    <dgm:cxn modelId="{A8612704-5C69-423A-BE88-ED56231D1685}" srcId="{BF995C14-AFCD-48F1-B2C7-BA7168587153}" destId="{7B3F5980-A539-4234-B694-F10B58A47C4E}" srcOrd="1" destOrd="0" parTransId="{2503F8E5-FFB9-4DF0-81E7-8CF7612CFD95}" sibTransId="{336DE9B4-E00C-4F08-8270-D0A2178DC802}"/>
    <dgm:cxn modelId="{AB040A0F-DE27-4928-A7FF-31A3322E117D}" type="presOf" srcId="{BF995C14-AFCD-48F1-B2C7-BA7168587153}" destId="{9531926A-4FD2-46AC-8258-0ED00F1177B6}" srcOrd="0" destOrd="0" presId="urn:microsoft.com/office/officeart/2005/8/layout/vList5"/>
    <dgm:cxn modelId="{AEC6A110-82C3-4A89-B856-B3C1B4A60FF4}" srcId="{55B01D3D-7F08-429A-87F0-7970F525DAA8}" destId="{E9EEE270-F036-48A5-8823-4665AED4F967}" srcOrd="1" destOrd="0" parTransId="{C32149CC-DBCF-4787-9B51-1B6E52497EA8}" sibTransId="{18865955-E788-403E-9B30-B1D33A06DBE5}"/>
    <dgm:cxn modelId="{78DFED3F-8956-4DE7-8200-AB56E276938E}" type="presOf" srcId="{F7C30D4E-BFD6-4CA6-B620-FE55F39D9E75}" destId="{633B0FE3-BCFE-4B70-A2B6-8B8A8BA95988}" srcOrd="0" destOrd="0" presId="urn:microsoft.com/office/officeart/2005/8/layout/vList5"/>
    <dgm:cxn modelId="{585AE55B-924B-4509-A057-B3EA0F23A070}" srcId="{55B01D3D-7F08-429A-87F0-7970F525DAA8}" destId="{5B3E2598-2D6F-47C2-B8E0-B2EE082D47EC}" srcOrd="2" destOrd="0" parTransId="{44D076AA-F692-48E0-85BE-50E41175F223}" sibTransId="{5C4D81DD-DCF1-4E78-98FA-B7441230A772}"/>
    <dgm:cxn modelId="{DD431872-C2C6-4008-80D0-E50E80791803}" type="presOf" srcId="{63EECA7C-60D9-4F4D-A329-B49CDAAA3196}" destId="{06BE879E-81C1-4FA2-95DE-AF820B58D62A}" srcOrd="0" destOrd="1" presId="urn:microsoft.com/office/officeart/2005/8/layout/vList5"/>
    <dgm:cxn modelId="{0A922154-00FE-4FB0-92F5-CE4725D1EA6C}" srcId="{BF995C14-AFCD-48F1-B2C7-BA7168587153}" destId="{55B01D3D-7F08-429A-87F0-7970F525DAA8}" srcOrd="0" destOrd="0" parTransId="{5CEB07BF-84E7-4031-BD70-CD29C1E7B8E9}" sibTransId="{CB058697-CF0A-429C-8C3E-03216CEF0B80}"/>
    <dgm:cxn modelId="{4A2B5574-92ED-4772-9736-DC6356F4FCB3}" srcId="{7B3F5980-A539-4234-B694-F10B58A47C4E}" destId="{63EECA7C-60D9-4F4D-A329-B49CDAAA3196}" srcOrd="1" destOrd="0" parTransId="{35AE0832-F2B7-4709-91F4-061B47133D95}" sibTransId="{9F52A4A2-B5B0-4313-B9DC-4BBB41314A7B}"/>
    <dgm:cxn modelId="{7CEB0A7D-D96A-4752-B144-1D4308CAAF43}" type="presOf" srcId="{7B3F5980-A539-4234-B694-F10B58A47C4E}" destId="{4BF97DB7-C741-4299-BDB2-210B878C5618}" srcOrd="0" destOrd="0" presId="urn:microsoft.com/office/officeart/2005/8/layout/vList5"/>
    <dgm:cxn modelId="{838B0F83-BC38-4B22-9BD6-D57C12C3912C}" srcId="{55B01D3D-7F08-429A-87F0-7970F525DAA8}" destId="{F7C30D4E-BFD6-4CA6-B620-FE55F39D9E75}" srcOrd="0" destOrd="0" parTransId="{AE2E75C4-D77B-474D-A6C7-8428076C2473}" sibTransId="{7C774BAA-C3CA-4BB9-B0EF-47D74748F56C}"/>
    <dgm:cxn modelId="{8198D89C-AE28-49C9-988E-7054C9CEFB22}" srcId="{7B3F5980-A539-4234-B694-F10B58A47C4E}" destId="{EA30080E-80FF-423C-8CC8-3C6E93CAEB35}" srcOrd="0" destOrd="0" parTransId="{4AC65D30-16A3-4610-9516-F9D730D2A81B}" sibTransId="{3BC2EC36-73E1-4DAF-9497-F463E12DE2FD}"/>
    <dgm:cxn modelId="{193491A2-CA92-41CC-8158-9D0D22A03529}" type="presOf" srcId="{EA30080E-80FF-423C-8CC8-3C6E93CAEB35}" destId="{06BE879E-81C1-4FA2-95DE-AF820B58D62A}" srcOrd="0" destOrd="0" presId="urn:microsoft.com/office/officeart/2005/8/layout/vList5"/>
    <dgm:cxn modelId="{1D7756A7-CDB8-4020-B280-6783AF9FC150}" type="presOf" srcId="{E9EEE270-F036-48A5-8823-4665AED4F967}" destId="{633B0FE3-BCFE-4B70-A2B6-8B8A8BA95988}" srcOrd="0" destOrd="1" presId="urn:microsoft.com/office/officeart/2005/8/layout/vList5"/>
    <dgm:cxn modelId="{329A6BF7-4623-46EA-AD8E-F6285EF545CD}" type="presOf" srcId="{55B01D3D-7F08-429A-87F0-7970F525DAA8}" destId="{C3EA198C-92CF-4A6E-97F6-9D0FBA9CCF67}" srcOrd="0" destOrd="0" presId="urn:microsoft.com/office/officeart/2005/8/layout/vList5"/>
    <dgm:cxn modelId="{63F6DDDD-94B3-45FA-96D2-4D9DD2A75E20}" type="presOf" srcId="{5B3E2598-2D6F-47C2-B8E0-B2EE082D47EC}" destId="{633B0FE3-BCFE-4B70-A2B6-8B8A8BA95988}" srcOrd="0" destOrd="2" presId="urn:microsoft.com/office/officeart/2005/8/layout/vList5"/>
    <dgm:cxn modelId="{74380607-9652-4F48-ACC3-7BA1EF073C00}" type="presParOf" srcId="{9531926A-4FD2-46AC-8258-0ED00F1177B6}" destId="{71F11DBE-4B2B-461B-A5D8-299E166589F0}" srcOrd="0" destOrd="0" presId="urn:microsoft.com/office/officeart/2005/8/layout/vList5"/>
    <dgm:cxn modelId="{7F5D6500-6AAD-42B7-A33C-95F603CA53B2}" type="presParOf" srcId="{71F11DBE-4B2B-461B-A5D8-299E166589F0}" destId="{C3EA198C-92CF-4A6E-97F6-9D0FBA9CCF67}" srcOrd="0" destOrd="0" presId="urn:microsoft.com/office/officeart/2005/8/layout/vList5"/>
    <dgm:cxn modelId="{1352AFFD-41DF-49BE-9C6A-9D1C743BC256}" type="presParOf" srcId="{71F11DBE-4B2B-461B-A5D8-299E166589F0}" destId="{633B0FE3-BCFE-4B70-A2B6-8B8A8BA95988}" srcOrd="1" destOrd="0" presId="urn:microsoft.com/office/officeart/2005/8/layout/vList5"/>
    <dgm:cxn modelId="{45AFAC85-3563-406C-BF9E-A44FB7EE6D04}" type="presParOf" srcId="{9531926A-4FD2-46AC-8258-0ED00F1177B6}" destId="{B24D6C68-129E-4EFA-8F89-62FF94F1BB07}" srcOrd="1" destOrd="0" presId="urn:microsoft.com/office/officeart/2005/8/layout/vList5"/>
    <dgm:cxn modelId="{616F0F23-937D-4E17-AE8B-5378ABBE2717}" type="presParOf" srcId="{9531926A-4FD2-46AC-8258-0ED00F1177B6}" destId="{01DDC436-9002-4E22-8FB8-A1BF8747DE04}" srcOrd="2" destOrd="0" presId="urn:microsoft.com/office/officeart/2005/8/layout/vList5"/>
    <dgm:cxn modelId="{48CEF294-E6CD-4B67-B35F-123F7C81ED5A}" type="presParOf" srcId="{01DDC436-9002-4E22-8FB8-A1BF8747DE04}" destId="{4BF97DB7-C741-4299-BDB2-210B878C5618}" srcOrd="0" destOrd="0" presId="urn:microsoft.com/office/officeart/2005/8/layout/vList5"/>
    <dgm:cxn modelId="{97E0E35A-57FB-493E-A41D-1BE3EB052E88}" type="presParOf" srcId="{01DDC436-9002-4E22-8FB8-A1BF8747DE04}" destId="{06BE879E-81C1-4FA2-95DE-AF820B58D62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2EC89B-5704-4676-9A01-ACCFC0DB471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1DB7D37E-E45E-440B-BC28-80FA0522863C}">
      <dgm:prSet phldrT="[Text]"/>
      <dgm:spPr/>
      <dgm:t>
        <a:bodyPr/>
        <a:lstStyle/>
        <a:p>
          <a:r>
            <a:rPr lang="en-AU"/>
            <a:t>Provide early and sustained support for those who need it most</a:t>
          </a:r>
        </a:p>
      </dgm:t>
    </dgm:pt>
    <dgm:pt modelId="{AB8BDDB4-2533-497E-B518-47A777D45996}" type="parTrans" cxnId="{303AA180-A8D2-43D6-91F7-47190B88CC4C}">
      <dgm:prSet/>
      <dgm:spPr/>
      <dgm:t>
        <a:bodyPr/>
        <a:lstStyle/>
        <a:p>
          <a:endParaRPr lang="en-AU"/>
        </a:p>
      </dgm:t>
    </dgm:pt>
    <dgm:pt modelId="{DB23EE40-9A7D-4C9C-AFD0-94681621BE10}" type="sibTrans" cxnId="{303AA180-A8D2-43D6-91F7-47190B88CC4C}">
      <dgm:prSet/>
      <dgm:spPr/>
      <dgm:t>
        <a:bodyPr/>
        <a:lstStyle/>
        <a:p>
          <a:endParaRPr lang="en-AU"/>
        </a:p>
      </dgm:t>
    </dgm:pt>
    <dgm:pt modelId="{947D7DC9-FB52-4E7F-8EF1-15EDFFDEE224}">
      <dgm:prSet phldrT="[Text]"/>
      <dgm:spPr/>
      <dgm:t>
        <a:bodyPr/>
        <a:lstStyle/>
        <a:p>
          <a:r>
            <a:rPr lang="en-AU"/>
            <a:t>Promote children's safety and minimise risk of harm</a:t>
          </a:r>
        </a:p>
      </dgm:t>
    </dgm:pt>
    <dgm:pt modelId="{3BCB94FF-D918-4E85-8401-3BC1569C97E3}" type="parTrans" cxnId="{BBDE59F4-4405-475A-9DA0-9A8C5DD6D485}">
      <dgm:prSet/>
      <dgm:spPr/>
      <dgm:t>
        <a:bodyPr/>
        <a:lstStyle/>
        <a:p>
          <a:endParaRPr lang="en-AU"/>
        </a:p>
      </dgm:t>
    </dgm:pt>
    <dgm:pt modelId="{9E96B44E-AADE-4FC9-910F-3C06E9DEB54C}" type="sibTrans" cxnId="{BBDE59F4-4405-475A-9DA0-9A8C5DD6D485}">
      <dgm:prSet/>
      <dgm:spPr/>
      <dgm:t>
        <a:bodyPr/>
        <a:lstStyle/>
        <a:p>
          <a:endParaRPr lang="en-AU"/>
        </a:p>
      </dgm:t>
    </dgm:pt>
    <dgm:pt modelId="{6427BA6D-469C-49ED-9C19-C5C8AA25D79D}">
      <dgm:prSet phldrT="[Text]"/>
      <dgm:spPr/>
      <dgm:t>
        <a:bodyPr/>
        <a:lstStyle/>
        <a:p>
          <a:r>
            <a:rPr lang="en-AU"/>
            <a:t>Children with the highest need are identified and offered support</a:t>
          </a:r>
        </a:p>
      </dgm:t>
    </dgm:pt>
    <dgm:pt modelId="{31105766-18A8-404C-9551-A91E8469870F}" type="parTrans" cxnId="{755A5281-22A3-4787-B2C6-CD90CCDE0326}">
      <dgm:prSet/>
      <dgm:spPr/>
      <dgm:t>
        <a:bodyPr/>
        <a:lstStyle/>
        <a:p>
          <a:endParaRPr lang="en-AU"/>
        </a:p>
      </dgm:t>
    </dgm:pt>
    <dgm:pt modelId="{93869457-691B-4191-8AF5-595705F0C8EC}" type="sibTrans" cxnId="{755A5281-22A3-4787-B2C6-CD90CCDE0326}">
      <dgm:prSet/>
      <dgm:spPr/>
      <dgm:t>
        <a:bodyPr/>
        <a:lstStyle/>
        <a:p>
          <a:endParaRPr lang="en-AU"/>
        </a:p>
      </dgm:t>
    </dgm:pt>
    <dgm:pt modelId="{642721A6-17C8-41ED-9CB3-67699E8407DD}">
      <dgm:prSet phldrT="[Text]"/>
      <dgm:spPr/>
      <dgm:t>
        <a:bodyPr/>
        <a:lstStyle/>
        <a:p>
          <a:r>
            <a:rPr lang="en-AU"/>
            <a:t>Provide equitable, accessible and inclusive services</a:t>
          </a:r>
        </a:p>
      </dgm:t>
    </dgm:pt>
    <dgm:pt modelId="{D7BC44ED-600F-4B40-8CCF-57E7B72E9217}" type="parTrans" cxnId="{0D0EDED6-E7E3-478D-ADA7-7043ADE7B8BB}">
      <dgm:prSet/>
      <dgm:spPr/>
      <dgm:t>
        <a:bodyPr/>
        <a:lstStyle/>
        <a:p>
          <a:endParaRPr lang="en-AU"/>
        </a:p>
      </dgm:t>
    </dgm:pt>
    <dgm:pt modelId="{EE02F4F2-2A18-460A-92E2-94740BBE7535}" type="sibTrans" cxnId="{0D0EDED6-E7E3-478D-ADA7-7043ADE7B8BB}">
      <dgm:prSet/>
      <dgm:spPr/>
      <dgm:t>
        <a:bodyPr/>
        <a:lstStyle/>
        <a:p>
          <a:endParaRPr lang="en-AU"/>
        </a:p>
      </dgm:t>
    </dgm:pt>
    <dgm:pt modelId="{AF13F50E-33C2-49AE-A70E-A8B4332696AC}">
      <dgm:prSet phldrT="[Text]"/>
      <dgm:spPr/>
      <dgm:t>
        <a:bodyPr/>
        <a:lstStyle/>
        <a:p>
          <a:r>
            <a:rPr lang="en-AU"/>
            <a:t>Early childhood services are designed with families to be culturally safe and responsive</a:t>
          </a:r>
        </a:p>
      </dgm:t>
    </dgm:pt>
    <dgm:pt modelId="{FBBC5982-852C-41F0-AC91-323BE0EEF356}" type="parTrans" cxnId="{F7610963-3EEB-4093-8296-CD6611B0A159}">
      <dgm:prSet/>
      <dgm:spPr/>
      <dgm:t>
        <a:bodyPr/>
        <a:lstStyle/>
        <a:p>
          <a:endParaRPr lang="en-AU"/>
        </a:p>
      </dgm:t>
    </dgm:pt>
    <dgm:pt modelId="{1263D05B-FE64-4903-9039-A90414377014}" type="sibTrans" cxnId="{F7610963-3EEB-4093-8296-CD6611B0A159}">
      <dgm:prSet/>
      <dgm:spPr/>
      <dgm:t>
        <a:bodyPr/>
        <a:lstStyle/>
        <a:p>
          <a:endParaRPr lang="en-AU"/>
        </a:p>
      </dgm:t>
    </dgm:pt>
    <dgm:pt modelId="{81E5D913-8F96-4EDA-ADBE-7832A4536205}">
      <dgm:prSet phldrT="[Text]"/>
      <dgm:spPr/>
      <dgm:t>
        <a:bodyPr/>
        <a:lstStyle/>
        <a:p>
          <a:r>
            <a:rPr lang="en-AU"/>
            <a:t>Early Childhood services foster participation by upholding social equity principles</a:t>
          </a:r>
        </a:p>
      </dgm:t>
    </dgm:pt>
    <dgm:pt modelId="{5566A88B-0DAE-4E36-AB87-E3BE4DC256EE}" type="parTrans" cxnId="{09EB238E-170A-4F8E-A75C-3CF8AB898711}">
      <dgm:prSet/>
      <dgm:spPr/>
      <dgm:t>
        <a:bodyPr/>
        <a:lstStyle/>
        <a:p>
          <a:endParaRPr lang="en-AU"/>
        </a:p>
      </dgm:t>
    </dgm:pt>
    <dgm:pt modelId="{7A02D2C2-B2FB-41A2-943B-49049F9C585D}" type="sibTrans" cxnId="{09EB238E-170A-4F8E-A75C-3CF8AB898711}">
      <dgm:prSet/>
      <dgm:spPr/>
      <dgm:t>
        <a:bodyPr/>
        <a:lstStyle/>
        <a:p>
          <a:endParaRPr lang="en-AU"/>
        </a:p>
      </dgm:t>
    </dgm:pt>
    <dgm:pt modelId="{CE383E01-98D9-42E5-A70C-A8B2AA1DB8EB}" type="pres">
      <dgm:prSet presAssocID="{7F2EC89B-5704-4676-9A01-ACCFC0DB4710}" presName="Name0" presStyleCnt="0">
        <dgm:presLayoutVars>
          <dgm:dir/>
          <dgm:animLvl val="lvl"/>
          <dgm:resizeHandles val="exact"/>
        </dgm:presLayoutVars>
      </dgm:prSet>
      <dgm:spPr/>
    </dgm:pt>
    <dgm:pt modelId="{B81AB693-CEA0-4BC3-999F-578C07572799}" type="pres">
      <dgm:prSet presAssocID="{1DB7D37E-E45E-440B-BC28-80FA0522863C}" presName="linNode" presStyleCnt="0"/>
      <dgm:spPr/>
    </dgm:pt>
    <dgm:pt modelId="{CB49C04E-3FEA-461F-8EBD-A0BF9560AFA2}" type="pres">
      <dgm:prSet presAssocID="{1DB7D37E-E45E-440B-BC28-80FA0522863C}" presName="parentText" presStyleLbl="node1" presStyleIdx="0" presStyleCnt="2">
        <dgm:presLayoutVars>
          <dgm:chMax val="1"/>
          <dgm:bulletEnabled val="1"/>
        </dgm:presLayoutVars>
      </dgm:prSet>
      <dgm:spPr/>
    </dgm:pt>
    <dgm:pt modelId="{D2C3EA2C-CFDD-4105-B0BA-9A6E64262125}" type="pres">
      <dgm:prSet presAssocID="{1DB7D37E-E45E-440B-BC28-80FA0522863C}" presName="descendantText" presStyleLbl="alignAccFollowNode1" presStyleIdx="0" presStyleCnt="2">
        <dgm:presLayoutVars>
          <dgm:bulletEnabled val="1"/>
        </dgm:presLayoutVars>
      </dgm:prSet>
      <dgm:spPr/>
    </dgm:pt>
    <dgm:pt modelId="{00E799CB-A05F-4062-9C9D-18C7B1F7B205}" type="pres">
      <dgm:prSet presAssocID="{DB23EE40-9A7D-4C9C-AFD0-94681621BE10}" presName="sp" presStyleCnt="0"/>
      <dgm:spPr/>
    </dgm:pt>
    <dgm:pt modelId="{690DED1B-2824-4F8A-BFC7-DD05416C7D08}" type="pres">
      <dgm:prSet presAssocID="{642721A6-17C8-41ED-9CB3-67699E8407DD}" presName="linNode" presStyleCnt="0"/>
      <dgm:spPr/>
    </dgm:pt>
    <dgm:pt modelId="{E650E06E-7F28-47B7-857A-6F5B96D207E9}" type="pres">
      <dgm:prSet presAssocID="{642721A6-17C8-41ED-9CB3-67699E8407DD}" presName="parentText" presStyleLbl="node1" presStyleIdx="1" presStyleCnt="2">
        <dgm:presLayoutVars>
          <dgm:chMax val="1"/>
          <dgm:bulletEnabled val="1"/>
        </dgm:presLayoutVars>
      </dgm:prSet>
      <dgm:spPr/>
    </dgm:pt>
    <dgm:pt modelId="{F751FD79-4D66-4ED3-A478-95A74EB0DDB4}" type="pres">
      <dgm:prSet presAssocID="{642721A6-17C8-41ED-9CB3-67699E8407DD}" presName="descendantText" presStyleLbl="alignAccFollowNode1" presStyleIdx="1" presStyleCnt="2">
        <dgm:presLayoutVars>
          <dgm:bulletEnabled val="1"/>
        </dgm:presLayoutVars>
      </dgm:prSet>
      <dgm:spPr/>
    </dgm:pt>
  </dgm:ptLst>
  <dgm:cxnLst>
    <dgm:cxn modelId="{FF418E3E-C075-4A13-BC2E-21FE5C91C0A2}" type="presOf" srcId="{947D7DC9-FB52-4E7F-8EF1-15EDFFDEE224}" destId="{D2C3EA2C-CFDD-4105-B0BA-9A6E64262125}" srcOrd="0" destOrd="0" presId="urn:microsoft.com/office/officeart/2005/8/layout/vList5"/>
    <dgm:cxn modelId="{F7610963-3EEB-4093-8296-CD6611B0A159}" srcId="{642721A6-17C8-41ED-9CB3-67699E8407DD}" destId="{AF13F50E-33C2-49AE-A70E-A8B4332696AC}" srcOrd="0" destOrd="0" parTransId="{FBBC5982-852C-41F0-AC91-323BE0EEF356}" sibTransId="{1263D05B-FE64-4903-9039-A90414377014}"/>
    <dgm:cxn modelId="{02F73864-E967-4B78-93AF-F54849FE6CAE}" type="presOf" srcId="{81E5D913-8F96-4EDA-ADBE-7832A4536205}" destId="{F751FD79-4D66-4ED3-A478-95A74EB0DDB4}" srcOrd="0" destOrd="1" presId="urn:microsoft.com/office/officeart/2005/8/layout/vList5"/>
    <dgm:cxn modelId="{8C4B2B6A-2C60-43F9-B543-9A5097C51466}" type="presOf" srcId="{AF13F50E-33C2-49AE-A70E-A8B4332696AC}" destId="{F751FD79-4D66-4ED3-A478-95A74EB0DDB4}" srcOrd="0" destOrd="0" presId="urn:microsoft.com/office/officeart/2005/8/layout/vList5"/>
    <dgm:cxn modelId="{85C77170-8CB0-4131-88BD-57A5E6AE4C00}" type="presOf" srcId="{1DB7D37E-E45E-440B-BC28-80FA0522863C}" destId="{CB49C04E-3FEA-461F-8EBD-A0BF9560AFA2}" srcOrd="0" destOrd="0" presId="urn:microsoft.com/office/officeart/2005/8/layout/vList5"/>
    <dgm:cxn modelId="{303AA180-A8D2-43D6-91F7-47190B88CC4C}" srcId="{7F2EC89B-5704-4676-9A01-ACCFC0DB4710}" destId="{1DB7D37E-E45E-440B-BC28-80FA0522863C}" srcOrd="0" destOrd="0" parTransId="{AB8BDDB4-2533-497E-B518-47A777D45996}" sibTransId="{DB23EE40-9A7D-4C9C-AFD0-94681621BE10}"/>
    <dgm:cxn modelId="{755A5281-22A3-4787-B2C6-CD90CCDE0326}" srcId="{1DB7D37E-E45E-440B-BC28-80FA0522863C}" destId="{6427BA6D-469C-49ED-9C19-C5C8AA25D79D}" srcOrd="1" destOrd="0" parTransId="{31105766-18A8-404C-9551-A91E8469870F}" sibTransId="{93869457-691B-4191-8AF5-595705F0C8EC}"/>
    <dgm:cxn modelId="{48FCF68A-EC05-454D-8ACD-9CC293813E41}" type="presOf" srcId="{7F2EC89B-5704-4676-9A01-ACCFC0DB4710}" destId="{CE383E01-98D9-42E5-A70C-A8B2AA1DB8EB}" srcOrd="0" destOrd="0" presId="urn:microsoft.com/office/officeart/2005/8/layout/vList5"/>
    <dgm:cxn modelId="{09EB238E-170A-4F8E-A75C-3CF8AB898711}" srcId="{642721A6-17C8-41ED-9CB3-67699E8407DD}" destId="{81E5D913-8F96-4EDA-ADBE-7832A4536205}" srcOrd="1" destOrd="0" parTransId="{5566A88B-0DAE-4E36-AB87-E3BE4DC256EE}" sibTransId="{7A02D2C2-B2FB-41A2-943B-49049F9C585D}"/>
    <dgm:cxn modelId="{DCF056C8-36E6-48CF-98A8-6CA624B1408E}" type="presOf" srcId="{642721A6-17C8-41ED-9CB3-67699E8407DD}" destId="{E650E06E-7F28-47B7-857A-6F5B96D207E9}" srcOrd="0" destOrd="0" presId="urn:microsoft.com/office/officeart/2005/8/layout/vList5"/>
    <dgm:cxn modelId="{EB418BCB-402F-4C16-BA44-330F9EF3CE46}" type="presOf" srcId="{6427BA6D-469C-49ED-9C19-C5C8AA25D79D}" destId="{D2C3EA2C-CFDD-4105-B0BA-9A6E64262125}" srcOrd="0" destOrd="1" presId="urn:microsoft.com/office/officeart/2005/8/layout/vList5"/>
    <dgm:cxn modelId="{BBDE59F4-4405-475A-9DA0-9A8C5DD6D485}" srcId="{1DB7D37E-E45E-440B-BC28-80FA0522863C}" destId="{947D7DC9-FB52-4E7F-8EF1-15EDFFDEE224}" srcOrd="0" destOrd="0" parTransId="{3BCB94FF-D918-4E85-8401-3BC1569C97E3}" sibTransId="{9E96B44E-AADE-4FC9-910F-3C06E9DEB54C}"/>
    <dgm:cxn modelId="{0D0EDED6-E7E3-478D-ADA7-7043ADE7B8BB}" srcId="{7F2EC89B-5704-4676-9A01-ACCFC0DB4710}" destId="{642721A6-17C8-41ED-9CB3-67699E8407DD}" srcOrd="1" destOrd="0" parTransId="{D7BC44ED-600F-4B40-8CCF-57E7B72E9217}" sibTransId="{EE02F4F2-2A18-460A-92E2-94740BBE7535}"/>
    <dgm:cxn modelId="{11B08150-C2E9-487C-85A2-8D0B368DE18D}" type="presParOf" srcId="{CE383E01-98D9-42E5-A70C-A8B2AA1DB8EB}" destId="{B81AB693-CEA0-4BC3-999F-578C07572799}" srcOrd="0" destOrd="0" presId="urn:microsoft.com/office/officeart/2005/8/layout/vList5"/>
    <dgm:cxn modelId="{56C59F55-771A-41A6-80A3-15119F68B557}" type="presParOf" srcId="{B81AB693-CEA0-4BC3-999F-578C07572799}" destId="{CB49C04E-3FEA-461F-8EBD-A0BF9560AFA2}" srcOrd="0" destOrd="0" presId="urn:microsoft.com/office/officeart/2005/8/layout/vList5"/>
    <dgm:cxn modelId="{B46D64D2-2870-4EB6-BA4D-C85352310401}" type="presParOf" srcId="{B81AB693-CEA0-4BC3-999F-578C07572799}" destId="{D2C3EA2C-CFDD-4105-B0BA-9A6E64262125}" srcOrd="1" destOrd="0" presId="urn:microsoft.com/office/officeart/2005/8/layout/vList5"/>
    <dgm:cxn modelId="{54129278-3626-4210-947E-287CF3F01F9A}" type="presParOf" srcId="{CE383E01-98D9-42E5-A70C-A8B2AA1DB8EB}" destId="{00E799CB-A05F-4062-9C9D-18C7B1F7B205}" srcOrd="1" destOrd="0" presId="urn:microsoft.com/office/officeart/2005/8/layout/vList5"/>
    <dgm:cxn modelId="{9DF4C7B9-D60A-4C04-8C30-CFD784B8C9D1}" type="presParOf" srcId="{CE383E01-98D9-42E5-A70C-A8B2AA1DB8EB}" destId="{690DED1B-2824-4F8A-BFC7-DD05416C7D08}" srcOrd="2" destOrd="0" presId="urn:microsoft.com/office/officeart/2005/8/layout/vList5"/>
    <dgm:cxn modelId="{0FDD0975-68BB-4F16-A5E2-BD1C5BC0C69F}" type="presParOf" srcId="{690DED1B-2824-4F8A-BFC7-DD05416C7D08}" destId="{E650E06E-7F28-47B7-857A-6F5B96D207E9}" srcOrd="0" destOrd="0" presId="urn:microsoft.com/office/officeart/2005/8/layout/vList5"/>
    <dgm:cxn modelId="{96B7B23F-5EA4-4B24-B1E9-ABF89B91FA1E}" type="presParOf" srcId="{690DED1B-2824-4F8A-BFC7-DD05416C7D08}" destId="{F751FD79-4D66-4ED3-A478-95A74EB0DDB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3B0FE3-BCFE-4B70-A2B6-8B8A8BA95988}">
      <dsp:nvSpPr>
        <dsp:cNvPr id="0" name=""/>
        <dsp:cNvSpPr/>
      </dsp:nvSpPr>
      <dsp:spPr>
        <a:xfrm rot="5400000">
          <a:off x="2025359" y="-501257"/>
          <a:ext cx="1159379" cy="245181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Provide quality early childhood services that prepare children to achieve their full potential.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Build capacity of parent/carers through education and support.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Empower children to become active and engaged citizens in the community </a:t>
          </a:r>
        </a:p>
      </dsp:txBody>
      <dsp:txXfrm rot="-5400000">
        <a:off x="1379143" y="201555"/>
        <a:ext cx="2395215" cy="1046187"/>
      </dsp:txXfrm>
    </dsp:sp>
    <dsp:sp modelId="{C3EA198C-92CF-4A6E-97F6-9D0FBA9CCF67}">
      <dsp:nvSpPr>
        <dsp:cNvPr id="0" name=""/>
        <dsp:cNvSpPr/>
      </dsp:nvSpPr>
      <dsp:spPr>
        <a:xfrm>
          <a:off x="0" y="36"/>
          <a:ext cx="1379143" cy="144922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Support families to help children achieve their full potential</a:t>
          </a:r>
        </a:p>
      </dsp:txBody>
      <dsp:txXfrm>
        <a:off x="67324" y="67360"/>
        <a:ext cx="1244495" cy="1314576"/>
      </dsp:txXfrm>
    </dsp:sp>
    <dsp:sp modelId="{06BE879E-81C1-4FA2-95DE-AF820B58D62A}">
      <dsp:nvSpPr>
        <dsp:cNvPr id="0" name=""/>
        <dsp:cNvSpPr/>
      </dsp:nvSpPr>
      <dsp:spPr>
        <a:xfrm rot="5400000">
          <a:off x="2025359" y="1020428"/>
          <a:ext cx="1159379" cy="245181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Ensure that service provision is based on key themes of early years research and data to guide program development and implementation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900" kern="1200"/>
            <a:t>Encourage a culture of collaboration with service providers to enable a more responsive service system</a:t>
          </a:r>
        </a:p>
      </dsp:txBody>
      <dsp:txXfrm rot="-5400000">
        <a:off x="1379143" y="1723240"/>
        <a:ext cx="2395215" cy="1046187"/>
      </dsp:txXfrm>
    </dsp:sp>
    <dsp:sp modelId="{4BF97DB7-C741-4299-BDB2-210B878C5618}">
      <dsp:nvSpPr>
        <dsp:cNvPr id="0" name=""/>
        <dsp:cNvSpPr/>
      </dsp:nvSpPr>
      <dsp:spPr>
        <a:xfrm>
          <a:off x="0" y="1521721"/>
          <a:ext cx="1379143" cy="144922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Support  positive  health and wellbeing of children and families</a:t>
          </a:r>
        </a:p>
      </dsp:txBody>
      <dsp:txXfrm>
        <a:off x="67324" y="1589045"/>
        <a:ext cx="1244495" cy="13145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C3EA2C-CFDD-4105-B0BA-9A6E64262125}">
      <dsp:nvSpPr>
        <dsp:cNvPr id="0" name=""/>
        <dsp:cNvSpPr/>
      </dsp:nvSpPr>
      <dsp:spPr>
        <a:xfrm rot="5400000">
          <a:off x="2105991" y="-602052"/>
          <a:ext cx="998115" cy="245181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00" kern="1200"/>
            <a:t>Promote children's safety and minimise risk of harm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00" kern="1200"/>
            <a:t>Children with the highest need are identified and offered support</a:t>
          </a:r>
        </a:p>
      </dsp:txBody>
      <dsp:txXfrm rot="-5400000">
        <a:off x="1379143" y="173520"/>
        <a:ext cx="2403087" cy="900667"/>
      </dsp:txXfrm>
    </dsp:sp>
    <dsp:sp modelId="{CB49C04E-3FEA-461F-8EBD-A0BF9560AFA2}">
      <dsp:nvSpPr>
        <dsp:cNvPr id="0" name=""/>
        <dsp:cNvSpPr/>
      </dsp:nvSpPr>
      <dsp:spPr>
        <a:xfrm>
          <a:off x="0" y="31"/>
          <a:ext cx="1379143" cy="12476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Provide early and sustained support for those who need it most</a:t>
          </a:r>
        </a:p>
      </dsp:txBody>
      <dsp:txXfrm>
        <a:off x="60905" y="60936"/>
        <a:ext cx="1257333" cy="1125834"/>
      </dsp:txXfrm>
    </dsp:sp>
    <dsp:sp modelId="{F751FD79-4D66-4ED3-A478-95A74EB0DDB4}">
      <dsp:nvSpPr>
        <dsp:cNvPr id="0" name=""/>
        <dsp:cNvSpPr/>
      </dsp:nvSpPr>
      <dsp:spPr>
        <a:xfrm rot="5400000">
          <a:off x="2105991" y="707974"/>
          <a:ext cx="998115" cy="245181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00" kern="1200"/>
            <a:t>Early childhood services are designed with families to be culturally safe and responsive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000" kern="1200"/>
            <a:t>Early Childhood services foster participation by upholding social equity principles</a:t>
          </a:r>
        </a:p>
      </dsp:txBody>
      <dsp:txXfrm rot="-5400000">
        <a:off x="1379143" y="1483546"/>
        <a:ext cx="2403087" cy="900667"/>
      </dsp:txXfrm>
    </dsp:sp>
    <dsp:sp modelId="{E650E06E-7F28-47B7-857A-6F5B96D207E9}">
      <dsp:nvSpPr>
        <dsp:cNvPr id="0" name=""/>
        <dsp:cNvSpPr/>
      </dsp:nvSpPr>
      <dsp:spPr>
        <a:xfrm>
          <a:off x="0" y="1310057"/>
          <a:ext cx="1379143" cy="12476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Provide equitable, accessible and inclusive services</a:t>
          </a:r>
        </a:p>
      </dsp:txBody>
      <dsp:txXfrm>
        <a:off x="60905" y="1370962"/>
        <a:ext cx="1257333" cy="11258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382A284B06C4D9282FAC1EAC3C026" ma:contentTypeVersion="6" ma:contentTypeDescription="Create a new document." ma:contentTypeScope="" ma:versionID="11329622fff05b391b2c906fd8208139">
  <xsd:schema xmlns:xsd="http://www.w3.org/2001/XMLSchema" xmlns:xs="http://www.w3.org/2001/XMLSchema" xmlns:p="http://schemas.microsoft.com/office/2006/metadata/properties" xmlns:ns2="008df72e-91df-465f-92af-1d67feb68c5d" targetNamespace="http://schemas.microsoft.com/office/2006/metadata/properties" ma:root="true" ma:fieldsID="7213a8a064372d59ef991bb1fe013a34" ns2:_="">
    <xsd:import namespace="008df72e-91df-465f-92af-1d67feb68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f72e-91df-465f-92af-1d67feb6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Aus18</b:Tag>
    <b:SourceType>InternetSite</b:SourceType>
    <b:Guid>{F9476F37-085C-4AB2-BD74-6067BD89B3DA}</b:Guid>
    <b:Year>2018</b:Year>
    <b:Author>
      <b:Author>
        <b:NameList>
          <b:Person>
            <b:Last>Census</b:Last>
            <b:First>Australian</b:First>
            <b:Middle>Early Development</b:Middle>
          </b:Person>
        </b:NameList>
      </b:Author>
    </b:Author>
    <b:Month>June</b:Month>
    <b:Day>22</b:Day>
    <b:URL>https://www.aedc.gov.au</b:URL>
    <b:RefOrder>1</b:RefOrder>
  </b:Source>
</b:Sourc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CB57F32-4E83-4B89-BDD5-9E4176FC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df72e-91df-465f-92af-1d67feb68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28CAB-5078-42E7-BB5E-B5B42DF3E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08780-5DE4-4D65-8198-A861005FA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297C9E-EFB7-4226-AFCB-D8F672CF4E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801F41-106E-4770-8016-ABA19B1AEA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Down</dc:creator>
  <cp:keywords/>
  <dc:description/>
  <cp:lastModifiedBy>Lindy Showell</cp:lastModifiedBy>
  <cp:revision>12</cp:revision>
  <cp:lastPrinted>2022-08-04T00:47:00Z</cp:lastPrinted>
  <dcterms:created xsi:type="dcterms:W3CDTF">2022-10-27T04:59:00Z</dcterms:created>
  <dcterms:modified xsi:type="dcterms:W3CDTF">2023-01-24T23:41:00Z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0x01010073A382A284B06C4D9282FAC1EAC3C026</vt:lpwstr>
  </property>
</Properties>
</file>