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451" w:rsidRDefault="00BA4451" w:rsidP="000C05BA">
      <w:pPr>
        <w:pStyle w:val="Heading2A"/>
      </w:pPr>
      <w:r w:rsidRPr="00F57EFC">
        <w:t>Contents</w:t>
      </w:r>
    </w:p>
    <w:p w:rsidR="00134D38" w:rsidRDefault="00CA263C">
      <w:pPr>
        <w:pStyle w:val="TOC1"/>
        <w:rPr>
          <w:rFonts w:asciiTheme="minorHAnsi" w:eastAsiaTheme="minorEastAsia" w:hAnsiTheme="minorHAnsi" w:cstheme="minorBidi"/>
          <w:bCs w:val="0"/>
          <w:caps w:val="0"/>
          <w:snapToGrid/>
          <w:sz w:val="22"/>
          <w:szCs w:val="22"/>
          <w:lang w:eastAsia="en-AU"/>
        </w:rPr>
      </w:pPr>
      <w:r w:rsidRPr="00E60EA6">
        <w:rPr>
          <w:rStyle w:val="Hyperlink"/>
          <w:color w:val="000000"/>
          <w:u w:val="none"/>
        </w:rPr>
        <w:fldChar w:fldCharType="begin"/>
      </w:r>
      <w:r w:rsidR="00BA5D86" w:rsidRPr="00E60EA6">
        <w:rPr>
          <w:rStyle w:val="Hyperlink"/>
          <w:color w:val="000000"/>
          <w:u w:val="none"/>
        </w:rPr>
        <w:instrText xml:space="preserve"> TOC \h \z \t "Heading 2,1,Heading 3,2,Heading 4,3,Sub_Head_1,1,Level 3,3,Level 2,2" </w:instrText>
      </w:r>
      <w:r w:rsidRPr="00E60EA6">
        <w:rPr>
          <w:rStyle w:val="Hyperlink"/>
          <w:color w:val="000000"/>
          <w:u w:val="none"/>
        </w:rPr>
        <w:fldChar w:fldCharType="separate"/>
      </w:r>
      <w:hyperlink w:anchor="_Toc11845096" w:history="1">
        <w:r w:rsidR="00134D38" w:rsidRPr="00D9045E">
          <w:rPr>
            <w:rStyle w:val="Hyperlink"/>
          </w:rPr>
          <w:t>1.  Rating Framework</w:t>
        </w:r>
        <w:r w:rsidR="00134D38">
          <w:rPr>
            <w:webHidden/>
          </w:rPr>
          <w:tab/>
        </w:r>
        <w:r w:rsidR="00134D38">
          <w:rPr>
            <w:webHidden/>
          </w:rPr>
          <w:fldChar w:fldCharType="begin"/>
        </w:r>
        <w:r w:rsidR="00134D38">
          <w:rPr>
            <w:webHidden/>
          </w:rPr>
          <w:instrText xml:space="preserve"> PAGEREF _Toc11845096 \h </w:instrText>
        </w:r>
        <w:r w:rsidR="00134D38">
          <w:rPr>
            <w:webHidden/>
          </w:rPr>
        </w:r>
        <w:r w:rsidR="00134D38">
          <w:rPr>
            <w:webHidden/>
          </w:rPr>
          <w:fldChar w:fldCharType="separate"/>
        </w:r>
        <w:r w:rsidR="00A35936">
          <w:rPr>
            <w:webHidden/>
          </w:rPr>
          <w:t>1</w:t>
        </w:r>
        <w:r w:rsidR="00134D38">
          <w:rPr>
            <w:webHidden/>
          </w:rPr>
          <w:fldChar w:fldCharType="end"/>
        </w:r>
      </w:hyperlink>
    </w:p>
    <w:p w:rsidR="00134D38" w:rsidRDefault="00A35936">
      <w:pPr>
        <w:pStyle w:val="TOC1"/>
        <w:rPr>
          <w:rFonts w:asciiTheme="minorHAnsi" w:eastAsiaTheme="minorEastAsia" w:hAnsiTheme="minorHAnsi" w:cstheme="minorBidi"/>
          <w:bCs w:val="0"/>
          <w:caps w:val="0"/>
          <w:snapToGrid/>
          <w:sz w:val="22"/>
          <w:szCs w:val="22"/>
          <w:lang w:eastAsia="en-AU"/>
        </w:rPr>
      </w:pPr>
      <w:hyperlink w:anchor="_Toc11845097" w:history="1">
        <w:r w:rsidR="00134D38" w:rsidRPr="00D9045E">
          <w:rPr>
            <w:rStyle w:val="Hyperlink"/>
          </w:rPr>
          <w:t>2.  Highlights of 2019-20 Rating Strategy</w:t>
        </w:r>
        <w:r w:rsidR="00134D38">
          <w:rPr>
            <w:webHidden/>
          </w:rPr>
          <w:tab/>
        </w:r>
        <w:r w:rsidR="00134D38">
          <w:rPr>
            <w:webHidden/>
          </w:rPr>
          <w:fldChar w:fldCharType="begin"/>
        </w:r>
        <w:r w:rsidR="00134D38">
          <w:rPr>
            <w:webHidden/>
          </w:rPr>
          <w:instrText xml:space="preserve"> PAGEREF _Toc11845097 \h </w:instrText>
        </w:r>
        <w:r w:rsidR="00134D38">
          <w:rPr>
            <w:webHidden/>
          </w:rPr>
        </w:r>
        <w:r w:rsidR="00134D38">
          <w:rPr>
            <w:webHidden/>
          </w:rPr>
          <w:fldChar w:fldCharType="separate"/>
        </w:r>
        <w:r>
          <w:rPr>
            <w:webHidden/>
          </w:rPr>
          <w:t>4</w:t>
        </w:r>
        <w:r w:rsidR="00134D38">
          <w:rPr>
            <w:webHidden/>
          </w:rPr>
          <w:fldChar w:fldCharType="end"/>
        </w:r>
      </w:hyperlink>
    </w:p>
    <w:p w:rsidR="00134D38" w:rsidRDefault="00A35936">
      <w:pPr>
        <w:pStyle w:val="TOC1"/>
        <w:rPr>
          <w:rFonts w:asciiTheme="minorHAnsi" w:eastAsiaTheme="minorEastAsia" w:hAnsiTheme="minorHAnsi" w:cstheme="minorBidi"/>
          <w:bCs w:val="0"/>
          <w:caps w:val="0"/>
          <w:snapToGrid/>
          <w:sz w:val="22"/>
          <w:szCs w:val="22"/>
          <w:lang w:eastAsia="en-AU"/>
        </w:rPr>
      </w:pPr>
      <w:hyperlink w:anchor="_Toc11845098" w:history="1">
        <w:r w:rsidR="00134D38" w:rsidRPr="00D9045E">
          <w:rPr>
            <w:rStyle w:val="Hyperlink"/>
          </w:rPr>
          <w:t>3.  Rating Strategy 2019-20</w:t>
        </w:r>
        <w:r w:rsidR="00134D38">
          <w:rPr>
            <w:webHidden/>
          </w:rPr>
          <w:tab/>
        </w:r>
        <w:r w:rsidR="00134D38">
          <w:rPr>
            <w:webHidden/>
          </w:rPr>
          <w:fldChar w:fldCharType="begin"/>
        </w:r>
        <w:r w:rsidR="00134D38">
          <w:rPr>
            <w:webHidden/>
          </w:rPr>
          <w:instrText xml:space="preserve"> PAGEREF _Toc11845098 \h </w:instrText>
        </w:r>
        <w:r w:rsidR="00134D38">
          <w:rPr>
            <w:webHidden/>
          </w:rPr>
        </w:r>
        <w:r w:rsidR="00134D38">
          <w:rPr>
            <w:webHidden/>
          </w:rPr>
          <w:fldChar w:fldCharType="separate"/>
        </w:r>
        <w:r>
          <w:rPr>
            <w:webHidden/>
          </w:rPr>
          <w:t>17</w:t>
        </w:r>
        <w:r w:rsidR="00134D38">
          <w:rPr>
            <w:webHidden/>
          </w:rPr>
          <w:fldChar w:fldCharType="end"/>
        </w:r>
      </w:hyperlink>
    </w:p>
    <w:p w:rsidR="00134D38" w:rsidRDefault="00A35936">
      <w:pPr>
        <w:pStyle w:val="TOC2"/>
        <w:rPr>
          <w:rFonts w:asciiTheme="minorHAnsi" w:eastAsiaTheme="minorEastAsia" w:hAnsiTheme="minorHAnsi" w:cstheme="minorBidi"/>
          <w:bCs w:val="0"/>
          <w:snapToGrid/>
          <w:sz w:val="22"/>
          <w:szCs w:val="22"/>
          <w:lang w:eastAsia="en-AU"/>
        </w:rPr>
      </w:pPr>
      <w:hyperlink w:anchor="_Toc11845099" w:history="1">
        <w:r w:rsidR="00134D38" w:rsidRPr="00D9045E">
          <w:rPr>
            <w:rStyle w:val="Hyperlink"/>
          </w:rPr>
          <w:t>3.1  Introduction</w:t>
        </w:r>
        <w:r w:rsidR="00134D38">
          <w:rPr>
            <w:webHidden/>
          </w:rPr>
          <w:tab/>
        </w:r>
        <w:r w:rsidR="00134D38">
          <w:rPr>
            <w:webHidden/>
          </w:rPr>
          <w:fldChar w:fldCharType="begin"/>
        </w:r>
        <w:r w:rsidR="00134D38">
          <w:rPr>
            <w:webHidden/>
          </w:rPr>
          <w:instrText xml:space="preserve"> PAGEREF _Toc11845099 \h </w:instrText>
        </w:r>
        <w:r w:rsidR="00134D38">
          <w:rPr>
            <w:webHidden/>
          </w:rPr>
        </w:r>
        <w:r w:rsidR="00134D38">
          <w:rPr>
            <w:webHidden/>
          </w:rPr>
          <w:fldChar w:fldCharType="separate"/>
        </w:r>
        <w:r>
          <w:rPr>
            <w:webHidden/>
          </w:rPr>
          <w:t>17</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00" w:history="1">
        <w:r w:rsidR="00134D38" w:rsidRPr="00D9045E">
          <w:rPr>
            <w:rStyle w:val="Hyperlink"/>
          </w:rPr>
          <w:t>City of Greater Geelong Responsibilities</w:t>
        </w:r>
        <w:r w:rsidR="00134D38">
          <w:rPr>
            <w:webHidden/>
          </w:rPr>
          <w:tab/>
        </w:r>
        <w:r w:rsidR="00134D38">
          <w:rPr>
            <w:webHidden/>
          </w:rPr>
          <w:fldChar w:fldCharType="begin"/>
        </w:r>
        <w:r w:rsidR="00134D38">
          <w:rPr>
            <w:webHidden/>
          </w:rPr>
          <w:instrText xml:space="preserve"> PAGEREF _Toc11845100 \h </w:instrText>
        </w:r>
        <w:r w:rsidR="00134D38">
          <w:rPr>
            <w:webHidden/>
          </w:rPr>
        </w:r>
        <w:r w:rsidR="00134D38">
          <w:rPr>
            <w:webHidden/>
          </w:rPr>
          <w:fldChar w:fldCharType="separate"/>
        </w:r>
        <w:r>
          <w:rPr>
            <w:webHidden/>
          </w:rPr>
          <w:t>17</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01" w:history="1">
        <w:r w:rsidR="00134D38" w:rsidRPr="00D9045E">
          <w:rPr>
            <w:rStyle w:val="Hyperlink"/>
          </w:rPr>
          <w:t>The City of Greater Geelong Profile</w:t>
        </w:r>
        <w:r w:rsidR="00134D38">
          <w:rPr>
            <w:webHidden/>
          </w:rPr>
          <w:tab/>
        </w:r>
        <w:r w:rsidR="00134D38">
          <w:rPr>
            <w:webHidden/>
          </w:rPr>
          <w:fldChar w:fldCharType="begin"/>
        </w:r>
        <w:r w:rsidR="00134D38">
          <w:rPr>
            <w:webHidden/>
          </w:rPr>
          <w:instrText xml:space="preserve"> PAGEREF _Toc11845101 \h </w:instrText>
        </w:r>
        <w:r w:rsidR="00134D38">
          <w:rPr>
            <w:webHidden/>
          </w:rPr>
        </w:r>
        <w:r w:rsidR="00134D38">
          <w:rPr>
            <w:webHidden/>
          </w:rPr>
          <w:fldChar w:fldCharType="separate"/>
        </w:r>
        <w:r>
          <w:rPr>
            <w:webHidden/>
          </w:rPr>
          <w:t>17</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02" w:history="1">
        <w:r w:rsidR="00134D38" w:rsidRPr="00D9045E">
          <w:rPr>
            <w:rStyle w:val="Hyperlink"/>
          </w:rPr>
          <w:t>Average Rates &amp; Charges</w:t>
        </w:r>
        <w:r w:rsidR="00134D38">
          <w:rPr>
            <w:webHidden/>
          </w:rPr>
          <w:tab/>
        </w:r>
        <w:r w:rsidR="00134D38">
          <w:rPr>
            <w:webHidden/>
          </w:rPr>
          <w:fldChar w:fldCharType="begin"/>
        </w:r>
        <w:r w:rsidR="00134D38">
          <w:rPr>
            <w:webHidden/>
          </w:rPr>
          <w:instrText xml:space="preserve"> PAGEREF _Toc11845102 \h </w:instrText>
        </w:r>
        <w:r w:rsidR="00134D38">
          <w:rPr>
            <w:webHidden/>
          </w:rPr>
        </w:r>
        <w:r w:rsidR="00134D38">
          <w:rPr>
            <w:webHidden/>
          </w:rPr>
          <w:fldChar w:fldCharType="separate"/>
        </w:r>
        <w:r>
          <w:rPr>
            <w:webHidden/>
          </w:rPr>
          <w:t>18</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03" w:history="1">
        <w:r w:rsidR="00134D38" w:rsidRPr="00D9045E">
          <w:rPr>
            <w:rStyle w:val="Hyperlink"/>
          </w:rPr>
          <w:t>Purpose</w:t>
        </w:r>
        <w:r w:rsidR="00134D38">
          <w:rPr>
            <w:webHidden/>
          </w:rPr>
          <w:tab/>
        </w:r>
        <w:r w:rsidR="00134D38">
          <w:rPr>
            <w:webHidden/>
          </w:rPr>
          <w:fldChar w:fldCharType="begin"/>
        </w:r>
        <w:r w:rsidR="00134D38">
          <w:rPr>
            <w:webHidden/>
          </w:rPr>
          <w:instrText xml:space="preserve"> PAGEREF _Toc11845103 \h </w:instrText>
        </w:r>
        <w:r w:rsidR="00134D38">
          <w:rPr>
            <w:webHidden/>
          </w:rPr>
        </w:r>
        <w:r w:rsidR="00134D38">
          <w:rPr>
            <w:webHidden/>
          </w:rPr>
          <w:fldChar w:fldCharType="separate"/>
        </w:r>
        <w:r>
          <w:rPr>
            <w:webHidden/>
          </w:rPr>
          <w:t>19</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04" w:history="1">
        <w:r w:rsidR="00134D38" w:rsidRPr="00D9045E">
          <w:rPr>
            <w:rStyle w:val="Hyperlink"/>
          </w:rPr>
          <w:t>Principles</w:t>
        </w:r>
        <w:r w:rsidR="00134D38">
          <w:rPr>
            <w:webHidden/>
          </w:rPr>
          <w:tab/>
        </w:r>
        <w:r w:rsidR="00134D38">
          <w:rPr>
            <w:webHidden/>
          </w:rPr>
          <w:fldChar w:fldCharType="begin"/>
        </w:r>
        <w:r w:rsidR="00134D38">
          <w:rPr>
            <w:webHidden/>
          </w:rPr>
          <w:instrText xml:space="preserve"> PAGEREF _Toc11845104 \h </w:instrText>
        </w:r>
        <w:r w:rsidR="00134D38">
          <w:rPr>
            <w:webHidden/>
          </w:rPr>
        </w:r>
        <w:r w:rsidR="00134D38">
          <w:rPr>
            <w:webHidden/>
          </w:rPr>
          <w:fldChar w:fldCharType="separate"/>
        </w:r>
        <w:r>
          <w:rPr>
            <w:webHidden/>
          </w:rPr>
          <w:t>19</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05" w:history="1">
        <w:r w:rsidR="00134D38" w:rsidRPr="00D9045E">
          <w:rPr>
            <w:rStyle w:val="Hyperlink"/>
          </w:rPr>
          <w:t>Reason for Policy</w:t>
        </w:r>
        <w:r w:rsidR="00134D38">
          <w:rPr>
            <w:webHidden/>
          </w:rPr>
          <w:tab/>
        </w:r>
        <w:r w:rsidR="00134D38">
          <w:rPr>
            <w:webHidden/>
          </w:rPr>
          <w:fldChar w:fldCharType="begin"/>
        </w:r>
        <w:r w:rsidR="00134D38">
          <w:rPr>
            <w:webHidden/>
          </w:rPr>
          <w:instrText xml:space="preserve"> PAGEREF _Toc11845105 \h </w:instrText>
        </w:r>
        <w:r w:rsidR="00134D38">
          <w:rPr>
            <w:webHidden/>
          </w:rPr>
        </w:r>
        <w:r w:rsidR="00134D38">
          <w:rPr>
            <w:webHidden/>
          </w:rPr>
          <w:fldChar w:fldCharType="separate"/>
        </w:r>
        <w:r>
          <w:rPr>
            <w:webHidden/>
          </w:rPr>
          <w:t>20</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06" w:history="1">
        <w:r w:rsidR="00134D38" w:rsidRPr="00D9045E">
          <w:rPr>
            <w:rStyle w:val="Hyperlink"/>
          </w:rPr>
          <w:t>Rating Framework</w:t>
        </w:r>
        <w:r w:rsidR="00134D38">
          <w:rPr>
            <w:webHidden/>
          </w:rPr>
          <w:tab/>
        </w:r>
        <w:r w:rsidR="00134D38">
          <w:rPr>
            <w:webHidden/>
          </w:rPr>
          <w:fldChar w:fldCharType="begin"/>
        </w:r>
        <w:r w:rsidR="00134D38">
          <w:rPr>
            <w:webHidden/>
          </w:rPr>
          <w:instrText xml:space="preserve"> PAGEREF _Toc11845106 \h </w:instrText>
        </w:r>
        <w:r w:rsidR="00134D38">
          <w:rPr>
            <w:webHidden/>
          </w:rPr>
        </w:r>
        <w:r w:rsidR="00134D38">
          <w:rPr>
            <w:webHidden/>
          </w:rPr>
          <w:fldChar w:fldCharType="separate"/>
        </w:r>
        <w:r>
          <w:rPr>
            <w:webHidden/>
          </w:rPr>
          <w:t>21</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07" w:history="1">
        <w:r w:rsidR="00134D38" w:rsidRPr="00D9045E">
          <w:rPr>
            <w:rStyle w:val="Hyperlink"/>
          </w:rPr>
          <w:t>Definitions and Abbreviations</w:t>
        </w:r>
        <w:r w:rsidR="00134D38">
          <w:rPr>
            <w:webHidden/>
          </w:rPr>
          <w:tab/>
        </w:r>
        <w:r w:rsidR="00134D38">
          <w:rPr>
            <w:webHidden/>
          </w:rPr>
          <w:fldChar w:fldCharType="begin"/>
        </w:r>
        <w:r w:rsidR="00134D38">
          <w:rPr>
            <w:webHidden/>
          </w:rPr>
          <w:instrText xml:space="preserve"> PAGEREF _Toc11845107 \h </w:instrText>
        </w:r>
        <w:r w:rsidR="00134D38">
          <w:rPr>
            <w:webHidden/>
          </w:rPr>
        </w:r>
        <w:r w:rsidR="00134D38">
          <w:rPr>
            <w:webHidden/>
          </w:rPr>
          <w:fldChar w:fldCharType="separate"/>
        </w:r>
        <w:r>
          <w:rPr>
            <w:webHidden/>
          </w:rPr>
          <w:t>22</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08" w:history="1">
        <w:r w:rsidR="00134D38" w:rsidRPr="00D9045E">
          <w:rPr>
            <w:rStyle w:val="Hyperlink"/>
          </w:rPr>
          <w:t>Strategic Directions</w:t>
        </w:r>
        <w:r w:rsidR="00134D38">
          <w:rPr>
            <w:webHidden/>
          </w:rPr>
          <w:tab/>
        </w:r>
        <w:r w:rsidR="00134D38">
          <w:rPr>
            <w:webHidden/>
          </w:rPr>
          <w:fldChar w:fldCharType="begin"/>
        </w:r>
        <w:r w:rsidR="00134D38">
          <w:rPr>
            <w:webHidden/>
          </w:rPr>
          <w:instrText xml:space="preserve"> PAGEREF _Toc11845108 \h </w:instrText>
        </w:r>
        <w:r w:rsidR="00134D38">
          <w:rPr>
            <w:webHidden/>
          </w:rPr>
        </w:r>
        <w:r w:rsidR="00134D38">
          <w:rPr>
            <w:webHidden/>
          </w:rPr>
          <w:fldChar w:fldCharType="separate"/>
        </w:r>
        <w:r>
          <w:rPr>
            <w:webHidden/>
          </w:rPr>
          <w:t>22</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09" w:history="1">
        <w:r w:rsidR="00134D38" w:rsidRPr="00D9045E">
          <w:rPr>
            <w:rStyle w:val="Hyperlink"/>
          </w:rPr>
          <w:t>Council Plan</w:t>
        </w:r>
        <w:r w:rsidR="00134D38">
          <w:rPr>
            <w:webHidden/>
          </w:rPr>
          <w:tab/>
        </w:r>
        <w:r w:rsidR="00134D38">
          <w:rPr>
            <w:webHidden/>
          </w:rPr>
          <w:fldChar w:fldCharType="begin"/>
        </w:r>
        <w:r w:rsidR="00134D38">
          <w:rPr>
            <w:webHidden/>
          </w:rPr>
          <w:instrText xml:space="preserve"> PAGEREF _Toc11845109 \h </w:instrText>
        </w:r>
        <w:r w:rsidR="00134D38">
          <w:rPr>
            <w:webHidden/>
          </w:rPr>
        </w:r>
        <w:r w:rsidR="00134D38">
          <w:rPr>
            <w:webHidden/>
          </w:rPr>
          <w:fldChar w:fldCharType="separate"/>
        </w:r>
        <w:r>
          <w:rPr>
            <w:webHidden/>
          </w:rPr>
          <w:t>22</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10" w:history="1">
        <w:r w:rsidR="00134D38" w:rsidRPr="00D9045E">
          <w:rPr>
            <w:rStyle w:val="Hyperlink"/>
          </w:rPr>
          <w:t>Annual Report</w:t>
        </w:r>
        <w:r w:rsidR="00134D38">
          <w:rPr>
            <w:webHidden/>
          </w:rPr>
          <w:tab/>
        </w:r>
        <w:r w:rsidR="00134D38">
          <w:rPr>
            <w:webHidden/>
          </w:rPr>
          <w:fldChar w:fldCharType="begin"/>
        </w:r>
        <w:r w:rsidR="00134D38">
          <w:rPr>
            <w:webHidden/>
          </w:rPr>
          <w:instrText xml:space="preserve"> PAGEREF _Toc11845110 \h </w:instrText>
        </w:r>
        <w:r w:rsidR="00134D38">
          <w:rPr>
            <w:webHidden/>
          </w:rPr>
        </w:r>
        <w:r w:rsidR="00134D38">
          <w:rPr>
            <w:webHidden/>
          </w:rPr>
          <w:fldChar w:fldCharType="separate"/>
        </w:r>
        <w:r>
          <w:rPr>
            <w:webHidden/>
          </w:rPr>
          <w:t>23</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11" w:history="1">
        <w:r w:rsidR="00134D38" w:rsidRPr="00D9045E">
          <w:rPr>
            <w:rStyle w:val="Hyperlink"/>
          </w:rPr>
          <w:t>Budget Considerations</w:t>
        </w:r>
        <w:r w:rsidR="00134D38">
          <w:rPr>
            <w:webHidden/>
          </w:rPr>
          <w:tab/>
        </w:r>
        <w:r w:rsidR="00134D38">
          <w:rPr>
            <w:webHidden/>
          </w:rPr>
          <w:fldChar w:fldCharType="begin"/>
        </w:r>
        <w:r w:rsidR="00134D38">
          <w:rPr>
            <w:webHidden/>
          </w:rPr>
          <w:instrText xml:space="preserve"> PAGEREF _Toc11845111 \h </w:instrText>
        </w:r>
        <w:r w:rsidR="00134D38">
          <w:rPr>
            <w:webHidden/>
          </w:rPr>
        </w:r>
        <w:r w:rsidR="00134D38">
          <w:rPr>
            <w:webHidden/>
          </w:rPr>
          <w:fldChar w:fldCharType="separate"/>
        </w:r>
        <w:r>
          <w:rPr>
            <w:webHidden/>
          </w:rPr>
          <w:t>23</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12" w:history="1">
        <w:r w:rsidR="00134D38" w:rsidRPr="00D9045E">
          <w:rPr>
            <w:rStyle w:val="Hyperlink"/>
          </w:rPr>
          <w:t>External Influences</w:t>
        </w:r>
        <w:r w:rsidR="00134D38">
          <w:rPr>
            <w:webHidden/>
          </w:rPr>
          <w:tab/>
        </w:r>
        <w:r w:rsidR="00134D38">
          <w:rPr>
            <w:webHidden/>
          </w:rPr>
          <w:fldChar w:fldCharType="begin"/>
        </w:r>
        <w:r w:rsidR="00134D38">
          <w:rPr>
            <w:webHidden/>
          </w:rPr>
          <w:instrText xml:space="preserve"> PAGEREF _Toc11845112 \h </w:instrText>
        </w:r>
        <w:r w:rsidR="00134D38">
          <w:rPr>
            <w:webHidden/>
          </w:rPr>
        </w:r>
        <w:r w:rsidR="00134D38">
          <w:rPr>
            <w:webHidden/>
          </w:rPr>
          <w:fldChar w:fldCharType="separate"/>
        </w:r>
        <w:r>
          <w:rPr>
            <w:webHidden/>
          </w:rPr>
          <w:t>24</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13" w:history="1">
        <w:r w:rsidR="00134D38" w:rsidRPr="00D9045E">
          <w:rPr>
            <w:rStyle w:val="Hyperlink"/>
          </w:rPr>
          <w:t>Community Impact</w:t>
        </w:r>
        <w:r w:rsidR="00134D38">
          <w:rPr>
            <w:webHidden/>
          </w:rPr>
          <w:tab/>
        </w:r>
        <w:r w:rsidR="00134D38">
          <w:rPr>
            <w:webHidden/>
          </w:rPr>
          <w:fldChar w:fldCharType="begin"/>
        </w:r>
        <w:r w:rsidR="00134D38">
          <w:rPr>
            <w:webHidden/>
          </w:rPr>
          <w:instrText xml:space="preserve"> PAGEREF _Toc11845113 \h </w:instrText>
        </w:r>
        <w:r w:rsidR="00134D38">
          <w:rPr>
            <w:webHidden/>
          </w:rPr>
        </w:r>
        <w:r w:rsidR="00134D38">
          <w:rPr>
            <w:webHidden/>
          </w:rPr>
          <w:fldChar w:fldCharType="separate"/>
        </w:r>
        <w:r>
          <w:rPr>
            <w:webHidden/>
          </w:rPr>
          <w:t>24</w:t>
        </w:r>
        <w:r w:rsidR="00134D38">
          <w:rPr>
            <w:webHidden/>
          </w:rPr>
          <w:fldChar w:fldCharType="end"/>
        </w:r>
      </w:hyperlink>
    </w:p>
    <w:p w:rsidR="00134D38" w:rsidRDefault="00A35936">
      <w:pPr>
        <w:pStyle w:val="TOC2"/>
        <w:rPr>
          <w:rFonts w:asciiTheme="minorHAnsi" w:eastAsiaTheme="minorEastAsia" w:hAnsiTheme="minorHAnsi" w:cstheme="minorBidi"/>
          <w:bCs w:val="0"/>
          <w:snapToGrid/>
          <w:sz w:val="22"/>
          <w:szCs w:val="22"/>
          <w:lang w:eastAsia="en-AU"/>
        </w:rPr>
      </w:pPr>
      <w:hyperlink w:anchor="_Toc11845114" w:history="1">
        <w:r w:rsidR="00134D38" w:rsidRPr="00D9045E">
          <w:rPr>
            <w:rStyle w:val="Hyperlink"/>
          </w:rPr>
          <w:t>3.2  Property Valuations</w:t>
        </w:r>
        <w:r w:rsidR="00134D38">
          <w:rPr>
            <w:webHidden/>
          </w:rPr>
          <w:tab/>
        </w:r>
        <w:r w:rsidR="00134D38">
          <w:rPr>
            <w:webHidden/>
          </w:rPr>
          <w:fldChar w:fldCharType="begin"/>
        </w:r>
        <w:r w:rsidR="00134D38">
          <w:rPr>
            <w:webHidden/>
          </w:rPr>
          <w:instrText xml:space="preserve"> PAGEREF _Toc11845114 \h </w:instrText>
        </w:r>
        <w:r w:rsidR="00134D38">
          <w:rPr>
            <w:webHidden/>
          </w:rPr>
        </w:r>
        <w:r w:rsidR="00134D38">
          <w:rPr>
            <w:webHidden/>
          </w:rPr>
          <w:fldChar w:fldCharType="separate"/>
        </w:r>
        <w:r>
          <w:rPr>
            <w:webHidden/>
          </w:rPr>
          <w:t>25</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15" w:history="1">
        <w:r w:rsidR="00134D38" w:rsidRPr="00D9045E">
          <w:rPr>
            <w:rStyle w:val="Hyperlink"/>
          </w:rPr>
          <w:t>No Windfall Gain</w:t>
        </w:r>
        <w:r w:rsidR="00134D38">
          <w:rPr>
            <w:webHidden/>
          </w:rPr>
          <w:tab/>
        </w:r>
        <w:r w:rsidR="00134D38">
          <w:rPr>
            <w:webHidden/>
          </w:rPr>
          <w:fldChar w:fldCharType="begin"/>
        </w:r>
        <w:r w:rsidR="00134D38">
          <w:rPr>
            <w:webHidden/>
          </w:rPr>
          <w:instrText xml:space="preserve"> PAGEREF _Toc11845115 \h </w:instrText>
        </w:r>
        <w:r w:rsidR="00134D38">
          <w:rPr>
            <w:webHidden/>
          </w:rPr>
        </w:r>
        <w:r w:rsidR="00134D38">
          <w:rPr>
            <w:webHidden/>
          </w:rPr>
          <w:fldChar w:fldCharType="separate"/>
        </w:r>
        <w:r>
          <w:rPr>
            <w:webHidden/>
          </w:rPr>
          <w:t>26</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16" w:history="1">
        <w:r w:rsidR="00134D38" w:rsidRPr="00D9045E">
          <w:rPr>
            <w:rStyle w:val="Hyperlink"/>
          </w:rPr>
          <w:t>Objections to Property Valuation</w:t>
        </w:r>
        <w:r w:rsidR="00134D38">
          <w:rPr>
            <w:webHidden/>
          </w:rPr>
          <w:tab/>
        </w:r>
        <w:r w:rsidR="00134D38">
          <w:rPr>
            <w:webHidden/>
          </w:rPr>
          <w:fldChar w:fldCharType="begin"/>
        </w:r>
        <w:r w:rsidR="00134D38">
          <w:rPr>
            <w:webHidden/>
          </w:rPr>
          <w:instrText xml:space="preserve"> PAGEREF _Toc11845116 \h </w:instrText>
        </w:r>
        <w:r w:rsidR="00134D38">
          <w:rPr>
            <w:webHidden/>
          </w:rPr>
        </w:r>
        <w:r w:rsidR="00134D38">
          <w:rPr>
            <w:webHidden/>
          </w:rPr>
          <w:fldChar w:fldCharType="separate"/>
        </w:r>
        <w:r>
          <w:rPr>
            <w:webHidden/>
          </w:rPr>
          <w:t>27</w:t>
        </w:r>
        <w:r w:rsidR="00134D38">
          <w:rPr>
            <w:webHidden/>
          </w:rPr>
          <w:fldChar w:fldCharType="end"/>
        </w:r>
      </w:hyperlink>
    </w:p>
    <w:p w:rsidR="00134D38" w:rsidRDefault="00A35936">
      <w:pPr>
        <w:pStyle w:val="TOC2"/>
        <w:rPr>
          <w:rFonts w:asciiTheme="minorHAnsi" w:eastAsiaTheme="minorEastAsia" w:hAnsiTheme="minorHAnsi" w:cstheme="minorBidi"/>
          <w:bCs w:val="0"/>
          <w:snapToGrid/>
          <w:sz w:val="22"/>
          <w:szCs w:val="22"/>
          <w:lang w:eastAsia="en-AU"/>
        </w:rPr>
      </w:pPr>
      <w:hyperlink w:anchor="_Toc11845117" w:history="1">
        <w:r w:rsidR="00134D38" w:rsidRPr="00D9045E">
          <w:rPr>
            <w:rStyle w:val="Hyperlink"/>
          </w:rPr>
          <w:t>3.3  Rating Differentials and Rate Types</w:t>
        </w:r>
        <w:r w:rsidR="00134D38">
          <w:rPr>
            <w:webHidden/>
          </w:rPr>
          <w:tab/>
        </w:r>
        <w:r w:rsidR="00134D38">
          <w:rPr>
            <w:webHidden/>
          </w:rPr>
          <w:fldChar w:fldCharType="begin"/>
        </w:r>
        <w:r w:rsidR="00134D38">
          <w:rPr>
            <w:webHidden/>
          </w:rPr>
          <w:instrText xml:space="preserve"> PAGEREF _Toc11845117 \h </w:instrText>
        </w:r>
        <w:r w:rsidR="00134D38">
          <w:rPr>
            <w:webHidden/>
          </w:rPr>
        </w:r>
        <w:r w:rsidR="00134D38">
          <w:rPr>
            <w:webHidden/>
          </w:rPr>
          <w:fldChar w:fldCharType="separate"/>
        </w:r>
        <w:r>
          <w:rPr>
            <w:webHidden/>
          </w:rPr>
          <w:t>27</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18" w:history="1">
        <w:r w:rsidR="00134D38" w:rsidRPr="00D9045E">
          <w:rPr>
            <w:rStyle w:val="Hyperlink"/>
          </w:rPr>
          <w:t>Rating Equity</w:t>
        </w:r>
        <w:r w:rsidR="00134D38">
          <w:rPr>
            <w:webHidden/>
          </w:rPr>
          <w:tab/>
        </w:r>
        <w:r w:rsidR="00134D38">
          <w:rPr>
            <w:webHidden/>
          </w:rPr>
          <w:fldChar w:fldCharType="begin"/>
        </w:r>
        <w:r w:rsidR="00134D38">
          <w:rPr>
            <w:webHidden/>
          </w:rPr>
          <w:instrText xml:space="preserve"> PAGEREF _Toc11845118 \h </w:instrText>
        </w:r>
        <w:r w:rsidR="00134D38">
          <w:rPr>
            <w:webHidden/>
          </w:rPr>
        </w:r>
        <w:r w:rsidR="00134D38">
          <w:rPr>
            <w:webHidden/>
          </w:rPr>
          <w:fldChar w:fldCharType="separate"/>
        </w:r>
        <w:r>
          <w:rPr>
            <w:webHidden/>
          </w:rPr>
          <w:t>27</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19" w:history="1">
        <w:r w:rsidR="00134D38" w:rsidRPr="00D9045E">
          <w:rPr>
            <w:rStyle w:val="Hyperlink"/>
          </w:rPr>
          <w:t>Ministerial Guidelines</w:t>
        </w:r>
        <w:r w:rsidR="00134D38">
          <w:rPr>
            <w:webHidden/>
          </w:rPr>
          <w:tab/>
        </w:r>
        <w:r w:rsidR="00134D38">
          <w:rPr>
            <w:webHidden/>
          </w:rPr>
          <w:fldChar w:fldCharType="begin"/>
        </w:r>
        <w:r w:rsidR="00134D38">
          <w:rPr>
            <w:webHidden/>
          </w:rPr>
          <w:instrText xml:space="preserve"> PAGEREF _Toc11845119 \h </w:instrText>
        </w:r>
        <w:r w:rsidR="00134D38">
          <w:rPr>
            <w:webHidden/>
          </w:rPr>
        </w:r>
        <w:r w:rsidR="00134D38">
          <w:rPr>
            <w:webHidden/>
          </w:rPr>
          <w:fldChar w:fldCharType="separate"/>
        </w:r>
        <w:r>
          <w:rPr>
            <w:webHidden/>
          </w:rPr>
          <w:t>28</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20" w:history="1">
        <w:r w:rsidR="00134D38" w:rsidRPr="00D9045E">
          <w:rPr>
            <w:rStyle w:val="Hyperlink"/>
          </w:rPr>
          <w:t>Reasons for Differential Rates Policy</w:t>
        </w:r>
        <w:r w:rsidR="00134D38">
          <w:rPr>
            <w:webHidden/>
          </w:rPr>
          <w:tab/>
        </w:r>
        <w:r w:rsidR="00134D38">
          <w:rPr>
            <w:webHidden/>
          </w:rPr>
          <w:fldChar w:fldCharType="begin"/>
        </w:r>
        <w:r w:rsidR="00134D38">
          <w:rPr>
            <w:webHidden/>
          </w:rPr>
          <w:instrText xml:space="preserve"> PAGEREF _Toc11845120 \h </w:instrText>
        </w:r>
        <w:r w:rsidR="00134D38">
          <w:rPr>
            <w:webHidden/>
          </w:rPr>
        </w:r>
        <w:r w:rsidR="00134D38">
          <w:rPr>
            <w:webHidden/>
          </w:rPr>
          <w:fldChar w:fldCharType="separate"/>
        </w:r>
        <w:r>
          <w:rPr>
            <w:webHidden/>
          </w:rPr>
          <w:t>28</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21" w:history="1">
        <w:r w:rsidR="00134D38" w:rsidRPr="00D9045E">
          <w:rPr>
            <w:rStyle w:val="Hyperlink"/>
          </w:rPr>
          <w:t>Rating Differentials</w:t>
        </w:r>
        <w:r w:rsidR="00134D38">
          <w:rPr>
            <w:webHidden/>
          </w:rPr>
          <w:tab/>
        </w:r>
        <w:r w:rsidR="00134D38">
          <w:rPr>
            <w:webHidden/>
          </w:rPr>
          <w:fldChar w:fldCharType="begin"/>
        </w:r>
        <w:r w:rsidR="00134D38">
          <w:rPr>
            <w:webHidden/>
          </w:rPr>
          <w:instrText xml:space="preserve"> PAGEREF _Toc11845121 \h </w:instrText>
        </w:r>
        <w:r w:rsidR="00134D38">
          <w:rPr>
            <w:webHidden/>
          </w:rPr>
        </w:r>
        <w:r w:rsidR="00134D38">
          <w:rPr>
            <w:webHidden/>
          </w:rPr>
          <w:fldChar w:fldCharType="separate"/>
        </w:r>
        <w:r>
          <w:rPr>
            <w:webHidden/>
          </w:rPr>
          <w:t>29</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22" w:history="1">
        <w:r w:rsidR="00134D38" w:rsidRPr="00D9045E">
          <w:rPr>
            <w:rStyle w:val="Hyperlink"/>
          </w:rPr>
          <w:t>Differential Tariff Definitions and Characteristics</w:t>
        </w:r>
        <w:r w:rsidR="00134D38">
          <w:rPr>
            <w:webHidden/>
          </w:rPr>
          <w:tab/>
        </w:r>
        <w:r w:rsidR="00134D38">
          <w:rPr>
            <w:webHidden/>
          </w:rPr>
          <w:fldChar w:fldCharType="begin"/>
        </w:r>
        <w:r w:rsidR="00134D38">
          <w:rPr>
            <w:webHidden/>
          </w:rPr>
          <w:instrText xml:space="preserve"> PAGEREF _Toc11845122 \h </w:instrText>
        </w:r>
        <w:r w:rsidR="00134D38">
          <w:rPr>
            <w:webHidden/>
          </w:rPr>
        </w:r>
        <w:r w:rsidR="00134D38">
          <w:rPr>
            <w:webHidden/>
          </w:rPr>
          <w:fldChar w:fldCharType="separate"/>
        </w:r>
        <w:r>
          <w:rPr>
            <w:webHidden/>
          </w:rPr>
          <w:t>31</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23" w:history="1">
        <w:r w:rsidR="00134D38" w:rsidRPr="00D9045E">
          <w:rPr>
            <w:rStyle w:val="Hyperlink"/>
          </w:rPr>
          <w:t>Differential Rates for Year 2019-20</w:t>
        </w:r>
        <w:r w:rsidR="00134D38">
          <w:rPr>
            <w:webHidden/>
          </w:rPr>
          <w:tab/>
        </w:r>
        <w:r w:rsidR="00134D38">
          <w:rPr>
            <w:webHidden/>
          </w:rPr>
          <w:fldChar w:fldCharType="begin"/>
        </w:r>
        <w:r w:rsidR="00134D38">
          <w:rPr>
            <w:webHidden/>
          </w:rPr>
          <w:instrText xml:space="preserve"> PAGEREF _Toc11845123 \h </w:instrText>
        </w:r>
        <w:r w:rsidR="00134D38">
          <w:rPr>
            <w:webHidden/>
          </w:rPr>
        </w:r>
        <w:r w:rsidR="00134D38">
          <w:rPr>
            <w:webHidden/>
          </w:rPr>
          <w:fldChar w:fldCharType="separate"/>
        </w:r>
        <w:r>
          <w:rPr>
            <w:webHidden/>
          </w:rPr>
          <w:t>38</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24" w:history="1">
        <w:r w:rsidR="00134D38" w:rsidRPr="00D9045E">
          <w:rPr>
            <w:rStyle w:val="Hyperlink"/>
          </w:rPr>
          <w:t>Historical Trends</w:t>
        </w:r>
        <w:r w:rsidR="00134D38">
          <w:rPr>
            <w:webHidden/>
          </w:rPr>
          <w:tab/>
        </w:r>
        <w:r w:rsidR="00134D38">
          <w:rPr>
            <w:webHidden/>
          </w:rPr>
          <w:fldChar w:fldCharType="begin"/>
        </w:r>
        <w:r w:rsidR="00134D38">
          <w:rPr>
            <w:webHidden/>
          </w:rPr>
          <w:instrText xml:space="preserve"> PAGEREF _Toc11845124 \h </w:instrText>
        </w:r>
        <w:r w:rsidR="00134D38">
          <w:rPr>
            <w:webHidden/>
          </w:rPr>
        </w:r>
        <w:r w:rsidR="00134D38">
          <w:rPr>
            <w:webHidden/>
          </w:rPr>
          <w:fldChar w:fldCharType="separate"/>
        </w:r>
        <w:r>
          <w:rPr>
            <w:webHidden/>
          </w:rPr>
          <w:t>39</w:t>
        </w:r>
        <w:r w:rsidR="00134D38">
          <w:rPr>
            <w:webHidden/>
          </w:rPr>
          <w:fldChar w:fldCharType="end"/>
        </w:r>
      </w:hyperlink>
    </w:p>
    <w:p w:rsidR="00134D38" w:rsidRDefault="00A35936">
      <w:pPr>
        <w:pStyle w:val="TOC2"/>
        <w:rPr>
          <w:rFonts w:asciiTheme="minorHAnsi" w:eastAsiaTheme="minorEastAsia" w:hAnsiTheme="minorHAnsi" w:cstheme="minorBidi"/>
          <w:bCs w:val="0"/>
          <w:snapToGrid/>
          <w:sz w:val="22"/>
          <w:szCs w:val="22"/>
          <w:lang w:eastAsia="en-AU"/>
        </w:rPr>
      </w:pPr>
      <w:hyperlink w:anchor="_Toc11845125" w:history="1">
        <w:r w:rsidR="00134D38" w:rsidRPr="00D9045E">
          <w:rPr>
            <w:rStyle w:val="Hyperlink"/>
          </w:rPr>
          <w:t>3.4  Interpretive Guidelines for Differentials and Rate Types</w:t>
        </w:r>
        <w:r w:rsidR="00134D38">
          <w:rPr>
            <w:webHidden/>
          </w:rPr>
          <w:tab/>
        </w:r>
        <w:r w:rsidR="00134D38">
          <w:rPr>
            <w:webHidden/>
          </w:rPr>
          <w:fldChar w:fldCharType="begin"/>
        </w:r>
        <w:r w:rsidR="00134D38">
          <w:rPr>
            <w:webHidden/>
          </w:rPr>
          <w:instrText xml:space="preserve"> PAGEREF _Toc11845125 \h </w:instrText>
        </w:r>
        <w:r w:rsidR="00134D38">
          <w:rPr>
            <w:webHidden/>
          </w:rPr>
        </w:r>
        <w:r w:rsidR="00134D38">
          <w:rPr>
            <w:webHidden/>
          </w:rPr>
          <w:fldChar w:fldCharType="separate"/>
        </w:r>
        <w:r>
          <w:rPr>
            <w:webHidden/>
          </w:rPr>
          <w:t>41</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26" w:history="1">
        <w:r w:rsidR="00134D38" w:rsidRPr="00D9045E">
          <w:rPr>
            <w:rStyle w:val="Hyperlink"/>
          </w:rPr>
          <w:t>Farm Rates</w:t>
        </w:r>
        <w:r w:rsidR="00134D38">
          <w:rPr>
            <w:webHidden/>
          </w:rPr>
          <w:tab/>
        </w:r>
        <w:r w:rsidR="00134D38">
          <w:rPr>
            <w:webHidden/>
          </w:rPr>
          <w:fldChar w:fldCharType="begin"/>
        </w:r>
        <w:r w:rsidR="00134D38">
          <w:rPr>
            <w:webHidden/>
          </w:rPr>
          <w:instrText xml:space="preserve"> PAGEREF _Toc11845126 \h </w:instrText>
        </w:r>
        <w:r w:rsidR="00134D38">
          <w:rPr>
            <w:webHidden/>
          </w:rPr>
        </w:r>
        <w:r w:rsidR="00134D38">
          <w:rPr>
            <w:webHidden/>
          </w:rPr>
          <w:fldChar w:fldCharType="separate"/>
        </w:r>
        <w:r>
          <w:rPr>
            <w:webHidden/>
          </w:rPr>
          <w:t>41</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27" w:history="1">
        <w:r w:rsidR="00134D38" w:rsidRPr="00D9045E">
          <w:rPr>
            <w:rStyle w:val="Hyperlink"/>
          </w:rPr>
          <w:t>Mixed Use Rate</w:t>
        </w:r>
        <w:r w:rsidR="00134D38">
          <w:rPr>
            <w:webHidden/>
          </w:rPr>
          <w:tab/>
        </w:r>
        <w:r w:rsidR="00134D38">
          <w:rPr>
            <w:webHidden/>
          </w:rPr>
          <w:fldChar w:fldCharType="begin"/>
        </w:r>
        <w:r w:rsidR="00134D38">
          <w:rPr>
            <w:webHidden/>
          </w:rPr>
          <w:instrText xml:space="preserve"> PAGEREF _Toc11845127 \h </w:instrText>
        </w:r>
        <w:r w:rsidR="00134D38">
          <w:rPr>
            <w:webHidden/>
          </w:rPr>
        </w:r>
        <w:r w:rsidR="00134D38">
          <w:rPr>
            <w:webHidden/>
          </w:rPr>
          <w:fldChar w:fldCharType="separate"/>
        </w:r>
        <w:r>
          <w:rPr>
            <w:webHidden/>
          </w:rPr>
          <w:t>45</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28" w:history="1">
        <w:r w:rsidR="00134D38" w:rsidRPr="00D9045E">
          <w:rPr>
            <w:rStyle w:val="Hyperlink"/>
          </w:rPr>
          <w:t>The Point’ Geographical Rate Description</w:t>
        </w:r>
        <w:r w:rsidR="00134D38">
          <w:rPr>
            <w:webHidden/>
          </w:rPr>
          <w:tab/>
        </w:r>
        <w:r w:rsidR="00134D38">
          <w:rPr>
            <w:webHidden/>
          </w:rPr>
          <w:fldChar w:fldCharType="begin"/>
        </w:r>
        <w:r w:rsidR="00134D38">
          <w:rPr>
            <w:webHidden/>
          </w:rPr>
          <w:instrText xml:space="preserve"> PAGEREF _Toc11845128 \h </w:instrText>
        </w:r>
        <w:r w:rsidR="00134D38">
          <w:rPr>
            <w:webHidden/>
          </w:rPr>
        </w:r>
        <w:r w:rsidR="00134D38">
          <w:rPr>
            <w:webHidden/>
          </w:rPr>
          <w:fldChar w:fldCharType="separate"/>
        </w:r>
        <w:r>
          <w:rPr>
            <w:webHidden/>
          </w:rPr>
          <w:t>47</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29" w:history="1">
        <w:r w:rsidR="00134D38" w:rsidRPr="00D9045E">
          <w:rPr>
            <w:rStyle w:val="Hyperlink"/>
          </w:rPr>
          <w:t>Cultural and Recreation Land Rate</w:t>
        </w:r>
        <w:r w:rsidR="00134D38">
          <w:rPr>
            <w:webHidden/>
          </w:rPr>
          <w:tab/>
        </w:r>
        <w:r w:rsidR="00134D38">
          <w:rPr>
            <w:webHidden/>
          </w:rPr>
          <w:fldChar w:fldCharType="begin"/>
        </w:r>
        <w:r w:rsidR="00134D38">
          <w:rPr>
            <w:webHidden/>
          </w:rPr>
          <w:instrText xml:space="preserve"> PAGEREF _Toc11845129 \h </w:instrText>
        </w:r>
        <w:r w:rsidR="00134D38">
          <w:rPr>
            <w:webHidden/>
          </w:rPr>
        </w:r>
        <w:r w:rsidR="00134D38">
          <w:rPr>
            <w:webHidden/>
          </w:rPr>
          <w:fldChar w:fldCharType="separate"/>
        </w:r>
        <w:r>
          <w:rPr>
            <w:webHidden/>
          </w:rPr>
          <w:t>49</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30" w:history="1">
        <w:r w:rsidR="00134D38" w:rsidRPr="00D9045E">
          <w:rPr>
            <w:rStyle w:val="Hyperlink"/>
          </w:rPr>
          <w:t>Service Charges – LGA section 162</w:t>
        </w:r>
        <w:r w:rsidR="00134D38">
          <w:rPr>
            <w:webHidden/>
          </w:rPr>
          <w:tab/>
        </w:r>
        <w:r w:rsidR="00134D38">
          <w:rPr>
            <w:webHidden/>
          </w:rPr>
          <w:fldChar w:fldCharType="begin"/>
        </w:r>
        <w:r w:rsidR="00134D38">
          <w:rPr>
            <w:webHidden/>
          </w:rPr>
          <w:instrText xml:space="preserve"> PAGEREF _Toc11845130 \h </w:instrText>
        </w:r>
        <w:r w:rsidR="00134D38">
          <w:rPr>
            <w:webHidden/>
          </w:rPr>
        </w:r>
        <w:r w:rsidR="00134D38">
          <w:rPr>
            <w:webHidden/>
          </w:rPr>
          <w:fldChar w:fldCharType="separate"/>
        </w:r>
        <w:r>
          <w:rPr>
            <w:webHidden/>
          </w:rPr>
          <w:t>50</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31" w:history="1">
        <w:r w:rsidR="00134D38" w:rsidRPr="00D9045E">
          <w:rPr>
            <w:rStyle w:val="Hyperlink"/>
          </w:rPr>
          <w:t>Municipal Charge – LGA section 159</w:t>
        </w:r>
        <w:r w:rsidR="00134D38">
          <w:rPr>
            <w:webHidden/>
          </w:rPr>
          <w:tab/>
        </w:r>
        <w:r w:rsidR="00134D38">
          <w:rPr>
            <w:webHidden/>
          </w:rPr>
          <w:fldChar w:fldCharType="begin"/>
        </w:r>
        <w:r w:rsidR="00134D38">
          <w:rPr>
            <w:webHidden/>
          </w:rPr>
          <w:instrText xml:space="preserve"> PAGEREF _Toc11845131 \h </w:instrText>
        </w:r>
        <w:r w:rsidR="00134D38">
          <w:rPr>
            <w:webHidden/>
          </w:rPr>
        </w:r>
        <w:r w:rsidR="00134D38">
          <w:rPr>
            <w:webHidden/>
          </w:rPr>
          <w:fldChar w:fldCharType="separate"/>
        </w:r>
        <w:r>
          <w:rPr>
            <w:webHidden/>
          </w:rPr>
          <w:t>51</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32" w:history="1">
        <w:r w:rsidR="00134D38" w:rsidRPr="00D9045E">
          <w:rPr>
            <w:rStyle w:val="Hyperlink"/>
          </w:rPr>
          <w:t>Ex Gratia Rates</w:t>
        </w:r>
        <w:r w:rsidR="00134D38">
          <w:rPr>
            <w:webHidden/>
          </w:rPr>
          <w:tab/>
        </w:r>
        <w:r w:rsidR="00134D38">
          <w:rPr>
            <w:webHidden/>
          </w:rPr>
          <w:fldChar w:fldCharType="begin"/>
        </w:r>
        <w:r w:rsidR="00134D38">
          <w:rPr>
            <w:webHidden/>
          </w:rPr>
          <w:instrText xml:space="preserve"> PAGEREF _Toc11845132 \h </w:instrText>
        </w:r>
        <w:r w:rsidR="00134D38">
          <w:rPr>
            <w:webHidden/>
          </w:rPr>
        </w:r>
        <w:r w:rsidR="00134D38">
          <w:rPr>
            <w:webHidden/>
          </w:rPr>
          <w:fldChar w:fldCharType="separate"/>
        </w:r>
        <w:r>
          <w:rPr>
            <w:webHidden/>
          </w:rPr>
          <w:t>51</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33" w:history="1">
        <w:r w:rsidR="00134D38" w:rsidRPr="00D9045E">
          <w:rPr>
            <w:rStyle w:val="Hyperlink"/>
          </w:rPr>
          <w:t>Special Charge Rates – LGA section 163</w:t>
        </w:r>
        <w:r w:rsidR="00134D38">
          <w:rPr>
            <w:webHidden/>
          </w:rPr>
          <w:tab/>
        </w:r>
        <w:r w:rsidR="00134D38">
          <w:rPr>
            <w:webHidden/>
          </w:rPr>
          <w:fldChar w:fldCharType="begin"/>
        </w:r>
        <w:r w:rsidR="00134D38">
          <w:rPr>
            <w:webHidden/>
          </w:rPr>
          <w:instrText xml:space="preserve"> PAGEREF _Toc11845133 \h </w:instrText>
        </w:r>
        <w:r w:rsidR="00134D38">
          <w:rPr>
            <w:webHidden/>
          </w:rPr>
        </w:r>
        <w:r w:rsidR="00134D38">
          <w:rPr>
            <w:webHidden/>
          </w:rPr>
          <w:fldChar w:fldCharType="separate"/>
        </w:r>
        <w:r>
          <w:rPr>
            <w:webHidden/>
          </w:rPr>
          <w:t>52</w:t>
        </w:r>
        <w:r w:rsidR="00134D38">
          <w:rPr>
            <w:webHidden/>
          </w:rPr>
          <w:fldChar w:fldCharType="end"/>
        </w:r>
      </w:hyperlink>
    </w:p>
    <w:p w:rsidR="00134D38" w:rsidRDefault="00A35936">
      <w:pPr>
        <w:pStyle w:val="TOC2"/>
        <w:rPr>
          <w:rFonts w:asciiTheme="minorHAnsi" w:eastAsiaTheme="minorEastAsia" w:hAnsiTheme="minorHAnsi" w:cstheme="minorBidi"/>
          <w:bCs w:val="0"/>
          <w:snapToGrid/>
          <w:sz w:val="22"/>
          <w:szCs w:val="22"/>
          <w:lang w:eastAsia="en-AU"/>
        </w:rPr>
      </w:pPr>
      <w:hyperlink w:anchor="_Toc11845134" w:history="1">
        <w:r w:rsidR="00134D38" w:rsidRPr="00D9045E">
          <w:rPr>
            <w:rStyle w:val="Hyperlink"/>
          </w:rPr>
          <w:t>3.5  Collections</w:t>
        </w:r>
        <w:r w:rsidR="00134D38">
          <w:rPr>
            <w:webHidden/>
          </w:rPr>
          <w:tab/>
        </w:r>
        <w:r w:rsidR="00134D38">
          <w:rPr>
            <w:webHidden/>
          </w:rPr>
          <w:fldChar w:fldCharType="begin"/>
        </w:r>
        <w:r w:rsidR="00134D38">
          <w:rPr>
            <w:webHidden/>
          </w:rPr>
          <w:instrText xml:space="preserve"> PAGEREF _Toc11845134 \h </w:instrText>
        </w:r>
        <w:r w:rsidR="00134D38">
          <w:rPr>
            <w:webHidden/>
          </w:rPr>
        </w:r>
        <w:r w:rsidR="00134D38">
          <w:rPr>
            <w:webHidden/>
          </w:rPr>
          <w:fldChar w:fldCharType="separate"/>
        </w:r>
        <w:r>
          <w:rPr>
            <w:webHidden/>
          </w:rPr>
          <w:t>52</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35" w:history="1">
        <w:r w:rsidR="00134D38" w:rsidRPr="00D9045E">
          <w:rPr>
            <w:rStyle w:val="Hyperlink"/>
          </w:rPr>
          <w:t>Liability to Pay Rates</w:t>
        </w:r>
        <w:r w:rsidR="00134D38">
          <w:rPr>
            <w:webHidden/>
          </w:rPr>
          <w:tab/>
        </w:r>
        <w:r w:rsidR="00134D38">
          <w:rPr>
            <w:webHidden/>
          </w:rPr>
          <w:fldChar w:fldCharType="begin"/>
        </w:r>
        <w:r w:rsidR="00134D38">
          <w:rPr>
            <w:webHidden/>
          </w:rPr>
          <w:instrText xml:space="preserve"> PAGEREF _Toc11845135 \h </w:instrText>
        </w:r>
        <w:r w:rsidR="00134D38">
          <w:rPr>
            <w:webHidden/>
          </w:rPr>
        </w:r>
        <w:r w:rsidR="00134D38">
          <w:rPr>
            <w:webHidden/>
          </w:rPr>
          <w:fldChar w:fldCharType="separate"/>
        </w:r>
        <w:r>
          <w:rPr>
            <w:webHidden/>
          </w:rPr>
          <w:t>52</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36" w:history="1">
        <w:r w:rsidR="00134D38" w:rsidRPr="00D9045E">
          <w:rPr>
            <w:rStyle w:val="Hyperlink"/>
          </w:rPr>
          <w:t>Electronic Notices</w:t>
        </w:r>
        <w:r w:rsidR="00134D38">
          <w:rPr>
            <w:webHidden/>
          </w:rPr>
          <w:tab/>
        </w:r>
        <w:r w:rsidR="00134D38">
          <w:rPr>
            <w:webHidden/>
          </w:rPr>
          <w:fldChar w:fldCharType="begin"/>
        </w:r>
        <w:r w:rsidR="00134D38">
          <w:rPr>
            <w:webHidden/>
          </w:rPr>
          <w:instrText xml:space="preserve"> PAGEREF _Toc11845136 \h </w:instrText>
        </w:r>
        <w:r w:rsidR="00134D38">
          <w:rPr>
            <w:webHidden/>
          </w:rPr>
        </w:r>
        <w:r w:rsidR="00134D38">
          <w:rPr>
            <w:webHidden/>
          </w:rPr>
          <w:fldChar w:fldCharType="separate"/>
        </w:r>
        <w:r>
          <w:rPr>
            <w:webHidden/>
          </w:rPr>
          <w:t>52</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37" w:history="1">
        <w:r w:rsidR="00134D38" w:rsidRPr="00D9045E">
          <w:rPr>
            <w:rStyle w:val="Hyperlink"/>
          </w:rPr>
          <w:t>Payment Dates for Rates</w:t>
        </w:r>
        <w:r w:rsidR="00134D38">
          <w:rPr>
            <w:webHidden/>
          </w:rPr>
          <w:tab/>
        </w:r>
        <w:r w:rsidR="00134D38">
          <w:rPr>
            <w:webHidden/>
          </w:rPr>
          <w:fldChar w:fldCharType="begin"/>
        </w:r>
        <w:r w:rsidR="00134D38">
          <w:rPr>
            <w:webHidden/>
          </w:rPr>
          <w:instrText xml:space="preserve"> PAGEREF _Toc11845137 \h </w:instrText>
        </w:r>
        <w:r w:rsidR="00134D38">
          <w:rPr>
            <w:webHidden/>
          </w:rPr>
        </w:r>
        <w:r w:rsidR="00134D38">
          <w:rPr>
            <w:webHidden/>
          </w:rPr>
          <w:fldChar w:fldCharType="separate"/>
        </w:r>
        <w:r>
          <w:rPr>
            <w:webHidden/>
          </w:rPr>
          <w:t>53</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38" w:history="1">
        <w:r w:rsidR="00134D38" w:rsidRPr="00D9045E">
          <w:rPr>
            <w:rStyle w:val="Hyperlink"/>
          </w:rPr>
          <w:t>Alternative Instalment / Payment Options</w:t>
        </w:r>
        <w:r w:rsidR="00134D38">
          <w:rPr>
            <w:webHidden/>
          </w:rPr>
          <w:tab/>
        </w:r>
        <w:r w:rsidR="00134D38">
          <w:rPr>
            <w:webHidden/>
          </w:rPr>
          <w:fldChar w:fldCharType="begin"/>
        </w:r>
        <w:r w:rsidR="00134D38">
          <w:rPr>
            <w:webHidden/>
          </w:rPr>
          <w:instrText xml:space="preserve"> PAGEREF _Toc11845138 \h </w:instrText>
        </w:r>
        <w:r w:rsidR="00134D38">
          <w:rPr>
            <w:webHidden/>
          </w:rPr>
        </w:r>
        <w:r w:rsidR="00134D38">
          <w:rPr>
            <w:webHidden/>
          </w:rPr>
          <w:fldChar w:fldCharType="separate"/>
        </w:r>
        <w:r>
          <w:rPr>
            <w:webHidden/>
          </w:rPr>
          <w:t>53</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39" w:history="1">
        <w:r w:rsidR="00134D38" w:rsidRPr="00D9045E">
          <w:rPr>
            <w:rStyle w:val="Hyperlink"/>
          </w:rPr>
          <w:t>Payment Options</w:t>
        </w:r>
        <w:r w:rsidR="00134D38">
          <w:rPr>
            <w:webHidden/>
          </w:rPr>
          <w:tab/>
        </w:r>
        <w:r w:rsidR="00134D38">
          <w:rPr>
            <w:webHidden/>
          </w:rPr>
          <w:fldChar w:fldCharType="begin"/>
        </w:r>
        <w:r w:rsidR="00134D38">
          <w:rPr>
            <w:webHidden/>
          </w:rPr>
          <w:instrText xml:space="preserve"> PAGEREF _Toc11845139 \h </w:instrText>
        </w:r>
        <w:r w:rsidR="00134D38">
          <w:rPr>
            <w:webHidden/>
          </w:rPr>
        </w:r>
        <w:r w:rsidR="00134D38">
          <w:rPr>
            <w:webHidden/>
          </w:rPr>
          <w:fldChar w:fldCharType="separate"/>
        </w:r>
        <w:r>
          <w:rPr>
            <w:webHidden/>
          </w:rPr>
          <w:t>53</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40" w:history="1">
        <w:r w:rsidR="00134D38" w:rsidRPr="00D9045E">
          <w:rPr>
            <w:rStyle w:val="Hyperlink"/>
          </w:rPr>
          <w:t>Incentives for Prompt Payment</w:t>
        </w:r>
        <w:r w:rsidR="00134D38">
          <w:rPr>
            <w:webHidden/>
          </w:rPr>
          <w:tab/>
        </w:r>
        <w:r w:rsidR="00134D38">
          <w:rPr>
            <w:webHidden/>
          </w:rPr>
          <w:fldChar w:fldCharType="begin"/>
        </w:r>
        <w:r w:rsidR="00134D38">
          <w:rPr>
            <w:webHidden/>
          </w:rPr>
          <w:instrText xml:space="preserve"> PAGEREF _Toc11845140 \h </w:instrText>
        </w:r>
        <w:r w:rsidR="00134D38">
          <w:rPr>
            <w:webHidden/>
          </w:rPr>
        </w:r>
        <w:r w:rsidR="00134D38">
          <w:rPr>
            <w:webHidden/>
          </w:rPr>
          <w:fldChar w:fldCharType="separate"/>
        </w:r>
        <w:r>
          <w:rPr>
            <w:webHidden/>
          </w:rPr>
          <w:t>54</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41" w:history="1">
        <w:r w:rsidR="00134D38" w:rsidRPr="00D9045E">
          <w:rPr>
            <w:rStyle w:val="Hyperlink"/>
          </w:rPr>
          <w:t>Late Payment of Rates</w:t>
        </w:r>
        <w:r w:rsidR="00134D38">
          <w:rPr>
            <w:webHidden/>
          </w:rPr>
          <w:tab/>
        </w:r>
        <w:r w:rsidR="00134D38">
          <w:rPr>
            <w:webHidden/>
          </w:rPr>
          <w:fldChar w:fldCharType="begin"/>
        </w:r>
        <w:r w:rsidR="00134D38">
          <w:rPr>
            <w:webHidden/>
          </w:rPr>
          <w:instrText xml:space="preserve"> PAGEREF _Toc11845141 \h </w:instrText>
        </w:r>
        <w:r w:rsidR="00134D38">
          <w:rPr>
            <w:webHidden/>
          </w:rPr>
        </w:r>
        <w:r w:rsidR="00134D38">
          <w:rPr>
            <w:webHidden/>
          </w:rPr>
          <w:fldChar w:fldCharType="separate"/>
        </w:r>
        <w:r>
          <w:rPr>
            <w:webHidden/>
          </w:rPr>
          <w:t>54</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42" w:history="1">
        <w:r w:rsidR="00134D38" w:rsidRPr="00D9045E">
          <w:rPr>
            <w:rStyle w:val="Hyperlink"/>
          </w:rPr>
          <w:t>Interest on Arrears and Overdue Rates</w:t>
        </w:r>
        <w:r w:rsidR="00134D38">
          <w:rPr>
            <w:webHidden/>
          </w:rPr>
          <w:tab/>
        </w:r>
        <w:r w:rsidR="00134D38">
          <w:rPr>
            <w:webHidden/>
          </w:rPr>
          <w:fldChar w:fldCharType="begin"/>
        </w:r>
        <w:r w:rsidR="00134D38">
          <w:rPr>
            <w:webHidden/>
          </w:rPr>
          <w:instrText xml:space="preserve"> PAGEREF _Toc11845142 \h </w:instrText>
        </w:r>
        <w:r w:rsidR="00134D38">
          <w:rPr>
            <w:webHidden/>
          </w:rPr>
        </w:r>
        <w:r w:rsidR="00134D38">
          <w:rPr>
            <w:webHidden/>
          </w:rPr>
          <w:fldChar w:fldCharType="separate"/>
        </w:r>
        <w:r>
          <w:rPr>
            <w:webHidden/>
          </w:rPr>
          <w:t>54</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43" w:history="1">
        <w:r w:rsidR="00134D38" w:rsidRPr="00D9045E">
          <w:rPr>
            <w:rStyle w:val="Hyperlink"/>
          </w:rPr>
          <w:t>Debt Recovery - Collection of Overdue Rates</w:t>
        </w:r>
        <w:r w:rsidR="00134D38">
          <w:rPr>
            <w:webHidden/>
          </w:rPr>
          <w:tab/>
        </w:r>
        <w:r w:rsidR="00134D38">
          <w:rPr>
            <w:webHidden/>
          </w:rPr>
          <w:fldChar w:fldCharType="begin"/>
        </w:r>
        <w:r w:rsidR="00134D38">
          <w:rPr>
            <w:webHidden/>
          </w:rPr>
          <w:instrText xml:space="preserve"> PAGEREF _Toc11845143 \h </w:instrText>
        </w:r>
        <w:r w:rsidR="00134D38">
          <w:rPr>
            <w:webHidden/>
          </w:rPr>
        </w:r>
        <w:r w:rsidR="00134D38">
          <w:rPr>
            <w:webHidden/>
          </w:rPr>
          <w:fldChar w:fldCharType="separate"/>
        </w:r>
        <w:r>
          <w:rPr>
            <w:webHidden/>
          </w:rPr>
          <w:t>55</w:t>
        </w:r>
        <w:r w:rsidR="00134D38">
          <w:rPr>
            <w:webHidden/>
          </w:rPr>
          <w:fldChar w:fldCharType="end"/>
        </w:r>
      </w:hyperlink>
    </w:p>
    <w:p w:rsidR="00134D38" w:rsidRDefault="00A35936">
      <w:pPr>
        <w:pStyle w:val="TOC2"/>
        <w:rPr>
          <w:rFonts w:asciiTheme="minorHAnsi" w:eastAsiaTheme="minorEastAsia" w:hAnsiTheme="minorHAnsi" w:cstheme="minorBidi"/>
          <w:bCs w:val="0"/>
          <w:snapToGrid/>
          <w:sz w:val="22"/>
          <w:szCs w:val="22"/>
          <w:lang w:eastAsia="en-AU"/>
        </w:rPr>
      </w:pPr>
      <w:hyperlink w:anchor="_Toc11845144" w:history="1">
        <w:r w:rsidR="00134D38" w:rsidRPr="00D9045E">
          <w:rPr>
            <w:rStyle w:val="Hyperlink"/>
          </w:rPr>
          <w:t>3.6  Rates Assistance</w:t>
        </w:r>
        <w:r w:rsidR="00134D38">
          <w:rPr>
            <w:webHidden/>
          </w:rPr>
          <w:tab/>
        </w:r>
        <w:r w:rsidR="00134D38">
          <w:rPr>
            <w:webHidden/>
          </w:rPr>
          <w:fldChar w:fldCharType="begin"/>
        </w:r>
        <w:r w:rsidR="00134D38">
          <w:rPr>
            <w:webHidden/>
          </w:rPr>
          <w:instrText xml:space="preserve"> PAGEREF _Toc11845144 \h </w:instrText>
        </w:r>
        <w:r w:rsidR="00134D38">
          <w:rPr>
            <w:webHidden/>
          </w:rPr>
        </w:r>
        <w:r w:rsidR="00134D38">
          <w:rPr>
            <w:webHidden/>
          </w:rPr>
          <w:fldChar w:fldCharType="separate"/>
        </w:r>
        <w:r>
          <w:rPr>
            <w:webHidden/>
          </w:rPr>
          <w:t>55</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45" w:history="1">
        <w:r w:rsidR="00134D38" w:rsidRPr="00D9045E">
          <w:rPr>
            <w:rStyle w:val="Hyperlink"/>
          </w:rPr>
          <w:t>Rebates – LGA section 169</w:t>
        </w:r>
        <w:r w:rsidR="00134D38">
          <w:rPr>
            <w:webHidden/>
          </w:rPr>
          <w:tab/>
        </w:r>
        <w:r w:rsidR="00134D38">
          <w:rPr>
            <w:webHidden/>
          </w:rPr>
          <w:fldChar w:fldCharType="begin"/>
        </w:r>
        <w:r w:rsidR="00134D38">
          <w:rPr>
            <w:webHidden/>
          </w:rPr>
          <w:instrText xml:space="preserve"> PAGEREF _Toc11845145 \h </w:instrText>
        </w:r>
        <w:r w:rsidR="00134D38">
          <w:rPr>
            <w:webHidden/>
          </w:rPr>
        </w:r>
        <w:r w:rsidR="00134D38">
          <w:rPr>
            <w:webHidden/>
          </w:rPr>
          <w:fldChar w:fldCharType="separate"/>
        </w:r>
        <w:r>
          <w:rPr>
            <w:webHidden/>
          </w:rPr>
          <w:t>56</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46" w:history="1">
        <w:r w:rsidR="00134D38" w:rsidRPr="00D9045E">
          <w:rPr>
            <w:rStyle w:val="Hyperlink"/>
          </w:rPr>
          <w:t>Charitable Housing</w:t>
        </w:r>
        <w:r w:rsidR="00134D38">
          <w:rPr>
            <w:webHidden/>
          </w:rPr>
          <w:tab/>
        </w:r>
        <w:r w:rsidR="00134D38">
          <w:rPr>
            <w:webHidden/>
          </w:rPr>
          <w:fldChar w:fldCharType="begin"/>
        </w:r>
        <w:r w:rsidR="00134D38">
          <w:rPr>
            <w:webHidden/>
          </w:rPr>
          <w:instrText xml:space="preserve"> PAGEREF _Toc11845146 \h </w:instrText>
        </w:r>
        <w:r w:rsidR="00134D38">
          <w:rPr>
            <w:webHidden/>
          </w:rPr>
        </w:r>
        <w:r w:rsidR="00134D38">
          <w:rPr>
            <w:webHidden/>
          </w:rPr>
          <w:fldChar w:fldCharType="separate"/>
        </w:r>
        <w:r>
          <w:rPr>
            <w:webHidden/>
          </w:rPr>
          <w:t>57</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47" w:history="1">
        <w:r w:rsidR="00134D38" w:rsidRPr="00D9045E">
          <w:rPr>
            <w:rStyle w:val="Hyperlink"/>
          </w:rPr>
          <w:t>Farm Rebate</w:t>
        </w:r>
        <w:r w:rsidR="00134D38">
          <w:rPr>
            <w:webHidden/>
          </w:rPr>
          <w:tab/>
        </w:r>
        <w:r w:rsidR="00134D38">
          <w:rPr>
            <w:webHidden/>
          </w:rPr>
          <w:fldChar w:fldCharType="begin"/>
        </w:r>
        <w:r w:rsidR="00134D38">
          <w:rPr>
            <w:webHidden/>
          </w:rPr>
          <w:instrText xml:space="preserve"> PAGEREF _Toc11845147 \h </w:instrText>
        </w:r>
        <w:r w:rsidR="00134D38">
          <w:rPr>
            <w:webHidden/>
          </w:rPr>
        </w:r>
        <w:r w:rsidR="00134D38">
          <w:rPr>
            <w:webHidden/>
          </w:rPr>
          <w:fldChar w:fldCharType="separate"/>
        </w:r>
        <w:r>
          <w:rPr>
            <w:webHidden/>
          </w:rPr>
          <w:t>58</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48" w:history="1">
        <w:r w:rsidR="00134D38" w:rsidRPr="00D9045E">
          <w:rPr>
            <w:rStyle w:val="Hyperlink"/>
          </w:rPr>
          <w:t>Farm Rates</w:t>
        </w:r>
        <w:r w:rsidR="00134D38">
          <w:rPr>
            <w:webHidden/>
          </w:rPr>
          <w:tab/>
        </w:r>
        <w:r w:rsidR="00134D38">
          <w:rPr>
            <w:webHidden/>
          </w:rPr>
          <w:fldChar w:fldCharType="begin"/>
        </w:r>
        <w:r w:rsidR="00134D38">
          <w:rPr>
            <w:webHidden/>
          </w:rPr>
          <w:instrText xml:space="preserve"> PAGEREF _Toc11845148 \h </w:instrText>
        </w:r>
        <w:r w:rsidR="00134D38">
          <w:rPr>
            <w:webHidden/>
          </w:rPr>
        </w:r>
        <w:r w:rsidR="00134D38">
          <w:rPr>
            <w:webHidden/>
          </w:rPr>
          <w:fldChar w:fldCharType="separate"/>
        </w:r>
        <w:r>
          <w:rPr>
            <w:webHidden/>
          </w:rPr>
          <w:t>58</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49" w:history="1">
        <w:r w:rsidR="00134D38" w:rsidRPr="00D9045E">
          <w:rPr>
            <w:rStyle w:val="Hyperlink"/>
          </w:rPr>
          <w:t>Cultural and Recreational Transitional Rebate</w:t>
        </w:r>
        <w:r w:rsidR="00134D38">
          <w:rPr>
            <w:webHidden/>
          </w:rPr>
          <w:tab/>
        </w:r>
        <w:r w:rsidR="00134D38">
          <w:rPr>
            <w:webHidden/>
          </w:rPr>
          <w:fldChar w:fldCharType="begin"/>
        </w:r>
        <w:r w:rsidR="00134D38">
          <w:rPr>
            <w:webHidden/>
          </w:rPr>
          <w:instrText xml:space="preserve"> PAGEREF _Toc11845149 \h </w:instrText>
        </w:r>
        <w:r w:rsidR="00134D38">
          <w:rPr>
            <w:webHidden/>
          </w:rPr>
        </w:r>
        <w:r w:rsidR="00134D38">
          <w:rPr>
            <w:webHidden/>
          </w:rPr>
          <w:fldChar w:fldCharType="separate"/>
        </w:r>
        <w:r>
          <w:rPr>
            <w:webHidden/>
          </w:rPr>
          <w:t>59</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50" w:history="1">
        <w:r w:rsidR="00134D38" w:rsidRPr="00D9045E">
          <w:rPr>
            <w:rStyle w:val="Hyperlink"/>
          </w:rPr>
          <w:t>Pensioner Rebates</w:t>
        </w:r>
        <w:r w:rsidR="00134D38">
          <w:rPr>
            <w:webHidden/>
          </w:rPr>
          <w:tab/>
        </w:r>
        <w:r w:rsidR="00134D38">
          <w:rPr>
            <w:webHidden/>
          </w:rPr>
          <w:fldChar w:fldCharType="begin"/>
        </w:r>
        <w:r w:rsidR="00134D38">
          <w:rPr>
            <w:webHidden/>
          </w:rPr>
          <w:instrText xml:space="preserve"> PAGEREF _Toc11845150 \h </w:instrText>
        </w:r>
        <w:r w:rsidR="00134D38">
          <w:rPr>
            <w:webHidden/>
          </w:rPr>
        </w:r>
        <w:r w:rsidR="00134D38">
          <w:rPr>
            <w:webHidden/>
          </w:rPr>
          <w:fldChar w:fldCharType="separate"/>
        </w:r>
        <w:r>
          <w:rPr>
            <w:webHidden/>
          </w:rPr>
          <w:t>59</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51" w:history="1">
        <w:r w:rsidR="00134D38" w:rsidRPr="00D9045E">
          <w:rPr>
            <w:rStyle w:val="Hyperlink"/>
          </w:rPr>
          <w:t>Waivers – LGA section 171</w:t>
        </w:r>
        <w:r w:rsidR="00134D38">
          <w:rPr>
            <w:webHidden/>
          </w:rPr>
          <w:tab/>
        </w:r>
        <w:r w:rsidR="00134D38">
          <w:rPr>
            <w:webHidden/>
          </w:rPr>
          <w:fldChar w:fldCharType="begin"/>
        </w:r>
        <w:r w:rsidR="00134D38">
          <w:rPr>
            <w:webHidden/>
          </w:rPr>
          <w:instrText xml:space="preserve"> PAGEREF _Toc11845151 \h </w:instrText>
        </w:r>
        <w:r w:rsidR="00134D38">
          <w:rPr>
            <w:webHidden/>
          </w:rPr>
        </w:r>
        <w:r w:rsidR="00134D38">
          <w:rPr>
            <w:webHidden/>
          </w:rPr>
          <w:fldChar w:fldCharType="separate"/>
        </w:r>
        <w:r>
          <w:rPr>
            <w:webHidden/>
          </w:rPr>
          <w:t>60</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52" w:history="1">
        <w:r w:rsidR="00134D38" w:rsidRPr="00D9045E">
          <w:rPr>
            <w:rStyle w:val="Hyperlink"/>
          </w:rPr>
          <w:t>Housing Support Waiver</w:t>
        </w:r>
        <w:r w:rsidR="00134D38">
          <w:rPr>
            <w:webHidden/>
          </w:rPr>
          <w:tab/>
        </w:r>
        <w:r w:rsidR="00134D38">
          <w:rPr>
            <w:webHidden/>
          </w:rPr>
          <w:fldChar w:fldCharType="begin"/>
        </w:r>
        <w:r w:rsidR="00134D38">
          <w:rPr>
            <w:webHidden/>
          </w:rPr>
          <w:instrText xml:space="preserve"> PAGEREF _Toc11845152 \h </w:instrText>
        </w:r>
        <w:r w:rsidR="00134D38">
          <w:rPr>
            <w:webHidden/>
          </w:rPr>
        </w:r>
        <w:r w:rsidR="00134D38">
          <w:rPr>
            <w:webHidden/>
          </w:rPr>
          <w:fldChar w:fldCharType="separate"/>
        </w:r>
        <w:r>
          <w:rPr>
            <w:webHidden/>
          </w:rPr>
          <w:t>60</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53" w:history="1">
        <w:r w:rsidR="00134D38" w:rsidRPr="00D9045E">
          <w:rPr>
            <w:rStyle w:val="Hyperlink"/>
          </w:rPr>
          <w:t>Rates Assistance Waiver</w:t>
        </w:r>
        <w:r w:rsidR="00134D38">
          <w:rPr>
            <w:webHidden/>
          </w:rPr>
          <w:tab/>
        </w:r>
        <w:r w:rsidR="00134D38">
          <w:rPr>
            <w:webHidden/>
          </w:rPr>
          <w:fldChar w:fldCharType="begin"/>
        </w:r>
        <w:r w:rsidR="00134D38">
          <w:rPr>
            <w:webHidden/>
          </w:rPr>
          <w:instrText xml:space="preserve"> PAGEREF _Toc11845153 \h </w:instrText>
        </w:r>
        <w:r w:rsidR="00134D38">
          <w:rPr>
            <w:webHidden/>
          </w:rPr>
        </w:r>
        <w:r w:rsidR="00134D38">
          <w:rPr>
            <w:webHidden/>
          </w:rPr>
          <w:fldChar w:fldCharType="separate"/>
        </w:r>
        <w:r>
          <w:rPr>
            <w:webHidden/>
          </w:rPr>
          <w:t>61</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54" w:history="1">
        <w:r w:rsidR="00134D38" w:rsidRPr="00D9045E">
          <w:rPr>
            <w:rStyle w:val="Hyperlink"/>
          </w:rPr>
          <w:t>New Corio Estate (Inappropriate Subdivision) Waiver</w:t>
        </w:r>
        <w:r w:rsidR="00134D38">
          <w:rPr>
            <w:webHidden/>
          </w:rPr>
          <w:tab/>
        </w:r>
        <w:r w:rsidR="00134D38">
          <w:rPr>
            <w:webHidden/>
          </w:rPr>
          <w:fldChar w:fldCharType="begin"/>
        </w:r>
        <w:r w:rsidR="00134D38">
          <w:rPr>
            <w:webHidden/>
          </w:rPr>
          <w:instrText xml:space="preserve"> PAGEREF _Toc11845154 \h </w:instrText>
        </w:r>
        <w:r w:rsidR="00134D38">
          <w:rPr>
            <w:webHidden/>
          </w:rPr>
        </w:r>
        <w:r w:rsidR="00134D38">
          <w:rPr>
            <w:webHidden/>
          </w:rPr>
          <w:fldChar w:fldCharType="separate"/>
        </w:r>
        <w:r>
          <w:rPr>
            <w:webHidden/>
          </w:rPr>
          <w:t>63</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55" w:history="1">
        <w:r w:rsidR="00134D38" w:rsidRPr="00D9045E">
          <w:rPr>
            <w:rStyle w:val="Hyperlink"/>
          </w:rPr>
          <w:t>Deferral of Rates - LGA section 170</w:t>
        </w:r>
        <w:r w:rsidR="00134D38">
          <w:rPr>
            <w:webHidden/>
          </w:rPr>
          <w:tab/>
        </w:r>
        <w:r w:rsidR="00134D38">
          <w:rPr>
            <w:webHidden/>
          </w:rPr>
          <w:fldChar w:fldCharType="begin"/>
        </w:r>
        <w:r w:rsidR="00134D38">
          <w:rPr>
            <w:webHidden/>
          </w:rPr>
          <w:instrText xml:space="preserve"> PAGEREF _Toc11845155 \h </w:instrText>
        </w:r>
        <w:r w:rsidR="00134D38">
          <w:rPr>
            <w:webHidden/>
          </w:rPr>
        </w:r>
        <w:r w:rsidR="00134D38">
          <w:rPr>
            <w:webHidden/>
          </w:rPr>
          <w:fldChar w:fldCharType="separate"/>
        </w:r>
        <w:r>
          <w:rPr>
            <w:webHidden/>
          </w:rPr>
          <w:t>64</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56" w:history="1">
        <w:r w:rsidR="00134D38" w:rsidRPr="00D9045E">
          <w:rPr>
            <w:rStyle w:val="Hyperlink"/>
          </w:rPr>
          <w:t>Assistance to Individuals</w:t>
        </w:r>
        <w:r w:rsidR="00134D38">
          <w:rPr>
            <w:webHidden/>
          </w:rPr>
          <w:tab/>
        </w:r>
        <w:r w:rsidR="00134D38">
          <w:rPr>
            <w:webHidden/>
          </w:rPr>
          <w:fldChar w:fldCharType="begin"/>
        </w:r>
        <w:r w:rsidR="00134D38">
          <w:rPr>
            <w:webHidden/>
          </w:rPr>
          <w:instrText xml:space="preserve"> PAGEREF _Toc11845156 \h </w:instrText>
        </w:r>
        <w:r w:rsidR="00134D38">
          <w:rPr>
            <w:webHidden/>
          </w:rPr>
        </w:r>
        <w:r w:rsidR="00134D38">
          <w:rPr>
            <w:webHidden/>
          </w:rPr>
          <w:fldChar w:fldCharType="separate"/>
        </w:r>
        <w:r>
          <w:rPr>
            <w:webHidden/>
          </w:rPr>
          <w:t>64</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57" w:history="1">
        <w:r w:rsidR="00134D38" w:rsidRPr="00D9045E">
          <w:rPr>
            <w:rStyle w:val="Hyperlink"/>
          </w:rPr>
          <w:t>Bushfire Relief</w:t>
        </w:r>
        <w:r w:rsidR="00134D38">
          <w:rPr>
            <w:webHidden/>
          </w:rPr>
          <w:tab/>
        </w:r>
        <w:r w:rsidR="00134D38">
          <w:rPr>
            <w:webHidden/>
          </w:rPr>
          <w:fldChar w:fldCharType="begin"/>
        </w:r>
        <w:r w:rsidR="00134D38">
          <w:rPr>
            <w:webHidden/>
          </w:rPr>
          <w:instrText xml:space="preserve"> PAGEREF _Toc11845157 \h </w:instrText>
        </w:r>
        <w:r w:rsidR="00134D38">
          <w:rPr>
            <w:webHidden/>
          </w:rPr>
        </w:r>
        <w:r w:rsidR="00134D38">
          <w:rPr>
            <w:webHidden/>
          </w:rPr>
          <w:fldChar w:fldCharType="separate"/>
        </w:r>
        <w:r>
          <w:rPr>
            <w:webHidden/>
          </w:rPr>
          <w:t>65</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58" w:history="1">
        <w:r w:rsidR="00134D38" w:rsidRPr="00D9045E">
          <w:rPr>
            <w:rStyle w:val="Hyperlink"/>
          </w:rPr>
          <w:t>Drought Assistance</w:t>
        </w:r>
        <w:r w:rsidR="00134D38">
          <w:rPr>
            <w:webHidden/>
          </w:rPr>
          <w:tab/>
        </w:r>
        <w:r w:rsidR="00134D38">
          <w:rPr>
            <w:webHidden/>
          </w:rPr>
          <w:fldChar w:fldCharType="begin"/>
        </w:r>
        <w:r w:rsidR="00134D38">
          <w:rPr>
            <w:webHidden/>
          </w:rPr>
          <w:instrText xml:space="preserve"> PAGEREF _Toc11845158 \h </w:instrText>
        </w:r>
        <w:r w:rsidR="00134D38">
          <w:rPr>
            <w:webHidden/>
          </w:rPr>
        </w:r>
        <w:r w:rsidR="00134D38">
          <w:rPr>
            <w:webHidden/>
          </w:rPr>
          <w:fldChar w:fldCharType="separate"/>
        </w:r>
        <w:r>
          <w:rPr>
            <w:webHidden/>
          </w:rPr>
          <w:t>66</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59" w:history="1">
        <w:r w:rsidR="00134D38" w:rsidRPr="00D9045E">
          <w:rPr>
            <w:rStyle w:val="Hyperlink"/>
          </w:rPr>
          <w:t>Community Grants</w:t>
        </w:r>
        <w:r w:rsidR="00134D38">
          <w:rPr>
            <w:webHidden/>
          </w:rPr>
          <w:tab/>
        </w:r>
        <w:r w:rsidR="00134D38">
          <w:rPr>
            <w:webHidden/>
          </w:rPr>
          <w:fldChar w:fldCharType="begin"/>
        </w:r>
        <w:r w:rsidR="00134D38">
          <w:rPr>
            <w:webHidden/>
          </w:rPr>
          <w:instrText xml:space="preserve"> PAGEREF _Toc11845159 \h </w:instrText>
        </w:r>
        <w:r w:rsidR="00134D38">
          <w:rPr>
            <w:webHidden/>
          </w:rPr>
        </w:r>
        <w:r w:rsidR="00134D38">
          <w:rPr>
            <w:webHidden/>
          </w:rPr>
          <w:fldChar w:fldCharType="separate"/>
        </w:r>
        <w:r>
          <w:rPr>
            <w:webHidden/>
          </w:rPr>
          <w:t>66</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60" w:history="1">
        <w:r w:rsidR="00134D38" w:rsidRPr="00D9045E">
          <w:rPr>
            <w:rStyle w:val="Hyperlink"/>
          </w:rPr>
          <w:t>Exemptions from Rating</w:t>
        </w:r>
        <w:r w:rsidR="00134D38">
          <w:rPr>
            <w:webHidden/>
          </w:rPr>
          <w:tab/>
        </w:r>
        <w:r w:rsidR="00134D38">
          <w:rPr>
            <w:webHidden/>
          </w:rPr>
          <w:fldChar w:fldCharType="begin"/>
        </w:r>
        <w:r w:rsidR="00134D38">
          <w:rPr>
            <w:webHidden/>
          </w:rPr>
          <w:instrText xml:space="preserve"> PAGEREF _Toc11845160 \h </w:instrText>
        </w:r>
        <w:r w:rsidR="00134D38">
          <w:rPr>
            <w:webHidden/>
          </w:rPr>
        </w:r>
        <w:r w:rsidR="00134D38">
          <w:rPr>
            <w:webHidden/>
          </w:rPr>
          <w:fldChar w:fldCharType="separate"/>
        </w:r>
        <w:r>
          <w:rPr>
            <w:webHidden/>
          </w:rPr>
          <w:t>66</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61" w:history="1">
        <w:r w:rsidR="00134D38" w:rsidRPr="00D9045E">
          <w:rPr>
            <w:rStyle w:val="Hyperlink"/>
          </w:rPr>
          <w:t>Charitable and Not-for-Profit Organisations</w:t>
        </w:r>
        <w:r w:rsidR="00134D38">
          <w:rPr>
            <w:webHidden/>
          </w:rPr>
          <w:tab/>
        </w:r>
        <w:r w:rsidR="00134D38">
          <w:rPr>
            <w:webHidden/>
          </w:rPr>
          <w:fldChar w:fldCharType="begin"/>
        </w:r>
        <w:r w:rsidR="00134D38">
          <w:rPr>
            <w:webHidden/>
          </w:rPr>
          <w:instrText xml:space="preserve"> PAGEREF _Toc11845161 \h </w:instrText>
        </w:r>
        <w:r w:rsidR="00134D38">
          <w:rPr>
            <w:webHidden/>
          </w:rPr>
        </w:r>
        <w:r w:rsidR="00134D38">
          <w:rPr>
            <w:webHidden/>
          </w:rPr>
          <w:fldChar w:fldCharType="separate"/>
        </w:r>
        <w:r>
          <w:rPr>
            <w:webHidden/>
          </w:rPr>
          <w:t>66</w:t>
        </w:r>
        <w:r w:rsidR="00134D38">
          <w:rPr>
            <w:webHidden/>
          </w:rPr>
          <w:fldChar w:fldCharType="end"/>
        </w:r>
      </w:hyperlink>
    </w:p>
    <w:p w:rsidR="00134D38" w:rsidRDefault="00A35936">
      <w:pPr>
        <w:pStyle w:val="TOC3"/>
        <w:rPr>
          <w:rFonts w:asciiTheme="minorHAnsi" w:eastAsiaTheme="minorEastAsia" w:hAnsiTheme="minorHAnsi" w:cstheme="minorBidi"/>
          <w:iCs w:val="0"/>
          <w:szCs w:val="22"/>
          <w:lang w:eastAsia="en-AU"/>
        </w:rPr>
      </w:pPr>
      <w:hyperlink w:anchor="_Toc11845162" w:history="1">
        <w:r w:rsidR="00134D38" w:rsidRPr="00D9045E">
          <w:rPr>
            <w:rStyle w:val="Hyperlink"/>
          </w:rPr>
          <w:t>Fire Services Property Levy (FSPL)</w:t>
        </w:r>
        <w:r w:rsidR="00134D38">
          <w:rPr>
            <w:webHidden/>
          </w:rPr>
          <w:tab/>
        </w:r>
        <w:r w:rsidR="00134D38">
          <w:rPr>
            <w:webHidden/>
          </w:rPr>
          <w:fldChar w:fldCharType="begin"/>
        </w:r>
        <w:r w:rsidR="00134D38">
          <w:rPr>
            <w:webHidden/>
          </w:rPr>
          <w:instrText xml:space="preserve"> PAGEREF _Toc11845162 \h </w:instrText>
        </w:r>
        <w:r w:rsidR="00134D38">
          <w:rPr>
            <w:webHidden/>
          </w:rPr>
        </w:r>
        <w:r w:rsidR="00134D38">
          <w:rPr>
            <w:webHidden/>
          </w:rPr>
          <w:fldChar w:fldCharType="separate"/>
        </w:r>
        <w:r>
          <w:rPr>
            <w:webHidden/>
          </w:rPr>
          <w:t>67</w:t>
        </w:r>
        <w:r w:rsidR="00134D38">
          <w:rPr>
            <w:webHidden/>
          </w:rPr>
          <w:fldChar w:fldCharType="end"/>
        </w:r>
      </w:hyperlink>
    </w:p>
    <w:p w:rsidR="00134D38" w:rsidRDefault="00A35936">
      <w:pPr>
        <w:pStyle w:val="TOC1"/>
        <w:rPr>
          <w:rFonts w:asciiTheme="minorHAnsi" w:eastAsiaTheme="minorEastAsia" w:hAnsiTheme="minorHAnsi" w:cstheme="minorBidi"/>
          <w:bCs w:val="0"/>
          <w:caps w:val="0"/>
          <w:snapToGrid/>
          <w:sz w:val="22"/>
          <w:szCs w:val="22"/>
          <w:lang w:eastAsia="en-AU"/>
        </w:rPr>
      </w:pPr>
      <w:hyperlink w:anchor="_Toc11845163" w:history="1">
        <w:r w:rsidR="00134D38" w:rsidRPr="00D9045E">
          <w:rPr>
            <w:rStyle w:val="Hyperlink"/>
          </w:rPr>
          <w:t>4.  Bibliography</w:t>
        </w:r>
        <w:r w:rsidR="00134D38">
          <w:rPr>
            <w:webHidden/>
          </w:rPr>
          <w:tab/>
        </w:r>
        <w:r w:rsidR="00134D38">
          <w:rPr>
            <w:webHidden/>
          </w:rPr>
          <w:fldChar w:fldCharType="begin"/>
        </w:r>
        <w:r w:rsidR="00134D38">
          <w:rPr>
            <w:webHidden/>
          </w:rPr>
          <w:instrText xml:space="preserve"> PAGEREF _Toc11845163 \h </w:instrText>
        </w:r>
        <w:r w:rsidR="00134D38">
          <w:rPr>
            <w:webHidden/>
          </w:rPr>
        </w:r>
        <w:r w:rsidR="00134D38">
          <w:rPr>
            <w:webHidden/>
          </w:rPr>
          <w:fldChar w:fldCharType="separate"/>
        </w:r>
        <w:r>
          <w:rPr>
            <w:webHidden/>
          </w:rPr>
          <w:t>69</w:t>
        </w:r>
        <w:r w:rsidR="00134D38">
          <w:rPr>
            <w:webHidden/>
          </w:rPr>
          <w:fldChar w:fldCharType="end"/>
        </w:r>
      </w:hyperlink>
    </w:p>
    <w:p w:rsidR="001D3ABF" w:rsidRPr="000C05BA" w:rsidRDefault="00CA263C" w:rsidP="005167B1">
      <w:pPr>
        <w:pStyle w:val="TOC2"/>
        <w:rPr>
          <w:lang w:val="en-US" w:eastAsia="en-AU"/>
        </w:rPr>
      </w:pPr>
      <w:r w:rsidRPr="00E60EA6">
        <w:rPr>
          <w:rStyle w:val="Hyperlink"/>
          <w:bCs w:val="0"/>
          <w:color w:val="000000"/>
          <w:u w:val="none"/>
        </w:rPr>
        <w:fldChar w:fldCharType="end"/>
      </w:r>
      <w:r w:rsidR="00BA4451" w:rsidRPr="000C05BA">
        <w:rPr>
          <w:lang w:val="en-US" w:eastAsia="en-AU"/>
        </w:rPr>
        <w:t>ATTACHMENTS</w:t>
      </w:r>
    </w:p>
    <w:p w:rsidR="00C21839" w:rsidRDefault="000C05BA">
      <w:pPr>
        <w:pStyle w:val="BodyText"/>
      </w:pPr>
      <w:r w:rsidRPr="00D7045C">
        <w:t xml:space="preserve">Attachment </w:t>
      </w:r>
      <w:r w:rsidR="0055022C">
        <w:t>1</w:t>
      </w:r>
      <w:r w:rsidRPr="00D7045C">
        <w:t xml:space="preserve">: Statutory Information on Rates </w:t>
      </w:r>
      <w:r w:rsidR="008B229D">
        <w:t>2019-20</w:t>
      </w:r>
    </w:p>
    <w:p w:rsidR="00D7045C" w:rsidRPr="00D7045C" w:rsidRDefault="00D7045C">
      <w:pPr>
        <w:pStyle w:val="BodyText"/>
      </w:pPr>
      <w:r>
        <w:t xml:space="preserve">Attachment </w:t>
      </w:r>
      <w:r w:rsidR="0055022C">
        <w:t>2</w:t>
      </w:r>
      <w:r>
        <w:t>: Revaluation Schedules</w:t>
      </w:r>
    </w:p>
    <w:p w:rsidR="00F462EA" w:rsidRDefault="00862E6E">
      <w:pPr>
        <w:pStyle w:val="BodyText"/>
      </w:pPr>
      <w:r w:rsidRPr="00BA5D86">
        <w:t xml:space="preserve">Attachment </w:t>
      </w:r>
      <w:r w:rsidR="0055022C">
        <w:t>3</w:t>
      </w:r>
      <w:r w:rsidRPr="00BA5D86">
        <w:t xml:space="preserve">: </w:t>
      </w:r>
      <w:r w:rsidR="00FD11ED" w:rsidRPr="00BA5D86">
        <w:t>Rating Policy</w:t>
      </w:r>
      <w:r w:rsidR="000C05BA" w:rsidRPr="00BA5D86">
        <w:t xml:space="preserve"> – Council </w:t>
      </w:r>
      <w:r w:rsidR="00FD11ED" w:rsidRPr="00BA5D86">
        <w:t>Rates</w:t>
      </w:r>
    </w:p>
    <w:p w:rsidR="0055022C" w:rsidRDefault="0055022C">
      <w:pPr>
        <w:pStyle w:val="BodyText"/>
      </w:pPr>
      <w:r w:rsidRPr="00BA5D86">
        <w:t xml:space="preserve">Attachment </w:t>
      </w:r>
      <w:r>
        <w:t>4</w:t>
      </w:r>
      <w:r w:rsidRPr="00BA5D86">
        <w:t>: Historic Overview of Annual Rating Strategy Decisions</w:t>
      </w:r>
    </w:p>
    <w:p w:rsidR="00030019" w:rsidRPr="00D576C5" w:rsidRDefault="00030019">
      <w:pPr>
        <w:pStyle w:val="BodyText"/>
        <w:sectPr w:rsidR="00030019" w:rsidRPr="00D576C5" w:rsidSect="005167B1">
          <w:type w:val="nextColumn"/>
          <w:pgSz w:w="11906" w:h="16838" w:code="9"/>
          <w:pgMar w:top="1134" w:right="1418" w:bottom="1560" w:left="1985" w:header="720" w:footer="454" w:gutter="0"/>
          <w:cols w:space="720"/>
        </w:sectPr>
      </w:pPr>
    </w:p>
    <w:p w:rsidR="0087430D" w:rsidRPr="005E5E27" w:rsidRDefault="00890446" w:rsidP="0075415F">
      <w:pPr>
        <w:pStyle w:val="Heading2"/>
      </w:pPr>
      <w:bookmarkStart w:id="0" w:name="_Toc167692724"/>
      <w:bookmarkStart w:id="1" w:name="_Toc260749430"/>
      <w:bookmarkStart w:id="2" w:name="_Toc292369478"/>
      <w:bookmarkStart w:id="3" w:name="_Toc355947422"/>
      <w:bookmarkStart w:id="4" w:name="_Toc355947694"/>
      <w:bookmarkStart w:id="5" w:name="_Toc356202535"/>
      <w:bookmarkStart w:id="6" w:name="_Toc356202868"/>
      <w:bookmarkStart w:id="7" w:name="_Toc403114368"/>
      <w:bookmarkStart w:id="8" w:name="_Toc11845096"/>
      <w:bookmarkStart w:id="9" w:name="_Toc260749414"/>
      <w:bookmarkStart w:id="10" w:name="_Ref292363214"/>
      <w:bookmarkStart w:id="11" w:name="_Toc64258341"/>
      <w:bookmarkStart w:id="12" w:name="_Toc64276804"/>
      <w:r>
        <w:lastRenderedPageBreak/>
        <w:t xml:space="preserve">1. </w:t>
      </w:r>
      <w:r w:rsidR="000C05BA">
        <w:t xml:space="preserve"> </w:t>
      </w:r>
      <w:r w:rsidR="0087430D" w:rsidRPr="005E5E27">
        <w:t>Rating Framework</w:t>
      </w:r>
      <w:bookmarkEnd w:id="0"/>
      <w:bookmarkEnd w:id="1"/>
      <w:bookmarkEnd w:id="2"/>
      <w:bookmarkEnd w:id="3"/>
      <w:bookmarkEnd w:id="4"/>
      <w:bookmarkEnd w:id="5"/>
      <w:bookmarkEnd w:id="6"/>
      <w:bookmarkEnd w:id="7"/>
      <w:bookmarkEnd w:id="8"/>
    </w:p>
    <w:p w:rsidR="0087430D" w:rsidRPr="005E5E27" w:rsidRDefault="0087430D" w:rsidP="00E7196F">
      <w:pPr>
        <w:pStyle w:val="Heading3A"/>
      </w:pPr>
      <w:bookmarkStart w:id="13" w:name="_Toc355947695"/>
      <w:bookmarkStart w:id="14" w:name="_Toc167692725"/>
      <w:bookmarkStart w:id="15" w:name="_Toc260749431"/>
      <w:r w:rsidRPr="00890446">
        <w:t>Introduction</w:t>
      </w:r>
      <w:bookmarkEnd w:id="13"/>
    </w:p>
    <w:p w:rsidR="0087430D" w:rsidRPr="00F33F45" w:rsidRDefault="0087430D">
      <w:pPr>
        <w:pStyle w:val="BodyText"/>
      </w:pPr>
      <w:r w:rsidRPr="00F33F45">
        <w:t xml:space="preserve">The rating framework is set down in the </w:t>
      </w:r>
      <w:r w:rsidRPr="005167B1">
        <w:rPr>
          <w:i/>
        </w:rPr>
        <w:t>Local Government Act 1989</w:t>
      </w:r>
      <w:r w:rsidRPr="00F33F45">
        <w:t xml:space="preserve"> and determines a council’s ability to develop a rating system. The framework provides considerable flexibility to suit requirements within the context of public finance methodology which includes principles of equity, benefit, efficiency and community resource allocation.</w:t>
      </w:r>
    </w:p>
    <w:p w:rsidR="0087430D" w:rsidRPr="00890446" w:rsidRDefault="0087430D" w:rsidP="00E7196F">
      <w:pPr>
        <w:pStyle w:val="Heading3A"/>
      </w:pPr>
      <w:bookmarkStart w:id="16" w:name="_Toc355947696"/>
      <w:bookmarkStart w:id="17" w:name="_Toc356202536"/>
      <w:bookmarkStart w:id="18" w:name="_Toc356202869"/>
      <w:r w:rsidRPr="00890446">
        <w:t>Context</w:t>
      </w:r>
      <w:bookmarkEnd w:id="14"/>
      <w:bookmarkEnd w:id="15"/>
      <w:bookmarkEnd w:id="16"/>
      <w:bookmarkEnd w:id="17"/>
      <w:bookmarkEnd w:id="18"/>
    </w:p>
    <w:p w:rsidR="0087430D" w:rsidRPr="00F66B99" w:rsidRDefault="004E6CF2">
      <w:pPr>
        <w:pStyle w:val="BodyText"/>
      </w:pPr>
      <w:r>
        <w:t>Council</w:t>
      </w:r>
      <w:r w:rsidR="00C06631" w:rsidRPr="00F66B99">
        <w:t xml:space="preserve"> </w:t>
      </w:r>
      <w:r w:rsidR="0087430D" w:rsidRPr="00F66B99">
        <w:t>has a duty to continue to review and refine the impact of its major decisions.</w:t>
      </w:r>
    </w:p>
    <w:p w:rsidR="0087430D" w:rsidRDefault="0087430D">
      <w:pPr>
        <w:pStyle w:val="BodyText"/>
      </w:pPr>
      <w:r w:rsidRPr="00F66B99">
        <w:t xml:space="preserve">It is incumbent upon </w:t>
      </w:r>
      <w:r w:rsidR="009A58DA">
        <w:t>the City</w:t>
      </w:r>
      <w:r w:rsidR="00FB297D">
        <w:t xml:space="preserve"> of Greater Geelong</w:t>
      </w:r>
      <w:r w:rsidR="009A58DA" w:rsidRPr="00F66B99">
        <w:t xml:space="preserve"> </w:t>
      </w:r>
      <w:r w:rsidRPr="00F66B99">
        <w:t xml:space="preserve">to regularly evaluate the current rating system to ensure it best satisfies the legislative objectives </w:t>
      </w:r>
      <w:r w:rsidR="00027728">
        <w:t xml:space="preserve">and the Ministerial Guidelines </w:t>
      </w:r>
      <w:r w:rsidRPr="00F66B99">
        <w:t>to which it must have regard</w:t>
      </w:r>
      <w:r w:rsidR="00027728">
        <w:t>.</w:t>
      </w:r>
      <w:r w:rsidRPr="00F66B99">
        <w:t xml:space="preserve"> </w:t>
      </w:r>
      <w:r w:rsidR="00027728">
        <w:t>O</w:t>
      </w:r>
      <w:r w:rsidRPr="00F66B99">
        <w:t xml:space="preserve">ther objectives including ratepayer satisfaction, which </w:t>
      </w:r>
      <w:r w:rsidR="009A58DA">
        <w:t>the City</w:t>
      </w:r>
      <w:r w:rsidR="009A58DA" w:rsidRPr="00F66B99">
        <w:t xml:space="preserve"> </w:t>
      </w:r>
      <w:r w:rsidRPr="00F66B99">
        <w:t xml:space="preserve">believes, </w:t>
      </w:r>
      <w:r w:rsidR="00027728">
        <w:t>is</w:t>
      </w:r>
      <w:r w:rsidR="00027728" w:rsidRPr="00F66B99">
        <w:t xml:space="preserve"> </w:t>
      </w:r>
      <w:r w:rsidRPr="00F66B99">
        <w:t xml:space="preserve">relevant. </w:t>
      </w:r>
    </w:p>
    <w:p w:rsidR="00702F3B" w:rsidRDefault="00702F3B">
      <w:pPr>
        <w:pStyle w:val="BodyText"/>
      </w:pPr>
      <w:r>
        <w:t xml:space="preserve">The </w:t>
      </w:r>
      <w:r w:rsidRPr="005167B1">
        <w:rPr>
          <w:i/>
        </w:rPr>
        <w:t>Local Government Act 1989</w:t>
      </w:r>
      <w:r>
        <w:t xml:space="preserve"> </w:t>
      </w:r>
      <w:r w:rsidR="00C3581A">
        <w:t xml:space="preserve"> </w:t>
      </w:r>
      <w:r>
        <w:t xml:space="preserve">was amended </w:t>
      </w:r>
      <w:r w:rsidR="00834022">
        <w:t xml:space="preserve">in December 2015 </w:t>
      </w:r>
      <w:r>
        <w:t xml:space="preserve">to include </w:t>
      </w:r>
      <w:r w:rsidR="00E86B96">
        <w:t xml:space="preserve">Part </w:t>
      </w:r>
      <w:r>
        <w:t xml:space="preserve">8A – Rate Caps, </w:t>
      </w:r>
      <w:r w:rsidR="009A58DA">
        <w:t xml:space="preserve">sections </w:t>
      </w:r>
      <w:r>
        <w:t>185A to 185G to promote the long term interests of ratepayers and the community in relation to sustainable outcomes in the delivery of services and infrastructure.</w:t>
      </w:r>
    </w:p>
    <w:p w:rsidR="00B964C0" w:rsidRPr="00F33F45" w:rsidRDefault="00B964C0">
      <w:pPr>
        <w:pStyle w:val="BodyText"/>
      </w:pPr>
      <w:r w:rsidRPr="00F33F45">
        <w:t xml:space="preserve">The Minister for Local Government announced on </w:t>
      </w:r>
      <w:r w:rsidR="008B229D">
        <w:t>20</w:t>
      </w:r>
      <w:r w:rsidR="008B229D" w:rsidRPr="00F33F45">
        <w:t xml:space="preserve"> </w:t>
      </w:r>
      <w:r w:rsidRPr="00F33F45">
        <w:t xml:space="preserve">December </w:t>
      </w:r>
      <w:r w:rsidR="008B229D" w:rsidRPr="00F33F45">
        <w:t>201</w:t>
      </w:r>
      <w:r w:rsidR="008B229D">
        <w:t>8</w:t>
      </w:r>
      <w:r w:rsidR="008B229D" w:rsidRPr="00F33F45">
        <w:t xml:space="preserve"> </w:t>
      </w:r>
      <w:r w:rsidR="00B13095">
        <w:t xml:space="preserve">under section 185D(1) of the LGA </w:t>
      </w:r>
      <w:r w:rsidRPr="00F33F45">
        <w:t xml:space="preserve">that the </w:t>
      </w:r>
      <w:r w:rsidR="008B229D">
        <w:t>2019-20</w:t>
      </w:r>
      <w:r w:rsidR="00794D71" w:rsidRPr="00F33F45">
        <w:t xml:space="preserve"> </w:t>
      </w:r>
      <w:r w:rsidRPr="00F33F45">
        <w:t>rate cap would be 2.</w:t>
      </w:r>
      <w:r w:rsidR="008B229D">
        <w:t>5</w:t>
      </w:r>
      <w:r w:rsidRPr="00F33F45">
        <w:t xml:space="preserve">% for all Victorian </w:t>
      </w:r>
      <w:r w:rsidR="00FB297D">
        <w:t>c</w:t>
      </w:r>
      <w:r w:rsidR="00FB297D" w:rsidRPr="00F33F45">
        <w:t>ouncils</w:t>
      </w:r>
      <w:r w:rsidRPr="00F33F45">
        <w:t xml:space="preserve">. </w:t>
      </w:r>
    </w:p>
    <w:p w:rsidR="00B964C0" w:rsidRPr="00F33F45" w:rsidRDefault="00B964C0">
      <w:pPr>
        <w:pStyle w:val="BodyText"/>
      </w:pPr>
      <w:r w:rsidRPr="00F33F45">
        <w:t xml:space="preserve">Not all </w:t>
      </w:r>
      <w:r w:rsidR="009A58DA">
        <w:t>c</w:t>
      </w:r>
      <w:r w:rsidR="009A58DA" w:rsidRPr="00F33F45">
        <w:t xml:space="preserve">ouncil </w:t>
      </w:r>
      <w:r w:rsidRPr="00F33F45">
        <w:t>charges are included in the rate cap calculation.</w:t>
      </w:r>
    </w:p>
    <w:p w:rsidR="00A23966" w:rsidRDefault="00B964C0" w:rsidP="005167B1">
      <w:pPr>
        <w:pStyle w:val="Bullet1"/>
      </w:pPr>
      <w:r w:rsidRPr="00F33F45">
        <w:t>Rates and the Municipal Charge are included in the rate cap calculation.</w:t>
      </w:r>
    </w:p>
    <w:p w:rsidR="00A23966" w:rsidRDefault="00B964C0">
      <w:pPr>
        <w:pStyle w:val="Bullet1"/>
      </w:pPr>
      <w:r w:rsidRPr="00F33F45">
        <w:t>The Waste charge and the Fire Services Property Levy are not included in the rate cap calculation.</w:t>
      </w:r>
    </w:p>
    <w:p w:rsidR="0013063B" w:rsidRDefault="0013063B">
      <w:pPr>
        <w:pStyle w:val="BodyText"/>
      </w:pPr>
      <w:r>
        <w:t xml:space="preserve">The </w:t>
      </w:r>
      <w:r w:rsidR="008B229D">
        <w:t>2018-19</w:t>
      </w:r>
      <w:r w:rsidR="00794D71">
        <w:t xml:space="preserve"> </w:t>
      </w:r>
      <w:r>
        <w:t>base average rate is calculated at $</w:t>
      </w:r>
      <w:r w:rsidR="008B229D">
        <w:t>1,</w:t>
      </w:r>
      <w:r w:rsidR="00103FBB">
        <w:t>557.54</w:t>
      </w:r>
      <w:r>
        <w:t xml:space="preserve"> and the </w:t>
      </w:r>
      <w:r w:rsidR="008B229D">
        <w:t>2019-20</w:t>
      </w:r>
      <w:r w:rsidR="00794D71">
        <w:t xml:space="preserve"> </w:t>
      </w:r>
      <w:r>
        <w:t>Budget proposes this will increase by 2.</w:t>
      </w:r>
      <w:r w:rsidR="008B229D">
        <w:t>5</w:t>
      </w:r>
      <w:r>
        <w:t>% to $</w:t>
      </w:r>
      <w:r w:rsidR="007C26EC">
        <w:t>1,</w:t>
      </w:r>
      <w:r w:rsidR="008B229D">
        <w:t>59</w:t>
      </w:r>
      <w:r w:rsidR="00103FBB">
        <w:t>6</w:t>
      </w:r>
      <w:r>
        <w:t>.</w:t>
      </w:r>
      <w:r w:rsidR="00103FBB">
        <w:t>48</w:t>
      </w:r>
    </w:p>
    <w:p w:rsidR="00AB55DD" w:rsidRDefault="009A58DA" w:rsidP="00E00E31">
      <w:pPr>
        <w:jc w:val="both"/>
      </w:pPr>
      <w:r>
        <w:t>The City</w:t>
      </w:r>
      <w:r w:rsidRPr="00F33F45">
        <w:t xml:space="preserve"> </w:t>
      </w:r>
      <w:r w:rsidR="0087430D" w:rsidRPr="00F33F45">
        <w:t xml:space="preserve">has prepared and </w:t>
      </w:r>
      <w:r w:rsidR="00FB297D">
        <w:t xml:space="preserve">Council </w:t>
      </w:r>
      <w:r w:rsidR="0087430D" w:rsidRPr="00F33F45">
        <w:t xml:space="preserve">adopted the Rating Strategy within </w:t>
      </w:r>
      <w:r w:rsidR="00C17F79">
        <w:t xml:space="preserve">the </w:t>
      </w:r>
      <w:r w:rsidR="0087430D" w:rsidRPr="00F33F45">
        <w:t>context of current legislative constraints and to improve community understanding by providing a detailed explanation of rating concepts and decisions.</w:t>
      </w:r>
    </w:p>
    <w:p w:rsidR="0087430D" w:rsidRPr="00F33F45" w:rsidRDefault="009A58DA">
      <w:pPr>
        <w:pStyle w:val="BodyText"/>
      </w:pPr>
      <w:r>
        <w:lastRenderedPageBreak/>
        <w:t>The City</w:t>
      </w:r>
      <w:r w:rsidRPr="00F33F45">
        <w:t xml:space="preserve"> </w:t>
      </w:r>
      <w:r w:rsidR="0087430D" w:rsidRPr="00F33F45">
        <w:t>has a responsibility to communicate to ratepayers the consultation process</w:t>
      </w:r>
      <w:r w:rsidR="00E40F40" w:rsidRPr="00F33F45">
        <w:t>,</w:t>
      </w:r>
      <w:r w:rsidR="0087430D" w:rsidRPr="00F33F45">
        <w:t xml:space="preserve"> to review the </w:t>
      </w:r>
      <w:r w:rsidR="005B4D00">
        <w:t>s</w:t>
      </w:r>
      <w:r w:rsidR="005B4D00" w:rsidRPr="00F33F45">
        <w:t xml:space="preserve">trategy </w:t>
      </w:r>
      <w:r w:rsidR="0087430D" w:rsidRPr="00F33F45">
        <w:t>and to publish and inform the community of its decisions in respect to the strategy and budget determinations.</w:t>
      </w:r>
    </w:p>
    <w:p w:rsidR="0087430D" w:rsidRPr="00BA4451" w:rsidRDefault="0087430D" w:rsidP="00E7196F">
      <w:pPr>
        <w:pStyle w:val="Heading3A"/>
      </w:pPr>
      <w:bookmarkStart w:id="19" w:name="_Toc167692726"/>
      <w:bookmarkStart w:id="20" w:name="_Toc260749432"/>
      <w:bookmarkStart w:id="21" w:name="_Toc355947697"/>
      <w:bookmarkStart w:id="22" w:name="_Toc356202537"/>
      <w:bookmarkStart w:id="23" w:name="_Toc356202870"/>
      <w:r w:rsidRPr="00BA4451">
        <w:t>Background</w:t>
      </w:r>
      <w:bookmarkEnd w:id="19"/>
      <w:bookmarkEnd w:id="20"/>
      <w:bookmarkEnd w:id="21"/>
      <w:bookmarkEnd w:id="22"/>
      <w:bookmarkEnd w:id="23"/>
    </w:p>
    <w:p w:rsidR="0087430D" w:rsidRPr="0098189D" w:rsidRDefault="009A58DA">
      <w:pPr>
        <w:pStyle w:val="BodyText"/>
      </w:pPr>
      <w:r>
        <w:t>The City</w:t>
      </w:r>
      <w:r w:rsidRPr="0098189D">
        <w:t xml:space="preserve"> </w:t>
      </w:r>
      <w:r w:rsidR="0087430D" w:rsidRPr="0098189D">
        <w:t>acknowledges that the existing taxation of property (wealth tax) value method is imperfect; however, the application of an alternate rating model (e.g. income tax) is not available within the current constraints of the existing legislation.</w:t>
      </w:r>
    </w:p>
    <w:p w:rsidR="0087430D" w:rsidRPr="0098189D" w:rsidRDefault="009A58DA">
      <w:pPr>
        <w:pStyle w:val="BodyText"/>
      </w:pPr>
      <w:r>
        <w:t>The City</w:t>
      </w:r>
      <w:r w:rsidR="00C17F79">
        <w:t>,</w:t>
      </w:r>
      <w:r w:rsidR="0087430D" w:rsidRPr="0098189D">
        <w:t xml:space="preserve"> </w:t>
      </w:r>
      <w:r w:rsidR="006E71E0">
        <w:t xml:space="preserve">via </w:t>
      </w:r>
      <w:r w:rsidR="0087430D" w:rsidRPr="0098189D">
        <w:t xml:space="preserve">a process of consultation and determination, </w:t>
      </w:r>
      <w:r w:rsidR="006E71E0">
        <w:t xml:space="preserve">can </w:t>
      </w:r>
      <w:r w:rsidR="0087430D" w:rsidRPr="0098189D">
        <w:t xml:space="preserve">modify certain aspects of the rating system in accordance with the legislation, to assist sections of the community. Such assistance must be in </w:t>
      </w:r>
      <w:r w:rsidR="00C17F79">
        <w:t xml:space="preserve">the </w:t>
      </w:r>
      <w:r w:rsidR="0087430D" w:rsidRPr="0098189D">
        <w:t>context of having wide acceptance in respect to social and equity principles whil</w:t>
      </w:r>
      <w:r w:rsidR="00C17F79">
        <w:t>st</w:t>
      </w:r>
      <w:r w:rsidR="0087430D" w:rsidRPr="0098189D">
        <w:t xml:space="preserve"> minimising any penalty, via a shift in rate burden, to other ratepayers. </w:t>
      </w:r>
    </w:p>
    <w:p w:rsidR="00F462EA" w:rsidRDefault="0087430D">
      <w:pPr>
        <w:pStyle w:val="BodyText"/>
      </w:pPr>
      <w:r w:rsidRPr="0098189D">
        <w:t xml:space="preserve">There is a common misconception that if a property’s valuation rises, then </w:t>
      </w:r>
      <w:r w:rsidR="004E6CF2">
        <w:t xml:space="preserve">the </w:t>
      </w:r>
      <w:r w:rsidR="00FB297D">
        <w:t>City</w:t>
      </w:r>
      <w:r w:rsidR="009A58DA" w:rsidRPr="0098189D">
        <w:t xml:space="preserve"> </w:t>
      </w:r>
      <w:r w:rsidRPr="0098189D">
        <w:t xml:space="preserve">receives a “windfall gain” with additional income. This is not the case, rather, the revaluation process results in a redistribution of the rate burden across all properties in the municipality. Any increase to total valuations of the municipality is </w:t>
      </w:r>
      <w:r w:rsidR="00027728">
        <w:t>adjusted</w:t>
      </w:r>
      <w:r w:rsidR="00027728" w:rsidRPr="0098189D">
        <w:t xml:space="preserve"> </w:t>
      </w:r>
      <w:r w:rsidRPr="0098189D">
        <w:t xml:space="preserve">by </w:t>
      </w:r>
      <w:r w:rsidR="00027728">
        <w:t>recalculating</w:t>
      </w:r>
      <w:r w:rsidRPr="0098189D">
        <w:t xml:space="preserve"> the rate in dollar (ad valorem rate) used to calculate the rate for each property. </w:t>
      </w:r>
      <w:r w:rsidR="00FA44C6">
        <w:t>Budgeted rate</w:t>
      </w:r>
      <w:r w:rsidR="00FA44C6" w:rsidRPr="00D576C5">
        <w:t xml:space="preserve"> income is </w:t>
      </w:r>
      <w:r w:rsidR="00FA44C6">
        <w:t>adjusted</w:t>
      </w:r>
      <w:r w:rsidR="00FA44C6" w:rsidRPr="00D576C5">
        <w:t xml:space="preserve"> each year as part of the budget process</w:t>
      </w:r>
      <w:r w:rsidR="00FA44C6">
        <w:t xml:space="preserve"> and the relevant rate cap percentage taking into account adjustments for supplementary rate income</w:t>
      </w:r>
      <w:r w:rsidR="00FA44C6" w:rsidRPr="00D576C5">
        <w:t xml:space="preserve">. </w:t>
      </w:r>
      <w:r w:rsidR="000C1156">
        <w:t xml:space="preserve"> Rate capping has been introduced by the State Government from </w:t>
      </w:r>
      <w:r w:rsidR="00CE08E8">
        <w:t>2016-17</w:t>
      </w:r>
      <w:r w:rsidR="000C1156">
        <w:t xml:space="preserve">. The Minister for Local Government announced on </w:t>
      </w:r>
      <w:r w:rsidR="008B229D">
        <w:t xml:space="preserve">20 </w:t>
      </w:r>
      <w:r w:rsidR="000C1156">
        <w:t xml:space="preserve">December </w:t>
      </w:r>
      <w:r w:rsidR="008B229D">
        <w:t xml:space="preserve">2018 </w:t>
      </w:r>
      <w:r w:rsidR="000C1156">
        <w:t xml:space="preserve">that the </w:t>
      </w:r>
      <w:r w:rsidR="008B229D">
        <w:t>2019-20</w:t>
      </w:r>
      <w:r w:rsidR="00794D71">
        <w:t xml:space="preserve"> </w:t>
      </w:r>
      <w:r w:rsidR="000C1156">
        <w:t>rate cap would be 2.</w:t>
      </w:r>
      <w:r w:rsidR="008B229D">
        <w:t>5</w:t>
      </w:r>
      <w:r w:rsidR="000C1156">
        <w:t xml:space="preserve">% for all Victorian </w:t>
      </w:r>
      <w:r w:rsidR="009A58DA">
        <w:t>councils</w:t>
      </w:r>
      <w:r w:rsidR="000C1156">
        <w:t>.</w:t>
      </w:r>
      <w:r w:rsidR="00A07AC7">
        <w:t xml:space="preserve"> </w:t>
      </w:r>
    </w:p>
    <w:p w:rsidR="00F462EA" w:rsidRDefault="0087430D">
      <w:pPr>
        <w:pStyle w:val="BodyText"/>
      </w:pPr>
      <w:r w:rsidRPr="0098189D">
        <w:t xml:space="preserve">Public finance theory and practice implies that taxation revenue whether it is at </w:t>
      </w:r>
      <w:r w:rsidR="00024AB0">
        <w:t>f</w:t>
      </w:r>
      <w:r w:rsidR="00024AB0" w:rsidRPr="0098189D">
        <w:t>ederal</w:t>
      </w:r>
      <w:r w:rsidRPr="0098189D">
        <w:t xml:space="preserve">, </w:t>
      </w:r>
      <w:r w:rsidR="00024AB0">
        <w:t>s</w:t>
      </w:r>
      <w:r w:rsidR="00024AB0" w:rsidRPr="0098189D">
        <w:t xml:space="preserve">tate </w:t>
      </w:r>
      <w:r w:rsidRPr="0098189D">
        <w:t xml:space="preserve">or a </w:t>
      </w:r>
      <w:r w:rsidR="00024AB0">
        <w:t>l</w:t>
      </w:r>
      <w:r w:rsidR="00024AB0" w:rsidRPr="0098189D">
        <w:t xml:space="preserve">ocal </w:t>
      </w:r>
      <w:r w:rsidRPr="0098189D">
        <w:t>level is generally used to finance various forms of “public goods, services and community obligations” not necessarily in direct relation to user benefit, but ultimately of benefit to the community as a whole. In this respect, rates are a general purpose levy not linked to user pays principles. Other charges such as waste service</w:t>
      </w:r>
      <w:r w:rsidR="00473AEE" w:rsidRPr="0098189D">
        <w:t>s</w:t>
      </w:r>
      <w:r w:rsidRPr="0098189D">
        <w:t xml:space="preserve"> are linked to costs associated with the service.</w:t>
      </w:r>
    </w:p>
    <w:p w:rsidR="00F462EA" w:rsidRDefault="0087430D">
      <w:pPr>
        <w:pStyle w:val="BodyText"/>
      </w:pPr>
      <w:r w:rsidRPr="0098189D">
        <w:t xml:space="preserve">Therefore, rates are the balancing item between total expenses and all other revenue sources. Rate revenue is a major source of income providing some </w:t>
      </w:r>
      <w:r w:rsidR="008B229D" w:rsidRPr="00F007E8">
        <w:t>62.8</w:t>
      </w:r>
      <w:r w:rsidR="00E62C80" w:rsidRPr="00F007E8">
        <w:t>%</w:t>
      </w:r>
      <w:r w:rsidRPr="00F007E8">
        <w:t xml:space="preserve"> of recurrent income for </w:t>
      </w:r>
      <w:r w:rsidR="008B229D" w:rsidRPr="00F007E8">
        <w:t>2019-20</w:t>
      </w:r>
      <w:r w:rsidR="0055268D" w:rsidRPr="00F007E8">
        <w:t>.</w:t>
      </w:r>
    </w:p>
    <w:p w:rsidR="00F462EA" w:rsidRDefault="00285B9A">
      <w:pPr>
        <w:pStyle w:val="BodyText"/>
      </w:pPr>
      <w:r>
        <w:t>The City</w:t>
      </w:r>
      <w:r w:rsidRPr="0098189D">
        <w:t xml:space="preserve"> </w:t>
      </w:r>
      <w:r w:rsidR="0087430D" w:rsidRPr="0098189D">
        <w:t xml:space="preserve">acknowledges that property taxes do not recognise the situation where ratepayers are “asset rich” and “income poor”.  In some cases ratepayers may have considerable wealth reflected in property they own but have a low level of income.  Examples include pensioners, self funded retirees, businesses subject </w:t>
      </w:r>
      <w:r w:rsidR="0087430D" w:rsidRPr="0098189D">
        <w:lastRenderedPageBreak/>
        <w:t xml:space="preserve">to cyclical downturn, households with large families and property owners with little equity but high levels of mortgage debt. Moreover, the Australian taxation system which allows for annuities, allocated pensions income and other assets to be treated differently in an assessment for government concessions and benefits, may further distort the true disposable income status of one household compared to another. </w:t>
      </w:r>
    </w:p>
    <w:p w:rsidR="00F462EA" w:rsidRDefault="0087430D">
      <w:pPr>
        <w:pStyle w:val="BodyText"/>
      </w:pPr>
      <w:r w:rsidRPr="0098189D">
        <w:t xml:space="preserve">While personal income tax is more reflective of the capacity to pay, it is not possible to expect a property tax system to deal practically with all aspects of capacity to pay based on individual households and businesses. It is also not practical or acceptable to shift, modify or manipulate the existing system to the benefit of one group of ratepayers at the expense of another unless such shift is widely accepted and for a proper purpose.  In fact, </w:t>
      </w:r>
      <w:r w:rsidR="00024AB0">
        <w:t>l</w:t>
      </w:r>
      <w:r w:rsidR="00024AB0" w:rsidRPr="0098189D">
        <w:t xml:space="preserve">ocal </w:t>
      </w:r>
      <w:r w:rsidR="00024AB0">
        <w:t>g</w:t>
      </w:r>
      <w:r w:rsidR="00024AB0" w:rsidRPr="0098189D">
        <w:t xml:space="preserve">overnment </w:t>
      </w:r>
      <w:r w:rsidRPr="0098189D">
        <w:t xml:space="preserve">has no mandate or ability to universally apply a “capacity to pay” test. In recognition of this fact, </w:t>
      </w:r>
      <w:r w:rsidR="00285B9A">
        <w:t>the City</w:t>
      </w:r>
      <w:r w:rsidR="00285B9A" w:rsidRPr="0098189D">
        <w:t xml:space="preserve"> </w:t>
      </w:r>
      <w:r w:rsidRPr="0098189D">
        <w:t>has developed its rates assistance and payment options to ensure that  officer</w:t>
      </w:r>
      <w:r w:rsidR="00E40F40" w:rsidRPr="0098189D">
        <w:t>s</w:t>
      </w:r>
      <w:r w:rsidRPr="0098189D">
        <w:t xml:space="preserve"> can provide ratepayers with assistance upon request.</w:t>
      </w:r>
    </w:p>
    <w:p w:rsidR="00F462EA" w:rsidRDefault="0087430D">
      <w:pPr>
        <w:pStyle w:val="BodyText"/>
      </w:pPr>
      <w:r w:rsidRPr="0098189D">
        <w:t xml:space="preserve">In the </w:t>
      </w:r>
      <w:r w:rsidR="00024AB0">
        <w:t>l</w:t>
      </w:r>
      <w:r w:rsidR="00024AB0" w:rsidRPr="0098189D">
        <w:t xml:space="preserve">ocal </w:t>
      </w:r>
      <w:r w:rsidR="00024AB0">
        <w:t>g</w:t>
      </w:r>
      <w:r w:rsidR="00024AB0" w:rsidRPr="0098189D">
        <w:t xml:space="preserve">overnment </w:t>
      </w:r>
      <w:r w:rsidRPr="0098189D">
        <w:t xml:space="preserve">context, the rating system determines how </w:t>
      </w:r>
      <w:r w:rsidR="004E6CF2">
        <w:t>we</w:t>
      </w:r>
      <w:r w:rsidR="00285B9A" w:rsidRPr="0098189D">
        <w:t xml:space="preserve"> </w:t>
      </w:r>
      <w:r w:rsidRPr="0098189D">
        <w:t>will raise money from properties within the municipality while the annual budget determines how that money will be spent. The rating system comprises the valuation base and the rating instruments that are used to calculate property owner’s liability for rates.</w:t>
      </w:r>
    </w:p>
    <w:p w:rsidR="00F462EA" w:rsidRDefault="0087430D">
      <w:pPr>
        <w:pStyle w:val="BodyText"/>
      </w:pPr>
      <w:r w:rsidRPr="0098189D">
        <w:t xml:space="preserve">The rating framework is set down in the </w:t>
      </w:r>
      <w:r w:rsidRPr="005167B1">
        <w:rPr>
          <w:i/>
        </w:rPr>
        <w:t>Local Government Act 1989</w:t>
      </w:r>
      <w:r w:rsidRPr="0098189D">
        <w:t xml:space="preserve"> (as amended) and determines a </w:t>
      </w:r>
      <w:r w:rsidR="004E6CF2">
        <w:t>c</w:t>
      </w:r>
      <w:r w:rsidR="004E6CF2" w:rsidRPr="0098189D">
        <w:t xml:space="preserve">ouncil’s </w:t>
      </w:r>
      <w:r w:rsidRPr="0098189D">
        <w:t xml:space="preserve">ability to develop a rating system. The framework provides considerable flexibility to suit its requirements within </w:t>
      </w:r>
      <w:r w:rsidR="00C17F79">
        <w:t xml:space="preserve">the </w:t>
      </w:r>
      <w:r w:rsidRPr="0098189D">
        <w:t>context of public finance methodology, which includes principles of equity, benefit, efficiency and community resource allocation.</w:t>
      </w:r>
    </w:p>
    <w:p w:rsidR="00F462EA" w:rsidRDefault="0087430D">
      <w:pPr>
        <w:pStyle w:val="BodyText"/>
      </w:pPr>
      <w:r w:rsidRPr="0098189D">
        <w:t>Under the legislation</w:t>
      </w:r>
      <w:r w:rsidR="00C17F79">
        <w:t>,</w:t>
      </w:r>
      <w:r w:rsidRPr="0098189D">
        <w:t xml:space="preserve"> </w:t>
      </w:r>
      <w:r w:rsidR="00466527">
        <w:t>the City</w:t>
      </w:r>
      <w:r w:rsidR="00466527" w:rsidRPr="0098189D">
        <w:t xml:space="preserve"> </w:t>
      </w:r>
      <w:r w:rsidR="00FB297D">
        <w:t xml:space="preserve">of Greater Geelong </w:t>
      </w:r>
      <w:r w:rsidRPr="0098189D">
        <w:t>has the power to levy:</w:t>
      </w:r>
    </w:p>
    <w:p w:rsidR="00A23966" w:rsidRDefault="0087430D" w:rsidP="005167B1">
      <w:pPr>
        <w:pStyle w:val="Bullet1"/>
      </w:pPr>
      <w:r w:rsidRPr="005E5E27">
        <w:t>Municipal charge,</w:t>
      </w:r>
    </w:p>
    <w:p w:rsidR="00A23966" w:rsidRDefault="0087430D">
      <w:pPr>
        <w:pStyle w:val="Bullet1"/>
      </w:pPr>
      <w:r w:rsidRPr="005E5E27">
        <w:t>Uniform rates,</w:t>
      </w:r>
    </w:p>
    <w:p w:rsidR="00A23966" w:rsidRDefault="0087430D">
      <w:pPr>
        <w:pStyle w:val="Bullet1"/>
      </w:pPr>
      <w:r w:rsidRPr="005E5E27">
        <w:t>Differential rates,</w:t>
      </w:r>
    </w:p>
    <w:p w:rsidR="00A23966" w:rsidRDefault="0087430D">
      <w:pPr>
        <w:pStyle w:val="Bullet1"/>
      </w:pPr>
      <w:r w:rsidRPr="005E5E27">
        <w:t>Special rates and charges,</w:t>
      </w:r>
    </w:p>
    <w:p w:rsidR="00A23966" w:rsidRDefault="0087430D">
      <w:pPr>
        <w:pStyle w:val="Bullet1"/>
      </w:pPr>
      <w:r w:rsidRPr="005E5E27">
        <w:t>Services rates and charges,</w:t>
      </w:r>
    </w:p>
    <w:p w:rsidR="00A23966" w:rsidRDefault="0087430D">
      <w:pPr>
        <w:pStyle w:val="Bullet1"/>
      </w:pPr>
      <w:r w:rsidRPr="005E5E27">
        <w:t>Provide rebates and concessions, and to</w:t>
      </w:r>
    </w:p>
    <w:p w:rsidR="00A23966" w:rsidRDefault="0087430D">
      <w:pPr>
        <w:pStyle w:val="Bullet1"/>
      </w:pPr>
      <w:r w:rsidRPr="005E5E27">
        <w:t>Provide deferrals and waivers based on hardship.</w:t>
      </w:r>
    </w:p>
    <w:p w:rsidR="00F462EA" w:rsidRDefault="00FB297D">
      <w:pPr>
        <w:pStyle w:val="BodyText"/>
      </w:pPr>
      <w:r>
        <w:t>We acknowledge</w:t>
      </w:r>
      <w:r w:rsidR="0087430D" w:rsidRPr="0098189D">
        <w:t xml:space="preserve"> that this framework may not universally cater for significant revaluation property movements in a non-homogenous market place and may result in significant movements in rates (“rates shock”) on a case by case basis. </w:t>
      </w:r>
    </w:p>
    <w:p w:rsidR="00442D84" w:rsidRDefault="0087430D" w:rsidP="009A144D">
      <w:pPr>
        <w:pStyle w:val="Heading2"/>
      </w:pPr>
      <w:r w:rsidRPr="00D576C5">
        <w:br w:type="page"/>
      </w:r>
      <w:bookmarkStart w:id="24" w:name="_Toc11845097"/>
      <w:bookmarkStart w:id="25" w:name="_Toc292369479"/>
      <w:bookmarkStart w:id="26" w:name="_Toc355947423"/>
      <w:bookmarkStart w:id="27" w:name="_Toc355947698"/>
      <w:bookmarkStart w:id="28" w:name="_Toc356202538"/>
      <w:bookmarkStart w:id="29" w:name="_Toc356202871"/>
      <w:bookmarkStart w:id="30" w:name="_Toc403114369"/>
      <w:r w:rsidR="00442D84">
        <w:lastRenderedPageBreak/>
        <w:t xml:space="preserve">2. </w:t>
      </w:r>
      <w:r w:rsidR="00F60FC6">
        <w:t xml:space="preserve"> </w:t>
      </w:r>
      <w:r w:rsidR="009A144D">
        <w:t>H</w:t>
      </w:r>
      <w:r w:rsidR="00442D84">
        <w:t xml:space="preserve">ighlights of </w:t>
      </w:r>
      <w:r w:rsidR="008065B2">
        <w:t>2019-20</w:t>
      </w:r>
      <w:r w:rsidR="00E62C80">
        <w:t xml:space="preserve"> </w:t>
      </w:r>
      <w:r w:rsidR="00442D84">
        <w:t>Rating Strategy</w:t>
      </w:r>
      <w:bookmarkEnd w:id="24"/>
    </w:p>
    <w:p w:rsidR="008E5118" w:rsidRDefault="008E5118" w:rsidP="008E5118">
      <w:pPr>
        <w:pStyle w:val="Heading3A"/>
      </w:pPr>
      <w:r>
        <w:t>Rate Structure</w:t>
      </w:r>
    </w:p>
    <w:p w:rsidR="008E5118" w:rsidRDefault="004E6CF2">
      <w:pPr>
        <w:pStyle w:val="BodyText"/>
      </w:pPr>
      <w:r>
        <w:t>The City of Greater Geelong</w:t>
      </w:r>
      <w:r w:rsidR="00466527">
        <w:t xml:space="preserve"> </w:t>
      </w:r>
      <w:r w:rsidR="008E5118">
        <w:t xml:space="preserve">retains 11 rating or tariff groups with the application of differential rates to each of these groups in accordance with </w:t>
      </w:r>
      <w:r w:rsidR="00FB297D">
        <w:t xml:space="preserve">section </w:t>
      </w:r>
      <w:r w:rsidR="008E5118">
        <w:t>161 of the Act. The purpose of the various rating groups is to ensure that each group makes a fair and equitable contribution to rates. Full disclosure of the rating groups, number of properties, valuations and revenue is shown in the Statutory Information on Rates.</w:t>
      </w:r>
    </w:p>
    <w:p w:rsidR="008E5118" w:rsidRDefault="008E5118" w:rsidP="008E5118">
      <w:pPr>
        <w:pStyle w:val="Heading3A"/>
      </w:pPr>
      <w:r>
        <w:t>2019 Revaluation</w:t>
      </w:r>
    </w:p>
    <w:p w:rsidR="008E5118" w:rsidRDefault="008E5118" w:rsidP="005167B1">
      <w:pPr>
        <w:pStyle w:val="Heading3A"/>
        <w:spacing w:line="360" w:lineRule="auto"/>
      </w:pPr>
      <w:r>
        <w:t>Summary by Differential</w:t>
      </w:r>
    </w:p>
    <w:p w:rsidR="008065B2" w:rsidRDefault="0096730B" w:rsidP="005167B1">
      <w:pPr>
        <w:spacing w:line="276" w:lineRule="auto"/>
      </w:pPr>
      <w:r w:rsidRPr="0096730B">
        <w:rPr>
          <w:noProof/>
          <w:lang w:eastAsia="en-AU"/>
        </w:rPr>
        <w:drawing>
          <wp:inline distT="0" distB="0" distL="0" distR="0">
            <wp:extent cx="5400040" cy="2071604"/>
            <wp:effectExtent l="0" t="0" r="0" b="508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2071604"/>
                    </a:xfrm>
                    <a:prstGeom prst="rect">
                      <a:avLst/>
                    </a:prstGeom>
                    <a:noFill/>
                    <a:ln>
                      <a:noFill/>
                    </a:ln>
                  </pic:spPr>
                </pic:pic>
              </a:graphicData>
            </a:graphic>
          </wp:inline>
        </w:drawing>
      </w:r>
    </w:p>
    <w:p w:rsidR="00950877" w:rsidRDefault="00950877" w:rsidP="00950877">
      <w:pPr>
        <w:pStyle w:val="Heading3A"/>
      </w:pPr>
      <w:r>
        <w:t>Overall</w:t>
      </w:r>
    </w:p>
    <w:p w:rsidR="00950877" w:rsidRDefault="00950877" w:rsidP="00950877">
      <w:pPr>
        <w:jc w:val="both"/>
        <w:rPr>
          <w:rFonts w:cs="Arial"/>
          <w:color w:val="000000"/>
          <w:lang w:val="en-US"/>
        </w:rPr>
      </w:pPr>
      <w:r w:rsidRPr="00384A60">
        <w:rPr>
          <w:rFonts w:cs="Arial"/>
          <w:color w:val="000000"/>
          <w:lang w:val="en-US"/>
        </w:rPr>
        <w:t xml:space="preserve">The Valuation of Land Act </w:t>
      </w:r>
      <w:r>
        <w:rPr>
          <w:rFonts w:cs="Arial"/>
          <w:color w:val="000000"/>
          <w:lang w:val="en-US"/>
        </w:rPr>
        <w:t xml:space="preserve">1960 </w:t>
      </w:r>
      <w:r w:rsidRPr="00384A60">
        <w:rPr>
          <w:rFonts w:cs="Arial"/>
          <w:color w:val="000000"/>
          <w:lang w:val="en-US"/>
        </w:rPr>
        <w:t>(</w:t>
      </w:r>
      <w:r w:rsidR="00653B9C">
        <w:rPr>
          <w:rFonts w:cs="Arial"/>
          <w:color w:val="000000"/>
          <w:lang w:val="en-US"/>
        </w:rPr>
        <w:t xml:space="preserve">section </w:t>
      </w:r>
      <w:r>
        <w:rPr>
          <w:rFonts w:cs="Arial"/>
          <w:color w:val="000000"/>
          <w:lang w:val="en-US"/>
        </w:rPr>
        <w:t>11</w:t>
      </w:r>
      <w:r w:rsidRPr="00384A60">
        <w:rPr>
          <w:rFonts w:cs="Arial"/>
          <w:color w:val="000000"/>
          <w:lang w:val="en-US"/>
        </w:rPr>
        <w:t xml:space="preserve">) requires that </w:t>
      </w:r>
      <w:r w:rsidR="005B4D00">
        <w:rPr>
          <w:rFonts w:cs="Arial"/>
          <w:color w:val="000000"/>
          <w:lang w:val="en-US"/>
        </w:rPr>
        <w:t>v</w:t>
      </w:r>
      <w:r w:rsidRPr="00384A60">
        <w:rPr>
          <w:rFonts w:cs="Arial"/>
          <w:color w:val="000000"/>
          <w:lang w:val="en-US"/>
        </w:rPr>
        <w:t>aluing authorities conduct a revaluation of all municipal land every year.</w:t>
      </w:r>
      <w:r>
        <w:rPr>
          <w:rFonts w:cs="Arial"/>
          <w:color w:val="000000"/>
          <w:lang w:val="en-US"/>
        </w:rPr>
        <w:t xml:space="preserve"> </w:t>
      </w:r>
    </w:p>
    <w:p w:rsidR="00950877" w:rsidRPr="00384A60" w:rsidRDefault="00950877" w:rsidP="00950877">
      <w:pPr>
        <w:jc w:val="both"/>
        <w:rPr>
          <w:rFonts w:cs="Arial"/>
          <w:color w:val="000000"/>
          <w:lang w:val="en-US"/>
        </w:rPr>
      </w:pPr>
      <w:r>
        <w:rPr>
          <w:rFonts w:cs="Arial"/>
          <w:color w:val="000000"/>
          <w:lang w:val="en-US"/>
        </w:rPr>
        <w:t>The Victorian Valuer General (VGV)</w:t>
      </w:r>
      <w:r w:rsidRPr="00384A60">
        <w:rPr>
          <w:rFonts w:cs="Arial"/>
          <w:color w:val="000000"/>
          <w:lang w:val="en-US"/>
        </w:rPr>
        <w:t xml:space="preserve"> has appointed Opteon Property </w:t>
      </w:r>
      <w:r>
        <w:rPr>
          <w:rFonts w:cs="Arial"/>
          <w:color w:val="000000"/>
          <w:lang w:val="en-US"/>
        </w:rPr>
        <w:t>G</w:t>
      </w:r>
      <w:r w:rsidRPr="00384A60">
        <w:rPr>
          <w:rFonts w:cs="Arial"/>
          <w:color w:val="000000"/>
          <w:lang w:val="en-US"/>
        </w:rPr>
        <w:t>roup to conduct the 201</w:t>
      </w:r>
      <w:r>
        <w:rPr>
          <w:rFonts w:cs="Arial"/>
          <w:color w:val="000000"/>
          <w:lang w:val="en-US"/>
        </w:rPr>
        <w:t>9</w:t>
      </w:r>
      <w:r w:rsidRPr="00384A60">
        <w:rPr>
          <w:rFonts w:cs="Arial"/>
          <w:color w:val="000000"/>
          <w:lang w:val="en-US"/>
        </w:rPr>
        <w:t xml:space="preserve"> </w:t>
      </w:r>
      <w:r w:rsidR="00466527">
        <w:rPr>
          <w:rFonts w:cs="Arial"/>
          <w:color w:val="000000"/>
          <w:lang w:val="en-US"/>
        </w:rPr>
        <w:t>r</w:t>
      </w:r>
      <w:r w:rsidR="00466527" w:rsidRPr="00384A60">
        <w:rPr>
          <w:rFonts w:cs="Arial"/>
          <w:color w:val="000000"/>
          <w:lang w:val="en-US"/>
        </w:rPr>
        <w:t xml:space="preserve">evaluation </w:t>
      </w:r>
      <w:r w:rsidRPr="00384A60">
        <w:rPr>
          <w:rFonts w:cs="Arial"/>
          <w:color w:val="000000"/>
          <w:lang w:val="en-US"/>
        </w:rPr>
        <w:t xml:space="preserve">and valuations have been returned in order for impact analysis to commence. </w:t>
      </w:r>
    </w:p>
    <w:p w:rsidR="00950877" w:rsidRPr="00384A60" w:rsidRDefault="00950877" w:rsidP="00950877">
      <w:pPr>
        <w:jc w:val="both"/>
        <w:rPr>
          <w:rFonts w:cs="Arial"/>
          <w:color w:val="000000"/>
          <w:lang w:val="en-US"/>
        </w:rPr>
      </w:pPr>
      <w:r w:rsidRPr="00384A60">
        <w:rPr>
          <w:rFonts w:cs="Arial"/>
          <w:color w:val="000000"/>
          <w:lang w:val="en-US"/>
        </w:rPr>
        <w:t>The revaluation date is 1 January 201</w:t>
      </w:r>
      <w:r>
        <w:rPr>
          <w:rFonts w:cs="Arial"/>
          <w:color w:val="000000"/>
          <w:lang w:val="en-US"/>
        </w:rPr>
        <w:t>9</w:t>
      </w:r>
      <w:r w:rsidRPr="00384A60">
        <w:rPr>
          <w:rFonts w:cs="Arial"/>
          <w:color w:val="000000"/>
          <w:lang w:val="en-US"/>
        </w:rPr>
        <w:t xml:space="preserve"> and takes effect from 1 July 201</w:t>
      </w:r>
      <w:r>
        <w:rPr>
          <w:rFonts w:cs="Arial"/>
          <w:color w:val="000000"/>
          <w:lang w:val="en-US"/>
        </w:rPr>
        <w:t>9</w:t>
      </w:r>
      <w:r w:rsidRPr="00384A60">
        <w:rPr>
          <w:rFonts w:cs="Arial"/>
          <w:color w:val="000000"/>
          <w:lang w:val="en-US"/>
        </w:rPr>
        <w:t xml:space="preserve"> for the </w:t>
      </w:r>
      <w:r>
        <w:rPr>
          <w:rFonts w:cs="Arial"/>
          <w:color w:val="000000"/>
          <w:lang w:val="en-US"/>
        </w:rPr>
        <w:t>2019-20</w:t>
      </w:r>
      <w:r w:rsidRPr="00384A60">
        <w:rPr>
          <w:rFonts w:cs="Arial"/>
          <w:color w:val="000000"/>
          <w:lang w:val="en-US"/>
        </w:rPr>
        <w:t xml:space="preserve"> rating period.</w:t>
      </w:r>
    </w:p>
    <w:p w:rsidR="00950877" w:rsidRPr="00384A60" w:rsidRDefault="00950877" w:rsidP="00950877">
      <w:pPr>
        <w:jc w:val="both"/>
        <w:rPr>
          <w:rFonts w:cs="Arial"/>
          <w:color w:val="000000"/>
          <w:lang w:val="en-US"/>
        </w:rPr>
      </w:pPr>
      <w:r w:rsidRPr="00384A60">
        <w:rPr>
          <w:rFonts w:cs="Arial"/>
          <w:color w:val="000000"/>
          <w:lang w:val="en-US"/>
        </w:rPr>
        <w:t>The summary results indicate:</w:t>
      </w:r>
    </w:p>
    <w:p w:rsidR="00950877" w:rsidRPr="00384A60" w:rsidRDefault="00950877" w:rsidP="00950877">
      <w:pPr>
        <w:numPr>
          <w:ilvl w:val="0"/>
          <w:numId w:val="124"/>
        </w:numPr>
        <w:tabs>
          <w:tab w:val="clear" w:pos="1440"/>
          <w:tab w:val="num" w:pos="283"/>
        </w:tabs>
        <w:spacing w:before="0" w:after="0"/>
        <w:ind w:left="283" w:hanging="283"/>
        <w:jc w:val="both"/>
        <w:rPr>
          <w:rFonts w:cs="Arial"/>
          <w:color w:val="000000"/>
          <w:lang w:val="en-US"/>
        </w:rPr>
      </w:pPr>
      <w:r w:rsidRPr="00384A60">
        <w:rPr>
          <w:rFonts w:cs="Arial"/>
          <w:color w:val="000000"/>
          <w:lang w:val="en-US"/>
        </w:rPr>
        <w:lastRenderedPageBreak/>
        <w:t xml:space="preserve">Total growth in property numbers is </w:t>
      </w:r>
      <w:r w:rsidR="00284E5A">
        <w:rPr>
          <w:rFonts w:cs="Arial"/>
          <w:color w:val="000000"/>
          <w:lang w:val="en-US"/>
        </w:rPr>
        <w:t>2.6</w:t>
      </w:r>
      <w:r>
        <w:rPr>
          <w:rFonts w:cs="Arial"/>
          <w:color w:val="000000"/>
          <w:lang w:val="en-US"/>
        </w:rPr>
        <w:t>%</w:t>
      </w:r>
      <w:r w:rsidRPr="00384A60">
        <w:rPr>
          <w:rFonts w:cs="Arial"/>
          <w:color w:val="000000"/>
          <w:lang w:val="en-US"/>
        </w:rPr>
        <w:t xml:space="preserve"> over the </w:t>
      </w:r>
      <w:r w:rsidR="00284E5A">
        <w:rPr>
          <w:rFonts w:cs="Arial"/>
          <w:color w:val="000000"/>
          <w:lang w:val="en-US"/>
        </w:rPr>
        <w:t>last year</w:t>
      </w:r>
      <w:r w:rsidRPr="00384A60">
        <w:rPr>
          <w:rFonts w:cs="Arial"/>
          <w:color w:val="000000"/>
          <w:lang w:val="en-US"/>
        </w:rPr>
        <w:t xml:space="preserve"> with residential </w:t>
      </w:r>
      <w:r w:rsidR="00284E5A">
        <w:rPr>
          <w:rFonts w:cs="Arial"/>
          <w:color w:val="000000"/>
          <w:lang w:val="en-US"/>
        </w:rPr>
        <w:t>2.3</w:t>
      </w:r>
      <w:r w:rsidRPr="00384A60">
        <w:rPr>
          <w:rFonts w:cs="Arial"/>
          <w:color w:val="000000"/>
          <w:lang w:val="en-US"/>
        </w:rPr>
        <w:t>%</w:t>
      </w:r>
      <w:r>
        <w:rPr>
          <w:rFonts w:cs="Arial"/>
          <w:color w:val="000000"/>
          <w:lang w:val="en-US"/>
        </w:rPr>
        <w:t>.</w:t>
      </w:r>
    </w:p>
    <w:p w:rsidR="00950877" w:rsidRPr="00384A60" w:rsidRDefault="00950877" w:rsidP="00950877">
      <w:pPr>
        <w:numPr>
          <w:ilvl w:val="0"/>
          <w:numId w:val="124"/>
        </w:numPr>
        <w:tabs>
          <w:tab w:val="clear" w:pos="1440"/>
          <w:tab w:val="num" w:pos="283"/>
        </w:tabs>
        <w:spacing w:before="0" w:after="0"/>
        <w:ind w:left="283" w:hanging="283"/>
        <w:jc w:val="both"/>
        <w:rPr>
          <w:rFonts w:cs="Arial"/>
          <w:color w:val="000000"/>
          <w:lang w:val="en-US"/>
        </w:rPr>
      </w:pPr>
      <w:r w:rsidRPr="00384A60">
        <w:rPr>
          <w:rFonts w:cs="Arial"/>
          <w:color w:val="000000"/>
          <w:lang w:val="en-US"/>
        </w:rPr>
        <w:t xml:space="preserve">Average increase in residential valuation is </w:t>
      </w:r>
      <w:r w:rsidR="00284E5A">
        <w:rPr>
          <w:rFonts w:cs="Arial"/>
          <w:color w:val="000000"/>
          <w:lang w:val="en-US"/>
        </w:rPr>
        <w:t>13.</w:t>
      </w:r>
      <w:r w:rsidR="00103FBB">
        <w:rPr>
          <w:rFonts w:cs="Arial"/>
          <w:color w:val="000000"/>
          <w:lang w:val="en-US"/>
        </w:rPr>
        <w:t>1</w:t>
      </w:r>
      <w:r w:rsidRPr="00384A60">
        <w:rPr>
          <w:rFonts w:cs="Arial"/>
          <w:color w:val="000000"/>
          <w:lang w:val="en-US"/>
        </w:rPr>
        <w:t xml:space="preserve">% compared to </w:t>
      </w:r>
      <w:r w:rsidR="00284E5A">
        <w:rPr>
          <w:rFonts w:cs="Arial"/>
          <w:color w:val="000000"/>
          <w:lang w:val="en-US"/>
        </w:rPr>
        <w:t>19.9</w:t>
      </w:r>
      <w:r w:rsidRPr="00384A60">
        <w:rPr>
          <w:rFonts w:cs="Arial"/>
          <w:color w:val="000000"/>
          <w:lang w:val="en-US"/>
        </w:rPr>
        <w:t>% in 201</w:t>
      </w:r>
      <w:r w:rsidR="00284E5A">
        <w:rPr>
          <w:rFonts w:cs="Arial"/>
          <w:color w:val="000000"/>
          <w:lang w:val="en-US"/>
        </w:rPr>
        <w:t>8</w:t>
      </w:r>
      <w:r w:rsidRPr="00384A60">
        <w:rPr>
          <w:rFonts w:cs="Arial"/>
          <w:color w:val="000000"/>
          <w:lang w:val="en-US"/>
        </w:rPr>
        <w:t>.</w:t>
      </w:r>
    </w:p>
    <w:p w:rsidR="00950877" w:rsidRPr="00384A60" w:rsidRDefault="00950877" w:rsidP="00950877">
      <w:pPr>
        <w:numPr>
          <w:ilvl w:val="0"/>
          <w:numId w:val="124"/>
        </w:numPr>
        <w:tabs>
          <w:tab w:val="clear" w:pos="1440"/>
          <w:tab w:val="num" w:pos="283"/>
        </w:tabs>
        <w:spacing w:before="0" w:after="0"/>
        <w:ind w:left="283" w:hanging="283"/>
        <w:jc w:val="both"/>
        <w:rPr>
          <w:rFonts w:cs="Arial"/>
          <w:color w:val="000000"/>
          <w:lang w:val="en-US"/>
        </w:rPr>
      </w:pPr>
      <w:r w:rsidRPr="00384A60">
        <w:rPr>
          <w:rFonts w:cs="Arial"/>
          <w:color w:val="000000"/>
          <w:lang w:val="en-US"/>
        </w:rPr>
        <w:t xml:space="preserve">The average increase in farm valuations is </w:t>
      </w:r>
      <w:r w:rsidR="00284E5A">
        <w:rPr>
          <w:rFonts w:cs="Arial"/>
          <w:color w:val="000000"/>
          <w:lang w:val="en-US"/>
        </w:rPr>
        <w:t>32.</w:t>
      </w:r>
      <w:r w:rsidR="00096454">
        <w:rPr>
          <w:rFonts w:cs="Arial"/>
          <w:color w:val="000000"/>
          <w:lang w:val="en-US"/>
        </w:rPr>
        <w:t>5</w:t>
      </w:r>
      <w:r w:rsidRPr="00384A60">
        <w:rPr>
          <w:rFonts w:cs="Arial"/>
          <w:color w:val="000000"/>
          <w:lang w:val="en-US"/>
        </w:rPr>
        <w:t xml:space="preserve">% compared with </w:t>
      </w:r>
      <w:r w:rsidR="00284E5A">
        <w:rPr>
          <w:rFonts w:cs="Arial"/>
          <w:color w:val="000000"/>
          <w:lang w:val="en-US"/>
        </w:rPr>
        <w:t>12.9</w:t>
      </w:r>
      <w:r w:rsidRPr="00384A60">
        <w:rPr>
          <w:rFonts w:cs="Arial"/>
          <w:color w:val="000000"/>
          <w:lang w:val="en-US"/>
        </w:rPr>
        <w:t>% in 201</w:t>
      </w:r>
      <w:r w:rsidR="00284E5A">
        <w:rPr>
          <w:rFonts w:cs="Arial"/>
          <w:color w:val="000000"/>
          <w:lang w:val="en-US"/>
        </w:rPr>
        <w:t>8</w:t>
      </w:r>
      <w:r w:rsidRPr="00384A60">
        <w:rPr>
          <w:rFonts w:cs="Arial"/>
          <w:color w:val="000000"/>
          <w:lang w:val="en-US"/>
        </w:rPr>
        <w:t>.</w:t>
      </w:r>
    </w:p>
    <w:p w:rsidR="00950877" w:rsidRPr="00384A60" w:rsidRDefault="00950877" w:rsidP="00950877">
      <w:pPr>
        <w:numPr>
          <w:ilvl w:val="0"/>
          <w:numId w:val="124"/>
        </w:numPr>
        <w:tabs>
          <w:tab w:val="clear" w:pos="1440"/>
          <w:tab w:val="num" w:pos="283"/>
        </w:tabs>
        <w:spacing w:before="0" w:after="0"/>
        <w:ind w:left="283" w:hanging="283"/>
        <w:jc w:val="both"/>
        <w:rPr>
          <w:rFonts w:cs="Arial"/>
          <w:color w:val="000000"/>
          <w:lang w:val="en-US"/>
        </w:rPr>
      </w:pPr>
      <w:r w:rsidRPr="00384A60">
        <w:rPr>
          <w:rFonts w:cs="Arial"/>
          <w:color w:val="000000"/>
          <w:lang w:val="en-US"/>
        </w:rPr>
        <w:t>Commercial properties have increased by</w:t>
      </w:r>
      <w:r w:rsidR="00103FBB">
        <w:rPr>
          <w:rFonts w:cs="Arial"/>
          <w:color w:val="000000"/>
          <w:lang w:val="en-US"/>
        </w:rPr>
        <w:t xml:space="preserve"> 6.7</w:t>
      </w:r>
      <w:r w:rsidRPr="00384A60">
        <w:rPr>
          <w:rFonts w:cs="Arial"/>
          <w:color w:val="000000"/>
          <w:lang w:val="en-US"/>
        </w:rPr>
        <w:t xml:space="preserve">% with the increase for the CBD at </w:t>
      </w:r>
      <w:r w:rsidR="00103FBB">
        <w:rPr>
          <w:rFonts w:cs="Arial"/>
          <w:color w:val="000000"/>
          <w:lang w:val="en-US"/>
        </w:rPr>
        <w:t>7.7</w:t>
      </w:r>
      <w:r w:rsidRPr="00384A60">
        <w:rPr>
          <w:rFonts w:cs="Arial"/>
          <w:color w:val="000000"/>
          <w:lang w:val="en-US"/>
        </w:rPr>
        <w:t>%.</w:t>
      </w:r>
    </w:p>
    <w:p w:rsidR="00950877" w:rsidRPr="00384A60" w:rsidRDefault="00950877" w:rsidP="00950877">
      <w:pPr>
        <w:numPr>
          <w:ilvl w:val="0"/>
          <w:numId w:val="124"/>
        </w:numPr>
        <w:tabs>
          <w:tab w:val="clear" w:pos="1440"/>
          <w:tab w:val="num" w:pos="283"/>
        </w:tabs>
        <w:spacing w:before="0" w:after="0"/>
        <w:ind w:left="283" w:hanging="283"/>
        <w:jc w:val="both"/>
        <w:rPr>
          <w:rFonts w:cs="Arial"/>
          <w:color w:val="000000"/>
          <w:lang w:val="en-US"/>
        </w:rPr>
      </w:pPr>
      <w:r w:rsidRPr="00384A60">
        <w:rPr>
          <w:rFonts w:cs="Arial"/>
          <w:color w:val="000000"/>
          <w:lang w:val="en-US"/>
        </w:rPr>
        <w:t xml:space="preserve">Industrial properties have increased on average at </w:t>
      </w:r>
      <w:r w:rsidR="00103FBB">
        <w:rPr>
          <w:rFonts w:cs="Arial"/>
          <w:color w:val="000000"/>
          <w:lang w:val="en-US"/>
        </w:rPr>
        <w:t>10.0</w:t>
      </w:r>
      <w:r w:rsidRPr="00384A60">
        <w:rPr>
          <w:rFonts w:cs="Arial"/>
          <w:color w:val="000000"/>
          <w:lang w:val="en-US"/>
        </w:rPr>
        <w:t xml:space="preserve">% compared to an increase of </w:t>
      </w:r>
      <w:r w:rsidR="00284E5A">
        <w:rPr>
          <w:rFonts w:cs="Arial"/>
          <w:color w:val="000000"/>
          <w:lang w:val="en-US"/>
        </w:rPr>
        <w:t>10.7</w:t>
      </w:r>
      <w:r w:rsidRPr="00384A60">
        <w:rPr>
          <w:rFonts w:cs="Arial"/>
          <w:color w:val="000000"/>
          <w:lang w:val="en-US"/>
        </w:rPr>
        <w:t>% in 201</w:t>
      </w:r>
      <w:r w:rsidR="00284E5A">
        <w:rPr>
          <w:rFonts w:cs="Arial"/>
          <w:color w:val="000000"/>
          <w:lang w:val="en-US"/>
        </w:rPr>
        <w:t>8</w:t>
      </w:r>
      <w:r w:rsidRPr="00384A60">
        <w:rPr>
          <w:rFonts w:cs="Arial"/>
          <w:color w:val="000000"/>
          <w:lang w:val="en-US"/>
        </w:rPr>
        <w:t xml:space="preserve">. </w:t>
      </w:r>
    </w:p>
    <w:p w:rsidR="00950877" w:rsidRDefault="00950877" w:rsidP="00950877">
      <w:pPr>
        <w:numPr>
          <w:ilvl w:val="0"/>
          <w:numId w:val="124"/>
        </w:numPr>
        <w:tabs>
          <w:tab w:val="clear" w:pos="1440"/>
          <w:tab w:val="num" w:pos="283"/>
        </w:tabs>
        <w:spacing w:before="0" w:after="0"/>
        <w:ind w:left="283" w:hanging="283"/>
        <w:jc w:val="both"/>
        <w:rPr>
          <w:rFonts w:cs="Arial"/>
          <w:color w:val="000000"/>
          <w:lang w:val="en-US"/>
        </w:rPr>
      </w:pPr>
      <w:r w:rsidRPr="00384A60">
        <w:rPr>
          <w:rFonts w:cs="Arial"/>
          <w:color w:val="000000"/>
          <w:lang w:val="en-US"/>
        </w:rPr>
        <w:t xml:space="preserve">Average increase in vacant land is </w:t>
      </w:r>
      <w:r w:rsidR="00284E5A">
        <w:rPr>
          <w:rFonts w:cs="Arial"/>
          <w:color w:val="000000"/>
          <w:lang w:val="en-US"/>
        </w:rPr>
        <w:t>25.</w:t>
      </w:r>
      <w:r w:rsidR="00103FBB">
        <w:rPr>
          <w:rFonts w:cs="Arial"/>
          <w:color w:val="000000"/>
          <w:lang w:val="en-US"/>
        </w:rPr>
        <w:t>5</w:t>
      </w:r>
      <w:r w:rsidR="00096454">
        <w:rPr>
          <w:rFonts w:cs="Arial"/>
          <w:color w:val="000000"/>
          <w:lang w:val="en-US"/>
        </w:rPr>
        <w:t>%</w:t>
      </w:r>
      <w:r w:rsidRPr="00384A60">
        <w:rPr>
          <w:rFonts w:cs="Arial"/>
          <w:color w:val="000000"/>
          <w:lang w:val="en-US"/>
        </w:rPr>
        <w:t xml:space="preserve"> compared with an increase of </w:t>
      </w:r>
      <w:r w:rsidR="00284E5A">
        <w:rPr>
          <w:rFonts w:cs="Arial"/>
          <w:color w:val="000000"/>
          <w:lang w:val="en-US"/>
        </w:rPr>
        <w:t>18.2</w:t>
      </w:r>
      <w:r w:rsidRPr="00384A60">
        <w:rPr>
          <w:rFonts w:cs="Arial"/>
          <w:color w:val="000000"/>
          <w:lang w:val="en-US"/>
        </w:rPr>
        <w:t>% in 201</w:t>
      </w:r>
      <w:r w:rsidR="00284E5A">
        <w:rPr>
          <w:rFonts w:cs="Arial"/>
          <w:color w:val="000000"/>
          <w:lang w:val="en-US"/>
        </w:rPr>
        <w:t>8</w:t>
      </w:r>
      <w:r w:rsidRPr="00384A60">
        <w:rPr>
          <w:rFonts w:cs="Arial"/>
          <w:color w:val="000000"/>
          <w:lang w:val="en-US"/>
        </w:rPr>
        <w:t xml:space="preserve">. </w:t>
      </w:r>
    </w:p>
    <w:p w:rsidR="00950877" w:rsidRDefault="00950877">
      <w:pPr>
        <w:pStyle w:val="Heading3A"/>
      </w:pPr>
      <w:r>
        <w:t>Residential</w:t>
      </w:r>
    </w:p>
    <w:p w:rsidR="00950877" w:rsidRPr="00DC7325" w:rsidRDefault="00950877" w:rsidP="00950877">
      <w:pPr>
        <w:jc w:val="both"/>
        <w:rPr>
          <w:rFonts w:cs="Arial"/>
          <w:color w:val="000000"/>
          <w:lang w:val="en-US"/>
        </w:rPr>
      </w:pPr>
      <w:r w:rsidRPr="00DC7325">
        <w:rPr>
          <w:rFonts w:cs="Arial"/>
          <w:color w:val="000000"/>
          <w:lang w:val="en-US"/>
        </w:rPr>
        <w:t xml:space="preserve">Overall </w:t>
      </w:r>
      <w:r w:rsidR="00103FBB">
        <w:rPr>
          <w:rFonts w:cs="Arial"/>
          <w:color w:val="000000"/>
          <w:lang w:val="en-US"/>
        </w:rPr>
        <w:t xml:space="preserve">110,102 </w:t>
      </w:r>
      <w:r w:rsidRPr="00DC7325">
        <w:rPr>
          <w:rFonts w:cs="Arial"/>
          <w:color w:val="000000"/>
          <w:lang w:val="en-US"/>
        </w:rPr>
        <w:t xml:space="preserve">residential properties have increased by an average of </w:t>
      </w:r>
      <w:r w:rsidR="00284E5A">
        <w:rPr>
          <w:rFonts w:cs="Arial"/>
          <w:color w:val="000000"/>
          <w:lang w:val="en-US"/>
        </w:rPr>
        <w:t>13.</w:t>
      </w:r>
      <w:r w:rsidR="00103FBB">
        <w:rPr>
          <w:rFonts w:cs="Arial"/>
          <w:color w:val="000000"/>
          <w:lang w:val="en-US"/>
        </w:rPr>
        <w:t>1</w:t>
      </w:r>
      <w:r w:rsidRPr="00DC7325">
        <w:rPr>
          <w:rFonts w:cs="Arial"/>
          <w:color w:val="000000"/>
          <w:lang w:val="en-US"/>
        </w:rPr>
        <w:t xml:space="preserve">% compared to an average increase of </w:t>
      </w:r>
      <w:r w:rsidR="00284E5A">
        <w:rPr>
          <w:rFonts w:cs="Arial"/>
          <w:color w:val="000000"/>
          <w:lang w:val="en-US"/>
        </w:rPr>
        <w:t>19.9</w:t>
      </w:r>
      <w:r w:rsidRPr="00DC7325">
        <w:rPr>
          <w:rFonts w:cs="Arial"/>
          <w:color w:val="000000"/>
          <w:lang w:val="en-US"/>
        </w:rPr>
        <w:t>% at the 201</w:t>
      </w:r>
      <w:r w:rsidR="00284E5A">
        <w:rPr>
          <w:rFonts w:cs="Arial"/>
          <w:color w:val="000000"/>
          <w:lang w:val="en-US"/>
        </w:rPr>
        <w:t>8</w:t>
      </w:r>
      <w:r w:rsidRPr="00DC7325">
        <w:rPr>
          <w:rFonts w:cs="Arial"/>
          <w:color w:val="000000"/>
          <w:lang w:val="en-US"/>
        </w:rPr>
        <w:t xml:space="preserve"> revaluation. The average residential capital improved value has moved from $</w:t>
      </w:r>
      <w:r w:rsidR="00284E5A">
        <w:rPr>
          <w:rFonts w:cs="Arial"/>
          <w:color w:val="000000"/>
          <w:lang w:val="en-US"/>
        </w:rPr>
        <w:t>48</w:t>
      </w:r>
      <w:r w:rsidR="00103FBB">
        <w:rPr>
          <w:rFonts w:cs="Arial"/>
          <w:color w:val="000000"/>
          <w:lang w:val="en-US"/>
        </w:rPr>
        <w:t>2,976</w:t>
      </w:r>
      <w:r w:rsidRPr="00DC7325">
        <w:rPr>
          <w:rFonts w:cs="Arial"/>
          <w:color w:val="000000"/>
          <w:lang w:val="en-US"/>
        </w:rPr>
        <w:t xml:space="preserve"> to $</w:t>
      </w:r>
      <w:r w:rsidR="00284E5A">
        <w:rPr>
          <w:rFonts w:cs="Arial"/>
          <w:color w:val="000000"/>
          <w:lang w:val="en-US"/>
        </w:rPr>
        <w:t>546,</w:t>
      </w:r>
      <w:r w:rsidR="00103FBB">
        <w:rPr>
          <w:rFonts w:cs="Arial"/>
          <w:color w:val="000000"/>
          <w:lang w:val="en-US"/>
        </w:rPr>
        <w:t>151</w:t>
      </w:r>
      <w:r w:rsidRPr="00DC7325">
        <w:rPr>
          <w:rFonts w:cs="Arial"/>
          <w:color w:val="000000"/>
          <w:lang w:val="en-US"/>
        </w:rPr>
        <w:t>.</w:t>
      </w:r>
    </w:p>
    <w:p w:rsidR="00950877" w:rsidRDefault="00950877" w:rsidP="00950877">
      <w:pPr>
        <w:jc w:val="both"/>
        <w:rPr>
          <w:rFonts w:cs="Arial"/>
          <w:lang w:val="en-US"/>
        </w:rPr>
      </w:pPr>
      <w:r>
        <w:rPr>
          <w:rFonts w:cs="Arial"/>
          <w:lang w:val="en-US"/>
        </w:rPr>
        <w:t xml:space="preserve">The average growth in the number of residential properties is </w:t>
      </w:r>
      <w:r w:rsidR="00284E5A">
        <w:rPr>
          <w:rFonts w:cs="Arial"/>
          <w:lang w:val="en-US"/>
        </w:rPr>
        <w:t>2,4</w:t>
      </w:r>
      <w:r w:rsidR="00103FBB">
        <w:rPr>
          <w:rFonts w:cs="Arial"/>
          <w:lang w:val="en-US"/>
        </w:rPr>
        <w:t>65</w:t>
      </w:r>
      <w:r>
        <w:rPr>
          <w:rFonts w:cs="Arial"/>
          <w:lang w:val="en-US"/>
        </w:rPr>
        <w:t xml:space="preserve"> properties or </w:t>
      </w:r>
      <w:r w:rsidR="00284E5A">
        <w:rPr>
          <w:rFonts w:cs="Arial"/>
          <w:lang w:val="en-US"/>
        </w:rPr>
        <w:t>2.3</w:t>
      </w:r>
      <w:r>
        <w:rPr>
          <w:rFonts w:cs="Arial"/>
          <w:lang w:val="en-US"/>
        </w:rPr>
        <w:t>% overall from 201</w:t>
      </w:r>
      <w:r w:rsidR="00284E5A">
        <w:rPr>
          <w:rFonts w:cs="Arial"/>
          <w:lang w:val="en-US"/>
        </w:rPr>
        <w:t>8</w:t>
      </w:r>
      <w:r>
        <w:rPr>
          <w:rFonts w:cs="Arial"/>
          <w:lang w:val="en-US"/>
        </w:rPr>
        <w:t xml:space="preserve"> to 201</w:t>
      </w:r>
      <w:r w:rsidR="00284E5A">
        <w:rPr>
          <w:rFonts w:cs="Arial"/>
          <w:lang w:val="en-US"/>
        </w:rPr>
        <w:t>9</w:t>
      </w:r>
      <w:r>
        <w:rPr>
          <w:rFonts w:cs="Arial"/>
          <w:lang w:val="en-US"/>
        </w:rPr>
        <w:t>. This growth contributes to the increase in CIV.</w:t>
      </w:r>
    </w:p>
    <w:p w:rsidR="00950877" w:rsidRPr="00C97BD0" w:rsidRDefault="00950877" w:rsidP="00950877">
      <w:pPr>
        <w:jc w:val="both"/>
        <w:rPr>
          <w:rFonts w:cs="Arial"/>
          <w:b/>
          <w:color w:val="000000"/>
          <w:lang w:val="en-US"/>
        </w:rPr>
      </w:pPr>
      <w:r w:rsidRPr="00C97BD0">
        <w:rPr>
          <w:rFonts w:cs="Arial"/>
          <w:b/>
          <w:color w:val="000000"/>
          <w:lang w:val="en-US"/>
        </w:rPr>
        <w:t>Impact Analysis</w:t>
      </w:r>
    </w:p>
    <w:p w:rsidR="00950877" w:rsidRDefault="00950877" w:rsidP="00950877">
      <w:pPr>
        <w:jc w:val="both"/>
        <w:rPr>
          <w:rFonts w:cs="Arial"/>
          <w:color w:val="000000"/>
          <w:lang w:val="en-US"/>
        </w:rPr>
      </w:pPr>
      <w:r>
        <w:rPr>
          <w:rFonts w:cs="Arial"/>
          <w:color w:val="000000"/>
          <w:lang w:val="en-US"/>
        </w:rPr>
        <w:t xml:space="preserve">The preliminary results indicate that there is significant spread of valuation movements and the average movement of </w:t>
      </w:r>
      <w:r w:rsidR="00ED75DC">
        <w:rPr>
          <w:rFonts w:cs="Arial"/>
          <w:color w:val="000000"/>
          <w:lang w:val="en-US"/>
        </w:rPr>
        <w:t>13.</w:t>
      </w:r>
      <w:r w:rsidR="00103FBB">
        <w:rPr>
          <w:rFonts w:cs="Arial"/>
          <w:color w:val="000000"/>
          <w:lang w:val="en-US"/>
        </w:rPr>
        <w:t>1</w:t>
      </w:r>
      <w:r>
        <w:rPr>
          <w:rFonts w:cs="Arial"/>
          <w:color w:val="000000"/>
          <w:lang w:val="en-US"/>
        </w:rPr>
        <w:t>% is n</w:t>
      </w:r>
      <w:r w:rsidR="00B240ED">
        <w:rPr>
          <w:rFonts w:cs="Arial"/>
          <w:color w:val="000000"/>
          <w:lang w:val="en-US"/>
        </w:rPr>
        <w:t>ot uniform. The lowest movement was in Swan Bay at 0.9% with the largest in Batesford at 3</w:t>
      </w:r>
      <w:r w:rsidR="00103FBB">
        <w:rPr>
          <w:rFonts w:cs="Arial"/>
          <w:color w:val="000000"/>
          <w:lang w:val="en-US"/>
        </w:rPr>
        <w:t>4.7</w:t>
      </w:r>
      <w:r w:rsidR="00B240ED">
        <w:rPr>
          <w:rFonts w:cs="Arial"/>
          <w:color w:val="000000"/>
          <w:lang w:val="en-US"/>
        </w:rPr>
        <w:t>%.</w:t>
      </w:r>
    </w:p>
    <w:p w:rsidR="00B240ED" w:rsidRDefault="00B240ED" w:rsidP="00950877">
      <w:pPr>
        <w:jc w:val="both"/>
        <w:rPr>
          <w:rFonts w:cs="Arial"/>
          <w:color w:val="000000"/>
          <w:lang w:val="en-US"/>
        </w:rPr>
      </w:pPr>
      <w:r>
        <w:rPr>
          <w:rFonts w:cs="Arial"/>
          <w:color w:val="000000"/>
          <w:lang w:val="en-US"/>
        </w:rPr>
        <w:t>Nearly half of Geelong’s residential population is in nine suburbs. Of the 110,</w:t>
      </w:r>
      <w:r w:rsidR="00103FBB">
        <w:rPr>
          <w:rFonts w:cs="Arial"/>
          <w:color w:val="000000"/>
          <w:lang w:val="en-US"/>
        </w:rPr>
        <w:t>1</w:t>
      </w:r>
      <w:r>
        <w:rPr>
          <w:rFonts w:cs="Arial"/>
          <w:color w:val="000000"/>
          <w:lang w:val="en-US"/>
        </w:rPr>
        <w:t>0</w:t>
      </w:r>
      <w:r w:rsidR="00103FBB">
        <w:rPr>
          <w:rFonts w:cs="Arial"/>
          <w:color w:val="000000"/>
          <w:lang w:val="en-US"/>
        </w:rPr>
        <w:t>2</w:t>
      </w:r>
      <w:r>
        <w:rPr>
          <w:rFonts w:cs="Arial"/>
          <w:color w:val="000000"/>
          <w:lang w:val="en-US"/>
        </w:rPr>
        <w:t xml:space="preserve"> residences, 54,</w:t>
      </w:r>
      <w:r w:rsidR="00103FBB">
        <w:rPr>
          <w:rFonts w:cs="Arial"/>
          <w:color w:val="000000"/>
          <w:lang w:val="en-US"/>
        </w:rPr>
        <w:t xml:space="preserve">409 </w:t>
      </w:r>
      <w:r>
        <w:rPr>
          <w:rFonts w:cs="Arial"/>
          <w:color w:val="000000"/>
          <w:lang w:val="en-US"/>
        </w:rPr>
        <w:t>are affected by the following suburb revaluation movements:</w:t>
      </w:r>
    </w:p>
    <w:p w:rsidR="00B240ED" w:rsidRDefault="0096730B" w:rsidP="00950877">
      <w:pPr>
        <w:jc w:val="both"/>
        <w:rPr>
          <w:rFonts w:cs="Arial"/>
          <w:color w:val="000000"/>
          <w:lang w:val="en-US"/>
        </w:rPr>
      </w:pPr>
      <w:r w:rsidRPr="0096730B">
        <w:rPr>
          <w:noProof/>
          <w:lang w:eastAsia="en-AU"/>
        </w:rPr>
        <w:drawing>
          <wp:inline distT="0" distB="0" distL="0" distR="0">
            <wp:extent cx="5400040" cy="2511865"/>
            <wp:effectExtent l="0" t="0" r="0" b="317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511865"/>
                    </a:xfrm>
                    <a:prstGeom prst="rect">
                      <a:avLst/>
                    </a:prstGeom>
                    <a:noFill/>
                    <a:ln>
                      <a:noFill/>
                    </a:ln>
                  </pic:spPr>
                </pic:pic>
              </a:graphicData>
            </a:graphic>
          </wp:inline>
        </w:drawing>
      </w:r>
    </w:p>
    <w:p w:rsidR="00B240ED" w:rsidRDefault="00B240ED" w:rsidP="005167B1">
      <w:pPr>
        <w:jc w:val="both"/>
      </w:pPr>
      <w:r>
        <w:lastRenderedPageBreak/>
        <w:t>Residential property on the Bellarine Peninsula represents 22.6% of the municipality and the average increase is 15.4%. The following table provides a comparison by suburb for the 2018 and 2019 revaluations:</w:t>
      </w:r>
    </w:p>
    <w:p w:rsidR="00B240ED" w:rsidRDefault="0096730B" w:rsidP="008065B2">
      <w:r w:rsidRPr="0096730B">
        <w:rPr>
          <w:noProof/>
          <w:lang w:eastAsia="en-AU"/>
        </w:rPr>
        <w:drawing>
          <wp:inline distT="0" distB="0" distL="0" distR="0">
            <wp:extent cx="5400040" cy="3781910"/>
            <wp:effectExtent l="0" t="0" r="0"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3781910"/>
                    </a:xfrm>
                    <a:prstGeom prst="rect">
                      <a:avLst/>
                    </a:prstGeom>
                    <a:noFill/>
                    <a:ln>
                      <a:noFill/>
                    </a:ln>
                  </pic:spPr>
                </pic:pic>
              </a:graphicData>
            </a:graphic>
          </wp:inline>
        </w:drawing>
      </w:r>
    </w:p>
    <w:p w:rsidR="00B240ED" w:rsidRDefault="00C05662" w:rsidP="00B240ED">
      <w:pPr>
        <w:pStyle w:val="Heading3A"/>
      </w:pPr>
      <w:r>
        <w:t>Fa</w:t>
      </w:r>
      <w:r w:rsidR="00B240ED">
        <w:t>rm</w:t>
      </w:r>
    </w:p>
    <w:p w:rsidR="00B240ED" w:rsidRDefault="00B240ED" w:rsidP="00B240ED">
      <w:pPr>
        <w:pStyle w:val="Heading3A"/>
        <w:rPr>
          <w:color w:val="auto"/>
        </w:rPr>
      </w:pPr>
      <w:r>
        <w:rPr>
          <w:color w:val="auto"/>
        </w:rPr>
        <w:t>Overall 99</w:t>
      </w:r>
      <w:r w:rsidR="00103FBB">
        <w:rPr>
          <w:color w:val="auto"/>
        </w:rPr>
        <w:t>1</w:t>
      </w:r>
      <w:r>
        <w:rPr>
          <w:color w:val="auto"/>
        </w:rPr>
        <w:t xml:space="preserve"> farm valuations recorded an average increase of 32.</w:t>
      </w:r>
      <w:r w:rsidR="00103FBB">
        <w:rPr>
          <w:color w:val="auto"/>
        </w:rPr>
        <w:t>5</w:t>
      </w:r>
      <w:r>
        <w:rPr>
          <w:color w:val="auto"/>
        </w:rPr>
        <w:t>% compared to an increase of 12.9% in 2018.</w:t>
      </w:r>
    </w:p>
    <w:p w:rsidR="00FB297D" w:rsidRDefault="00B240ED" w:rsidP="005167B1">
      <w:pPr>
        <w:jc w:val="both"/>
      </w:pPr>
      <w:r w:rsidRPr="00C97BD0">
        <w:rPr>
          <w:rFonts w:cs="Arial"/>
          <w:b/>
          <w:color w:val="000000"/>
          <w:lang w:val="en-US"/>
        </w:rPr>
        <w:t>Impact Analysis</w:t>
      </w:r>
    </w:p>
    <w:p w:rsidR="00B240ED" w:rsidRDefault="00EF3502" w:rsidP="005167B1">
      <w:pPr>
        <w:jc w:val="both"/>
      </w:pPr>
      <w:r>
        <w:t>Farms on the Bellarine Peninsula make up 43.1% of all farms and the average increase is 19.0%.</w:t>
      </w:r>
    </w:p>
    <w:p w:rsidR="00FB297D" w:rsidRDefault="00FB297D" w:rsidP="005167B1">
      <w:pPr>
        <w:jc w:val="both"/>
      </w:pPr>
      <w:r>
        <w:t>Larger than average valuation movements have been in the northern suburbs. The following table shows the increases in those suburbs:</w:t>
      </w:r>
    </w:p>
    <w:p w:rsidR="00EF3502" w:rsidRPr="000A1EC7" w:rsidRDefault="0096730B" w:rsidP="00B240ED">
      <w:pPr>
        <w:pStyle w:val="Heading3A"/>
        <w:rPr>
          <w:color w:val="auto"/>
        </w:rPr>
      </w:pPr>
      <w:r w:rsidRPr="0096730B">
        <w:rPr>
          <w:noProof/>
          <w:lang w:eastAsia="en-AU"/>
        </w:rPr>
        <w:lastRenderedPageBreak/>
        <w:drawing>
          <wp:inline distT="0" distB="0" distL="0" distR="0">
            <wp:extent cx="5400040" cy="2718835"/>
            <wp:effectExtent l="0" t="0" r="0" b="571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2718835"/>
                    </a:xfrm>
                    <a:prstGeom prst="rect">
                      <a:avLst/>
                    </a:prstGeom>
                    <a:noFill/>
                    <a:ln>
                      <a:noFill/>
                    </a:ln>
                  </pic:spPr>
                </pic:pic>
              </a:graphicData>
            </a:graphic>
          </wp:inline>
        </w:drawing>
      </w:r>
    </w:p>
    <w:p w:rsidR="00201758" w:rsidRDefault="00201758" w:rsidP="005167B1">
      <w:pPr>
        <w:pStyle w:val="Heading3A"/>
        <w:spacing w:after="0"/>
      </w:pPr>
      <w:r>
        <w:t>Commercial</w:t>
      </w:r>
    </w:p>
    <w:p w:rsidR="00201758" w:rsidRDefault="00201758" w:rsidP="005167B1">
      <w:pPr>
        <w:jc w:val="both"/>
      </w:pPr>
      <w:r>
        <w:t>A total of 5,</w:t>
      </w:r>
      <w:r w:rsidR="00E97042">
        <w:t xml:space="preserve">927 </w:t>
      </w:r>
      <w:r w:rsidR="005165A8">
        <w:t>commercial properties valuation</w:t>
      </w:r>
      <w:r w:rsidR="00E86B96">
        <w:t>s</w:t>
      </w:r>
      <w:r w:rsidR="005165A8">
        <w:t xml:space="preserve"> have increased on average </w:t>
      </w:r>
      <w:r w:rsidR="00E97042">
        <w:t>6.7</w:t>
      </w:r>
      <w:r w:rsidR="005165A8">
        <w:t>% compared to 10.3% in 2018. The number of properties has increased by 1.4%.</w:t>
      </w:r>
    </w:p>
    <w:p w:rsidR="005165A8" w:rsidRDefault="005165A8" w:rsidP="005165A8">
      <w:pPr>
        <w:jc w:val="both"/>
        <w:rPr>
          <w:rFonts w:cs="Arial"/>
          <w:b/>
          <w:color w:val="000000"/>
          <w:lang w:val="en-US"/>
        </w:rPr>
      </w:pPr>
      <w:r w:rsidRPr="00C97BD0">
        <w:rPr>
          <w:rFonts w:cs="Arial"/>
          <w:b/>
          <w:color w:val="000000"/>
          <w:lang w:val="en-US"/>
        </w:rPr>
        <w:t>Impact Analysis</w:t>
      </w:r>
    </w:p>
    <w:p w:rsidR="005F12D2" w:rsidRDefault="005F12D2" w:rsidP="005167B1">
      <w:pPr>
        <w:jc w:val="both"/>
      </w:pPr>
      <w:r>
        <w:t>The main area of commercial activity (1,69</w:t>
      </w:r>
      <w:r w:rsidR="00E97042">
        <w:t>8</w:t>
      </w:r>
      <w:r>
        <w:t xml:space="preserve"> properties) in </w:t>
      </w:r>
      <w:r w:rsidR="00466527">
        <w:t>c</w:t>
      </w:r>
      <w:r>
        <w:t xml:space="preserve">entral Geelong increased by an average of </w:t>
      </w:r>
      <w:r w:rsidR="00E97042">
        <w:t>7.7</w:t>
      </w:r>
      <w:r>
        <w:t>%.</w:t>
      </w:r>
    </w:p>
    <w:p w:rsidR="005F12D2" w:rsidRDefault="005F12D2" w:rsidP="005167B1">
      <w:pPr>
        <w:jc w:val="both"/>
      </w:pPr>
      <w:r>
        <w:t>The following table shows a comparison of the suburbs with the highest number of properties for the 2018 ad 2019 revaluations:</w:t>
      </w:r>
    </w:p>
    <w:p w:rsidR="005F12D2" w:rsidRPr="00C97BD0" w:rsidRDefault="005F12D2" w:rsidP="005165A8">
      <w:pPr>
        <w:jc w:val="both"/>
        <w:rPr>
          <w:rFonts w:cs="Arial"/>
          <w:b/>
          <w:color w:val="000000"/>
          <w:lang w:val="en-US"/>
        </w:rPr>
      </w:pPr>
    </w:p>
    <w:p w:rsidR="005165A8" w:rsidRPr="000A1EC7" w:rsidRDefault="00E97042" w:rsidP="00201758">
      <w:pPr>
        <w:pStyle w:val="Heading3A"/>
        <w:rPr>
          <w:color w:val="auto"/>
        </w:rPr>
      </w:pPr>
      <w:r w:rsidRPr="00E97042">
        <w:rPr>
          <w:noProof/>
          <w:lang w:eastAsia="en-AU"/>
        </w:rPr>
        <w:lastRenderedPageBreak/>
        <w:drawing>
          <wp:inline distT="0" distB="0" distL="0" distR="0">
            <wp:extent cx="5400040" cy="4148811"/>
            <wp:effectExtent l="0" t="0" r="0" b="444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4148811"/>
                    </a:xfrm>
                    <a:prstGeom prst="rect">
                      <a:avLst/>
                    </a:prstGeom>
                    <a:noFill/>
                    <a:ln>
                      <a:noFill/>
                    </a:ln>
                  </pic:spPr>
                </pic:pic>
              </a:graphicData>
            </a:graphic>
          </wp:inline>
        </w:drawing>
      </w:r>
    </w:p>
    <w:p w:rsidR="000A1681" w:rsidRDefault="000A1681" w:rsidP="000A1681">
      <w:pPr>
        <w:pStyle w:val="Heading3A"/>
      </w:pPr>
      <w:r>
        <w:t>Industrial</w:t>
      </w:r>
    </w:p>
    <w:p w:rsidR="000A1681" w:rsidRPr="00E14358" w:rsidRDefault="00C612FE" w:rsidP="005167B1">
      <w:pPr>
        <w:jc w:val="both"/>
      </w:pPr>
      <w:r>
        <w:t xml:space="preserve">A total of 2,153 industrial properties valuations have increased on average </w:t>
      </w:r>
      <w:r w:rsidR="00E97042">
        <w:t>10.0</w:t>
      </w:r>
      <w:r>
        <w:t>% compared to 10.7% in 2018. The number of properties has increased by 2.8%.</w:t>
      </w:r>
    </w:p>
    <w:p w:rsidR="00C612FE" w:rsidRPr="00C97BD0" w:rsidRDefault="00C612FE" w:rsidP="00C612FE">
      <w:pPr>
        <w:jc w:val="both"/>
        <w:rPr>
          <w:rFonts w:cs="Arial"/>
          <w:b/>
          <w:color w:val="000000"/>
          <w:lang w:val="en-US"/>
        </w:rPr>
      </w:pPr>
      <w:r w:rsidRPr="00C97BD0">
        <w:rPr>
          <w:rFonts w:cs="Arial"/>
          <w:b/>
          <w:color w:val="000000"/>
          <w:lang w:val="en-US"/>
        </w:rPr>
        <w:t>Impact Analysis</w:t>
      </w:r>
    </w:p>
    <w:p w:rsidR="00B240ED" w:rsidRDefault="00C612FE" w:rsidP="005167B1">
      <w:pPr>
        <w:jc w:val="both"/>
      </w:pPr>
      <w:r>
        <w:t xml:space="preserve">The majority of industrial properties are in the following five suburbs which have had movements of between -5.4% and </w:t>
      </w:r>
      <w:r w:rsidR="00E97042">
        <w:t>46.7</w:t>
      </w:r>
      <w:r>
        <w:t>%.</w:t>
      </w:r>
    </w:p>
    <w:p w:rsidR="00C612FE" w:rsidRDefault="00E97042" w:rsidP="00E14358">
      <w:r w:rsidRPr="00E97042">
        <w:rPr>
          <w:noProof/>
          <w:lang w:eastAsia="en-AU"/>
        </w:rPr>
        <w:drawing>
          <wp:inline distT="0" distB="0" distL="0" distR="0">
            <wp:extent cx="5400040" cy="1825101"/>
            <wp:effectExtent l="0" t="0" r="0" b="381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1825101"/>
                    </a:xfrm>
                    <a:prstGeom prst="rect">
                      <a:avLst/>
                    </a:prstGeom>
                    <a:noFill/>
                    <a:ln>
                      <a:noFill/>
                    </a:ln>
                  </pic:spPr>
                </pic:pic>
              </a:graphicData>
            </a:graphic>
          </wp:inline>
        </w:drawing>
      </w:r>
    </w:p>
    <w:p w:rsidR="00921298" w:rsidRDefault="00921298" w:rsidP="00921298">
      <w:pPr>
        <w:pStyle w:val="Heading3A"/>
      </w:pPr>
      <w:r>
        <w:lastRenderedPageBreak/>
        <w:t>Vacant</w:t>
      </w:r>
    </w:p>
    <w:p w:rsidR="00921298" w:rsidRPr="00E1664B" w:rsidRDefault="00921298" w:rsidP="005167B1">
      <w:pPr>
        <w:jc w:val="both"/>
      </w:pPr>
      <w:r>
        <w:t>A total of 6,</w:t>
      </w:r>
      <w:r w:rsidR="00E97042">
        <w:t xml:space="preserve">198 </w:t>
      </w:r>
      <w:r>
        <w:t>vacant land properties valuations have increased on average 25.</w:t>
      </w:r>
      <w:r w:rsidR="00E97042">
        <w:t>5</w:t>
      </w:r>
      <w:r>
        <w:t>% compared to 18.2% in 2018. The number of properties has increased by 10.0%.</w:t>
      </w:r>
    </w:p>
    <w:p w:rsidR="00921298" w:rsidRPr="00C97BD0" w:rsidRDefault="00921298" w:rsidP="00921298">
      <w:pPr>
        <w:jc w:val="both"/>
        <w:rPr>
          <w:rFonts w:cs="Arial"/>
          <w:b/>
          <w:color w:val="000000"/>
          <w:lang w:val="en-US"/>
        </w:rPr>
      </w:pPr>
      <w:r w:rsidRPr="00C97BD0">
        <w:rPr>
          <w:rFonts w:cs="Arial"/>
          <w:b/>
          <w:color w:val="000000"/>
          <w:lang w:val="en-US"/>
        </w:rPr>
        <w:t>Impact Analysis</w:t>
      </w:r>
    </w:p>
    <w:p w:rsidR="00D61445" w:rsidRDefault="00D61445" w:rsidP="005167B1">
      <w:pPr>
        <w:jc w:val="both"/>
      </w:pPr>
      <w:r>
        <w:t>The following table shows a comparison of the suburbs with the highest number of properties for the 2018 ad 2019 revaluations:</w:t>
      </w:r>
    </w:p>
    <w:p w:rsidR="00921298" w:rsidRPr="00E14358" w:rsidRDefault="00E97042" w:rsidP="00921298">
      <w:pPr>
        <w:pStyle w:val="Heading3A"/>
        <w:rPr>
          <w:color w:val="auto"/>
        </w:rPr>
      </w:pPr>
      <w:r w:rsidRPr="00E97042">
        <w:rPr>
          <w:noProof/>
          <w:lang w:eastAsia="en-AU"/>
        </w:rPr>
        <w:drawing>
          <wp:inline distT="0" distB="0" distL="0" distR="0">
            <wp:extent cx="5400040" cy="3433823"/>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3433823"/>
                    </a:xfrm>
                    <a:prstGeom prst="rect">
                      <a:avLst/>
                    </a:prstGeom>
                    <a:noFill/>
                    <a:ln>
                      <a:noFill/>
                    </a:ln>
                  </pic:spPr>
                </pic:pic>
              </a:graphicData>
            </a:graphic>
          </wp:inline>
        </w:drawing>
      </w:r>
    </w:p>
    <w:p w:rsidR="00D61445" w:rsidRDefault="00D61445" w:rsidP="00D61445">
      <w:pPr>
        <w:pStyle w:val="Heading3A"/>
      </w:pPr>
      <w:r>
        <w:t>Mixed Use</w:t>
      </w:r>
    </w:p>
    <w:p w:rsidR="00D61445" w:rsidRPr="00E1664B" w:rsidRDefault="00D61445" w:rsidP="005167B1">
      <w:pPr>
        <w:jc w:val="both"/>
      </w:pPr>
      <w:r>
        <w:t xml:space="preserve">A total of </w:t>
      </w:r>
      <w:r w:rsidR="00E97042">
        <w:t xml:space="preserve">330 </w:t>
      </w:r>
      <w:r>
        <w:t xml:space="preserve">vacant land properties valuations have increased on average </w:t>
      </w:r>
      <w:r w:rsidR="00E97042">
        <w:t>13.6</w:t>
      </w:r>
      <w:r>
        <w:t>% compared to 19.9% in 2018. The number of properties has decreased by (</w:t>
      </w:r>
      <w:r w:rsidR="005F1279">
        <w:t>1.5 %</w:t>
      </w:r>
      <w:r>
        <w:t>.).</w:t>
      </w:r>
    </w:p>
    <w:p w:rsidR="00D61445" w:rsidRPr="00C97BD0" w:rsidRDefault="00D61445" w:rsidP="00D61445">
      <w:pPr>
        <w:jc w:val="both"/>
        <w:rPr>
          <w:rFonts w:cs="Arial"/>
          <w:b/>
          <w:color w:val="000000"/>
          <w:lang w:val="en-US"/>
        </w:rPr>
      </w:pPr>
      <w:r w:rsidRPr="00C97BD0">
        <w:rPr>
          <w:rFonts w:cs="Arial"/>
          <w:b/>
          <w:color w:val="000000"/>
          <w:lang w:val="en-US"/>
        </w:rPr>
        <w:t>Impact Analysis</w:t>
      </w:r>
    </w:p>
    <w:p w:rsidR="00D61445" w:rsidRDefault="00D61445" w:rsidP="005167B1">
      <w:pPr>
        <w:jc w:val="both"/>
      </w:pPr>
      <w:r>
        <w:t>The following table shows a comparison of the suburbs with the highest number of properties for the 2018 ad 2019 revaluations:</w:t>
      </w:r>
    </w:p>
    <w:p w:rsidR="00D61445" w:rsidRPr="00D61445" w:rsidRDefault="00E97042" w:rsidP="008065B2">
      <w:r w:rsidRPr="00E97042">
        <w:rPr>
          <w:noProof/>
          <w:lang w:eastAsia="en-AU"/>
        </w:rPr>
        <w:lastRenderedPageBreak/>
        <w:drawing>
          <wp:inline distT="0" distB="0" distL="0" distR="0">
            <wp:extent cx="5400040" cy="2530681"/>
            <wp:effectExtent l="0" t="0" r="0" b="317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2530681"/>
                    </a:xfrm>
                    <a:prstGeom prst="rect">
                      <a:avLst/>
                    </a:prstGeom>
                    <a:noFill/>
                    <a:ln>
                      <a:noFill/>
                    </a:ln>
                  </pic:spPr>
                </pic:pic>
              </a:graphicData>
            </a:graphic>
          </wp:inline>
        </w:drawing>
      </w:r>
    </w:p>
    <w:p w:rsidR="00D61445" w:rsidRDefault="00D61445" w:rsidP="00D61445">
      <w:pPr>
        <w:pStyle w:val="Heading3A"/>
      </w:pPr>
      <w:r>
        <w:t>Cultural and Recreational</w:t>
      </w:r>
    </w:p>
    <w:p w:rsidR="00D61445" w:rsidRPr="00E1664B" w:rsidRDefault="00D61445" w:rsidP="005167B1">
      <w:pPr>
        <w:jc w:val="both"/>
      </w:pPr>
      <w:r>
        <w:t xml:space="preserve">A total of 53 cultural and recreational land properties valuations have increased on average </w:t>
      </w:r>
      <w:r w:rsidR="00E97042">
        <w:t>16.7</w:t>
      </w:r>
      <w:r>
        <w:t>% compared to 3.4% in 2018. The number of properties has increased by one.</w:t>
      </w:r>
    </w:p>
    <w:p w:rsidR="005F12D2" w:rsidRDefault="00D61445" w:rsidP="005F12D2">
      <w:pPr>
        <w:pStyle w:val="Heading3A"/>
        <w:rPr>
          <w:color w:val="auto"/>
        </w:rPr>
      </w:pPr>
      <w:r w:rsidRPr="00C97BD0">
        <w:rPr>
          <w:rFonts w:cs="Arial"/>
          <w:b/>
          <w:color w:val="000000"/>
          <w:lang w:val="en-US"/>
        </w:rPr>
        <w:t>Impact Analysis</w:t>
      </w:r>
      <w:r w:rsidR="005F12D2" w:rsidRPr="005F12D2">
        <w:rPr>
          <w:color w:val="auto"/>
        </w:rPr>
        <w:t xml:space="preserve"> </w:t>
      </w:r>
    </w:p>
    <w:p w:rsidR="005F12D2" w:rsidRDefault="005F12D2" w:rsidP="005167B1">
      <w:pPr>
        <w:jc w:val="both"/>
      </w:pPr>
      <w:r>
        <w:t>The following table shows a comparison of all suburbs for the 2018 ad 2019 revaluations:</w:t>
      </w:r>
    </w:p>
    <w:p w:rsidR="00D61445" w:rsidRPr="005167B1" w:rsidRDefault="00D61445" w:rsidP="00D61445">
      <w:pPr>
        <w:jc w:val="both"/>
      </w:pPr>
    </w:p>
    <w:p w:rsidR="00A82550" w:rsidRPr="00D61445" w:rsidRDefault="00E97042" w:rsidP="008065B2">
      <w:r w:rsidRPr="00E97042">
        <w:rPr>
          <w:noProof/>
          <w:lang w:eastAsia="en-AU"/>
        </w:rPr>
        <w:lastRenderedPageBreak/>
        <w:drawing>
          <wp:inline distT="0" distB="0" distL="0" distR="0">
            <wp:extent cx="5400040" cy="558819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5588195"/>
                    </a:xfrm>
                    <a:prstGeom prst="rect">
                      <a:avLst/>
                    </a:prstGeom>
                    <a:noFill/>
                    <a:ln>
                      <a:noFill/>
                    </a:ln>
                  </pic:spPr>
                </pic:pic>
              </a:graphicData>
            </a:graphic>
          </wp:inline>
        </w:drawing>
      </w:r>
    </w:p>
    <w:p w:rsidR="00A82550" w:rsidRDefault="00A82550" w:rsidP="00A82550">
      <w:pPr>
        <w:pStyle w:val="Heading3A"/>
      </w:pPr>
      <w:r>
        <w:t>Petroleum</w:t>
      </w:r>
    </w:p>
    <w:p w:rsidR="00A82550" w:rsidRDefault="00A82550" w:rsidP="005167B1">
      <w:pPr>
        <w:jc w:val="both"/>
      </w:pPr>
      <w:r w:rsidRPr="00583AE6">
        <w:t xml:space="preserve">The valuation for the one petroleum property has remained at the 2018 valuation </w:t>
      </w:r>
      <w:r w:rsidR="00E97042" w:rsidRPr="005167B1">
        <w:t xml:space="preserve">of $145,100,000 </w:t>
      </w:r>
      <w:r w:rsidRPr="00583AE6">
        <w:t>for 2019.</w:t>
      </w:r>
    </w:p>
    <w:p w:rsidR="00A82550" w:rsidRDefault="00A82550" w:rsidP="00A82550">
      <w:pPr>
        <w:pStyle w:val="Heading3A"/>
      </w:pPr>
      <w:r>
        <w:t>Rate Cap</w:t>
      </w:r>
    </w:p>
    <w:p w:rsidR="00A82550" w:rsidRDefault="00A82550" w:rsidP="005167B1">
      <w:pPr>
        <w:jc w:val="both"/>
      </w:pPr>
      <w:r>
        <w:t xml:space="preserve">The </w:t>
      </w:r>
      <w:r w:rsidRPr="005167B1">
        <w:rPr>
          <w:i/>
        </w:rPr>
        <w:t xml:space="preserve">Local Government Act </w:t>
      </w:r>
      <w:r w:rsidR="00B347F4" w:rsidRPr="005167B1">
        <w:rPr>
          <w:i/>
        </w:rPr>
        <w:t>1989</w:t>
      </w:r>
      <w:r w:rsidR="00B347F4">
        <w:t xml:space="preserve"> was</w:t>
      </w:r>
      <w:r>
        <w:t xml:space="preserve"> amended in December 2015 to include </w:t>
      </w:r>
      <w:r w:rsidR="00E86B96">
        <w:t xml:space="preserve">Part </w:t>
      </w:r>
      <w:r>
        <w:t xml:space="preserve">8A – Rate Caps, </w:t>
      </w:r>
      <w:r w:rsidR="00466527">
        <w:t xml:space="preserve">sections </w:t>
      </w:r>
      <w:r>
        <w:t>185A to 185G to promote the long term interests of ratepayers and the community in relation to sustainable outcomes in the delivery of services and infrastructure.</w:t>
      </w:r>
    </w:p>
    <w:p w:rsidR="00A82550" w:rsidRPr="00F33F45" w:rsidRDefault="00A82550" w:rsidP="005167B1">
      <w:pPr>
        <w:jc w:val="both"/>
      </w:pPr>
      <w:r w:rsidRPr="00F33F45">
        <w:t xml:space="preserve">The Minister for Local Government announced on </w:t>
      </w:r>
      <w:r>
        <w:t>20</w:t>
      </w:r>
      <w:r w:rsidRPr="00F33F45">
        <w:t xml:space="preserve"> December 201</w:t>
      </w:r>
      <w:r>
        <w:t>8</w:t>
      </w:r>
      <w:r w:rsidRPr="00F33F45">
        <w:t xml:space="preserve"> </w:t>
      </w:r>
      <w:r>
        <w:t xml:space="preserve">under section 185D(1) of the LGA </w:t>
      </w:r>
      <w:r w:rsidRPr="00F33F45">
        <w:t>that the 201</w:t>
      </w:r>
      <w:r>
        <w:t>8</w:t>
      </w:r>
      <w:r w:rsidRPr="00F33F45">
        <w:t>-</w:t>
      </w:r>
      <w:r>
        <w:t>19</w:t>
      </w:r>
      <w:r w:rsidRPr="00F33F45">
        <w:t xml:space="preserve"> rate cap would be 2.</w:t>
      </w:r>
      <w:r>
        <w:t>5</w:t>
      </w:r>
      <w:r w:rsidRPr="00F33F45">
        <w:t xml:space="preserve">% for all Victorian </w:t>
      </w:r>
      <w:r w:rsidR="00466527">
        <w:t>c</w:t>
      </w:r>
      <w:r w:rsidR="00466527" w:rsidRPr="00F33F45">
        <w:t>ouncils</w:t>
      </w:r>
      <w:r w:rsidRPr="00F33F45">
        <w:t>.</w:t>
      </w:r>
    </w:p>
    <w:p w:rsidR="00A82550" w:rsidRPr="00F33F45" w:rsidRDefault="00A82550" w:rsidP="005167B1">
      <w:pPr>
        <w:jc w:val="both"/>
      </w:pPr>
      <w:r w:rsidRPr="00F33F45">
        <w:lastRenderedPageBreak/>
        <w:t xml:space="preserve">Not all </w:t>
      </w:r>
      <w:r w:rsidR="00466527">
        <w:t>c</w:t>
      </w:r>
      <w:r w:rsidR="00466527" w:rsidRPr="00F33F45">
        <w:t xml:space="preserve">ouncil </w:t>
      </w:r>
      <w:r w:rsidRPr="00F33F45">
        <w:t>charges are included in the rate cap calculation.</w:t>
      </w:r>
    </w:p>
    <w:p w:rsidR="00A82550" w:rsidRPr="005167B1" w:rsidRDefault="00A82550" w:rsidP="005167B1">
      <w:pPr>
        <w:pStyle w:val="ListParagraph"/>
        <w:numPr>
          <w:ilvl w:val="0"/>
          <w:numId w:val="43"/>
        </w:numPr>
        <w:ind w:left="360"/>
        <w:contextualSpacing/>
      </w:pPr>
      <w:r w:rsidRPr="00C05662">
        <w:rPr>
          <w:rFonts w:cs="Lucida Sans Unicode"/>
          <w:szCs w:val="22"/>
        </w:rPr>
        <w:t xml:space="preserve">Rates and the Municipal </w:t>
      </w:r>
      <w:r w:rsidR="00653B9C" w:rsidRPr="00583AE6">
        <w:rPr>
          <w:rFonts w:cs="Lucida Sans Unicode"/>
          <w:szCs w:val="22"/>
        </w:rPr>
        <w:t xml:space="preserve">charge </w:t>
      </w:r>
      <w:r w:rsidRPr="00132FCB">
        <w:rPr>
          <w:rFonts w:cs="Lucida Sans Unicode"/>
          <w:szCs w:val="22"/>
        </w:rPr>
        <w:t>are included in the rate cap calculation.</w:t>
      </w:r>
    </w:p>
    <w:p w:rsidR="00A82550" w:rsidRPr="005167B1" w:rsidRDefault="00A82550" w:rsidP="005167B1">
      <w:pPr>
        <w:pStyle w:val="ListParagraph"/>
        <w:numPr>
          <w:ilvl w:val="0"/>
          <w:numId w:val="43"/>
        </w:numPr>
        <w:ind w:left="360"/>
        <w:contextualSpacing/>
      </w:pPr>
      <w:r w:rsidRPr="005167B1">
        <w:rPr>
          <w:rFonts w:cs="Lucida Sans Unicode"/>
          <w:szCs w:val="22"/>
        </w:rPr>
        <w:t>The Waste charge and the Fire Services Property Levy are not included in the rate cap calculation.</w:t>
      </w:r>
    </w:p>
    <w:p w:rsidR="00A82550" w:rsidRDefault="00A82550" w:rsidP="005167B1">
      <w:pPr>
        <w:jc w:val="both"/>
      </w:pPr>
      <w:r>
        <w:t xml:space="preserve">The </w:t>
      </w:r>
      <w:r w:rsidR="005D7CD0">
        <w:t>2018-19</w:t>
      </w:r>
      <w:r>
        <w:t xml:space="preserve"> base average rate is calculated at $1,</w:t>
      </w:r>
      <w:r w:rsidR="005D7CD0">
        <w:t>55</w:t>
      </w:r>
      <w:r w:rsidR="00E97042">
        <w:t>7.54</w:t>
      </w:r>
      <w:r>
        <w:t xml:space="preserve"> and the </w:t>
      </w:r>
      <w:r w:rsidR="005D7CD0">
        <w:t>2019-20</w:t>
      </w:r>
      <w:r>
        <w:t xml:space="preserve"> Budget proposes this will increase by 2.</w:t>
      </w:r>
      <w:r w:rsidR="005D7CD0">
        <w:t>5</w:t>
      </w:r>
      <w:r>
        <w:t>% to $1,</w:t>
      </w:r>
      <w:r w:rsidR="005D7CD0">
        <w:t>59</w:t>
      </w:r>
      <w:r w:rsidR="00E97042">
        <w:t>6.51</w:t>
      </w:r>
      <w:r>
        <w:t>.</w:t>
      </w:r>
    </w:p>
    <w:p w:rsidR="00A82550" w:rsidRPr="00F33F45" w:rsidRDefault="00A82550" w:rsidP="005167B1">
      <w:pPr>
        <w:jc w:val="both"/>
      </w:pPr>
      <w:r w:rsidRPr="00F33F45">
        <w:t xml:space="preserve">The rate cap calculation for </w:t>
      </w:r>
      <w:r w:rsidR="005D7CD0">
        <w:t>2019-20</w:t>
      </w:r>
      <w:r w:rsidRPr="00F33F45">
        <w:t xml:space="preserve"> is:</w:t>
      </w:r>
    </w:p>
    <w:tbl>
      <w:tblPr>
        <w:tblW w:w="87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240"/>
        <w:gridCol w:w="1701"/>
        <w:gridCol w:w="1779"/>
      </w:tblGrid>
      <w:tr w:rsidR="00A82550" w:rsidRPr="00E97042" w:rsidTr="005167B1">
        <w:trPr>
          <w:trHeight w:val="255"/>
        </w:trPr>
        <w:tc>
          <w:tcPr>
            <w:tcW w:w="5240" w:type="dxa"/>
            <w:shd w:val="clear" w:color="auto" w:fill="8DB3E2"/>
            <w:noWrap/>
            <w:vAlign w:val="bottom"/>
            <w:hideMark/>
          </w:tcPr>
          <w:p w:rsidR="00A82550" w:rsidRPr="005167B1" w:rsidRDefault="00A82550" w:rsidP="000162FC">
            <w:pPr>
              <w:spacing w:before="0" w:after="0"/>
              <w:rPr>
                <w:rFonts w:cs="Lucida Sans Unicode"/>
                <w:szCs w:val="18"/>
                <w:lang w:eastAsia="en-AU"/>
              </w:rPr>
            </w:pPr>
          </w:p>
        </w:tc>
        <w:tc>
          <w:tcPr>
            <w:tcW w:w="1701" w:type="dxa"/>
            <w:shd w:val="clear" w:color="auto" w:fill="8DB3E2"/>
            <w:noWrap/>
            <w:vAlign w:val="bottom"/>
            <w:hideMark/>
          </w:tcPr>
          <w:p w:rsidR="00A82550" w:rsidRPr="005167B1" w:rsidRDefault="005D7CD0" w:rsidP="000162FC">
            <w:pPr>
              <w:spacing w:before="0" w:after="0"/>
              <w:jc w:val="right"/>
              <w:rPr>
                <w:rFonts w:cs="Lucida Sans Unicode"/>
                <w:szCs w:val="18"/>
                <w:lang w:eastAsia="en-AU"/>
              </w:rPr>
            </w:pPr>
            <w:r w:rsidRPr="005167B1">
              <w:rPr>
                <w:rFonts w:cs="Lucida Sans Unicode"/>
                <w:szCs w:val="18"/>
                <w:lang w:eastAsia="en-AU"/>
              </w:rPr>
              <w:t>2018-19</w:t>
            </w:r>
          </w:p>
        </w:tc>
        <w:tc>
          <w:tcPr>
            <w:tcW w:w="1779" w:type="dxa"/>
            <w:shd w:val="clear" w:color="auto" w:fill="8DB3E2"/>
            <w:noWrap/>
            <w:vAlign w:val="bottom"/>
            <w:hideMark/>
          </w:tcPr>
          <w:p w:rsidR="00A82550" w:rsidRPr="005167B1" w:rsidRDefault="00E97042">
            <w:pPr>
              <w:spacing w:before="0" w:after="0"/>
              <w:jc w:val="right"/>
              <w:rPr>
                <w:rFonts w:cs="Lucida Sans Unicode"/>
                <w:szCs w:val="18"/>
                <w:lang w:eastAsia="en-AU"/>
              </w:rPr>
            </w:pPr>
            <w:r w:rsidRPr="005167B1">
              <w:rPr>
                <w:rFonts w:cs="Lucida Sans Unicode"/>
                <w:szCs w:val="18"/>
                <w:lang w:eastAsia="en-AU"/>
              </w:rPr>
              <w:t>2019</w:t>
            </w:r>
            <w:r w:rsidR="005D7CD0" w:rsidRPr="005167B1">
              <w:rPr>
                <w:rFonts w:cs="Lucida Sans Unicode"/>
                <w:szCs w:val="18"/>
                <w:lang w:eastAsia="en-AU"/>
              </w:rPr>
              <w:t>-20</w:t>
            </w:r>
          </w:p>
        </w:tc>
      </w:tr>
      <w:tr w:rsidR="00A82550" w:rsidRPr="005F12D2" w:rsidTr="005167B1">
        <w:trPr>
          <w:trHeight w:val="255"/>
        </w:trPr>
        <w:tc>
          <w:tcPr>
            <w:tcW w:w="5240" w:type="dxa"/>
            <w:shd w:val="clear" w:color="auto" w:fill="8DB3E2"/>
            <w:noWrap/>
            <w:vAlign w:val="bottom"/>
            <w:hideMark/>
          </w:tcPr>
          <w:p w:rsidR="00A82550" w:rsidRPr="005167B1" w:rsidRDefault="00A82550" w:rsidP="000162FC">
            <w:pPr>
              <w:spacing w:before="0" w:after="0"/>
              <w:rPr>
                <w:rFonts w:cs="Lucida Sans Unicode"/>
                <w:szCs w:val="18"/>
                <w:lang w:eastAsia="en-AU"/>
              </w:rPr>
            </w:pPr>
            <w:r w:rsidRPr="005167B1">
              <w:rPr>
                <w:rFonts w:cs="Lucida Sans Unicode"/>
                <w:szCs w:val="18"/>
                <w:lang w:eastAsia="en-AU"/>
              </w:rPr>
              <w:t>Proposed Average Rate Increase all Rateable Property</w:t>
            </w:r>
          </w:p>
        </w:tc>
        <w:tc>
          <w:tcPr>
            <w:tcW w:w="1701" w:type="dxa"/>
            <w:shd w:val="clear" w:color="auto" w:fill="8DB3E2"/>
            <w:noWrap/>
            <w:vAlign w:val="bottom"/>
            <w:hideMark/>
          </w:tcPr>
          <w:p w:rsidR="00A82550" w:rsidRPr="005167B1" w:rsidRDefault="00A82550" w:rsidP="000162FC">
            <w:pPr>
              <w:spacing w:before="0" w:after="0"/>
              <w:jc w:val="right"/>
              <w:rPr>
                <w:rFonts w:cs="Lucida Sans Unicode"/>
                <w:szCs w:val="18"/>
                <w:lang w:eastAsia="en-AU"/>
              </w:rPr>
            </w:pPr>
          </w:p>
        </w:tc>
        <w:tc>
          <w:tcPr>
            <w:tcW w:w="1779" w:type="dxa"/>
            <w:shd w:val="clear" w:color="auto" w:fill="8DB3E2"/>
            <w:noWrap/>
            <w:vAlign w:val="bottom"/>
            <w:hideMark/>
          </w:tcPr>
          <w:p w:rsidR="00A82550" w:rsidRPr="005167B1" w:rsidRDefault="00A82550" w:rsidP="005B4D00">
            <w:pPr>
              <w:spacing w:before="0" w:after="0"/>
              <w:jc w:val="right"/>
              <w:rPr>
                <w:rFonts w:cs="Lucida Sans Unicode"/>
                <w:szCs w:val="18"/>
                <w:lang w:eastAsia="en-AU"/>
              </w:rPr>
            </w:pPr>
            <w:r w:rsidRPr="005167B1">
              <w:rPr>
                <w:rFonts w:cs="Lucida Sans Unicode"/>
                <w:szCs w:val="18"/>
                <w:lang w:eastAsia="en-AU"/>
              </w:rPr>
              <w:t>2.</w:t>
            </w:r>
            <w:r w:rsidR="005D7CD0" w:rsidRPr="005167B1">
              <w:rPr>
                <w:rFonts w:cs="Lucida Sans Unicode"/>
                <w:szCs w:val="18"/>
                <w:lang w:eastAsia="en-AU"/>
              </w:rPr>
              <w:t>5</w:t>
            </w:r>
            <w:r w:rsidRPr="005167B1">
              <w:rPr>
                <w:rFonts w:cs="Lucida Sans Unicode"/>
                <w:szCs w:val="18"/>
                <w:lang w:eastAsia="en-AU"/>
              </w:rPr>
              <w:t>%</w:t>
            </w:r>
          </w:p>
        </w:tc>
      </w:tr>
      <w:tr w:rsidR="00A82550" w:rsidRPr="005F12D2" w:rsidTr="005167B1">
        <w:trPr>
          <w:trHeight w:val="354"/>
        </w:trPr>
        <w:tc>
          <w:tcPr>
            <w:tcW w:w="5240" w:type="dxa"/>
            <w:shd w:val="clear" w:color="auto" w:fill="auto"/>
            <w:vAlign w:val="center"/>
            <w:hideMark/>
          </w:tcPr>
          <w:p w:rsidR="00A82550" w:rsidRPr="005167B1" w:rsidRDefault="00A82550" w:rsidP="000162FC">
            <w:pPr>
              <w:spacing w:before="0" w:after="0"/>
              <w:rPr>
                <w:rFonts w:cs="Lucida Sans Unicode"/>
                <w:szCs w:val="18"/>
                <w:lang w:eastAsia="en-AU"/>
              </w:rPr>
            </w:pPr>
            <w:r w:rsidRPr="005167B1">
              <w:rPr>
                <w:rFonts w:cs="Lucida Sans Unicode"/>
                <w:szCs w:val="18"/>
                <w:lang w:eastAsia="en-AU"/>
              </w:rPr>
              <w:t xml:space="preserve">Rates and Municipal Charge </w:t>
            </w:r>
          </w:p>
          <w:p w:rsidR="00A82550" w:rsidRPr="005167B1" w:rsidRDefault="00A82550" w:rsidP="005B4D00">
            <w:pPr>
              <w:spacing w:before="0" w:after="0"/>
              <w:rPr>
                <w:rFonts w:cs="Lucida Sans Unicode"/>
                <w:szCs w:val="18"/>
                <w:lang w:eastAsia="en-AU"/>
              </w:rPr>
            </w:pPr>
            <w:r w:rsidRPr="005167B1">
              <w:rPr>
                <w:rFonts w:cs="Lucida Sans Unicode"/>
                <w:szCs w:val="18"/>
                <w:lang w:eastAsia="en-AU"/>
              </w:rPr>
              <w:t xml:space="preserve">(adjusted for Supplementaries </w:t>
            </w:r>
            <w:r w:rsidR="005D7CD0" w:rsidRPr="005167B1">
              <w:rPr>
                <w:rFonts w:cs="Lucida Sans Unicode"/>
                <w:szCs w:val="18"/>
                <w:lang w:eastAsia="en-AU"/>
              </w:rPr>
              <w:t>2018-19</w:t>
            </w:r>
            <w:r w:rsidRPr="005167B1">
              <w:rPr>
                <w:rFonts w:cs="Lucida Sans Unicode"/>
                <w:szCs w:val="18"/>
                <w:lang w:eastAsia="en-AU"/>
              </w:rPr>
              <w:t>)</w:t>
            </w:r>
          </w:p>
        </w:tc>
        <w:tc>
          <w:tcPr>
            <w:tcW w:w="1701" w:type="dxa"/>
            <w:shd w:val="clear" w:color="auto" w:fill="auto"/>
            <w:noWrap/>
            <w:vAlign w:val="center"/>
            <w:hideMark/>
          </w:tcPr>
          <w:p w:rsidR="00A82550" w:rsidRPr="005167B1" w:rsidRDefault="00E97042">
            <w:pPr>
              <w:spacing w:before="0" w:after="0"/>
              <w:jc w:val="right"/>
              <w:rPr>
                <w:rFonts w:cs="Lucida Sans Unicode"/>
                <w:szCs w:val="18"/>
                <w:lang w:eastAsia="en-AU"/>
              </w:rPr>
            </w:pPr>
            <w:r>
              <w:rPr>
                <w:rFonts w:cs="Lucida Sans Unicode"/>
                <w:szCs w:val="18"/>
                <w:lang w:eastAsia="en-AU"/>
              </w:rPr>
              <w:t>191,401,869</w:t>
            </w:r>
            <w:r w:rsidR="00A82550" w:rsidRPr="005167B1">
              <w:rPr>
                <w:rFonts w:cs="Lucida Sans Unicode"/>
                <w:szCs w:val="18"/>
                <w:lang w:eastAsia="en-AU"/>
              </w:rPr>
              <w:t xml:space="preserve"> </w:t>
            </w:r>
          </w:p>
        </w:tc>
        <w:tc>
          <w:tcPr>
            <w:tcW w:w="1779" w:type="dxa"/>
            <w:shd w:val="clear" w:color="auto" w:fill="auto"/>
            <w:noWrap/>
            <w:vAlign w:val="center"/>
            <w:hideMark/>
          </w:tcPr>
          <w:p w:rsidR="00A82550" w:rsidRPr="005167B1" w:rsidRDefault="00E97042" w:rsidP="000162FC">
            <w:pPr>
              <w:spacing w:before="0" w:after="0"/>
              <w:jc w:val="right"/>
              <w:rPr>
                <w:rFonts w:cs="Lucida Sans Unicode"/>
                <w:szCs w:val="18"/>
                <w:lang w:eastAsia="en-AU"/>
              </w:rPr>
            </w:pPr>
            <w:r>
              <w:rPr>
                <w:rFonts w:cs="Lucida Sans Unicode"/>
                <w:szCs w:val="18"/>
                <w:lang w:eastAsia="en-AU"/>
              </w:rPr>
              <w:t>201,045,049</w:t>
            </w:r>
            <w:r w:rsidR="00A82550" w:rsidRPr="005167B1">
              <w:rPr>
                <w:rFonts w:cs="Lucida Sans Unicode"/>
                <w:szCs w:val="18"/>
                <w:lang w:eastAsia="en-AU"/>
              </w:rPr>
              <w:t xml:space="preserve"> </w:t>
            </w:r>
          </w:p>
        </w:tc>
      </w:tr>
      <w:tr w:rsidR="00A82550" w:rsidRPr="005F12D2" w:rsidTr="005167B1">
        <w:trPr>
          <w:trHeight w:val="300"/>
        </w:trPr>
        <w:tc>
          <w:tcPr>
            <w:tcW w:w="5240" w:type="dxa"/>
            <w:shd w:val="clear" w:color="auto" w:fill="auto"/>
            <w:noWrap/>
            <w:vAlign w:val="center"/>
            <w:hideMark/>
          </w:tcPr>
          <w:p w:rsidR="00A82550" w:rsidRPr="005167B1" w:rsidRDefault="00A82550" w:rsidP="000162FC">
            <w:pPr>
              <w:spacing w:before="0" w:after="0"/>
              <w:rPr>
                <w:rFonts w:cs="Lucida Sans Unicode"/>
                <w:szCs w:val="18"/>
                <w:lang w:eastAsia="en-AU"/>
              </w:rPr>
            </w:pPr>
            <w:r w:rsidRPr="005167B1">
              <w:rPr>
                <w:rFonts w:cs="Lucida Sans Unicode"/>
                <w:szCs w:val="18"/>
                <w:lang w:eastAsia="en-AU"/>
              </w:rPr>
              <w:t>Number of Rateable Properties</w:t>
            </w:r>
          </w:p>
        </w:tc>
        <w:tc>
          <w:tcPr>
            <w:tcW w:w="1701" w:type="dxa"/>
            <w:shd w:val="clear" w:color="auto" w:fill="auto"/>
            <w:noWrap/>
            <w:vAlign w:val="center"/>
            <w:hideMark/>
          </w:tcPr>
          <w:p w:rsidR="00A82550" w:rsidRPr="005167B1" w:rsidRDefault="005D7CD0">
            <w:pPr>
              <w:spacing w:before="0" w:after="0"/>
              <w:jc w:val="right"/>
              <w:rPr>
                <w:rFonts w:cs="Lucida Sans Unicode"/>
                <w:szCs w:val="18"/>
                <w:lang w:eastAsia="en-AU"/>
              </w:rPr>
            </w:pPr>
            <w:r w:rsidRPr="005167B1">
              <w:rPr>
                <w:rFonts w:cs="Lucida Sans Unicode"/>
                <w:szCs w:val="18"/>
                <w:lang w:eastAsia="en-AU"/>
              </w:rPr>
              <w:t>125,92</w:t>
            </w:r>
            <w:r w:rsidR="00E97042">
              <w:rPr>
                <w:rFonts w:cs="Lucida Sans Unicode"/>
                <w:szCs w:val="18"/>
                <w:lang w:eastAsia="en-AU"/>
              </w:rPr>
              <w:t>8</w:t>
            </w:r>
            <w:r w:rsidR="00A82550" w:rsidRPr="005167B1">
              <w:rPr>
                <w:rFonts w:cs="Lucida Sans Unicode"/>
                <w:szCs w:val="18"/>
                <w:lang w:eastAsia="en-AU"/>
              </w:rPr>
              <w:t xml:space="preserve"> </w:t>
            </w:r>
          </w:p>
        </w:tc>
        <w:tc>
          <w:tcPr>
            <w:tcW w:w="1779" w:type="dxa"/>
            <w:shd w:val="clear" w:color="auto" w:fill="auto"/>
            <w:noWrap/>
            <w:vAlign w:val="center"/>
            <w:hideMark/>
          </w:tcPr>
          <w:p w:rsidR="00A82550" w:rsidRPr="005167B1" w:rsidRDefault="005D7CD0">
            <w:pPr>
              <w:spacing w:before="0" w:after="0"/>
              <w:jc w:val="right"/>
              <w:rPr>
                <w:rFonts w:cs="Lucida Sans Unicode"/>
                <w:szCs w:val="18"/>
                <w:lang w:eastAsia="en-AU"/>
              </w:rPr>
            </w:pPr>
            <w:r w:rsidRPr="005167B1">
              <w:rPr>
                <w:rFonts w:cs="Lucida Sans Unicode"/>
                <w:szCs w:val="18"/>
                <w:lang w:eastAsia="en-AU"/>
              </w:rPr>
              <w:t>125,92</w:t>
            </w:r>
            <w:r w:rsidR="00E97042">
              <w:rPr>
                <w:rFonts w:cs="Lucida Sans Unicode"/>
                <w:szCs w:val="18"/>
                <w:lang w:eastAsia="en-AU"/>
              </w:rPr>
              <w:t>8</w:t>
            </w:r>
            <w:r w:rsidR="00A82550" w:rsidRPr="005167B1">
              <w:rPr>
                <w:rFonts w:cs="Lucida Sans Unicode"/>
                <w:szCs w:val="18"/>
                <w:lang w:eastAsia="en-AU"/>
              </w:rPr>
              <w:t xml:space="preserve"> </w:t>
            </w:r>
          </w:p>
        </w:tc>
      </w:tr>
      <w:tr w:rsidR="00A82550" w:rsidRPr="005F12D2" w:rsidTr="005167B1">
        <w:trPr>
          <w:trHeight w:val="300"/>
        </w:trPr>
        <w:tc>
          <w:tcPr>
            <w:tcW w:w="5240" w:type="dxa"/>
            <w:shd w:val="clear" w:color="auto" w:fill="auto"/>
            <w:noWrap/>
            <w:vAlign w:val="center"/>
            <w:hideMark/>
          </w:tcPr>
          <w:p w:rsidR="00A82550" w:rsidRPr="005167B1" w:rsidRDefault="00A82550" w:rsidP="000162FC">
            <w:pPr>
              <w:spacing w:before="0" w:after="0"/>
              <w:rPr>
                <w:rFonts w:cs="Lucida Sans Unicode"/>
                <w:szCs w:val="18"/>
                <w:lang w:eastAsia="en-AU"/>
              </w:rPr>
            </w:pPr>
            <w:r w:rsidRPr="005167B1">
              <w:rPr>
                <w:rFonts w:cs="Lucida Sans Unicode"/>
                <w:szCs w:val="18"/>
                <w:lang w:eastAsia="en-AU"/>
              </w:rPr>
              <w:t>Base Average Rate (BAR)</w:t>
            </w:r>
          </w:p>
        </w:tc>
        <w:tc>
          <w:tcPr>
            <w:tcW w:w="1701" w:type="dxa"/>
            <w:shd w:val="clear" w:color="auto" w:fill="auto"/>
            <w:noWrap/>
            <w:vAlign w:val="center"/>
            <w:hideMark/>
          </w:tcPr>
          <w:p w:rsidR="00A82550" w:rsidRPr="005167B1" w:rsidRDefault="005D7CD0">
            <w:pPr>
              <w:spacing w:before="0" w:after="0"/>
              <w:jc w:val="right"/>
              <w:rPr>
                <w:rFonts w:cs="Lucida Sans Unicode"/>
                <w:szCs w:val="18"/>
                <w:lang w:eastAsia="en-AU"/>
              </w:rPr>
            </w:pPr>
            <w:r w:rsidRPr="005167B1">
              <w:rPr>
                <w:rFonts w:cs="Lucida Sans Unicode"/>
                <w:szCs w:val="18"/>
                <w:lang w:eastAsia="en-AU"/>
              </w:rPr>
              <w:t>1,55</w:t>
            </w:r>
            <w:r w:rsidR="00E97042">
              <w:rPr>
                <w:rFonts w:cs="Lucida Sans Unicode"/>
                <w:szCs w:val="18"/>
                <w:lang w:eastAsia="en-AU"/>
              </w:rPr>
              <w:t>7.54</w:t>
            </w:r>
            <w:r w:rsidR="00A82550" w:rsidRPr="005167B1">
              <w:rPr>
                <w:rFonts w:cs="Lucida Sans Unicode"/>
                <w:szCs w:val="18"/>
                <w:lang w:eastAsia="en-AU"/>
              </w:rPr>
              <w:t xml:space="preserve"> </w:t>
            </w:r>
          </w:p>
        </w:tc>
        <w:tc>
          <w:tcPr>
            <w:tcW w:w="1779" w:type="dxa"/>
            <w:shd w:val="clear" w:color="auto" w:fill="auto"/>
            <w:noWrap/>
            <w:vAlign w:val="center"/>
            <w:hideMark/>
          </w:tcPr>
          <w:p w:rsidR="00A82550" w:rsidRPr="005167B1" w:rsidRDefault="005D7CD0">
            <w:pPr>
              <w:spacing w:before="0" w:after="0"/>
              <w:jc w:val="right"/>
              <w:rPr>
                <w:rFonts w:cs="Lucida Sans Unicode"/>
                <w:szCs w:val="18"/>
                <w:lang w:eastAsia="en-AU"/>
              </w:rPr>
            </w:pPr>
            <w:r w:rsidRPr="005167B1">
              <w:rPr>
                <w:rFonts w:cs="Lucida Sans Unicode"/>
                <w:szCs w:val="18"/>
                <w:lang w:eastAsia="en-AU"/>
              </w:rPr>
              <w:t>1,59</w:t>
            </w:r>
            <w:r w:rsidR="00E97042">
              <w:rPr>
                <w:rFonts w:cs="Lucida Sans Unicode"/>
                <w:szCs w:val="18"/>
                <w:lang w:eastAsia="en-AU"/>
              </w:rPr>
              <w:t>6.51</w:t>
            </w:r>
            <w:r w:rsidR="00A82550" w:rsidRPr="005167B1">
              <w:rPr>
                <w:rFonts w:cs="Lucida Sans Unicode"/>
                <w:szCs w:val="18"/>
                <w:lang w:eastAsia="en-AU"/>
              </w:rPr>
              <w:t xml:space="preserve"> </w:t>
            </w:r>
          </w:p>
        </w:tc>
      </w:tr>
    </w:tbl>
    <w:p w:rsidR="006A1B77" w:rsidRDefault="006A1B77" w:rsidP="005167B1">
      <w:pPr>
        <w:spacing w:before="0" w:after="0"/>
        <w:jc w:val="both"/>
      </w:pPr>
    </w:p>
    <w:p w:rsidR="00A82550" w:rsidRPr="00F33F45" w:rsidRDefault="00A82550" w:rsidP="005167B1">
      <w:pPr>
        <w:jc w:val="both"/>
      </w:pPr>
      <w:r w:rsidRPr="00F33F45">
        <w:t>The rates and charges for individual properties may have increased or decreased by a different percentage amount to the rate cap for the following reasons:</w:t>
      </w:r>
    </w:p>
    <w:p w:rsidR="00A82550" w:rsidRPr="00E60EA6" w:rsidRDefault="00A82550" w:rsidP="005167B1">
      <w:pPr>
        <w:pStyle w:val="ListParagraph"/>
        <w:numPr>
          <w:ilvl w:val="0"/>
          <w:numId w:val="126"/>
        </w:numPr>
        <w:ind w:left="426" w:hanging="426"/>
        <w:contextualSpacing/>
        <w:jc w:val="both"/>
        <w:rPr>
          <w:rFonts w:cs="Lucida Sans Unicode"/>
          <w:szCs w:val="22"/>
        </w:rPr>
      </w:pPr>
      <w:r w:rsidRPr="00E60EA6">
        <w:rPr>
          <w:rFonts w:cs="Lucida Sans Unicode"/>
          <w:szCs w:val="22"/>
        </w:rPr>
        <w:t>The valuation of a property relative to the valuation of another property in the municipal district;</w:t>
      </w:r>
    </w:p>
    <w:p w:rsidR="00A82550" w:rsidRPr="00E60EA6" w:rsidRDefault="00A82550" w:rsidP="005167B1">
      <w:pPr>
        <w:pStyle w:val="ListParagraph"/>
        <w:numPr>
          <w:ilvl w:val="0"/>
          <w:numId w:val="126"/>
        </w:numPr>
        <w:ind w:left="426" w:hanging="426"/>
        <w:contextualSpacing/>
        <w:jc w:val="both"/>
        <w:rPr>
          <w:rFonts w:cs="Lucida Sans Unicode"/>
          <w:szCs w:val="22"/>
        </w:rPr>
      </w:pPr>
      <w:r w:rsidRPr="00E60EA6">
        <w:rPr>
          <w:rFonts w:cs="Lucida Sans Unicode"/>
          <w:szCs w:val="22"/>
        </w:rPr>
        <w:t>The application of a differential rate based on land use;</w:t>
      </w:r>
    </w:p>
    <w:p w:rsidR="00A82550" w:rsidRPr="00E60EA6" w:rsidRDefault="00A82550" w:rsidP="005167B1">
      <w:pPr>
        <w:pStyle w:val="ListParagraph"/>
        <w:numPr>
          <w:ilvl w:val="0"/>
          <w:numId w:val="126"/>
        </w:numPr>
        <w:ind w:left="426" w:hanging="426"/>
        <w:contextualSpacing/>
        <w:jc w:val="both"/>
        <w:rPr>
          <w:rFonts w:cs="Lucida Sans Unicode"/>
          <w:szCs w:val="22"/>
        </w:rPr>
      </w:pPr>
      <w:r w:rsidRPr="00E60EA6">
        <w:rPr>
          <w:rFonts w:cs="Lucida Sans Unicode"/>
          <w:szCs w:val="22"/>
        </w:rPr>
        <w:t>The inclusion of other charges not included in the rate cap.</w:t>
      </w:r>
    </w:p>
    <w:p w:rsidR="00A82550" w:rsidRDefault="00A82550" w:rsidP="00A82550">
      <w:pPr>
        <w:pStyle w:val="Heading3A"/>
      </w:pPr>
      <w:r>
        <w:t>Rating Model</w:t>
      </w:r>
    </w:p>
    <w:p w:rsidR="00A82550" w:rsidRPr="001848C2" w:rsidRDefault="00A82550">
      <w:pPr>
        <w:pStyle w:val="BodyText"/>
      </w:pPr>
      <w:r w:rsidRPr="001848C2">
        <w:t xml:space="preserve">Key features of the Rating Model </w:t>
      </w:r>
      <w:r>
        <w:t xml:space="preserve">for </w:t>
      </w:r>
      <w:r w:rsidR="005D7CD0">
        <w:t>2019-20</w:t>
      </w:r>
      <w:r>
        <w:t xml:space="preserve"> </w:t>
      </w:r>
      <w:r w:rsidRPr="001848C2">
        <w:t>are:</w:t>
      </w:r>
    </w:p>
    <w:p w:rsidR="00A82550" w:rsidRPr="00E60EA6" w:rsidRDefault="005D7CD0" w:rsidP="005167B1">
      <w:pPr>
        <w:pStyle w:val="ListParagraph"/>
        <w:numPr>
          <w:ilvl w:val="0"/>
          <w:numId w:val="43"/>
        </w:numPr>
        <w:ind w:left="360"/>
        <w:jc w:val="both"/>
        <w:rPr>
          <w:rFonts w:cs="Lucida Sans Unicode"/>
          <w:szCs w:val="22"/>
        </w:rPr>
      </w:pPr>
      <w:r>
        <w:rPr>
          <w:rFonts w:cs="Lucida Sans Unicode"/>
          <w:szCs w:val="22"/>
        </w:rPr>
        <w:t xml:space="preserve">After adjusting for the impact of the 2019 revaluation, the rate in the dollar for the </w:t>
      </w:r>
      <w:r w:rsidR="00A82550" w:rsidRPr="00E60EA6">
        <w:rPr>
          <w:rFonts w:cs="Lucida Sans Unicode"/>
          <w:szCs w:val="22"/>
        </w:rPr>
        <w:t>Residential</w:t>
      </w:r>
      <w:r>
        <w:rPr>
          <w:rFonts w:cs="Lucida Sans Unicode"/>
          <w:szCs w:val="22"/>
        </w:rPr>
        <w:t xml:space="preserve"> and</w:t>
      </w:r>
      <w:r w:rsidR="00A82550" w:rsidRPr="00E60EA6">
        <w:rPr>
          <w:rFonts w:cs="Lucida Sans Unicode"/>
          <w:szCs w:val="22"/>
        </w:rPr>
        <w:t xml:space="preserve"> Mixed Use differentials ha</w:t>
      </w:r>
      <w:r w:rsidR="000A1EC7">
        <w:rPr>
          <w:rFonts w:cs="Lucida Sans Unicode"/>
          <w:szCs w:val="22"/>
        </w:rPr>
        <w:t>s</w:t>
      </w:r>
      <w:r w:rsidR="00A82550" w:rsidRPr="00E60EA6">
        <w:rPr>
          <w:rFonts w:cs="Lucida Sans Unicode"/>
          <w:szCs w:val="22"/>
        </w:rPr>
        <w:t xml:space="preserve"> increased in accordance with the 2.</w:t>
      </w:r>
      <w:r>
        <w:rPr>
          <w:rFonts w:cs="Lucida Sans Unicode"/>
          <w:szCs w:val="22"/>
        </w:rPr>
        <w:t>5</w:t>
      </w:r>
      <w:r w:rsidR="00A82550" w:rsidRPr="00E60EA6">
        <w:rPr>
          <w:rFonts w:cs="Lucida Sans Unicode"/>
          <w:szCs w:val="22"/>
        </w:rPr>
        <w:t xml:space="preserve">% rate cap. </w:t>
      </w:r>
      <w:r>
        <w:rPr>
          <w:rFonts w:cs="Lucida Sans Unicode"/>
          <w:szCs w:val="22"/>
        </w:rPr>
        <w:t>The farm differential has decreased and when combined with the farm rebate, the overall increase is 2.</w:t>
      </w:r>
      <w:r w:rsidR="00E97042">
        <w:rPr>
          <w:rFonts w:cs="Lucida Sans Unicode"/>
          <w:szCs w:val="22"/>
        </w:rPr>
        <w:t>3</w:t>
      </w:r>
      <w:r>
        <w:rPr>
          <w:rFonts w:cs="Lucida Sans Unicode"/>
          <w:szCs w:val="22"/>
        </w:rPr>
        <w:t xml:space="preserve">%. </w:t>
      </w:r>
      <w:r w:rsidR="00A82550" w:rsidRPr="00E60EA6">
        <w:rPr>
          <w:rFonts w:cs="Lucida Sans Unicode"/>
          <w:szCs w:val="22"/>
        </w:rPr>
        <w:t xml:space="preserve">Other differential rate increases are as follows, Commercial has increased by 3.5%, Industrial has </w:t>
      </w:r>
      <w:r>
        <w:rPr>
          <w:rFonts w:cs="Lucida Sans Unicode"/>
          <w:szCs w:val="22"/>
        </w:rPr>
        <w:t>had no change 0.0%,</w:t>
      </w:r>
      <w:r w:rsidR="00A82550" w:rsidRPr="00E60EA6">
        <w:rPr>
          <w:rFonts w:cs="Lucida Sans Unicode"/>
          <w:szCs w:val="22"/>
        </w:rPr>
        <w:t xml:space="preserve"> Cultural and Recreational has </w:t>
      </w:r>
      <w:r>
        <w:rPr>
          <w:rFonts w:cs="Lucida Sans Unicode"/>
          <w:szCs w:val="22"/>
        </w:rPr>
        <w:t>in</w:t>
      </w:r>
      <w:r w:rsidR="00A82550" w:rsidRPr="00E60EA6">
        <w:rPr>
          <w:rFonts w:cs="Lucida Sans Unicode"/>
          <w:szCs w:val="22"/>
        </w:rPr>
        <w:t xml:space="preserve">creased by </w:t>
      </w:r>
      <w:r w:rsidR="00E97042">
        <w:rPr>
          <w:rFonts w:cs="Lucida Sans Unicode"/>
          <w:szCs w:val="22"/>
        </w:rPr>
        <w:t>5.8</w:t>
      </w:r>
      <w:r>
        <w:rPr>
          <w:rFonts w:cs="Lucida Sans Unicode"/>
          <w:szCs w:val="22"/>
        </w:rPr>
        <w:t>%</w:t>
      </w:r>
      <w:r w:rsidR="00A82550" w:rsidRPr="00E60EA6">
        <w:rPr>
          <w:rFonts w:cs="Lucida Sans Unicode"/>
          <w:szCs w:val="22"/>
        </w:rPr>
        <w:t xml:space="preserve"> and Petroleum has decreased by (</w:t>
      </w:r>
      <w:r w:rsidR="00E97042">
        <w:rPr>
          <w:rFonts w:cs="Lucida Sans Unicode"/>
          <w:szCs w:val="22"/>
        </w:rPr>
        <w:t>9</w:t>
      </w:r>
      <w:r w:rsidR="00A82550" w:rsidRPr="00E60EA6">
        <w:rPr>
          <w:rFonts w:cs="Lucida Sans Unicode"/>
          <w:szCs w:val="22"/>
        </w:rPr>
        <w:t>.9%).</w:t>
      </w:r>
    </w:p>
    <w:p w:rsidR="00A82550" w:rsidRPr="00E60EA6" w:rsidRDefault="00A82550" w:rsidP="005167B1">
      <w:pPr>
        <w:pStyle w:val="ListParagraph"/>
        <w:numPr>
          <w:ilvl w:val="0"/>
          <w:numId w:val="43"/>
        </w:numPr>
        <w:ind w:left="357" w:hanging="357"/>
        <w:jc w:val="both"/>
        <w:rPr>
          <w:rFonts w:cs="Lucida Sans Unicode"/>
          <w:szCs w:val="22"/>
        </w:rPr>
      </w:pPr>
      <w:r w:rsidRPr="00E60EA6">
        <w:rPr>
          <w:rFonts w:cs="Lucida Sans Unicode"/>
          <w:szCs w:val="22"/>
        </w:rPr>
        <w:t xml:space="preserve">The </w:t>
      </w:r>
      <w:r w:rsidR="00466527">
        <w:rPr>
          <w:rFonts w:cs="Lucida Sans Unicode"/>
          <w:szCs w:val="22"/>
        </w:rPr>
        <w:t>w</w:t>
      </w:r>
      <w:r w:rsidR="00466527" w:rsidRPr="00E60EA6">
        <w:rPr>
          <w:rFonts w:cs="Lucida Sans Unicode"/>
          <w:szCs w:val="22"/>
        </w:rPr>
        <w:t xml:space="preserve">aste </w:t>
      </w:r>
      <w:r w:rsidR="00466527">
        <w:rPr>
          <w:rFonts w:cs="Lucida Sans Unicode"/>
          <w:szCs w:val="22"/>
        </w:rPr>
        <w:t>c</w:t>
      </w:r>
      <w:r w:rsidR="00466527" w:rsidRPr="00E60EA6">
        <w:rPr>
          <w:rFonts w:cs="Lucida Sans Unicode"/>
          <w:szCs w:val="22"/>
        </w:rPr>
        <w:t xml:space="preserve">ollection </w:t>
      </w:r>
      <w:r w:rsidR="00466527">
        <w:rPr>
          <w:rFonts w:cs="Lucida Sans Unicode"/>
          <w:szCs w:val="22"/>
        </w:rPr>
        <w:t>s</w:t>
      </w:r>
      <w:r w:rsidR="00466527" w:rsidRPr="00E60EA6">
        <w:rPr>
          <w:rFonts w:cs="Lucida Sans Unicode"/>
          <w:szCs w:val="22"/>
        </w:rPr>
        <w:t xml:space="preserve">ervice </w:t>
      </w:r>
      <w:r w:rsidRPr="00E60EA6">
        <w:rPr>
          <w:rFonts w:cs="Lucida Sans Unicode"/>
          <w:szCs w:val="22"/>
        </w:rPr>
        <w:t>charge is calculated based on a fee for service, including direct, indirect and overhead costs. The service charge does not form part of the rate cap. The waste collection charge will increase from $</w:t>
      </w:r>
      <w:r w:rsidR="005D7CD0">
        <w:rPr>
          <w:rFonts w:cs="Lucida Sans Unicode"/>
          <w:szCs w:val="22"/>
        </w:rPr>
        <w:t>316.90</w:t>
      </w:r>
      <w:r w:rsidRPr="00E60EA6">
        <w:rPr>
          <w:rFonts w:cs="Lucida Sans Unicode"/>
          <w:szCs w:val="22"/>
        </w:rPr>
        <w:t xml:space="preserve"> to $</w:t>
      </w:r>
      <w:r w:rsidR="005D7CD0">
        <w:rPr>
          <w:rFonts w:cs="Lucida Sans Unicode"/>
          <w:szCs w:val="22"/>
        </w:rPr>
        <w:t>332.00</w:t>
      </w:r>
      <w:r w:rsidRPr="00E60EA6">
        <w:rPr>
          <w:rFonts w:cs="Lucida Sans Unicode"/>
          <w:szCs w:val="22"/>
        </w:rPr>
        <w:t xml:space="preserve"> or </w:t>
      </w:r>
      <w:r w:rsidR="005D7CD0">
        <w:rPr>
          <w:rFonts w:cs="Lucida Sans Unicode"/>
          <w:szCs w:val="22"/>
        </w:rPr>
        <w:t>4.8</w:t>
      </w:r>
      <w:r w:rsidRPr="00E60EA6">
        <w:rPr>
          <w:rFonts w:cs="Lucida Sans Unicode"/>
          <w:szCs w:val="22"/>
        </w:rPr>
        <w:t>%. The EPA landfill levy increases to $</w:t>
      </w:r>
      <w:r w:rsidR="005D7CD0">
        <w:rPr>
          <w:rFonts w:cs="Lucida Sans Unicode"/>
          <w:szCs w:val="22"/>
        </w:rPr>
        <w:t>35.88</w:t>
      </w:r>
      <w:r w:rsidRPr="00E60EA6">
        <w:rPr>
          <w:rFonts w:cs="Lucida Sans Unicode"/>
          <w:szCs w:val="22"/>
        </w:rPr>
        <w:t xml:space="preserve"> per tenement (included in the service charge). </w:t>
      </w:r>
    </w:p>
    <w:p w:rsidR="00A82550" w:rsidRPr="00E60EA6" w:rsidRDefault="00A82550" w:rsidP="005167B1">
      <w:pPr>
        <w:pStyle w:val="ListParagraph"/>
        <w:numPr>
          <w:ilvl w:val="0"/>
          <w:numId w:val="43"/>
        </w:numPr>
        <w:ind w:left="357" w:hanging="357"/>
        <w:jc w:val="both"/>
        <w:rPr>
          <w:rFonts w:cs="Lucida Sans Unicode"/>
          <w:szCs w:val="22"/>
        </w:rPr>
      </w:pPr>
      <w:r w:rsidRPr="00E60EA6">
        <w:rPr>
          <w:rFonts w:cs="Lucida Sans Unicode"/>
          <w:szCs w:val="22"/>
        </w:rPr>
        <w:lastRenderedPageBreak/>
        <w:t xml:space="preserve">A </w:t>
      </w:r>
      <w:r w:rsidR="00886702">
        <w:rPr>
          <w:rFonts w:cs="Lucida Sans Unicode"/>
          <w:szCs w:val="22"/>
        </w:rPr>
        <w:t>s</w:t>
      </w:r>
      <w:r w:rsidR="00886702" w:rsidRPr="00E60EA6">
        <w:rPr>
          <w:rFonts w:cs="Lucida Sans Unicode"/>
          <w:szCs w:val="22"/>
        </w:rPr>
        <w:t xml:space="preserve">ection </w:t>
      </w:r>
      <w:r w:rsidRPr="00E60EA6">
        <w:rPr>
          <w:rFonts w:cs="Lucida Sans Unicode"/>
          <w:szCs w:val="22"/>
        </w:rPr>
        <w:t xml:space="preserve">162 </w:t>
      </w:r>
      <w:r w:rsidR="00886702">
        <w:rPr>
          <w:rFonts w:cs="Lucida Sans Unicode"/>
          <w:szCs w:val="22"/>
        </w:rPr>
        <w:t>s</w:t>
      </w:r>
      <w:r w:rsidRPr="00E60EA6">
        <w:rPr>
          <w:rFonts w:cs="Lucida Sans Unicode"/>
          <w:szCs w:val="22"/>
        </w:rPr>
        <w:t xml:space="preserve">ervice </w:t>
      </w:r>
      <w:r w:rsidR="00886702">
        <w:rPr>
          <w:rFonts w:cs="Lucida Sans Unicode"/>
          <w:szCs w:val="22"/>
        </w:rPr>
        <w:t>c</w:t>
      </w:r>
      <w:r w:rsidRPr="00E60EA6">
        <w:rPr>
          <w:rFonts w:cs="Lucida Sans Unicode"/>
          <w:szCs w:val="22"/>
        </w:rPr>
        <w:t>harge known as Additional Bins Service was introduced in 2016-17. Households may apply for an additional garbage bin, upsized garbage bin</w:t>
      </w:r>
      <w:r w:rsidR="005D7CD0">
        <w:rPr>
          <w:rFonts w:cs="Lucida Sans Unicode"/>
          <w:szCs w:val="22"/>
        </w:rPr>
        <w:t xml:space="preserve">, </w:t>
      </w:r>
      <w:r w:rsidRPr="00E60EA6">
        <w:rPr>
          <w:rFonts w:cs="Lucida Sans Unicode"/>
          <w:szCs w:val="22"/>
        </w:rPr>
        <w:t>recycling bin</w:t>
      </w:r>
      <w:r w:rsidR="005D7CD0">
        <w:rPr>
          <w:rFonts w:cs="Lucida Sans Unicode"/>
          <w:szCs w:val="22"/>
        </w:rPr>
        <w:t xml:space="preserve"> or a green waste bin</w:t>
      </w:r>
      <w:r w:rsidRPr="00E60EA6">
        <w:rPr>
          <w:rFonts w:cs="Lucida Sans Unicode"/>
          <w:szCs w:val="22"/>
        </w:rPr>
        <w:t xml:space="preserve">. The charges for </w:t>
      </w:r>
      <w:r w:rsidR="005D7CD0">
        <w:rPr>
          <w:rFonts w:cs="Lucida Sans Unicode"/>
          <w:szCs w:val="22"/>
        </w:rPr>
        <w:t>2019-20</w:t>
      </w:r>
      <w:r w:rsidRPr="00E60EA6">
        <w:rPr>
          <w:rFonts w:cs="Lucida Sans Unicode"/>
          <w:szCs w:val="22"/>
        </w:rPr>
        <w:t xml:space="preserve"> are $</w:t>
      </w:r>
      <w:r w:rsidR="005D7CD0">
        <w:rPr>
          <w:rFonts w:cs="Lucida Sans Unicode"/>
          <w:szCs w:val="22"/>
        </w:rPr>
        <w:t>146.85</w:t>
      </w:r>
      <w:r w:rsidRPr="00E60EA6">
        <w:rPr>
          <w:rFonts w:cs="Lucida Sans Unicode"/>
          <w:szCs w:val="22"/>
        </w:rPr>
        <w:t xml:space="preserve"> for a 140L garbage bin, $</w:t>
      </w:r>
      <w:r w:rsidR="005D7CD0">
        <w:rPr>
          <w:rFonts w:cs="Lucida Sans Unicode"/>
          <w:szCs w:val="22"/>
        </w:rPr>
        <w:t>105.25</w:t>
      </w:r>
      <w:r w:rsidRPr="00E60EA6">
        <w:rPr>
          <w:rFonts w:cs="Lucida Sans Unicode"/>
          <w:szCs w:val="22"/>
        </w:rPr>
        <w:t xml:space="preserve"> t</w:t>
      </w:r>
      <w:r w:rsidR="005D7CD0">
        <w:rPr>
          <w:rFonts w:cs="Lucida Sans Unicode"/>
          <w:szCs w:val="22"/>
        </w:rPr>
        <w:t xml:space="preserve">o upgrade to a 240L garbage bin, </w:t>
      </w:r>
      <w:r w:rsidRPr="00E60EA6">
        <w:rPr>
          <w:rFonts w:cs="Lucida Sans Unicode"/>
          <w:szCs w:val="22"/>
        </w:rPr>
        <w:t>$</w:t>
      </w:r>
      <w:r w:rsidR="005D7CD0">
        <w:rPr>
          <w:rFonts w:cs="Lucida Sans Unicode"/>
          <w:szCs w:val="22"/>
        </w:rPr>
        <w:t>82.40 for a 240L recycling bin and $95.30 for a 240L green waste bin</w:t>
      </w:r>
      <w:r w:rsidR="00E86B96">
        <w:rPr>
          <w:rFonts w:cs="Lucida Sans Unicode"/>
          <w:szCs w:val="22"/>
        </w:rPr>
        <w:t>.</w:t>
      </w:r>
    </w:p>
    <w:p w:rsidR="00A82550" w:rsidRPr="00E60EA6" w:rsidRDefault="00A82550" w:rsidP="005167B1">
      <w:pPr>
        <w:pStyle w:val="ListParagraph"/>
        <w:numPr>
          <w:ilvl w:val="0"/>
          <w:numId w:val="43"/>
        </w:numPr>
        <w:ind w:left="357" w:hanging="357"/>
        <w:jc w:val="both"/>
        <w:rPr>
          <w:rFonts w:cs="Lucida Sans Unicode"/>
          <w:szCs w:val="22"/>
        </w:rPr>
      </w:pPr>
      <w:r w:rsidRPr="00E60EA6">
        <w:rPr>
          <w:rFonts w:cs="Lucida Sans Unicode"/>
          <w:szCs w:val="22"/>
        </w:rPr>
        <w:t xml:space="preserve">The Municipal </w:t>
      </w:r>
      <w:r w:rsidR="00653B9C">
        <w:rPr>
          <w:rFonts w:cs="Lucida Sans Unicode"/>
          <w:szCs w:val="22"/>
        </w:rPr>
        <w:t>C</w:t>
      </w:r>
      <w:r w:rsidR="00886702" w:rsidRPr="00E60EA6">
        <w:rPr>
          <w:rFonts w:cs="Lucida Sans Unicode"/>
          <w:szCs w:val="22"/>
        </w:rPr>
        <w:t xml:space="preserve">harge </w:t>
      </w:r>
      <w:r w:rsidRPr="00E60EA6">
        <w:rPr>
          <w:rFonts w:cs="Lucida Sans Unicode"/>
          <w:szCs w:val="22"/>
        </w:rPr>
        <w:t xml:space="preserve">represents a fee on all rateable assessments as a contribution to the fixed and unavoidable costs of governance. The Municipal </w:t>
      </w:r>
      <w:r w:rsidR="00886702">
        <w:rPr>
          <w:rFonts w:cs="Lucida Sans Unicode"/>
          <w:szCs w:val="22"/>
        </w:rPr>
        <w:t>c</w:t>
      </w:r>
      <w:r w:rsidR="00886702" w:rsidRPr="00E60EA6">
        <w:rPr>
          <w:rFonts w:cs="Lucida Sans Unicode"/>
          <w:szCs w:val="22"/>
        </w:rPr>
        <w:t xml:space="preserve">harge </w:t>
      </w:r>
      <w:r w:rsidRPr="00E60EA6">
        <w:rPr>
          <w:rFonts w:cs="Lucida Sans Unicode"/>
          <w:szCs w:val="22"/>
        </w:rPr>
        <w:t>is to increase from $</w:t>
      </w:r>
      <w:r w:rsidR="005D7CD0">
        <w:rPr>
          <w:rFonts w:cs="Lucida Sans Unicode"/>
          <w:szCs w:val="22"/>
        </w:rPr>
        <w:t>102.00</w:t>
      </w:r>
      <w:r w:rsidRPr="00E60EA6">
        <w:rPr>
          <w:rFonts w:cs="Lucida Sans Unicode"/>
          <w:szCs w:val="22"/>
        </w:rPr>
        <w:t xml:space="preserve"> to $</w:t>
      </w:r>
      <w:r w:rsidR="005D7CD0">
        <w:rPr>
          <w:rFonts w:cs="Lucida Sans Unicode"/>
          <w:szCs w:val="22"/>
        </w:rPr>
        <w:t>105.25</w:t>
      </w:r>
      <w:r w:rsidRPr="00E60EA6">
        <w:rPr>
          <w:rFonts w:cs="Lucida Sans Unicode"/>
          <w:szCs w:val="22"/>
        </w:rPr>
        <w:t xml:space="preserve"> or 3.</w:t>
      </w:r>
      <w:r w:rsidR="005D7CD0">
        <w:rPr>
          <w:rFonts w:cs="Lucida Sans Unicode"/>
          <w:szCs w:val="22"/>
        </w:rPr>
        <w:t>2</w:t>
      </w:r>
      <w:r w:rsidRPr="00E60EA6">
        <w:rPr>
          <w:rFonts w:cs="Lucida Sans Unicode"/>
          <w:szCs w:val="22"/>
        </w:rPr>
        <w:t>%.</w:t>
      </w:r>
    </w:p>
    <w:p w:rsidR="00A82550" w:rsidRPr="00E60EA6" w:rsidRDefault="00A82550" w:rsidP="005167B1">
      <w:pPr>
        <w:pStyle w:val="ListParagraph"/>
        <w:numPr>
          <w:ilvl w:val="0"/>
          <w:numId w:val="43"/>
        </w:numPr>
        <w:ind w:left="357" w:hanging="357"/>
        <w:jc w:val="both"/>
        <w:rPr>
          <w:rFonts w:cs="Lucida Sans Unicode"/>
          <w:szCs w:val="22"/>
        </w:rPr>
      </w:pPr>
      <w:r w:rsidRPr="00E60EA6">
        <w:rPr>
          <w:rFonts w:cs="Lucida Sans Unicode"/>
          <w:szCs w:val="22"/>
        </w:rPr>
        <w:t>The Farm rebate has been set at 3</w:t>
      </w:r>
      <w:r w:rsidR="005D7CD0">
        <w:rPr>
          <w:rFonts w:cs="Lucida Sans Unicode"/>
          <w:szCs w:val="22"/>
        </w:rPr>
        <w:t>3</w:t>
      </w:r>
      <w:r w:rsidRPr="00E60EA6">
        <w:rPr>
          <w:rFonts w:cs="Lucida Sans Unicode"/>
          <w:szCs w:val="22"/>
        </w:rPr>
        <w:t xml:space="preserve">.3% to maintain an average rate increase consistent with residential rates and represents a cost to </w:t>
      </w:r>
      <w:r w:rsidR="00886702">
        <w:rPr>
          <w:rFonts w:cs="Lucida Sans Unicode"/>
          <w:szCs w:val="22"/>
        </w:rPr>
        <w:t>the City</w:t>
      </w:r>
      <w:r w:rsidR="00886702" w:rsidRPr="00E60EA6">
        <w:rPr>
          <w:rFonts w:cs="Lucida Sans Unicode"/>
          <w:szCs w:val="22"/>
        </w:rPr>
        <w:t xml:space="preserve"> </w:t>
      </w:r>
      <w:r w:rsidRPr="00E60EA6">
        <w:rPr>
          <w:rFonts w:cs="Lucida Sans Unicode"/>
          <w:szCs w:val="22"/>
        </w:rPr>
        <w:t>of $1.</w:t>
      </w:r>
      <w:r w:rsidR="00886702">
        <w:rPr>
          <w:rFonts w:cs="Lucida Sans Unicode"/>
          <w:szCs w:val="22"/>
        </w:rPr>
        <w:t>233m</w:t>
      </w:r>
      <w:r w:rsidRPr="00E60EA6">
        <w:rPr>
          <w:rFonts w:cs="Lucida Sans Unicode"/>
          <w:szCs w:val="22"/>
        </w:rPr>
        <w:t>.</w:t>
      </w:r>
    </w:p>
    <w:p w:rsidR="00A82550" w:rsidRPr="00E60EA6" w:rsidRDefault="00886702" w:rsidP="005167B1">
      <w:pPr>
        <w:pStyle w:val="ListParagraph"/>
        <w:numPr>
          <w:ilvl w:val="0"/>
          <w:numId w:val="43"/>
        </w:numPr>
        <w:ind w:left="357" w:hanging="357"/>
        <w:jc w:val="both"/>
        <w:rPr>
          <w:rFonts w:cs="Lucida Sans Unicode"/>
          <w:szCs w:val="22"/>
        </w:rPr>
      </w:pPr>
      <w:r>
        <w:rPr>
          <w:rFonts w:cs="Lucida Sans Unicode"/>
          <w:szCs w:val="22"/>
        </w:rPr>
        <w:t>The City</w:t>
      </w:r>
      <w:r w:rsidRPr="00E60EA6">
        <w:rPr>
          <w:rFonts w:cs="Lucida Sans Unicode"/>
          <w:szCs w:val="22"/>
        </w:rPr>
        <w:t xml:space="preserve"> </w:t>
      </w:r>
      <w:r w:rsidR="00A82550" w:rsidRPr="00E60EA6">
        <w:rPr>
          <w:rFonts w:cs="Lucida Sans Unicode"/>
          <w:szCs w:val="22"/>
        </w:rPr>
        <w:t xml:space="preserve">has reverted to the definition of Cultural and Recreational Lands Act 1963 from 2017-18. Any properties removed from the differential are eligible for a transitional rebate to the otherwise applicable rate. The transitional rebate is set at </w:t>
      </w:r>
      <w:r w:rsidR="005D7CD0">
        <w:rPr>
          <w:rFonts w:cs="Lucida Sans Unicode"/>
          <w:szCs w:val="22"/>
        </w:rPr>
        <w:t>25</w:t>
      </w:r>
      <w:r w:rsidR="00A82550" w:rsidRPr="00E60EA6">
        <w:rPr>
          <w:rFonts w:cs="Lucida Sans Unicode"/>
          <w:szCs w:val="22"/>
        </w:rPr>
        <w:t xml:space="preserve">% for </w:t>
      </w:r>
      <w:r w:rsidR="005D7CD0">
        <w:rPr>
          <w:rFonts w:cs="Lucida Sans Unicode"/>
          <w:szCs w:val="22"/>
        </w:rPr>
        <w:t>2019-20</w:t>
      </w:r>
      <w:r w:rsidR="00A82550" w:rsidRPr="00E60EA6">
        <w:rPr>
          <w:rFonts w:cs="Lucida Sans Unicode"/>
          <w:szCs w:val="22"/>
        </w:rPr>
        <w:t>.</w:t>
      </w:r>
    </w:p>
    <w:p w:rsidR="00A82550" w:rsidRPr="00E60EA6" w:rsidRDefault="00A82550" w:rsidP="005167B1">
      <w:pPr>
        <w:pStyle w:val="ListParagraph"/>
        <w:numPr>
          <w:ilvl w:val="0"/>
          <w:numId w:val="43"/>
        </w:numPr>
        <w:ind w:left="357" w:hanging="357"/>
        <w:jc w:val="both"/>
        <w:rPr>
          <w:rFonts w:cs="Lucida Sans Unicode"/>
          <w:szCs w:val="22"/>
        </w:rPr>
      </w:pPr>
      <w:r w:rsidRPr="00E60EA6">
        <w:rPr>
          <w:rFonts w:cs="Lucida Sans Unicode"/>
          <w:szCs w:val="22"/>
        </w:rPr>
        <w:t xml:space="preserve">The </w:t>
      </w:r>
      <w:r w:rsidR="0000717E">
        <w:rPr>
          <w:rFonts w:cs="Lucida Sans Unicode"/>
          <w:szCs w:val="22"/>
        </w:rPr>
        <w:t>h</w:t>
      </w:r>
      <w:r w:rsidR="0000717E" w:rsidRPr="00E60EA6">
        <w:rPr>
          <w:rFonts w:cs="Lucida Sans Unicode"/>
          <w:szCs w:val="22"/>
        </w:rPr>
        <w:t xml:space="preserve">ousing </w:t>
      </w:r>
      <w:r w:rsidR="0000717E">
        <w:rPr>
          <w:rFonts w:cs="Lucida Sans Unicode"/>
          <w:szCs w:val="22"/>
        </w:rPr>
        <w:t>s</w:t>
      </w:r>
      <w:r w:rsidR="0000717E" w:rsidRPr="00E60EA6">
        <w:rPr>
          <w:rFonts w:cs="Lucida Sans Unicode"/>
          <w:szCs w:val="22"/>
        </w:rPr>
        <w:t xml:space="preserve">upport </w:t>
      </w:r>
      <w:r w:rsidR="0000717E">
        <w:rPr>
          <w:rFonts w:cs="Lucida Sans Unicode"/>
          <w:szCs w:val="22"/>
        </w:rPr>
        <w:t>w</w:t>
      </w:r>
      <w:r w:rsidR="0000717E" w:rsidRPr="00E60EA6">
        <w:rPr>
          <w:rFonts w:cs="Lucida Sans Unicode"/>
          <w:szCs w:val="22"/>
        </w:rPr>
        <w:t xml:space="preserve">aiver </w:t>
      </w:r>
      <w:r w:rsidRPr="00E60EA6">
        <w:rPr>
          <w:rFonts w:cs="Lucida Sans Unicode"/>
          <w:szCs w:val="22"/>
        </w:rPr>
        <w:t xml:space="preserve">for eligible </w:t>
      </w:r>
      <w:r w:rsidR="0000717E">
        <w:rPr>
          <w:rFonts w:cs="Lucida Sans Unicode"/>
          <w:szCs w:val="22"/>
        </w:rPr>
        <w:t>c</w:t>
      </w:r>
      <w:r w:rsidR="0000717E" w:rsidRPr="00E60EA6">
        <w:rPr>
          <w:rFonts w:cs="Lucida Sans Unicode"/>
          <w:szCs w:val="22"/>
        </w:rPr>
        <w:t xml:space="preserve">haritable </w:t>
      </w:r>
      <w:r w:rsidR="0000717E">
        <w:rPr>
          <w:rFonts w:cs="Lucida Sans Unicode"/>
          <w:szCs w:val="22"/>
        </w:rPr>
        <w:t>h</w:t>
      </w:r>
      <w:r w:rsidR="0000717E" w:rsidRPr="00E60EA6">
        <w:rPr>
          <w:rFonts w:cs="Lucida Sans Unicode"/>
          <w:szCs w:val="22"/>
        </w:rPr>
        <w:t xml:space="preserve">ousing </w:t>
      </w:r>
      <w:r w:rsidRPr="00E60EA6">
        <w:rPr>
          <w:rFonts w:cs="Lucida Sans Unicode"/>
          <w:szCs w:val="22"/>
        </w:rPr>
        <w:t xml:space="preserve">will be maintained for </w:t>
      </w:r>
      <w:r w:rsidR="005D7CD0">
        <w:rPr>
          <w:rFonts w:cs="Lucida Sans Unicode"/>
          <w:szCs w:val="22"/>
        </w:rPr>
        <w:t>2019-20</w:t>
      </w:r>
      <w:r w:rsidRPr="00E60EA6">
        <w:rPr>
          <w:rFonts w:cs="Lucida Sans Unicode"/>
          <w:szCs w:val="22"/>
        </w:rPr>
        <w:t xml:space="preserve"> and is available upon application.</w:t>
      </w:r>
    </w:p>
    <w:p w:rsidR="00A82550" w:rsidRPr="00E60EA6" w:rsidRDefault="00A82550" w:rsidP="005167B1">
      <w:pPr>
        <w:pStyle w:val="ListParagraph"/>
        <w:numPr>
          <w:ilvl w:val="0"/>
          <w:numId w:val="43"/>
        </w:numPr>
        <w:ind w:left="357" w:hanging="357"/>
        <w:jc w:val="both"/>
        <w:rPr>
          <w:rFonts w:cs="Lucida Sans Unicode"/>
          <w:szCs w:val="22"/>
        </w:rPr>
      </w:pPr>
      <w:r w:rsidRPr="00E60EA6">
        <w:rPr>
          <w:rFonts w:cs="Lucida Sans Unicode"/>
          <w:szCs w:val="22"/>
        </w:rPr>
        <w:t xml:space="preserve">The </w:t>
      </w:r>
      <w:r w:rsidR="0000717E">
        <w:rPr>
          <w:rFonts w:cs="Lucida Sans Unicode"/>
          <w:szCs w:val="22"/>
        </w:rPr>
        <w:t>r</w:t>
      </w:r>
      <w:r w:rsidR="0000717E" w:rsidRPr="00E60EA6">
        <w:rPr>
          <w:rFonts w:cs="Lucida Sans Unicode"/>
          <w:szCs w:val="22"/>
        </w:rPr>
        <w:t xml:space="preserve">ates </w:t>
      </w:r>
      <w:r w:rsidR="0000717E">
        <w:rPr>
          <w:rFonts w:cs="Lucida Sans Unicode"/>
          <w:szCs w:val="22"/>
        </w:rPr>
        <w:t>a</w:t>
      </w:r>
      <w:r w:rsidR="0000717E" w:rsidRPr="00E60EA6">
        <w:rPr>
          <w:rFonts w:cs="Lucida Sans Unicode"/>
          <w:szCs w:val="22"/>
        </w:rPr>
        <w:t xml:space="preserve">ssistance </w:t>
      </w:r>
      <w:r w:rsidR="0000717E">
        <w:rPr>
          <w:rFonts w:cs="Lucida Sans Unicode"/>
          <w:szCs w:val="22"/>
        </w:rPr>
        <w:t>w</w:t>
      </w:r>
      <w:r w:rsidR="0000717E" w:rsidRPr="00E60EA6">
        <w:rPr>
          <w:rFonts w:cs="Lucida Sans Unicode"/>
          <w:szCs w:val="22"/>
        </w:rPr>
        <w:t xml:space="preserve">aiver </w:t>
      </w:r>
      <w:r w:rsidRPr="00E60EA6">
        <w:rPr>
          <w:rFonts w:cs="Lucida Sans Unicode"/>
          <w:szCs w:val="22"/>
        </w:rPr>
        <w:t xml:space="preserve">is retained for </w:t>
      </w:r>
      <w:r w:rsidR="005D7CD0">
        <w:rPr>
          <w:rFonts w:cs="Lucida Sans Unicode"/>
          <w:szCs w:val="22"/>
        </w:rPr>
        <w:t>2019-20</w:t>
      </w:r>
      <w:r w:rsidRPr="00E60EA6">
        <w:rPr>
          <w:rFonts w:cs="Lucida Sans Unicode"/>
          <w:szCs w:val="22"/>
        </w:rPr>
        <w:t xml:space="preserve"> with the valuation threshold </w:t>
      </w:r>
      <w:r w:rsidR="005D7CD0">
        <w:rPr>
          <w:rFonts w:cs="Lucida Sans Unicode"/>
          <w:szCs w:val="22"/>
        </w:rPr>
        <w:t>at</w:t>
      </w:r>
      <w:r w:rsidRPr="00E60EA6">
        <w:rPr>
          <w:rFonts w:cs="Lucida Sans Unicode"/>
          <w:szCs w:val="22"/>
        </w:rPr>
        <w:t xml:space="preserve"> 50% where the </w:t>
      </w:r>
      <w:r w:rsidR="00F661B9" w:rsidRPr="00E60EA6">
        <w:rPr>
          <w:rFonts w:cs="Lucida Sans Unicode"/>
          <w:szCs w:val="22"/>
        </w:rPr>
        <w:t>201</w:t>
      </w:r>
      <w:r w:rsidR="00F661B9">
        <w:rPr>
          <w:rFonts w:cs="Lucida Sans Unicode"/>
          <w:szCs w:val="22"/>
        </w:rPr>
        <w:t>9</w:t>
      </w:r>
      <w:r w:rsidR="00F661B9" w:rsidRPr="00E60EA6">
        <w:rPr>
          <w:rFonts w:cs="Lucida Sans Unicode"/>
          <w:szCs w:val="22"/>
        </w:rPr>
        <w:t xml:space="preserve"> </w:t>
      </w:r>
      <w:r w:rsidRPr="00E60EA6">
        <w:rPr>
          <w:rFonts w:cs="Lucida Sans Unicode"/>
          <w:szCs w:val="22"/>
        </w:rPr>
        <w:t>revaluation may cause financial hardship.</w:t>
      </w:r>
    </w:p>
    <w:p w:rsidR="00A82550" w:rsidRPr="00E60EA6" w:rsidRDefault="00A82550" w:rsidP="005167B1">
      <w:pPr>
        <w:pStyle w:val="ListParagraph"/>
        <w:numPr>
          <w:ilvl w:val="0"/>
          <w:numId w:val="43"/>
        </w:numPr>
        <w:ind w:left="357" w:hanging="357"/>
        <w:jc w:val="both"/>
        <w:rPr>
          <w:rFonts w:cs="Lucida Sans Unicode"/>
          <w:szCs w:val="22"/>
        </w:rPr>
      </w:pPr>
      <w:r w:rsidRPr="00E60EA6">
        <w:rPr>
          <w:rFonts w:cs="Lucida Sans Unicode"/>
          <w:szCs w:val="22"/>
        </w:rPr>
        <w:t>A rates waiver introduced for the New Corio Estate from 2013-14 recognising this inappropriate subdivision and Planning Scheme Amendment C243 will be maintained.</w:t>
      </w:r>
    </w:p>
    <w:p w:rsidR="00A82550" w:rsidRDefault="00A82550" w:rsidP="005167B1">
      <w:pPr>
        <w:pStyle w:val="ListParagraph"/>
        <w:numPr>
          <w:ilvl w:val="0"/>
          <w:numId w:val="43"/>
        </w:numPr>
        <w:ind w:left="357" w:hanging="357"/>
        <w:jc w:val="both"/>
        <w:rPr>
          <w:rFonts w:cs="Lucida Sans Unicode"/>
          <w:szCs w:val="22"/>
        </w:rPr>
      </w:pPr>
      <w:r w:rsidRPr="00E60EA6">
        <w:rPr>
          <w:rFonts w:cs="Lucida Sans Unicode"/>
          <w:szCs w:val="22"/>
        </w:rPr>
        <w:t>The pensioner concession will increase from $</w:t>
      </w:r>
      <w:r w:rsidR="005D7CD0">
        <w:rPr>
          <w:rFonts w:cs="Lucida Sans Unicode"/>
          <w:szCs w:val="22"/>
        </w:rPr>
        <w:t>229.40</w:t>
      </w:r>
      <w:r w:rsidRPr="00E60EA6">
        <w:rPr>
          <w:rFonts w:cs="Lucida Sans Unicode"/>
          <w:szCs w:val="22"/>
        </w:rPr>
        <w:t xml:space="preserve"> </w:t>
      </w:r>
      <w:r w:rsidR="005D7CD0">
        <w:rPr>
          <w:rFonts w:cs="Lucida Sans Unicode"/>
          <w:szCs w:val="22"/>
        </w:rPr>
        <w:t>in accordance with movement in CPI for Melbourne as advised by the Bureau of Statistics to $235.</w:t>
      </w:r>
      <w:r w:rsidR="00A96587">
        <w:rPr>
          <w:rFonts w:cs="Lucida Sans Unicode"/>
          <w:szCs w:val="22"/>
        </w:rPr>
        <w:t>15</w:t>
      </w:r>
      <w:r w:rsidR="005D7CD0">
        <w:rPr>
          <w:rFonts w:cs="Lucida Sans Unicode"/>
          <w:szCs w:val="22"/>
        </w:rPr>
        <w:t>.</w:t>
      </w:r>
    </w:p>
    <w:p w:rsidR="005D7CD0" w:rsidRDefault="005D7CD0" w:rsidP="005167B1">
      <w:pPr>
        <w:pStyle w:val="ListParagraph"/>
        <w:numPr>
          <w:ilvl w:val="0"/>
          <w:numId w:val="43"/>
        </w:numPr>
        <w:ind w:left="357" w:hanging="357"/>
        <w:jc w:val="both"/>
        <w:rPr>
          <w:rFonts w:cs="Lucida Sans Unicode"/>
          <w:szCs w:val="22"/>
        </w:rPr>
      </w:pPr>
      <w:r>
        <w:rPr>
          <w:rFonts w:cs="Lucida Sans Unicode"/>
          <w:szCs w:val="22"/>
        </w:rPr>
        <w:t>The gap between the Commercial and Industrial differentials has been reduced from 26.1% in 2018-19 to 1</w:t>
      </w:r>
      <w:r w:rsidR="00E97042">
        <w:rPr>
          <w:rFonts w:cs="Lucida Sans Unicode"/>
          <w:szCs w:val="22"/>
        </w:rPr>
        <w:t>4.9</w:t>
      </w:r>
      <w:r>
        <w:rPr>
          <w:rFonts w:cs="Lucida Sans Unicode"/>
          <w:szCs w:val="22"/>
        </w:rPr>
        <w:t xml:space="preserve">% in 2019-20 in line with </w:t>
      </w:r>
      <w:r w:rsidR="00653B9C">
        <w:rPr>
          <w:rFonts w:cs="Lucida Sans Unicode"/>
          <w:szCs w:val="22"/>
        </w:rPr>
        <w:t xml:space="preserve">council </w:t>
      </w:r>
      <w:r>
        <w:rPr>
          <w:rFonts w:cs="Lucida Sans Unicode"/>
          <w:szCs w:val="22"/>
        </w:rPr>
        <w:t>policy. The intention is for these two rates being set at the same rate in future years.</w:t>
      </w:r>
    </w:p>
    <w:p w:rsidR="005D7CD0" w:rsidRPr="00E60EA6" w:rsidRDefault="005D7CD0" w:rsidP="005167B1">
      <w:pPr>
        <w:pStyle w:val="ListParagraph"/>
        <w:numPr>
          <w:ilvl w:val="0"/>
          <w:numId w:val="43"/>
        </w:numPr>
        <w:ind w:left="357" w:hanging="357"/>
        <w:jc w:val="both"/>
        <w:rPr>
          <w:rFonts w:cs="Lucida Sans Unicode"/>
          <w:szCs w:val="22"/>
        </w:rPr>
      </w:pPr>
      <w:r>
        <w:rPr>
          <w:rFonts w:cs="Lucida Sans Unicode"/>
          <w:szCs w:val="22"/>
        </w:rPr>
        <w:t xml:space="preserve">The </w:t>
      </w:r>
      <w:r w:rsidR="0000717E">
        <w:rPr>
          <w:rFonts w:cs="Lucida Sans Unicode"/>
          <w:szCs w:val="22"/>
        </w:rPr>
        <w:t xml:space="preserve">petroleum </w:t>
      </w:r>
      <w:r>
        <w:rPr>
          <w:rFonts w:cs="Lucida Sans Unicode"/>
          <w:szCs w:val="22"/>
        </w:rPr>
        <w:t xml:space="preserve">differential has been aligned to the </w:t>
      </w:r>
      <w:r w:rsidR="0000717E">
        <w:rPr>
          <w:rFonts w:cs="Lucida Sans Unicode"/>
          <w:szCs w:val="22"/>
        </w:rPr>
        <w:t xml:space="preserve">industrial </w:t>
      </w:r>
      <w:r>
        <w:rPr>
          <w:rFonts w:cs="Lucida Sans Unicode"/>
          <w:szCs w:val="22"/>
        </w:rPr>
        <w:t xml:space="preserve">rate in the dollar, as per </w:t>
      </w:r>
      <w:r w:rsidR="00653B9C">
        <w:rPr>
          <w:rFonts w:cs="Lucida Sans Unicode"/>
          <w:szCs w:val="22"/>
        </w:rPr>
        <w:t>Councils</w:t>
      </w:r>
      <w:r w:rsidR="0000717E">
        <w:rPr>
          <w:rFonts w:cs="Lucida Sans Unicode"/>
          <w:szCs w:val="22"/>
        </w:rPr>
        <w:t xml:space="preserve"> </w:t>
      </w:r>
      <w:r>
        <w:rPr>
          <w:rFonts w:cs="Lucida Sans Unicode"/>
          <w:szCs w:val="22"/>
        </w:rPr>
        <w:t>adopted Statement of Principle.</w:t>
      </w:r>
    </w:p>
    <w:p w:rsidR="00A82550" w:rsidRPr="0098625E" w:rsidRDefault="00A82550">
      <w:pPr>
        <w:pStyle w:val="Heading4A"/>
      </w:pPr>
      <w:r w:rsidRPr="0098625E">
        <w:t>Residential Rates and Charges</w:t>
      </w:r>
    </w:p>
    <w:p w:rsidR="00A82550" w:rsidRPr="00E60EA6" w:rsidRDefault="00A82550" w:rsidP="00A82550">
      <w:pPr>
        <w:spacing w:before="0"/>
        <w:jc w:val="both"/>
        <w:rPr>
          <w:rFonts w:cs="Lucida Sans Unicode"/>
          <w:szCs w:val="22"/>
        </w:rPr>
      </w:pPr>
      <w:r w:rsidRPr="00E60EA6">
        <w:rPr>
          <w:rFonts w:cs="Lucida Sans Unicode"/>
          <w:szCs w:val="22"/>
        </w:rPr>
        <w:t xml:space="preserve">The average </w:t>
      </w:r>
      <w:r w:rsidR="0000717E">
        <w:rPr>
          <w:rFonts w:cs="Lucida Sans Unicode"/>
          <w:szCs w:val="22"/>
        </w:rPr>
        <w:t>c</w:t>
      </w:r>
      <w:r w:rsidR="0000717E" w:rsidRPr="00E60EA6">
        <w:rPr>
          <w:rFonts w:cs="Lucida Sans Unicode"/>
          <w:szCs w:val="22"/>
        </w:rPr>
        <w:t xml:space="preserve">apital </w:t>
      </w:r>
      <w:r w:rsidR="0000717E">
        <w:rPr>
          <w:rFonts w:cs="Lucida Sans Unicode"/>
          <w:szCs w:val="22"/>
        </w:rPr>
        <w:t>i</w:t>
      </w:r>
      <w:r w:rsidR="0000717E" w:rsidRPr="00E60EA6">
        <w:rPr>
          <w:rFonts w:cs="Lucida Sans Unicode"/>
          <w:szCs w:val="22"/>
        </w:rPr>
        <w:t xml:space="preserve">mproved </w:t>
      </w:r>
      <w:r w:rsidR="0000717E">
        <w:rPr>
          <w:rFonts w:cs="Lucida Sans Unicode"/>
          <w:szCs w:val="22"/>
        </w:rPr>
        <w:t>v</w:t>
      </w:r>
      <w:r w:rsidR="0000717E" w:rsidRPr="00E60EA6">
        <w:rPr>
          <w:rFonts w:cs="Lucida Sans Unicode"/>
          <w:szCs w:val="22"/>
        </w:rPr>
        <w:t xml:space="preserve">alue </w:t>
      </w:r>
      <w:r w:rsidRPr="00E60EA6">
        <w:rPr>
          <w:rFonts w:cs="Lucida Sans Unicode"/>
          <w:szCs w:val="22"/>
        </w:rPr>
        <w:t>of residential properties within the municipality has increased from $</w:t>
      </w:r>
      <w:r w:rsidR="00137E0E">
        <w:rPr>
          <w:rFonts w:cs="Lucida Sans Unicode"/>
          <w:szCs w:val="22"/>
        </w:rPr>
        <w:t>48</w:t>
      </w:r>
      <w:r w:rsidR="009C619A">
        <w:rPr>
          <w:rFonts w:cs="Lucida Sans Unicode"/>
          <w:szCs w:val="22"/>
        </w:rPr>
        <w:t>2,976</w:t>
      </w:r>
      <w:r w:rsidRPr="00E60EA6">
        <w:rPr>
          <w:rFonts w:cs="Lucida Sans Unicode"/>
          <w:b/>
          <w:szCs w:val="22"/>
        </w:rPr>
        <w:t xml:space="preserve"> </w:t>
      </w:r>
      <w:r w:rsidRPr="00E60EA6">
        <w:rPr>
          <w:rFonts w:cs="Lucida Sans Unicode"/>
          <w:szCs w:val="22"/>
        </w:rPr>
        <w:t>to</w:t>
      </w:r>
      <w:r w:rsidRPr="00E60EA6">
        <w:rPr>
          <w:rFonts w:cs="Lucida Sans Unicode"/>
          <w:b/>
          <w:szCs w:val="22"/>
        </w:rPr>
        <w:t xml:space="preserve"> </w:t>
      </w:r>
      <w:r w:rsidRPr="00E60EA6">
        <w:rPr>
          <w:rFonts w:cs="Lucida Sans Unicode"/>
          <w:szCs w:val="22"/>
        </w:rPr>
        <w:t>$</w:t>
      </w:r>
      <w:r w:rsidR="00137E0E">
        <w:rPr>
          <w:rFonts w:cs="Lucida Sans Unicode"/>
          <w:szCs w:val="22"/>
        </w:rPr>
        <w:t>546,</w:t>
      </w:r>
      <w:r w:rsidR="009C619A">
        <w:rPr>
          <w:rFonts w:cs="Lucida Sans Unicode"/>
          <w:szCs w:val="22"/>
        </w:rPr>
        <w:t>151</w:t>
      </w:r>
      <w:r w:rsidRPr="00E60EA6">
        <w:rPr>
          <w:rFonts w:cs="Lucida Sans Unicode"/>
          <w:szCs w:val="22"/>
        </w:rPr>
        <w:t>.</w:t>
      </w:r>
    </w:p>
    <w:p w:rsidR="00A82550" w:rsidRPr="00E60EA6" w:rsidRDefault="00A82550" w:rsidP="00A82550">
      <w:pPr>
        <w:spacing w:before="0"/>
        <w:jc w:val="both"/>
        <w:rPr>
          <w:rFonts w:cs="Lucida Sans Unicode"/>
          <w:szCs w:val="22"/>
        </w:rPr>
      </w:pPr>
      <w:r w:rsidRPr="00E60EA6">
        <w:rPr>
          <w:rFonts w:cs="Lucida Sans Unicode"/>
          <w:szCs w:val="22"/>
        </w:rPr>
        <w:lastRenderedPageBreak/>
        <w:t>The total increase in rates and charges for the average residential property with a capital improved value of $</w:t>
      </w:r>
      <w:r w:rsidR="00137E0E">
        <w:rPr>
          <w:rFonts w:cs="Lucida Sans Unicode"/>
          <w:szCs w:val="22"/>
        </w:rPr>
        <w:t>546,</w:t>
      </w:r>
      <w:r w:rsidR="009C619A">
        <w:rPr>
          <w:rFonts w:cs="Lucida Sans Unicode"/>
          <w:szCs w:val="22"/>
        </w:rPr>
        <w:t>151</w:t>
      </w:r>
      <w:r w:rsidR="009C619A" w:rsidRPr="00E60EA6">
        <w:rPr>
          <w:rFonts w:cs="Lucida Sans Unicode"/>
          <w:szCs w:val="22"/>
        </w:rPr>
        <w:t xml:space="preserve"> </w:t>
      </w:r>
      <w:r w:rsidRPr="00E60EA6">
        <w:rPr>
          <w:rFonts w:cs="Lucida Sans Unicode"/>
          <w:szCs w:val="22"/>
        </w:rPr>
        <w:t>is $</w:t>
      </w:r>
      <w:r w:rsidR="00137E0E">
        <w:rPr>
          <w:rFonts w:cs="Lucida Sans Unicode"/>
          <w:szCs w:val="22"/>
        </w:rPr>
        <w:t>47.</w:t>
      </w:r>
      <w:r w:rsidR="009C619A">
        <w:rPr>
          <w:rFonts w:cs="Lucida Sans Unicode"/>
          <w:szCs w:val="22"/>
        </w:rPr>
        <w:t>15</w:t>
      </w:r>
      <w:r w:rsidR="009C619A" w:rsidRPr="00E60EA6">
        <w:rPr>
          <w:rFonts w:cs="Lucida Sans Unicode"/>
          <w:szCs w:val="22"/>
        </w:rPr>
        <w:t xml:space="preserve"> </w:t>
      </w:r>
      <w:r w:rsidRPr="00E60EA6">
        <w:rPr>
          <w:rFonts w:cs="Lucida Sans Unicode"/>
          <w:szCs w:val="22"/>
        </w:rPr>
        <w:t xml:space="preserve">or </w:t>
      </w:r>
      <w:r w:rsidR="00137E0E">
        <w:rPr>
          <w:rFonts w:cs="Lucida Sans Unicode"/>
          <w:szCs w:val="22"/>
        </w:rPr>
        <w:t>3.0</w:t>
      </w:r>
      <w:r w:rsidRPr="00E60EA6">
        <w:rPr>
          <w:rFonts w:cs="Lucida Sans Unicode"/>
          <w:szCs w:val="22"/>
        </w:rPr>
        <w:t>%. This increase is made up of $</w:t>
      </w:r>
      <w:r w:rsidR="00137E0E">
        <w:rPr>
          <w:rFonts w:cs="Lucida Sans Unicode"/>
          <w:szCs w:val="22"/>
        </w:rPr>
        <w:t>28.8</w:t>
      </w:r>
      <w:r w:rsidR="009C619A">
        <w:rPr>
          <w:rFonts w:cs="Lucida Sans Unicode"/>
          <w:szCs w:val="22"/>
        </w:rPr>
        <w:t>0</w:t>
      </w:r>
      <w:r w:rsidRPr="00E60EA6">
        <w:rPr>
          <w:rFonts w:cs="Lucida Sans Unicode"/>
          <w:szCs w:val="22"/>
        </w:rPr>
        <w:t xml:space="preserve"> for General Rates, $3.</w:t>
      </w:r>
      <w:r w:rsidR="00137E0E">
        <w:rPr>
          <w:rFonts w:cs="Lucida Sans Unicode"/>
          <w:szCs w:val="22"/>
        </w:rPr>
        <w:t>2</w:t>
      </w:r>
      <w:r w:rsidRPr="00E60EA6">
        <w:rPr>
          <w:rFonts w:cs="Lucida Sans Unicode"/>
          <w:szCs w:val="22"/>
        </w:rPr>
        <w:t>5 for Municipal Charge and $</w:t>
      </w:r>
      <w:r w:rsidR="00137E0E">
        <w:rPr>
          <w:rFonts w:cs="Lucida Sans Unicode"/>
          <w:szCs w:val="22"/>
        </w:rPr>
        <w:t>15.10</w:t>
      </w:r>
      <w:r w:rsidRPr="00E60EA6">
        <w:rPr>
          <w:rFonts w:cs="Lucida Sans Unicode"/>
          <w:szCs w:val="22"/>
        </w:rPr>
        <w:t xml:space="preserve"> for the Waste Collection Service.</w:t>
      </w:r>
    </w:p>
    <w:p w:rsidR="00137E0E" w:rsidRPr="00466527" w:rsidRDefault="0068414C">
      <w:pPr>
        <w:pStyle w:val="Heading4A"/>
      </w:pPr>
      <w:r w:rsidRPr="0068414C">
        <w:rPr>
          <w:lang w:val="en-AU" w:eastAsia="en-AU"/>
        </w:rPr>
        <w:drawing>
          <wp:inline distT="0" distB="0" distL="0" distR="0">
            <wp:extent cx="5400040" cy="1809388"/>
            <wp:effectExtent l="0" t="0" r="0" b="63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1809388"/>
                    </a:xfrm>
                    <a:prstGeom prst="rect">
                      <a:avLst/>
                    </a:prstGeom>
                    <a:noFill/>
                    <a:ln>
                      <a:noFill/>
                    </a:ln>
                  </pic:spPr>
                </pic:pic>
              </a:graphicData>
            </a:graphic>
          </wp:inline>
        </w:drawing>
      </w:r>
    </w:p>
    <w:p w:rsidR="00A82550" w:rsidRPr="00E60EA6" w:rsidRDefault="00A82550" w:rsidP="005167B1">
      <w:pPr>
        <w:spacing w:before="80" w:after="80"/>
        <w:jc w:val="both"/>
        <w:rPr>
          <w:rFonts w:cs="Lucida Sans Unicode"/>
          <w:szCs w:val="22"/>
        </w:rPr>
      </w:pPr>
      <w:r w:rsidRPr="00E60EA6">
        <w:rPr>
          <w:rFonts w:cs="Lucida Sans Unicode"/>
          <w:szCs w:val="22"/>
        </w:rPr>
        <w:t xml:space="preserve">The Essential Services Commission measure rate increases as the movement in Rates &amp; Municipal Charge for all rateable property. The </w:t>
      </w:r>
      <w:r w:rsidR="00137E0E">
        <w:rPr>
          <w:rFonts w:cs="Lucida Sans Unicode"/>
          <w:szCs w:val="22"/>
        </w:rPr>
        <w:t>2018-19</w:t>
      </w:r>
      <w:r w:rsidRPr="00E60EA6">
        <w:rPr>
          <w:rFonts w:cs="Lucida Sans Unicode"/>
          <w:szCs w:val="22"/>
        </w:rPr>
        <w:t xml:space="preserve"> base average rate is calculated as $1,</w:t>
      </w:r>
      <w:r w:rsidR="00137E0E">
        <w:rPr>
          <w:rFonts w:cs="Lucida Sans Unicode"/>
          <w:szCs w:val="22"/>
        </w:rPr>
        <w:t>55</w:t>
      </w:r>
      <w:r w:rsidR="0068414C">
        <w:rPr>
          <w:rFonts w:cs="Lucida Sans Unicode"/>
          <w:szCs w:val="22"/>
        </w:rPr>
        <w:t>7.54</w:t>
      </w:r>
      <w:r w:rsidRPr="00E60EA6">
        <w:rPr>
          <w:rFonts w:cs="Lucida Sans Unicode"/>
          <w:szCs w:val="22"/>
        </w:rPr>
        <w:t xml:space="preserve"> and the </w:t>
      </w:r>
      <w:r w:rsidR="00137E0E">
        <w:rPr>
          <w:rFonts w:cs="Lucida Sans Unicode"/>
          <w:szCs w:val="22"/>
        </w:rPr>
        <w:t>2019-20</w:t>
      </w:r>
      <w:r w:rsidRPr="00E60EA6">
        <w:rPr>
          <w:rFonts w:cs="Lucida Sans Unicode"/>
          <w:szCs w:val="22"/>
        </w:rPr>
        <w:t xml:space="preserve"> Budget proposes this will increase by 2.</w:t>
      </w:r>
      <w:r w:rsidR="00137E0E">
        <w:rPr>
          <w:rFonts w:cs="Lucida Sans Unicode"/>
          <w:szCs w:val="22"/>
        </w:rPr>
        <w:t>5</w:t>
      </w:r>
      <w:r w:rsidRPr="00E60EA6">
        <w:rPr>
          <w:rFonts w:cs="Lucida Sans Unicode"/>
          <w:szCs w:val="22"/>
        </w:rPr>
        <w:t>% to $1,</w:t>
      </w:r>
      <w:r w:rsidR="00137E0E">
        <w:rPr>
          <w:rFonts w:cs="Lucida Sans Unicode"/>
          <w:szCs w:val="22"/>
        </w:rPr>
        <w:t>59</w:t>
      </w:r>
      <w:r w:rsidR="0068414C">
        <w:rPr>
          <w:rFonts w:cs="Lucida Sans Unicode"/>
          <w:szCs w:val="22"/>
        </w:rPr>
        <w:t>6.51</w:t>
      </w:r>
      <w:r w:rsidRPr="00E60EA6">
        <w:rPr>
          <w:rFonts w:cs="Lucida Sans Unicode"/>
          <w:szCs w:val="22"/>
        </w:rPr>
        <w:t>.</w:t>
      </w:r>
    </w:p>
    <w:p w:rsidR="00A82550" w:rsidRDefault="00A82550">
      <w:pPr>
        <w:pStyle w:val="Heading4A"/>
      </w:pPr>
      <w:r w:rsidRPr="00B41589">
        <w:t xml:space="preserve">Rebates - </w:t>
      </w:r>
      <w:r w:rsidR="0000717E">
        <w:t>s</w:t>
      </w:r>
      <w:r w:rsidR="0000717E" w:rsidRPr="00B41589">
        <w:t xml:space="preserve">ection </w:t>
      </w:r>
      <w:r w:rsidRPr="00B41589">
        <w:t>169 of the LGA Rebates</w:t>
      </w:r>
    </w:p>
    <w:p w:rsidR="00A82550" w:rsidRDefault="00A82550">
      <w:pPr>
        <w:pStyle w:val="BodyText"/>
      </w:pPr>
      <w:r>
        <w:t xml:space="preserve">For </w:t>
      </w:r>
      <w:r w:rsidR="00137E0E">
        <w:t>2019-20</w:t>
      </w:r>
      <w:r>
        <w:t xml:space="preserve"> the following rebates will apply:</w:t>
      </w:r>
    </w:p>
    <w:p w:rsidR="00A82550" w:rsidRPr="005A2AD5" w:rsidRDefault="00A82550" w:rsidP="005167B1">
      <w:pPr>
        <w:pStyle w:val="ListParagraph"/>
        <w:numPr>
          <w:ilvl w:val="0"/>
          <w:numId w:val="43"/>
        </w:numPr>
        <w:ind w:left="357" w:hanging="357"/>
        <w:jc w:val="both"/>
      </w:pPr>
      <w:r w:rsidRPr="00C05662">
        <w:rPr>
          <w:rFonts w:cs="Lucida Sans Unicode"/>
          <w:szCs w:val="22"/>
        </w:rPr>
        <w:t>Farm Rebate.</w:t>
      </w:r>
    </w:p>
    <w:p w:rsidR="00A82550" w:rsidRPr="00132FCB" w:rsidRDefault="00A82550" w:rsidP="005167B1">
      <w:pPr>
        <w:pStyle w:val="ListParagraph"/>
        <w:numPr>
          <w:ilvl w:val="0"/>
          <w:numId w:val="43"/>
        </w:numPr>
        <w:ind w:left="357" w:hanging="357"/>
        <w:jc w:val="both"/>
      </w:pPr>
      <w:r w:rsidRPr="00583AE6">
        <w:rPr>
          <w:rFonts w:cs="Lucida Sans Unicode"/>
          <w:szCs w:val="22"/>
        </w:rPr>
        <w:t>Cultural and Recreational Transitional Rebate.</w:t>
      </w:r>
    </w:p>
    <w:p w:rsidR="00A82550" w:rsidRPr="00B41589" w:rsidRDefault="00A82550">
      <w:pPr>
        <w:pStyle w:val="Heading4A"/>
      </w:pPr>
      <w:r w:rsidRPr="00B41589">
        <w:t xml:space="preserve">Waivers - </w:t>
      </w:r>
      <w:r w:rsidR="0000717E">
        <w:t>s</w:t>
      </w:r>
      <w:r w:rsidR="0000717E" w:rsidRPr="00B41589">
        <w:t xml:space="preserve">ection </w:t>
      </w:r>
      <w:r w:rsidRPr="00B41589">
        <w:t>171 of the LGA Waivers</w:t>
      </w:r>
    </w:p>
    <w:p w:rsidR="00A82550" w:rsidRDefault="00A82550">
      <w:pPr>
        <w:pStyle w:val="BodyText"/>
      </w:pPr>
      <w:r>
        <w:t xml:space="preserve">For </w:t>
      </w:r>
      <w:r w:rsidR="00137E0E">
        <w:t>2019-20</w:t>
      </w:r>
      <w:r>
        <w:t xml:space="preserve"> the following waivers will apply:</w:t>
      </w:r>
    </w:p>
    <w:p w:rsidR="00A82550" w:rsidRPr="00132FCB" w:rsidRDefault="00A82550" w:rsidP="005167B1">
      <w:pPr>
        <w:pStyle w:val="ListParagraph"/>
        <w:numPr>
          <w:ilvl w:val="0"/>
          <w:numId w:val="43"/>
        </w:numPr>
        <w:ind w:left="357" w:hanging="357"/>
        <w:jc w:val="both"/>
      </w:pPr>
      <w:r w:rsidRPr="00C05662">
        <w:rPr>
          <w:rFonts w:cs="Lucida Sans Unicode"/>
          <w:szCs w:val="22"/>
        </w:rPr>
        <w:t xml:space="preserve">Rates Assistance Waiver (Valuation increase over </w:t>
      </w:r>
      <w:r w:rsidR="00137E0E" w:rsidRPr="005A2AD5">
        <w:rPr>
          <w:rFonts w:cs="Lucida Sans Unicode"/>
          <w:szCs w:val="22"/>
        </w:rPr>
        <w:t>50</w:t>
      </w:r>
      <w:r w:rsidRPr="00583AE6">
        <w:rPr>
          <w:rFonts w:cs="Lucida Sans Unicode"/>
          <w:szCs w:val="22"/>
        </w:rPr>
        <w:t>%).</w:t>
      </w:r>
    </w:p>
    <w:p w:rsidR="00A82550" w:rsidRPr="005167B1" w:rsidRDefault="00A82550" w:rsidP="005167B1">
      <w:pPr>
        <w:pStyle w:val="ListParagraph"/>
        <w:numPr>
          <w:ilvl w:val="0"/>
          <w:numId w:val="43"/>
        </w:numPr>
        <w:ind w:left="357" w:hanging="357"/>
        <w:jc w:val="both"/>
      </w:pPr>
      <w:r w:rsidRPr="005167B1">
        <w:rPr>
          <w:rFonts w:cs="Lucida Sans Unicode"/>
          <w:szCs w:val="22"/>
        </w:rPr>
        <w:t>Housing Support Waiver.</w:t>
      </w:r>
    </w:p>
    <w:p w:rsidR="00A82550" w:rsidRPr="005167B1" w:rsidRDefault="00A82550" w:rsidP="005167B1">
      <w:pPr>
        <w:pStyle w:val="ListParagraph"/>
        <w:numPr>
          <w:ilvl w:val="0"/>
          <w:numId w:val="43"/>
        </w:numPr>
        <w:ind w:left="357" w:hanging="357"/>
        <w:jc w:val="both"/>
      </w:pPr>
      <w:r w:rsidRPr="005167B1">
        <w:rPr>
          <w:rFonts w:cs="Lucida Sans Unicode"/>
          <w:szCs w:val="22"/>
        </w:rPr>
        <w:t>New Corio Estate (Inappropriate Subdivision) Waiver.</w:t>
      </w:r>
    </w:p>
    <w:p w:rsidR="00A82550" w:rsidRPr="00BA4451" w:rsidRDefault="00A82550" w:rsidP="00A82550">
      <w:pPr>
        <w:pStyle w:val="Heading3A"/>
      </w:pPr>
      <w:r w:rsidRPr="00BA4451">
        <w:t>Recycling and Waste Collection Service Charge</w:t>
      </w:r>
    </w:p>
    <w:p w:rsidR="00A82550" w:rsidRPr="00D576C5" w:rsidRDefault="00A82550">
      <w:pPr>
        <w:pStyle w:val="BodyText"/>
        <w:rPr>
          <w:lang w:val="en-US"/>
        </w:rPr>
      </w:pPr>
      <w:r w:rsidRPr="00D576C5">
        <w:t>The Annual Service Charge is proposed at $</w:t>
      </w:r>
      <w:r w:rsidR="00137E0E">
        <w:t>332.00</w:t>
      </w:r>
      <w:r w:rsidRPr="00D576C5">
        <w:t xml:space="preserve"> for each rateable land and non-rateable land. The charge </w:t>
      </w:r>
      <w:r>
        <w:t>is</w:t>
      </w:r>
      <w:r w:rsidRPr="00D576C5">
        <w:t xml:space="preserve"> levied on the following criteria:</w:t>
      </w:r>
    </w:p>
    <w:p w:rsidR="00A82550" w:rsidRPr="005167B1" w:rsidRDefault="00A82550" w:rsidP="005167B1">
      <w:pPr>
        <w:pStyle w:val="ListParagraph"/>
        <w:numPr>
          <w:ilvl w:val="0"/>
          <w:numId w:val="43"/>
        </w:numPr>
        <w:ind w:left="357" w:hanging="357"/>
        <w:jc w:val="both"/>
      </w:pPr>
      <w:r w:rsidRPr="00C05662">
        <w:rPr>
          <w:rFonts w:cs="Lucida Sans Unicode"/>
          <w:szCs w:val="22"/>
        </w:rPr>
        <w:t xml:space="preserve">Geographic existence within those areas of the municipal district in which </w:t>
      </w:r>
      <w:r w:rsidR="0000717E" w:rsidRPr="00583AE6">
        <w:rPr>
          <w:rFonts w:cs="Lucida Sans Unicode"/>
          <w:szCs w:val="22"/>
        </w:rPr>
        <w:t xml:space="preserve">the City </w:t>
      </w:r>
      <w:r w:rsidRPr="00132FCB">
        <w:rPr>
          <w:rFonts w:cs="Lucida Sans Unicode"/>
          <w:szCs w:val="22"/>
        </w:rPr>
        <w:t xml:space="preserve">provides a domestic refuse collection and disposal service. </w:t>
      </w:r>
    </w:p>
    <w:p w:rsidR="00A82550" w:rsidRPr="005167B1" w:rsidRDefault="00A82550" w:rsidP="005167B1">
      <w:pPr>
        <w:pStyle w:val="ListParagraph"/>
        <w:numPr>
          <w:ilvl w:val="0"/>
          <w:numId w:val="43"/>
        </w:numPr>
        <w:ind w:left="357" w:hanging="357"/>
        <w:jc w:val="both"/>
      </w:pPr>
      <w:r w:rsidRPr="005167B1">
        <w:rPr>
          <w:rFonts w:cs="Lucida Sans Unicode"/>
          <w:szCs w:val="22"/>
        </w:rPr>
        <w:t>The charge will be raised irrespective of whether the service is used or not.</w:t>
      </w:r>
    </w:p>
    <w:p w:rsidR="00A82550" w:rsidRDefault="00A82550">
      <w:pPr>
        <w:pStyle w:val="BodyText"/>
      </w:pPr>
      <w:r w:rsidRPr="00B0096F">
        <w:t xml:space="preserve">The </w:t>
      </w:r>
      <w:r w:rsidR="0000717E">
        <w:t>w</w:t>
      </w:r>
      <w:r w:rsidR="0000717E" w:rsidRPr="00AE29A8">
        <w:t xml:space="preserve">aste </w:t>
      </w:r>
      <w:r w:rsidR="0000717E">
        <w:t>c</w:t>
      </w:r>
      <w:r w:rsidR="0000717E" w:rsidRPr="00AE29A8">
        <w:t xml:space="preserve">ollection </w:t>
      </w:r>
      <w:r w:rsidR="0000717E">
        <w:t>s</w:t>
      </w:r>
      <w:r w:rsidR="0000717E" w:rsidRPr="00AE29A8">
        <w:t xml:space="preserve">ervice </w:t>
      </w:r>
      <w:r w:rsidRPr="00AE29A8">
        <w:t xml:space="preserve">charge is calculated based on a fee for service, </w:t>
      </w:r>
      <w:r w:rsidRPr="00AE29A8">
        <w:lastRenderedPageBreak/>
        <w:t>including direct, indirect and overhead costs. The service charge does not form part of the rate cap. The waste collection charge will increase from $</w:t>
      </w:r>
      <w:r w:rsidR="00137E0E">
        <w:t>316.90</w:t>
      </w:r>
      <w:r w:rsidRPr="00AE29A8">
        <w:t xml:space="preserve"> to $</w:t>
      </w:r>
      <w:r w:rsidR="00137E0E">
        <w:t>332.00</w:t>
      </w:r>
      <w:r w:rsidRPr="00AE29A8">
        <w:t xml:space="preserve"> or </w:t>
      </w:r>
      <w:r w:rsidR="00137E0E">
        <w:t>4.8</w:t>
      </w:r>
      <w:r w:rsidRPr="00AE29A8">
        <w:t>%. The EPA landfill levy increases to $</w:t>
      </w:r>
      <w:r w:rsidR="00137E0E">
        <w:t>35.88</w:t>
      </w:r>
      <w:r w:rsidRPr="00AE29A8">
        <w:t xml:space="preserve"> per tenement</w:t>
      </w:r>
      <w:r>
        <w:t xml:space="preserve"> </w:t>
      </w:r>
      <w:r w:rsidRPr="00AE29A8">
        <w:t>(included in the service charge).</w:t>
      </w:r>
    </w:p>
    <w:p w:rsidR="00A82550" w:rsidRPr="00D221C5" w:rsidRDefault="00A82550">
      <w:pPr>
        <w:pStyle w:val="BodyText"/>
      </w:pPr>
      <w:r w:rsidRPr="000064D5">
        <w:t>The Annual Service Charge – Additional Bin Service.</w:t>
      </w:r>
    </w:p>
    <w:p w:rsidR="00A82550" w:rsidRPr="000064D5" w:rsidRDefault="00A82550">
      <w:pPr>
        <w:pStyle w:val="BodyText"/>
      </w:pPr>
      <w:r w:rsidRPr="000064D5">
        <w:t xml:space="preserve">From 1 July 2016 the additional bin service </w:t>
      </w:r>
      <w:r>
        <w:t>was made</w:t>
      </w:r>
      <w:r w:rsidRPr="000064D5">
        <w:t xml:space="preserve"> available via application compliant with the following criteria:</w:t>
      </w:r>
    </w:p>
    <w:p w:rsidR="00A82550" w:rsidRPr="00583AE6" w:rsidRDefault="00A82550" w:rsidP="005167B1">
      <w:pPr>
        <w:pStyle w:val="ListParagraph"/>
        <w:numPr>
          <w:ilvl w:val="0"/>
          <w:numId w:val="43"/>
        </w:numPr>
        <w:ind w:left="357" w:hanging="357"/>
        <w:jc w:val="both"/>
      </w:pPr>
      <w:r w:rsidRPr="00C05662">
        <w:rPr>
          <w:rFonts w:cs="Lucida Sans Unicode"/>
          <w:szCs w:val="22"/>
        </w:rPr>
        <w:t xml:space="preserve">In all cases of application for additional bins, </w:t>
      </w:r>
      <w:r w:rsidR="0000717E" w:rsidRPr="00583AE6">
        <w:rPr>
          <w:rFonts w:cs="Lucida Sans Unicode"/>
          <w:szCs w:val="22"/>
        </w:rPr>
        <w:t xml:space="preserve">the City </w:t>
      </w:r>
      <w:r w:rsidRPr="00132FCB">
        <w:rPr>
          <w:rFonts w:cs="Lucida Sans Unicode"/>
          <w:szCs w:val="22"/>
        </w:rPr>
        <w:t>reserves the right to inspect the applicant’s existing bins to confirm that they are overloaded. If this cannot be confi</w:t>
      </w:r>
      <w:r w:rsidRPr="005167B1">
        <w:rPr>
          <w:rFonts w:cs="Lucida Sans Unicode"/>
          <w:szCs w:val="22"/>
        </w:rPr>
        <w:t>rmed, the additional bins will not be provided</w:t>
      </w:r>
      <w:r w:rsidR="00E60544">
        <w:rPr>
          <w:rFonts w:cs="Lucida Sans Unicode"/>
          <w:szCs w:val="22"/>
        </w:rPr>
        <w:t>.</w:t>
      </w:r>
    </w:p>
    <w:p w:rsidR="00A82550" w:rsidRPr="005167B1" w:rsidRDefault="00A82550" w:rsidP="005167B1">
      <w:pPr>
        <w:pStyle w:val="ListParagraph"/>
        <w:numPr>
          <w:ilvl w:val="0"/>
          <w:numId w:val="43"/>
        </w:numPr>
        <w:ind w:left="357" w:hanging="357"/>
        <w:jc w:val="both"/>
      </w:pPr>
      <w:r w:rsidRPr="00132FCB">
        <w:rPr>
          <w:rFonts w:cs="Lucida Sans Unicode"/>
          <w:szCs w:val="22"/>
        </w:rPr>
        <w:t>The property owner or their authorised agent signs the additional bin application form, provides appropriate supporting evidence and agrees to the application service charge.</w:t>
      </w:r>
    </w:p>
    <w:p w:rsidR="00137E0E" w:rsidRPr="005167B1" w:rsidRDefault="00137E0E" w:rsidP="005167B1">
      <w:pPr>
        <w:pStyle w:val="ListParagraph"/>
        <w:numPr>
          <w:ilvl w:val="0"/>
          <w:numId w:val="43"/>
        </w:numPr>
        <w:ind w:left="357" w:hanging="357"/>
        <w:jc w:val="both"/>
      </w:pPr>
      <w:r w:rsidRPr="005167B1">
        <w:rPr>
          <w:rFonts w:cs="Lucida Sans Unicode"/>
          <w:szCs w:val="22"/>
        </w:rPr>
        <w:t xml:space="preserve">The green waste additional bin has become available at the Anakie Road </w:t>
      </w:r>
      <w:r w:rsidR="0000717E" w:rsidRPr="005167B1">
        <w:rPr>
          <w:rFonts w:cs="Lucida Sans Unicode"/>
          <w:szCs w:val="22"/>
        </w:rPr>
        <w:t xml:space="preserve">green organics </w:t>
      </w:r>
      <w:r w:rsidRPr="005167B1">
        <w:rPr>
          <w:rFonts w:cs="Lucida Sans Unicode"/>
          <w:szCs w:val="22"/>
        </w:rPr>
        <w:t>processing facility from 2019-20.</w:t>
      </w:r>
    </w:p>
    <w:p w:rsidR="00A82550" w:rsidRDefault="00A82550">
      <w:pPr>
        <w:pStyle w:val="BodyText"/>
      </w:pPr>
      <w:r w:rsidRPr="000064D5">
        <w:t>Applications that meet the criteria will be billed via the Rate, Valuation &amp; Charges notice.</w:t>
      </w:r>
      <w:r>
        <w:t xml:space="preserve"> </w:t>
      </w:r>
    </w:p>
    <w:p w:rsidR="00A82550" w:rsidRPr="000064D5" w:rsidRDefault="00A82550">
      <w:pPr>
        <w:pStyle w:val="BodyText"/>
      </w:pPr>
      <w:r w:rsidRPr="000064D5">
        <w:t>If an application is received and approved in the first six months of the financial year, that is, from July to December, the full annual cost of the additional bin will be charged. If an application is received and approved in the second half of the financial year, that is January to June, half the annual cost will be charged.</w:t>
      </w:r>
    </w:p>
    <w:p w:rsidR="00A82550" w:rsidRPr="000064D5" w:rsidRDefault="00A82550">
      <w:pPr>
        <w:pStyle w:val="BodyText"/>
      </w:pPr>
      <w:r w:rsidRPr="000064D5">
        <w:t>The following costs will apply for the additional bin service per year:</w:t>
      </w:r>
    </w:p>
    <w:p w:rsidR="00A82550" w:rsidRPr="00583AE6" w:rsidRDefault="00A82550" w:rsidP="005167B1">
      <w:pPr>
        <w:pStyle w:val="ListParagraph"/>
        <w:numPr>
          <w:ilvl w:val="0"/>
          <w:numId w:val="43"/>
        </w:numPr>
        <w:spacing w:after="0"/>
        <w:ind w:left="357" w:hanging="357"/>
        <w:jc w:val="both"/>
      </w:pPr>
      <w:r w:rsidRPr="00C05662">
        <w:rPr>
          <w:rFonts w:cs="Lucida Sans Unicode"/>
          <w:szCs w:val="22"/>
        </w:rPr>
        <w:t>Garbage bin 140L</w:t>
      </w:r>
      <w:r w:rsidRPr="00C05662">
        <w:rPr>
          <w:rFonts w:cs="Lucida Sans Unicode"/>
          <w:szCs w:val="22"/>
        </w:rPr>
        <w:tab/>
      </w:r>
      <w:r w:rsidRPr="00C05662">
        <w:rPr>
          <w:rFonts w:cs="Lucida Sans Unicode"/>
          <w:szCs w:val="22"/>
        </w:rPr>
        <w:tab/>
      </w:r>
      <w:r w:rsidRPr="00C05662">
        <w:rPr>
          <w:rFonts w:cs="Lucida Sans Unicode"/>
          <w:szCs w:val="22"/>
        </w:rPr>
        <w:tab/>
      </w:r>
      <w:r w:rsidR="002656B6" w:rsidRPr="005A2AD5">
        <w:rPr>
          <w:rFonts w:cs="Lucida Sans Unicode"/>
          <w:szCs w:val="22"/>
        </w:rPr>
        <w:t xml:space="preserve">  </w:t>
      </w:r>
      <w:r w:rsidR="0098625E">
        <w:rPr>
          <w:rFonts w:cs="Lucida Sans Unicode"/>
          <w:szCs w:val="22"/>
        </w:rPr>
        <w:tab/>
      </w:r>
      <w:r w:rsidRPr="00C05662">
        <w:rPr>
          <w:rFonts w:cs="Lucida Sans Unicode"/>
          <w:szCs w:val="22"/>
        </w:rPr>
        <w:t>$</w:t>
      </w:r>
      <w:r w:rsidR="00137E0E" w:rsidRPr="005A2AD5">
        <w:rPr>
          <w:rFonts w:cs="Lucida Sans Unicode"/>
          <w:szCs w:val="22"/>
        </w:rPr>
        <w:t>146.85</w:t>
      </w:r>
    </w:p>
    <w:p w:rsidR="00A82550" w:rsidRPr="00583AE6" w:rsidRDefault="00A82550" w:rsidP="005167B1">
      <w:pPr>
        <w:pStyle w:val="ListParagraph"/>
        <w:numPr>
          <w:ilvl w:val="0"/>
          <w:numId w:val="43"/>
        </w:numPr>
        <w:spacing w:after="0"/>
        <w:ind w:left="357" w:hanging="357"/>
        <w:jc w:val="both"/>
      </w:pPr>
      <w:r w:rsidRPr="00132FCB">
        <w:rPr>
          <w:rFonts w:cs="Lucida Sans Unicode"/>
          <w:szCs w:val="22"/>
        </w:rPr>
        <w:t>Garbage bin from 140L to 240L</w:t>
      </w:r>
      <w:r w:rsidR="002656B6" w:rsidRPr="005167B1">
        <w:rPr>
          <w:rFonts w:cs="Lucida Sans Unicode"/>
          <w:szCs w:val="22"/>
        </w:rPr>
        <w:t xml:space="preserve"> </w:t>
      </w:r>
      <w:r w:rsidR="0098625E">
        <w:rPr>
          <w:rFonts w:cs="Lucida Sans Unicode"/>
          <w:szCs w:val="22"/>
        </w:rPr>
        <w:tab/>
      </w:r>
      <w:r w:rsidRPr="00C05662">
        <w:rPr>
          <w:rFonts w:cs="Lucida Sans Unicode"/>
          <w:szCs w:val="22"/>
        </w:rPr>
        <w:t>$</w:t>
      </w:r>
      <w:r w:rsidR="00137E0E" w:rsidRPr="005A2AD5">
        <w:rPr>
          <w:rFonts w:cs="Lucida Sans Unicode"/>
          <w:szCs w:val="22"/>
        </w:rPr>
        <w:t>105.25</w:t>
      </w:r>
    </w:p>
    <w:p w:rsidR="00A82550" w:rsidRPr="005A2AD5" w:rsidRDefault="00A82550" w:rsidP="005167B1">
      <w:pPr>
        <w:pStyle w:val="ListParagraph"/>
        <w:numPr>
          <w:ilvl w:val="0"/>
          <w:numId w:val="43"/>
        </w:numPr>
        <w:spacing w:after="0"/>
        <w:ind w:left="357" w:hanging="357"/>
        <w:jc w:val="both"/>
      </w:pPr>
      <w:r w:rsidRPr="00132FCB">
        <w:rPr>
          <w:rFonts w:cs="Lucida Sans Unicode"/>
          <w:szCs w:val="22"/>
        </w:rPr>
        <w:t>Recycling bin 240L</w:t>
      </w:r>
      <w:r w:rsidRPr="00132FCB">
        <w:rPr>
          <w:rFonts w:cs="Lucida Sans Unicode"/>
          <w:szCs w:val="22"/>
        </w:rPr>
        <w:tab/>
      </w:r>
      <w:r w:rsidR="0098625E">
        <w:rPr>
          <w:rFonts w:cs="Lucida Sans Unicode"/>
          <w:szCs w:val="22"/>
        </w:rPr>
        <w:tab/>
      </w:r>
      <w:r w:rsidR="0098625E">
        <w:rPr>
          <w:rFonts w:cs="Lucida Sans Unicode"/>
          <w:szCs w:val="22"/>
        </w:rPr>
        <w:tab/>
        <w:t>$  8</w:t>
      </w:r>
      <w:r w:rsidR="00137E0E" w:rsidRPr="00C05662">
        <w:rPr>
          <w:rFonts w:cs="Lucida Sans Unicode"/>
          <w:szCs w:val="22"/>
        </w:rPr>
        <w:t>2.40</w:t>
      </w:r>
    </w:p>
    <w:p w:rsidR="00137E0E" w:rsidRPr="00583AE6" w:rsidRDefault="00137E0E" w:rsidP="005167B1">
      <w:pPr>
        <w:pStyle w:val="ListParagraph"/>
        <w:numPr>
          <w:ilvl w:val="0"/>
          <w:numId w:val="43"/>
        </w:numPr>
        <w:spacing w:after="0"/>
        <w:ind w:left="357" w:hanging="357"/>
        <w:jc w:val="both"/>
      </w:pPr>
      <w:r w:rsidRPr="00583AE6">
        <w:rPr>
          <w:rFonts w:cs="Lucida Sans Unicode"/>
          <w:szCs w:val="22"/>
        </w:rPr>
        <w:t xml:space="preserve">Green </w:t>
      </w:r>
      <w:r w:rsidRPr="00132FCB">
        <w:rPr>
          <w:rFonts w:cs="Lucida Sans Unicode"/>
          <w:szCs w:val="22"/>
        </w:rPr>
        <w:t>waste bin 240L</w:t>
      </w:r>
      <w:r w:rsidRPr="00132FCB">
        <w:rPr>
          <w:rFonts w:cs="Lucida Sans Unicode"/>
          <w:szCs w:val="22"/>
        </w:rPr>
        <w:tab/>
      </w:r>
      <w:r w:rsidRPr="00132FCB">
        <w:rPr>
          <w:rFonts w:cs="Lucida Sans Unicode"/>
          <w:szCs w:val="22"/>
        </w:rPr>
        <w:tab/>
      </w:r>
      <w:r w:rsidR="002656B6" w:rsidRPr="005167B1">
        <w:rPr>
          <w:rFonts w:cs="Lucida Sans Unicode"/>
          <w:szCs w:val="22"/>
        </w:rPr>
        <w:t xml:space="preserve"> </w:t>
      </w:r>
      <w:r w:rsidR="0098625E">
        <w:rPr>
          <w:rFonts w:cs="Lucida Sans Unicode"/>
          <w:szCs w:val="22"/>
        </w:rPr>
        <w:tab/>
      </w:r>
      <w:r w:rsidRPr="005A2AD5">
        <w:rPr>
          <w:rFonts w:cs="Lucida Sans Unicode"/>
          <w:szCs w:val="22"/>
        </w:rPr>
        <w:t>$  95.30</w:t>
      </w:r>
    </w:p>
    <w:p w:rsidR="00A82550" w:rsidRPr="00BA4451" w:rsidRDefault="00A82550" w:rsidP="00A82550">
      <w:pPr>
        <w:pStyle w:val="Heading3A"/>
      </w:pPr>
      <w:r>
        <w:t>Fire Services Property Levy</w:t>
      </w:r>
    </w:p>
    <w:p w:rsidR="00A82550" w:rsidRDefault="00A82550">
      <w:pPr>
        <w:pStyle w:val="BodyText"/>
      </w:pPr>
      <w:r w:rsidRPr="000744A6">
        <w:t xml:space="preserve">The </w:t>
      </w:r>
      <w:r w:rsidRPr="005167B1">
        <w:rPr>
          <w:i/>
        </w:rPr>
        <w:t>Fire Services Property Levy Act 2012</w:t>
      </w:r>
      <w:r w:rsidRPr="000744A6">
        <w:t xml:space="preserve"> (FSPL) came into effect from 1 July 2013 and requires </w:t>
      </w:r>
      <w:r w:rsidR="00024AB0">
        <w:t>l</w:t>
      </w:r>
      <w:r w:rsidR="00024AB0" w:rsidRPr="000744A6">
        <w:t xml:space="preserve">ocal </w:t>
      </w:r>
      <w:r w:rsidR="00024AB0">
        <w:t>g</w:t>
      </w:r>
      <w:r w:rsidR="00024AB0" w:rsidRPr="000744A6">
        <w:t xml:space="preserve">overnment </w:t>
      </w:r>
      <w:r w:rsidRPr="000744A6">
        <w:t xml:space="preserve">to bill, receipt and collect FSPL on rateable and non-rateable properties. </w:t>
      </w:r>
      <w:r>
        <w:t>The FSPL appears on the rate notice and i</w:t>
      </w:r>
      <w:r w:rsidRPr="000744A6">
        <w:t xml:space="preserve">t is estimated that </w:t>
      </w:r>
      <w:r w:rsidR="0000717E">
        <w:t>the City</w:t>
      </w:r>
      <w:r w:rsidR="0000717E" w:rsidRPr="000744A6">
        <w:t xml:space="preserve"> </w:t>
      </w:r>
      <w:r w:rsidRPr="000744A6">
        <w:t>will levy $</w:t>
      </w:r>
      <w:r>
        <w:t>28.3m</w:t>
      </w:r>
      <w:r w:rsidRPr="000744A6">
        <w:t xml:space="preserve"> in </w:t>
      </w:r>
      <w:r w:rsidR="00041C93">
        <w:t>2019-20</w:t>
      </w:r>
      <w:r w:rsidRPr="000744A6">
        <w:t xml:space="preserve"> and remit to the State Revenue Office.</w:t>
      </w:r>
      <w:r>
        <w:t xml:space="preserve"> </w:t>
      </w:r>
      <w:r w:rsidRPr="000744A6">
        <w:t>The</w:t>
      </w:r>
      <w:r>
        <w:t xml:space="preserve"> </w:t>
      </w:r>
      <w:r w:rsidR="00041C93">
        <w:t>2019-20</w:t>
      </w:r>
      <w:r>
        <w:t xml:space="preserve"> </w:t>
      </w:r>
      <w:r w:rsidR="002656B6">
        <w:t>l</w:t>
      </w:r>
      <w:r w:rsidR="002656B6" w:rsidRPr="000744A6">
        <w:t xml:space="preserve">evy </w:t>
      </w:r>
      <w:r>
        <w:t xml:space="preserve">once again will </w:t>
      </w:r>
      <w:r w:rsidRPr="000744A6">
        <w:t>consist of a fixed component plus a variable component based on the property’s capital improved value</w:t>
      </w:r>
      <w:r w:rsidR="00096454">
        <w:t xml:space="preserve">. The levy was confirmed by the </w:t>
      </w:r>
      <w:r w:rsidRPr="000744A6">
        <w:t>Minist</w:t>
      </w:r>
      <w:r>
        <w:t xml:space="preserve">er on </w:t>
      </w:r>
      <w:r w:rsidR="00096454">
        <w:t>3 June</w:t>
      </w:r>
      <w:r>
        <w:t xml:space="preserve"> 201</w:t>
      </w:r>
      <w:r w:rsidR="00041C93">
        <w:t>9</w:t>
      </w:r>
      <w:r w:rsidRPr="000744A6">
        <w:t>.</w:t>
      </w:r>
    </w:p>
    <w:p w:rsidR="00CB518F" w:rsidRPr="00BA4451" w:rsidRDefault="00CB518F" w:rsidP="00E7196F">
      <w:pPr>
        <w:pStyle w:val="Heading3A"/>
      </w:pPr>
      <w:bookmarkStart w:id="31" w:name="_Toc292369408"/>
      <w:bookmarkStart w:id="32" w:name="_Toc292369480"/>
      <w:bookmarkStart w:id="33" w:name="_Toc355947706"/>
      <w:bookmarkStart w:id="34" w:name="_Toc356202546"/>
      <w:bookmarkStart w:id="35" w:name="_Toc356202879"/>
      <w:bookmarkEnd w:id="9"/>
      <w:bookmarkEnd w:id="10"/>
      <w:bookmarkEnd w:id="25"/>
      <w:bookmarkEnd w:id="26"/>
      <w:bookmarkEnd w:id="27"/>
      <w:bookmarkEnd w:id="28"/>
      <w:bookmarkEnd w:id="29"/>
      <w:bookmarkEnd w:id="30"/>
      <w:r w:rsidRPr="00BA4451">
        <w:lastRenderedPageBreak/>
        <w:t>Future Issues</w:t>
      </w:r>
      <w:bookmarkEnd w:id="31"/>
      <w:bookmarkEnd w:id="32"/>
      <w:bookmarkEnd w:id="33"/>
      <w:bookmarkEnd w:id="34"/>
      <w:bookmarkEnd w:id="35"/>
    </w:p>
    <w:p w:rsidR="00CB518F" w:rsidRPr="0098189D" w:rsidRDefault="00CB518F">
      <w:pPr>
        <w:pStyle w:val="BodyText"/>
      </w:pPr>
      <w:r w:rsidRPr="0098189D">
        <w:t xml:space="preserve">This Rating Strategy is now generally available and will be placed at all </w:t>
      </w:r>
      <w:r w:rsidR="0000717E">
        <w:t>City of Greater Geelong</w:t>
      </w:r>
      <w:r w:rsidR="0000717E" w:rsidRPr="0098189D">
        <w:t xml:space="preserve"> </w:t>
      </w:r>
      <w:r w:rsidR="0000717E">
        <w:t>c</w:t>
      </w:r>
      <w:r w:rsidR="0000717E" w:rsidRPr="0098189D">
        <w:t xml:space="preserve">ustomer </w:t>
      </w:r>
      <w:r w:rsidR="0000717E">
        <w:t>s</w:t>
      </w:r>
      <w:r w:rsidR="0000717E" w:rsidRPr="0098189D">
        <w:t xml:space="preserve">ervice </w:t>
      </w:r>
      <w:r w:rsidR="0000717E">
        <w:t>c</w:t>
      </w:r>
      <w:r w:rsidR="0000717E" w:rsidRPr="0098189D">
        <w:t xml:space="preserve">entres </w:t>
      </w:r>
      <w:r w:rsidRPr="0098189D">
        <w:t xml:space="preserve">and be published on </w:t>
      </w:r>
      <w:r w:rsidR="0000717E">
        <w:t>the City’s</w:t>
      </w:r>
      <w:r w:rsidR="0000717E" w:rsidRPr="0098189D">
        <w:t xml:space="preserve"> </w:t>
      </w:r>
      <w:r w:rsidRPr="0098189D">
        <w:t xml:space="preserve">web site at www.geelongaustralia.com.au. </w:t>
      </w:r>
    </w:p>
    <w:p w:rsidR="00825665" w:rsidRPr="006D6FBF" w:rsidRDefault="00CB518F">
      <w:pPr>
        <w:pStyle w:val="BodyText"/>
      </w:pPr>
      <w:r w:rsidRPr="0098189D">
        <w:t xml:space="preserve">Finally, it is acknowledged that the </w:t>
      </w:r>
      <w:r w:rsidR="0000717E">
        <w:t>s</w:t>
      </w:r>
      <w:r w:rsidR="0000717E" w:rsidRPr="0098189D">
        <w:t xml:space="preserve">trategy </w:t>
      </w:r>
      <w:r w:rsidRPr="0098189D">
        <w:t xml:space="preserve">will not address everyone’s concerns in respect to revaluations, setting of differential rates and charges and particularly the “rates shock” issues that will occur from time to time.  However, the </w:t>
      </w:r>
      <w:r w:rsidR="0000717E">
        <w:t>s</w:t>
      </w:r>
      <w:r w:rsidR="0000717E" w:rsidRPr="0098189D">
        <w:t xml:space="preserve">trategy </w:t>
      </w:r>
      <w:r w:rsidRPr="0098189D">
        <w:t xml:space="preserve">has been </w:t>
      </w:r>
      <w:r w:rsidRPr="00C95673">
        <w:t>prepared based on consultation and legal advice and is considered to be within the framework of the legislation (which is a property taxation system based on valuation).</w:t>
      </w:r>
      <w:bookmarkStart w:id="36" w:name="_Toc167692727"/>
      <w:bookmarkStart w:id="37" w:name="_Toc260749433"/>
      <w:bookmarkStart w:id="38" w:name="_Toc290471825"/>
      <w:bookmarkStart w:id="39" w:name="_Toc292369492"/>
      <w:bookmarkStart w:id="40" w:name="_Toc355947728"/>
      <w:bookmarkStart w:id="41" w:name="_Toc356202567"/>
      <w:bookmarkStart w:id="42" w:name="_Toc356202901"/>
      <w:bookmarkStart w:id="43" w:name="_Toc403114370"/>
      <w:bookmarkEnd w:id="11"/>
      <w:bookmarkEnd w:id="12"/>
      <w:r w:rsidR="00825665">
        <w:br w:type="page"/>
      </w:r>
    </w:p>
    <w:p w:rsidR="00911D62" w:rsidRPr="0075415F" w:rsidRDefault="0075415F" w:rsidP="0075415F">
      <w:pPr>
        <w:pStyle w:val="Heading2"/>
      </w:pPr>
      <w:bookmarkStart w:id="44" w:name="_Toc11845098"/>
      <w:r w:rsidRPr="0075415F">
        <w:lastRenderedPageBreak/>
        <w:t xml:space="preserve">3. </w:t>
      </w:r>
      <w:r w:rsidR="000C05BA">
        <w:t xml:space="preserve"> </w:t>
      </w:r>
      <w:r w:rsidR="00911D62" w:rsidRPr="0075415F">
        <w:t xml:space="preserve">Rating Strategy </w:t>
      </w:r>
      <w:bookmarkEnd w:id="36"/>
      <w:bookmarkEnd w:id="37"/>
      <w:bookmarkEnd w:id="38"/>
      <w:bookmarkEnd w:id="39"/>
      <w:bookmarkEnd w:id="40"/>
      <w:bookmarkEnd w:id="41"/>
      <w:bookmarkEnd w:id="42"/>
      <w:bookmarkEnd w:id="43"/>
      <w:r w:rsidR="004B3F5B">
        <w:t>2019-20</w:t>
      </w:r>
      <w:bookmarkEnd w:id="44"/>
    </w:p>
    <w:p w:rsidR="00911D62" w:rsidRPr="00D35956" w:rsidRDefault="00BA5D86" w:rsidP="00D35956">
      <w:pPr>
        <w:pStyle w:val="Heading3"/>
      </w:pPr>
      <w:bookmarkStart w:id="45" w:name="_Toc64258344"/>
      <w:bookmarkStart w:id="46" w:name="_Toc64276807"/>
      <w:bookmarkStart w:id="47" w:name="_Toc167692728"/>
      <w:bookmarkStart w:id="48" w:name="_Toc260749434"/>
      <w:bookmarkStart w:id="49" w:name="_Toc292369493"/>
      <w:bookmarkStart w:id="50" w:name="_Toc355947729"/>
      <w:bookmarkStart w:id="51" w:name="_Toc356202568"/>
      <w:bookmarkStart w:id="52" w:name="_Toc356202902"/>
      <w:bookmarkStart w:id="53" w:name="_Toc403114371"/>
      <w:bookmarkStart w:id="54" w:name="_Toc11845099"/>
      <w:r w:rsidRPr="00D35956">
        <w:t xml:space="preserve">3.1  </w:t>
      </w:r>
      <w:r w:rsidR="00911D62" w:rsidRPr="00D35956">
        <w:t>Introduction</w:t>
      </w:r>
      <w:bookmarkEnd w:id="45"/>
      <w:bookmarkEnd w:id="46"/>
      <w:bookmarkEnd w:id="47"/>
      <w:bookmarkEnd w:id="48"/>
      <w:bookmarkEnd w:id="49"/>
      <w:bookmarkEnd w:id="50"/>
      <w:bookmarkEnd w:id="51"/>
      <w:bookmarkEnd w:id="52"/>
      <w:bookmarkEnd w:id="53"/>
      <w:bookmarkEnd w:id="54"/>
    </w:p>
    <w:p w:rsidR="00911D62" w:rsidRPr="00EB59E8" w:rsidRDefault="0000717E" w:rsidP="00671F60">
      <w:pPr>
        <w:pStyle w:val="Heading4"/>
      </w:pPr>
      <w:bookmarkStart w:id="55" w:name="_Toc64258345"/>
      <w:bookmarkStart w:id="56" w:name="_Toc64276808"/>
      <w:bookmarkStart w:id="57" w:name="_Toc260749435"/>
      <w:bookmarkStart w:id="58" w:name="_Toc292369494"/>
      <w:bookmarkStart w:id="59" w:name="_Toc355947730"/>
      <w:bookmarkStart w:id="60" w:name="_Toc356202903"/>
      <w:bookmarkStart w:id="61" w:name="_Toc403114372"/>
      <w:bookmarkStart w:id="62" w:name="_Toc11845100"/>
      <w:r>
        <w:t>City of Greater Geelong</w:t>
      </w:r>
      <w:r w:rsidRPr="00EB59E8">
        <w:t xml:space="preserve"> </w:t>
      </w:r>
      <w:r w:rsidR="004B1CEA" w:rsidRPr="00EB59E8">
        <w:t>R</w:t>
      </w:r>
      <w:r w:rsidR="00911D62" w:rsidRPr="00EB59E8">
        <w:t>esponsibilities</w:t>
      </w:r>
      <w:bookmarkEnd w:id="55"/>
      <w:bookmarkEnd w:id="56"/>
      <w:bookmarkEnd w:id="57"/>
      <w:bookmarkEnd w:id="58"/>
      <w:bookmarkEnd w:id="59"/>
      <w:bookmarkEnd w:id="60"/>
      <w:bookmarkEnd w:id="61"/>
      <w:bookmarkEnd w:id="62"/>
    </w:p>
    <w:p w:rsidR="00911D62" w:rsidRPr="00D576C5" w:rsidRDefault="00911D62">
      <w:pPr>
        <w:pStyle w:val="BodyText"/>
      </w:pPr>
      <w:r w:rsidRPr="00D576C5">
        <w:t xml:space="preserve">The purpose of </w:t>
      </w:r>
      <w:r w:rsidR="00024AB0">
        <w:t>l</w:t>
      </w:r>
      <w:r w:rsidR="00024AB0" w:rsidRPr="00D576C5">
        <w:t xml:space="preserve">ocal </w:t>
      </w:r>
      <w:r w:rsidR="00024AB0">
        <w:t>g</w:t>
      </w:r>
      <w:r w:rsidR="00024AB0" w:rsidRPr="00D576C5">
        <w:t xml:space="preserve">overnment </w:t>
      </w:r>
      <w:r w:rsidRPr="00D576C5">
        <w:t>is to provide for the peace, order and good government, facilitate and encourage development, to provide services and facilities for the community and to maintain, improve, and develop the resources of the municipal district.</w:t>
      </w:r>
    </w:p>
    <w:p w:rsidR="00911D62" w:rsidRPr="00D576C5" w:rsidRDefault="00942666">
      <w:pPr>
        <w:pStyle w:val="BodyText"/>
      </w:pPr>
      <w:r w:rsidRPr="00D576C5">
        <w:t>Local Government</w:t>
      </w:r>
      <w:r w:rsidR="00911D62" w:rsidRPr="00D576C5">
        <w:t xml:space="preserve"> must operate in accordance with the </w:t>
      </w:r>
      <w:r w:rsidRPr="005167B1">
        <w:rPr>
          <w:i/>
        </w:rPr>
        <w:t>Local Government</w:t>
      </w:r>
      <w:r w:rsidR="00911D62" w:rsidRPr="005167B1">
        <w:rPr>
          <w:i/>
        </w:rPr>
        <w:t xml:space="preserve"> Act (1989)</w:t>
      </w:r>
      <w:r w:rsidR="00911D62" w:rsidRPr="00D576C5">
        <w:t xml:space="preserve"> and has responsibility for implementing many diverse programs, policies and regulations set by State and Federal Government. </w:t>
      </w:r>
      <w:r w:rsidR="00911D62" w:rsidRPr="0068414C">
        <w:t>Councils have</w:t>
      </w:r>
      <w:r w:rsidR="00911D62" w:rsidRPr="00D576C5">
        <w:t xml:space="preserve"> to be flexible and therefore have powers to set their own regulations and by-laws and provide a range of discretionary services in response to local community needs.</w:t>
      </w:r>
    </w:p>
    <w:p w:rsidR="00F462EA" w:rsidRDefault="00911D62">
      <w:pPr>
        <w:pStyle w:val="BodyText"/>
      </w:pPr>
      <w:r w:rsidRPr="00D576C5">
        <w:t>Each Victorian municipality is different. Community demographics will vary in terms of age, prosperity, topography and service requirements between councils.</w:t>
      </w:r>
    </w:p>
    <w:p w:rsidR="00911D62" w:rsidRPr="00D576C5" w:rsidRDefault="0098625E" w:rsidP="00671F60">
      <w:pPr>
        <w:pStyle w:val="Heading4"/>
      </w:pPr>
      <w:bookmarkStart w:id="63" w:name="_Toc64258346"/>
      <w:bookmarkStart w:id="64" w:name="_Toc64276809"/>
      <w:bookmarkStart w:id="65" w:name="_Toc260749436"/>
      <w:bookmarkStart w:id="66" w:name="_Toc292369495"/>
      <w:bookmarkStart w:id="67" w:name="_Toc355947731"/>
      <w:bookmarkStart w:id="68" w:name="_Toc356202904"/>
      <w:bookmarkStart w:id="69" w:name="_Toc403114373"/>
      <w:bookmarkStart w:id="70" w:name="_Toc11845101"/>
      <w:r>
        <w:t>The City of Greater Geelong</w:t>
      </w:r>
      <w:r w:rsidRPr="00D576C5">
        <w:t xml:space="preserve"> </w:t>
      </w:r>
      <w:r w:rsidR="004B1CEA" w:rsidRPr="00D576C5">
        <w:t>P</w:t>
      </w:r>
      <w:r w:rsidR="00911D62" w:rsidRPr="00D576C5">
        <w:t>rofile</w:t>
      </w:r>
      <w:bookmarkEnd w:id="63"/>
      <w:bookmarkEnd w:id="64"/>
      <w:bookmarkEnd w:id="65"/>
      <w:bookmarkEnd w:id="66"/>
      <w:bookmarkEnd w:id="67"/>
      <w:bookmarkEnd w:id="68"/>
      <w:bookmarkEnd w:id="69"/>
      <w:bookmarkEnd w:id="70"/>
    </w:p>
    <w:p w:rsidR="00911D62" w:rsidRPr="00D576C5" w:rsidRDefault="00911D62">
      <w:pPr>
        <w:pStyle w:val="BodyText"/>
      </w:pPr>
      <w:r w:rsidRPr="00D576C5">
        <w:t xml:space="preserve">The City of Greater Geelong serves a population of some </w:t>
      </w:r>
      <w:r w:rsidR="004B3F5B">
        <w:t>245,751</w:t>
      </w:r>
      <w:r w:rsidRPr="00D576C5">
        <w:t xml:space="preserve"> and covers an area of 1,250 sq. km.  From Little River and Balliang in the north through to the Bellarine Peninsula and west to Waurn Ponds, Barrabool, Ceres and Fyansford, there is significant and diverse land use activities, demographics, topography and community needs. </w:t>
      </w:r>
    </w:p>
    <w:p w:rsidR="00911D62" w:rsidRPr="00D576C5" w:rsidRDefault="0098625E">
      <w:pPr>
        <w:pStyle w:val="BodyText"/>
      </w:pPr>
      <w:r>
        <w:t>We are</w:t>
      </w:r>
      <w:r w:rsidR="00911D62" w:rsidRPr="00D576C5">
        <w:t xml:space="preserve"> a leading industrial centre for Victoria’s southwest, with </w:t>
      </w:r>
      <w:r w:rsidR="006F02D2" w:rsidRPr="00D576C5">
        <w:t>approx</w:t>
      </w:r>
      <w:r w:rsidR="00B42765" w:rsidRPr="00D576C5">
        <w:t>imately</w:t>
      </w:r>
      <w:r w:rsidR="006F02D2" w:rsidRPr="00D576C5">
        <w:t xml:space="preserve"> </w:t>
      </w:r>
      <w:r w:rsidR="004B3F5B">
        <w:t>8,</w:t>
      </w:r>
      <w:r w:rsidR="00F661B9">
        <w:t xml:space="preserve">083 </w:t>
      </w:r>
      <w:r w:rsidR="00911D62" w:rsidRPr="00D576C5">
        <w:t>commercial and industrial properties and a strong labour force.</w:t>
      </w:r>
    </w:p>
    <w:p w:rsidR="00F462EA" w:rsidRDefault="00911D62">
      <w:pPr>
        <w:pStyle w:val="BodyText"/>
      </w:pPr>
      <w:r w:rsidRPr="00D576C5">
        <w:t xml:space="preserve">The residential sector is experiencing growth which impacts on services. Tourism is now more important while a diverse culture and environment is unique in a regional municipal setting in Australia. </w:t>
      </w:r>
    </w:p>
    <w:p w:rsidR="00F462EA" w:rsidRDefault="00911D62">
      <w:pPr>
        <w:pStyle w:val="BodyText"/>
      </w:pPr>
      <w:r w:rsidRPr="00D576C5">
        <w:t xml:space="preserve">The City of Greater Geelong is responsible </w:t>
      </w:r>
      <w:r w:rsidRPr="006C2980">
        <w:t>for $</w:t>
      </w:r>
      <w:r w:rsidR="00B41438">
        <w:t>2.</w:t>
      </w:r>
      <w:r w:rsidR="004B3F5B">
        <w:t>5</w:t>
      </w:r>
      <w:r w:rsidR="004B3F5B" w:rsidRPr="006C2980">
        <w:t xml:space="preserve"> </w:t>
      </w:r>
      <w:r w:rsidRPr="006C2980">
        <w:t>billion</w:t>
      </w:r>
      <w:r w:rsidRPr="00D576C5">
        <w:t xml:space="preserve"> worth of regional assets and infrastructure including roads, bridges, town hall, recreation and leisure facilities, drains, libraries and parks. </w:t>
      </w:r>
    </w:p>
    <w:p w:rsidR="00F462EA" w:rsidRDefault="00911D62">
      <w:pPr>
        <w:pStyle w:val="BodyText"/>
      </w:pPr>
      <w:r w:rsidRPr="00D576C5">
        <w:t xml:space="preserve">There </w:t>
      </w:r>
      <w:r w:rsidR="00550F8A" w:rsidRPr="00D576C5">
        <w:t xml:space="preserve">are </w:t>
      </w:r>
      <w:r w:rsidRPr="00D576C5">
        <w:t xml:space="preserve">more than </w:t>
      </w:r>
      <w:r w:rsidR="00B41438" w:rsidRPr="00D576C5">
        <w:t>12</w:t>
      </w:r>
      <w:r w:rsidR="00B41438">
        <w:t>6</w:t>
      </w:r>
      <w:r w:rsidR="00B41438" w:rsidRPr="00D576C5">
        <w:t xml:space="preserve"> </w:t>
      </w:r>
      <w:r w:rsidRPr="00D576C5">
        <w:t xml:space="preserve">services provided to the local community from cradle to grave. </w:t>
      </w:r>
    </w:p>
    <w:p w:rsidR="00F462EA" w:rsidRDefault="00911D62">
      <w:pPr>
        <w:pStyle w:val="BodyText"/>
      </w:pPr>
      <w:r w:rsidRPr="00C95673">
        <w:rPr>
          <w:rStyle w:val="BodyTextChar"/>
        </w:rPr>
        <w:t xml:space="preserve">Every time a person leaves their house they </w:t>
      </w:r>
      <w:r w:rsidR="00B42765" w:rsidRPr="00C95673">
        <w:rPr>
          <w:rStyle w:val="BodyTextChar"/>
        </w:rPr>
        <w:t>use</w:t>
      </w:r>
      <w:r w:rsidRPr="00C95673">
        <w:rPr>
          <w:rStyle w:val="BodyTextChar"/>
        </w:rPr>
        <w:t xml:space="preserve"> services provided by </w:t>
      </w:r>
      <w:r w:rsidR="0000717E">
        <w:rPr>
          <w:rStyle w:val="BodyTextChar"/>
        </w:rPr>
        <w:t>the City</w:t>
      </w:r>
      <w:r w:rsidRPr="00C95673">
        <w:rPr>
          <w:rStyle w:val="BodyTextChar"/>
        </w:rPr>
        <w:t xml:space="preserve">.  </w:t>
      </w:r>
      <w:r w:rsidRPr="00C95673">
        <w:rPr>
          <w:rStyle w:val="BodyTextChar"/>
        </w:rPr>
        <w:lastRenderedPageBreak/>
        <w:t>From roads, foot and bike paths, public street lighting, litter bins, school crossings, library books, sporting facilities, community meeting spaces and places, community halls, swimming pools, playgrounds, parking spaces, public tips, youth and family counselling and support, childcare programs, preschools, school holiday programs, maternal and child health services, head lice and</w:t>
      </w:r>
      <w:r w:rsidRPr="00D576C5">
        <w:t xml:space="preserve"> immunisation programs. In-home services include child care, parenting and baby health advice, provision of parking permits, access via </w:t>
      </w:r>
      <w:r w:rsidR="006A5FF7" w:rsidRPr="00D576C5">
        <w:t>i</w:t>
      </w:r>
      <w:r w:rsidRPr="00D576C5">
        <w:t>nternet, demolition, building and renovations, garbage, recycling and green waste removal, personal care, home maintenance, meals on wheels and respite care.</w:t>
      </w:r>
    </w:p>
    <w:p w:rsidR="00F462EA" w:rsidRDefault="00911D62">
      <w:pPr>
        <w:pStyle w:val="BodyText"/>
      </w:pPr>
      <w:r w:rsidRPr="00D576C5">
        <w:t xml:space="preserve">Local laws are important for community amenity for the safety, peace and order as well as public health, care of </w:t>
      </w:r>
      <w:r w:rsidR="0000717E">
        <w:t>the City’s</w:t>
      </w:r>
      <w:r w:rsidR="0000717E" w:rsidRPr="00D576C5">
        <w:t xml:space="preserve"> </w:t>
      </w:r>
      <w:r w:rsidRPr="00D576C5">
        <w:t xml:space="preserve">property and the environment.  Hazard reduction to noise, fire, abandoned vehicles, parking, street stalls, disabled parking, street furniture, graffiti, animals, nuisance pets and busking permits are all required to </w:t>
      </w:r>
      <w:r w:rsidRPr="00E0258C">
        <w:t>be controlled by</w:t>
      </w:r>
      <w:r w:rsidRPr="00D576C5">
        <w:t xml:space="preserve"> </w:t>
      </w:r>
      <w:r w:rsidR="0000717E">
        <w:t>the City</w:t>
      </w:r>
      <w:r w:rsidRPr="00D576C5">
        <w:t>.</w:t>
      </w:r>
    </w:p>
    <w:p w:rsidR="00F462EA" w:rsidRDefault="00E0258C">
      <w:pPr>
        <w:pStyle w:val="BodyText"/>
      </w:pPr>
      <w:r>
        <w:t xml:space="preserve">We </w:t>
      </w:r>
      <w:r w:rsidR="00911D62" w:rsidRPr="00D576C5">
        <w:t>collect rates from residents and business</w:t>
      </w:r>
      <w:r w:rsidR="00550F8A" w:rsidRPr="00D576C5">
        <w:t>es</w:t>
      </w:r>
      <w:r w:rsidR="00911D62" w:rsidRPr="00D576C5">
        <w:t xml:space="preserve"> to help fund community infrastructure and service obligations.</w:t>
      </w:r>
    </w:p>
    <w:p w:rsidR="00F462EA" w:rsidRDefault="0098625E">
      <w:pPr>
        <w:pStyle w:val="BodyText"/>
      </w:pPr>
      <w:r>
        <w:t>Our</w:t>
      </w:r>
      <w:r w:rsidR="0000717E" w:rsidRPr="00F20A52">
        <w:t xml:space="preserve"> </w:t>
      </w:r>
      <w:r w:rsidR="00911D62" w:rsidRPr="00F20A52">
        <w:t>approach to service strategies, budget setting according to priorities and annual rate setting is crucial as to how these services are provided to the community.</w:t>
      </w:r>
    </w:p>
    <w:p w:rsidR="00F462EA" w:rsidRDefault="00911D62">
      <w:pPr>
        <w:pStyle w:val="BodyText"/>
      </w:pPr>
      <w:r w:rsidRPr="00D576C5">
        <w:t xml:space="preserve">In terms of per capita rates the City of Greater Geelong has a lower rate when compared to </w:t>
      </w:r>
      <w:r w:rsidR="008329EF">
        <w:t>some</w:t>
      </w:r>
      <w:r w:rsidRPr="00D576C5">
        <w:t xml:space="preserve"> rural </w:t>
      </w:r>
      <w:r w:rsidR="000F0B1A" w:rsidRPr="00D576C5">
        <w:t>municipalities;</w:t>
      </w:r>
      <w:r w:rsidRPr="00D576C5">
        <w:t xml:space="preserve"> however, </w:t>
      </w:r>
      <w:r w:rsidR="0098625E">
        <w:t>we are</w:t>
      </w:r>
      <w:r w:rsidRPr="00D576C5">
        <w:t xml:space="preserve"> required to and can provide a full range of services due to economies of scale, scope and aggregation. </w:t>
      </w:r>
      <w:r w:rsidR="004616BC">
        <w:t>Services</w:t>
      </w:r>
      <w:r w:rsidR="004616BC" w:rsidRPr="00D576C5">
        <w:t xml:space="preserve"> </w:t>
      </w:r>
      <w:r w:rsidRPr="00D576C5">
        <w:t>are utilised by non-residents of neighbouring councils, marginally increasing the cost of service to residents.</w:t>
      </w:r>
    </w:p>
    <w:p w:rsidR="002F58F1" w:rsidRPr="00E60EA6" w:rsidRDefault="003C2620" w:rsidP="005167B1">
      <w:pPr>
        <w:pStyle w:val="BodyText"/>
        <w:rPr>
          <w:rFonts w:ascii="News Gothic Std" w:hAnsi="News Gothic Std"/>
          <w:color w:val="0070C0"/>
          <w:sz w:val="24"/>
          <w:szCs w:val="24"/>
          <w:lang w:val="en-US"/>
        </w:rPr>
      </w:pPr>
      <w:r w:rsidRPr="00583AE6">
        <w:t>T</w:t>
      </w:r>
      <w:r w:rsidRPr="00132FCB">
        <w:t xml:space="preserve">he following table compares the City of Greater Geelong to other municipalities including neighbouring </w:t>
      </w:r>
      <w:r w:rsidR="00F07360" w:rsidRPr="0068414C">
        <w:rPr>
          <w:bCs w:val="0"/>
        </w:rPr>
        <w:t>councils</w:t>
      </w:r>
      <w:r w:rsidRPr="0068414C">
        <w:rPr>
          <w:bCs w:val="0"/>
        </w:rPr>
        <w:t>.</w:t>
      </w:r>
      <w:bookmarkStart w:id="71" w:name="_Toc403114374"/>
    </w:p>
    <w:p w:rsidR="00074F05" w:rsidRDefault="00074F05" w:rsidP="00671F60">
      <w:pPr>
        <w:pStyle w:val="Heading4"/>
      </w:pPr>
      <w:bookmarkStart w:id="72" w:name="_Toc11845102"/>
      <w:r>
        <w:t>Average Rates &amp; Charges</w:t>
      </w:r>
      <w:bookmarkEnd w:id="71"/>
      <w:bookmarkEnd w:id="72"/>
    </w:p>
    <w:p w:rsidR="000744A6" w:rsidRDefault="00751D6D">
      <w:pPr>
        <w:pStyle w:val="BodyText"/>
      </w:pPr>
      <w:r w:rsidRPr="0068414C">
        <w:rPr>
          <w:bCs w:val="0"/>
        </w:rPr>
        <w:t xml:space="preserve">The following table </w:t>
      </w:r>
      <w:r w:rsidR="00F33D97" w:rsidRPr="0068414C">
        <w:rPr>
          <w:bCs w:val="0"/>
        </w:rPr>
        <w:t xml:space="preserve">provides a comparison made to other regional, neighbouring and some metropolitan </w:t>
      </w:r>
      <w:r w:rsidR="00653B9C" w:rsidRPr="0068414C">
        <w:rPr>
          <w:bCs w:val="0"/>
        </w:rPr>
        <w:t>councils</w:t>
      </w:r>
      <w:r w:rsidR="0068414C" w:rsidRPr="005167B1">
        <w:rPr>
          <w:bCs w:val="0"/>
        </w:rPr>
        <w:t xml:space="preserve"> which highlights that </w:t>
      </w:r>
      <w:r w:rsidR="00F33D97" w:rsidRPr="0068414C">
        <w:t xml:space="preserve">the City of Greater Geelong is a low rating </w:t>
      </w:r>
      <w:r w:rsidR="00653B9C" w:rsidRPr="0068414C">
        <w:t>council</w:t>
      </w:r>
      <w:r w:rsidR="00F33D97" w:rsidRPr="0068414C">
        <w:t>.</w:t>
      </w:r>
    </w:p>
    <w:p w:rsidR="006A237B" w:rsidRPr="005167B1" w:rsidRDefault="00227352">
      <w:pPr>
        <w:pStyle w:val="BodyText"/>
        <w:rPr>
          <w:color w:val="FF0000"/>
        </w:rPr>
      </w:pPr>
      <w:r w:rsidRPr="00583AE6">
        <w:rPr>
          <w:snapToGrid/>
          <w:lang w:val="en-AU"/>
        </w:rPr>
        <w:lastRenderedPageBreak/>
        <w:drawing>
          <wp:inline distT="0" distB="0" distL="0" distR="0">
            <wp:extent cx="2085975" cy="2981325"/>
            <wp:effectExtent l="0" t="0" r="0" b="0"/>
            <wp:docPr id="1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85975" cy="2981325"/>
                    </a:xfrm>
                    <a:prstGeom prst="rect">
                      <a:avLst/>
                    </a:prstGeom>
                    <a:noFill/>
                    <a:ln>
                      <a:noFill/>
                    </a:ln>
                  </pic:spPr>
                </pic:pic>
              </a:graphicData>
            </a:graphic>
          </wp:inline>
        </w:drawing>
      </w:r>
      <w:r w:rsidR="00F07360">
        <w:t xml:space="preserve"> </w:t>
      </w:r>
    </w:p>
    <w:p w:rsidR="00911D62" w:rsidRPr="00D576C5" w:rsidRDefault="003C2620">
      <w:pPr>
        <w:pStyle w:val="BodyText"/>
      </w:pPr>
      <w:r>
        <w:t xml:space="preserve">Many </w:t>
      </w:r>
      <w:r w:rsidR="00911D62" w:rsidRPr="00D576C5">
        <w:t>metropolitan councils</w:t>
      </w:r>
      <w:r>
        <w:t xml:space="preserve"> tend to </w:t>
      </w:r>
      <w:r w:rsidR="00911D62" w:rsidRPr="00D576C5">
        <w:t>have lower per capita rates due to economies of scale and interlinking of services with other neighbouring councils.  For example, one council may have a high amenity retail sector, another focusing on industry, whil</w:t>
      </w:r>
      <w:r w:rsidR="006A5FF7" w:rsidRPr="00D576C5">
        <w:t>st</w:t>
      </w:r>
      <w:r w:rsidR="00911D62" w:rsidRPr="00D576C5">
        <w:t xml:space="preserve"> another council may provide specialist training or aquatics venues. This cross use of facilities and the ability to specialise leads to a reduced cost of service provision.</w:t>
      </w:r>
    </w:p>
    <w:p w:rsidR="00911D62" w:rsidRPr="00D576C5" w:rsidRDefault="00911D62">
      <w:pPr>
        <w:pStyle w:val="BodyText"/>
      </w:pPr>
      <w:r w:rsidRPr="00D576C5">
        <w:t xml:space="preserve">However, </w:t>
      </w:r>
      <w:r w:rsidR="0000717E">
        <w:t>the City of Greater Geelong</w:t>
      </w:r>
      <w:r w:rsidRPr="00D576C5">
        <w:t xml:space="preserve"> must provide a full range of services due primarily to its population diversity, geographic spread</w:t>
      </w:r>
      <w:r w:rsidR="00312E0F" w:rsidRPr="00D576C5">
        <w:t>,</w:t>
      </w:r>
      <w:r w:rsidRPr="00D576C5">
        <w:t xml:space="preserve"> as well as providing corporate development and regional leadership.</w:t>
      </w:r>
    </w:p>
    <w:p w:rsidR="00F462EA" w:rsidRDefault="00911D62">
      <w:pPr>
        <w:pStyle w:val="BodyText"/>
      </w:pPr>
      <w:r w:rsidRPr="00D576C5">
        <w:t xml:space="preserve">The average residential rate for Geelong residents for </w:t>
      </w:r>
      <w:r w:rsidR="00605CC7">
        <w:t>2019-20</w:t>
      </w:r>
      <w:r w:rsidR="000A0485" w:rsidRPr="00D576C5">
        <w:t xml:space="preserve"> </w:t>
      </w:r>
      <w:r w:rsidR="00BA5B67" w:rsidRPr="00D576C5">
        <w:t>is $</w:t>
      </w:r>
      <w:r w:rsidR="00605CC7">
        <w:t>1,</w:t>
      </w:r>
      <w:r w:rsidR="0068414C">
        <w:t>617.95</w:t>
      </w:r>
      <w:r w:rsidR="00C84EC0">
        <w:t xml:space="preserve"> </w:t>
      </w:r>
      <w:r w:rsidR="00BA5B67" w:rsidRPr="00D576C5">
        <w:t>(</w:t>
      </w:r>
      <w:r w:rsidRPr="00D576C5">
        <w:t>$</w:t>
      </w:r>
      <w:r w:rsidR="00605CC7">
        <w:t>1,</w:t>
      </w:r>
      <w:r w:rsidR="0068414C">
        <w:t>570.80</w:t>
      </w:r>
      <w:r w:rsidR="00BA5B67" w:rsidRPr="00D576C5">
        <w:t xml:space="preserve"> for </w:t>
      </w:r>
      <w:r w:rsidR="00605CC7">
        <w:t>2018-19</w:t>
      </w:r>
      <w:r w:rsidR="00BA5B67" w:rsidRPr="00D576C5">
        <w:t>)</w:t>
      </w:r>
      <w:r w:rsidR="001607BB" w:rsidRPr="00D576C5">
        <w:t xml:space="preserve">, </w:t>
      </w:r>
      <w:r w:rsidR="00BD29AF" w:rsidRPr="00D576C5">
        <w:t>in</w:t>
      </w:r>
      <w:r w:rsidR="001607BB" w:rsidRPr="00D576C5">
        <w:t>cluding waste service charges.</w:t>
      </w:r>
    </w:p>
    <w:p w:rsidR="00AB55DD" w:rsidRDefault="00911D62">
      <w:pPr>
        <w:pStyle w:val="BodyText"/>
      </w:pPr>
      <w:r w:rsidRPr="00D576C5">
        <w:t xml:space="preserve">This Rating Strategy includes a summary of rating principles and policies including reasons for policy and historical trends. </w:t>
      </w:r>
      <w:bookmarkStart w:id="73" w:name="_Toc64258347"/>
      <w:bookmarkStart w:id="74" w:name="_Toc64276810"/>
      <w:bookmarkStart w:id="75" w:name="_Toc260749437"/>
      <w:bookmarkStart w:id="76" w:name="_Toc292369496"/>
      <w:bookmarkStart w:id="77" w:name="_Toc355947733"/>
      <w:bookmarkStart w:id="78" w:name="_Toc356202906"/>
      <w:bookmarkStart w:id="79" w:name="_Toc403114375"/>
    </w:p>
    <w:p w:rsidR="00AB55DD" w:rsidRDefault="00911D62">
      <w:pPr>
        <w:pStyle w:val="Heading4"/>
        <w:spacing w:before="0" w:after="0"/>
      </w:pPr>
      <w:bookmarkStart w:id="80" w:name="_Toc11845103"/>
      <w:r w:rsidRPr="00D576C5">
        <w:t>Purpose</w:t>
      </w:r>
      <w:bookmarkEnd w:id="73"/>
      <w:bookmarkEnd w:id="74"/>
      <w:bookmarkEnd w:id="75"/>
      <w:bookmarkEnd w:id="76"/>
      <w:bookmarkEnd w:id="77"/>
      <w:bookmarkEnd w:id="78"/>
      <w:bookmarkEnd w:id="79"/>
      <w:bookmarkEnd w:id="80"/>
    </w:p>
    <w:p w:rsidR="00911D62" w:rsidRPr="0068414C" w:rsidRDefault="00911D62">
      <w:pPr>
        <w:pStyle w:val="BodyText"/>
      </w:pPr>
      <w:r w:rsidRPr="00D576C5">
        <w:t xml:space="preserve">The purpose of </w:t>
      </w:r>
      <w:r w:rsidRPr="0068414C">
        <w:t xml:space="preserve">this policy is to outline </w:t>
      </w:r>
      <w:r w:rsidR="0000717E" w:rsidRPr="0068414C">
        <w:t xml:space="preserve">the City’s </w:t>
      </w:r>
      <w:r w:rsidRPr="0068414C">
        <w:t>approach towards rating its</w:t>
      </w:r>
      <w:r w:rsidR="001607BB" w:rsidRPr="0068414C">
        <w:t>’</w:t>
      </w:r>
      <w:r w:rsidRPr="0068414C">
        <w:t xml:space="preserve"> community and to meet the requirements of Part 8 </w:t>
      </w:r>
      <w:r w:rsidR="00024AB0" w:rsidRPr="0068414C">
        <w:t xml:space="preserve">of </w:t>
      </w:r>
      <w:r w:rsidRPr="0068414C">
        <w:t xml:space="preserve">the </w:t>
      </w:r>
      <w:r w:rsidR="00942666" w:rsidRPr="005167B1">
        <w:rPr>
          <w:i/>
        </w:rPr>
        <w:t>Local Government</w:t>
      </w:r>
      <w:r w:rsidRPr="005167B1">
        <w:rPr>
          <w:i/>
        </w:rPr>
        <w:t xml:space="preserve"> Act 1989</w:t>
      </w:r>
      <w:r w:rsidRPr="0068414C">
        <w:t xml:space="preserve"> - Rates and Charges on Rateable Land.</w:t>
      </w:r>
    </w:p>
    <w:p w:rsidR="00911D62" w:rsidRPr="00D576C5" w:rsidRDefault="00911D62">
      <w:pPr>
        <w:pStyle w:val="BodyText"/>
      </w:pPr>
      <w:r w:rsidRPr="0068414C">
        <w:t>This policy is to be reviewed and adopted by Council each year as part of its budget setting objectives</w:t>
      </w:r>
      <w:r w:rsidRPr="00D576C5">
        <w:t xml:space="preserve">. </w:t>
      </w:r>
      <w:r w:rsidR="0000717E">
        <w:t>The City of Greater Geelong</w:t>
      </w:r>
      <w:r w:rsidR="0000717E" w:rsidRPr="00D576C5">
        <w:t xml:space="preserve"> </w:t>
      </w:r>
      <w:r w:rsidRPr="00D576C5">
        <w:t>aspires, through its budget, to achieve service standards, within resource allocation limits, that benefit the entire community.</w:t>
      </w:r>
    </w:p>
    <w:p w:rsidR="00911D62" w:rsidRPr="00D576C5" w:rsidRDefault="00911D62" w:rsidP="00671F60">
      <w:pPr>
        <w:pStyle w:val="Heading4"/>
      </w:pPr>
      <w:bookmarkStart w:id="81" w:name="_Toc64258348"/>
      <w:bookmarkStart w:id="82" w:name="_Toc64276811"/>
      <w:bookmarkStart w:id="83" w:name="_Toc229533842"/>
      <w:bookmarkStart w:id="84" w:name="_Toc260749438"/>
      <w:bookmarkStart w:id="85" w:name="_Toc292369497"/>
      <w:bookmarkStart w:id="86" w:name="_Toc355947734"/>
      <w:bookmarkStart w:id="87" w:name="_Toc356202907"/>
      <w:bookmarkStart w:id="88" w:name="_Toc403114376"/>
      <w:bookmarkStart w:id="89" w:name="_Toc11845104"/>
      <w:r w:rsidRPr="00D576C5">
        <w:t>Principles</w:t>
      </w:r>
      <w:bookmarkEnd w:id="81"/>
      <w:bookmarkEnd w:id="82"/>
      <w:bookmarkEnd w:id="83"/>
      <w:bookmarkEnd w:id="84"/>
      <w:bookmarkEnd w:id="85"/>
      <w:bookmarkEnd w:id="86"/>
      <w:bookmarkEnd w:id="87"/>
      <w:bookmarkEnd w:id="88"/>
      <w:bookmarkEnd w:id="89"/>
    </w:p>
    <w:p w:rsidR="00911D62" w:rsidRPr="00D576C5" w:rsidRDefault="0000717E">
      <w:pPr>
        <w:pStyle w:val="BodyText"/>
      </w:pPr>
      <w:r>
        <w:t>The City</w:t>
      </w:r>
      <w:r w:rsidRPr="00D576C5">
        <w:t xml:space="preserve"> </w:t>
      </w:r>
      <w:r w:rsidR="00911D62" w:rsidRPr="00D576C5">
        <w:t xml:space="preserve">must raise revenue each year sufficient for the purpose of good </w:t>
      </w:r>
      <w:r w:rsidR="00911D62" w:rsidRPr="00D576C5">
        <w:lastRenderedPageBreak/>
        <w:t xml:space="preserve">governance, administration, and to provide for appropriate goods and services for the community. The goods and services </w:t>
      </w:r>
      <w:r w:rsidR="00382D77">
        <w:t xml:space="preserve">the </w:t>
      </w:r>
      <w:r w:rsidR="00653B9C">
        <w:t>organisation</w:t>
      </w:r>
      <w:r w:rsidR="00382D77" w:rsidRPr="00D576C5">
        <w:t xml:space="preserve"> </w:t>
      </w:r>
      <w:r w:rsidR="00911D62" w:rsidRPr="00D576C5">
        <w:t>provide</w:t>
      </w:r>
      <w:r w:rsidR="00382D77">
        <w:t>s</w:t>
      </w:r>
      <w:r w:rsidR="00911D62" w:rsidRPr="00D576C5">
        <w:t xml:space="preserve"> are broad and are allocated according to community lifecycle and lifestyle needs. In particular, </w:t>
      </w:r>
      <w:r w:rsidR="00382D77">
        <w:t>the City</w:t>
      </w:r>
      <w:r w:rsidR="00382D77" w:rsidRPr="00D576C5">
        <w:t xml:space="preserve"> </w:t>
      </w:r>
      <w:r w:rsidR="00911D62" w:rsidRPr="00D576C5">
        <w:t>provides goods and services</w:t>
      </w:r>
      <w:r w:rsidR="00F55D50" w:rsidRPr="00D576C5">
        <w:t xml:space="preserve"> that </w:t>
      </w:r>
      <w:r w:rsidR="00911D62" w:rsidRPr="00D576C5">
        <w:t>are not provided by</w:t>
      </w:r>
      <w:r w:rsidR="000F7EC2" w:rsidRPr="00D576C5">
        <w:t xml:space="preserve"> </w:t>
      </w:r>
      <w:r w:rsidR="00911D62" w:rsidRPr="00D576C5">
        <w:t>private enterprise (eg. infrastructure, street lighting, regulatory and compliance activities).</w:t>
      </w:r>
    </w:p>
    <w:p w:rsidR="00911D62" w:rsidRPr="00D576C5" w:rsidRDefault="00911D62">
      <w:pPr>
        <w:pStyle w:val="BodyText"/>
      </w:pPr>
      <w:r w:rsidRPr="00D576C5">
        <w:t xml:space="preserve">Council </w:t>
      </w:r>
      <w:r w:rsidR="00C00816" w:rsidRPr="00D576C5">
        <w:t>r</w:t>
      </w:r>
      <w:r w:rsidRPr="00D576C5">
        <w:t xml:space="preserve">ates constitute a system of taxation on the local community for the purposes of </w:t>
      </w:r>
      <w:r w:rsidR="00024AB0">
        <w:t>l</w:t>
      </w:r>
      <w:r w:rsidR="00024AB0" w:rsidRPr="00D576C5">
        <w:t xml:space="preserve">ocal </w:t>
      </w:r>
      <w:r w:rsidR="00024AB0">
        <w:t>g</w:t>
      </w:r>
      <w:r w:rsidR="00024AB0" w:rsidRPr="00D576C5">
        <w:t>overnment</w:t>
      </w:r>
      <w:r w:rsidRPr="00D576C5">
        <w:t>. The value of land and its improvements is generally used as the basis of taxation, which is a measure of the property wealth of the ratepayer.  By legislation (</w:t>
      </w:r>
      <w:r w:rsidRPr="005167B1">
        <w:rPr>
          <w:i/>
        </w:rPr>
        <w:t>Valuation of Land Act 1960</w:t>
      </w:r>
      <w:r w:rsidRPr="00D576C5">
        <w:t>) the value of all property is to be reassessed every year and is to be relative to all other like property within the municipality.</w:t>
      </w:r>
    </w:p>
    <w:p w:rsidR="00911D62" w:rsidRPr="00D576C5" w:rsidRDefault="009F468D">
      <w:pPr>
        <w:pStyle w:val="BodyText"/>
      </w:pPr>
      <w:r w:rsidRPr="00D576C5">
        <w:t>Rates are in the form of a general purpose levy and</w:t>
      </w:r>
      <w:r w:rsidR="00911D62" w:rsidRPr="00D576C5">
        <w:t xml:space="preserve"> the benefits that a ratepayer may receive will not necessarily be to the extent of the tax (rates) paid.  Benefits are consumed in different quantities and types over the lifecycle of the ratepayer </w:t>
      </w:r>
      <w:r w:rsidR="0012567E" w:rsidRPr="00D576C5">
        <w:t>(</w:t>
      </w:r>
      <w:r w:rsidR="00911D62" w:rsidRPr="00D576C5">
        <w:t>e.g. maternal and child health, libraries and aged care, roads and footpaths, local laws</w:t>
      </w:r>
      <w:r w:rsidR="0012567E" w:rsidRPr="00D576C5">
        <w:t>)</w:t>
      </w:r>
      <w:r w:rsidR="00911D62" w:rsidRPr="00D576C5">
        <w:t>.</w:t>
      </w:r>
    </w:p>
    <w:p w:rsidR="00F462EA" w:rsidRDefault="004D2201">
      <w:pPr>
        <w:pStyle w:val="BodyText"/>
      </w:pPr>
      <w:r>
        <w:t>Our</w:t>
      </w:r>
      <w:r w:rsidR="00382D77" w:rsidRPr="00D576C5">
        <w:t xml:space="preserve"> </w:t>
      </w:r>
      <w:r w:rsidR="00911D62" w:rsidRPr="00D576C5">
        <w:t>practices and decisions regarding rating are underpinned by:</w:t>
      </w:r>
    </w:p>
    <w:p w:rsidR="00A23966" w:rsidRPr="005A2AD5" w:rsidRDefault="00911D62" w:rsidP="005167B1">
      <w:pPr>
        <w:pStyle w:val="ListParagraph"/>
        <w:numPr>
          <w:ilvl w:val="0"/>
          <w:numId w:val="43"/>
        </w:numPr>
        <w:spacing w:after="80"/>
        <w:ind w:left="357" w:hanging="357"/>
        <w:jc w:val="both"/>
      </w:pPr>
      <w:r w:rsidRPr="00C05662">
        <w:rPr>
          <w:rFonts w:cs="Lucida Sans Unicode"/>
          <w:szCs w:val="22"/>
        </w:rPr>
        <w:t>Accountability, transparency and simplicity;</w:t>
      </w:r>
    </w:p>
    <w:p w:rsidR="00A23966" w:rsidRPr="00132FCB" w:rsidRDefault="00911D62" w:rsidP="005167B1">
      <w:pPr>
        <w:pStyle w:val="ListParagraph"/>
        <w:numPr>
          <w:ilvl w:val="0"/>
          <w:numId w:val="43"/>
        </w:numPr>
        <w:spacing w:after="80"/>
        <w:ind w:left="357" w:hanging="357"/>
        <w:jc w:val="both"/>
      </w:pPr>
      <w:r w:rsidRPr="00583AE6">
        <w:rPr>
          <w:rFonts w:cs="Lucida Sans Unicode"/>
          <w:szCs w:val="22"/>
        </w:rPr>
        <w:t>Efficiency, effectiveness and timeliness;</w:t>
      </w:r>
    </w:p>
    <w:p w:rsidR="00A23966" w:rsidRPr="005167B1" w:rsidRDefault="00911D62" w:rsidP="005167B1">
      <w:pPr>
        <w:pStyle w:val="ListParagraph"/>
        <w:numPr>
          <w:ilvl w:val="0"/>
          <w:numId w:val="43"/>
        </w:numPr>
        <w:spacing w:after="80"/>
        <w:ind w:left="357" w:hanging="357"/>
        <w:jc w:val="both"/>
      </w:pPr>
      <w:r w:rsidRPr="005167B1">
        <w:rPr>
          <w:rFonts w:cs="Lucida Sans Unicode"/>
          <w:szCs w:val="22"/>
        </w:rPr>
        <w:t>Equitable distribution of the rate burden across the community according to assessment of property wealth;</w:t>
      </w:r>
    </w:p>
    <w:p w:rsidR="00A23966" w:rsidRPr="005167B1" w:rsidRDefault="00911D62" w:rsidP="005167B1">
      <w:pPr>
        <w:pStyle w:val="ListParagraph"/>
        <w:numPr>
          <w:ilvl w:val="0"/>
          <w:numId w:val="43"/>
        </w:numPr>
        <w:spacing w:after="80"/>
        <w:ind w:left="357" w:hanging="357"/>
        <w:jc w:val="both"/>
      </w:pPr>
      <w:r w:rsidRPr="005167B1">
        <w:rPr>
          <w:rFonts w:cs="Lucida Sans Unicode"/>
          <w:szCs w:val="22"/>
        </w:rPr>
        <w:t>A “safety net” approach to assist eligible ratepayers significantly affected by increasing rates;</w:t>
      </w:r>
    </w:p>
    <w:p w:rsidR="00A23966" w:rsidRPr="00132FCB" w:rsidRDefault="00911D62" w:rsidP="005167B1">
      <w:pPr>
        <w:pStyle w:val="ListParagraph"/>
        <w:numPr>
          <w:ilvl w:val="0"/>
          <w:numId w:val="43"/>
        </w:numPr>
        <w:spacing w:after="80"/>
        <w:ind w:left="357" w:hanging="357"/>
        <w:jc w:val="both"/>
      </w:pPr>
      <w:r w:rsidRPr="005167B1">
        <w:rPr>
          <w:rFonts w:cs="Lucida Sans Unicode"/>
          <w:szCs w:val="22"/>
        </w:rPr>
        <w:t xml:space="preserve">Consistency with </w:t>
      </w:r>
      <w:r w:rsidR="00382D77" w:rsidRPr="005167B1">
        <w:rPr>
          <w:rFonts w:cs="Lucida Sans Unicode"/>
          <w:szCs w:val="22"/>
        </w:rPr>
        <w:t xml:space="preserve">the </w:t>
      </w:r>
      <w:r w:rsidR="00024AB0">
        <w:rPr>
          <w:rFonts w:cs="Lucida Sans Unicode"/>
          <w:szCs w:val="22"/>
        </w:rPr>
        <w:t>organisation’s</w:t>
      </w:r>
      <w:r w:rsidR="00382D77" w:rsidRPr="005A2AD5">
        <w:rPr>
          <w:rFonts w:cs="Lucida Sans Unicode"/>
          <w:szCs w:val="22"/>
        </w:rPr>
        <w:t xml:space="preserve"> </w:t>
      </w:r>
      <w:r w:rsidRPr="00583AE6">
        <w:rPr>
          <w:rFonts w:cs="Lucida Sans Unicode"/>
          <w:szCs w:val="22"/>
        </w:rPr>
        <w:t>strategic, corporate and financial directions and budgetary requirements; and</w:t>
      </w:r>
    </w:p>
    <w:p w:rsidR="00A23966" w:rsidRPr="005167B1" w:rsidRDefault="00911D62" w:rsidP="005167B1">
      <w:pPr>
        <w:pStyle w:val="ListParagraph"/>
        <w:numPr>
          <w:ilvl w:val="0"/>
          <w:numId w:val="43"/>
        </w:numPr>
        <w:spacing w:after="80"/>
        <w:ind w:left="357" w:hanging="357"/>
        <w:jc w:val="both"/>
      </w:pPr>
      <w:r w:rsidRPr="00132FCB">
        <w:rPr>
          <w:rFonts w:cs="Lucida Sans Unicode"/>
          <w:szCs w:val="22"/>
        </w:rPr>
        <w:t>Compliance with relevant legislation and accepted professional conventions and ethics.</w:t>
      </w:r>
    </w:p>
    <w:p w:rsidR="00AB55DD" w:rsidRDefault="00911D62">
      <w:pPr>
        <w:pStyle w:val="Heading4"/>
      </w:pPr>
      <w:bookmarkStart w:id="90" w:name="_Toc64258349"/>
      <w:bookmarkStart w:id="91" w:name="_Toc64276812"/>
      <w:bookmarkStart w:id="92" w:name="_Toc11845105"/>
      <w:r w:rsidRPr="00D576C5">
        <w:t xml:space="preserve">Reason for </w:t>
      </w:r>
      <w:r w:rsidR="004B1CEA" w:rsidRPr="00D576C5">
        <w:t>P</w:t>
      </w:r>
      <w:r w:rsidRPr="00D576C5">
        <w:t>olicy</w:t>
      </w:r>
      <w:bookmarkEnd w:id="90"/>
      <w:bookmarkEnd w:id="91"/>
      <w:bookmarkEnd w:id="92"/>
    </w:p>
    <w:p w:rsidR="00911D62" w:rsidRPr="00D576C5" w:rsidRDefault="00382D77">
      <w:pPr>
        <w:pStyle w:val="BodyText"/>
      </w:pPr>
      <w:r>
        <w:t>The City of Greater Geelong</w:t>
      </w:r>
      <w:r w:rsidRPr="00D576C5">
        <w:t xml:space="preserve"> </w:t>
      </w:r>
      <w:r w:rsidR="00911D62" w:rsidRPr="00D576C5">
        <w:t xml:space="preserve">believes that overall policy must be underpinned by sound principles, which are well understood, communicated to ratepayers and compliant with current legislation.  Equity and impact issues are best dealt with in application of all facets of rating policy, including valuation, budgetary requirements, differential rating, government taxation and concessions, collection and hardship considerations. </w:t>
      </w:r>
    </w:p>
    <w:p w:rsidR="00911D62" w:rsidRPr="00D576C5" w:rsidRDefault="00F07360">
      <w:pPr>
        <w:pStyle w:val="BodyText"/>
      </w:pPr>
      <w:r>
        <w:t>We</w:t>
      </w:r>
      <w:r w:rsidR="00382D77" w:rsidRPr="00D576C5">
        <w:t xml:space="preserve"> </w:t>
      </w:r>
      <w:r w:rsidR="00911D62" w:rsidRPr="00D576C5">
        <w:t xml:space="preserve">aspire to balance service levels in accordance with the needs and </w:t>
      </w:r>
      <w:r w:rsidR="00911D62" w:rsidRPr="00D576C5">
        <w:lastRenderedPageBreak/>
        <w:t>expectations of its community and sets taxation levels (rating) to adequately resource its roles and responsibilities.</w:t>
      </w:r>
    </w:p>
    <w:p w:rsidR="00F462EA" w:rsidRDefault="00911D62">
      <w:pPr>
        <w:pStyle w:val="BodyText"/>
      </w:pPr>
      <w:r w:rsidRPr="00D576C5">
        <w:t xml:space="preserve">In setting rates, </w:t>
      </w:r>
      <w:r w:rsidR="00382D77">
        <w:t>the City</w:t>
      </w:r>
      <w:r w:rsidR="00382D77" w:rsidRPr="00D576C5">
        <w:t xml:space="preserve"> </w:t>
      </w:r>
      <w:r w:rsidRPr="00D576C5">
        <w:t>gives primary consideration to its strategic directions, budget considerations, the current economic climate, other external factors and likely impacts upon the community.</w:t>
      </w:r>
    </w:p>
    <w:p w:rsidR="00911D62" w:rsidRPr="00D576C5" w:rsidRDefault="00911D62" w:rsidP="00671F60">
      <w:pPr>
        <w:pStyle w:val="Heading4"/>
      </w:pPr>
      <w:bookmarkStart w:id="93" w:name="_Toc64258350"/>
      <w:bookmarkStart w:id="94" w:name="_Toc64276813"/>
      <w:bookmarkStart w:id="95" w:name="_Toc260749439"/>
      <w:bookmarkStart w:id="96" w:name="_Toc292369498"/>
      <w:bookmarkStart w:id="97" w:name="_Toc355947735"/>
      <w:bookmarkStart w:id="98" w:name="_Toc356202908"/>
      <w:bookmarkStart w:id="99" w:name="_Toc403114377"/>
      <w:bookmarkStart w:id="100" w:name="_Toc11845106"/>
      <w:r w:rsidRPr="00D576C5">
        <w:t xml:space="preserve">Rating </w:t>
      </w:r>
      <w:r w:rsidR="004B1CEA" w:rsidRPr="00D576C5">
        <w:t>F</w:t>
      </w:r>
      <w:r w:rsidRPr="00D576C5">
        <w:t>ramework</w:t>
      </w:r>
      <w:bookmarkEnd w:id="93"/>
      <w:bookmarkEnd w:id="94"/>
      <w:bookmarkEnd w:id="95"/>
      <w:bookmarkEnd w:id="96"/>
      <w:bookmarkEnd w:id="97"/>
      <w:bookmarkEnd w:id="98"/>
      <w:bookmarkEnd w:id="99"/>
      <w:bookmarkEnd w:id="100"/>
    </w:p>
    <w:p w:rsidR="00911D62" w:rsidRPr="00D576C5" w:rsidRDefault="00911D62">
      <w:pPr>
        <w:pStyle w:val="BodyText"/>
      </w:pPr>
      <w:r w:rsidRPr="00D576C5">
        <w:t xml:space="preserve">The general rating framework for </w:t>
      </w:r>
      <w:r w:rsidR="00C52306">
        <w:t>l</w:t>
      </w:r>
      <w:r w:rsidR="00C52306" w:rsidRPr="00D576C5">
        <w:t xml:space="preserve">ocal </w:t>
      </w:r>
      <w:r w:rsidR="00C52306">
        <w:t>g</w:t>
      </w:r>
      <w:r w:rsidR="00C52306" w:rsidRPr="00D576C5">
        <w:t xml:space="preserve">overnment </w:t>
      </w:r>
      <w:r w:rsidRPr="00D576C5">
        <w:t xml:space="preserve">was set out in research undertaken for development of the </w:t>
      </w:r>
      <w:r w:rsidR="00942666" w:rsidRPr="005167B1">
        <w:rPr>
          <w:i/>
        </w:rPr>
        <w:t>Local Government</w:t>
      </w:r>
      <w:r w:rsidRPr="005167B1">
        <w:rPr>
          <w:i/>
        </w:rPr>
        <w:t xml:space="preserve"> Act 1989</w:t>
      </w:r>
      <w:r w:rsidRPr="00D576C5">
        <w:t>. The research recommended that property rating should be based on the following objectives:</w:t>
      </w:r>
    </w:p>
    <w:p w:rsidR="00A23966" w:rsidRPr="00132FCB" w:rsidRDefault="00911D62" w:rsidP="005167B1">
      <w:pPr>
        <w:pStyle w:val="ListParagraph"/>
        <w:numPr>
          <w:ilvl w:val="0"/>
          <w:numId w:val="43"/>
        </w:numPr>
        <w:spacing w:after="80"/>
        <w:ind w:left="357" w:hanging="357"/>
        <w:jc w:val="both"/>
      </w:pPr>
      <w:r w:rsidRPr="00C05662">
        <w:rPr>
          <w:rFonts w:cs="Lucida Sans Unicode"/>
          <w:szCs w:val="22"/>
        </w:rPr>
        <w:t xml:space="preserve">The entire community should contribute to the unavoidable costs of </w:t>
      </w:r>
      <w:r w:rsidR="00C52306">
        <w:rPr>
          <w:rFonts w:cs="Lucida Sans Unicode"/>
          <w:szCs w:val="22"/>
        </w:rPr>
        <w:t>l</w:t>
      </w:r>
      <w:r w:rsidR="00C52306" w:rsidRPr="005A2AD5">
        <w:rPr>
          <w:rFonts w:cs="Lucida Sans Unicode"/>
          <w:szCs w:val="22"/>
        </w:rPr>
        <w:t xml:space="preserve">ocal </w:t>
      </w:r>
      <w:r w:rsidR="00C52306">
        <w:rPr>
          <w:rFonts w:cs="Lucida Sans Unicode"/>
          <w:szCs w:val="22"/>
        </w:rPr>
        <w:t>g</w:t>
      </w:r>
      <w:r w:rsidR="00C52306" w:rsidRPr="005A2AD5">
        <w:rPr>
          <w:rFonts w:cs="Lucida Sans Unicode"/>
          <w:szCs w:val="22"/>
        </w:rPr>
        <w:t>overnment</w:t>
      </w:r>
      <w:r w:rsidRPr="00583AE6">
        <w:rPr>
          <w:rFonts w:cs="Lucida Sans Unicode"/>
          <w:szCs w:val="22"/>
        </w:rPr>
        <w:t>.</w:t>
      </w:r>
    </w:p>
    <w:p w:rsidR="00A23966" w:rsidRPr="005167B1" w:rsidRDefault="00911D62" w:rsidP="005167B1">
      <w:pPr>
        <w:pStyle w:val="ListParagraph"/>
        <w:numPr>
          <w:ilvl w:val="0"/>
          <w:numId w:val="43"/>
        </w:numPr>
        <w:spacing w:after="80"/>
        <w:ind w:left="357" w:hanging="357"/>
        <w:jc w:val="both"/>
      </w:pPr>
      <w:r w:rsidRPr="005167B1">
        <w:rPr>
          <w:rFonts w:cs="Lucida Sans Unicode"/>
          <w:szCs w:val="22"/>
        </w:rPr>
        <w:t xml:space="preserve">Where feasible, services should be funded on a user pays system. </w:t>
      </w:r>
    </w:p>
    <w:p w:rsidR="00A23966" w:rsidRPr="005167B1" w:rsidRDefault="00911D62" w:rsidP="005167B1">
      <w:pPr>
        <w:pStyle w:val="ListParagraph"/>
        <w:numPr>
          <w:ilvl w:val="0"/>
          <w:numId w:val="43"/>
        </w:numPr>
        <w:spacing w:after="80"/>
        <w:ind w:left="357" w:hanging="357"/>
        <w:jc w:val="both"/>
      </w:pPr>
      <w:r w:rsidRPr="005167B1">
        <w:rPr>
          <w:rFonts w:cs="Lucida Sans Unicode"/>
          <w:szCs w:val="22"/>
        </w:rPr>
        <w:t>Where specified</w:t>
      </w:r>
      <w:r w:rsidR="00C00816" w:rsidRPr="005167B1">
        <w:rPr>
          <w:rFonts w:cs="Lucida Sans Unicode"/>
          <w:szCs w:val="22"/>
        </w:rPr>
        <w:t>,</w:t>
      </w:r>
      <w:r w:rsidRPr="005167B1">
        <w:rPr>
          <w:rFonts w:cs="Lucida Sans Unicode"/>
          <w:szCs w:val="22"/>
        </w:rPr>
        <w:t xml:space="preserve"> local objectives can be achieved using differential rates.</w:t>
      </w:r>
    </w:p>
    <w:p w:rsidR="00A23966" w:rsidRPr="005167B1" w:rsidRDefault="00911D62" w:rsidP="005167B1">
      <w:pPr>
        <w:pStyle w:val="ListParagraph"/>
        <w:numPr>
          <w:ilvl w:val="0"/>
          <w:numId w:val="43"/>
        </w:numPr>
        <w:spacing w:after="80"/>
        <w:ind w:left="357" w:hanging="357"/>
        <w:jc w:val="both"/>
      </w:pPr>
      <w:r w:rsidRPr="005167B1">
        <w:rPr>
          <w:rFonts w:cs="Lucida Sans Unicode"/>
          <w:szCs w:val="22"/>
        </w:rPr>
        <w:t>Residual service costs should be apportioned on the basis of</w:t>
      </w:r>
      <w:r w:rsidR="00CB45C9" w:rsidRPr="005167B1">
        <w:rPr>
          <w:rFonts w:cs="Lucida Sans Unicode"/>
          <w:szCs w:val="22"/>
        </w:rPr>
        <w:t xml:space="preserve"> </w:t>
      </w:r>
      <w:r w:rsidRPr="005167B1">
        <w:rPr>
          <w:rFonts w:cs="Lucida Sans Unicode"/>
          <w:szCs w:val="22"/>
        </w:rPr>
        <w:t>property valuation.</w:t>
      </w:r>
    </w:p>
    <w:p w:rsidR="00F462EA" w:rsidRDefault="00911D62">
      <w:pPr>
        <w:pStyle w:val="BodyText"/>
      </w:pPr>
      <w:r w:rsidRPr="00D576C5">
        <w:t xml:space="preserve">In addition to rates on property, </w:t>
      </w:r>
      <w:r w:rsidR="00C52306">
        <w:t>l</w:t>
      </w:r>
      <w:r w:rsidR="00C52306" w:rsidRPr="00D576C5">
        <w:t xml:space="preserve">ocal </w:t>
      </w:r>
      <w:r w:rsidR="00C52306">
        <w:t>g</w:t>
      </w:r>
      <w:r w:rsidR="00C52306" w:rsidRPr="00D576C5">
        <w:t xml:space="preserve">overnments </w:t>
      </w:r>
      <w:r w:rsidRPr="00D576C5">
        <w:t xml:space="preserve">are able to levy a municipal charge on each property. This charge is set to achieve the first objective above, i.e. to fund the unavoidable costs of </w:t>
      </w:r>
      <w:r w:rsidR="00C52306">
        <w:t>l</w:t>
      </w:r>
      <w:r w:rsidR="00C52306" w:rsidRPr="00D576C5">
        <w:t xml:space="preserve">ocal </w:t>
      </w:r>
      <w:r w:rsidR="00C52306">
        <w:t>g</w:t>
      </w:r>
      <w:r w:rsidR="00C52306" w:rsidRPr="00D576C5">
        <w:t>overnment</w:t>
      </w:r>
      <w:r w:rsidRPr="00D576C5">
        <w:t xml:space="preserve">. The municipal charge cannot raise more than one fifth (20%) of the total amount raised through rates (including the municipal charge) - LGA </w:t>
      </w:r>
      <w:r w:rsidR="00F07360">
        <w:t>s</w:t>
      </w:r>
      <w:r w:rsidR="00F07360" w:rsidRPr="00D576C5">
        <w:t xml:space="preserve">ection </w:t>
      </w:r>
      <w:r w:rsidRPr="00D576C5">
        <w:t xml:space="preserve">159. </w:t>
      </w:r>
    </w:p>
    <w:p w:rsidR="00F462EA" w:rsidRDefault="00911D62">
      <w:pPr>
        <w:pStyle w:val="BodyText"/>
      </w:pPr>
      <w:r w:rsidRPr="00D576C5">
        <w:t>Waste collection services are based on user</w:t>
      </w:r>
      <w:r w:rsidR="00646C73" w:rsidRPr="00D576C5">
        <w:t>-</w:t>
      </w:r>
      <w:r w:rsidRPr="00D576C5">
        <w:t xml:space="preserve">pays principles while a wide variety of other services provided by </w:t>
      </w:r>
      <w:r w:rsidR="00382D77">
        <w:t>the City</w:t>
      </w:r>
      <w:r w:rsidR="00382D77" w:rsidRPr="00D576C5">
        <w:t xml:space="preserve"> </w:t>
      </w:r>
      <w:r w:rsidRPr="00D576C5">
        <w:t>have fees set to recover the full cost or, where subsidisation occurs, to fully notate such cross-subsidisation.</w:t>
      </w:r>
    </w:p>
    <w:p w:rsidR="00785FE4" w:rsidRDefault="00911D62">
      <w:pPr>
        <w:pStyle w:val="BodyText"/>
      </w:pPr>
      <w:r w:rsidRPr="00D576C5">
        <w:t xml:space="preserve">The third element is the use of differential rate groups using variable “rates in dollars” to collect an ad valorem rate against the property value. </w:t>
      </w:r>
    </w:p>
    <w:p w:rsidR="00F462EA" w:rsidRDefault="00911D62">
      <w:pPr>
        <w:pStyle w:val="BodyText"/>
      </w:pPr>
      <w:r w:rsidRPr="00D576C5">
        <w:t>In addition to the objectives above, public finance theory sets three major criteria for successful taxation policy:</w:t>
      </w:r>
    </w:p>
    <w:p w:rsidR="00A23966" w:rsidRPr="005167B1" w:rsidRDefault="00911D62" w:rsidP="005167B1">
      <w:pPr>
        <w:pStyle w:val="ListParagraph"/>
        <w:numPr>
          <w:ilvl w:val="0"/>
          <w:numId w:val="43"/>
        </w:numPr>
        <w:spacing w:after="80"/>
        <w:ind w:left="357" w:hanging="357"/>
        <w:jc w:val="both"/>
      </w:pPr>
      <w:r w:rsidRPr="00C05662">
        <w:rPr>
          <w:rFonts w:cs="Lucida Sans Unicode"/>
          <w:szCs w:val="22"/>
        </w:rPr>
        <w:t xml:space="preserve">Equity - including both horizontal and vertical equity. Horizontal equity means that those in the same position </w:t>
      </w:r>
      <w:r w:rsidR="00646C73" w:rsidRPr="005A2AD5">
        <w:rPr>
          <w:rFonts w:cs="Lucida Sans Unicode"/>
          <w:szCs w:val="22"/>
        </w:rPr>
        <w:t>(</w:t>
      </w:r>
      <w:r w:rsidR="00F42BAD" w:rsidRPr="00132FCB">
        <w:rPr>
          <w:rFonts w:cs="Lucida Sans Unicode"/>
          <w:szCs w:val="22"/>
        </w:rPr>
        <w:t>e.g.</w:t>
      </w:r>
      <w:r w:rsidRPr="005167B1">
        <w:rPr>
          <w:rFonts w:cs="Lucida Sans Unicode"/>
          <w:szCs w:val="22"/>
        </w:rPr>
        <w:t xml:space="preserve"> with the same property value</w:t>
      </w:r>
      <w:r w:rsidR="00646C73" w:rsidRPr="005167B1">
        <w:rPr>
          <w:rFonts w:cs="Lucida Sans Unicode"/>
          <w:szCs w:val="22"/>
        </w:rPr>
        <w:t>)</w:t>
      </w:r>
      <w:r w:rsidR="00C00816" w:rsidRPr="005167B1">
        <w:rPr>
          <w:rFonts w:cs="Lucida Sans Unicode"/>
          <w:szCs w:val="22"/>
        </w:rPr>
        <w:t>,</w:t>
      </w:r>
      <w:r w:rsidRPr="005167B1">
        <w:rPr>
          <w:rFonts w:cs="Lucida Sans Unicode"/>
          <w:szCs w:val="22"/>
        </w:rPr>
        <w:t xml:space="preserve"> should be treated the same.  Vertical equity in respect to property taxation means that higher property values should incur higher levels of tax.</w:t>
      </w:r>
    </w:p>
    <w:p w:rsidR="00A23966" w:rsidRPr="005167B1" w:rsidRDefault="00911D62" w:rsidP="005167B1">
      <w:pPr>
        <w:pStyle w:val="ListParagraph"/>
        <w:numPr>
          <w:ilvl w:val="0"/>
          <w:numId w:val="43"/>
        </w:numPr>
        <w:spacing w:after="80"/>
        <w:ind w:left="357" w:hanging="357"/>
        <w:jc w:val="both"/>
      </w:pPr>
      <w:r w:rsidRPr="005167B1">
        <w:rPr>
          <w:rFonts w:cs="Lucida Sans Unicode"/>
          <w:szCs w:val="22"/>
        </w:rPr>
        <w:t>Efficiency</w:t>
      </w:r>
      <w:r w:rsidR="00850FDD" w:rsidRPr="005167B1">
        <w:rPr>
          <w:rFonts w:cs="Lucida Sans Unicode"/>
          <w:szCs w:val="22"/>
        </w:rPr>
        <w:t xml:space="preserve"> -</w:t>
      </w:r>
      <w:r w:rsidRPr="005167B1">
        <w:rPr>
          <w:rFonts w:cs="Lucida Sans Unicode"/>
          <w:szCs w:val="22"/>
        </w:rPr>
        <w:t xml:space="preserve"> meaning that in a technical sense the tax should not unduly interfere with the efficient operation of the economy.  For </w:t>
      </w:r>
      <w:r w:rsidR="00C52306">
        <w:rPr>
          <w:rFonts w:cs="Lucida Sans Unicode"/>
          <w:szCs w:val="22"/>
        </w:rPr>
        <w:t>l</w:t>
      </w:r>
      <w:r w:rsidR="00C52306" w:rsidRPr="005A2AD5">
        <w:rPr>
          <w:rFonts w:cs="Lucida Sans Unicode"/>
          <w:szCs w:val="22"/>
        </w:rPr>
        <w:t xml:space="preserve">ocal </w:t>
      </w:r>
      <w:r w:rsidR="00C52306">
        <w:rPr>
          <w:rFonts w:cs="Lucida Sans Unicode"/>
          <w:szCs w:val="22"/>
        </w:rPr>
        <w:t>g</w:t>
      </w:r>
      <w:r w:rsidR="00C52306" w:rsidRPr="005A2AD5">
        <w:rPr>
          <w:rFonts w:cs="Lucida Sans Unicode"/>
          <w:szCs w:val="22"/>
        </w:rPr>
        <w:t xml:space="preserve">overnment </w:t>
      </w:r>
      <w:r w:rsidRPr="00583AE6">
        <w:rPr>
          <w:rFonts w:cs="Lucida Sans Unicode"/>
          <w:szCs w:val="22"/>
        </w:rPr>
        <w:t xml:space="preserve">the tax should be consistent with the major policy objectives of </w:t>
      </w:r>
      <w:r w:rsidR="00382D77" w:rsidRPr="005167B1">
        <w:rPr>
          <w:rFonts w:cs="Lucida Sans Unicode"/>
          <w:szCs w:val="22"/>
        </w:rPr>
        <w:t>the City</w:t>
      </w:r>
      <w:r w:rsidRPr="005167B1">
        <w:rPr>
          <w:rFonts w:cs="Lucida Sans Unicode"/>
          <w:szCs w:val="22"/>
        </w:rPr>
        <w:t>.</w:t>
      </w:r>
    </w:p>
    <w:p w:rsidR="00A23966" w:rsidRPr="005167B1" w:rsidRDefault="00911D62" w:rsidP="005167B1">
      <w:pPr>
        <w:pStyle w:val="ListParagraph"/>
        <w:numPr>
          <w:ilvl w:val="0"/>
          <w:numId w:val="43"/>
        </w:numPr>
        <w:spacing w:after="80"/>
        <w:ind w:left="357" w:hanging="357"/>
        <w:jc w:val="both"/>
      </w:pPr>
      <w:r w:rsidRPr="005167B1">
        <w:rPr>
          <w:rFonts w:cs="Lucida Sans Unicode"/>
          <w:szCs w:val="22"/>
        </w:rPr>
        <w:lastRenderedPageBreak/>
        <w:t xml:space="preserve">Simplicity </w:t>
      </w:r>
      <w:r w:rsidR="00850FDD" w:rsidRPr="005167B1">
        <w:rPr>
          <w:rFonts w:cs="Lucida Sans Unicode"/>
          <w:szCs w:val="22"/>
        </w:rPr>
        <w:t xml:space="preserve">- </w:t>
      </w:r>
      <w:r w:rsidRPr="005167B1">
        <w:rPr>
          <w:rFonts w:cs="Lucida Sans Unicode"/>
          <w:szCs w:val="22"/>
        </w:rPr>
        <w:t xml:space="preserve">for both administrative ease (and therefore lower cost) and to ensure that the tax is understood by taxpayers. The latter ensures that the tax system is transparent and capable of being questioned and challenged by ratepayers. </w:t>
      </w:r>
    </w:p>
    <w:p w:rsidR="00F462EA" w:rsidRDefault="00911D62">
      <w:pPr>
        <w:pStyle w:val="BodyText"/>
      </w:pPr>
      <w:r w:rsidRPr="00D576C5">
        <w:t xml:space="preserve">In adopting a differential rating structure for ad valorem tariffs, </w:t>
      </w:r>
      <w:r w:rsidR="00382D77">
        <w:t>the City</w:t>
      </w:r>
      <w:r w:rsidR="00382D77" w:rsidRPr="00D576C5">
        <w:t xml:space="preserve"> </w:t>
      </w:r>
      <w:r w:rsidR="004324C1" w:rsidRPr="00D576C5">
        <w:t xml:space="preserve">considers that they will contribute to the equitable and </w:t>
      </w:r>
      <w:r w:rsidRPr="00D576C5">
        <w:t xml:space="preserve">efficient carrying out of its functions”- LGA </w:t>
      </w:r>
      <w:r w:rsidR="00F07360">
        <w:t>s</w:t>
      </w:r>
      <w:r w:rsidR="00F07360" w:rsidRPr="00D576C5">
        <w:t xml:space="preserve">ection </w:t>
      </w:r>
      <w:r w:rsidRPr="00D576C5">
        <w:t>161(1)(b).</w:t>
      </w:r>
      <w:r w:rsidR="008F6F45">
        <w:t xml:space="preserve"> </w:t>
      </w:r>
      <w:r w:rsidR="00653B9C">
        <w:t>It</w:t>
      </w:r>
      <w:r w:rsidR="00382D77">
        <w:t xml:space="preserve"> </w:t>
      </w:r>
      <w:r w:rsidR="008F6F45">
        <w:t>must also give consideration to the Ministerial Guidelines.</w:t>
      </w:r>
    </w:p>
    <w:p w:rsidR="00F462EA" w:rsidRDefault="00911D62">
      <w:pPr>
        <w:pStyle w:val="BodyText"/>
      </w:pPr>
      <w:r w:rsidRPr="00D576C5">
        <w:t xml:space="preserve">The </w:t>
      </w:r>
      <w:r w:rsidR="00942666" w:rsidRPr="005167B1">
        <w:rPr>
          <w:i/>
        </w:rPr>
        <w:t>Local Government</w:t>
      </w:r>
      <w:r w:rsidRPr="005167B1">
        <w:rPr>
          <w:i/>
        </w:rPr>
        <w:t xml:space="preserve"> Act </w:t>
      </w:r>
      <w:r w:rsidR="00C3581A" w:rsidRPr="005167B1">
        <w:rPr>
          <w:i/>
        </w:rPr>
        <w:t>1989</w:t>
      </w:r>
      <w:r w:rsidR="00C3581A">
        <w:t xml:space="preserve"> </w:t>
      </w:r>
      <w:r w:rsidRPr="00D576C5">
        <w:t xml:space="preserve">at Part 1A </w:t>
      </w:r>
      <w:r w:rsidR="00942666" w:rsidRPr="00D576C5">
        <w:t>Local Government</w:t>
      </w:r>
      <w:r w:rsidRPr="00D576C5">
        <w:t xml:space="preserve"> Charter - </w:t>
      </w:r>
      <w:r w:rsidR="00382D77">
        <w:t>s</w:t>
      </w:r>
      <w:r w:rsidR="00382D77" w:rsidRPr="00D576C5">
        <w:t xml:space="preserve">ection </w:t>
      </w:r>
      <w:r w:rsidRPr="00D576C5">
        <w:t xml:space="preserve">3C(f) provides that an objective of council should be “to ensure the equitable imposition of rates and charges”. The LGA does not further define equity or efficiency of the rating </w:t>
      </w:r>
      <w:r w:rsidRPr="00C95673">
        <w:t>structure, and it can be presumed that the adoption of a legal rating framework will ensure equity and efficiency within the meaning and principles of the legislation.</w:t>
      </w:r>
    </w:p>
    <w:p w:rsidR="00911D62" w:rsidRPr="00D576C5" w:rsidRDefault="00911D62" w:rsidP="00671F60">
      <w:pPr>
        <w:pStyle w:val="Heading4"/>
      </w:pPr>
      <w:bookmarkStart w:id="101" w:name="_Toc64258351"/>
      <w:bookmarkStart w:id="102" w:name="_Toc64276814"/>
      <w:bookmarkStart w:id="103" w:name="_Toc229533844"/>
      <w:bookmarkStart w:id="104" w:name="_Toc260749440"/>
      <w:bookmarkStart w:id="105" w:name="_Toc292369499"/>
      <w:bookmarkStart w:id="106" w:name="_Toc355947425"/>
      <w:bookmarkStart w:id="107" w:name="_Toc356202909"/>
      <w:bookmarkStart w:id="108" w:name="_Toc403114378"/>
      <w:bookmarkStart w:id="109" w:name="_Toc11845107"/>
      <w:r w:rsidRPr="00D576C5">
        <w:t xml:space="preserve">Definitions and </w:t>
      </w:r>
      <w:r w:rsidR="004B1CEA" w:rsidRPr="00D576C5">
        <w:t>A</w:t>
      </w:r>
      <w:r w:rsidRPr="00D576C5">
        <w:t>bbreviations</w:t>
      </w:r>
      <w:bookmarkEnd w:id="101"/>
      <w:bookmarkEnd w:id="102"/>
      <w:bookmarkEnd w:id="103"/>
      <w:bookmarkEnd w:id="104"/>
      <w:bookmarkEnd w:id="105"/>
      <w:bookmarkEnd w:id="106"/>
      <w:bookmarkEnd w:id="107"/>
      <w:bookmarkEnd w:id="108"/>
      <w:bookmarkEnd w:id="109"/>
    </w:p>
    <w:p w:rsidR="00911D62" w:rsidRPr="00D576C5" w:rsidRDefault="00911D62">
      <w:pPr>
        <w:pStyle w:val="BodyText"/>
      </w:pPr>
      <w:r w:rsidRPr="00D576C5">
        <w:t xml:space="preserve">LGA </w:t>
      </w:r>
      <w:r w:rsidR="00C00816" w:rsidRPr="00D576C5">
        <w:tab/>
      </w:r>
      <w:r w:rsidR="00942666" w:rsidRPr="00C3581A">
        <w:t>Local Government</w:t>
      </w:r>
      <w:r w:rsidRPr="00C3581A">
        <w:t xml:space="preserve"> Act (1989)</w:t>
      </w:r>
      <w:r w:rsidR="00AC54BC">
        <w:t>.</w:t>
      </w:r>
      <w:r w:rsidRPr="00D576C5">
        <w:t xml:space="preserve"> </w:t>
      </w:r>
    </w:p>
    <w:p w:rsidR="00911D62" w:rsidRPr="00D576C5" w:rsidRDefault="00911D62">
      <w:pPr>
        <w:pStyle w:val="BodyText"/>
      </w:pPr>
      <w:r w:rsidRPr="00D576C5">
        <w:t xml:space="preserve">EA </w:t>
      </w:r>
      <w:r w:rsidR="00C00816" w:rsidRPr="00D576C5">
        <w:tab/>
      </w:r>
      <w:r w:rsidRPr="00D576C5">
        <w:t>Enterprise</w:t>
      </w:r>
      <w:r w:rsidR="00C00197">
        <w:t xml:space="preserve"> </w:t>
      </w:r>
      <w:r w:rsidRPr="00D576C5">
        <w:t>Agreement.</w:t>
      </w:r>
    </w:p>
    <w:p w:rsidR="00F462EA" w:rsidRDefault="00911D62">
      <w:pPr>
        <w:pStyle w:val="BodyText"/>
      </w:pPr>
      <w:r w:rsidRPr="0068414C">
        <w:t xml:space="preserve">Council </w:t>
      </w:r>
      <w:r w:rsidR="00C00816" w:rsidRPr="0068414C">
        <w:tab/>
        <w:t>G</w:t>
      </w:r>
      <w:r w:rsidRPr="0068414C">
        <w:t>enerally refers to the Greater Geelong City Council</w:t>
      </w:r>
      <w:r w:rsidR="005F213A">
        <w:t xml:space="preserve"> or the City</w:t>
      </w:r>
      <w:r w:rsidRPr="0068414C">
        <w:t>.</w:t>
      </w:r>
    </w:p>
    <w:p w:rsidR="00F462EA" w:rsidRDefault="00911D62">
      <w:pPr>
        <w:pStyle w:val="BodyText"/>
      </w:pPr>
      <w:smartTag w:uri="urn:schemas-microsoft-com:office:smarttags" w:element="stockticker">
        <w:r w:rsidRPr="00D576C5">
          <w:t>CPI</w:t>
        </w:r>
      </w:smartTag>
      <w:r w:rsidRPr="00D576C5">
        <w:t xml:space="preserve"> </w:t>
      </w:r>
      <w:r w:rsidR="00C00816" w:rsidRPr="00D576C5">
        <w:tab/>
      </w:r>
      <w:r w:rsidRPr="00D576C5">
        <w:t>Consumer Price Index.</w:t>
      </w:r>
    </w:p>
    <w:p w:rsidR="00F462EA" w:rsidRDefault="000F7EC2">
      <w:pPr>
        <w:pStyle w:val="BodyText"/>
      </w:pPr>
      <w:r w:rsidRPr="00D576C5">
        <w:t>VCAT</w:t>
      </w:r>
      <w:r w:rsidR="00C00816" w:rsidRPr="00D576C5">
        <w:tab/>
      </w:r>
      <w:r w:rsidRPr="00D576C5">
        <w:t>Victorian and Civil Administrative Tribunal</w:t>
      </w:r>
      <w:r w:rsidR="00AC54BC">
        <w:t>.</w:t>
      </w:r>
    </w:p>
    <w:p w:rsidR="00F462EA" w:rsidRDefault="001765A4">
      <w:pPr>
        <w:pStyle w:val="BodyText"/>
      </w:pPr>
      <w:r>
        <w:t>FSPL</w:t>
      </w:r>
      <w:r>
        <w:tab/>
        <w:t>Fire Services Property Levy</w:t>
      </w:r>
      <w:r w:rsidR="00AC54BC">
        <w:t>.</w:t>
      </w:r>
    </w:p>
    <w:p w:rsidR="00F462EA" w:rsidRDefault="00B1645A">
      <w:pPr>
        <w:pStyle w:val="BodyText"/>
      </w:pPr>
      <w:r>
        <w:t>ESC</w:t>
      </w:r>
      <w:r>
        <w:tab/>
        <w:t>Essential Services Commission</w:t>
      </w:r>
    </w:p>
    <w:p w:rsidR="00F462EA" w:rsidRDefault="00911D62" w:rsidP="005167B1">
      <w:pPr>
        <w:spacing w:before="0" w:after="0"/>
        <w:jc w:val="both"/>
      </w:pPr>
      <w:r w:rsidRPr="00D576C5">
        <w:t>Ad Valorem</w:t>
      </w:r>
      <w:r w:rsidR="009B4700">
        <w:t xml:space="preserve"> </w:t>
      </w:r>
      <w:r w:rsidR="009B4700">
        <w:tab/>
      </w:r>
      <w:r w:rsidR="00C00816" w:rsidRPr="00D576C5">
        <w:t>A</w:t>
      </w:r>
      <w:r w:rsidRPr="00D576C5">
        <w:t xml:space="preserve"> tax, duty or fee that varies according to value of products, </w:t>
      </w:r>
      <w:r w:rsidR="00D04FC7">
        <w:br/>
      </w:r>
      <w:r w:rsidRPr="00D576C5">
        <w:t>service or property upon which it is levied.  Particularly well used to define property rating in NSW and USA.</w:t>
      </w:r>
    </w:p>
    <w:p w:rsidR="00911D62" w:rsidRPr="00D576C5" w:rsidRDefault="00911D62" w:rsidP="00671F60">
      <w:pPr>
        <w:pStyle w:val="Heading4"/>
      </w:pPr>
      <w:bookmarkStart w:id="110" w:name="_Toc64258352"/>
      <w:bookmarkStart w:id="111" w:name="_Toc64276815"/>
      <w:bookmarkStart w:id="112" w:name="_Toc260749441"/>
      <w:bookmarkStart w:id="113" w:name="_Toc292369500"/>
      <w:bookmarkStart w:id="114" w:name="_Toc355947736"/>
      <w:bookmarkStart w:id="115" w:name="_Toc356202910"/>
      <w:bookmarkStart w:id="116" w:name="_Toc403114379"/>
      <w:bookmarkStart w:id="117" w:name="_Toc11845108"/>
      <w:r w:rsidRPr="00D576C5">
        <w:t xml:space="preserve">Strategic </w:t>
      </w:r>
      <w:r w:rsidR="004B1CEA" w:rsidRPr="00D576C5">
        <w:t>D</w:t>
      </w:r>
      <w:r w:rsidRPr="00D576C5">
        <w:t>irections</w:t>
      </w:r>
      <w:bookmarkEnd w:id="110"/>
      <w:bookmarkEnd w:id="111"/>
      <w:bookmarkEnd w:id="112"/>
      <w:bookmarkEnd w:id="113"/>
      <w:bookmarkEnd w:id="114"/>
      <w:bookmarkEnd w:id="115"/>
      <w:bookmarkEnd w:id="116"/>
      <w:bookmarkEnd w:id="117"/>
    </w:p>
    <w:p w:rsidR="00911D62" w:rsidRPr="00D576C5" w:rsidRDefault="00382D77">
      <w:pPr>
        <w:pStyle w:val="BodyText"/>
      </w:pPr>
      <w:r>
        <w:t>The City</w:t>
      </w:r>
      <w:r w:rsidRPr="00D576C5">
        <w:t xml:space="preserve"> </w:t>
      </w:r>
      <w:r w:rsidR="00911D62" w:rsidRPr="00D576C5">
        <w:t>has determined that its annual rate setting objectives should be developed within a framework which integrates planning from a strategic directions level through to service delivery.</w:t>
      </w:r>
    </w:p>
    <w:p w:rsidR="00911D62" w:rsidRPr="00D576C5" w:rsidRDefault="00911D62">
      <w:pPr>
        <w:pStyle w:val="BodyText"/>
      </w:pPr>
      <w:r w:rsidRPr="00D576C5">
        <w:t xml:space="preserve">The strategic directions of </w:t>
      </w:r>
      <w:r w:rsidR="00382D77">
        <w:t xml:space="preserve">the City </w:t>
      </w:r>
      <w:r w:rsidRPr="00D576C5">
        <w:t>are set out in the following documents:</w:t>
      </w:r>
    </w:p>
    <w:p w:rsidR="00911D62" w:rsidRPr="00D43F06" w:rsidRDefault="006A237B" w:rsidP="00D43F06">
      <w:pPr>
        <w:pStyle w:val="Heading5"/>
      </w:pPr>
      <w:bookmarkStart w:id="118" w:name="_Toc11845109"/>
      <w:r>
        <w:rPr>
          <w:rStyle w:val="Heading4Char"/>
        </w:rPr>
        <w:t>Council Plan</w:t>
      </w:r>
      <w:bookmarkEnd w:id="118"/>
      <w:r>
        <w:rPr>
          <w:rStyle w:val="Heading4Char"/>
        </w:rPr>
        <w:t xml:space="preserve"> </w:t>
      </w:r>
      <w:r w:rsidRPr="002656B6">
        <w:t>2018-2</w:t>
      </w:r>
      <w:r w:rsidR="00950B89" w:rsidRPr="002656B6">
        <w:t>2</w:t>
      </w:r>
    </w:p>
    <w:p w:rsidR="00850525" w:rsidRPr="00D576C5" w:rsidRDefault="00911D62">
      <w:pPr>
        <w:pStyle w:val="BodyText"/>
      </w:pPr>
      <w:r w:rsidRPr="00D576C5">
        <w:t>This document includes strategic objectives, performance indicators and the Strategic Resource Plan.</w:t>
      </w:r>
      <w:bookmarkStart w:id="119" w:name="_Toc64258354"/>
    </w:p>
    <w:bookmarkEnd w:id="119"/>
    <w:p w:rsidR="00911D62" w:rsidRPr="003C2620" w:rsidRDefault="00605CC7" w:rsidP="00D43F06">
      <w:pPr>
        <w:pStyle w:val="Heading5"/>
      </w:pPr>
      <w:r>
        <w:lastRenderedPageBreak/>
        <w:t>2019-20</w:t>
      </w:r>
      <w:r w:rsidR="005F213A">
        <w:t xml:space="preserve"> Budget</w:t>
      </w:r>
    </w:p>
    <w:p w:rsidR="00911D62" w:rsidRPr="00D576C5" w:rsidRDefault="00911D62">
      <w:pPr>
        <w:pStyle w:val="BodyText"/>
      </w:pPr>
      <w:r w:rsidRPr="00D576C5">
        <w:t>Annual funding allocations (action plan) for activities and initiatives</w:t>
      </w:r>
      <w:r w:rsidR="00C70223" w:rsidRPr="00D576C5">
        <w:t>,</w:t>
      </w:r>
      <w:r w:rsidRPr="00D576C5">
        <w:t xml:space="preserve"> with linkages to the </w:t>
      </w:r>
      <w:r w:rsidR="006D7F58">
        <w:t>Council</w:t>
      </w:r>
      <w:r w:rsidR="006D7F58" w:rsidRPr="00D576C5">
        <w:t xml:space="preserve"> </w:t>
      </w:r>
      <w:r w:rsidRPr="00D576C5">
        <w:t xml:space="preserve">Plan, </w:t>
      </w:r>
      <w:r w:rsidR="00C70223" w:rsidRPr="00D576C5">
        <w:t>together</w:t>
      </w:r>
      <w:r w:rsidRPr="00D576C5">
        <w:t xml:space="preserve"> with key financial performance targets and measures.</w:t>
      </w:r>
    </w:p>
    <w:p w:rsidR="00AB55DD" w:rsidRDefault="00911D62">
      <w:pPr>
        <w:pStyle w:val="Heading4"/>
      </w:pPr>
      <w:bookmarkStart w:id="120" w:name="_Toc64258355"/>
      <w:bookmarkStart w:id="121" w:name="_Toc11845110"/>
      <w:r w:rsidRPr="00D576C5">
        <w:t>Annual Report</w:t>
      </w:r>
      <w:bookmarkEnd w:id="120"/>
      <w:bookmarkEnd w:id="121"/>
    </w:p>
    <w:p w:rsidR="00911D62" w:rsidRPr="00D576C5" w:rsidRDefault="00911D62">
      <w:pPr>
        <w:pStyle w:val="BodyText"/>
      </w:pPr>
      <w:r w:rsidRPr="00D576C5">
        <w:t xml:space="preserve">Audited statutory operational and financial report including performance statement on key targets and measures identified in </w:t>
      </w:r>
      <w:r w:rsidR="006D7F58">
        <w:t xml:space="preserve">the </w:t>
      </w:r>
      <w:r w:rsidRPr="00D576C5">
        <w:t xml:space="preserve">Budget and </w:t>
      </w:r>
      <w:r w:rsidR="00785FE4" w:rsidRPr="00D576C5">
        <w:t>C</w:t>
      </w:r>
      <w:r w:rsidR="00785FE4">
        <w:t xml:space="preserve">ouncil </w:t>
      </w:r>
      <w:r w:rsidRPr="00D576C5">
        <w:t>Plan.</w:t>
      </w:r>
    </w:p>
    <w:p w:rsidR="00911D62" w:rsidRPr="00D576C5" w:rsidRDefault="006D7F58">
      <w:pPr>
        <w:pStyle w:val="BodyText"/>
      </w:pPr>
      <w:r>
        <w:t>The City of Greater Geelong</w:t>
      </w:r>
      <w:r w:rsidR="00911D62" w:rsidRPr="00D576C5">
        <w:t xml:space="preserve"> operates as a separate entity to other councils.  Each council has different local issues, costs and service provision needs. Each council budget is different to reflect local community needs and priorities. There are 79 </w:t>
      </w:r>
      <w:r w:rsidR="00942666" w:rsidRPr="00D576C5">
        <w:t>Local Government</w:t>
      </w:r>
      <w:r w:rsidR="00911D62" w:rsidRPr="00D576C5">
        <w:t xml:space="preserve"> councils in Victoria and some </w:t>
      </w:r>
      <w:r w:rsidR="00A826DB" w:rsidRPr="00D576C5">
        <w:t>67</w:t>
      </w:r>
      <w:r w:rsidR="001D3BAE" w:rsidRPr="00D576C5">
        <w:t>1</w:t>
      </w:r>
      <w:r w:rsidR="00911D62" w:rsidRPr="00D576C5">
        <w:t xml:space="preserve"> </w:t>
      </w:r>
      <w:r w:rsidR="00C52306">
        <w:t>l</w:t>
      </w:r>
      <w:r w:rsidR="00C52306" w:rsidRPr="00D576C5">
        <w:t xml:space="preserve">ocal </w:t>
      </w:r>
      <w:r w:rsidR="00C52306">
        <w:t>g</w:t>
      </w:r>
      <w:r w:rsidR="00C52306" w:rsidRPr="00D576C5">
        <w:t xml:space="preserve">overnment </w:t>
      </w:r>
      <w:r w:rsidR="00911D62" w:rsidRPr="00D576C5">
        <w:t>entities throughout Australia.</w:t>
      </w:r>
    </w:p>
    <w:p w:rsidR="00F462EA" w:rsidRDefault="00911D62">
      <w:pPr>
        <w:pStyle w:val="BodyText"/>
      </w:pPr>
      <w:r w:rsidRPr="00D576C5">
        <w:t>In Victoria, there is a common legislative framework for setting a budget that council</w:t>
      </w:r>
      <w:r w:rsidR="00D04FC7">
        <w:t>’</w:t>
      </w:r>
      <w:r w:rsidRPr="00D576C5">
        <w:t xml:space="preserve">s must follow, as set out in the </w:t>
      </w:r>
      <w:r w:rsidR="001C7838">
        <w:t>LGA</w:t>
      </w:r>
      <w:r w:rsidRPr="00D576C5">
        <w:t>.</w:t>
      </w:r>
    </w:p>
    <w:p w:rsidR="00911D62" w:rsidRPr="00A77DAF" w:rsidRDefault="00911D62" w:rsidP="00671F60">
      <w:pPr>
        <w:pStyle w:val="Heading4"/>
      </w:pPr>
      <w:bookmarkStart w:id="122" w:name="_Toc64258356"/>
      <w:bookmarkStart w:id="123" w:name="_Toc64276816"/>
      <w:bookmarkStart w:id="124" w:name="_Toc260749442"/>
      <w:bookmarkStart w:id="125" w:name="_Toc292369501"/>
      <w:bookmarkStart w:id="126" w:name="_Toc355947737"/>
      <w:bookmarkStart w:id="127" w:name="_Toc356202911"/>
      <w:bookmarkStart w:id="128" w:name="_Toc403114380"/>
      <w:bookmarkStart w:id="129" w:name="_Toc11845111"/>
      <w:r w:rsidRPr="00A77DAF">
        <w:t xml:space="preserve">Budget </w:t>
      </w:r>
      <w:r w:rsidR="004B1CEA" w:rsidRPr="00A77DAF">
        <w:t>C</w:t>
      </w:r>
      <w:r w:rsidRPr="00A77DAF">
        <w:t>onsiderations</w:t>
      </w:r>
      <w:bookmarkEnd w:id="122"/>
      <w:bookmarkEnd w:id="123"/>
      <w:bookmarkEnd w:id="124"/>
      <w:bookmarkEnd w:id="125"/>
      <w:bookmarkEnd w:id="126"/>
      <w:bookmarkEnd w:id="127"/>
      <w:bookmarkEnd w:id="128"/>
      <w:bookmarkEnd w:id="129"/>
    </w:p>
    <w:p w:rsidR="0091173D" w:rsidRPr="00D576C5" w:rsidRDefault="006D7F58">
      <w:pPr>
        <w:pStyle w:val="BodyText"/>
      </w:pPr>
      <w:r>
        <w:t>The City</w:t>
      </w:r>
      <w:r w:rsidRPr="00D576C5">
        <w:t xml:space="preserve"> </w:t>
      </w:r>
      <w:r w:rsidR="0091173D" w:rsidRPr="00D576C5">
        <w:t xml:space="preserve">prepares and publishes its annual budget as a separate document in compliance with the LGA, which includes a comprehensive submissions and approval process. </w:t>
      </w:r>
    </w:p>
    <w:p w:rsidR="008329EF" w:rsidRDefault="00911D62">
      <w:pPr>
        <w:pStyle w:val="BodyText"/>
      </w:pPr>
      <w:r w:rsidRPr="00D576C5">
        <w:t xml:space="preserve">As part of the financial planning and budget process, the rate revenue </w:t>
      </w:r>
      <w:r w:rsidR="008329EF">
        <w:t>is calculated in accordance with the rate cap set by the State Government.</w:t>
      </w:r>
      <w:r w:rsidR="00873E34">
        <w:t xml:space="preserve"> </w:t>
      </w:r>
    </w:p>
    <w:p w:rsidR="00873E34" w:rsidRDefault="00873E34">
      <w:pPr>
        <w:pStyle w:val="BodyText"/>
      </w:pPr>
      <w:r>
        <w:t>Rate modelling is calculated using the following steps:</w:t>
      </w:r>
    </w:p>
    <w:p w:rsidR="00873E34" w:rsidRDefault="00873E34">
      <w:pPr>
        <w:pStyle w:val="BodyText"/>
      </w:pPr>
      <w:r>
        <w:t>Step 1</w:t>
      </w:r>
    </w:p>
    <w:p w:rsidR="00873E34" w:rsidRDefault="00873E34">
      <w:pPr>
        <w:pStyle w:val="BodyText"/>
      </w:pPr>
      <w:r>
        <w:t xml:space="preserve">Adjusted </w:t>
      </w:r>
      <w:r w:rsidR="00605CC7">
        <w:t>2018-19</w:t>
      </w:r>
      <w:r>
        <w:t xml:space="preserve"> </w:t>
      </w:r>
      <w:r w:rsidR="006D7F58">
        <w:t>rate base</w:t>
      </w:r>
      <w:r>
        <w:t xml:space="preserve">. Use the current number of properties (via differential) and multiply by the </w:t>
      </w:r>
      <w:r w:rsidR="00605CC7">
        <w:t>2018-19</w:t>
      </w:r>
      <w:r>
        <w:t xml:space="preserve"> rate in the dollar using the </w:t>
      </w:r>
      <w:r w:rsidR="00605CC7">
        <w:t xml:space="preserve">2018 </w:t>
      </w:r>
      <w:r>
        <w:t>level valuations.</w:t>
      </w:r>
    </w:p>
    <w:p w:rsidR="00873E34" w:rsidRDefault="00873E34">
      <w:pPr>
        <w:pStyle w:val="BodyText"/>
      </w:pPr>
      <w:r>
        <w:t>Step 2</w:t>
      </w:r>
    </w:p>
    <w:p w:rsidR="00873E34" w:rsidRDefault="00873E34">
      <w:pPr>
        <w:pStyle w:val="BodyText"/>
      </w:pPr>
      <w:r>
        <w:t xml:space="preserve">Replace </w:t>
      </w:r>
      <w:r w:rsidR="00605CC7">
        <w:t xml:space="preserve">2018 </w:t>
      </w:r>
      <w:r>
        <w:t xml:space="preserve">level valuations with the </w:t>
      </w:r>
      <w:r w:rsidR="00605CC7">
        <w:t xml:space="preserve">2019 </w:t>
      </w:r>
      <w:r>
        <w:t xml:space="preserve">level valuations. Use the current number of properties (via differential) and multiply by the </w:t>
      </w:r>
      <w:r w:rsidR="00605CC7">
        <w:t>2018-19</w:t>
      </w:r>
      <w:r>
        <w:t xml:space="preserve"> rate in the dollar using the </w:t>
      </w:r>
      <w:r w:rsidR="00605CC7">
        <w:t xml:space="preserve">2019 </w:t>
      </w:r>
      <w:r>
        <w:t>level valuations to show the increase to revenue. Without adjusting the rate in the dollar, excessive revenue is achieved.</w:t>
      </w:r>
    </w:p>
    <w:p w:rsidR="00873E34" w:rsidRDefault="00873E34">
      <w:pPr>
        <w:pStyle w:val="BodyText"/>
      </w:pPr>
      <w:r>
        <w:t>Step 3</w:t>
      </w:r>
    </w:p>
    <w:p w:rsidR="00873E34" w:rsidRDefault="00873E34">
      <w:pPr>
        <w:pStyle w:val="BodyText"/>
      </w:pPr>
      <w:r>
        <w:t xml:space="preserve">Reduce the rate in the dollar to achieve </w:t>
      </w:r>
      <w:r w:rsidR="00605CC7">
        <w:t>2018-19</w:t>
      </w:r>
      <w:r>
        <w:t xml:space="preserve"> rate revenue. Adjust the rate </w:t>
      </w:r>
      <w:r>
        <w:lastRenderedPageBreak/>
        <w:t>in the dollar to achieve the same level of revenue prior to changes in valuation.</w:t>
      </w:r>
    </w:p>
    <w:p w:rsidR="00873E34" w:rsidRDefault="00873E34">
      <w:pPr>
        <w:pStyle w:val="BodyText"/>
      </w:pPr>
      <w:r>
        <w:t>Step 4</w:t>
      </w:r>
    </w:p>
    <w:p w:rsidR="00873E34" w:rsidRDefault="00873E34">
      <w:pPr>
        <w:pStyle w:val="BodyText"/>
      </w:pPr>
      <w:r>
        <w:t xml:space="preserve">Introduce </w:t>
      </w:r>
      <w:r w:rsidR="00605CC7">
        <w:t>2019-20</w:t>
      </w:r>
      <w:r>
        <w:t xml:space="preserve"> rate cap revenue increase. Adjust the rate in the dollar by the rate cap of 2.</w:t>
      </w:r>
      <w:r w:rsidR="00605CC7">
        <w:t>5</w:t>
      </w:r>
      <w:r>
        <w:t>% to increase the total revenue targer.</w:t>
      </w:r>
    </w:p>
    <w:p w:rsidR="00F462EA" w:rsidRDefault="00911D62">
      <w:pPr>
        <w:pStyle w:val="BodyText"/>
      </w:pPr>
      <w:r w:rsidRPr="00D576C5">
        <w:t xml:space="preserve">Other revenue sources include statutory fees for building and planning through to user pays fees assessed annually in accordance with movements in </w:t>
      </w:r>
      <w:smartTag w:uri="urn:schemas-microsoft-com:office:smarttags" w:element="stockticker">
        <w:r w:rsidRPr="00D576C5">
          <w:t>CPI</w:t>
        </w:r>
      </w:smartTag>
      <w:r w:rsidRPr="00D576C5">
        <w:t xml:space="preserve">, wages and market factors. Council relies on Federal and State funding mainly via the Grants Commission allocations. Specific purpose grants for new services and capital works are also received. </w:t>
      </w:r>
    </w:p>
    <w:p w:rsidR="00F462EA" w:rsidRDefault="0091173D">
      <w:pPr>
        <w:pStyle w:val="BodyText"/>
      </w:pPr>
      <w:r w:rsidRPr="00D576C5">
        <w:t xml:space="preserve">Each year </w:t>
      </w:r>
      <w:r w:rsidR="006D7F58">
        <w:t>the City</w:t>
      </w:r>
      <w:r w:rsidR="006D7F58" w:rsidRPr="00D576C5">
        <w:t xml:space="preserve"> </w:t>
      </w:r>
      <w:r w:rsidRPr="00D576C5">
        <w:t>establishes the maintenance needs of its assets and infrastructure and the community services and facilities that will be provided in the next financial year.</w:t>
      </w:r>
    </w:p>
    <w:p w:rsidR="00F462EA" w:rsidRDefault="00911D62">
      <w:pPr>
        <w:pStyle w:val="BodyText"/>
      </w:pPr>
      <w:r w:rsidRPr="00D576C5">
        <w:t>Generally</w:t>
      </w:r>
      <w:r w:rsidR="00C00816" w:rsidRPr="00D576C5">
        <w:t>,</w:t>
      </w:r>
      <w:r w:rsidRPr="00D576C5">
        <w:t xml:space="preserve"> </w:t>
      </w:r>
      <w:r w:rsidR="006D7F58">
        <w:t>the City of Greater Geelong</w:t>
      </w:r>
      <w:r w:rsidR="006D7F58" w:rsidRPr="00D576C5">
        <w:t xml:space="preserve"> </w:t>
      </w:r>
      <w:r w:rsidR="00AC54BC">
        <w:t>seeks to have a balanced budget (</w:t>
      </w:r>
      <w:r w:rsidRPr="00D576C5">
        <w:t>ie. that revenue is equal to expenses</w:t>
      </w:r>
      <w:r w:rsidR="00AC54BC">
        <w:t>)</w:t>
      </w:r>
      <w:r w:rsidRPr="00D576C5">
        <w:t>.  Any surplus or deficit result should be minor in context of the overall budget.</w:t>
      </w:r>
    </w:p>
    <w:p w:rsidR="00F462EA" w:rsidRDefault="00911D62">
      <w:pPr>
        <w:pStyle w:val="BodyText"/>
      </w:pPr>
      <w:r w:rsidRPr="00D576C5">
        <w:t>Policy Statement: Council, as required by legislation, will prepare a draft budget for community consultation and then adopt and publish the approved budget.</w:t>
      </w:r>
      <w:bookmarkStart w:id="130" w:name="_Toc64258358"/>
      <w:bookmarkStart w:id="131" w:name="_Toc64276818"/>
    </w:p>
    <w:p w:rsidR="00911D62" w:rsidRPr="00D576C5" w:rsidRDefault="004B1CEA" w:rsidP="00671F60">
      <w:pPr>
        <w:pStyle w:val="Heading4"/>
      </w:pPr>
      <w:bookmarkStart w:id="132" w:name="_Toc260749443"/>
      <w:bookmarkStart w:id="133" w:name="_Toc292369502"/>
      <w:bookmarkStart w:id="134" w:name="_Toc355947738"/>
      <w:bookmarkStart w:id="135" w:name="_Toc356202912"/>
      <w:bookmarkStart w:id="136" w:name="_Toc403114381"/>
      <w:bookmarkStart w:id="137" w:name="_Toc11845112"/>
      <w:r w:rsidRPr="00D576C5">
        <w:t>External I</w:t>
      </w:r>
      <w:r w:rsidR="00911D62" w:rsidRPr="00D576C5">
        <w:t>nfluences</w:t>
      </w:r>
      <w:bookmarkEnd w:id="130"/>
      <w:bookmarkEnd w:id="131"/>
      <w:bookmarkEnd w:id="132"/>
      <w:bookmarkEnd w:id="133"/>
      <w:bookmarkEnd w:id="134"/>
      <w:bookmarkEnd w:id="135"/>
      <w:bookmarkEnd w:id="136"/>
      <w:bookmarkEnd w:id="137"/>
    </w:p>
    <w:p w:rsidR="00911D62" w:rsidRDefault="006D7F58">
      <w:pPr>
        <w:pStyle w:val="BodyText"/>
      </w:pPr>
      <w:r>
        <w:t>The City</w:t>
      </w:r>
      <w:r w:rsidRPr="00D576C5">
        <w:t xml:space="preserve"> </w:t>
      </w:r>
      <w:r w:rsidR="00911D62" w:rsidRPr="00D576C5">
        <w:t xml:space="preserve">is subject to numerous economic factors. Since </w:t>
      </w:r>
      <w:r>
        <w:t>its</w:t>
      </w:r>
      <w:r w:rsidRPr="00D576C5">
        <w:t xml:space="preserve"> </w:t>
      </w:r>
      <w:r w:rsidR="00911D62" w:rsidRPr="00D576C5">
        <w:t xml:space="preserve">major expenditure item is salaries and wages, any </w:t>
      </w:r>
      <w:smartTag w:uri="urn:schemas-microsoft-com:office:smarttags" w:element="stockticker">
        <w:r w:rsidR="00911D62" w:rsidRPr="00D576C5">
          <w:t>CPI</w:t>
        </w:r>
      </w:smartTag>
      <w:r w:rsidR="00911D62" w:rsidRPr="00D576C5">
        <w:t xml:space="preserve"> and EA adjustments will have a significant impact on costs and subsequent rating decisions. </w:t>
      </w:r>
      <w:r w:rsidR="00653B9C">
        <w:t>We are</w:t>
      </w:r>
      <w:r w:rsidR="00911D62" w:rsidRPr="00D576C5">
        <w:t xml:space="preserve"> also subject to significant movements in funding from </w:t>
      </w:r>
      <w:r w:rsidR="0098113A" w:rsidRPr="00D576C5">
        <w:t>S</w:t>
      </w:r>
      <w:r w:rsidR="00911D62" w:rsidRPr="00D576C5">
        <w:t xml:space="preserve">tate and </w:t>
      </w:r>
      <w:r w:rsidR="0098113A" w:rsidRPr="00D576C5">
        <w:t>F</w:t>
      </w:r>
      <w:r w:rsidR="00911D62" w:rsidRPr="00D576C5">
        <w:t xml:space="preserve">ederal sources. Cost shifting back to </w:t>
      </w:r>
      <w:r>
        <w:t>council</w:t>
      </w:r>
      <w:r w:rsidRPr="00D576C5">
        <w:t xml:space="preserve"> </w:t>
      </w:r>
      <w:r w:rsidR="00911D62" w:rsidRPr="00D576C5">
        <w:t xml:space="preserve">has been a major concern for all </w:t>
      </w:r>
      <w:r>
        <w:t>c</w:t>
      </w:r>
      <w:r w:rsidRPr="00D576C5">
        <w:t xml:space="preserve">ouncils </w:t>
      </w:r>
      <w:r w:rsidR="00911D62" w:rsidRPr="00D576C5">
        <w:t xml:space="preserve">and </w:t>
      </w:r>
      <w:r w:rsidR="00993E15" w:rsidRPr="00D576C5">
        <w:t>has been</w:t>
      </w:r>
      <w:r w:rsidR="00911D62" w:rsidRPr="00D576C5">
        <w:t xml:space="preserve"> subject to a Federal Government Inquiry</w:t>
      </w:r>
      <w:r w:rsidR="00911D62" w:rsidRPr="00D576C5">
        <w:rPr>
          <w:vertAlign w:val="superscript"/>
        </w:rPr>
        <w:t>5</w:t>
      </w:r>
      <w:r w:rsidR="00911D62" w:rsidRPr="00D576C5">
        <w:t xml:space="preserve"> which found that “</w:t>
      </w:r>
      <w:r w:rsidR="00911D62" w:rsidRPr="00D576C5">
        <w:rPr>
          <w:i/>
        </w:rPr>
        <w:t xml:space="preserve">the extent and effects of cost shifting as detailed are the major problems facing </w:t>
      </w:r>
      <w:r w:rsidR="00942666" w:rsidRPr="00D576C5">
        <w:rPr>
          <w:i/>
        </w:rPr>
        <w:t>Local Government</w:t>
      </w:r>
      <w:r w:rsidR="00911D62" w:rsidRPr="00D576C5">
        <w:rPr>
          <w:i/>
        </w:rPr>
        <w:t>’s deteriorating infrastructure</w:t>
      </w:r>
      <w:r w:rsidR="00911D62" w:rsidRPr="00D576C5">
        <w:t xml:space="preserve">”.  Regulatory and compliance changes affect </w:t>
      </w:r>
      <w:r>
        <w:t>c</w:t>
      </w:r>
      <w:r w:rsidRPr="00D576C5">
        <w:t xml:space="preserve">ouncils </w:t>
      </w:r>
      <w:r w:rsidR="00911D62" w:rsidRPr="00D576C5">
        <w:t>operations and changes to population and demographics will influence change particularly in the medium to long term.</w:t>
      </w:r>
    </w:p>
    <w:p w:rsidR="00911D62" w:rsidRPr="00D576C5" w:rsidRDefault="00911D62" w:rsidP="00671F60">
      <w:pPr>
        <w:pStyle w:val="Heading4"/>
      </w:pPr>
      <w:bookmarkStart w:id="138" w:name="_Toc64258359"/>
      <w:bookmarkStart w:id="139" w:name="_Toc64276819"/>
      <w:bookmarkStart w:id="140" w:name="_Toc260749444"/>
      <w:bookmarkStart w:id="141" w:name="_Toc292369503"/>
      <w:bookmarkStart w:id="142" w:name="_Toc355947739"/>
      <w:bookmarkStart w:id="143" w:name="_Toc356202913"/>
      <w:bookmarkStart w:id="144" w:name="_Toc403114382"/>
      <w:bookmarkStart w:id="145" w:name="_Toc11845113"/>
      <w:r w:rsidRPr="00D576C5">
        <w:t xml:space="preserve">Community </w:t>
      </w:r>
      <w:r w:rsidR="004B1CEA" w:rsidRPr="00D576C5">
        <w:t>I</w:t>
      </w:r>
      <w:r w:rsidRPr="00D576C5">
        <w:t>mpact</w:t>
      </w:r>
      <w:bookmarkEnd w:id="138"/>
      <w:bookmarkEnd w:id="139"/>
      <w:bookmarkEnd w:id="140"/>
      <w:bookmarkEnd w:id="141"/>
      <w:bookmarkEnd w:id="142"/>
      <w:bookmarkEnd w:id="143"/>
      <w:bookmarkEnd w:id="144"/>
      <w:bookmarkEnd w:id="145"/>
    </w:p>
    <w:p w:rsidR="00911D62" w:rsidRPr="00D576C5" w:rsidRDefault="00911D62">
      <w:pPr>
        <w:pStyle w:val="BodyText"/>
      </w:pPr>
      <w:r w:rsidRPr="00D576C5">
        <w:t xml:space="preserve">Policy Statement: Council will publish a </w:t>
      </w:r>
      <w:r w:rsidR="009A1241" w:rsidRPr="00D576C5">
        <w:t>r</w:t>
      </w:r>
      <w:r w:rsidRPr="00D576C5">
        <w:t xml:space="preserve">ates </w:t>
      </w:r>
      <w:r w:rsidR="008A5E40" w:rsidRPr="00D576C5">
        <w:t>i</w:t>
      </w:r>
      <w:r w:rsidRPr="00D576C5">
        <w:t xml:space="preserve">mpact </w:t>
      </w:r>
      <w:r w:rsidR="008A5E40" w:rsidRPr="00D576C5">
        <w:t>s</w:t>
      </w:r>
      <w:r w:rsidRPr="00D576C5">
        <w:t xml:space="preserve">tatement </w:t>
      </w:r>
      <w:r w:rsidR="00C00197">
        <w:t xml:space="preserve"> biannually </w:t>
      </w:r>
      <w:r w:rsidRPr="00D576C5">
        <w:t xml:space="preserve"> in its budget papers to inform the community. The impact statement will have reference to historical and future trend information including property valuation movements and rates in the dollar by tariff group.</w:t>
      </w:r>
    </w:p>
    <w:p w:rsidR="00911D62" w:rsidRPr="00D576C5" w:rsidRDefault="00BA5D86" w:rsidP="00D35956">
      <w:pPr>
        <w:pStyle w:val="Heading3"/>
      </w:pPr>
      <w:bookmarkStart w:id="146" w:name="_Toc64258360"/>
      <w:bookmarkStart w:id="147" w:name="_Toc64276820"/>
      <w:bookmarkStart w:id="148" w:name="_Toc260749445"/>
      <w:bookmarkStart w:id="149" w:name="_Toc292369504"/>
      <w:bookmarkStart w:id="150" w:name="_Toc355947740"/>
      <w:bookmarkStart w:id="151" w:name="_Toc356202569"/>
      <w:bookmarkStart w:id="152" w:name="_Toc356202914"/>
      <w:bookmarkStart w:id="153" w:name="_Toc403114383"/>
      <w:bookmarkStart w:id="154" w:name="_Toc11845114"/>
      <w:r>
        <w:lastRenderedPageBreak/>
        <w:t xml:space="preserve">3.2  </w:t>
      </w:r>
      <w:r w:rsidR="00911D62" w:rsidRPr="00D576C5">
        <w:t xml:space="preserve">Property </w:t>
      </w:r>
      <w:r w:rsidR="004B1CEA" w:rsidRPr="00D576C5">
        <w:t>V</w:t>
      </w:r>
      <w:r w:rsidR="00911D62" w:rsidRPr="00D576C5">
        <w:t>aluations</w:t>
      </w:r>
      <w:bookmarkEnd w:id="146"/>
      <w:bookmarkEnd w:id="147"/>
      <w:bookmarkEnd w:id="148"/>
      <w:bookmarkEnd w:id="149"/>
      <w:bookmarkEnd w:id="150"/>
      <w:bookmarkEnd w:id="151"/>
      <w:bookmarkEnd w:id="152"/>
      <w:bookmarkEnd w:id="153"/>
      <w:bookmarkEnd w:id="154"/>
    </w:p>
    <w:p w:rsidR="00911D62" w:rsidRPr="00AC54BC" w:rsidRDefault="00911D62">
      <w:pPr>
        <w:pStyle w:val="BodyText"/>
      </w:pPr>
      <w:r w:rsidRPr="00AC54BC">
        <w:t xml:space="preserve">For the purpose of the </w:t>
      </w:r>
      <w:r w:rsidR="00942666" w:rsidRPr="005167B1">
        <w:rPr>
          <w:i/>
        </w:rPr>
        <w:t>Local Government</w:t>
      </w:r>
      <w:r w:rsidRPr="005167B1">
        <w:rPr>
          <w:i/>
        </w:rPr>
        <w:t xml:space="preserve"> Act</w:t>
      </w:r>
      <w:r w:rsidR="00C3581A" w:rsidRPr="005167B1">
        <w:rPr>
          <w:i/>
        </w:rPr>
        <w:t xml:space="preserve"> 1989</w:t>
      </w:r>
      <w:r w:rsidRPr="00AC54BC">
        <w:t xml:space="preserve"> and its rating provisions, the </w:t>
      </w:r>
      <w:r w:rsidRPr="005167B1">
        <w:rPr>
          <w:i/>
        </w:rPr>
        <w:t>Valuation of Land Act 1960</w:t>
      </w:r>
      <w:r w:rsidRPr="00AC54BC">
        <w:t>, is the princip</w:t>
      </w:r>
      <w:r w:rsidR="00AC54BC">
        <w:t>a</w:t>
      </w:r>
      <w:r w:rsidRPr="00AC54BC">
        <w:t>l act in determining property valuations. Generally</w:t>
      </w:r>
      <w:r w:rsidR="009A1241" w:rsidRPr="00AC54BC">
        <w:t>,</w:t>
      </w:r>
      <w:r w:rsidRPr="00AC54BC">
        <w:t xml:space="preserve"> each separate occupancy on rateable land must be valued and rated. Contiguous areas of vacant land with more than one title in the same ownership may be consolidated for rating purposes.</w:t>
      </w:r>
    </w:p>
    <w:p w:rsidR="00911D62" w:rsidRPr="00AC54BC" w:rsidRDefault="00C739D8">
      <w:pPr>
        <w:pStyle w:val="BodyText"/>
      </w:pPr>
      <w:r w:rsidRPr="00AC54BC">
        <w:t>An assessment for the purpose</w:t>
      </w:r>
      <w:r w:rsidR="00911D62" w:rsidRPr="00AC54BC">
        <w:t xml:space="preserve"> of rating may be against any piece of land subject to separate ownership or occupation. In this context, land has been defined to include buildings, structures or improvements and may include automatic teller machines, show case, signage, advertising, radio and mobile telecommunications towers.</w:t>
      </w:r>
    </w:p>
    <w:p w:rsidR="00F462EA" w:rsidRDefault="00942666">
      <w:pPr>
        <w:pStyle w:val="BodyText"/>
      </w:pPr>
      <w:r w:rsidRPr="00AC54BC">
        <w:t xml:space="preserve">Local </w:t>
      </w:r>
      <w:r w:rsidR="00C52306">
        <w:t>g</w:t>
      </w:r>
      <w:r w:rsidR="00C52306" w:rsidRPr="00AC54BC">
        <w:t xml:space="preserve">overnment </w:t>
      </w:r>
      <w:r w:rsidR="00911D62" w:rsidRPr="00AC54BC">
        <w:t xml:space="preserve">may adopt one of the following three valuation methodologies to value properties in its area (LGA </w:t>
      </w:r>
      <w:r w:rsidR="00F07360">
        <w:t>s</w:t>
      </w:r>
      <w:r w:rsidR="00F07360" w:rsidRPr="00AC54BC">
        <w:t xml:space="preserve">ection </w:t>
      </w:r>
      <w:r w:rsidR="00911D62" w:rsidRPr="00AC54BC">
        <w:t>157).</w:t>
      </w:r>
    </w:p>
    <w:p w:rsidR="00F462EA" w:rsidRDefault="00911D62">
      <w:pPr>
        <w:pStyle w:val="BodyText"/>
      </w:pPr>
      <w:r w:rsidRPr="00C07007">
        <w:rPr>
          <w:b/>
        </w:rPr>
        <w:t>Capital Value:</w:t>
      </w:r>
      <w:r w:rsidRPr="00AC54BC">
        <w:t xml:space="preserve"> (</w:t>
      </w:r>
      <w:smartTag w:uri="urn:schemas-microsoft-com:office:smarttags" w:element="stockticker">
        <w:r w:rsidRPr="00AC54BC">
          <w:t>CIV</w:t>
        </w:r>
      </w:smartTag>
      <w:r w:rsidRPr="00AC54BC">
        <w:t>) the value of land and other improvements including the house, other buildings and landscaping.</w:t>
      </w:r>
    </w:p>
    <w:p w:rsidR="00F462EA" w:rsidRDefault="00911D62">
      <w:pPr>
        <w:pStyle w:val="BodyText"/>
      </w:pPr>
      <w:r w:rsidRPr="00C07007">
        <w:rPr>
          <w:b/>
        </w:rPr>
        <w:t>Site Value:</w:t>
      </w:r>
      <w:r w:rsidRPr="00D576C5">
        <w:t xml:space="preserve"> </w:t>
      </w:r>
      <w:r w:rsidR="00B66895">
        <w:t xml:space="preserve">(SV) </w:t>
      </w:r>
      <w:r w:rsidRPr="00D576C5">
        <w:t>the value of the land plus any improvements which permanently affect the amenity or use of the land, such as drainage works, but excluding the value of buildings and other improvements. Also referred to as the unimproved market value of the land.</w:t>
      </w:r>
    </w:p>
    <w:p w:rsidR="00F462EA" w:rsidRDefault="00911D62">
      <w:pPr>
        <w:pStyle w:val="BodyText"/>
      </w:pPr>
      <w:r w:rsidRPr="00C07007">
        <w:rPr>
          <w:b/>
        </w:rPr>
        <w:t>Net Annual Value:</w:t>
      </w:r>
      <w:r w:rsidRPr="00D576C5">
        <w:t xml:space="preserve"> </w:t>
      </w:r>
      <w:r w:rsidR="00B66895">
        <w:t xml:space="preserve">(NAV) </w:t>
      </w:r>
      <w:r w:rsidRPr="00D576C5">
        <w:t xml:space="preserve">the value of the rental potential of the land, less the landlords’ outgoings (such as insurance, land tax and maintenance costs). For residential and farm properties this must be set at 5% of the </w:t>
      </w:r>
      <w:smartTag w:uri="urn:schemas-microsoft-com:office:smarttags" w:element="stockticker">
        <w:r w:rsidRPr="00D576C5">
          <w:t>CIV</w:t>
        </w:r>
      </w:smartTag>
      <w:r w:rsidRPr="00D576C5">
        <w:t xml:space="preserve"> (Valuation of Land Act 1960 - </w:t>
      </w:r>
      <w:r w:rsidR="006D7F58">
        <w:t>s</w:t>
      </w:r>
      <w:r w:rsidR="006D7F58" w:rsidRPr="00D576C5">
        <w:t xml:space="preserve">ection </w:t>
      </w:r>
      <w:r w:rsidRPr="00D576C5">
        <w:t>2).</w:t>
      </w:r>
    </w:p>
    <w:p w:rsidR="00F462EA" w:rsidRDefault="00903E11">
      <w:pPr>
        <w:pStyle w:val="BodyText"/>
      </w:pPr>
      <w:r w:rsidRPr="00D576C5">
        <w:t xml:space="preserve">Policy Statement: Council has adopted the Capital Improved Value as the value to which the rate in the dollar will be assessed. </w:t>
      </w:r>
    </w:p>
    <w:p w:rsidR="00F462EA" w:rsidRDefault="00903E11">
      <w:pPr>
        <w:pStyle w:val="BodyText"/>
      </w:pPr>
      <w:r w:rsidRPr="00D576C5">
        <w:t xml:space="preserve">Reason for Policy: Being a measure of the realisable value of the property, the </w:t>
      </w:r>
      <w:smartTag w:uri="urn:schemas-microsoft-com:office:smarttags" w:element="stockticker">
        <w:r w:rsidRPr="00D576C5">
          <w:t>CIV</w:t>
        </w:r>
      </w:smartTag>
      <w:r w:rsidRPr="00D576C5">
        <w:t xml:space="preserve"> most closely reflects wealth and affordability and thus it is more equitable to tax residents on the total value of their property rather than the notional value of their land alone. In addition, differential rating combined with </w:t>
      </w:r>
      <w:smartTag w:uri="urn:schemas-microsoft-com:office:smarttags" w:element="stockticker">
        <w:r w:rsidRPr="00D576C5">
          <w:t>CIV</w:t>
        </w:r>
      </w:smartTag>
      <w:r w:rsidRPr="00D576C5">
        <w:t xml:space="preserve"> allows greater flexibility in developing rating outcomes enabling </w:t>
      </w:r>
      <w:r w:rsidR="00B30060">
        <w:t>the City</w:t>
      </w:r>
      <w:r w:rsidR="00B30060" w:rsidRPr="00D576C5">
        <w:t xml:space="preserve"> </w:t>
      </w:r>
      <w:r w:rsidRPr="00D576C5">
        <w:t>to pursue its particular objectives.</w:t>
      </w:r>
    </w:p>
    <w:p w:rsidR="00F462EA" w:rsidRDefault="00911D62">
      <w:pPr>
        <w:pStyle w:val="BodyText"/>
      </w:pPr>
      <w:r w:rsidRPr="00D576C5">
        <w:t xml:space="preserve">Every year </w:t>
      </w:r>
      <w:r w:rsidR="00B30060">
        <w:t>c</w:t>
      </w:r>
      <w:r w:rsidR="00B30060" w:rsidRPr="00D576C5">
        <w:t xml:space="preserve">ouncil </w:t>
      </w:r>
      <w:r w:rsidR="002656B6">
        <w:t>v</w:t>
      </w:r>
      <w:r w:rsidR="002656B6" w:rsidRPr="00D576C5">
        <w:t xml:space="preserve">aluers </w:t>
      </w:r>
      <w:r w:rsidRPr="00D576C5">
        <w:t xml:space="preserve">have a statutory requirement under the Valuation of Land Act </w:t>
      </w:r>
      <w:r w:rsidR="00F07360">
        <w:t>s</w:t>
      </w:r>
      <w:r w:rsidR="00F07360" w:rsidRPr="00D576C5">
        <w:t xml:space="preserve">ection </w:t>
      </w:r>
      <w:r w:rsidRPr="00D576C5">
        <w:t xml:space="preserve">13DC (5), to conduct a review of property values based on market movements and recent sales trends. For the </w:t>
      </w:r>
      <w:r w:rsidR="00605CC7">
        <w:t>2019-20</w:t>
      </w:r>
      <w:r w:rsidR="000A0485" w:rsidRPr="00D576C5">
        <w:t xml:space="preserve"> </w:t>
      </w:r>
      <w:r w:rsidRPr="00D576C5">
        <w:t xml:space="preserve">rating years valuations will be based on values returned as at 1 January </w:t>
      </w:r>
      <w:r w:rsidR="00605CC7" w:rsidRPr="00D576C5">
        <w:t>201</w:t>
      </w:r>
      <w:r w:rsidR="00605CC7">
        <w:t>9</w:t>
      </w:r>
      <w:r w:rsidRPr="00D576C5">
        <w:t xml:space="preserve">. </w:t>
      </w:r>
    </w:p>
    <w:p w:rsidR="00F462EA" w:rsidRDefault="00B30060">
      <w:pPr>
        <w:pStyle w:val="BodyText"/>
      </w:pPr>
      <w:r>
        <w:lastRenderedPageBreak/>
        <w:t>The</w:t>
      </w:r>
      <w:r w:rsidRPr="00D576C5">
        <w:t xml:space="preserve"> </w:t>
      </w:r>
      <w:r w:rsidR="002656B6">
        <w:t>v</w:t>
      </w:r>
      <w:r w:rsidR="002656B6" w:rsidRPr="00D576C5">
        <w:t xml:space="preserve">aluers </w:t>
      </w:r>
      <w:r w:rsidR="00911D62" w:rsidRPr="00D576C5">
        <w:t xml:space="preserve">undertake a physical inspection of </w:t>
      </w:r>
      <w:r w:rsidR="00CE485C" w:rsidRPr="00D576C5">
        <w:t xml:space="preserve">some </w:t>
      </w:r>
      <w:r w:rsidR="00911D62" w:rsidRPr="00D576C5">
        <w:t>properties during each revaluation. Other valuations are derived from a complex formula based on sectors, sub market groups, property condition factors (including age, materials and floor area), influencing factors such as locality and views, and land areas compared to sales trends within each sector / sub-market group</w:t>
      </w:r>
      <w:r w:rsidR="00E862BA" w:rsidRPr="00D576C5">
        <w:t>.</w:t>
      </w:r>
      <w:r w:rsidR="00911D62" w:rsidRPr="00D576C5">
        <w:t xml:space="preserve"> The municipal</w:t>
      </w:r>
      <w:r w:rsidR="00BD599D" w:rsidRPr="00D576C5">
        <w:t>it</w:t>
      </w:r>
      <w:r w:rsidR="00911D62" w:rsidRPr="00D576C5">
        <w:t>y has</w:t>
      </w:r>
      <w:r w:rsidR="00B568F0" w:rsidRPr="00D576C5">
        <w:t xml:space="preserve"> </w:t>
      </w:r>
      <w:r w:rsidR="00911D62" w:rsidRPr="00D576C5">
        <w:t xml:space="preserve">defined sub-market groups </w:t>
      </w:r>
      <w:r w:rsidR="00993E15" w:rsidRPr="00D576C5">
        <w:t xml:space="preserve">of homogeneous property types </w:t>
      </w:r>
      <w:r w:rsidR="00911D62" w:rsidRPr="00D576C5">
        <w:t xml:space="preserve">which are reviewed during the revaluation process. </w:t>
      </w:r>
      <w:r>
        <w:t>The</w:t>
      </w:r>
      <w:r w:rsidRPr="00D576C5">
        <w:t xml:space="preserve"> </w:t>
      </w:r>
      <w:r w:rsidR="002656B6">
        <w:t>v</w:t>
      </w:r>
      <w:r w:rsidR="002656B6" w:rsidRPr="00D576C5">
        <w:t xml:space="preserve">aluers </w:t>
      </w:r>
      <w:r w:rsidR="00825833" w:rsidRPr="00D576C5">
        <w:t xml:space="preserve">determine the valuations according to the highest and best use of a property. </w:t>
      </w:r>
    </w:p>
    <w:p w:rsidR="00F462EA" w:rsidRDefault="00825833">
      <w:pPr>
        <w:pStyle w:val="BodyText"/>
      </w:pPr>
      <w:r w:rsidRPr="00D576C5">
        <w:t xml:space="preserve">In valuing </w:t>
      </w:r>
      <w:r w:rsidR="00B05679" w:rsidRPr="00D576C5">
        <w:t xml:space="preserve">large areas of </w:t>
      </w:r>
      <w:r w:rsidRPr="00D576C5">
        <w:t>land without buildings</w:t>
      </w:r>
      <w:r w:rsidR="00BA335D" w:rsidRPr="00D576C5">
        <w:t>,</w:t>
      </w:r>
      <w:r w:rsidRPr="00D576C5">
        <w:t xml:space="preserve"> residential zoning, pe</w:t>
      </w:r>
      <w:r w:rsidR="00BA335D" w:rsidRPr="00D576C5">
        <w:t>rmits for subdivision or structu</w:t>
      </w:r>
      <w:r w:rsidRPr="00D576C5">
        <w:t xml:space="preserve">re plans are indications of potential for subdivision. If the land is </w:t>
      </w:r>
      <w:r w:rsidR="0006114C" w:rsidRPr="00D576C5">
        <w:t>capable</w:t>
      </w:r>
      <w:r w:rsidRPr="00D576C5">
        <w:t xml:space="preserve"> of subdivision</w:t>
      </w:r>
      <w:r w:rsidR="00BA335D" w:rsidRPr="00D576C5">
        <w:t xml:space="preserve"> it will be valued accordingly as potential subdivisional land rather than farm land</w:t>
      </w:r>
      <w:r w:rsidR="00645318" w:rsidRPr="00D576C5">
        <w:t>,</w:t>
      </w:r>
      <w:r w:rsidR="00A826DB" w:rsidRPr="00D576C5">
        <w:t xml:space="preserve"> despite its use</w:t>
      </w:r>
      <w:r w:rsidR="00BA335D" w:rsidRPr="00D576C5">
        <w:t>. The value of subdivisional land will typically be higher than farm land. The amount of valuation increase will depend on market factors at the time of valuation.</w:t>
      </w:r>
    </w:p>
    <w:p w:rsidR="00F462EA" w:rsidRDefault="00645318">
      <w:pPr>
        <w:pStyle w:val="BodyText"/>
      </w:pPr>
      <w:r w:rsidRPr="00D576C5">
        <w:t>The differential rate applied to the valuation is determined in accordance with the criteria set out in the annual report to Council. The criteria is based on the actual land use</w:t>
      </w:r>
      <w:r w:rsidR="00B139E0" w:rsidRPr="00D576C5">
        <w:t xml:space="preserve"> and the geographic area of the property.</w:t>
      </w:r>
    </w:p>
    <w:p w:rsidR="00F462EA" w:rsidRDefault="00BA335D">
      <w:pPr>
        <w:pStyle w:val="BodyText"/>
      </w:pPr>
      <w:r w:rsidRPr="00D576C5">
        <w:t>Valuations are conducted at general revaluation or where</w:t>
      </w:r>
      <w:r w:rsidR="00B05679" w:rsidRPr="00D576C5">
        <w:t xml:space="preserve"> any circumstances as listed under section 13DF of the Valuation of Land Act change the valuation and cause </w:t>
      </w:r>
      <w:r w:rsidR="00B30060">
        <w:t>the City</w:t>
      </w:r>
      <w:r w:rsidR="00B30060" w:rsidRPr="00D576C5">
        <w:t xml:space="preserve"> </w:t>
      </w:r>
      <w:r w:rsidR="00B05679" w:rsidRPr="00D576C5">
        <w:t xml:space="preserve">to undertake a supplementary valuation between </w:t>
      </w:r>
      <w:r w:rsidR="001B31BD" w:rsidRPr="00D576C5">
        <w:t>re</w:t>
      </w:r>
      <w:r w:rsidR="00B05679" w:rsidRPr="00D576C5">
        <w:t>valuations.</w:t>
      </w:r>
      <w:r w:rsidR="001B31BD" w:rsidRPr="00D576C5">
        <w:t xml:space="preserve"> </w:t>
      </w:r>
    </w:p>
    <w:p w:rsidR="00F462EA" w:rsidRDefault="001B31BD">
      <w:pPr>
        <w:pStyle w:val="BodyText"/>
      </w:pPr>
      <w:r w:rsidRPr="00D576C5">
        <w:t xml:space="preserve">Supplementary </w:t>
      </w:r>
      <w:r w:rsidR="00103E9D">
        <w:t>v</w:t>
      </w:r>
      <w:r w:rsidR="00103E9D" w:rsidRPr="00D576C5">
        <w:t xml:space="preserve">aluations </w:t>
      </w:r>
      <w:r w:rsidRPr="00D576C5">
        <w:t xml:space="preserve">are notified to </w:t>
      </w:r>
      <w:r w:rsidR="00B30060">
        <w:t>r</w:t>
      </w:r>
      <w:r w:rsidR="00B30060" w:rsidRPr="00D576C5">
        <w:t xml:space="preserve">atepayers </w:t>
      </w:r>
      <w:r w:rsidRPr="00D576C5">
        <w:t>by the issue of a rates notice</w:t>
      </w:r>
      <w:r w:rsidR="00C739D8" w:rsidRPr="00D576C5">
        <w:t>.</w:t>
      </w:r>
    </w:p>
    <w:p w:rsidR="00F462EA" w:rsidRDefault="00911D62">
      <w:pPr>
        <w:pStyle w:val="BodyText"/>
      </w:pPr>
      <w:r w:rsidRPr="00D576C5">
        <w:t>The Valuer General of Victoria is responsible for reviewing the total valuation of each municipality for accuracy before certif</w:t>
      </w:r>
      <w:r w:rsidR="00BD599D" w:rsidRPr="00D576C5">
        <w:t>ying</w:t>
      </w:r>
      <w:r w:rsidRPr="00D576C5">
        <w:t xml:space="preserve"> that the valuations are true and correct. Valuations are conducted using </w:t>
      </w:r>
      <w:r w:rsidR="00103E9D">
        <w:t>b</w:t>
      </w:r>
      <w:r w:rsidR="00103E9D" w:rsidRPr="00D576C5">
        <w:t xml:space="preserve">est </w:t>
      </w:r>
      <w:r w:rsidR="00103E9D">
        <w:t>p</w:t>
      </w:r>
      <w:r w:rsidR="00103E9D" w:rsidRPr="00D576C5">
        <w:t xml:space="preserve">ractice </w:t>
      </w:r>
      <w:r w:rsidR="00103E9D">
        <w:t>g</w:t>
      </w:r>
      <w:r w:rsidR="00103E9D" w:rsidRPr="00D576C5">
        <w:t xml:space="preserve">uidelines </w:t>
      </w:r>
      <w:r w:rsidRPr="00D576C5">
        <w:t>formulated and published by the Valuer General Victoria</w:t>
      </w:r>
      <w:r w:rsidR="00BD599D" w:rsidRPr="00D576C5">
        <w:t>.</w:t>
      </w:r>
    </w:p>
    <w:p w:rsidR="00F462EA" w:rsidRDefault="00911D62">
      <w:pPr>
        <w:pStyle w:val="BodyText"/>
      </w:pPr>
      <w:r w:rsidRPr="00D576C5">
        <w:t xml:space="preserve">The total value of the municipality is used as a base against which </w:t>
      </w:r>
      <w:r w:rsidR="00717A0E">
        <w:t>Council</w:t>
      </w:r>
      <w:r w:rsidRPr="00D576C5">
        <w:t xml:space="preserve"> strikes its rate in the dollar for each defined tariff group</w:t>
      </w:r>
      <w:r w:rsidR="00BD599D" w:rsidRPr="00D576C5">
        <w:t>.</w:t>
      </w:r>
      <w:r w:rsidRPr="00D576C5">
        <w:t xml:space="preserve"> </w:t>
      </w:r>
    </w:p>
    <w:p w:rsidR="00911D62" w:rsidRPr="00B443C9" w:rsidRDefault="00911D62" w:rsidP="00671F60">
      <w:pPr>
        <w:pStyle w:val="Heading4"/>
      </w:pPr>
      <w:bookmarkStart w:id="155" w:name="_Toc260749446"/>
      <w:bookmarkStart w:id="156" w:name="_Toc292369505"/>
      <w:bookmarkStart w:id="157" w:name="_Toc355947741"/>
      <w:bookmarkStart w:id="158" w:name="_Toc356202915"/>
      <w:bookmarkStart w:id="159" w:name="_Toc403114384"/>
      <w:bookmarkStart w:id="160" w:name="_Toc11845115"/>
      <w:r w:rsidRPr="00B443C9">
        <w:t xml:space="preserve">No </w:t>
      </w:r>
      <w:r w:rsidR="004B1CEA" w:rsidRPr="00B443C9">
        <w:t>W</w:t>
      </w:r>
      <w:r w:rsidRPr="00B443C9">
        <w:t xml:space="preserve">indfall </w:t>
      </w:r>
      <w:r w:rsidR="004B1CEA" w:rsidRPr="00B443C9">
        <w:t>G</w:t>
      </w:r>
      <w:r w:rsidRPr="00B443C9">
        <w:t>ain</w:t>
      </w:r>
      <w:bookmarkEnd w:id="155"/>
      <w:bookmarkEnd w:id="156"/>
      <w:bookmarkEnd w:id="157"/>
      <w:bookmarkEnd w:id="158"/>
      <w:bookmarkEnd w:id="159"/>
      <w:bookmarkEnd w:id="160"/>
    </w:p>
    <w:p w:rsidR="00911D62" w:rsidRPr="00D576C5" w:rsidRDefault="00911D62">
      <w:pPr>
        <w:pStyle w:val="BodyText"/>
      </w:pPr>
      <w:r w:rsidRPr="00D576C5">
        <w:t xml:space="preserve">There is a common misconception that if a property’s valuation rises then </w:t>
      </w:r>
      <w:r w:rsidR="00103E9D">
        <w:t>the City</w:t>
      </w:r>
      <w:r w:rsidR="00103E9D" w:rsidRPr="00D576C5">
        <w:t xml:space="preserve"> </w:t>
      </w:r>
      <w:r w:rsidRPr="00D576C5">
        <w:t xml:space="preserve">receives a “windfall gain” with additional income. This is not so as the revaluation process results in a redistribution of the rate burden across all properties in the municipality. Any increase to total valuations of the municipality is </w:t>
      </w:r>
      <w:r w:rsidR="002E75E1">
        <w:t>adjusted</w:t>
      </w:r>
      <w:r w:rsidR="002E75E1" w:rsidRPr="00D576C5">
        <w:t xml:space="preserve"> </w:t>
      </w:r>
      <w:r w:rsidRPr="00D576C5">
        <w:t xml:space="preserve">by </w:t>
      </w:r>
      <w:r w:rsidR="002E75E1">
        <w:t>recalculating</w:t>
      </w:r>
      <w:r w:rsidRPr="00D576C5">
        <w:t xml:space="preserve"> the rate in dollar (ad valorem rate) used to calculate the rate for each property. </w:t>
      </w:r>
      <w:r w:rsidR="00BD2769">
        <w:t>Budgeted rate</w:t>
      </w:r>
      <w:r w:rsidRPr="00D576C5">
        <w:t xml:space="preserve"> income is </w:t>
      </w:r>
      <w:r w:rsidR="00BD2769">
        <w:t>adjusted</w:t>
      </w:r>
      <w:r w:rsidRPr="00D576C5">
        <w:t xml:space="preserve"> each year as part of the budget process</w:t>
      </w:r>
      <w:r w:rsidR="00B1645A">
        <w:t xml:space="preserve"> and the relevant rate cap percentage</w:t>
      </w:r>
      <w:r w:rsidR="00CB751F">
        <w:t xml:space="preserve"> taking </w:t>
      </w:r>
      <w:r w:rsidR="00CB751F">
        <w:lastRenderedPageBreak/>
        <w:t>into account adjustments for supplementary rate income</w:t>
      </w:r>
      <w:r w:rsidRPr="00D576C5">
        <w:t xml:space="preserve">. </w:t>
      </w:r>
    </w:p>
    <w:p w:rsidR="00911D62" w:rsidRPr="00D576C5" w:rsidRDefault="00911D62" w:rsidP="00671F60">
      <w:pPr>
        <w:pStyle w:val="Heading4"/>
      </w:pPr>
      <w:bookmarkStart w:id="161" w:name="_Toc64258361"/>
      <w:bookmarkStart w:id="162" w:name="_Toc64276821"/>
      <w:bookmarkStart w:id="163" w:name="_Toc260749447"/>
      <w:bookmarkStart w:id="164" w:name="_Toc292369506"/>
      <w:bookmarkStart w:id="165" w:name="_Toc355947742"/>
      <w:bookmarkStart w:id="166" w:name="_Toc356202916"/>
      <w:bookmarkStart w:id="167" w:name="_Toc403114385"/>
      <w:bookmarkStart w:id="168" w:name="_Toc11845116"/>
      <w:r w:rsidRPr="00D576C5">
        <w:t xml:space="preserve">Objections to </w:t>
      </w:r>
      <w:r w:rsidR="004B1CEA" w:rsidRPr="00D576C5">
        <w:t>P</w:t>
      </w:r>
      <w:r w:rsidRPr="00D576C5">
        <w:t xml:space="preserve">roperty </w:t>
      </w:r>
      <w:r w:rsidR="004B1CEA" w:rsidRPr="00D576C5">
        <w:t>V</w:t>
      </w:r>
      <w:r w:rsidRPr="00D576C5">
        <w:t>aluation</w:t>
      </w:r>
      <w:bookmarkEnd w:id="161"/>
      <w:bookmarkEnd w:id="162"/>
      <w:bookmarkEnd w:id="163"/>
      <w:bookmarkEnd w:id="164"/>
      <w:bookmarkEnd w:id="165"/>
      <w:bookmarkEnd w:id="166"/>
      <w:bookmarkEnd w:id="167"/>
      <w:bookmarkEnd w:id="168"/>
    </w:p>
    <w:p w:rsidR="00911D62" w:rsidRPr="00D576C5" w:rsidRDefault="00911D62">
      <w:pPr>
        <w:pStyle w:val="BodyText"/>
      </w:pPr>
      <w:r w:rsidRPr="00D576C5">
        <w:t>The Valuation of Land Act 1960 provides that objection to the valuation may be made each year within two months of the issue of the original or amended (supplementary) Rates and Valuatio</w:t>
      </w:r>
      <w:r w:rsidR="008975FB">
        <w:t xml:space="preserve">n Charges Notice (Rates Notice), or within four months if the notice was </w:t>
      </w:r>
      <w:r w:rsidR="006B0798">
        <w:t xml:space="preserve">not originally </w:t>
      </w:r>
      <w:r w:rsidR="008975FB">
        <w:t xml:space="preserve">issued to </w:t>
      </w:r>
      <w:r w:rsidR="006B0798">
        <w:t>the occupier of the land.</w:t>
      </w:r>
    </w:p>
    <w:p w:rsidR="00911D62" w:rsidRPr="00D576C5" w:rsidRDefault="00911D62">
      <w:pPr>
        <w:pStyle w:val="BodyText"/>
      </w:pPr>
      <w:r w:rsidRPr="00D576C5">
        <w:t xml:space="preserve">Objections must be dealt with in accordance with the Valuation of Land Act – Division 3 </w:t>
      </w:r>
      <w:r w:rsidR="00103E9D">
        <w:t>s</w:t>
      </w:r>
      <w:r w:rsidR="00103E9D" w:rsidRPr="00D576C5">
        <w:t xml:space="preserve">ections </w:t>
      </w:r>
      <w:r w:rsidRPr="00D576C5">
        <w:t>16-21.</w:t>
      </w:r>
    </w:p>
    <w:p w:rsidR="00F462EA" w:rsidRDefault="00D271DC">
      <w:pPr>
        <w:pStyle w:val="BodyText"/>
      </w:pPr>
      <w:r w:rsidRPr="00D576C5">
        <w:t xml:space="preserve">The Act was amended </w:t>
      </w:r>
      <w:r w:rsidR="00483E1D" w:rsidRPr="00D576C5">
        <w:t>in</w:t>
      </w:r>
      <w:r w:rsidRPr="00D576C5">
        <w:t xml:space="preserve"> 2006 in order to improve the valuation objection process and reduce the number of lengthy and costly disputes. The Act specifically improves the processes and practices for lodging an objection, </w:t>
      </w:r>
      <w:r w:rsidR="00A46EBC" w:rsidRPr="00D576C5">
        <w:t xml:space="preserve">sharing and exchange </w:t>
      </w:r>
      <w:r w:rsidRPr="00D576C5">
        <w:t>of information</w:t>
      </w:r>
      <w:r w:rsidR="00A46EBC" w:rsidRPr="00D576C5">
        <w:t xml:space="preserve">, referring an objection dispute to </w:t>
      </w:r>
      <w:smartTag w:uri="urn:schemas-microsoft-com:office:smarttags" w:element="stockticker">
        <w:r w:rsidR="00A46EBC" w:rsidRPr="00D576C5">
          <w:t>VCAT</w:t>
        </w:r>
      </w:smartTag>
      <w:r w:rsidR="00A46EBC" w:rsidRPr="00D576C5">
        <w:t>, awarding of costs, Valuer General notifications and certification of supplementary valuations</w:t>
      </w:r>
      <w:r w:rsidR="00D920CF" w:rsidRPr="00D576C5">
        <w:t>.</w:t>
      </w:r>
      <w:r w:rsidR="00A46EBC" w:rsidRPr="00D576C5">
        <w:t xml:space="preserve"> Further information can be obtained by contacting </w:t>
      </w:r>
      <w:r w:rsidR="00103E9D">
        <w:t>the City of Greater Geelong</w:t>
      </w:r>
      <w:r w:rsidR="00103E9D" w:rsidRPr="00D576C5">
        <w:t xml:space="preserve"> </w:t>
      </w:r>
      <w:r w:rsidR="00A46EBC" w:rsidRPr="00D576C5">
        <w:t>or accessing the Land Victoria</w:t>
      </w:r>
      <w:r w:rsidR="00962E7E">
        <w:t xml:space="preserve"> </w:t>
      </w:r>
      <w:r w:rsidR="00A46EBC" w:rsidRPr="00D576C5">
        <w:t xml:space="preserve">web site at </w:t>
      </w:r>
      <w:hyperlink r:id="rId20" w:history="1">
        <w:r w:rsidR="00A46EBC" w:rsidRPr="00E60EA6">
          <w:rPr>
            <w:rStyle w:val="Hyperlink"/>
            <w:color w:val="000000"/>
          </w:rPr>
          <w:t>www.land.vic.gov.au/valuation</w:t>
        </w:r>
      </w:hyperlink>
      <w:r w:rsidR="00A46EBC" w:rsidRPr="00D576C5">
        <w:t>.</w:t>
      </w:r>
    </w:p>
    <w:p w:rsidR="00F462EA" w:rsidRDefault="00103E9D">
      <w:pPr>
        <w:pStyle w:val="BodyText"/>
      </w:pPr>
      <w:r>
        <w:t xml:space="preserve">The City </w:t>
      </w:r>
      <w:r w:rsidR="002E0415" w:rsidRPr="00D576C5">
        <w:t>will continue to advise ratepayers via the “Rates, Charges and Valuation Notice (the Rate Notice), brochure, web site and City News, of their right to object and appeal the valuation.</w:t>
      </w:r>
    </w:p>
    <w:p w:rsidR="00F462EA" w:rsidRDefault="002E0415">
      <w:pPr>
        <w:pStyle w:val="BodyText"/>
      </w:pPr>
      <w:bookmarkStart w:id="169" w:name="_Toc64258362"/>
      <w:bookmarkStart w:id="170" w:name="_Toc64276822"/>
      <w:r w:rsidRPr="00D576C5">
        <w:t xml:space="preserve">Property owners also have the ability to object to the site valuations on receipt of their </w:t>
      </w:r>
      <w:r w:rsidR="00103E9D">
        <w:t>l</w:t>
      </w:r>
      <w:r w:rsidR="00103E9D" w:rsidRPr="00D576C5">
        <w:t xml:space="preserve">and </w:t>
      </w:r>
      <w:r w:rsidR="00103E9D">
        <w:t>t</w:t>
      </w:r>
      <w:r w:rsidR="00103E9D" w:rsidRPr="00D576C5">
        <w:t xml:space="preserve">ax </w:t>
      </w:r>
      <w:r w:rsidR="00103E9D">
        <w:t>a</w:t>
      </w:r>
      <w:r w:rsidR="00103E9D" w:rsidRPr="00D576C5">
        <w:t>ssessment</w:t>
      </w:r>
      <w:r w:rsidRPr="00D576C5">
        <w:t xml:space="preserve">.  Property owners can appeal their land valuation within </w:t>
      </w:r>
      <w:r w:rsidR="008975FB">
        <w:t>two months</w:t>
      </w:r>
      <w:r w:rsidRPr="00D576C5">
        <w:t xml:space="preserve"> of receipt of </w:t>
      </w:r>
      <w:r w:rsidR="007B04D8">
        <w:t>c</w:t>
      </w:r>
      <w:r w:rsidR="007B04D8" w:rsidRPr="00D576C5">
        <w:t xml:space="preserve">ouncil </w:t>
      </w:r>
      <w:r w:rsidRPr="00D576C5">
        <w:t xml:space="preserve">Rate </w:t>
      </w:r>
      <w:r w:rsidRPr="004D1D7F">
        <w:t xml:space="preserve">Notice (via </w:t>
      </w:r>
      <w:r w:rsidR="00103E9D">
        <w:t>the City</w:t>
      </w:r>
      <w:r w:rsidRPr="004D1D7F">
        <w:t xml:space="preserve">) or within </w:t>
      </w:r>
      <w:r w:rsidR="008975FB" w:rsidRPr="004D1D7F">
        <w:t>two months</w:t>
      </w:r>
      <w:r w:rsidRPr="004D1D7F">
        <w:t xml:space="preserve"> of receipt of their Land Tax Assessment (via State Revenue Office).</w:t>
      </w:r>
    </w:p>
    <w:p w:rsidR="00C76985" w:rsidRPr="00D576C5" w:rsidRDefault="00BA5D86" w:rsidP="00D35956">
      <w:pPr>
        <w:pStyle w:val="Heading3"/>
      </w:pPr>
      <w:bookmarkStart w:id="171" w:name="_Toc292369507"/>
      <w:bookmarkStart w:id="172" w:name="_Toc355947743"/>
      <w:bookmarkStart w:id="173" w:name="_Toc356202570"/>
      <w:bookmarkStart w:id="174" w:name="_Toc356202917"/>
      <w:bookmarkStart w:id="175" w:name="_Toc403114386"/>
      <w:bookmarkStart w:id="176" w:name="_Toc11845117"/>
      <w:bookmarkStart w:id="177" w:name="_Toc260749448"/>
      <w:r>
        <w:t xml:space="preserve">3.3  </w:t>
      </w:r>
      <w:r w:rsidR="00C76985" w:rsidRPr="00D576C5">
        <w:t>Rating Differentials</w:t>
      </w:r>
      <w:r w:rsidR="003D7AA1" w:rsidRPr="00D576C5">
        <w:t xml:space="preserve"> and Rate Types</w:t>
      </w:r>
      <w:bookmarkEnd w:id="171"/>
      <w:bookmarkEnd w:id="172"/>
      <w:bookmarkEnd w:id="173"/>
      <w:bookmarkEnd w:id="174"/>
      <w:bookmarkEnd w:id="175"/>
      <w:bookmarkEnd w:id="176"/>
    </w:p>
    <w:p w:rsidR="00F22CE8" w:rsidRPr="00D576C5" w:rsidRDefault="00F22CE8" w:rsidP="00671F60">
      <w:pPr>
        <w:pStyle w:val="Heading4"/>
      </w:pPr>
      <w:bookmarkStart w:id="178" w:name="_Toc64258367"/>
      <w:bookmarkStart w:id="179" w:name="_Toc64276827"/>
      <w:bookmarkStart w:id="180" w:name="_Toc260749456"/>
      <w:bookmarkStart w:id="181" w:name="_Toc292369508"/>
      <w:bookmarkStart w:id="182" w:name="_Toc355947744"/>
      <w:bookmarkStart w:id="183" w:name="_Toc356202918"/>
      <w:bookmarkStart w:id="184" w:name="_Toc403114387"/>
      <w:bookmarkStart w:id="185" w:name="_Toc11845118"/>
      <w:r w:rsidRPr="00D576C5">
        <w:t xml:space="preserve">Rating </w:t>
      </w:r>
      <w:r w:rsidR="004B1CEA" w:rsidRPr="00D576C5">
        <w:t>E</w:t>
      </w:r>
      <w:r w:rsidRPr="00D576C5">
        <w:t>quity</w:t>
      </w:r>
      <w:bookmarkEnd w:id="178"/>
      <w:bookmarkEnd w:id="179"/>
      <w:bookmarkEnd w:id="180"/>
      <w:bookmarkEnd w:id="181"/>
      <w:bookmarkEnd w:id="182"/>
      <w:bookmarkEnd w:id="183"/>
      <w:bookmarkEnd w:id="184"/>
      <w:bookmarkEnd w:id="185"/>
    </w:p>
    <w:p w:rsidR="00F22CE8" w:rsidRPr="00D576C5" w:rsidRDefault="00F22CE8">
      <w:pPr>
        <w:pStyle w:val="BodyText"/>
      </w:pPr>
      <w:r w:rsidRPr="005F213A">
        <w:t>Council has determined</w:t>
      </w:r>
      <w:r w:rsidRPr="00D576C5">
        <w:t xml:space="preserve"> that the issues concerning equity within the community and the impact of rates across the municipal district are best addressed by the application of all the policies in respect to differential tariffs, government funded rebates and provisions for relief based on hardship in accordance with LGA section 171 and 171A as amended. </w:t>
      </w:r>
    </w:p>
    <w:p w:rsidR="00F22CE8" w:rsidRDefault="00F22CE8">
      <w:pPr>
        <w:pStyle w:val="BodyText"/>
      </w:pPr>
      <w:r w:rsidRPr="005F213A">
        <w:t>Council has determined</w:t>
      </w:r>
      <w:r w:rsidRPr="00D576C5">
        <w:t xml:space="preserve"> that identical land uses should be treated in the same manner with the exception of the land known as the Point. The Point </w:t>
      </w:r>
      <w:r w:rsidR="00103E9D">
        <w:t>l</w:t>
      </w:r>
      <w:r w:rsidR="00103E9D" w:rsidRPr="00D576C5">
        <w:t xml:space="preserve">and </w:t>
      </w:r>
      <w:r w:rsidRPr="00D576C5">
        <w:t xml:space="preserve">at Point Lonsdale is unique in that it requires expenditure to maintain the water quality of the waterways in line with the environmental obligations. Equity and impact issues being best dealt within application of the entire Rating Policy </w:t>
      </w:r>
      <w:r w:rsidRPr="00D576C5">
        <w:lastRenderedPageBreak/>
        <w:t>having regard to:</w:t>
      </w:r>
    </w:p>
    <w:p w:rsidR="00A23966" w:rsidRPr="005167B1" w:rsidRDefault="00F22CE8" w:rsidP="005167B1">
      <w:pPr>
        <w:pStyle w:val="ListParagraph"/>
        <w:numPr>
          <w:ilvl w:val="0"/>
          <w:numId w:val="43"/>
        </w:numPr>
        <w:spacing w:after="80"/>
        <w:ind w:left="357" w:hanging="357"/>
        <w:jc w:val="both"/>
      </w:pPr>
      <w:r w:rsidRPr="00C05662">
        <w:rPr>
          <w:rFonts w:cs="Lucida Sans Unicode"/>
          <w:szCs w:val="22"/>
        </w:rPr>
        <w:t>Land use</w:t>
      </w:r>
      <w:r w:rsidRPr="005A2AD5">
        <w:rPr>
          <w:rFonts w:cs="Lucida Sans Unicode"/>
          <w:szCs w:val="22"/>
        </w:rPr>
        <w:t xml:space="preserve"> </w:t>
      </w:r>
      <w:r w:rsidR="004324C1" w:rsidRPr="00583AE6">
        <w:rPr>
          <w:rFonts w:cs="Lucida Sans Unicode"/>
          <w:szCs w:val="22"/>
        </w:rPr>
        <w:t>–</w:t>
      </w:r>
      <w:r w:rsidRPr="00132FCB">
        <w:rPr>
          <w:rFonts w:cs="Lucida Sans Unicode"/>
          <w:szCs w:val="22"/>
        </w:rPr>
        <w:t xml:space="preserve"> differential groups;</w:t>
      </w:r>
    </w:p>
    <w:p w:rsidR="00A23966" w:rsidRPr="005167B1" w:rsidRDefault="00F22CE8" w:rsidP="005167B1">
      <w:pPr>
        <w:pStyle w:val="ListParagraph"/>
        <w:numPr>
          <w:ilvl w:val="0"/>
          <w:numId w:val="43"/>
        </w:numPr>
        <w:spacing w:after="80"/>
        <w:ind w:left="357" w:hanging="357"/>
        <w:jc w:val="both"/>
      </w:pPr>
      <w:r w:rsidRPr="005167B1">
        <w:rPr>
          <w:rFonts w:cs="Lucida Sans Unicode"/>
          <w:szCs w:val="22"/>
        </w:rPr>
        <w:t xml:space="preserve">Valuation </w:t>
      </w:r>
      <w:r w:rsidR="004324C1" w:rsidRPr="005167B1">
        <w:rPr>
          <w:rFonts w:cs="Lucida Sans Unicode"/>
          <w:szCs w:val="22"/>
        </w:rPr>
        <w:t>–</w:t>
      </w:r>
      <w:r w:rsidRPr="005167B1">
        <w:rPr>
          <w:rFonts w:cs="Lucida Sans Unicode"/>
          <w:szCs w:val="22"/>
        </w:rPr>
        <w:t xml:space="preserve"> valuation relative to other properties within land use groups;</w:t>
      </w:r>
    </w:p>
    <w:p w:rsidR="00A23966" w:rsidRPr="005167B1" w:rsidRDefault="00F22CE8" w:rsidP="005167B1">
      <w:pPr>
        <w:pStyle w:val="ListParagraph"/>
        <w:numPr>
          <w:ilvl w:val="0"/>
          <w:numId w:val="43"/>
        </w:numPr>
        <w:spacing w:after="80"/>
        <w:ind w:left="357" w:hanging="357"/>
        <w:jc w:val="both"/>
      </w:pPr>
      <w:r w:rsidRPr="005167B1">
        <w:rPr>
          <w:rFonts w:cs="Lucida Sans Unicode"/>
          <w:szCs w:val="22"/>
        </w:rPr>
        <w:t xml:space="preserve">Rate in dollar </w:t>
      </w:r>
      <w:r w:rsidR="004324C1" w:rsidRPr="005167B1">
        <w:rPr>
          <w:rFonts w:cs="Lucida Sans Unicode"/>
          <w:szCs w:val="22"/>
        </w:rPr>
        <w:t>–</w:t>
      </w:r>
      <w:r w:rsidRPr="005167B1">
        <w:rPr>
          <w:rFonts w:cs="Lucida Sans Unicode"/>
          <w:szCs w:val="22"/>
        </w:rPr>
        <w:t xml:space="preserve"> based on </w:t>
      </w:r>
      <w:r w:rsidR="00103E9D" w:rsidRPr="005167B1">
        <w:rPr>
          <w:rFonts w:cs="Lucida Sans Unicode"/>
          <w:szCs w:val="22"/>
        </w:rPr>
        <w:t xml:space="preserve">the City’s </w:t>
      </w:r>
      <w:r w:rsidRPr="005167B1">
        <w:rPr>
          <w:rFonts w:cs="Lucida Sans Unicode"/>
          <w:szCs w:val="22"/>
        </w:rPr>
        <w:t>revenue requirements and % contribution by differential group;</w:t>
      </w:r>
    </w:p>
    <w:p w:rsidR="00A23966" w:rsidRPr="005167B1" w:rsidRDefault="00F22CE8" w:rsidP="005167B1">
      <w:pPr>
        <w:pStyle w:val="ListParagraph"/>
        <w:numPr>
          <w:ilvl w:val="0"/>
          <w:numId w:val="43"/>
        </w:numPr>
        <w:spacing w:after="80"/>
        <w:ind w:left="357" w:hanging="357"/>
        <w:jc w:val="both"/>
      </w:pPr>
      <w:r w:rsidRPr="005167B1">
        <w:rPr>
          <w:rFonts w:cs="Lucida Sans Unicode"/>
          <w:szCs w:val="22"/>
        </w:rPr>
        <w:t xml:space="preserve">Collection arrangements </w:t>
      </w:r>
      <w:r w:rsidR="004324C1" w:rsidRPr="005167B1">
        <w:rPr>
          <w:rFonts w:cs="Lucida Sans Unicode"/>
          <w:szCs w:val="22"/>
        </w:rPr>
        <w:t>–</w:t>
      </w:r>
      <w:r w:rsidRPr="005167B1">
        <w:rPr>
          <w:rFonts w:cs="Lucida Sans Unicode"/>
          <w:szCs w:val="22"/>
        </w:rPr>
        <w:t xml:space="preserve"> access to multiple payment methods to suit; and </w:t>
      </w:r>
    </w:p>
    <w:p w:rsidR="00A23966" w:rsidRPr="005167B1" w:rsidRDefault="00F22CE8" w:rsidP="005167B1">
      <w:pPr>
        <w:pStyle w:val="ListParagraph"/>
        <w:numPr>
          <w:ilvl w:val="0"/>
          <w:numId w:val="43"/>
        </w:numPr>
        <w:spacing w:after="80"/>
        <w:ind w:left="357" w:hanging="357"/>
        <w:jc w:val="both"/>
      </w:pPr>
      <w:r w:rsidRPr="005167B1">
        <w:rPr>
          <w:rFonts w:cs="Lucida Sans Unicode"/>
          <w:szCs w:val="22"/>
        </w:rPr>
        <w:t xml:space="preserve">Hardship being taken into consideration </w:t>
      </w:r>
      <w:r w:rsidR="004324C1" w:rsidRPr="005167B1">
        <w:rPr>
          <w:rFonts w:cs="Lucida Sans Unicode"/>
          <w:szCs w:val="22"/>
        </w:rPr>
        <w:t>–</w:t>
      </w:r>
      <w:r w:rsidRPr="005167B1">
        <w:rPr>
          <w:rFonts w:cs="Lucida Sans Unicode"/>
          <w:szCs w:val="22"/>
        </w:rPr>
        <w:t xml:space="preserve"> subject to rating impact on class of persons or by application for individuals.</w:t>
      </w:r>
    </w:p>
    <w:p w:rsidR="00AB55DD" w:rsidRDefault="005A3939">
      <w:pPr>
        <w:pStyle w:val="Heading4"/>
        <w:spacing w:after="0"/>
      </w:pPr>
      <w:bookmarkStart w:id="186" w:name="_Toc355947745"/>
      <w:bookmarkStart w:id="187" w:name="_Toc356202919"/>
      <w:bookmarkStart w:id="188" w:name="_Toc403114388"/>
      <w:bookmarkStart w:id="189" w:name="_Toc11845119"/>
      <w:r w:rsidRPr="00A77DAF">
        <w:t>Ministerial Guidelines</w:t>
      </w:r>
      <w:bookmarkEnd w:id="186"/>
      <w:bookmarkEnd w:id="187"/>
      <w:bookmarkEnd w:id="188"/>
      <w:bookmarkEnd w:id="189"/>
    </w:p>
    <w:p w:rsidR="001A79F8" w:rsidRPr="00B30660" w:rsidRDefault="001A79F8">
      <w:pPr>
        <w:pStyle w:val="BodyText"/>
      </w:pPr>
      <w:bookmarkStart w:id="190" w:name="_Toc292369509"/>
      <w:bookmarkStart w:id="191" w:name="_Toc355947746"/>
      <w:bookmarkStart w:id="192" w:name="_Toc356202920"/>
      <w:r w:rsidRPr="00B30660">
        <w:t xml:space="preserve">The </w:t>
      </w:r>
      <w:r w:rsidRPr="005167B1">
        <w:rPr>
          <w:i/>
        </w:rPr>
        <w:t>Local Government Legislation Amendment (Miscellaneous) Act 2012</w:t>
      </w:r>
      <w:r>
        <w:t xml:space="preserve"> allows the Minister to set differential rating guidelines for compliance by </w:t>
      </w:r>
      <w:r w:rsidR="001C4E3A">
        <w:t>councils</w:t>
      </w:r>
      <w:r>
        <w:t xml:space="preserve">. The final version of the Ministerial Guidelines, was gazetted on 26 April 2013 </w:t>
      </w:r>
      <w:r w:rsidRPr="00B30660">
        <w:t>and c</w:t>
      </w:r>
      <w:r>
        <w:t>a</w:t>
      </w:r>
      <w:r w:rsidRPr="00B30660">
        <w:t xml:space="preserve">me into effect from 1 July 2013. </w:t>
      </w:r>
      <w:r>
        <w:t xml:space="preserve"> </w:t>
      </w:r>
      <w:r w:rsidR="001C4E3A">
        <w:t>The City</w:t>
      </w:r>
      <w:r w:rsidR="001C4E3A" w:rsidRPr="00B30660">
        <w:t xml:space="preserve"> </w:t>
      </w:r>
      <w:r w:rsidRPr="00B30660">
        <w:t>needs to consider the objectives, the suitable uses and the types of classes of land when introducing a differ</w:t>
      </w:r>
      <w:r>
        <w:t xml:space="preserve">ential rate. There are no new differential rates being introduced as part of the </w:t>
      </w:r>
      <w:r w:rsidR="00605CC7">
        <w:t>2019-20</w:t>
      </w:r>
      <w:r w:rsidR="00DF4935">
        <w:t xml:space="preserve"> </w:t>
      </w:r>
      <w:r>
        <w:t>Budget.</w:t>
      </w:r>
      <w:r w:rsidRPr="00B30660">
        <w:t xml:space="preserve"> </w:t>
      </w:r>
    </w:p>
    <w:p w:rsidR="00AB55DD" w:rsidRDefault="00F22CE8">
      <w:pPr>
        <w:pStyle w:val="Heading4"/>
        <w:spacing w:after="0"/>
      </w:pPr>
      <w:bookmarkStart w:id="193" w:name="_Toc403114389"/>
      <w:bookmarkStart w:id="194" w:name="_Toc11845120"/>
      <w:r w:rsidRPr="00D576C5">
        <w:t xml:space="preserve">Reasons for </w:t>
      </w:r>
      <w:r w:rsidR="004B1CEA" w:rsidRPr="00D576C5">
        <w:t>D</w:t>
      </w:r>
      <w:r w:rsidRPr="00D576C5">
        <w:t xml:space="preserve">ifferential </w:t>
      </w:r>
      <w:r w:rsidR="004B1CEA" w:rsidRPr="00D576C5">
        <w:t>R</w:t>
      </w:r>
      <w:r w:rsidRPr="00D576C5">
        <w:t xml:space="preserve">ates </w:t>
      </w:r>
      <w:r w:rsidR="004B1CEA" w:rsidRPr="00D576C5">
        <w:t>P</w:t>
      </w:r>
      <w:r w:rsidRPr="00D576C5">
        <w:t>olicy</w:t>
      </w:r>
      <w:bookmarkEnd w:id="190"/>
      <w:bookmarkEnd w:id="191"/>
      <w:bookmarkEnd w:id="192"/>
      <w:bookmarkEnd w:id="193"/>
      <w:bookmarkEnd w:id="194"/>
    </w:p>
    <w:p w:rsidR="00310D8E" w:rsidRPr="00D576C5" w:rsidRDefault="00310D8E">
      <w:pPr>
        <w:pStyle w:val="BodyText"/>
      </w:pPr>
      <w:bookmarkStart w:id="195" w:name="_Toc292369510"/>
      <w:r w:rsidRPr="00D576C5">
        <w:t xml:space="preserve">The application of the rating strategy should be simple, efficient, and include a mechanism that contains principles of public benefit taxation. </w:t>
      </w:r>
    </w:p>
    <w:p w:rsidR="00310D8E" w:rsidRPr="00D576C5" w:rsidRDefault="00310D8E">
      <w:pPr>
        <w:pStyle w:val="BodyText"/>
      </w:pPr>
      <w:r w:rsidRPr="00D576C5">
        <w:t xml:space="preserve">While general rates are not a user pay mechanism, elements of the rating strategy will embrace the user pays principle where practicable. </w:t>
      </w:r>
      <w:r w:rsidR="001C4E3A">
        <w:t>The City</w:t>
      </w:r>
      <w:r w:rsidR="001C4E3A" w:rsidRPr="00D576C5">
        <w:t xml:space="preserve"> </w:t>
      </w:r>
      <w:r w:rsidRPr="00D576C5">
        <w:t>may consider the imposition of specific costs that may warrant the striking of new or higher differentials.</w:t>
      </w:r>
    </w:p>
    <w:p w:rsidR="00F462EA" w:rsidRDefault="00310D8E">
      <w:pPr>
        <w:pStyle w:val="BodyText"/>
      </w:pPr>
      <w:r w:rsidRPr="00D576C5">
        <w:t>Rating must ensure that there is sufficient funding to meet the cost of providing and maintaining infrastructure assets and services for the benefit of current and future communities.</w:t>
      </w:r>
    </w:p>
    <w:p w:rsidR="00F462EA" w:rsidRDefault="00310D8E">
      <w:pPr>
        <w:pStyle w:val="BodyText"/>
      </w:pPr>
      <w:r w:rsidRPr="00D576C5">
        <w:t>The City of Greater Geelong applies a capital improved valuation (</w:t>
      </w:r>
      <w:r w:rsidR="00A45CB3">
        <w:t>CIV)</w:t>
      </w:r>
      <w:r w:rsidRPr="00D576C5">
        <w:t xml:space="preserve"> method to all properties within the municipality to take into account the full development value of the property. This method is applied irrespective of whether the property is subject to rates or exempt under legislation. </w:t>
      </w:r>
      <w:r w:rsidR="001C4E3A">
        <w:t>The City</w:t>
      </w:r>
      <w:r w:rsidR="001C4E3A" w:rsidRPr="00D576C5">
        <w:t xml:space="preserve"> </w:t>
      </w:r>
      <w:r w:rsidRPr="00D576C5">
        <w:t xml:space="preserve">recognises that people with higher value properties generally have higher wealth and a greater ability to meet the provision of </w:t>
      </w:r>
      <w:r w:rsidR="001C4E3A">
        <w:t>c</w:t>
      </w:r>
      <w:r w:rsidR="001C4E3A" w:rsidRPr="00D576C5">
        <w:t xml:space="preserve">ouncil </w:t>
      </w:r>
      <w:r w:rsidRPr="00D576C5">
        <w:t>services.</w:t>
      </w:r>
    </w:p>
    <w:p w:rsidR="00F462EA" w:rsidRDefault="00310D8E">
      <w:pPr>
        <w:pStyle w:val="BodyText"/>
      </w:pPr>
      <w:r w:rsidRPr="00D576C5">
        <w:t xml:space="preserve">Rating, through the application of higher differentials recognises the ability of some ratepayers to obtain concessions from the tax deductibility of </w:t>
      </w:r>
      <w:r w:rsidR="001C4E3A">
        <w:t>c</w:t>
      </w:r>
      <w:r w:rsidR="001C4E3A" w:rsidRPr="00D576C5">
        <w:t xml:space="preserve">ouncil </w:t>
      </w:r>
      <w:r w:rsidRPr="00D576C5">
        <w:t xml:space="preserve">rates and provides for a series of differential rates. This takes into account low economic return to large landholdings, avoid distortions in the market or an </w:t>
      </w:r>
      <w:r w:rsidRPr="00D576C5">
        <w:lastRenderedPageBreak/>
        <w:t xml:space="preserve">ability to contribute above the standard charge. </w:t>
      </w:r>
    </w:p>
    <w:p w:rsidR="00F462EA" w:rsidRDefault="00310D8E">
      <w:pPr>
        <w:pStyle w:val="BodyText"/>
      </w:pPr>
      <w:r w:rsidRPr="00D576C5">
        <w:t>Rating shall endeavour to promote and encourage economic development throughout the municipality.</w:t>
      </w:r>
    </w:p>
    <w:p w:rsidR="00F462EA" w:rsidRDefault="00310D8E">
      <w:pPr>
        <w:pStyle w:val="BodyText"/>
      </w:pPr>
      <w:r w:rsidRPr="00D576C5">
        <w:t xml:space="preserve">The farm differential is to recognise the benefits of large holdings, open space and traditionally, generally less demand upon </w:t>
      </w:r>
      <w:r w:rsidR="001C4E3A">
        <w:t>c</w:t>
      </w:r>
      <w:r w:rsidR="001C4E3A" w:rsidRPr="00D576C5">
        <w:t xml:space="preserve">ouncil </w:t>
      </w:r>
      <w:r w:rsidRPr="00D576C5">
        <w:t xml:space="preserve">services per land area held. </w:t>
      </w:r>
      <w:r w:rsidR="001C4E3A">
        <w:t xml:space="preserve">The City of Greater Geelong </w:t>
      </w:r>
      <w:r w:rsidRPr="00D576C5">
        <w:t xml:space="preserve">has used a combination of a differential tariff and a LGA </w:t>
      </w:r>
      <w:r w:rsidR="001C4E3A">
        <w:t>s</w:t>
      </w:r>
      <w:r w:rsidR="001C4E3A" w:rsidRPr="00D576C5">
        <w:t xml:space="preserve">ection </w:t>
      </w:r>
      <w:r w:rsidRPr="00D576C5">
        <w:t>169 rebate in order to maintain the status of farms as the lowest rated tariff group.</w:t>
      </w:r>
    </w:p>
    <w:p w:rsidR="00F462EA" w:rsidRDefault="00310D8E">
      <w:pPr>
        <w:pStyle w:val="BodyText"/>
      </w:pPr>
      <w:r w:rsidRPr="00D576C5">
        <w:t xml:space="preserve">Vacant Land is rated at a higher rate in the dollar than residential </w:t>
      </w:r>
      <w:r w:rsidR="001C7838">
        <w:t>to encourage the prompt development of vacant land to attract new residents and businesses to the City of Greater Geelong and to discourage untimely and unnecessary divisions of land.</w:t>
      </w:r>
    </w:p>
    <w:p w:rsidR="00F462EA" w:rsidRDefault="00310D8E">
      <w:pPr>
        <w:pStyle w:val="BodyText"/>
      </w:pPr>
      <w:r w:rsidRPr="00D576C5">
        <w:t>To promote equity in rating, a "Municipal Charge" may be used, or where appropriate an ex-gratia amount may be negotiated.</w:t>
      </w:r>
    </w:p>
    <w:p w:rsidR="00911D62" w:rsidRPr="00D576C5" w:rsidRDefault="00911D62" w:rsidP="00D43F06">
      <w:pPr>
        <w:pStyle w:val="Heading5"/>
      </w:pPr>
      <w:bookmarkStart w:id="196" w:name="_Toc355947747"/>
      <w:bookmarkStart w:id="197" w:name="_Toc356202921"/>
      <w:r w:rsidRPr="00D576C5">
        <w:t xml:space="preserve">Differential </w:t>
      </w:r>
      <w:r w:rsidR="004B1CEA" w:rsidRPr="00D576C5">
        <w:t>T</w:t>
      </w:r>
      <w:r w:rsidRPr="00D576C5">
        <w:t xml:space="preserve">ariff </w:t>
      </w:r>
      <w:r w:rsidR="004B1CEA" w:rsidRPr="00D576C5">
        <w:t>G</w:t>
      </w:r>
      <w:r w:rsidRPr="00D576C5">
        <w:t>roups</w:t>
      </w:r>
      <w:bookmarkEnd w:id="169"/>
      <w:bookmarkEnd w:id="170"/>
      <w:bookmarkEnd w:id="177"/>
      <w:bookmarkEnd w:id="195"/>
      <w:bookmarkEnd w:id="196"/>
      <w:bookmarkEnd w:id="197"/>
    </w:p>
    <w:p w:rsidR="00911D62" w:rsidRPr="00D576C5" w:rsidRDefault="00911D62">
      <w:pPr>
        <w:pStyle w:val="BodyText"/>
      </w:pPr>
      <w:r w:rsidRPr="00D576C5">
        <w:t xml:space="preserve">The </w:t>
      </w:r>
      <w:r w:rsidR="00C52306">
        <w:t>l</w:t>
      </w:r>
      <w:r w:rsidR="00C52306" w:rsidRPr="00D576C5">
        <w:t xml:space="preserve">ocal </w:t>
      </w:r>
      <w:r w:rsidR="00C52306">
        <w:t>g</w:t>
      </w:r>
      <w:r w:rsidR="00C52306" w:rsidRPr="00D576C5">
        <w:t xml:space="preserve">overnment </w:t>
      </w:r>
      <w:r w:rsidRPr="00D576C5">
        <w:t xml:space="preserve">Act allows </w:t>
      </w:r>
      <w:r w:rsidR="001C4E3A">
        <w:t>c</w:t>
      </w:r>
      <w:r w:rsidR="001C4E3A" w:rsidRPr="00D576C5">
        <w:t xml:space="preserve">ouncils </w:t>
      </w:r>
      <w:r w:rsidRPr="00D576C5">
        <w:t>to “differentiate” rates based on the use of the land, the geographic locality of the land or the use and locality of the land.</w:t>
      </w:r>
    </w:p>
    <w:p w:rsidR="00903E11" w:rsidRPr="00D576C5" w:rsidRDefault="00911D62">
      <w:pPr>
        <w:pStyle w:val="BodyText"/>
      </w:pPr>
      <w:r w:rsidRPr="00D576C5">
        <w:t xml:space="preserve">Policy Statement: Council has determined that the following differential tariff groups based on land use characteristics </w:t>
      </w:r>
      <w:r w:rsidR="000A6BA0" w:rsidRPr="00D576C5">
        <w:t xml:space="preserve">and geographical area </w:t>
      </w:r>
      <w:r w:rsidRPr="00D576C5">
        <w:t>are appropriate for rating purposes</w:t>
      </w:r>
      <w:r w:rsidR="003C41FE" w:rsidRPr="00D576C5">
        <w:t>.</w:t>
      </w:r>
      <w:r w:rsidR="00903E11" w:rsidRPr="00D576C5">
        <w:t xml:space="preserve"> </w:t>
      </w:r>
    </w:p>
    <w:p w:rsidR="00F462EA" w:rsidRDefault="00903E11">
      <w:pPr>
        <w:pStyle w:val="BodyText"/>
      </w:pPr>
      <w:r w:rsidRPr="00D576C5">
        <w:t>Reason for Policy: Council has a diverse mix of geographically located and land use properties. Valuation methodology is not consistent between differing land use property types and the establishment of differential tariff groups ensures greater equity and contribution from rates according to land use characteristics in relation to affordability and taxation principles.</w:t>
      </w:r>
      <w:r w:rsidR="000A6BA0" w:rsidRPr="00D576C5">
        <w:t xml:space="preserve"> Council has </w:t>
      </w:r>
      <w:r w:rsidR="000D72B8" w:rsidRPr="00D576C5">
        <w:t xml:space="preserve">also </w:t>
      </w:r>
      <w:r w:rsidR="000A6BA0" w:rsidRPr="00D576C5">
        <w:t xml:space="preserve">introduced a geographic rate to </w:t>
      </w:r>
      <w:bookmarkStart w:id="198" w:name="_Toc229533853"/>
      <w:bookmarkStart w:id="199" w:name="_Toc260749449"/>
      <w:r w:rsidR="00FF5288" w:rsidRPr="00D576C5">
        <w:t>ensure th</w:t>
      </w:r>
      <w:r w:rsidR="000B16D8" w:rsidRPr="00D576C5">
        <w:t xml:space="preserve">at the land defined as </w:t>
      </w:r>
      <w:r w:rsidR="001C4E3A">
        <w:t>T</w:t>
      </w:r>
      <w:r w:rsidR="001C4E3A" w:rsidRPr="00D576C5">
        <w:t xml:space="preserve">he </w:t>
      </w:r>
      <w:r w:rsidR="000B16D8" w:rsidRPr="00D576C5">
        <w:t>Point makes a contribution to the management of the environmentally sensitive land.</w:t>
      </w:r>
    </w:p>
    <w:p w:rsidR="00AB55DD" w:rsidRDefault="00911D62">
      <w:pPr>
        <w:pStyle w:val="Heading4"/>
        <w:spacing w:before="0" w:after="0"/>
      </w:pPr>
      <w:bookmarkStart w:id="200" w:name="_Toc356202922"/>
      <w:bookmarkStart w:id="201" w:name="_Toc403114390"/>
      <w:bookmarkStart w:id="202" w:name="_Toc11845121"/>
      <w:r w:rsidRPr="00D576C5">
        <w:t>Rating Differentials</w:t>
      </w:r>
      <w:bookmarkEnd w:id="198"/>
      <w:bookmarkEnd w:id="199"/>
      <w:bookmarkEnd w:id="200"/>
      <w:bookmarkEnd w:id="201"/>
      <w:bookmarkEnd w:id="202"/>
    </w:p>
    <w:p w:rsidR="00911D62" w:rsidRPr="00D576C5" w:rsidRDefault="00911D62">
      <w:pPr>
        <w:pStyle w:val="BodyText"/>
      </w:pPr>
      <w:r w:rsidRPr="00D576C5">
        <w:t xml:space="preserve">In accordance with LGA section 161 </w:t>
      </w:r>
      <w:r w:rsidR="007B04D8" w:rsidRPr="005F213A">
        <w:t xml:space="preserve">council </w:t>
      </w:r>
      <w:r w:rsidRPr="005F213A">
        <w:t>is</w:t>
      </w:r>
      <w:r w:rsidRPr="00D576C5">
        <w:t xml:space="preserve"> required</w:t>
      </w:r>
      <w:r w:rsidR="00BD599D" w:rsidRPr="00D576C5">
        <w:t>:</w:t>
      </w:r>
    </w:p>
    <w:p w:rsidR="00A23966" w:rsidRPr="00583AE6" w:rsidRDefault="00911D62" w:rsidP="005167B1">
      <w:pPr>
        <w:pStyle w:val="ListParagraph"/>
        <w:numPr>
          <w:ilvl w:val="0"/>
          <w:numId w:val="43"/>
        </w:numPr>
        <w:spacing w:after="80"/>
        <w:ind w:left="357" w:hanging="357"/>
        <w:jc w:val="both"/>
      </w:pPr>
      <w:r w:rsidRPr="00C05662">
        <w:rPr>
          <w:rFonts w:cs="Lucida Sans Unicode"/>
          <w:szCs w:val="22"/>
        </w:rPr>
        <w:t>to specify the objectives of the differential rate</w:t>
      </w:r>
      <w:r w:rsidR="00BD599D" w:rsidRPr="005A2AD5">
        <w:rPr>
          <w:rFonts w:cs="Lucida Sans Unicode"/>
          <w:szCs w:val="22"/>
        </w:rPr>
        <w:t>;</w:t>
      </w:r>
    </w:p>
    <w:p w:rsidR="00A23966" w:rsidRPr="005167B1" w:rsidRDefault="00911D62" w:rsidP="005167B1">
      <w:pPr>
        <w:pStyle w:val="ListParagraph"/>
        <w:numPr>
          <w:ilvl w:val="0"/>
          <w:numId w:val="43"/>
        </w:numPr>
        <w:spacing w:after="80"/>
        <w:ind w:left="357" w:hanging="357"/>
        <w:jc w:val="both"/>
      </w:pPr>
      <w:r w:rsidRPr="00132FCB">
        <w:rPr>
          <w:rFonts w:cs="Lucida Sans Unicode"/>
          <w:szCs w:val="22"/>
        </w:rPr>
        <w:t>to define the types and classes of land and  a statement of reasons for the use and level of that rate</w:t>
      </w:r>
      <w:r w:rsidR="00BD599D" w:rsidRPr="005167B1">
        <w:rPr>
          <w:rFonts w:cs="Lucida Sans Unicode"/>
          <w:szCs w:val="22"/>
        </w:rPr>
        <w:t>;</w:t>
      </w:r>
      <w:r w:rsidRPr="005167B1">
        <w:rPr>
          <w:rFonts w:cs="Lucida Sans Unicode"/>
          <w:szCs w:val="22"/>
        </w:rPr>
        <w:t xml:space="preserve"> and </w:t>
      </w:r>
    </w:p>
    <w:p w:rsidR="00A23966" w:rsidRPr="005167B1" w:rsidRDefault="00911D62" w:rsidP="005167B1">
      <w:pPr>
        <w:pStyle w:val="ListParagraph"/>
        <w:numPr>
          <w:ilvl w:val="0"/>
          <w:numId w:val="43"/>
        </w:numPr>
        <w:spacing w:after="80"/>
        <w:ind w:left="357" w:hanging="357"/>
        <w:jc w:val="both"/>
      </w:pPr>
      <w:r w:rsidRPr="005167B1">
        <w:rPr>
          <w:rFonts w:cs="Lucida Sans Unicode"/>
          <w:szCs w:val="22"/>
        </w:rPr>
        <w:lastRenderedPageBreak/>
        <w:t>to identify the types and classes of land in respect to uses, geographic location, planning scheme zoning, building types and any other relevant criteria.</w:t>
      </w:r>
    </w:p>
    <w:p w:rsidR="00B007F3" w:rsidRPr="00D221C5" w:rsidRDefault="00911D62">
      <w:pPr>
        <w:pStyle w:val="BodyText"/>
      </w:pPr>
      <w:r w:rsidRPr="00D576C5">
        <w:t xml:space="preserve">The purpose is to ensure that </w:t>
      </w:r>
      <w:r w:rsidR="007B04D8" w:rsidRPr="005F213A">
        <w:t>council</w:t>
      </w:r>
      <w:r w:rsidR="001C4E3A" w:rsidRPr="005F213A">
        <w:t xml:space="preserve"> </w:t>
      </w:r>
      <w:r w:rsidRPr="005F213A">
        <w:t>has a</w:t>
      </w:r>
      <w:r w:rsidRPr="00D576C5">
        <w:t xml:space="preserve"> sound basis on which to develop the various charging features when determining its revenue strategies and ensure that these are consistent with the provisions of the </w:t>
      </w:r>
      <w:r w:rsidR="00E40608">
        <w:t>LGA.</w:t>
      </w:r>
    </w:p>
    <w:p w:rsidR="00F462EA" w:rsidRDefault="00911D62">
      <w:pPr>
        <w:pStyle w:val="BodyText"/>
      </w:pPr>
      <w:r w:rsidRPr="00D576C5">
        <w:t xml:space="preserve">The general objectives of each of the </w:t>
      </w:r>
      <w:r w:rsidR="003C41FE" w:rsidRPr="00D576C5">
        <w:t>d</w:t>
      </w:r>
      <w:r w:rsidRPr="00D576C5">
        <w:t>ifferential rates is:</w:t>
      </w:r>
    </w:p>
    <w:p w:rsidR="00A23966" w:rsidRPr="005167B1" w:rsidRDefault="00911D62" w:rsidP="005167B1">
      <w:pPr>
        <w:pStyle w:val="ListParagraph"/>
        <w:numPr>
          <w:ilvl w:val="0"/>
          <w:numId w:val="43"/>
        </w:numPr>
        <w:spacing w:after="80"/>
        <w:ind w:left="357" w:hanging="357"/>
        <w:jc w:val="both"/>
      </w:pPr>
      <w:r w:rsidRPr="00C05662">
        <w:rPr>
          <w:rFonts w:cs="Lucida Sans Unicode"/>
          <w:szCs w:val="22"/>
        </w:rPr>
        <w:t xml:space="preserve">To ensure that all rateable land makes an equitable financial contribution to cost of carrying out the functions of </w:t>
      </w:r>
      <w:r w:rsidR="001C4E3A" w:rsidRPr="00132FCB">
        <w:rPr>
          <w:rFonts w:cs="Lucida Sans Unicode"/>
          <w:szCs w:val="22"/>
        </w:rPr>
        <w:t>council</w:t>
      </w:r>
      <w:r w:rsidRPr="005167B1">
        <w:rPr>
          <w:rFonts w:cs="Lucida Sans Unicode"/>
          <w:szCs w:val="22"/>
        </w:rPr>
        <w:t>, including the</w:t>
      </w:r>
      <w:r w:rsidR="00BD599D" w:rsidRPr="005167B1">
        <w:rPr>
          <w:rFonts w:cs="Lucida Sans Unicode"/>
          <w:szCs w:val="22"/>
        </w:rPr>
        <w:t>:</w:t>
      </w:r>
    </w:p>
    <w:p w:rsidR="00A23966" w:rsidRPr="005167B1" w:rsidRDefault="00911D62" w:rsidP="005167B1">
      <w:pPr>
        <w:pStyle w:val="ListParagraph"/>
        <w:numPr>
          <w:ilvl w:val="0"/>
          <w:numId w:val="43"/>
        </w:numPr>
        <w:spacing w:after="80"/>
        <w:ind w:left="357" w:hanging="357"/>
        <w:jc w:val="both"/>
      </w:pPr>
      <w:r w:rsidRPr="005167B1">
        <w:rPr>
          <w:rFonts w:cs="Lucida Sans Unicode"/>
          <w:szCs w:val="22"/>
        </w:rPr>
        <w:t>construction and maintenance of public infrastructure;</w:t>
      </w:r>
    </w:p>
    <w:p w:rsidR="00A23966" w:rsidRPr="005167B1" w:rsidRDefault="00911D62" w:rsidP="005167B1">
      <w:pPr>
        <w:pStyle w:val="ListParagraph"/>
        <w:numPr>
          <w:ilvl w:val="0"/>
          <w:numId w:val="43"/>
        </w:numPr>
        <w:spacing w:after="80"/>
        <w:ind w:left="357" w:hanging="357"/>
        <w:jc w:val="both"/>
      </w:pPr>
      <w:r w:rsidRPr="005167B1">
        <w:rPr>
          <w:rFonts w:cs="Lucida Sans Unicode"/>
          <w:szCs w:val="22"/>
        </w:rPr>
        <w:t>development and provision of health and community services;</w:t>
      </w:r>
    </w:p>
    <w:p w:rsidR="00A23966" w:rsidRPr="005167B1" w:rsidRDefault="00911D62" w:rsidP="005167B1">
      <w:pPr>
        <w:pStyle w:val="ListParagraph"/>
        <w:numPr>
          <w:ilvl w:val="0"/>
          <w:numId w:val="43"/>
        </w:numPr>
        <w:spacing w:after="80"/>
        <w:ind w:left="357" w:hanging="357"/>
        <w:jc w:val="both"/>
      </w:pPr>
      <w:r w:rsidRPr="005167B1">
        <w:rPr>
          <w:rFonts w:cs="Lucida Sans Unicode"/>
          <w:szCs w:val="22"/>
        </w:rPr>
        <w:t>provision of general support services</w:t>
      </w:r>
      <w:r w:rsidR="00BD599D" w:rsidRPr="005167B1">
        <w:rPr>
          <w:rFonts w:cs="Lucida Sans Unicode"/>
          <w:szCs w:val="22"/>
        </w:rPr>
        <w:t>;</w:t>
      </w:r>
      <w:r w:rsidR="00286B6E" w:rsidRPr="005167B1">
        <w:rPr>
          <w:rFonts w:cs="Lucida Sans Unicode"/>
          <w:szCs w:val="22"/>
        </w:rPr>
        <w:t xml:space="preserve"> </w:t>
      </w:r>
      <w:r w:rsidRPr="005167B1">
        <w:rPr>
          <w:rFonts w:cs="Lucida Sans Unicode"/>
          <w:szCs w:val="22"/>
        </w:rPr>
        <w:t>or</w:t>
      </w:r>
    </w:p>
    <w:p w:rsidR="00A23966" w:rsidRPr="005167B1" w:rsidRDefault="00E41B72" w:rsidP="005167B1">
      <w:pPr>
        <w:pStyle w:val="ListParagraph"/>
        <w:numPr>
          <w:ilvl w:val="0"/>
          <w:numId w:val="43"/>
        </w:numPr>
        <w:spacing w:after="80"/>
        <w:ind w:left="357" w:hanging="357"/>
        <w:jc w:val="both"/>
      </w:pPr>
      <w:r w:rsidRPr="005167B1">
        <w:rPr>
          <w:rFonts w:cs="Lucida Sans Unicode"/>
          <w:szCs w:val="22"/>
        </w:rPr>
        <w:t>a</w:t>
      </w:r>
      <w:r w:rsidR="00911D62" w:rsidRPr="005167B1">
        <w:rPr>
          <w:rFonts w:cs="Lucida Sans Unicode"/>
          <w:szCs w:val="22"/>
        </w:rPr>
        <w:t xml:space="preserve"> specific objective as described within the diffe</w:t>
      </w:r>
      <w:r w:rsidR="00E75C76" w:rsidRPr="005167B1">
        <w:rPr>
          <w:rFonts w:cs="Lucida Sans Unicode"/>
          <w:szCs w:val="22"/>
        </w:rPr>
        <w:t>rential characteristic.</w:t>
      </w:r>
    </w:p>
    <w:p w:rsidR="00911D62" w:rsidRPr="00D576C5" w:rsidRDefault="00911D62" w:rsidP="00D43F06">
      <w:pPr>
        <w:pStyle w:val="Heading5"/>
      </w:pPr>
      <w:r w:rsidRPr="00D576C5">
        <w:t>Types and Classes</w:t>
      </w:r>
    </w:p>
    <w:p w:rsidR="00911D62" w:rsidRPr="00D576C5" w:rsidRDefault="00911D62">
      <w:pPr>
        <w:pStyle w:val="BodyText"/>
      </w:pPr>
      <w:r w:rsidRPr="00D576C5">
        <w:t>Rateable land having the relevant characteristics described in each category below</w:t>
      </w:r>
      <w:r w:rsidR="003C41FE" w:rsidRPr="00D576C5">
        <w:t>.</w:t>
      </w:r>
    </w:p>
    <w:p w:rsidR="00911D62" w:rsidRPr="00D576C5" w:rsidRDefault="00911D62" w:rsidP="00D43F06">
      <w:pPr>
        <w:pStyle w:val="Heading5"/>
      </w:pPr>
      <w:r w:rsidRPr="00D576C5">
        <w:t>Use and Level of Differential Rate</w:t>
      </w:r>
    </w:p>
    <w:p w:rsidR="00911D62" w:rsidRPr="00D576C5" w:rsidRDefault="00911D62">
      <w:pPr>
        <w:pStyle w:val="BodyText"/>
      </w:pPr>
      <w:r w:rsidRPr="00D576C5">
        <w:t>The differential rate will be used to fund some of those items of expenditure described in the Budget adopted by Council.</w:t>
      </w:r>
    </w:p>
    <w:p w:rsidR="00911D62" w:rsidRPr="00D576C5" w:rsidRDefault="00911D62">
      <w:pPr>
        <w:pStyle w:val="BodyText"/>
      </w:pPr>
      <w:r w:rsidRPr="00D576C5">
        <w:t xml:space="preserve">The level of the differential rate is the level, which </w:t>
      </w:r>
      <w:r w:rsidR="001C4E3A">
        <w:t>c</w:t>
      </w:r>
      <w:r w:rsidR="001C4E3A" w:rsidRPr="00D576C5">
        <w:t xml:space="preserve">ouncil </w:t>
      </w:r>
      <w:r w:rsidRPr="00D576C5">
        <w:t>considers is necessary to achieve the objectives specified above.</w:t>
      </w:r>
    </w:p>
    <w:p w:rsidR="00911D62" w:rsidRPr="00D576C5" w:rsidRDefault="00911D62" w:rsidP="00D43F06">
      <w:pPr>
        <w:pStyle w:val="Heading5"/>
      </w:pPr>
      <w:r w:rsidRPr="00D576C5">
        <w:t>Geographic Location</w:t>
      </w:r>
    </w:p>
    <w:p w:rsidR="00911D62" w:rsidRPr="00D576C5" w:rsidRDefault="00911D62">
      <w:pPr>
        <w:pStyle w:val="BodyText"/>
      </w:pPr>
      <w:r w:rsidRPr="00D576C5">
        <w:t>Wherever located within the municipal district or by reference to specific location within the differential tariff description.</w:t>
      </w:r>
    </w:p>
    <w:p w:rsidR="00911D62" w:rsidRPr="00D576C5" w:rsidRDefault="00911D62" w:rsidP="00D43F06">
      <w:pPr>
        <w:pStyle w:val="Heading5"/>
      </w:pPr>
      <w:r w:rsidRPr="00D576C5">
        <w:t>Use of Land</w:t>
      </w:r>
    </w:p>
    <w:p w:rsidR="00911D62" w:rsidRPr="00D576C5" w:rsidRDefault="00911D62">
      <w:pPr>
        <w:pStyle w:val="BodyText"/>
      </w:pPr>
      <w:r w:rsidRPr="00D576C5">
        <w:t>Any use permitted under the Greater Geelong Planning Scheme.</w:t>
      </w:r>
    </w:p>
    <w:p w:rsidR="00911D62" w:rsidRPr="00D576C5" w:rsidRDefault="00911D62" w:rsidP="00D43F06">
      <w:pPr>
        <w:pStyle w:val="Heading5"/>
      </w:pPr>
      <w:r w:rsidRPr="00D576C5">
        <w:t>Planning Scheme Zoning</w:t>
      </w:r>
    </w:p>
    <w:p w:rsidR="00911D62" w:rsidRPr="00D576C5" w:rsidRDefault="00911D62">
      <w:pPr>
        <w:pStyle w:val="BodyText"/>
      </w:pPr>
      <w:r w:rsidRPr="00D576C5">
        <w:t>The zoning applicable to each rateable land within this category, as determined by consulting maps referred to in the Greater Geelong Planning Scheme.</w:t>
      </w:r>
    </w:p>
    <w:p w:rsidR="00911D62" w:rsidRPr="00D576C5" w:rsidRDefault="00911D62" w:rsidP="00D43F06">
      <w:pPr>
        <w:pStyle w:val="Heading5"/>
      </w:pPr>
      <w:r w:rsidRPr="00D576C5">
        <w:t>Types of Buildings</w:t>
      </w:r>
    </w:p>
    <w:p w:rsidR="00911D62" w:rsidRPr="00D576C5" w:rsidRDefault="00911D62">
      <w:pPr>
        <w:pStyle w:val="BodyText"/>
      </w:pPr>
      <w:r w:rsidRPr="00D576C5">
        <w:t xml:space="preserve">All buildings which are now constructed on the land or which are constructed prior to 30 June </w:t>
      </w:r>
      <w:r w:rsidR="00605CC7">
        <w:t>2020</w:t>
      </w:r>
      <w:r w:rsidR="004B1CEA" w:rsidRPr="00D576C5">
        <w:t>.</w:t>
      </w:r>
    </w:p>
    <w:p w:rsidR="00911D62" w:rsidRPr="00D576C5" w:rsidRDefault="00911D62" w:rsidP="00671F60">
      <w:pPr>
        <w:pStyle w:val="Heading4"/>
      </w:pPr>
      <w:bookmarkStart w:id="203" w:name="_Toc356202923"/>
      <w:bookmarkStart w:id="204" w:name="_Toc403114391"/>
      <w:bookmarkStart w:id="205" w:name="_Toc11845122"/>
      <w:r w:rsidRPr="00D576C5">
        <w:lastRenderedPageBreak/>
        <w:t>Differential Tariff Definitions and Characteristics</w:t>
      </w:r>
      <w:bookmarkEnd w:id="203"/>
      <w:bookmarkEnd w:id="204"/>
      <w:bookmarkEnd w:id="205"/>
      <w:r w:rsidRPr="00D576C5">
        <w:t xml:space="preserve"> </w:t>
      </w:r>
    </w:p>
    <w:p w:rsidR="00F462EA" w:rsidRDefault="00574E9B">
      <w:pPr>
        <w:pStyle w:val="BodyText"/>
      </w:pPr>
      <w:bookmarkStart w:id="206" w:name="_Toc260749455"/>
      <w:bookmarkStart w:id="207" w:name="_Toc292369511"/>
      <w:bookmarkStart w:id="208" w:name="_Toc260749453"/>
      <w:r w:rsidRPr="00574E9B">
        <w:rPr>
          <w:b/>
        </w:rPr>
        <w:t>Residential Land</w:t>
      </w:r>
      <w:r w:rsidRPr="00574E9B">
        <w:t xml:space="preserve"> - means any land: </w:t>
      </w:r>
    </w:p>
    <w:p w:rsidR="00F462EA" w:rsidRPr="001B6D5F" w:rsidRDefault="00574E9B" w:rsidP="00B007F3">
      <w:pPr>
        <w:pStyle w:val="ListParagraph"/>
        <w:numPr>
          <w:ilvl w:val="0"/>
          <w:numId w:val="44"/>
        </w:numPr>
        <w:ind w:left="360"/>
      </w:pPr>
      <w:r w:rsidRPr="001B6D5F">
        <w:t>that is used exclusively for residential purposes; or</w:t>
      </w:r>
    </w:p>
    <w:p w:rsidR="00F462EA" w:rsidRPr="001B6D5F" w:rsidRDefault="00574E9B" w:rsidP="00B007F3">
      <w:pPr>
        <w:pStyle w:val="ListParagraph"/>
        <w:numPr>
          <w:ilvl w:val="0"/>
          <w:numId w:val="44"/>
        </w:numPr>
        <w:ind w:left="360"/>
      </w:pPr>
      <w:r w:rsidRPr="001B6D5F">
        <w:t>on which a habitable building is erected, which building is unoccupied, and which is zoned residential under the Greater Geelong Planning Scheme.</w:t>
      </w:r>
    </w:p>
    <w:p w:rsidR="00574E9B" w:rsidRPr="00574E9B" w:rsidRDefault="00574E9B" w:rsidP="00D43F06">
      <w:pPr>
        <w:pStyle w:val="Heading5"/>
      </w:pPr>
      <w:r w:rsidRPr="00574E9B">
        <w:t xml:space="preserve">Rating Objective: </w:t>
      </w:r>
    </w:p>
    <w:p w:rsidR="00574E9B" w:rsidRPr="00574E9B" w:rsidRDefault="00574E9B">
      <w:pPr>
        <w:pStyle w:val="BodyText"/>
      </w:pPr>
      <w:r w:rsidRPr="00574E9B">
        <w:t xml:space="preserve">To ensure that all rateable land makes an equitable and efficient financial contribution to the cost of carrying out the functions of </w:t>
      </w:r>
      <w:r w:rsidR="001C4E3A">
        <w:t>the City</w:t>
      </w:r>
      <w:r w:rsidR="001C4E3A" w:rsidRPr="00574E9B">
        <w:t xml:space="preserve"> </w:t>
      </w:r>
      <w:r w:rsidRPr="00574E9B">
        <w:t>generally, including the:</w:t>
      </w:r>
    </w:p>
    <w:p w:rsidR="00F462EA" w:rsidRPr="001B6D5F" w:rsidRDefault="00574E9B" w:rsidP="0027081E">
      <w:pPr>
        <w:pStyle w:val="ListParagraph"/>
        <w:numPr>
          <w:ilvl w:val="0"/>
          <w:numId w:val="45"/>
        </w:numPr>
        <w:ind w:left="360"/>
        <w:jc w:val="both"/>
      </w:pPr>
      <w:r w:rsidRPr="001B6D5F">
        <w:t>construction and maintenance of public infrastructure;</w:t>
      </w:r>
    </w:p>
    <w:p w:rsidR="00F462EA" w:rsidRPr="001B6D5F" w:rsidRDefault="00574E9B" w:rsidP="0027081E">
      <w:pPr>
        <w:pStyle w:val="ListParagraph"/>
        <w:numPr>
          <w:ilvl w:val="0"/>
          <w:numId w:val="45"/>
        </w:numPr>
        <w:ind w:left="360"/>
        <w:jc w:val="both"/>
      </w:pPr>
      <w:r w:rsidRPr="001B6D5F">
        <w:t>development and provision of health and community services; and</w:t>
      </w:r>
    </w:p>
    <w:p w:rsidR="00F462EA" w:rsidRPr="001B6D5F" w:rsidRDefault="00574E9B" w:rsidP="0027081E">
      <w:pPr>
        <w:pStyle w:val="ListParagraph"/>
        <w:numPr>
          <w:ilvl w:val="0"/>
          <w:numId w:val="45"/>
        </w:numPr>
        <w:ind w:left="360"/>
        <w:jc w:val="both"/>
      </w:pPr>
      <w:r w:rsidRPr="001B6D5F">
        <w:t>provision of general support services.</w:t>
      </w:r>
    </w:p>
    <w:p w:rsidR="00574E9B" w:rsidRPr="00574E9B" w:rsidRDefault="00574E9B">
      <w:pPr>
        <w:pStyle w:val="BodyText"/>
      </w:pPr>
      <w:r w:rsidRPr="00574E9B">
        <w:rPr>
          <w:b/>
        </w:rPr>
        <w:t>Vacant Land</w:t>
      </w:r>
      <w:r w:rsidRPr="00574E9B">
        <w:t xml:space="preserve"> - means any land: </w:t>
      </w:r>
    </w:p>
    <w:p w:rsidR="00854FD1" w:rsidRPr="001B6D5F" w:rsidRDefault="00574E9B" w:rsidP="0027081E">
      <w:pPr>
        <w:pStyle w:val="ListParagraph"/>
        <w:numPr>
          <w:ilvl w:val="0"/>
          <w:numId w:val="46"/>
        </w:numPr>
        <w:ind w:left="360"/>
        <w:jc w:val="both"/>
      </w:pPr>
      <w:r w:rsidRPr="001B6D5F">
        <w:t xml:space="preserve">that does not have the characteristics of Farm Land; and </w:t>
      </w:r>
    </w:p>
    <w:p w:rsidR="00F462EA" w:rsidRPr="001B6D5F" w:rsidRDefault="00574E9B" w:rsidP="0027081E">
      <w:pPr>
        <w:pStyle w:val="ListParagraph"/>
        <w:numPr>
          <w:ilvl w:val="0"/>
          <w:numId w:val="46"/>
        </w:numPr>
        <w:ind w:left="360"/>
        <w:jc w:val="both"/>
      </w:pPr>
      <w:r w:rsidRPr="001B6D5F">
        <w:t>on which no building is erected, save for any uninhabitable shed or shelter, the size of which does not exceed 5% of the total area of the land.</w:t>
      </w:r>
    </w:p>
    <w:p w:rsidR="00574E9B" w:rsidRPr="00574E9B" w:rsidRDefault="00574E9B" w:rsidP="0027081E">
      <w:pPr>
        <w:pStyle w:val="Heading5"/>
        <w:jc w:val="both"/>
      </w:pPr>
      <w:r w:rsidRPr="00574E9B">
        <w:t xml:space="preserve">Rating Objectives: </w:t>
      </w:r>
    </w:p>
    <w:p w:rsidR="00854FD1" w:rsidRDefault="00574E9B" w:rsidP="001B1CDE">
      <w:pPr>
        <w:jc w:val="both"/>
      </w:pPr>
      <w:r w:rsidRPr="00574E9B">
        <w:t xml:space="preserve">To ensure that all rateable land makes an equitable and efficient financial contribution to the cost of carrying out the functions of </w:t>
      </w:r>
      <w:r w:rsidR="001C4E3A">
        <w:t>the City</w:t>
      </w:r>
      <w:r w:rsidR="001C4E3A" w:rsidRPr="00574E9B">
        <w:t xml:space="preserve"> </w:t>
      </w:r>
      <w:r w:rsidRPr="00574E9B">
        <w:t>generally, including the:</w:t>
      </w:r>
    </w:p>
    <w:p w:rsidR="00854FD1" w:rsidRDefault="00574E9B" w:rsidP="006D6A25">
      <w:pPr>
        <w:pStyle w:val="ListParagraph"/>
        <w:numPr>
          <w:ilvl w:val="0"/>
          <w:numId w:val="75"/>
        </w:numPr>
        <w:ind w:left="426" w:hanging="426"/>
        <w:jc w:val="both"/>
      </w:pPr>
      <w:r w:rsidRPr="00532590">
        <w:t>construction and maintenance of public infrastructure;</w:t>
      </w:r>
    </w:p>
    <w:p w:rsidR="00854FD1" w:rsidRDefault="00574E9B" w:rsidP="006D6A25">
      <w:pPr>
        <w:pStyle w:val="ListParagraph"/>
        <w:numPr>
          <w:ilvl w:val="0"/>
          <w:numId w:val="75"/>
        </w:numPr>
        <w:ind w:left="426" w:hanging="426"/>
        <w:jc w:val="both"/>
      </w:pPr>
      <w:r w:rsidRPr="00532590">
        <w:t>development and provision of health and community services; and</w:t>
      </w:r>
    </w:p>
    <w:p w:rsidR="00854FD1" w:rsidRDefault="00574E9B" w:rsidP="006D6A25">
      <w:pPr>
        <w:pStyle w:val="ListParagraph"/>
        <w:numPr>
          <w:ilvl w:val="0"/>
          <w:numId w:val="75"/>
        </w:numPr>
        <w:ind w:left="426" w:hanging="426"/>
        <w:jc w:val="both"/>
      </w:pPr>
      <w:r w:rsidRPr="00532590">
        <w:t>provision of general support services.</w:t>
      </w:r>
    </w:p>
    <w:p w:rsidR="00854FD1" w:rsidRDefault="00574E9B" w:rsidP="001B1CDE">
      <w:pPr>
        <w:jc w:val="both"/>
      </w:pPr>
      <w:r w:rsidRPr="004C2F0A">
        <w:t>To encourage the prompt development of vacant land to attract new residents and businesses to the City of Greater Geelong.</w:t>
      </w:r>
    </w:p>
    <w:p w:rsidR="00697FA8" w:rsidRDefault="00574E9B" w:rsidP="001B1CDE">
      <w:pPr>
        <w:jc w:val="both"/>
      </w:pPr>
      <w:r w:rsidRPr="004C2F0A">
        <w:t>To discourage untimely and unnecessary divisions of land.</w:t>
      </w:r>
    </w:p>
    <w:p w:rsidR="00574E9B" w:rsidRPr="00574E9B" w:rsidRDefault="00574E9B">
      <w:pPr>
        <w:pStyle w:val="BodyText"/>
      </w:pPr>
      <w:r w:rsidRPr="00574E9B">
        <w:t xml:space="preserve">These objectives will be met by setting the Vacant Land differential at </w:t>
      </w:r>
      <w:r w:rsidR="00605CC7">
        <w:t>146.1</w:t>
      </w:r>
      <w:r w:rsidRPr="00574E9B">
        <w:t>% of the Residential Land differential.</w:t>
      </w:r>
    </w:p>
    <w:p w:rsidR="003C2F80" w:rsidRPr="00BB7550" w:rsidRDefault="003C2F80">
      <w:pPr>
        <w:pStyle w:val="BodyText"/>
      </w:pPr>
      <w:r w:rsidRPr="00BB7550">
        <w:rPr>
          <w:b/>
        </w:rPr>
        <w:t xml:space="preserve">Commercial Land </w:t>
      </w:r>
      <w:r w:rsidRPr="00BB7550">
        <w:t>– means any land that:</w:t>
      </w:r>
    </w:p>
    <w:p w:rsidR="003C2F80" w:rsidRPr="00D6252C" w:rsidRDefault="003C2F80" w:rsidP="0027081E">
      <w:pPr>
        <w:pStyle w:val="ListParagraph"/>
        <w:numPr>
          <w:ilvl w:val="0"/>
          <w:numId w:val="47"/>
        </w:numPr>
        <w:ind w:left="360"/>
        <w:jc w:val="both"/>
      </w:pPr>
      <w:r w:rsidRPr="00D6252C">
        <w:t>does not have the characteristics of:</w:t>
      </w:r>
    </w:p>
    <w:p w:rsidR="003C2F80" w:rsidRPr="00532590" w:rsidRDefault="002656B6" w:rsidP="0027081E">
      <w:pPr>
        <w:pStyle w:val="ListParagraph"/>
        <w:numPr>
          <w:ilvl w:val="0"/>
          <w:numId w:val="48"/>
        </w:numPr>
        <w:jc w:val="both"/>
      </w:pPr>
      <w:r>
        <w:lastRenderedPageBreak/>
        <w:t xml:space="preserve">  </w:t>
      </w:r>
      <w:r w:rsidR="003C2F80" w:rsidRPr="00532590">
        <w:t>Farm Land; or</w:t>
      </w:r>
    </w:p>
    <w:p w:rsidR="003C2F80" w:rsidRPr="00532590" w:rsidRDefault="003C2F80" w:rsidP="0027081E">
      <w:pPr>
        <w:pStyle w:val="ListParagraph"/>
        <w:numPr>
          <w:ilvl w:val="0"/>
          <w:numId w:val="48"/>
        </w:numPr>
        <w:jc w:val="both"/>
      </w:pPr>
      <w:r w:rsidRPr="00532590">
        <w:t xml:space="preserve">Industrial Land; </w:t>
      </w:r>
      <w:r w:rsidR="00DF4935">
        <w:t>and</w:t>
      </w:r>
    </w:p>
    <w:p w:rsidR="003C2F80" w:rsidRPr="00532590" w:rsidRDefault="002656B6" w:rsidP="0027081E">
      <w:pPr>
        <w:pStyle w:val="ListParagraph"/>
        <w:numPr>
          <w:ilvl w:val="0"/>
          <w:numId w:val="48"/>
        </w:numPr>
        <w:jc w:val="both"/>
      </w:pPr>
      <w:r>
        <w:t xml:space="preserve">  </w:t>
      </w:r>
      <w:r w:rsidR="003C2F80" w:rsidRPr="00532590">
        <w:t>Petroleum Production Land</w:t>
      </w:r>
    </w:p>
    <w:p w:rsidR="003C2F80" w:rsidRPr="00D6252C" w:rsidRDefault="003C2F80" w:rsidP="0027081E">
      <w:pPr>
        <w:pStyle w:val="ListParagraph"/>
        <w:numPr>
          <w:ilvl w:val="0"/>
          <w:numId w:val="47"/>
        </w:numPr>
        <w:ind w:left="360"/>
        <w:jc w:val="both"/>
      </w:pPr>
      <w:r w:rsidRPr="00831CD3">
        <w:t>is used predomina</w:t>
      </w:r>
      <w:r>
        <w:t>n</w:t>
      </w:r>
      <w:r w:rsidRPr="00831CD3">
        <w:t>tly for the sale of goods or services or other commercial purposes;</w:t>
      </w:r>
      <w:r w:rsidRPr="00D6252C">
        <w:t xml:space="preserve"> or</w:t>
      </w:r>
    </w:p>
    <w:p w:rsidR="003C2F80" w:rsidRPr="00D6252C" w:rsidRDefault="003C2F80" w:rsidP="0027081E">
      <w:pPr>
        <w:pStyle w:val="ListParagraph"/>
        <w:numPr>
          <w:ilvl w:val="0"/>
          <w:numId w:val="47"/>
        </w:numPr>
        <w:ind w:left="360"/>
        <w:jc w:val="both"/>
      </w:pPr>
      <w:r w:rsidRPr="00D6252C">
        <w:t>on which a habitable building is erected, which building is unoccupied, and which is zoned other than residential under the Greater Geelong Planning Scheme.</w:t>
      </w:r>
    </w:p>
    <w:p w:rsidR="003C2F80" w:rsidRPr="00574E9B" w:rsidRDefault="003C2F80" w:rsidP="0027081E">
      <w:pPr>
        <w:pStyle w:val="Heading5"/>
        <w:jc w:val="both"/>
      </w:pPr>
      <w:r w:rsidRPr="00574E9B">
        <w:t xml:space="preserve">Rating Objective: </w:t>
      </w:r>
    </w:p>
    <w:p w:rsidR="003C2F80" w:rsidRPr="00D6252C" w:rsidRDefault="003C2F80">
      <w:pPr>
        <w:pStyle w:val="BodyText"/>
      </w:pPr>
      <w:r w:rsidRPr="00D6252C">
        <w:t xml:space="preserve">To ensure that all rateable land makes an equitable and efficient financial contribution to the cost of carrying out the functions of </w:t>
      </w:r>
      <w:r w:rsidR="001C4E3A">
        <w:t>the City</w:t>
      </w:r>
      <w:r w:rsidR="001C4E3A" w:rsidRPr="00D6252C">
        <w:t xml:space="preserve"> </w:t>
      </w:r>
      <w:r w:rsidRPr="00D6252C">
        <w:t>generally, including the:</w:t>
      </w:r>
    </w:p>
    <w:p w:rsidR="003C2F80" w:rsidRPr="00574E9B" w:rsidRDefault="003C2F80" w:rsidP="0027081E">
      <w:pPr>
        <w:pStyle w:val="ListParagraph"/>
        <w:numPr>
          <w:ilvl w:val="0"/>
          <w:numId w:val="49"/>
        </w:numPr>
        <w:ind w:left="360"/>
        <w:jc w:val="both"/>
      </w:pPr>
      <w:r w:rsidRPr="00574E9B">
        <w:t>construction and maintenance of public infrastructure;</w:t>
      </w:r>
    </w:p>
    <w:p w:rsidR="003C2F80" w:rsidRPr="00574E9B" w:rsidRDefault="003C2F80" w:rsidP="0027081E">
      <w:pPr>
        <w:pStyle w:val="ListParagraph"/>
        <w:numPr>
          <w:ilvl w:val="0"/>
          <w:numId w:val="49"/>
        </w:numPr>
        <w:ind w:left="360"/>
        <w:jc w:val="both"/>
      </w:pPr>
      <w:r w:rsidRPr="00574E9B">
        <w:t>development and provision of health and community services; and</w:t>
      </w:r>
    </w:p>
    <w:p w:rsidR="003C2F80" w:rsidRPr="00574E9B" w:rsidRDefault="003C2F80" w:rsidP="0027081E">
      <w:pPr>
        <w:pStyle w:val="ListParagraph"/>
        <w:numPr>
          <w:ilvl w:val="0"/>
          <w:numId w:val="49"/>
        </w:numPr>
        <w:ind w:left="360"/>
        <w:jc w:val="both"/>
      </w:pPr>
      <w:r w:rsidRPr="00574E9B">
        <w:t>provision of general support services.</w:t>
      </w:r>
    </w:p>
    <w:p w:rsidR="003C2F80" w:rsidRPr="00574E9B" w:rsidRDefault="003C2F80">
      <w:pPr>
        <w:pStyle w:val="BodyText"/>
      </w:pPr>
      <w:r w:rsidRPr="002508AC">
        <w:t>The Point – Residential Land -</w:t>
      </w:r>
      <w:r w:rsidRPr="00574E9B">
        <w:t xml:space="preserve"> means any land that:</w:t>
      </w:r>
    </w:p>
    <w:p w:rsidR="003C2F80" w:rsidRPr="00574E9B" w:rsidRDefault="003C2F80" w:rsidP="0027081E">
      <w:pPr>
        <w:pStyle w:val="ListParagraph"/>
        <w:numPr>
          <w:ilvl w:val="0"/>
          <w:numId w:val="50"/>
        </w:numPr>
        <w:ind w:left="360"/>
        <w:jc w:val="both"/>
      </w:pPr>
      <w:r w:rsidRPr="00574E9B">
        <w:t>is used exclusively for residential purposes; or</w:t>
      </w:r>
    </w:p>
    <w:p w:rsidR="003C2F80" w:rsidRPr="00574E9B" w:rsidRDefault="003C2F80" w:rsidP="0027081E">
      <w:pPr>
        <w:pStyle w:val="ListParagraph"/>
        <w:numPr>
          <w:ilvl w:val="0"/>
          <w:numId w:val="50"/>
        </w:numPr>
        <w:ind w:left="360"/>
        <w:jc w:val="both"/>
      </w:pPr>
      <w:r w:rsidRPr="00574E9B">
        <w:t>on which a habitable building is erected, which building is unoccupied, and which is zoned residential under the Greater Geelong Planning Scheme; and</w:t>
      </w:r>
    </w:p>
    <w:p w:rsidR="003C2F80" w:rsidRPr="00574E9B" w:rsidRDefault="007942F5" w:rsidP="0027081E">
      <w:pPr>
        <w:pStyle w:val="ListParagraph"/>
        <w:numPr>
          <w:ilvl w:val="0"/>
          <w:numId w:val="50"/>
        </w:numPr>
        <w:ind w:left="360"/>
        <w:jc w:val="both"/>
      </w:pPr>
      <w:r w:rsidRPr="007942F5">
        <w:t xml:space="preserve">forms part of the land </w:t>
      </w:r>
      <w:r w:rsidR="00CE47CD" w:rsidRPr="007C7AF9">
        <w:rPr>
          <w:rFonts w:cs="Arial"/>
          <w:szCs w:val="22"/>
        </w:rPr>
        <w:t xml:space="preserve">formerly described in Certificate of Title Volume </w:t>
      </w:r>
      <w:r w:rsidR="00CE47CD">
        <w:rPr>
          <w:rFonts w:cs="Arial"/>
          <w:szCs w:val="22"/>
        </w:rPr>
        <w:t>09901</w:t>
      </w:r>
      <w:r w:rsidR="00CE47CD" w:rsidRPr="007C7AF9">
        <w:rPr>
          <w:rFonts w:cs="Arial"/>
          <w:szCs w:val="22"/>
        </w:rPr>
        <w:t xml:space="preserve"> Folio </w:t>
      </w:r>
      <w:r w:rsidR="00CE47CD">
        <w:rPr>
          <w:rFonts w:cs="Arial"/>
          <w:szCs w:val="22"/>
        </w:rPr>
        <w:t>324</w:t>
      </w:r>
      <w:r w:rsidR="00CE47CD" w:rsidRPr="007C7AF9">
        <w:rPr>
          <w:rFonts w:cs="Arial"/>
          <w:szCs w:val="22"/>
        </w:rPr>
        <w:t xml:space="preserve"> and also described </w:t>
      </w:r>
      <w:r w:rsidR="00CE47CD">
        <w:rPr>
          <w:rFonts w:cs="Arial"/>
          <w:szCs w:val="22"/>
        </w:rPr>
        <w:t xml:space="preserve">as Lot B PS 635643, PS 640648Y, PS 722221H, </w:t>
      </w:r>
      <w:r w:rsidR="00CE47CD" w:rsidRPr="007C7AF9">
        <w:rPr>
          <w:rFonts w:cs="Arial"/>
          <w:szCs w:val="22"/>
        </w:rPr>
        <w:t xml:space="preserve"> </w:t>
      </w:r>
      <w:r w:rsidR="00CE47CD">
        <w:rPr>
          <w:rFonts w:cs="Arial"/>
          <w:szCs w:val="22"/>
        </w:rPr>
        <w:t>PS 722220K, PS 743868K, PS 732908M, PS 638301D, PS 635642R, PS</w:t>
      </w:r>
      <w:r w:rsidR="00605CC7">
        <w:rPr>
          <w:rFonts w:cs="Arial"/>
          <w:szCs w:val="22"/>
        </w:rPr>
        <w:t xml:space="preserve"> </w:t>
      </w:r>
      <w:r w:rsidR="00CE47CD">
        <w:rPr>
          <w:rFonts w:cs="Arial"/>
          <w:szCs w:val="22"/>
        </w:rPr>
        <w:t>722215C</w:t>
      </w:r>
      <w:r w:rsidR="008E6D19">
        <w:rPr>
          <w:rFonts w:cs="Arial"/>
          <w:szCs w:val="22"/>
        </w:rPr>
        <w:t xml:space="preserve">, </w:t>
      </w:r>
      <w:r w:rsidR="00CE47CD">
        <w:rPr>
          <w:rFonts w:cs="Arial"/>
          <w:szCs w:val="22"/>
        </w:rPr>
        <w:t>PS 722214E</w:t>
      </w:r>
      <w:r w:rsidR="008E6D19">
        <w:rPr>
          <w:rFonts w:cs="Arial"/>
          <w:szCs w:val="22"/>
        </w:rPr>
        <w:t>, PS 743877, PS 816893, PS 743876</w:t>
      </w:r>
      <w:r w:rsidR="00605CC7">
        <w:rPr>
          <w:rFonts w:cs="Arial"/>
          <w:szCs w:val="22"/>
        </w:rPr>
        <w:t xml:space="preserve">, </w:t>
      </w:r>
      <w:r w:rsidR="008E6D19">
        <w:rPr>
          <w:rFonts w:cs="Arial"/>
          <w:szCs w:val="22"/>
        </w:rPr>
        <w:t>PS 743878</w:t>
      </w:r>
      <w:r w:rsidR="00605CC7">
        <w:rPr>
          <w:rFonts w:cs="Arial"/>
          <w:szCs w:val="22"/>
        </w:rPr>
        <w:t>, PS 822924, PS  822922, PS 822918 and PS 816907.</w:t>
      </w:r>
    </w:p>
    <w:p w:rsidR="003C2F80" w:rsidRPr="00574E9B" w:rsidRDefault="003C2F80" w:rsidP="0027081E">
      <w:pPr>
        <w:pStyle w:val="Heading5"/>
        <w:jc w:val="both"/>
      </w:pPr>
      <w:r w:rsidRPr="00574E9B">
        <w:t xml:space="preserve">Rating Objectives: </w:t>
      </w:r>
    </w:p>
    <w:p w:rsidR="003C2F80" w:rsidRPr="00574E9B" w:rsidRDefault="003C2F80" w:rsidP="002508AC">
      <w:pPr>
        <w:jc w:val="both"/>
      </w:pPr>
      <w:r w:rsidRPr="00574E9B">
        <w:t xml:space="preserve">To ensure that all rateable land makes an equitable and efficient financial contribution to the cost of carrying out the functions of </w:t>
      </w:r>
      <w:r w:rsidR="001C4E3A">
        <w:t>the City</w:t>
      </w:r>
      <w:r w:rsidR="001C4E3A" w:rsidRPr="00574E9B">
        <w:t xml:space="preserve"> </w:t>
      </w:r>
      <w:r w:rsidRPr="00574E9B">
        <w:t>generally, including the:</w:t>
      </w:r>
    </w:p>
    <w:p w:rsidR="003C2F80" w:rsidRPr="00574E9B" w:rsidRDefault="003C2F80" w:rsidP="004842B1">
      <w:pPr>
        <w:pStyle w:val="ListParagraph"/>
        <w:numPr>
          <w:ilvl w:val="0"/>
          <w:numId w:val="53"/>
        </w:numPr>
        <w:ind w:left="360"/>
        <w:jc w:val="both"/>
      </w:pPr>
      <w:r w:rsidRPr="00574E9B">
        <w:t>construction and maintenance of public infrastructure;</w:t>
      </w:r>
    </w:p>
    <w:p w:rsidR="003C2F80" w:rsidRPr="00574E9B" w:rsidRDefault="003C2F80" w:rsidP="004842B1">
      <w:pPr>
        <w:pStyle w:val="ListParagraph"/>
        <w:numPr>
          <w:ilvl w:val="0"/>
          <w:numId w:val="53"/>
        </w:numPr>
        <w:ind w:left="360"/>
        <w:jc w:val="both"/>
      </w:pPr>
      <w:r w:rsidRPr="00574E9B">
        <w:t>development and provision of health and community services;</w:t>
      </w:r>
    </w:p>
    <w:p w:rsidR="003C2F80" w:rsidRPr="00574E9B" w:rsidRDefault="003C2F80" w:rsidP="004842B1">
      <w:pPr>
        <w:pStyle w:val="ListParagraph"/>
        <w:numPr>
          <w:ilvl w:val="0"/>
          <w:numId w:val="53"/>
        </w:numPr>
        <w:ind w:left="360"/>
        <w:jc w:val="both"/>
      </w:pPr>
      <w:r w:rsidRPr="00574E9B">
        <w:t>provision of general support services; and</w:t>
      </w:r>
    </w:p>
    <w:p w:rsidR="003C2F80" w:rsidRPr="00574E9B" w:rsidRDefault="003C2F80" w:rsidP="004842B1">
      <w:pPr>
        <w:pStyle w:val="ListParagraph"/>
        <w:numPr>
          <w:ilvl w:val="0"/>
          <w:numId w:val="53"/>
        </w:numPr>
        <w:ind w:left="360"/>
        <w:jc w:val="both"/>
      </w:pPr>
      <w:r w:rsidRPr="00574E9B">
        <w:t xml:space="preserve">management of environmentally sensitive land. </w:t>
      </w:r>
    </w:p>
    <w:p w:rsidR="003C2F80" w:rsidRPr="00D6252C" w:rsidRDefault="003C2F80" w:rsidP="002508AC">
      <w:pPr>
        <w:jc w:val="both"/>
      </w:pPr>
      <w:r w:rsidRPr="00D6252C">
        <w:lastRenderedPageBreak/>
        <w:t xml:space="preserve">To ensure that, following the development of the Point Land, and transfer to </w:t>
      </w:r>
      <w:r w:rsidR="001C4E3A">
        <w:t>the City</w:t>
      </w:r>
      <w:r w:rsidR="001C4E3A" w:rsidRPr="00D6252C">
        <w:t xml:space="preserve"> </w:t>
      </w:r>
      <w:r w:rsidRPr="00D6252C">
        <w:t xml:space="preserve">of the management of environmentally sensitive land, including the provision of a range of services around an existing waterway, constructed lake and canal system, an equitable and efficient financial contribution to the cost of </w:t>
      </w:r>
      <w:r w:rsidR="001C4E3A">
        <w:t>the City’s</w:t>
      </w:r>
      <w:r w:rsidR="001C4E3A" w:rsidRPr="00D6252C">
        <w:t xml:space="preserve"> </w:t>
      </w:r>
      <w:r w:rsidRPr="00D6252C">
        <w:t xml:space="preserve">management responsibilities will be made by the ratepayers in respect of that land. </w:t>
      </w:r>
    </w:p>
    <w:p w:rsidR="00A16249" w:rsidRDefault="007436D1">
      <w:pPr>
        <w:pStyle w:val="BodyText"/>
      </w:pPr>
      <w:r w:rsidRPr="002508AC">
        <w:t>The Point – Vacant Land -</w:t>
      </w:r>
      <w:r w:rsidRPr="00574E9B">
        <w:t xml:space="preserve"> means any land:</w:t>
      </w:r>
    </w:p>
    <w:p w:rsidR="007436D1" w:rsidRPr="00574E9B" w:rsidRDefault="007436D1" w:rsidP="0027081E">
      <w:pPr>
        <w:pStyle w:val="ListParagraph"/>
        <w:numPr>
          <w:ilvl w:val="0"/>
          <w:numId w:val="51"/>
        </w:numPr>
        <w:ind w:left="360"/>
        <w:jc w:val="both"/>
      </w:pPr>
      <w:r w:rsidRPr="00574E9B">
        <w:t xml:space="preserve">that does not have the characteristics of Farm Land;  and </w:t>
      </w:r>
    </w:p>
    <w:p w:rsidR="00957AD1" w:rsidRDefault="007436D1" w:rsidP="0027081E">
      <w:pPr>
        <w:pStyle w:val="ListParagraph"/>
        <w:numPr>
          <w:ilvl w:val="0"/>
          <w:numId w:val="51"/>
        </w:numPr>
        <w:ind w:left="360"/>
        <w:jc w:val="both"/>
      </w:pPr>
      <w:r w:rsidRPr="00574E9B">
        <w:t>on which no building is erected save for any small uninhabitable storage shed or shelter, the size of which does not exceed 5% of the total land area; and</w:t>
      </w:r>
      <w:r w:rsidRPr="00574E9B" w:rsidDel="003C41FE">
        <w:t xml:space="preserve"> </w:t>
      </w:r>
    </w:p>
    <w:p w:rsidR="007436D1" w:rsidRPr="00574E9B" w:rsidRDefault="00FC09BF" w:rsidP="0027081E">
      <w:pPr>
        <w:pStyle w:val="ListParagraph"/>
        <w:numPr>
          <w:ilvl w:val="0"/>
          <w:numId w:val="51"/>
        </w:numPr>
        <w:ind w:left="360"/>
        <w:jc w:val="both"/>
      </w:pPr>
      <w:r>
        <w:t xml:space="preserve">forms part of the land formerly </w:t>
      </w:r>
      <w:r w:rsidRPr="007C7AF9">
        <w:rPr>
          <w:rFonts w:cs="Arial"/>
          <w:szCs w:val="22"/>
        </w:rPr>
        <w:t xml:space="preserve">described in Certificate of Title Volume </w:t>
      </w:r>
      <w:r>
        <w:rPr>
          <w:rFonts w:cs="Arial"/>
          <w:szCs w:val="22"/>
        </w:rPr>
        <w:t>09901</w:t>
      </w:r>
      <w:r w:rsidRPr="007C7AF9">
        <w:rPr>
          <w:rFonts w:cs="Arial"/>
          <w:szCs w:val="22"/>
        </w:rPr>
        <w:t xml:space="preserve"> Folio </w:t>
      </w:r>
      <w:r>
        <w:rPr>
          <w:rFonts w:cs="Arial"/>
          <w:szCs w:val="22"/>
        </w:rPr>
        <w:t>324</w:t>
      </w:r>
      <w:r w:rsidRPr="007C7AF9">
        <w:rPr>
          <w:rFonts w:cs="Arial"/>
          <w:szCs w:val="22"/>
        </w:rPr>
        <w:t xml:space="preserve"> and also described </w:t>
      </w:r>
      <w:r>
        <w:rPr>
          <w:rFonts w:cs="Arial"/>
          <w:szCs w:val="22"/>
        </w:rPr>
        <w:t xml:space="preserve">as Lot B PS 635643, PS 640648Y, PS 722221H, </w:t>
      </w:r>
      <w:r w:rsidRPr="007C7AF9">
        <w:rPr>
          <w:rFonts w:cs="Arial"/>
          <w:szCs w:val="22"/>
        </w:rPr>
        <w:t xml:space="preserve"> </w:t>
      </w:r>
      <w:r>
        <w:rPr>
          <w:rFonts w:cs="Arial"/>
          <w:szCs w:val="22"/>
        </w:rPr>
        <w:t>PS 722220K, PS 743868K, PS 732908M, PS 638301D, PS 635642R, PS722215C, PS 722214E, PS 743877, PS 816893, PS 743876 and PS 743878</w:t>
      </w:r>
      <w:r w:rsidR="00605CC7">
        <w:rPr>
          <w:rFonts w:cs="Arial"/>
          <w:szCs w:val="22"/>
        </w:rPr>
        <w:t>, PS 822924, PS  822922, PS 822918 and PS 816907</w:t>
      </w:r>
      <w:r>
        <w:rPr>
          <w:rFonts w:cs="Arial"/>
          <w:szCs w:val="22"/>
        </w:rPr>
        <w:t>.</w:t>
      </w:r>
    </w:p>
    <w:p w:rsidR="00A16249" w:rsidRDefault="007436D1" w:rsidP="0027081E">
      <w:pPr>
        <w:pStyle w:val="Heading5"/>
        <w:jc w:val="both"/>
      </w:pPr>
      <w:r w:rsidRPr="00574E9B">
        <w:t xml:space="preserve">Rating Objectives: </w:t>
      </w:r>
    </w:p>
    <w:p w:rsidR="007436D1" w:rsidRPr="00574E9B" w:rsidRDefault="007436D1" w:rsidP="002508AC">
      <w:pPr>
        <w:jc w:val="both"/>
      </w:pPr>
      <w:r w:rsidRPr="00574E9B">
        <w:t xml:space="preserve">To ensure that all rateable land makes an equitable and efficient financial contribution to the cost of carrying out the functions of </w:t>
      </w:r>
      <w:r w:rsidR="001C4E3A">
        <w:t>the City</w:t>
      </w:r>
      <w:r w:rsidRPr="00574E9B">
        <w:t>, generally including the:</w:t>
      </w:r>
    </w:p>
    <w:p w:rsidR="007436D1" w:rsidRPr="00574E9B" w:rsidRDefault="007436D1" w:rsidP="004842B1">
      <w:pPr>
        <w:pStyle w:val="ListParagraph"/>
        <w:numPr>
          <w:ilvl w:val="0"/>
          <w:numId w:val="55"/>
        </w:numPr>
        <w:ind w:left="360"/>
        <w:jc w:val="both"/>
      </w:pPr>
      <w:r w:rsidRPr="00574E9B">
        <w:t>construction and maintenance of public infrastructure;</w:t>
      </w:r>
    </w:p>
    <w:p w:rsidR="007436D1" w:rsidRPr="00574E9B" w:rsidRDefault="007436D1" w:rsidP="004842B1">
      <w:pPr>
        <w:pStyle w:val="ListParagraph"/>
        <w:numPr>
          <w:ilvl w:val="0"/>
          <w:numId w:val="55"/>
        </w:numPr>
        <w:ind w:left="360"/>
        <w:jc w:val="both"/>
      </w:pPr>
      <w:r w:rsidRPr="00574E9B">
        <w:t>development and provision of health and community services;</w:t>
      </w:r>
    </w:p>
    <w:p w:rsidR="007436D1" w:rsidRPr="00574E9B" w:rsidRDefault="007436D1" w:rsidP="004842B1">
      <w:pPr>
        <w:pStyle w:val="ListParagraph"/>
        <w:numPr>
          <w:ilvl w:val="0"/>
          <w:numId w:val="55"/>
        </w:numPr>
        <w:ind w:left="360"/>
        <w:jc w:val="both"/>
      </w:pPr>
      <w:r w:rsidRPr="00574E9B">
        <w:t>provision of general support services; and</w:t>
      </w:r>
    </w:p>
    <w:p w:rsidR="007436D1" w:rsidRPr="00574E9B" w:rsidRDefault="007436D1" w:rsidP="004842B1">
      <w:pPr>
        <w:pStyle w:val="ListParagraph"/>
        <w:numPr>
          <w:ilvl w:val="0"/>
          <w:numId w:val="55"/>
        </w:numPr>
        <w:ind w:left="360"/>
        <w:jc w:val="both"/>
      </w:pPr>
      <w:r w:rsidRPr="00574E9B">
        <w:t xml:space="preserve">management of environmentally sensitive land. </w:t>
      </w:r>
    </w:p>
    <w:p w:rsidR="007436D1" w:rsidRPr="00831CD3" w:rsidRDefault="007436D1" w:rsidP="002508AC">
      <w:pPr>
        <w:jc w:val="both"/>
      </w:pPr>
      <w:r w:rsidRPr="00831CD3">
        <w:t xml:space="preserve">To ensure that, following the development of the Point Land, and transfer to </w:t>
      </w:r>
      <w:r w:rsidR="001C4E3A">
        <w:t>the City</w:t>
      </w:r>
      <w:r w:rsidR="001C4E3A" w:rsidRPr="00831CD3">
        <w:t xml:space="preserve"> </w:t>
      </w:r>
      <w:r w:rsidRPr="00831CD3">
        <w:t xml:space="preserve">of the management of environmentally sensitive land, including the provision of a range of services around an existing waterway, constructed lake and canal system, an equitable and efficient financial contribution to the cost of </w:t>
      </w:r>
      <w:r w:rsidR="001C4E3A">
        <w:t>the City’s</w:t>
      </w:r>
      <w:r w:rsidR="001C4E3A" w:rsidRPr="00831CD3">
        <w:t xml:space="preserve"> </w:t>
      </w:r>
      <w:r w:rsidRPr="00831CD3">
        <w:t>management responsibilities will be made by the ratepayers in respect of that land.</w:t>
      </w:r>
    </w:p>
    <w:p w:rsidR="007436D1" w:rsidRPr="00831CD3" w:rsidRDefault="007436D1" w:rsidP="002508AC">
      <w:pPr>
        <w:jc w:val="both"/>
      </w:pPr>
      <w:r w:rsidRPr="00831CD3">
        <w:t>To encourage the prompt development of vacant land to attract new residents and businesses to the City of Greater Geelong and, more specifically, to the Point Land.</w:t>
      </w:r>
    </w:p>
    <w:p w:rsidR="007436D1" w:rsidRPr="00831CD3" w:rsidRDefault="007436D1" w:rsidP="002508AC">
      <w:pPr>
        <w:jc w:val="both"/>
      </w:pPr>
      <w:r w:rsidRPr="00831CD3">
        <w:t>To discourage untimely and unnecessary divisions of land.</w:t>
      </w:r>
    </w:p>
    <w:p w:rsidR="00893ADE" w:rsidRPr="00574E9B" w:rsidRDefault="00893ADE">
      <w:pPr>
        <w:pStyle w:val="BodyText"/>
      </w:pPr>
      <w:r w:rsidRPr="002508AC">
        <w:t>The Point – Commercial Land</w:t>
      </w:r>
      <w:r w:rsidRPr="00574E9B">
        <w:t xml:space="preserve"> - means any land that:</w:t>
      </w:r>
    </w:p>
    <w:p w:rsidR="00893ADE" w:rsidRPr="00574E9B" w:rsidRDefault="00893ADE" w:rsidP="0027081E">
      <w:pPr>
        <w:pStyle w:val="ListParagraph"/>
        <w:numPr>
          <w:ilvl w:val="0"/>
          <w:numId w:val="56"/>
        </w:numPr>
        <w:ind w:left="360"/>
        <w:jc w:val="both"/>
      </w:pPr>
      <w:r w:rsidRPr="00574E9B">
        <w:lastRenderedPageBreak/>
        <w:t>does not have the characteristics of:</w:t>
      </w:r>
    </w:p>
    <w:p w:rsidR="00893ADE" w:rsidRPr="00574E9B" w:rsidRDefault="00717A0E" w:rsidP="0027081E">
      <w:pPr>
        <w:pStyle w:val="ListParagraph"/>
        <w:numPr>
          <w:ilvl w:val="0"/>
          <w:numId w:val="57"/>
        </w:numPr>
        <w:jc w:val="both"/>
      </w:pPr>
      <w:r>
        <w:t xml:space="preserve">  F</w:t>
      </w:r>
      <w:r w:rsidR="00893ADE" w:rsidRPr="00574E9B">
        <w:t>arm Land; or</w:t>
      </w:r>
    </w:p>
    <w:p w:rsidR="00893ADE" w:rsidRPr="00574E9B" w:rsidRDefault="00893ADE" w:rsidP="005A2AD5">
      <w:pPr>
        <w:pStyle w:val="ListParagraph"/>
        <w:numPr>
          <w:ilvl w:val="0"/>
          <w:numId w:val="57"/>
        </w:numPr>
        <w:ind w:left="851" w:hanging="491"/>
        <w:jc w:val="both"/>
      </w:pPr>
      <w:r w:rsidRPr="00574E9B">
        <w:t>Industrial Land; and</w:t>
      </w:r>
    </w:p>
    <w:p w:rsidR="00893ADE" w:rsidRPr="00D6252C" w:rsidRDefault="00893ADE" w:rsidP="0027081E">
      <w:pPr>
        <w:pStyle w:val="ListParagraph"/>
        <w:numPr>
          <w:ilvl w:val="0"/>
          <w:numId w:val="56"/>
        </w:numPr>
        <w:ind w:left="360"/>
        <w:jc w:val="both"/>
      </w:pPr>
      <w:r w:rsidRPr="00D6252C">
        <w:t>is used predominantly for the sale of goods or services, or other commercial purposes; or</w:t>
      </w:r>
    </w:p>
    <w:p w:rsidR="00893ADE" w:rsidRPr="00D6252C" w:rsidRDefault="00893ADE" w:rsidP="0027081E">
      <w:pPr>
        <w:pStyle w:val="ListParagraph"/>
        <w:numPr>
          <w:ilvl w:val="0"/>
          <w:numId w:val="56"/>
        </w:numPr>
        <w:ind w:left="360"/>
        <w:jc w:val="both"/>
      </w:pPr>
      <w:r w:rsidRPr="00D6252C">
        <w:t>on which a habitable building is erected, which building is unoccupied, and which is zoned other than residential under the Greater Geelong Planning Scheme; and</w:t>
      </w:r>
    </w:p>
    <w:p w:rsidR="008E6D19" w:rsidRPr="00574E9B" w:rsidRDefault="007942F5" w:rsidP="008E6D19">
      <w:pPr>
        <w:pStyle w:val="ListParagraph"/>
        <w:numPr>
          <w:ilvl w:val="0"/>
          <w:numId w:val="50"/>
        </w:numPr>
        <w:ind w:left="360"/>
        <w:jc w:val="both"/>
      </w:pPr>
      <w:r w:rsidRPr="007942F5">
        <w:t xml:space="preserve">forms part of the land </w:t>
      </w:r>
      <w:r w:rsidR="00CE47CD" w:rsidRPr="007C7AF9">
        <w:rPr>
          <w:rFonts w:cs="Arial"/>
          <w:szCs w:val="22"/>
        </w:rPr>
        <w:t xml:space="preserve">formerly described in Certificate of Title Volume </w:t>
      </w:r>
      <w:r w:rsidR="00CE47CD">
        <w:rPr>
          <w:rFonts w:cs="Arial"/>
          <w:szCs w:val="22"/>
        </w:rPr>
        <w:t>09901</w:t>
      </w:r>
      <w:r w:rsidR="00CE47CD" w:rsidRPr="007C7AF9">
        <w:rPr>
          <w:rFonts w:cs="Arial"/>
          <w:szCs w:val="22"/>
        </w:rPr>
        <w:t xml:space="preserve"> Folio </w:t>
      </w:r>
      <w:r w:rsidR="00CE47CD">
        <w:rPr>
          <w:rFonts w:cs="Arial"/>
          <w:szCs w:val="22"/>
        </w:rPr>
        <w:t>324</w:t>
      </w:r>
      <w:r w:rsidR="00CE47CD" w:rsidRPr="007C7AF9">
        <w:rPr>
          <w:rFonts w:cs="Arial"/>
          <w:szCs w:val="22"/>
        </w:rPr>
        <w:t xml:space="preserve"> and also described </w:t>
      </w:r>
      <w:r w:rsidR="00CE47CD">
        <w:rPr>
          <w:rFonts w:cs="Arial"/>
          <w:szCs w:val="22"/>
        </w:rPr>
        <w:t xml:space="preserve">as </w:t>
      </w:r>
      <w:r w:rsidR="008E6D19">
        <w:rPr>
          <w:rFonts w:cs="Arial"/>
          <w:szCs w:val="22"/>
        </w:rPr>
        <w:t xml:space="preserve">Lot B PS 635643, PS 640648Y, PS 722221H, </w:t>
      </w:r>
      <w:r w:rsidR="008E6D19" w:rsidRPr="007C7AF9">
        <w:rPr>
          <w:rFonts w:cs="Arial"/>
          <w:szCs w:val="22"/>
        </w:rPr>
        <w:t xml:space="preserve"> </w:t>
      </w:r>
      <w:r w:rsidR="008E6D19">
        <w:rPr>
          <w:rFonts w:cs="Arial"/>
          <w:szCs w:val="22"/>
        </w:rPr>
        <w:t>PS 722220K, PS 743868K, PS 732908M, PS 638301D, PS 635642R, PS722215C, PS 722214E, PS 743877, PS 816893, PS 743876 and PS 743878</w:t>
      </w:r>
      <w:r w:rsidR="00605CC7">
        <w:rPr>
          <w:rFonts w:cs="Arial"/>
          <w:szCs w:val="22"/>
        </w:rPr>
        <w:t>, PS 822924, PS  822922, PS 822918 and PS 816907</w:t>
      </w:r>
      <w:r w:rsidR="008E6D19">
        <w:rPr>
          <w:rFonts w:cs="Arial"/>
          <w:szCs w:val="22"/>
        </w:rPr>
        <w:t>.</w:t>
      </w:r>
    </w:p>
    <w:p w:rsidR="00893ADE" w:rsidRPr="00574E9B" w:rsidRDefault="00893ADE" w:rsidP="0027081E">
      <w:pPr>
        <w:pStyle w:val="Heading5"/>
        <w:jc w:val="both"/>
      </w:pPr>
      <w:r w:rsidRPr="00574E9B">
        <w:t xml:space="preserve">Rating Objectives: </w:t>
      </w:r>
    </w:p>
    <w:p w:rsidR="00893ADE" w:rsidRPr="00482D18" w:rsidRDefault="00893ADE" w:rsidP="00C10C1D">
      <w:pPr>
        <w:jc w:val="both"/>
      </w:pPr>
      <w:r w:rsidRPr="00482D18">
        <w:t xml:space="preserve">To ensure that all rateable land makes an equitable and efficient financial contribution to cost of carrying out the functions of </w:t>
      </w:r>
      <w:r w:rsidR="001C4E3A">
        <w:t>the City</w:t>
      </w:r>
      <w:r w:rsidRPr="00482D18">
        <w:t>, generally including the:</w:t>
      </w:r>
    </w:p>
    <w:p w:rsidR="00893ADE" w:rsidRPr="00482D18" w:rsidRDefault="00893ADE" w:rsidP="004842B1">
      <w:pPr>
        <w:pStyle w:val="ListParagraph"/>
        <w:numPr>
          <w:ilvl w:val="0"/>
          <w:numId w:val="59"/>
        </w:numPr>
        <w:ind w:left="360"/>
        <w:jc w:val="both"/>
      </w:pPr>
      <w:r w:rsidRPr="00482D18">
        <w:t>construction and maintenance of public infrastructure;</w:t>
      </w:r>
    </w:p>
    <w:p w:rsidR="00893ADE" w:rsidRPr="00482D18" w:rsidRDefault="00893ADE" w:rsidP="004842B1">
      <w:pPr>
        <w:pStyle w:val="ListParagraph"/>
        <w:numPr>
          <w:ilvl w:val="0"/>
          <w:numId w:val="59"/>
        </w:numPr>
        <w:ind w:left="360"/>
        <w:jc w:val="both"/>
      </w:pPr>
      <w:r w:rsidRPr="00482D18">
        <w:t>development and provision of health and community services;</w:t>
      </w:r>
    </w:p>
    <w:p w:rsidR="00893ADE" w:rsidRPr="00482D18" w:rsidRDefault="00893ADE" w:rsidP="004842B1">
      <w:pPr>
        <w:pStyle w:val="ListParagraph"/>
        <w:numPr>
          <w:ilvl w:val="0"/>
          <w:numId w:val="59"/>
        </w:numPr>
        <w:ind w:left="360"/>
        <w:jc w:val="both"/>
      </w:pPr>
      <w:r w:rsidRPr="00482D18">
        <w:t>provision of general support services; and</w:t>
      </w:r>
    </w:p>
    <w:p w:rsidR="00893ADE" w:rsidRPr="00482D18" w:rsidRDefault="00893ADE" w:rsidP="004842B1">
      <w:pPr>
        <w:pStyle w:val="ListParagraph"/>
        <w:numPr>
          <w:ilvl w:val="0"/>
          <w:numId w:val="59"/>
        </w:numPr>
        <w:ind w:left="360"/>
        <w:jc w:val="both"/>
      </w:pPr>
      <w:r w:rsidRPr="00482D18">
        <w:t xml:space="preserve">management of environmentally sensitive land. </w:t>
      </w:r>
    </w:p>
    <w:p w:rsidR="00893ADE" w:rsidRPr="00482D18" w:rsidRDefault="00893ADE" w:rsidP="00C10C1D">
      <w:pPr>
        <w:jc w:val="both"/>
      </w:pPr>
      <w:r w:rsidRPr="00482D18">
        <w:t xml:space="preserve">To ensure that, following the development of the Point Land, and transfer to </w:t>
      </w:r>
      <w:r w:rsidR="001C4E3A">
        <w:t>the City</w:t>
      </w:r>
      <w:r w:rsidR="001C4E3A" w:rsidRPr="00482D18">
        <w:t xml:space="preserve"> </w:t>
      </w:r>
      <w:r w:rsidRPr="00482D18">
        <w:t xml:space="preserve">of the management of environmentally sensitive land, including the provision of a range of services around an existing waterway, constructed lake and canal system, to ensure that an equitable and efficient financial contribution to the cost of </w:t>
      </w:r>
      <w:r w:rsidR="001C4E3A">
        <w:t>the City’s</w:t>
      </w:r>
      <w:r w:rsidR="001C4E3A" w:rsidRPr="00482D18">
        <w:t xml:space="preserve"> </w:t>
      </w:r>
      <w:r w:rsidRPr="00482D18">
        <w:t>management responsibilities will be made by the ratepayers in respect of that land.</w:t>
      </w:r>
    </w:p>
    <w:p w:rsidR="00893ADE" w:rsidRPr="00574E9B" w:rsidRDefault="00893ADE">
      <w:pPr>
        <w:pStyle w:val="BodyText"/>
      </w:pPr>
      <w:r w:rsidRPr="00574E9B">
        <w:rPr>
          <w:b/>
        </w:rPr>
        <w:t>Industrial Land</w:t>
      </w:r>
      <w:r w:rsidRPr="00574E9B">
        <w:t xml:space="preserve"> – means any land that:</w:t>
      </w:r>
    </w:p>
    <w:p w:rsidR="00893ADE" w:rsidRPr="00574E9B" w:rsidRDefault="00893ADE" w:rsidP="0027081E">
      <w:pPr>
        <w:pStyle w:val="ListParagraph"/>
        <w:numPr>
          <w:ilvl w:val="0"/>
          <w:numId w:val="60"/>
        </w:numPr>
        <w:ind w:left="360"/>
        <w:jc w:val="both"/>
      </w:pPr>
      <w:r w:rsidRPr="00574E9B">
        <w:t>does not have the characteristics of:</w:t>
      </w:r>
    </w:p>
    <w:p w:rsidR="00893ADE" w:rsidRPr="00574E9B" w:rsidRDefault="001C4E3A" w:rsidP="0027081E">
      <w:pPr>
        <w:pStyle w:val="ListParagraph"/>
        <w:numPr>
          <w:ilvl w:val="0"/>
          <w:numId w:val="61"/>
        </w:numPr>
        <w:jc w:val="both"/>
      </w:pPr>
      <w:r>
        <w:t xml:space="preserve">  </w:t>
      </w:r>
      <w:r w:rsidR="00893ADE" w:rsidRPr="00574E9B">
        <w:t>Vacant Land; or</w:t>
      </w:r>
    </w:p>
    <w:p w:rsidR="00893ADE" w:rsidRPr="00574E9B" w:rsidRDefault="00893ADE" w:rsidP="005A2AD5">
      <w:pPr>
        <w:pStyle w:val="ListParagraph"/>
        <w:numPr>
          <w:ilvl w:val="0"/>
          <w:numId w:val="61"/>
        </w:numPr>
        <w:ind w:left="851" w:hanging="491"/>
        <w:jc w:val="both"/>
      </w:pPr>
      <w:r w:rsidRPr="00574E9B">
        <w:t xml:space="preserve">Commercial Land; </w:t>
      </w:r>
      <w:r w:rsidR="00CE47CD">
        <w:t>and</w:t>
      </w:r>
    </w:p>
    <w:p w:rsidR="00893ADE" w:rsidRPr="00574E9B" w:rsidRDefault="001C4E3A" w:rsidP="0027081E">
      <w:pPr>
        <w:pStyle w:val="ListParagraph"/>
        <w:numPr>
          <w:ilvl w:val="0"/>
          <w:numId w:val="61"/>
        </w:numPr>
        <w:jc w:val="both"/>
      </w:pPr>
      <w:r>
        <w:t xml:space="preserve">  </w:t>
      </w:r>
      <w:r w:rsidR="00893ADE" w:rsidRPr="00574E9B">
        <w:t>Petroleum Production Land</w:t>
      </w:r>
    </w:p>
    <w:p w:rsidR="00893ADE" w:rsidRPr="00D6252C" w:rsidRDefault="00B347F4" w:rsidP="0027081E">
      <w:pPr>
        <w:pStyle w:val="ListParagraph"/>
        <w:numPr>
          <w:ilvl w:val="0"/>
          <w:numId w:val="60"/>
        </w:numPr>
        <w:ind w:left="360"/>
        <w:jc w:val="both"/>
      </w:pPr>
      <w:r>
        <w:lastRenderedPageBreak/>
        <w:t>i</w:t>
      </w:r>
      <w:r w:rsidR="00893ADE" w:rsidRPr="00D6252C">
        <w:t>s</w:t>
      </w:r>
      <w:r>
        <w:t xml:space="preserve"> </w:t>
      </w:r>
      <w:r w:rsidR="00893ADE" w:rsidRPr="00D6252C">
        <w:t>used predominantly for industrial purposes, which includes manufacturing, repairing, servicing, processing and reprocessing</w:t>
      </w:r>
      <w:r w:rsidR="00CE47CD">
        <w:t xml:space="preserve"> </w:t>
      </w:r>
      <w:r w:rsidR="00F9136A">
        <w:t xml:space="preserve">or </w:t>
      </w:r>
      <w:r w:rsidR="00CE47CD">
        <w:t>warehousing</w:t>
      </w:r>
      <w:r w:rsidR="00893ADE" w:rsidRPr="00D6252C">
        <w:t>.</w:t>
      </w:r>
    </w:p>
    <w:p w:rsidR="00893ADE" w:rsidRPr="00574E9B" w:rsidRDefault="00893ADE" w:rsidP="0027081E">
      <w:pPr>
        <w:pStyle w:val="Heading5"/>
        <w:jc w:val="both"/>
      </w:pPr>
      <w:r w:rsidRPr="00574E9B">
        <w:t xml:space="preserve">Rating Objective: </w:t>
      </w:r>
    </w:p>
    <w:p w:rsidR="00893ADE" w:rsidRPr="00574E9B" w:rsidRDefault="00893ADE">
      <w:pPr>
        <w:pStyle w:val="BodyText"/>
      </w:pPr>
      <w:r w:rsidRPr="00574E9B">
        <w:t xml:space="preserve">To ensure that all rateable land makes an equitable and efficient financial contribution to the cost of carrying out the functions of </w:t>
      </w:r>
      <w:r w:rsidR="001B4E3A">
        <w:t>the City</w:t>
      </w:r>
      <w:r w:rsidR="001B4E3A" w:rsidRPr="00574E9B">
        <w:t xml:space="preserve"> </w:t>
      </w:r>
      <w:r w:rsidRPr="00574E9B">
        <w:t>generally, including the:</w:t>
      </w:r>
    </w:p>
    <w:p w:rsidR="00893ADE" w:rsidRPr="00574E9B" w:rsidRDefault="00893ADE" w:rsidP="0027081E">
      <w:pPr>
        <w:pStyle w:val="ListParagraph"/>
        <w:numPr>
          <w:ilvl w:val="0"/>
          <w:numId w:val="62"/>
        </w:numPr>
        <w:ind w:left="360"/>
        <w:jc w:val="both"/>
      </w:pPr>
      <w:r w:rsidRPr="00574E9B">
        <w:t>construction and maintenance of public infrastructure;</w:t>
      </w:r>
    </w:p>
    <w:p w:rsidR="00893ADE" w:rsidRPr="00574E9B" w:rsidRDefault="00893ADE" w:rsidP="0027081E">
      <w:pPr>
        <w:pStyle w:val="ListParagraph"/>
        <w:numPr>
          <w:ilvl w:val="0"/>
          <w:numId w:val="62"/>
        </w:numPr>
        <w:ind w:left="360"/>
        <w:jc w:val="both"/>
      </w:pPr>
      <w:r w:rsidRPr="00574E9B">
        <w:t>development and provision of health and community services; and</w:t>
      </w:r>
    </w:p>
    <w:p w:rsidR="00893ADE" w:rsidRPr="00574E9B" w:rsidRDefault="00893ADE" w:rsidP="0027081E">
      <w:pPr>
        <w:pStyle w:val="ListParagraph"/>
        <w:numPr>
          <w:ilvl w:val="0"/>
          <w:numId w:val="62"/>
        </w:numPr>
        <w:ind w:left="360"/>
        <w:jc w:val="both"/>
      </w:pPr>
      <w:r w:rsidRPr="00574E9B">
        <w:t>provision of general support services.</w:t>
      </w:r>
    </w:p>
    <w:p w:rsidR="00893ADE" w:rsidRPr="00574E9B" w:rsidRDefault="00893ADE">
      <w:pPr>
        <w:pStyle w:val="BodyText"/>
      </w:pPr>
      <w:r w:rsidRPr="00574E9B">
        <w:rPr>
          <w:b/>
        </w:rPr>
        <w:t xml:space="preserve">Mixed Use Land </w:t>
      </w:r>
      <w:r w:rsidRPr="00574E9B">
        <w:t>– means any land that:</w:t>
      </w:r>
    </w:p>
    <w:p w:rsidR="00893ADE" w:rsidRPr="00574E9B" w:rsidRDefault="00893ADE" w:rsidP="0027081E">
      <w:pPr>
        <w:pStyle w:val="ListParagraph"/>
        <w:numPr>
          <w:ilvl w:val="0"/>
          <w:numId w:val="63"/>
        </w:numPr>
        <w:ind w:left="360"/>
        <w:jc w:val="both"/>
      </w:pPr>
      <w:r w:rsidRPr="00574E9B">
        <w:t>has the characteristics of Residential Land combined with the characteristics of Commercial Land or Industrial Land; and</w:t>
      </w:r>
    </w:p>
    <w:p w:rsidR="00893ADE" w:rsidRPr="00574E9B" w:rsidRDefault="00893ADE" w:rsidP="0027081E">
      <w:pPr>
        <w:pStyle w:val="ListParagraph"/>
        <w:numPr>
          <w:ilvl w:val="0"/>
          <w:numId w:val="63"/>
        </w:numPr>
        <w:ind w:left="360"/>
        <w:jc w:val="both"/>
      </w:pPr>
      <w:r w:rsidRPr="00574E9B">
        <w:t>is used partly for residential purposes and partly for commercial and/or industrial purposes.</w:t>
      </w:r>
    </w:p>
    <w:p w:rsidR="00893ADE" w:rsidRPr="00574E9B" w:rsidRDefault="00893ADE" w:rsidP="0027081E">
      <w:pPr>
        <w:pStyle w:val="Heading5"/>
        <w:jc w:val="both"/>
      </w:pPr>
      <w:r w:rsidRPr="00574E9B">
        <w:t xml:space="preserve">Rating Objective: </w:t>
      </w:r>
    </w:p>
    <w:p w:rsidR="00893ADE" w:rsidRPr="00574E9B" w:rsidRDefault="00893ADE">
      <w:pPr>
        <w:pStyle w:val="BodyText"/>
      </w:pPr>
      <w:r w:rsidRPr="00574E9B">
        <w:t xml:space="preserve">To ensure that all rateable land makes an equitable and efficient financial contribution to the cost of carrying out the functions of </w:t>
      </w:r>
      <w:r w:rsidR="001B4E3A">
        <w:t>the City</w:t>
      </w:r>
      <w:r w:rsidR="001B4E3A" w:rsidRPr="00574E9B">
        <w:t xml:space="preserve"> </w:t>
      </w:r>
      <w:r w:rsidRPr="00574E9B">
        <w:t>generally, including the:</w:t>
      </w:r>
    </w:p>
    <w:p w:rsidR="00893ADE" w:rsidRPr="009E1ACE" w:rsidRDefault="00893ADE" w:rsidP="0027081E">
      <w:pPr>
        <w:pStyle w:val="ListParagraph"/>
        <w:numPr>
          <w:ilvl w:val="0"/>
          <w:numId w:val="64"/>
        </w:numPr>
        <w:ind w:left="360"/>
        <w:jc w:val="both"/>
      </w:pPr>
      <w:r w:rsidRPr="009E1ACE">
        <w:t>construction and maintenance of public infrastructure;</w:t>
      </w:r>
    </w:p>
    <w:p w:rsidR="00893ADE" w:rsidRPr="009E1ACE" w:rsidRDefault="00893ADE" w:rsidP="0027081E">
      <w:pPr>
        <w:pStyle w:val="ListParagraph"/>
        <w:numPr>
          <w:ilvl w:val="0"/>
          <w:numId w:val="64"/>
        </w:numPr>
        <w:ind w:left="360"/>
        <w:jc w:val="both"/>
      </w:pPr>
      <w:r w:rsidRPr="009E1ACE">
        <w:t>development and provision of health and community services; and</w:t>
      </w:r>
    </w:p>
    <w:p w:rsidR="00893ADE" w:rsidRPr="009E1ACE" w:rsidRDefault="00893ADE" w:rsidP="0027081E">
      <w:pPr>
        <w:pStyle w:val="ListParagraph"/>
        <w:numPr>
          <w:ilvl w:val="0"/>
          <w:numId w:val="64"/>
        </w:numPr>
        <w:ind w:left="360"/>
        <w:jc w:val="both"/>
      </w:pPr>
      <w:r w:rsidRPr="009E1ACE">
        <w:t>provision of general support services.</w:t>
      </w:r>
    </w:p>
    <w:p w:rsidR="00893ADE" w:rsidRPr="00574E9B" w:rsidRDefault="00893ADE">
      <w:pPr>
        <w:pStyle w:val="BodyText"/>
      </w:pPr>
      <w:r w:rsidRPr="00574E9B">
        <w:rPr>
          <w:b/>
        </w:rPr>
        <w:t>Farm Land</w:t>
      </w:r>
      <w:r w:rsidRPr="00574E9B">
        <w:t xml:space="preserve"> – means any land which: </w:t>
      </w:r>
    </w:p>
    <w:p w:rsidR="00893ADE" w:rsidRPr="009E1ACE" w:rsidRDefault="00893ADE" w:rsidP="0027081E">
      <w:pPr>
        <w:pStyle w:val="ListParagraph"/>
        <w:numPr>
          <w:ilvl w:val="0"/>
          <w:numId w:val="65"/>
        </w:numPr>
        <w:ind w:left="360"/>
        <w:jc w:val="both"/>
      </w:pPr>
      <w:r w:rsidRPr="009E1ACE">
        <w:t>is not less than 2 hectares in area; and</w:t>
      </w:r>
    </w:p>
    <w:p w:rsidR="00893ADE" w:rsidRPr="009E1ACE" w:rsidRDefault="00893ADE" w:rsidP="0027081E">
      <w:pPr>
        <w:pStyle w:val="ListParagraph"/>
        <w:numPr>
          <w:ilvl w:val="0"/>
          <w:numId w:val="65"/>
        </w:numPr>
        <w:ind w:left="360"/>
        <w:jc w:val="both"/>
      </w:pPr>
      <w:r w:rsidRPr="009E1ACE">
        <w:t>is used predominantly for the business of grazing (including agistment), dairying, pig-farming, poultry farming, fish farming, tree farming, bee-keeping, viticulture, horticulture, fruit growing or the growing of crops of any kind or for any combination of those activities; or</w:t>
      </w:r>
    </w:p>
    <w:p w:rsidR="00312A6B" w:rsidRPr="00E60EA6" w:rsidRDefault="00893ADE" w:rsidP="0061592F">
      <w:pPr>
        <w:pStyle w:val="ListParagraph"/>
        <w:numPr>
          <w:ilvl w:val="0"/>
          <w:numId w:val="65"/>
        </w:numPr>
        <w:spacing w:before="0" w:after="0"/>
        <w:ind w:left="360"/>
        <w:jc w:val="both"/>
        <w:rPr>
          <w:rFonts w:cs="Lucida Sans Unicode"/>
          <w:bCs/>
          <w:noProof/>
          <w:color w:val="000000"/>
          <w:szCs w:val="22"/>
          <w:lang w:val="en-GB" w:eastAsia="en-AU"/>
        </w:rPr>
      </w:pPr>
      <w:r w:rsidRPr="009E1ACE">
        <w:t>satisfies the criteria for municipal purpose benefit for large holdings to the extent that it is, for example, land that is predominantly used and maintained for heritage, cultural or environmental purposes, or land that is held as natural bushland under a trust for nature covenant, or land that is held under some other type of similar formal undertaking.</w:t>
      </w:r>
    </w:p>
    <w:p w:rsidR="00512261" w:rsidRPr="00E60EA6" w:rsidRDefault="00512261" w:rsidP="00312A6B">
      <w:pPr>
        <w:pStyle w:val="ListParagraph"/>
        <w:spacing w:before="0" w:after="0"/>
        <w:ind w:left="360"/>
        <w:jc w:val="both"/>
        <w:rPr>
          <w:rFonts w:cs="Lucida Sans Unicode"/>
          <w:bCs/>
          <w:noProof/>
          <w:color w:val="000000"/>
          <w:szCs w:val="22"/>
          <w:lang w:val="en-GB" w:eastAsia="en-AU"/>
        </w:rPr>
      </w:pPr>
    </w:p>
    <w:p w:rsidR="00893ADE" w:rsidRPr="00574E9B" w:rsidRDefault="00893ADE">
      <w:pPr>
        <w:pStyle w:val="BodyText"/>
      </w:pPr>
      <w:r w:rsidRPr="00574E9B">
        <w:t xml:space="preserve">To avoid doubt, 'business' for the purposes of identifying Farm Land has the same meaning as that given to it by section 2(1) of the </w:t>
      </w:r>
      <w:r w:rsidRPr="00574E9B">
        <w:rPr>
          <w:i/>
        </w:rPr>
        <w:t>Valuation of Land Act</w:t>
      </w:r>
      <w:r w:rsidRPr="00574E9B">
        <w:t xml:space="preserve"> 1960 for the same purpose, being a business that:</w:t>
      </w:r>
    </w:p>
    <w:p w:rsidR="00893ADE" w:rsidRPr="009E1ACE" w:rsidRDefault="00893ADE" w:rsidP="0027081E">
      <w:pPr>
        <w:pStyle w:val="ListParagraph"/>
        <w:numPr>
          <w:ilvl w:val="0"/>
          <w:numId w:val="66"/>
        </w:numPr>
        <w:ind w:left="360"/>
        <w:jc w:val="both"/>
      </w:pPr>
      <w:r w:rsidRPr="009E1ACE">
        <w:t>has a significant and substantial commercial purpose or character; and</w:t>
      </w:r>
    </w:p>
    <w:p w:rsidR="00893ADE" w:rsidRPr="009E1ACE" w:rsidRDefault="00893ADE" w:rsidP="0027081E">
      <w:pPr>
        <w:pStyle w:val="ListParagraph"/>
        <w:numPr>
          <w:ilvl w:val="0"/>
          <w:numId w:val="66"/>
        </w:numPr>
        <w:ind w:left="360"/>
        <w:jc w:val="both"/>
      </w:pPr>
      <w:r w:rsidRPr="009E1ACE">
        <w:t>seeks to make a profit on a continuous or repetitive basis from its activities on the land; and</w:t>
      </w:r>
    </w:p>
    <w:p w:rsidR="00893ADE" w:rsidRPr="009E1ACE" w:rsidRDefault="00893ADE" w:rsidP="0027081E">
      <w:pPr>
        <w:pStyle w:val="ListParagraph"/>
        <w:numPr>
          <w:ilvl w:val="0"/>
          <w:numId w:val="66"/>
        </w:numPr>
        <w:ind w:left="360"/>
        <w:jc w:val="both"/>
      </w:pPr>
      <w:r w:rsidRPr="009E1ACE">
        <w:t>is making a profit from its activities on the land, or that has a reasonable prospect of making a profit from its activities on the land if it continues to operate in the way that it is operating.</w:t>
      </w:r>
    </w:p>
    <w:p w:rsidR="00893ADE" w:rsidRPr="00574E9B" w:rsidRDefault="00893ADE" w:rsidP="0027081E">
      <w:pPr>
        <w:pStyle w:val="Heading5"/>
        <w:jc w:val="both"/>
      </w:pPr>
      <w:r w:rsidRPr="00574E9B">
        <w:t xml:space="preserve">Rating Objectives: </w:t>
      </w:r>
    </w:p>
    <w:p w:rsidR="00893ADE" w:rsidRPr="009E1ACE" w:rsidRDefault="00893ADE" w:rsidP="00C10C1D">
      <w:pPr>
        <w:jc w:val="both"/>
      </w:pPr>
      <w:r w:rsidRPr="009E1ACE">
        <w:t xml:space="preserve">To ensure that all rateable land makes an equitable and efficient financial contribution to the cost of carrying out the functions of </w:t>
      </w:r>
      <w:r w:rsidR="001B4E3A">
        <w:t>the City</w:t>
      </w:r>
      <w:r w:rsidR="001B4E3A" w:rsidRPr="009E1ACE">
        <w:t xml:space="preserve"> </w:t>
      </w:r>
      <w:r w:rsidRPr="009E1ACE">
        <w:t>generally, including the:</w:t>
      </w:r>
    </w:p>
    <w:p w:rsidR="00893ADE" w:rsidRPr="009E1ACE" w:rsidRDefault="00893ADE" w:rsidP="004842B1">
      <w:pPr>
        <w:pStyle w:val="ListParagraph"/>
        <w:numPr>
          <w:ilvl w:val="0"/>
          <w:numId w:val="68"/>
        </w:numPr>
        <w:ind w:left="360"/>
        <w:jc w:val="both"/>
      </w:pPr>
      <w:r w:rsidRPr="009E1ACE">
        <w:t>construction and maintenance of public infrastructure;</w:t>
      </w:r>
    </w:p>
    <w:p w:rsidR="00893ADE" w:rsidRPr="009E1ACE" w:rsidRDefault="00893ADE" w:rsidP="004842B1">
      <w:pPr>
        <w:pStyle w:val="ListParagraph"/>
        <w:numPr>
          <w:ilvl w:val="0"/>
          <w:numId w:val="68"/>
        </w:numPr>
        <w:ind w:left="360"/>
        <w:jc w:val="both"/>
      </w:pPr>
      <w:r w:rsidRPr="009E1ACE">
        <w:t>development and provision of health and community services; and</w:t>
      </w:r>
    </w:p>
    <w:p w:rsidR="00893ADE" w:rsidRPr="009E1ACE" w:rsidRDefault="00893ADE" w:rsidP="004842B1">
      <w:pPr>
        <w:pStyle w:val="ListParagraph"/>
        <w:numPr>
          <w:ilvl w:val="0"/>
          <w:numId w:val="68"/>
        </w:numPr>
        <w:ind w:left="360"/>
        <w:jc w:val="both"/>
      </w:pPr>
      <w:r w:rsidRPr="009E1ACE">
        <w:t>provision of general support services.</w:t>
      </w:r>
    </w:p>
    <w:p w:rsidR="00893ADE" w:rsidRPr="009E1ACE" w:rsidRDefault="00893ADE" w:rsidP="00C10C1D">
      <w:pPr>
        <w:jc w:val="both"/>
      </w:pPr>
      <w:r w:rsidRPr="009E1ACE">
        <w:t xml:space="preserve">To encourage and support the business of primary production and, where appropriate, expand the business of primary production. </w:t>
      </w:r>
    </w:p>
    <w:p w:rsidR="00893ADE" w:rsidRPr="00574E9B" w:rsidRDefault="00893ADE">
      <w:pPr>
        <w:pStyle w:val="BodyText"/>
      </w:pPr>
      <w:r w:rsidRPr="00574E9B">
        <w:t xml:space="preserve">These objectives will be met by setting the Farm Land differential at </w:t>
      </w:r>
      <w:r w:rsidR="00605CC7">
        <w:t>80</w:t>
      </w:r>
      <w:r w:rsidRPr="00574E9B">
        <w:t xml:space="preserve">% of the Residential Land differential and by the provision of a farm rebate under </w:t>
      </w:r>
      <w:r w:rsidR="00794E57">
        <w:t>s</w:t>
      </w:r>
      <w:r w:rsidR="00794E57" w:rsidRPr="00574E9B">
        <w:t xml:space="preserve">ection </w:t>
      </w:r>
      <w:r w:rsidRPr="00574E9B">
        <w:t>169 of the LGA.</w:t>
      </w:r>
    </w:p>
    <w:p w:rsidR="00893ADE" w:rsidRPr="00574E9B" w:rsidRDefault="00893ADE">
      <w:pPr>
        <w:pStyle w:val="BodyText"/>
      </w:pPr>
      <w:r w:rsidRPr="00574E9B">
        <w:rPr>
          <w:b/>
        </w:rPr>
        <w:t>Petroleum Production Land</w:t>
      </w:r>
      <w:r w:rsidRPr="00574E9B">
        <w:t xml:space="preserve"> – means any land that is:</w:t>
      </w:r>
    </w:p>
    <w:p w:rsidR="00893ADE" w:rsidRPr="009E1ACE" w:rsidRDefault="00893ADE" w:rsidP="0027081E">
      <w:pPr>
        <w:pStyle w:val="ListParagraph"/>
        <w:numPr>
          <w:ilvl w:val="0"/>
          <w:numId w:val="72"/>
        </w:numPr>
        <w:ind w:left="360"/>
        <w:jc w:val="both"/>
      </w:pPr>
      <w:r w:rsidRPr="009E1ACE">
        <w:t>used primarily for the production or conveyance of petroleum and/or petroleum by-products; and</w:t>
      </w:r>
    </w:p>
    <w:p w:rsidR="00893ADE" w:rsidRPr="009E1ACE" w:rsidRDefault="00893ADE" w:rsidP="0027081E">
      <w:pPr>
        <w:pStyle w:val="ListParagraph"/>
        <w:numPr>
          <w:ilvl w:val="0"/>
          <w:numId w:val="72"/>
        </w:numPr>
        <w:ind w:left="360"/>
        <w:jc w:val="both"/>
      </w:pPr>
      <w:r w:rsidRPr="009E1ACE">
        <w:t>described as all that land generally bounded more or less by Princes Highway, Shell Parade, Corio Bay Foreshore, Wharf Road, Station Road and neighbouring land.</w:t>
      </w:r>
    </w:p>
    <w:p w:rsidR="00893ADE" w:rsidRPr="00574E9B" w:rsidRDefault="00893ADE" w:rsidP="0027081E">
      <w:pPr>
        <w:pStyle w:val="Heading5"/>
        <w:jc w:val="both"/>
      </w:pPr>
      <w:r w:rsidRPr="00574E9B">
        <w:t xml:space="preserve">Rating Objective: </w:t>
      </w:r>
    </w:p>
    <w:p w:rsidR="00893ADE" w:rsidRPr="00574E9B" w:rsidRDefault="00893ADE">
      <w:pPr>
        <w:pStyle w:val="BodyText"/>
      </w:pPr>
      <w:r w:rsidRPr="00574E9B">
        <w:t xml:space="preserve">To ensure that all rateable land makes an equitable and efficient financial contribution to the cost of carrying out the functions of </w:t>
      </w:r>
      <w:r w:rsidR="001B4E3A">
        <w:t>the City</w:t>
      </w:r>
      <w:r w:rsidR="001B4E3A" w:rsidRPr="00574E9B">
        <w:t xml:space="preserve"> </w:t>
      </w:r>
      <w:r w:rsidRPr="00574E9B">
        <w:t>generally, including the:</w:t>
      </w:r>
    </w:p>
    <w:p w:rsidR="00893ADE" w:rsidRPr="009E1ACE" w:rsidRDefault="00893ADE" w:rsidP="0027081E">
      <w:pPr>
        <w:pStyle w:val="ListParagraph"/>
        <w:numPr>
          <w:ilvl w:val="0"/>
          <w:numId w:val="73"/>
        </w:numPr>
        <w:ind w:left="360"/>
        <w:jc w:val="both"/>
      </w:pPr>
      <w:r w:rsidRPr="009E1ACE">
        <w:t>construction and maintenance of public infrastructure;</w:t>
      </w:r>
    </w:p>
    <w:p w:rsidR="00893ADE" w:rsidRPr="009E1ACE" w:rsidRDefault="00893ADE" w:rsidP="0027081E">
      <w:pPr>
        <w:pStyle w:val="ListParagraph"/>
        <w:numPr>
          <w:ilvl w:val="0"/>
          <w:numId w:val="73"/>
        </w:numPr>
        <w:ind w:left="360"/>
        <w:jc w:val="both"/>
      </w:pPr>
      <w:r w:rsidRPr="009E1ACE">
        <w:lastRenderedPageBreak/>
        <w:t>development and provision of health and community services; and</w:t>
      </w:r>
    </w:p>
    <w:p w:rsidR="00893ADE" w:rsidRPr="009E1ACE" w:rsidRDefault="00893ADE" w:rsidP="0027081E">
      <w:pPr>
        <w:pStyle w:val="ListParagraph"/>
        <w:numPr>
          <w:ilvl w:val="0"/>
          <w:numId w:val="73"/>
        </w:numPr>
        <w:ind w:left="360"/>
        <w:jc w:val="both"/>
      </w:pPr>
      <w:r w:rsidRPr="009E1ACE">
        <w:t>provision of general support services.</w:t>
      </w:r>
    </w:p>
    <w:p w:rsidR="00893ADE" w:rsidRPr="006839A3" w:rsidRDefault="007942F5">
      <w:pPr>
        <w:pStyle w:val="BodyText"/>
      </w:pPr>
      <w:r w:rsidRPr="007942F5">
        <w:t>The Petroleum Production Land differential is set at the Industrial Land differential from 2017-</w:t>
      </w:r>
      <w:r w:rsidR="00CE47CD">
        <w:t>18</w:t>
      </w:r>
      <w:r w:rsidRPr="007942F5">
        <w:t>.</w:t>
      </w:r>
    </w:p>
    <w:p w:rsidR="005D5735" w:rsidRPr="006839A3" w:rsidRDefault="00FD5012">
      <w:pPr>
        <w:pStyle w:val="BodyText"/>
      </w:pPr>
      <w:r w:rsidRPr="00C10C1D">
        <w:t>Cultural &amp; Recreational Land</w:t>
      </w:r>
      <w:r w:rsidR="005D5735" w:rsidRPr="00C10C1D">
        <w:t xml:space="preserve"> –</w:t>
      </w:r>
      <w:r w:rsidR="005D5735" w:rsidRPr="006839A3">
        <w:t xml:space="preserve"> means any land that:</w:t>
      </w:r>
    </w:p>
    <w:p w:rsidR="00B007F3" w:rsidRDefault="005D5735">
      <w:pPr>
        <w:pStyle w:val="BodyText"/>
      </w:pPr>
      <w:r w:rsidRPr="006839A3">
        <w:t>Has the characteristics of Recreational land as defined by the Cultural and Recreational Lands Act 1963. As described in the Council report.</w:t>
      </w:r>
      <w:bookmarkStart w:id="209" w:name="_Toc355947426"/>
      <w:bookmarkStart w:id="210" w:name="_Toc403114392"/>
    </w:p>
    <w:p w:rsidR="00512261" w:rsidRPr="00E60EA6" w:rsidRDefault="00512261">
      <w:pPr>
        <w:spacing w:before="0" w:after="0"/>
        <w:rPr>
          <w:rFonts w:ascii="News Gothic Std" w:hAnsi="News Gothic Std" w:cs="Lucida Sans Unicode"/>
          <w:color w:val="0070C0"/>
          <w:sz w:val="24"/>
          <w:szCs w:val="24"/>
          <w:lang w:val="en-US"/>
        </w:rPr>
      </w:pPr>
      <w:r>
        <w:br w:type="page"/>
      </w:r>
    </w:p>
    <w:p w:rsidR="00F22CE8" w:rsidRPr="00D576C5" w:rsidRDefault="00F22CE8" w:rsidP="0027081E">
      <w:pPr>
        <w:pStyle w:val="Heading4"/>
        <w:jc w:val="both"/>
      </w:pPr>
      <w:bookmarkStart w:id="211" w:name="_Toc11845123"/>
      <w:r w:rsidRPr="00D576C5">
        <w:lastRenderedPageBreak/>
        <w:t xml:space="preserve">Differential </w:t>
      </w:r>
      <w:r w:rsidR="004B1CEA" w:rsidRPr="00D576C5">
        <w:t>R</w:t>
      </w:r>
      <w:r w:rsidRPr="00D576C5">
        <w:t xml:space="preserve">ates for </w:t>
      </w:r>
      <w:r w:rsidR="004B1CEA" w:rsidRPr="00D576C5">
        <w:t>Y</w:t>
      </w:r>
      <w:r w:rsidRPr="00D576C5">
        <w:t xml:space="preserve">ear </w:t>
      </w:r>
      <w:bookmarkEnd w:id="206"/>
      <w:bookmarkEnd w:id="207"/>
      <w:bookmarkEnd w:id="209"/>
      <w:bookmarkEnd w:id="210"/>
      <w:r w:rsidR="00F57930">
        <w:t>2019-20</w:t>
      </w:r>
      <w:bookmarkEnd w:id="211"/>
      <w:r w:rsidR="00CE47CD" w:rsidRPr="00D576C5">
        <w:t xml:space="preserve">  </w:t>
      </w:r>
    </w:p>
    <w:p w:rsidR="0008270C" w:rsidRDefault="00F22CE8">
      <w:pPr>
        <w:pStyle w:val="BodyText"/>
      </w:pPr>
      <w:r w:rsidRPr="00D576C5">
        <w:t xml:space="preserve">Council has declared the following </w:t>
      </w:r>
      <w:r w:rsidR="005A2AD5">
        <w:t>r</w:t>
      </w:r>
      <w:r w:rsidR="005A2AD5" w:rsidRPr="00D576C5">
        <w:t xml:space="preserve">ates </w:t>
      </w:r>
      <w:r w:rsidRPr="00D576C5">
        <w:t xml:space="preserve">and </w:t>
      </w:r>
      <w:r w:rsidR="005A2AD5">
        <w:t>c</w:t>
      </w:r>
      <w:r w:rsidR="005A2AD5" w:rsidRPr="00D576C5">
        <w:t xml:space="preserve">harges </w:t>
      </w:r>
      <w:r w:rsidRPr="00D576C5">
        <w:t xml:space="preserve">for </w:t>
      </w:r>
      <w:r w:rsidR="00F57930">
        <w:t>2019-20</w:t>
      </w:r>
      <w:r w:rsidRPr="00D576C5">
        <w:t>:</w:t>
      </w:r>
    </w:p>
    <w:p w:rsidR="005F213A" w:rsidRDefault="007A6F86">
      <w:pPr>
        <w:pStyle w:val="BodyText"/>
      </w:pPr>
      <w:r w:rsidRPr="007A6F86">
        <w:drawing>
          <wp:inline distT="0" distB="0" distL="0" distR="0">
            <wp:extent cx="5400040" cy="714380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7143803"/>
                    </a:xfrm>
                    <a:prstGeom prst="rect">
                      <a:avLst/>
                    </a:prstGeom>
                    <a:noFill/>
                    <a:ln>
                      <a:noFill/>
                    </a:ln>
                  </pic:spPr>
                </pic:pic>
              </a:graphicData>
            </a:graphic>
          </wp:inline>
        </w:drawing>
      </w:r>
    </w:p>
    <w:p w:rsidR="00F22CE8" w:rsidRPr="00B1645A" w:rsidRDefault="00F22CE8">
      <w:pPr>
        <w:pStyle w:val="BodyText"/>
      </w:pPr>
      <w:r w:rsidRPr="00B1645A">
        <w:t xml:space="preserve">The rates and charges as declared above are set to raise a total of </w:t>
      </w:r>
      <w:r w:rsidR="0079577D" w:rsidRPr="00B1645A">
        <w:t>$</w:t>
      </w:r>
      <w:r w:rsidR="00816225">
        <w:t>237,</w:t>
      </w:r>
      <w:r w:rsidR="006B0939">
        <w:t>685,462</w:t>
      </w:r>
      <w:r w:rsidR="00E904A6">
        <w:t xml:space="preserve"> for</w:t>
      </w:r>
      <w:r w:rsidRPr="00B1645A">
        <w:t xml:space="preserve"> </w:t>
      </w:r>
      <w:r w:rsidR="00816225">
        <w:t>2019-20</w:t>
      </w:r>
      <w:r w:rsidR="00C2469D" w:rsidRPr="00B1645A">
        <w:t xml:space="preserve"> </w:t>
      </w:r>
      <w:r w:rsidR="000F60D5">
        <w:t>($</w:t>
      </w:r>
      <w:r w:rsidR="00816225">
        <w:t>224,941,888</w:t>
      </w:r>
      <w:r w:rsidR="000F60D5">
        <w:t xml:space="preserve"> for </w:t>
      </w:r>
      <w:r w:rsidR="00816225">
        <w:t>2018-19</w:t>
      </w:r>
      <w:r w:rsidR="000F60D5">
        <w:t>).</w:t>
      </w:r>
    </w:p>
    <w:p w:rsidR="00E46DC6" w:rsidRDefault="00F22CE8" w:rsidP="00EE0AC3">
      <w:pPr>
        <w:pStyle w:val="Heading4"/>
      </w:pPr>
      <w:bookmarkStart w:id="212" w:name="_Toc64258368"/>
      <w:bookmarkStart w:id="213" w:name="_Toc64276828"/>
      <w:bookmarkStart w:id="214" w:name="_Toc260749457"/>
      <w:bookmarkStart w:id="215" w:name="_Toc292369512"/>
      <w:bookmarkStart w:id="216" w:name="_Toc355947427"/>
      <w:bookmarkStart w:id="217" w:name="_Toc403114393"/>
      <w:bookmarkStart w:id="218" w:name="_Toc11845124"/>
      <w:r w:rsidRPr="00EE0AC3">
        <w:lastRenderedPageBreak/>
        <w:t>Historical</w:t>
      </w:r>
      <w:r w:rsidRPr="00D576C5">
        <w:t xml:space="preserve"> </w:t>
      </w:r>
      <w:r w:rsidR="004B1CEA" w:rsidRPr="00D576C5">
        <w:t>T</w:t>
      </w:r>
      <w:r w:rsidRPr="00D576C5">
        <w:t>rends</w:t>
      </w:r>
      <w:bookmarkEnd w:id="212"/>
      <w:bookmarkEnd w:id="213"/>
      <w:bookmarkEnd w:id="214"/>
      <w:bookmarkEnd w:id="215"/>
      <w:bookmarkEnd w:id="216"/>
      <w:bookmarkEnd w:id="217"/>
      <w:bookmarkEnd w:id="218"/>
    </w:p>
    <w:p w:rsidR="004B2974" w:rsidRDefault="00F22CE8">
      <w:pPr>
        <w:pStyle w:val="BodyText"/>
      </w:pPr>
      <w:r w:rsidRPr="00D576C5">
        <w:t xml:space="preserve">The use of differential rates is used to “balance and maintain” the revenue contribution from each property group. Where significant variation occurs to valuations and property numbers within a tariff group, the revenue contribution may alter accordingly. Where a tariff group has a significant declining valuation </w:t>
      </w:r>
      <w:r w:rsidR="00717A0E">
        <w:t>we</w:t>
      </w:r>
      <w:r w:rsidR="00717A0E" w:rsidRPr="00D576C5">
        <w:t xml:space="preserve"> </w:t>
      </w:r>
      <w:r w:rsidRPr="00D576C5">
        <w:t xml:space="preserve">may adjust the rate in dollar upwards to maintain the value of the rates contribution limited only by the </w:t>
      </w:r>
      <w:r w:rsidR="007A126D">
        <w:t>‘</w:t>
      </w:r>
      <w:r w:rsidRPr="00D576C5">
        <w:t>four times</w:t>
      </w:r>
      <w:r w:rsidR="004324C1" w:rsidRPr="00D576C5">
        <w:t>’</w:t>
      </w:r>
      <w:r w:rsidRPr="00D576C5">
        <w:t xml:space="preserve"> rule LGA </w:t>
      </w:r>
      <w:r w:rsidR="00C0444D">
        <w:t>s</w:t>
      </w:r>
      <w:r w:rsidR="00C0444D" w:rsidRPr="00D576C5">
        <w:t xml:space="preserve">ection </w:t>
      </w:r>
      <w:r w:rsidRPr="00D576C5">
        <w:t>161(5).</w:t>
      </w:r>
      <w:r w:rsidRPr="00D576C5" w:rsidDel="00507807">
        <w:t xml:space="preserve"> </w:t>
      </w:r>
    </w:p>
    <w:p w:rsidR="006B1ECC" w:rsidRDefault="006B1ECC">
      <w:pPr>
        <w:pStyle w:val="BodyText"/>
      </w:pPr>
    </w:p>
    <w:p w:rsidR="00C0444D" w:rsidRDefault="00227352">
      <w:pPr>
        <w:pStyle w:val="BodyText"/>
      </w:pPr>
      <w:r>
        <w:rPr>
          <w:lang w:val="en-AU"/>
        </w:rPr>
        <w:drawing>
          <wp:inline distT="0" distB="0" distL="0" distR="0">
            <wp:extent cx="4276389" cy="2628900"/>
            <wp:effectExtent l="19050" t="19050" r="10160" b="1905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82882" cy="2632892"/>
                    </a:xfrm>
                    <a:prstGeom prst="rect">
                      <a:avLst/>
                    </a:prstGeom>
                    <a:noFill/>
                    <a:ln w="12700">
                      <a:solidFill>
                        <a:srgbClr val="2E74B5"/>
                      </a:solidFill>
                      <a:miter lim="800000"/>
                      <a:headEnd/>
                      <a:tailEnd/>
                    </a:ln>
                  </pic:spPr>
                </pic:pic>
              </a:graphicData>
            </a:graphic>
          </wp:inline>
        </w:drawing>
      </w:r>
    </w:p>
    <w:p w:rsidR="007B04D8" w:rsidRDefault="007B04D8">
      <w:pPr>
        <w:pStyle w:val="BodyText"/>
      </w:pPr>
    </w:p>
    <w:p w:rsidR="00C0444D" w:rsidRDefault="00C0444D">
      <w:pPr>
        <w:pStyle w:val="BodyText"/>
      </w:pPr>
    </w:p>
    <w:p w:rsidR="00C0444D" w:rsidRDefault="00227352">
      <w:pPr>
        <w:pStyle w:val="BodyText"/>
      </w:pPr>
      <w:r>
        <w:rPr>
          <w:lang w:val="en-AU"/>
        </w:rPr>
        <w:drawing>
          <wp:inline distT="0" distB="0" distL="0" distR="0">
            <wp:extent cx="4285615" cy="2444750"/>
            <wp:effectExtent l="19050" t="19050" r="63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85615" cy="2444750"/>
                    </a:xfrm>
                    <a:prstGeom prst="rect">
                      <a:avLst/>
                    </a:prstGeom>
                    <a:noFill/>
                    <a:ln w="12700">
                      <a:solidFill>
                        <a:srgbClr val="2E74B5"/>
                      </a:solidFill>
                      <a:miter lim="800000"/>
                      <a:headEnd/>
                      <a:tailEnd/>
                    </a:ln>
                  </pic:spPr>
                </pic:pic>
              </a:graphicData>
            </a:graphic>
          </wp:inline>
        </w:drawing>
      </w:r>
    </w:p>
    <w:p w:rsidR="00375428" w:rsidRDefault="00227352">
      <w:pPr>
        <w:pStyle w:val="BodyText"/>
      </w:pPr>
      <w:r>
        <w:rPr>
          <w:bCs w:val="0"/>
          <w:lang w:val="en-AU"/>
        </w:rPr>
        <w:lastRenderedPageBreak/>
        <w:drawing>
          <wp:inline distT="0" distB="0" distL="0" distR="0">
            <wp:extent cx="5645150" cy="8425180"/>
            <wp:effectExtent l="19050" t="1905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45150" cy="8425180"/>
                    </a:xfrm>
                    <a:prstGeom prst="rect">
                      <a:avLst/>
                    </a:prstGeom>
                    <a:noFill/>
                    <a:ln w="12700">
                      <a:solidFill>
                        <a:srgbClr val="2E74B5"/>
                      </a:solidFill>
                      <a:miter lim="800000"/>
                      <a:headEnd/>
                      <a:tailEnd/>
                    </a:ln>
                  </pic:spPr>
                </pic:pic>
              </a:graphicData>
            </a:graphic>
          </wp:inline>
        </w:drawing>
      </w:r>
    </w:p>
    <w:p w:rsidR="003C2DAE" w:rsidRPr="00D576C5" w:rsidRDefault="0077210A" w:rsidP="00D35956">
      <w:pPr>
        <w:pStyle w:val="Heading3"/>
      </w:pPr>
      <w:bookmarkStart w:id="219" w:name="_Toc292369513"/>
      <w:r>
        <w:br w:type="page"/>
      </w:r>
      <w:bookmarkStart w:id="220" w:name="_Toc292369515"/>
      <w:bookmarkStart w:id="221" w:name="_Toc355947428"/>
      <w:bookmarkStart w:id="222" w:name="_Toc356202571"/>
      <w:bookmarkStart w:id="223" w:name="_Toc356202924"/>
      <w:bookmarkStart w:id="224" w:name="_Toc403114394"/>
      <w:bookmarkStart w:id="225" w:name="_Toc11845125"/>
      <w:bookmarkStart w:id="226" w:name="_Toc64258363"/>
      <w:bookmarkStart w:id="227" w:name="_Toc64276823"/>
      <w:bookmarkStart w:id="228" w:name="_Toc229533854"/>
      <w:bookmarkEnd w:id="208"/>
      <w:bookmarkEnd w:id="219"/>
      <w:r w:rsidR="00BA5D86">
        <w:lastRenderedPageBreak/>
        <w:t xml:space="preserve">3.4  </w:t>
      </w:r>
      <w:r w:rsidR="003D7AA1" w:rsidRPr="00D576C5">
        <w:t>Interpretive Guidelines for Differentials and Rate Types</w:t>
      </w:r>
      <w:bookmarkEnd w:id="220"/>
      <w:bookmarkEnd w:id="221"/>
      <w:bookmarkEnd w:id="222"/>
      <w:bookmarkEnd w:id="223"/>
      <w:bookmarkEnd w:id="224"/>
      <w:bookmarkEnd w:id="225"/>
    </w:p>
    <w:p w:rsidR="003C2DAE" w:rsidRPr="00D576C5" w:rsidRDefault="003C2DAE" w:rsidP="00671F60">
      <w:pPr>
        <w:pStyle w:val="Heading4"/>
      </w:pPr>
      <w:bookmarkStart w:id="229" w:name="_Toc292369516"/>
      <w:bookmarkStart w:id="230" w:name="_Toc355947429"/>
      <w:bookmarkStart w:id="231" w:name="_Toc356202925"/>
      <w:bookmarkStart w:id="232" w:name="_Toc403114395"/>
      <w:bookmarkStart w:id="233" w:name="_Toc11845126"/>
      <w:r w:rsidRPr="00D576C5">
        <w:t xml:space="preserve">Farm </w:t>
      </w:r>
      <w:r w:rsidR="003D7AA1" w:rsidRPr="00D576C5">
        <w:t>Rates</w:t>
      </w:r>
      <w:bookmarkEnd w:id="229"/>
      <w:bookmarkEnd w:id="230"/>
      <w:bookmarkEnd w:id="231"/>
      <w:bookmarkEnd w:id="232"/>
      <w:bookmarkEnd w:id="233"/>
      <w:r w:rsidRPr="00D576C5">
        <w:t xml:space="preserve"> </w:t>
      </w:r>
    </w:p>
    <w:p w:rsidR="001B6BA3" w:rsidRPr="00D576C5" w:rsidRDefault="001B6BA3">
      <w:pPr>
        <w:pStyle w:val="BodyText"/>
        <w:rPr>
          <w:b/>
        </w:rPr>
      </w:pPr>
      <w:r w:rsidRPr="00D576C5">
        <w:t xml:space="preserve">The farm differential is to recognise the benefits of large holdings, open space and traditionally, generally less demand upon </w:t>
      </w:r>
      <w:r w:rsidR="00C0444D">
        <w:t>c</w:t>
      </w:r>
      <w:r w:rsidR="00C0444D" w:rsidRPr="00D576C5">
        <w:t xml:space="preserve">ouncil </w:t>
      </w:r>
      <w:r w:rsidRPr="00D576C5">
        <w:t xml:space="preserve">services per land area held. This takes into account low economic return to large landholdings, avoiding distortions in the market or an ability to contribute above the standard charge.  </w:t>
      </w:r>
      <w:r w:rsidR="00C0444D">
        <w:t>The City</w:t>
      </w:r>
      <w:r w:rsidR="00C0444D" w:rsidRPr="00D576C5">
        <w:t xml:space="preserve"> </w:t>
      </w:r>
      <w:r w:rsidRPr="00D576C5">
        <w:t xml:space="preserve">utilises a combination of a differential tariff and a LGA </w:t>
      </w:r>
      <w:r w:rsidR="00C0444D">
        <w:t>s</w:t>
      </w:r>
      <w:r w:rsidR="00C0444D" w:rsidRPr="00D576C5">
        <w:t xml:space="preserve">ection </w:t>
      </w:r>
      <w:r w:rsidRPr="00D576C5">
        <w:t>169 rebate in order to maintain th</w:t>
      </w:r>
      <w:r w:rsidR="006704E6" w:rsidRPr="00D576C5">
        <w:t>e</w:t>
      </w:r>
      <w:r w:rsidRPr="00D576C5">
        <w:t xml:space="preserve"> status as the lowest rated tariff group.  Eligibility for Farm rebate is based on qualification for </w:t>
      </w:r>
      <w:r w:rsidR="00C0444D">
        <w:t>f</w:t>
      </w:r>
      <w:r w:rsidR="00C0444D" w:rsidRPr="00D576C5">
        <w:t xml:space="preserve">arm </w:t>
      </w:r>
      <w:r w:rsidR="00C0444D">
        <w:t>d</w:t>
      </w:r>
      <w:r w:rsidR="00C0444D" w:rsidRPr="00D576C5">
        <w:t>ifferential</w:t>
      </w:r>
      <w:r w:rsidRPr="00D576C5">
        <w:t>, whereby properties comply with the land use criteria.</w:t>
      </w:r>
    </w:p>
    <w:p w:rsidR="001B6BA3" w:rsidRPr="00D576C5" w:rsidRDefault="00C0444D">
      <w:pPr>
        <w:pStyle w:val="BodyText"/>
      </w:pPr>
      <w:r>
        <w:t>The City</w:t>
      </w:r>
      <w:r w:rsidRPr="00D576C5">
        <w:t xml:space="preserve"> </w:t>
      </w:r>
      <w:r w:rsidR="001B6BA3" w:rsidRPr="00D576C5">
        <w:t xml:space="preserve">determines whether properties are to be classified as Farm according to the definitions set out in the </w:t>
      </w:r>
      <w:r>
        <w:t>r</w:t>
      </w:r>
      <w:r w:rsidRPr="00D576C5">
        <w:t xml:space="preserve">ating </w:t>
      </w:r>
      <w:r>
        <w:t>d</w:t>
      </w:r>
      <w:r w:rsidRPr="00D576C5">
        <w:t xml:space="preserve">eclaration </w:t>
      </w:r>
      <w:r w:rsidR="001B6BA3" w:rsidRPr="00D576C5">
        <w:t xml:space="preserve">that is made as part of the </w:t>
      </w:r>
      <w:r>
        <w:t>b</w:t>
      </w:r>
      <w:r w:rsidRPr="00D576C5">
        <w:t xml:space="preserve">udget </w:t>
      </w:r>
      <w:r w:rsidR="001B6BA3" w:rsidRPr="00D576C5">
        <w:t>process each year.</w:t>
      </w:r>
    </w:p>
    <w:p w:rsidR="00F462EA" w:rsidRDefault="001B6BA3">
      <w:pPr>
        <w:pStyle w:val="BodyText"/>
      </w:pPr>
      <w:r w:rsidRPr="00D576C5">
        <w:t>The key factors to determine whether a property meets the definition of farm are:</w:t>
      </w:r>
    </w:p>
    <w:p w:rsidR="00A23966" w:rsidRPr="00132FCB" w:rsidRDefault="001B6BA3" w:rsidP="005167B1">
      <w:pPr>
        <w:pStyle w:val="ListParagraph"/>
        <w:numPr>
          <w:ilvl w:val="0"/>
          <w:numId w:val="43"/>
        </w:numPr>
        <w:spacing w:after="80"/>
        <w:ind w:left="357" w:hanging="357"/>
        <w:jc w:val="both"/>
      </w:pPr>
      <w:r w:rsidRPr="00C05662">
        <w:rPr>
          <w:rFonts w:cs="Lucida Sans Unicode"/>
          <w:szCs w:val="22"/>
        </w:rPr>
        <w:t xml:space="preserve">Is the area of the property 2 </w:t>
      </w:r>
      <w:r w:rsidR="00C64B76" w:rsidRPr="005A2AD5">
        <w:rPr>
          <w:rFonts w:cs="Lucida Sans Unicode"/>
          <w:szCs w:val="22"/>
        </w:rPr>
        <w:t>h</w:t>
      </w:r>
      <w:r w:rsidRPr="00583AE6">
        <w:rPr>
          <w:rFonts w:cs="Lucida Sans Unicode"/>
          <w:szCs w:val="22"/>
        </w:rPr>
        <w:t>ectares or greater?</w:t>
      </w:r>
    </w:p>
    <w:p w:rsidR="00A23966" w:rsidRPr="005167B1" w:rsidRDefault="001B6BA3" w:rsidP="005167B1">
      <w:pPr>
        <w:pStyle w:val="ListParagraph"/>
        <w:numPr>
          <w:ilvl w:val="0"/>
          <w:numId w:val="43"/>
        </w:numPr>
        <w:spacing w:after="80"/>
        <w:ind w:left="357" w:hanging="357"/>
        <w:jc w:val="both"/>
      </w:pPr>
      <w:r w:rsidRPr="005167B1">
        <w:rPr>
          <w:rFonts w:cs="Lucida Sans Unicode"/>
          <w:szCs w:val="22"/>
        </w:rPr>
        <w:t xml:space="preserve">Legal area of property as per </w:t>
      </w:r>
      <w:r w:rsidR="00C0444D" w:rsidRPr="005167B1">
        <w:rPr>
          <w:rFonts w:cs="Lucida Sans Unicode"/>
          <w:szCs w:val="22"/>
        </w:rPr>
        <w:t>council records</w:t>
      </w:r>
      <w:r w:rsidRPr="005167B1">
        <w:rPr>
          <w:rFonts w:cs="Lucida Sans Unicode"/>
          <w:szCs w:val="22"/>
        </w:rPr>
        <w:t>.</w:t>
      </w:r>
    </w:p>
    <w:p w:rsidR="00A23966" w:rsidRPr="005167B1" w:rsidRDefault="001B6BA3" w:rsidP="005167B1">
      <w:pPr>
        <w:pStyle w:val="ListParagraph"/>
        <w:numPr>
          <w:ilvl w:val="0"/>
          <w:numId w:val="43"/>
        </w:numPr>
        <w:spacing w:after="80"/>
        <w:ind w:left="357" w:hanging="357"/>
        <w:jc w:val="both"/>
      </w:pPr>
      <w:r w:rsidRPr="005167B1">
        <w:rPr>
          <w:rFonts w:cs="Lucida Sans Unicode"/>
          <w:szCs w:val="22"/>
        </w:rPr>
        <w:t>Is the property being utilised for one of the defined farming activities?</w:t>
      </w:r>
    </w:p>
    <w:p w:rsidR="00233BDB" w:rsidRDefault="00233BDB" w:rsidP="005167B1">
      <w:pPr>
        <w:pStyle w:val="BodyText1"/>
      </w:pPr>
    </w:p>
    <w:p w:rsidR="00F462EA" w:rsidRDefault="001B6BA3">
      <w:pPr>
        <w:pStyle w:val="BodyText1"/>
      </w:pPr>
      <w:r w:rsidRPr="00EE0AC3">
        <w:rPr>
          <w:b/>
        </w:rPr>
        <w:t>Farm Land</w:t>
      </w:r>
      <w:r w:rsidRPr="00C64B76">
        <w:t xml:space="preserve"> -  means any land which is not less than 2 hectares in area and</w:t>
      </w:r>
      <w:r w:rsidR="005A2AD5">
        <w:t>;</w:t>
      </w:r>
    </w:p>
    <w:p w:rsidR="00F462EA" w:rsidRDefault="000744A6" w:rsidP="0027081E">
      <w:pPr>
        <w:pStyle w:val="ListParagraph"/>
        <w:numPr>
          <w:ilvl w:val="0"/>
          <w:numId w:val="95"/>
        </w:numPr>
        <w:ind w:left="360"/>
        <w:jc w:val="both"/>
      </w:pPr>
      <w:r w:rsidRPr="000744A6">
        <w:t>is used predominantly for a business of grazing (including agistment), dairying, pig-farming, poultry farming, fish farming, tree farming, bee-keeping, viticulture, horticulture, fruit growing or the growing of crops of any kind or for any combination of those activities or;</w:t>
      </w:r>
    </w:p>
    <w:p w:rsidR="00F462EA" w:rsidRDefault="000744A6" w:rsidP="0027081E">
      <w:pPr>
        <w:pStyle w:val="ListParagraph"/>
        <w:numPr>
          <w:ilvl w:val="0"/>
          <w:numId w:val="95"/>
        </w:numPr>
        <w:ind w:left="360"/>
        <w:jc w:val="both"/>
      </w:pPr>
      <w:r w:rsidRPr="000744A6">
        <w:t>satisfies the criteria for municipal purpose benefit for large holdings to the extent that it is, for example, land that is predominantly used and maintained for heritage, cultural or environmental purposes, or land that is held as natural bushland under a trust for nature covenant, or land that is held under some other type of similar formal undertaking.</w:t>
      </w:r>
    </w:p>
    <w:p w:rsidR="00F462EA" w:rsidRDefault="001B6BA3">
      <w:pPr>
        <w:pStyle w:val="BodyText"/>
      </w:pPr>
      <w:r w:rsidRPr="009055AD">
        <w:t>Case law on farming activities has concluded that recreational horses are not part of the recognised farming</w:t>
      </w:r>
      <w:r w:rsidRPr="00D576C5">
        <w:t xml:space="preserve"> activities. This has been further defined to allow that properties conducting a business of grazing animals for agistment are farming businesses, provided the animals meet the definition of a grazing animal.  Properties training horses for racing purposes are not farming but are conducting a commercial activity. The </w:t>
      </w:r>
      <w:r w:rsidR="00B9109C" w:rsidRPr="00D576C5">
        <w:t>‘</w:t>
      </w:r>
      <w:r w:rsidRPr="00D576C5">
        <w:t>predominant use</w:t>
      </w:r>
      <w:r w:rsidR="00B9109C" w:rsidRPr="00D576C5">
        <w:t>’</w:t>
      </w:r>
      <w:r w:rsidRPr="00D576C5">
        <w:t xml:space="preserve"> test is relevant to </w:t>
      </w:r>
      <w:r w:rsidRPr="00D576C5">
        <w:lastRenderedPageBreak/>
        <w:t>determine w</w:t>
      </w:r>
      <w:r w:rsidR="00B9109C" w:rsidRPr="00D576C5">
        <w:t>hether farming activities qualif</w:t>
      </w:r>
      <w:r w:rsidRPr="00D576C5">
        <w:t>y as a farm.</w:t>
      </w:r>
    </w:p>
    <w:p w:rsidR="00F462EA" w:rsidRDefault="00893663">
      <w:pPr>
        <w:pStyle w:val="BodyText"/>
      </w:pPr>
      <w:r w:rsidRPr="00D576C5">
        <w:t>Predominant or main activity requires looking at the amount of land used for the particular activity / activities and also the intensity of that use.  Mere comparison of relative areas occupied by a residential use and a farming business is not decisive.  Regard also needs to be given to the relative weights of the competing uses (eg. residen</w:t>
      </w:r>
      <w:r w:rsidR="00DA3B48" w:rsidRPr="00D576C5">
        <w:t>tial verses business etc.)</w:t>
      </w:r>
      <w:r w:rsidR="00B9109C" w:rsidRPr="00D576C5">
        <w:t>.</w:t>
      </w:r>
    </w:p>
    <w:p w:rsidR="00F462EA" w:rsidRDefault="001B6BA3">
      <w:pPr>
        <w:pStyle w:val="BodyText"/>
      </w:pPr>
      <w:r w:rsidRPr="00C64B76">
        <w:t>Is the property a farming business?</w:t>
      </w:r>
    </w:p>
    <w:p w:rsidR="00F462EA" w:rsidRDefault="00E6018B">
      <w:pPr>
        <w:pStyle w:val="BodyText"/>
      </w:pPr>
      <w:r w:rsidRPr="00593715">
        <w:t xml:space="preserve">To avoid doubt, 'business' for the purposes of identifying Farm Land has the same meaning as that given to it by section 2(1) of the </w:t>
      </w:r>
      <w:r w:rsidRPr="00593715">
        <w:rPr>
          <w:i/>
        </w:rPr>
        <w:t>Valuation of Land Act</w:t>
      </w:r>
      <w:r w:rsidRPr="00593715">
        <w:t xml:space="preserve"> 1960 for the same purpose, being a business that:</w:t>
      </w:r>
    </w:p>
    <w:p w:rsidR="00A23966" w:rsidRPr="005A2AD5" w:rsidRDefault="00E6018B" w:rsidP="005167B1">
      <w:pPr>
        <w:pStyle w:val="ListParagraph"/>
        <w:numPr>
          <w:ilvl w:val="0"/>
          <w:numId w:val="43"/>
        </w:numPr>
        <w:spacing w:after="80"/>
        <w:ind w:left="357" w:hanging="357"/>
        <w:jc w:val="both"/>
      </w:pPr>
      <w:r w:rsidRPr="00C05662">
        <w:rPr>
          <w:rFonts w:cs="Lucida Sans Unicode"/>
          <w:szCs w:val="22"/>
        </w:rPr>
        <w:t>has a significant and substantial commercial purpose or character; and</w:t>
      </w:r>
    </w:p>
    <w:p w:rsidR="00A23966" w:rsidRPr="00132FCB" w:rsidRDefault="00E6018B" w:rsidP="005167B1">
      <w:pPr>
        <w:pStyle w:val="ListParagraph"/>
        <w:numPr>
          <w:ilvl w:val="0"/>
          <w:numId w:val="43"/>
        </w:numPr>
        <w:spacing w:after="80"/>
        <w:ind w:left="357" w:hanging="357"/>
        <w:jc w:val="both"/>
      </w:pPr>
      <w:r w:rsidRPr="00583AE6">
        <w:rPr>
          <w:rFonts w:cs="Lucida Sans Unicode"/>
          <w:szCs w:val="22"/>
        </w:rPr>
        <w:t>seeks to make a profit on a continuous or repetitive basis form its activities on the land; and</w:t>
      </w:r>
    </w:p>
    <w:p w:rsidR="00A23966" w:rsidRPr="005167B1" w:rsidRDefault="00E6018B" w:rsidP="005167B1">
      <w:pPr>
        <w:pStyle w:val="ListParagraph"/>
        <w:numPr>
          <w:ilvl w:val="0"/>
          <w:numId w:val="43"/>
        </w:numPr>
        <w:spacing w:after="80"/>
        <w:ind w:left="357" w:hanging="357"/>
        <w:jc w:val="both"/>
      </w:pPr>
      <w:r w:rsidRPr="005167B1">
        <w:rPr>
          <w:rFonts w:cs="Lucida Sans Unicode"/>
          <w:szCs w:val="22"/>
        </w:rPr>
        <w:t>is making a profit from its activities on the land, or that has a reasonable prospect of making a profit from its activities on the land if it continues to operate in the way that it is operating.</w:t>
      </w:r>
    </w:p>
    <w:p w:rsidR="00F462EA" w:rsidRDefault="00063439">
      <w:pPr>
        <w:pStyle w:val="BodyText"/>
      </w:pPr>
      <w:r>
        <w:t>The City</w:t>
      </w:r>
      <w:r w:rsidRPr="00D576C5">
        <w:t xml:space="preserve"> </w:t>
      </w:r>
      <w:r w:rsidR="001B6BA3" w:rsidRPr="00D576C5">
        <w:t>collects information that assists in determining whether or not the property is being run as a business</w:t>
      </w:r>
      <w:r w:rsidR="00DA3B48" w:rsidRPr="00D576C5">
        <w:t xml:space="preserve"> (commercial venture organised for profit)</w:t>
      </w:r>
      <w:r w:rsidR="001B6BA3" w:rsidRPr="00D576C5">
        <w:t xml:space="preserve">. The tests are in line with the Australian Tax Office tests for a primary production business.  The key tests include </w:t>
      </w:r>
      <w:smartTag w:uri="urn:schemas-microsoft-com:office:smarttags" w:element="stockticker">
        <w:r w:rsidR="001B6BA3" w:rsidRPr="00D576C5">
          <w:t>ABN</w:t>
        </w:r>
      </w:smartTag>
      <w:r w:rsidR="001B6BA3" w:rsidRPr="00D576C5">
        <w:t xml:space="preserve">, </w:t>
      </w:r>
      <w:r w:rsidR="00B9109C" w:rsidRPr="00D576C5">
        <w:t>b</w:t>
      </w:r>
      <w:r w:rsidR="00DA3B48" w:rsidRPr="00D576C5">
        <w:t>usiness names,</w:t>
      </w:r>
      <w:r w:rsidR="00B9109C" w:rsidRPr="00D576C5">
        <w:t xml:space="preserve"> </w:t>
      </w:r>
      <w:r w:rsidR="001B6BA3" w:rsidRPr="00D576C5">
        <w:t>regular volume of activity, level of activity showing commercial objective, income level above Australian Taxation Office threshold for income assistance and business plan for operation of the property.</w:t>
      </w:r>
    </w:p>
    <w:p w:rsidR="00F462EA" w:rsidRDefault="00DA3B48">
      <w:pPr>
        <w:pStyle w:val="BodyText"/>
      </w:pPr>
      <w:r w:rsidRPr="00D576C5">
        <w:t>The farming carried out must be on a sufficient scale as to have some element of independent viability, therefore not supported by alternate income sources.  The purpose of the farming activity</w:t>
      </w:r>
      <w:r w:rsidR="00B9109C" w:rsidRPr="00D576C5">
        <w:t xml:space="preserve"> </w:t>
      </w:r>
      <w:r w:rsidRPr="00D576C5">
        <w:t>must</w:t>
      </w:r>
      <w:r w:rsidR="00B9109C" w:rsidRPr="00D576C5">
        <w:t xml:space="preserve"> </w:t>
      </w:r>
      <w:r w:rsidRPr="00D576C5">
        <w:t>be ongoing and the result being of significant commercial volume.  Therefore</w:t>
      </w:r>
      <w:r w:rsidR="00B9109C" w:rsidRPr="00D576C5">
        <w:t>,</w:t>
      </w:r>
      <w:r w:rsidRPr="00D576C5">
        <w:t xml:space="preserve"> if the activities will only ever produce small returns then they would be considered to be of a slight or minor character </w:t>
      </w:r>
      <w:r w:rsidR="00B9109C" w:rsidRPr="00D576C5">
        <w:t xml:space="preserve"> </w:t>
      </w:r>
      <w:r w:rsidRPr="00D576C5">
        <w:t xml:space="preserve">(Hobby </w:t>
      </w:r>
      <w:r w:rsidR="00063439">
        <w:t>f</w:t>
      </w:r>
      <w:r w:rsidR="00063439" w:rsidRPr="00D576C5">
        <w:t xml:space="preserve">arm </w:t>
      </w:r>
      <w:r w:rsidRPr="00D576C5">
        <w:t xml:space="preserve">or rural retreats).  Seasonal fluctuations should not affect this outcome.  </w:t>
      </w:r>
    </w:p>
    <w:p w:rsidR="00F462EA" w:rsidRDefault="001B6BA3">
      <w:pPr>
        <w:pStyle w:val="BodyText"/>
      </w:pPr>
      <w:r w:rsidRPr="00C64B76">
        <w:t>Is the property providing a municipal benefit?</w:t>
      </w:r>
    </w:p>
    <w:p w:rsidR="00F462EA" w:rsidRDefault="001B6BA3">
      <w:pPr>
        <w:pStyle w:val="BodyText"/>
      </w:pPr>
      <w:r w:rsidRPr="00D576C5">
        <w:t>Alternatively, land predominantly used or maintained for heritage, cultural or environmental purpose such as land held as natural bushland under a trust for nature covenant, or other type of formal undertaking will be classed as farm land under the definition.  Small areas of the subject property will not be able to attract the definition.</w:t>
      </w:r>
    </w:p>
    <w:p w:rsidR="00F462EA" w:rsidRDefault="001B6BA3">
      <w:pPr>
        <w:pStyle w:val="BodyText"/>
      </w:pPr>
      <w:r w:rsidRPr="00D576C5">
        <w:lastRenderedPageBreak/>
        <w:t xml:space="preserve">Large land holdings unable to qualify as </w:t>
      </w:r>
      <w:r w:rsidR="005A2AD5">
        <w:t>f</w:t>
      </w:r>
      <w:r w:rsidR="005A2AD5" w:rsidRPr="00D576C5">
        <w:t xml:space="preserve">arm </w:t>
      </w:r>
      <w:r w:rsidR="00063439">
        <w:t>l</w:t>
      </w:r>
      <w:r w:rsidR="00063439" w:rsidRPr="00D576C5">
        <w:t xml:space="preserve">and </w:t>
      </w:r>
      <w:r w:rsidRPr="00D576C5">
        <w:t>use would be typically tracts of land held for subdivision and not being utilised in accordance with the criteria. In such cases, land will generally be rated at either the residential or vacant land rating differential.</w:t>
      </w:r>
    </w:p>
    <w:p w:rsidR="00F462EA" w:rsidRDefault="001B6BA3">
      <w:pPr>
        <w:pStyle w:val="BodyText"/>
      </w:pPr>
      <w:r w:rsidRPr="00D576C5">
        <w:t>The Farm classification is reviewed when a property is sold or subdivided.  An application survey is sent to the owners to obtain details on the properties ongoing usage by the new owner.  Based on the information returned, the property is reclassified.</w:t>
      </w:r>
    </w:p>
    <w:p w:rsidR="00F462EA" w:rsidRDefault="001B6BA3">
      <w:pPr>
        <w:pStyle w:val="BodyText"/>
      </w:pPr>
      <w:r w:rsidRPr="00D576C5">
        <w:t xml:space="preserve">At times, </w:t>
      </w:r>
      <w:r w:rsidR="00063439">
        <w:t>the City</w:t>
      </w:r>
      <w:r w:rsidR="00063439" w:rsidRPr="00D576C5">
        <w:t xml:space="preserve"> </w:t>
      </w:r>
      <w:r w:rsidRPr="00D576C5">
        <w:t xml:space="preserve">may also mail out an application survey to groups of existing </w:t>
      </w:r>
      <w:r w:rsidR="005A2AD5">
        <w:t>f</w:t>
      </w:r>
      <w:r w:rsidR="005A2AD5" w:rsidRPr="00D576C5">
        <w:t xml:space="preserve">arm </w:t>
      </w:r>
      <w:r w:rsidRPr="00D576C5">
        <w:t>classified properties to ensure they are still using the land for farming purposes and therefore are still eligible for the farming classification.</w:t>
      </w:r>
      <w:r w:rsidR="00B9109C" w:rsidRPr="00D576C5">
        <w:t xml:space="preserve"> </w:t>
      </w:r>
      <w:r w:rsidRPr="00D576C5">
        <w:t xml:space="preserve">Owners of properties not currently defined as </w:t>
      </w:r>
      <w:r w:rsidR="005A2AD5">
        <w:t>f</w:t>
      </w:r>
      <w:r w:rsidR="005A2AD5" w:rsidRPr="00D576C5">
        <w:t xml:space="preserve">arm </w:t>
      </w:r>
      <w:r w:rsidR="00063439">
        <w:t>l</w:t>
      </w:r>
      <w:r w:rsidR="00063439" w:rsidRPr="00D576C5">
        <w:t xml:space="preserve">and </w:t>
      </w:r>
      <w:r w:rsidR="00DA3B48" w:rsidRPr="00D576C5">
        <w:t xml:space="preserve">may request </w:t>
      </w:r>
      <w:r w:rsidRPr="00D576C5">
        <w:t>the application survey. The rating differential will be determined based on the returned information.</w:t>
      </w:r>
    </w:p>
    <w:p w:rsidR="00F462EA" w:rsidRDefault="00960544">
      <w:pPr>
        <w:pStyle w:val="BodyText"/>
      </w:pPr>
      <w:r>
        <w:t>The farm differential will be set at 80% of the residential rate and t</w:t>
      </w:r>
      <w:r w:rsidR="001E0EE0" w:rsidRPr="00D576C5">
        <w:t xml:space="preserve">he rebate will </w:t>
      </w:r>
      <w:r w:rsidR="005E6489">
        <w:t>be set</w:t>
      </w:r>
      <w:r w:rsidR="002C169B">
        <w:t xml:space="preserve"> at</w:t>
      </w:r>
      <w:r w:rsidR="00C42BCF">
        <w:t xml:space="preserve"> </w:t>
      </w:r>
      <w:r w:rsidR="005E6489">
        <w:t>3</w:t>
      </w:r>
      <w:r>
        <w:t>3</w:t>
      </w:r>
      <w:r w:rsidR="005E6489">
        <w:t>.3</w:t>
      </w:r>
      <w:r w:rsidR="00D36A0F" w:rsidRPr="00D576C5">
        <w:t xml:space="preserve">% </w:t>
      </w:r>
      <w:r w:rsidR="001E0EE0" w:rsidRPr="00D576C5">
        <w:t>(</w:t>
      </w:r>
      <w:r w:rsidR="00552AA4" w:rsidRPr="00D576C5">
        <w:t>46.5</w:t>
      </w:r>
      <w:r w:rsidR="001E0EE0" w:rsidRPr="00D576C5">
        <w:t>% 20</w:t>
      </w:r>
      <w:r w:rsidR="00552AA4" w:rsidRPr="00D576C5">
        <w:t>10</w:t>
      </w:r>
      <w:r w:rsidR="001E0EE0" w:rsidRPr="00D576C5">
        <w:t>-</w:t>
      </w:r>
      <w:r w:rsidR="002C169B">
        <w:t>11</w:t>
      </w:r>
      <w:r w:rsidR="002C169B" w:rsidRPr="00D576C5">
        <w:t xml:space="preserve"> </w:t>
      </w:r>
      <w:r w:rsidR="00D36A0F" w:rsidRPr="00D576C5">
        <w:t>and 2011-</w:t>
      </w:r>
      <w:r w:rsidR="002C169B">
        <w:t>12</w:t>
      </w:r>
      <w:r w:rsidR="00E60DAA">
        <w:t>, 36.2% 2012-</w:t>
      </w:r>
      <w:r w:rsidR="002C169B">
        <w:t xml:space="preserve">13 </w:t>
      </w:r>
      <w:r w:rsidR="00BA2036">
        <w:t>and 2013-</w:t>
      </w:r>
      <w:r w:rsidR="002C169B">
        <w:t>14</w:t>
      </w:r>
      <w:r w:rsidR="00614EB0">
        <w:t>, 34% 2014-</w:t>
      </w:r>
      <w:r w:rsidR="002C169B">
        <w:t xml:space="preserve">15 </w:t>
      </w:r>
      <w:r w:rsidR="00C42BCF">
        <w:t>and 2015-</w:t>
      </w:r>
      <w:r w:rsidR="002C169B">
        <w:t>16, 40% 2016-17</w:t>
      </w:r>
      <w:r w:rsidR="005E6489">
        <w:t xml:space="preserve"> and 2017-18</w:t>
      </w:r>
      <w:r>
        <w:t>, 37.3</w:t>
      </w:r>
      <w:r w:rsidR="00096454">
        <w:t>%</w:t>
      </w:r>
      <w:r>
        <w:t xml:space="preserve"> 2018-19</w:t>
      </w:r>
      <w:r w:rsidR="00FD5151">
        <w:t>)</w:t>
      </w:r>
      <w:r w:rsidR="001E0EE0" w:rsidRPr="00D576C5">
        <w:t xml:space="preserve"> of the amount payable of the capital improved value of the property. </w:t>
      </w:r>
    </w:p>
    <w:p w:rsidR="000744A6" w:rsidRDefault="000744A6">
      <w:pPr>
        <w:pStyle w:val="BodyText"/>
      </w:pPr>
      <w:bookmarkStart w:id="234" w:name="_Toc403114396"/>
      <w:r w:rsidRPr="000744A6">
        <w:t>Multiple Land Use – Separate Assessment</w:t>
      </w:r>
      <w:bookmarkEnd w:id="234"/>
    </w:p>
    <w:p w:rsidR="00E42343" w:rsidRPr="00EE0AC3" w:rsidRDefault="00063439">
      <w:pPr>
        <w:pStyle w:val="BodyText"/>
      </w:pPr>
      <w:r>
        <w:t>The City’s</w:t>
      </w:r>
      <w:r w:rsidRPr="00EE0AC3">
        <w:t xml:space="preserve"> </w:t>
      </w:r>
      <w:r w:rsidR="000744A6" w:rsidRPr="00EE0AC3">
        <w:t xml:space="preserve">rating framework is governed by the </w:t>
      </w:r>
      <w:r w:rsidR="000744A6" w:rsidRPr="005167B1">
        <w:rPr>
          <w:i/>
        </w:rPr>
        <w:t>Local Government Act 1989</w:t>
      </w:r>
      <w:r w:rsidR="000744A6" w:rsidRPr="00EE0AC3">
        <w:t xml:space="preserve"> and the </w:t>
      </w:r>
      <w:r w:rsidR="000744A6" w:rsidRPr="005167B1">
        <w:rPr>
          <w:i/>
        </w:rPr>
        <w:t>Valuation of Land Act 1960</w:t>
      </w:r>
      <w:r w:rsidR="000744A6" w:rsidRPr="00EE0AC3">
        <w:t>.</w:t>
      </w:r>
    </w:p>
    <w:p w:rsidR="00E42343" w:rsidRPr="00EE0AC3" w:rsidRDefault="000744A6">
      <w:pPr>
        <w:pStyle w:val="BodyText"/>
      </w:pPr>
      <w:r w:rsidRPr="00EE0AC3">
        <w:t xml:space="preserve">Under </w:t>
      </w:r>
      <w:r w:rsidR="00063439">
        <w:t>s</w:t>
      </w:r>
      <w:r w:rsidR="00063439" w:rsidRPr="00EE0AC3">
        <w:t xml:space="preserve">ection </w:t>
      </w:r>
      <w:r w:rsidRPr="00EE0AC3">
        <w:t xml:space="preserve">158A of the </w:t>
      </w:r>
      <w:r w:rsidRPr="005167B1">
        <w:rPr>
          <w:i/>
        </w:rPr>
        <w:t>Local Government Act</w:t>
      </w:r>
      <w:r w:rsidRPr="00EE0AC3">
        <w:t xml:space="preserve"> rates and charges are to be levied on each occupancy and </w:t>
      </w:r>
      <w:r w:rsidR="00063439">
        <w:t>the City</w:t>
      </w:r>
      <w:r w:rsidR="00063439" w:rsidRPr="00EE0AC3">
        <w:t xml:space="preserve"> </w:t>
      </w:r>
      <w:r w:rsidRPr="00EE0AC3">
        <w:t xml:space="preserve">must separately levy the rate and charge in respect of each portion of land for which </w:t>
      </w:r>
      <w:r w:rsidR="00063439">
        <w:t>the City</w:t>
      </w:r>
      <w:r w:rsidR="00063439" w:rsidRPr="00EE0AC3">
        <w:t xml:space="preserve"> </w:t>
      </w:r>
      <w:r w:rsidRPr="00EE0AC3">
        <w:t>has a separate valuation.</w:t>
      </w:r>
    </w:p>
    <w:p w:rsidR="00F462EA" w:rsidRPr="00EE0AC3" w:rsidRDefault="000744A6">
      <w:pPr>
        <w:pStyle w:val="BodyText"/>
      </w:pPr>
      <w:r w:rsidRPr="00EE0AC3">
        <w:t xml:space="preserve">Under </w:t>
      </w:r>
      <w:r w:rsidR="00063439">
        <w:t>s</w:t>
      </w:r>
      <w:r w:rsidR="00063439" w:rsidRPr="00EE0AC3">
        <w:t xml:space="preserve">ection </w:t>
      </w:r>
      <w:r w:rsidRPr="00EE0AC3">
        <w:t xml:space="preserve">13DC of the </w:t>
      </w:r>
      <w:r w:rsidRPr="005167B1">
        <w:rPr>
          <w:i/>
        </w:rPr>
        <w:t>Valuation of Land Act 1960</w:t>
      </w:r>
      <w:r w:rsidRPr="00EE0AC3">
        <w:t xml:space="preserve"> each separate occupancy must be computed at its nett annual value, its capital value and its site value and under section 7(a):</w:t>
      </w:r>
    </w:p>
    <w:p w:rsidR="00F462EA" w:rsidRPr="00EE0AC3" w:rsidRDefault="000744A6">
      <w:pPr>
        <w:pStyle w:val="BodyText"/>
      </w:pPr>
      <w:r w:rsidRPr="00EE0AC3">
        <w:t>“If a portion of a parcel of land on which a building is erected is occupied separately, or is obviously adapted to being occupied separately, from other land in the parcel, that portion must be regarded as forming a separate rateable property and must be valued accordingly”.</w:t>
      </w:r>
    </w:p>
    <w:p w:rsidR="00F462EA" w:rsidRPr="00EE0AC3" w:rsidRDefault="000744A6">
      <w:pPr>
        <w:pStyle w:val="BodyText"/>
      </w:pPr>
      <w:r w:rsidRPr="00EE0AC3">
        <w:t xml:space="preserve">In order to meet the requirements of the Acts and rate a parcel of land accordingly </w:t>
      </w:r>
      <w:r w:rsidR="00063439">
        <w:t>the City</w:t>
      </w:r>
      <w:r w:rsidR="00063439" w:rsidRPr="00EE0AC3">
        <w:t xml:space="preserve"> </w:t>
      </w:r>
      <w:r w:rsidRPr="00EE0AC3">
        <w:t>makes an assessment of each parcel of land to:</w:t>
      </w:r>
    </w:p>
    <w:p w:rsidR="00A23966" w:rsidRPr="00583AE6" w:rsidRDefault="000744A6" w:rsidP="005167B1">
      <w:pPr>
        <w:pStyle w:val="ListParagraph"/>
        <w:numPr>
          <w:ilvl w:val="0"/>
          <w:numId w:val="43"/>
        </w:numPr>
        <w:spacing w:after="80"/>
        <w:ind w:left="357" w:hanging="357"/>
        <w:jc w:val="both"/>
      </w:pPr>
      <w:r w:rsidRPr="00C05662">
        <w:rPr>
          <w:rFonts w:cs="Lucida Sans Unicode"/>
          <w:szCs w:val="22"/>
        </w:rPr>
        <w:t>determine the predomin</w:t>
      </w:r>
      <w:r w:rsidRPr="005A2AD5">
        <w:rPr>
          <w:rFonts w:cs="Lucida Sans Unicode"/>
          <w:szCs w:val="22"/>
        </w:rPr>
        <w:t>ant land characteristics;</w:t>
      </w:r>
    </w:p>
    <w:p w:rsidR="00A23966" w:rsidRPr="00132FCB" w:rsidRDefault="000744A6" w:rsidP="005167B1">
      <w:pPr>
        <w:pStyle w:val="ListParagraph"/>
        <w:numPr>
          <w:ilvl w:val="0"/>
          <w:numId w:val="43"/>
        </w:numPr>
        <w:spacing w:after="80"/>
        <w:ind w:left="357" w:hanging="357"/>
        <w:jc w:val="both"/>
      </w:pPr>
      <w:r w:rsidRPr="00583AE6">
        <w:rPr>
          <w:rFonts w:cs="Lucida Sans Unicode"/>
          <w:szCs w:val="22"/>
        </w:rPr>
        <w:t>values the land accordingly; and</w:t>
      </w:r>
    </w:p>
    <w:p w:rsidR="00A23966" w:rsidRPr="005167B1" w:rsidRDefault="000744A6" w:rsidP="005167B1">
      <w:pPr>
        <w:pStyle w:val="ListParagraph"/>
        <w:numPr>
          <w:ilvl w:val="0"/>
          <w:numId w:val="43"/>
        </w:numPr>
        <w:spacing w:after="80"/>
        <w:ind w:left="357" w:hanging="357"/>
        <w:jc w:val="both"/>
      </w:pPr>
      <w:r w:rsidRPr="005167B1">
        <w:rPr>
          <w:rFonts w:cs="Lucida Sans Unicode"/>
          <w:szCs w:val="22"/>
        </w:rPr>
        <w:t>applies a rating differential which matches the land characteristics.</w:t>
      </w:r>
    </w:p>
    <w:p w:rsidR="00F462EA" w:rsidRPr="00EE0AC3" w:rsidRDefault="000744A6">
      <w:pPr>
        <w:pStyle w:val="BodyText"/>
      </w:pPr>
      <w:r w:rsidRPr="00EE0AC3">
        <w:lastRenderedPageBreak/>
        <w:t xml:space="preserve">As part of the rating process </w:t>
      </w:r>
      <w:r w:rsidR="00063439">
        <w:t>the City</w:t>
      </w:r>
      <w:r w:rsidR="00063439" w:rsidRPr="00EE0AC3">
        <w:t xml:space="preserve"> </w:t>
      </w:r>
      <w:r w:rsidRPr="00EE0AC3">
        <w:t>regularly reviews land within the municipality to monitor changes to land use characteristics at:</w:t>
      </w:r>
    </w:p>
    <w:p w:rsidR="00A23966" w:rsidRPr="005A2AD5" w:rsidRDefault="000744A6" w:rsidP="005167B1">
      <w:pPr>
        <w:pStyle w:val="ListParagraph"/>
        <w:numPr>
          <w:ilvl w:val="0"/>
          <w:numId w:val="43"/>
        </w:numPr>
        <w:spacing w:after="80"/>
        <w:ind w:left="357" w:hanging="357"/>
        <w:jc w:val="both"/>
      </w:pPr>
      <w:r w:rsidRPr="00C05662">
        <w:rPr>
          <w:rFonts w:cs="Lucida Sans Unicode"/>
          <w:szCs w:val="22"/>
        </w:rPr>
        <w:t>Revaluation;</w:t>
      </w:r>
    </w:p>
    <w:p w:rsidR="00A23966" w:rsidRPr="00132FCB" w:rsidRDefault="000744A6" w:rsidP="005167B1">
      <w:pPr>
        <w:pStyle w:val="ListParagraph"/>
        <w:numPr>
          <w:ilvl w:val="0"/>
          <w:numId w:val="43"/>
        </w:numPr>
        <w:spacing w:after="80"/>
        <w:ind w:left="357" w:hanging="357"/>
        <w:jc w:val="both"/>
      </w:pPr>
      <w:r w:rsidRPr="00583AE6">
        <w:rPr>
          <w:rFonts w:cs="Lucida Sans Unicode"/>
          <w:szCs w:val="22"/>
        </w:rPr>
        <w:t>When building, planning or other permits are applied for;</w:t>
      </w:r>
    </w:p>
    <w:p w:rsidR="00A23966" w:rsidRPr="005167B1" w:rsidRDefault="000744A6" w:rsidP="005167B1">
      <w:pPr>
        <w:pStyle w:val="ListParagraph"/>
        <w:numPr>
          <w:ilvl w:val="0"/>
          <w:numId w:val="43"/>
        </w:numPr>
        <w:spacing w:after="80"/>
        <w:ind w:left="357" w:hanging="357"/>
        <w:jc w:val="both"/>
      </w:pPr>
      <w:r w:rsidRPr="005167B1">
        <w:rPr>
          <w:rFonts w:cs="Lucida Sans Unicode"/>
          <w:szCs w:val="22"/>
        </w:rPr>
        <w:t>When building, planning or other permits are required;</w:t>
      </w:r>
    </w:p>
    <w:p w:rsidR="00A23966" w:rsidRPr="005167B1" w:rsidRDefault="000744A6" w:rsidP="005167B1">
      <w:pPr>
        <w:pStyle w:val="ListParagraph"/>
        <w:numPr>
          <w:ilvl w:val="0"/>
          <w:numId w:val="43"/>
        </w:numPr>
        <w:spacing w:after="80"/>
        <w:ind w:left="357" w:hanging="357"/>
        <w:jc w:val="both"/>
      </w:pPr>
      <w:r w:rsidRPr="005167B1">
        <w:rPr>
          <w:rFonts w:cs="Lucida Sans Unicode"/>
          <w:szCs w:val="22"/>
        </w:rPr>
        <w:t>When subdivisions occur;</w:t>
      </w:r>
    </w:p>
    <w:p w:rsidR="00A23966" w:rsidRPr="005167B1" w:rsidRDefault="000744A6" w:rsidP="005167B1">
      <w:pPr>
        <w:pStyle w:val="ListParagraph"/>
        <w:numPr>
          <w:ilvl w:val="0"/>
          <w:numId w:val="43"/>
        </w:numPr>
        <w:spacing w:after="80"/>
        <w:ind w:left="357" w:hanging="357"/>
        <w:jc w:val="both"/>
      </w:pPr>
      <w:r w:rsidRPr="005167B1">
        <w:rPr>
          <w:rFonts w:cs="Lucida Sans Unicode"/>
          <w:szCs w:val="22"/>
        </w:rPr>
        <w:t>Upon sale and transfer of land;</w:t>
      </w:r>
    </w:p>
    <w:p w:rsidR="00A23966" w:rsidRPr="005167B1" w:rsidRDefault="000744A6" w:rsidP="005167B1">
      <w:pPr>
        <w:pStyle w:val="ListParagraph"/>
        <w:numPr>
          <w:ilvl w:val="0"/>
          <w:numId w:val="43"/>
        </w:numPr>
        <w:spacing w:after="80"/>
        <w:ind w:left="357" w:hanging="357"/>
        <w:jc w:val="both"/>
      </w:pPr>
      <w:r w:rsidRPr="005167B1">
        <w:rPr>
          <w:rFonts w:cs="Lucida Sans Unicode"/>
          <w:szCs w:val="22"/>
        </w:rPr>
        <w:t xml:space="preserve">Upon inspection by </w:t>
      </w:r>
      <w:r w:rsidR="00063439" w:rsidRPr="005167B1">
        <w:rPr>
          <w:rFonts w:cs="Lucida Sans Unicode"/>
          <w:szCs w:val="22"/>
        </w:rPr>
        <w:t xml:space="preserve">the </w:t>
      </w:r>
      <w:r w:rsidR="00717A0E" w:rsidRPr="005167B1">
        <w:rPr>
          <w:rFonts w:cs="Lucida Sans Unicode"/>
          <w:szCs w:val="22"/>
        </w:rPr>
        <w:t>us</w:t>
      </w:r>
      <w:r w:rsidRPr="005167B1">
        <w:rPr>
          <w:rFonts w:cs="Lucida Sans Unicode"/>
          <w:szCs w:val="22"/>
        </w:rPr>
        <w:t>; or</w:t>
      </w:r>
    </w:p>
    <w:p w:rsidR="00A23966" w:rsidRPr="005167B1" w:rsidRDefault="000744A6" w:rsidP="005167B1">
      <w:pPr>
        <w:pStyle w:val="ListParagraph"/>
        <w:numPr>
          <w:ilvl w:val="0"/>
          <w:numId w:val="43"/>
        </w:numPr>
        <w:spacing w:after="80"/>
        <w:ind w:left="357" w:hanging="357"/>
        <w:jc w:val="both"/>
      </w:pPr>
      <w:r w:rsidRPr="005167B1">
        <w:rPr>
          <w:rFonts w:cs="Lucida Sans Unicode"/>
          <w:szCs w:val="22"/>
        </w:rPr>
        <w:t>Upon application and inquiry.</w:t>
      </w:r>
    </w:p>
    <w:p w:rsidR="00233BDB" w:rsidRDefault="00233BDB">
      <w:pPr>
        <w:pStyle w:val="BodyText"/>
      </w:pPr>
    </w:p>
    <w:p w:rsidR="00F462EA" w:rsidRDefault="000744A6">
      <w:pPr>
        <w:pStyle w:val="BodyText"/>
        <w:rPr>
          <w:lang w:val="en-US"/>
        </w:rPr>
      </w:pPr>
      <w:r w:rsidRPr="000744A6">
        <w:t>As part of this process single parcels of land are sometimes identified as having characteristics applicable to different rating differential</w:t>
      </w:r>
      <w:r w:rsidR="00E42343">
        <w:t>s.</w:t>
      </w:r>
    </w:p>
    <w:p w:rsidR="00F462EA" w:rsidRDefault="00063439">
      <w:pPr>
        <w:pStyle w:val="BodyText"/>
      </w:pPr>
      <w:r>
        <w:t>The City</w:t>
      </w:r>
      <w:r w:rsidRPr="003F473F">
        <w:t xml:space="preserve"> </w:t>
      </w:r>
      <w:r w:rsidR="001E47D8" w:rsidRPr="003F473F">
        <w:t>has determined that the issues concerning equity within the community and the impact of rates across the municipality are partly addressed by the application of differential rates where identical land uses should be treated in the same manner.</w:t>
      </w:r>
    </w:p>
    <w:p w:rsidR="00F462EA" w:rsidRDefault="001E47D8">
      <w:pPr>
        <w:pStyle w:val="BodyText"/>
      </w:pPr>
      <w:r w:rsidRPr="003F473F">
        <w:t xml:space="preserve">In determining a differential rate for a parcel of land </w:t>
      </w:r>
      <w:r w:rsidR="00063439">
        <w:t>the City</w:t>
      </w:r>
      <w:r w:rsidR="00063439" w:rsidRPr="003F473F">
        <w:t xml:space="preserve"> </w:t>
      </w:r>
      <w:r w:rsidRPr="003F473F">
        <w:t xml:space="preserve">refers to the definitions and characteristics for each class of land – residential, vacant, commercial, industrial, farm or mixed use. Each differential has been developed to ensure that all rateable land makes an equitable financial contribution to the cost of carrying out the functions of </w:t>
      </w:r>
      <w:r w:rsidR="00063439">
        <w:t>c</w:t>
      </w:r>
      <w:r w:rsidR="00063439" w:rsidRPr="003F473F">
        <w:t>ouncil</w:t>
      </w:r>
      <w:r w:rsidRPr="003F473F">
        <w:t>.</w:t>
      </w:r>
    </w:p>
    <w:p w:rsidR="00F462EA" w:rsidRDefault="001E47D8">
      <w:pPr>
        <w:pStyle w:val="BodyText"/>
      </w:pPr>
      <w:r w:rsidRPr="003F473F">
        <w:t>In most cases each parcel of land will have single land use to which a differential rate applies.</w:t>
      </w:r>
      <w:r w:rsidR="00D221C5">
        <w:t xml:space="preserve"> </w:t>
      </w:r>
      <w:r w:rsidRPr="003F473F">
        <w:t xml:space="preserve">In a small number of cases a parcel of land may have more than one land use. </w:t>
      </w:r>
      <w:r w:rsidR="00063439">
        <w:t>The City</w:t>
      </w:r>
      <w:r w:rsidRPr="003F473F">
        <w:t>, in accordance with legislation, classifies these properties in two ways to ensure equity with other like properties across the municipality.</w:t>
      </w:r>
    </w:p>
    <w:p w:rsidR="00F462EA" w:rsidRDefault="001E47D8">
      <w:pPr>
        <w:pStyle w:val="BodyText"/>
      </w:pPr>
      <w:r w:rsidRPr="004026E5">
        <w:t>The first method of classification is the ‘mixed use’ differential where a parcel of land has the characteristics of residential land combined with the characteristics of another rate type. For more information on mixed use, please refer above.</w:t>
      </w:r>
    </w:p>
    <w:p w:rsidR="00F462EA" w:rsidRDefault="001E47D8">
      <w:pPr>
        <w:pStyle w:val="BodyText"/>
      </w:pPr>
      <w:r w:rsidRPr="004026E5">
        <w:t>The second methodology is to create separate rateable properties to recognise the differing land use such as Farm with Commercial. This methodology is consistent with legislative requirements where a parcel of land has more than one land use and the property has been adapted for separate occupancy.</w:t>
      </w:r>
    </w:p>
    <w:p w:rsidR="00F462EA" w:rsidRDefault="001E47D8">
      <w:pPr>
        <w:pStyle w:val="BodyText"/>
      </w:pPr>
      <w:r w:rsidRPr="004026E5">
        <w:t>The decision to create a separate rateable property is determined according to the following:</w:t>
      </w:r>
    </w:p>
    <w:p w:rsidR="00A23966" w:rsidRPr="00132FCB" w:rsidRDefault="001E47D8" w:rsidP="005167B1">
      <w:pPr>
        <w:pStyle w:val="ListParagraph"/>
        <w:numPr>
          <w:ilvl w:val="0"/>
          <w:numId w:val="43"/>
        </w:numPr>
        <w:spacing w:after="80"/>
        <w:ind w:left="357" w:hanging="357"/>
        <w:jc w:val="both"/>
      </w:pPr>
      <w:r w:rsidRPr="00C05662">
        <w:rPr>
          <w:rFonts w:cs="Lucida Sans Unicode"/>
          <w:szCs w:val="22"/>
        </w:rPr>
        <w:lastRenderedPageBreak/>
        <w:t>the granting of a</w:t>
      </w:r>
      <w:r w:rsidRPr="005A2AD5">
        <w:rPr>
          <w:rFonts w:cs="Lucida Sans Unicode"/>
          <w:szCs w:val="22"/>
        </w:rPr>
        <w:t xml:space="preserve"> planning, building or other permits for a separ</w:t>
      </w:r>
      <w:r w:rsidRPr="00583AE6">
        <w:rPr>
          <w:rFonts w:cs="Lucida Sans Unicode"/>
          <w:szCs w:val="22"/>
        </w:rPr>
        <w:t>ate occupancy; or</w:t>
      </w:r>
    </w:p>
    <w:p w:rsidR="00A23966" w:rsidRPr="005167B1" w:rsidRDefault="001E47D8" w:rsidP="005167B1">
      <w:pPr>
        <w:pStyle w:val="ListParagraph"/>
        <w:numPr>
          <w:ilvl w:val="0"/>
          <w:numId w:val="43"/>
        </w:numPr>
        <w:spacing w:after="80"/>
        <w:ind w:left="357" w:hanging="357"/>
        <w:jc w:val="both"/>
      </w:pPr>
      <w:r w:rsidRPr="005167B1">
        <w:rPr>
          <w:rFonts w:cs="Lucida Sans Unicode"/>
          <w:szCs w:val="22"/>
        </w:rPr>
        <w:t>there is a significant and substantial commercial purpose or character to part of the property; or</w:t>
      </w:r>
    </w:p>
    <w:p w:rsidR="00A23966" w:rsidRPr="005167B1" w:rsidRDefault="001E47D8" w:rsidP="005167B1">
      <w:pPr>
        <w:pStyle w:val="ListParagraph"/>
        <w:numPr>
          <w:ilvl w:val="0"/>
          <w:numId w:val="43"/>
        </w:numPr>
        <w:spacing w:after="80"/>
        <w:ind w:left="357" w:hanging="357"/>
        <w:jc w:val="both"/>
      </w:pPr>
      <w:r w:rsidRPr="005167B1">
        <w:rPr>
          <w:rFonts w:cs="Lucida Sans Unicode"/>
          <w:szCs w:val="22"/>
        </w:rPr>
        <w:t>seeks to make a profit on a continuous and repetitive basis from its activities; or</w:t>
      </w:r>
    </w:p>
    <w:p w:rsidR="00A23966" w:rsidRPr="005167B1" w:rsidRDefault="001E47D8" w:rsidP="005167B1">
      <w:pPr>
        <w:pStyle w:val="ListParagraph"/>
        <w:numPr>
          <w:ilvl w:val="0"/>
          <w:numId w:val="43"/>
        </w:numPr>
        <w:spacing w:after="80"/>
        <w:ind w:left="357" w:hanging="357"/>
        <w:jc w:val="both"/>
      </w:pPr>
      <w:r w:rsidRPr="005167B1">
        <w:rPr>
          <w:rFonts w:cs="Lucida Sans Unicode"/>
          <w:szCs w:val="22"/>
        </w:rPr>
        <w:t>when a subdivision occurs.</w:t>
      </w:r>
    </w:p>
    <w:p w:rsidR="00233BDB" w:rsidRDefault="00233BDB">
      <w:pPr>
        <w:pStyle w:val="BodyText"/>
      </w:pPr>
    </w:p>
    <w:p w:rsidR="00F462EA" w:rsidRDefault="001E47D8">
      <w:pPr>
        <w:pStyle w:val="BodyText"/>
      </w:pPr>
      <w:r w:rsidRPr="004026E5">
        <w:t>The creation of a separate rateable property will ensure that common types and classes of land are classified consistently across the municipality. The creation will also provide an equitable outcome for the land owner as the separate assessment is typically only the portion relating to the profit making activity, building area only with no additional land or access roads included. Thus, the higher differential is only applied to a portion of the land rather than the whole site being classified as ‘mixed use’.</w:t>
      </w:r>
    </w:p>
    <w:p w:rsidR="00F462EA" w:rsidRDefault="001E47D8">
      <w:pPr>
        <w:pStyle w:val="BodyText"/>
      </w:pPr>
      <w:r w:rsidRPr="004026E5">
        <w:t xml:space="preserve">This is of particular relevance to properties which are classified as farm land and receive the farm rate and rebate. To be eligible for a farm rebate (as per the </w:t>
      </w:r>
      <w:r w:rsidRPr="005167B1">
        <w:rPr>
          <w:i/>
        </w:rPr>
        <w:t>Valuation of Land Act 1960</w:t>
      </w:r>
      <w:r w:rsidR="00880CCD">
        <w:rPr>
          <w:i/>
        </w:rPr>
        <w:t>)</w:t>
      </w:r>
      <w:r w:rsidRPr="004026E5">
        <w:t xml:space="preserve"> a property must be not less than 2 hectares and be used predominantly for a sustainable business of grazing (including agistment) dairying, pig-farming, poultry farming, fish farming, tree farming, bee keeping, viticulture, horticulture, fruit growing or the growing of crops of any kind or a combination of those activities.</w:t>
      </w:r>
    </w:p>
    <w:p w:rsidR="00F462EA" w:rsidRDefault="001E47D8">
      <w:pPr>
        <w:pStyle w:val="BodyText"/>
      </w:pPr>
      <w:r w:rsidRPr="004026E5">
        <w:t xml:space="preserve">In recent times some ‘farm’ properties have diversified to include activities that do not meet the farm land definition. In these instances </w:t>
      </w:r>
      <w:r w:rsidR="00063439">
        <w:t>the City</w:t>
      </w:r>
      <w:r w:rsidR="00063439" w:rsidRPr="004026E5">
        <w:t xml:space="preserve"> </w:t>
      </w:r>
      <w:r w:rsidRPr="004026E5">
        <w:t>has again created a separate assessment to ensure consistency across the municipality and not penalise the property owner by only applying a different rating differential to the portion of land directly attributed to the alternate activity.</w:t>
      </w:r>
    </w:p>
    <w:p w:rsidR="00470099" w:rsidRPr="00E42343" w:rsidRDefault="00470099" w:rsidP="00671F60">
      <w:pPr>
        <w:pStyle w:val="Heading4"/>
      </w:pPr>
      <w:bookmarkStart w:id="235" w:name="_Toc260749450"/>
      <w:bookmarkStart w:id="236" w:name="_Toc292369517"/>
      <w:bookmarkStart w:id="237" w:name="_Toc355947430"/>
      <w:bookmarkStart w:id="238" w:name="_Toc356202926"/>
      <w:bookmarkStart w:id="239" w:name="_Toc403114397"/>
      <w:bookmarkStart w:id="240" w:name="_Toc11845127"/>
      <w:r w:rsidRPr="00E42343">
        <w:t>Mixed Use Rate</w:t>
      </w:r>
      <w:bookmarkEnd w:id="235"/>
      <w:bookmarkEnd w:id="236"/>
      <w:bookmarkEnd w:id="237"/>
      <w:bookmarkEnd w:id="238"/>
      <w:bookmarkEnd w:id="239"/>
      <w:bookmarkEnd w:id="240"/>
    </w:p>
    <w:p w:rsidR="00E24B07" w:rsidRPr="00E24B07" w:rsidRDefault="00E24B07">
      <w:pPr>
        <w:pStyle w:val="BodyText"/>
      </w:pPr>
      <w:r w:rsidRPr="00E24B07">
        <w:t xml:space="preserve">In determining a differential rate for a parcel of land </w:t>
      </w:r>
      <w:r w:rsidR="00063439">
        <w:t>the City</w:t>
      </w:r>
      <w:r w:rsidR="00063439" w:rsidRPr="00E24B07">
        <w:t xml:space="preserve"> </w:t>
      </w:r>
      <w:r w:rsidRPr="00E24B07">
        <w:t xml:space="preserve">refers to the definitions and characteristics for each class of land – residential, vacant, commercial, industrial, farm or mixed use. Each differential has been developed to ensure that all rateable land makes an equitable financial contribution to the cost of carrying out the functions of </w:t>
      </w:r>
      <w:r w:rsidR="00063439">
        <w:t>c</w:t>
      </w:r>
      <w:r w:rsidR="00063439" w:rsidRPr="00E24B07">
        <w:t>ouncil</w:t>
      </w:r>
      <w:r w:rsidRPr="00E24B07">
        <w:t>.</w:t>
      </w:r>
    </w:p>
    <w:p w:rsidR="00F462EA" w:rsidRDefault="00E24B07">
      <w:pPr>
        <w:pStyle w:val="BodyText"/>
      </w:pPr>
      <w:r w:rsidRPr="00E24B07">
        <w:t>In most cases each parcel of land will have a single land use to which a differential rate applies.</w:t>
      </w:r>
      <w:r w:rsidR="00D221C5">
        <w:t xml:space="preserve"> </w:t>
      </w:r>
      <w:r w:rsidRPr="00E24B07">
        <w:t xml:space="preserve">In a small number of cases a parcel of land may have more than one land use. </w:t>
      </w:r>
      <w:r w:rsidR="00063439">
        <w:t>The City</w:t>
      </w:r>
      <w:r w:rsidRPr="00E24B07">
        <w:t xml:space="preserve">, in accordance with legislation, classifies these </w:t>
      </w:r>
      <w:r w:rsidRPr="00E24B07">
        <w:lastRenderedPageBreak/>
        <w:t>properties to ensure equity with other like land uses across the municipality.</w:t>
      </w:r>
    </w:p>
    <w:p w:rsidR="00F462EA" w:rsidRDefault="00E24B07">
      <w:pPr>
        <w:pStyle w:val="BodyText"/>
      </w:pPr>
      <w:r w:rsidRPr="00E24B07">
        <w:t xml:space="preserve">The method of classification is the ‘mixed use’ differential where a parcel of land has the characteristics of residential land combined with the characteristics of commercial or industrial land. The ‘mixed use’ differential is a concessional rate compared to the commercial/industrial rate differential. </w:t>
      </w:r>
    </w:p>
    <w:p w:rsidR="00F462EA" w:rsidRDefault="00E24B07">
      <w:pPr>
        <w:pStyle w:val="BodyText"/>
      </w:pPr>
      <w:r w:rsidRPr="00E24B07">
        <w:t>Mixed use properties historically included corner milk bars and hairdressers and more recently include home businesses, student housing and short term accommodation available from a residential property. In the majority of cases these uses do not have defined boundaries and/or have not been adapted for separate occupancy.</w:t>
      </w:r>
    </w:p>
    <w:p w:rsidR="00F462EA" w:rsidRDefault="00E24B07">
      <w:pPr>
        <w:pStyle w:val="BodyText"/>
      </w:pPr>
      <w:r w:rsidRPr="00E24B07">
        <w:t xml:space="preserve">In making an assessment as to whether a mixed use and/or commercial/industrial differential is to be applied to a residential property </w:t>
      </w:r>
      <w:r w:rsidR="00063439">
        <w:t>the City</w:t>
      </w:r>
      <w:r w:rsidR="00063439" w:rsidRPr="00E24B07">
        <w:t xml:space="preserve"> </w:t>
      </w:r>
      <w:r w:rsidRPr="00E24B07">
        <w:t>has developed a number of principles to aid the decision making process:</w:t>
      </w:r>
    </w:p>
    <w:p w:rsidR="00063439" w:rsidRDefault="00063439">
      <w:pPr>
        <w:pStyle w:val="BodyText"/>
      </w:pPr>
    </w:p>
    <w:tbl>
      <w:tblPr>
        <w:tblW w:w="0" w:type="auto"/>
        <w:tblBorders>
          <w:top w:val="single" w:sz="8" w:space="0" w:color="4F81BD"/>
          <w:bottom w:val="single" w:sz="8" w:space="0" w:color="4F81BD"/>
        </w:tblBorders>
        <w:tblLook w:val="0420" w:firstRow="1" w:lastRow="0" w:firstColumn="0" w:lastColumn="0" w:noHBand="0" w:noVBand="1"/>
      </w:tblPr>
      <w:tblGrid>
        <w:gridCol w:w="6301"/>
        <w:gridCol w:w="2203"/>
      </w:tblGrid>
      <w:tr w:rsidR="00E24B07" w:rsidRPr="00E60EA6" w:rsidTr="00E60EA6">
        <w:trPr>
          <w:tblHeader/>
        </w:trPr>
        <w:tc>
          <w:tcPr>
            <w:tcW w:w="6487" w:type="dxa"/>
            <w:tcBorders>
              <w:top w:val="single" w:sz="8" w:space="0" w:color="4F81BD"/>
              <w:bottom w:val="single" w:sz="8" w:space="0" w:color="4F81BD"/>
            </w:tcBorders>
            <w:shd w:val="clear" w:color="auto" w:fill="auto"/>
          </w:tcPr>
          <w:p w:rsidR="00E24B07" w:rsidRPr="00E60EA6" w:rsidRDefault="00CA263C" w:rsidP="0066426E">
            <w:pPr>
              <w:pStyle w:val="NormalWeb"/>
              <w:rPr>
                <w:rFonts w:ascii="Lucida Sans Unicode" w:hAnsi="Lucida Sans Unicode" w:cs="Lucida Sans Unicode"/>
                <w:bCs/>
                <w:color w:val="0070C0"/>
                <w:sz w:val="22"/>
                <w:szCs w:val="22"/>
              </w:rPr>
            </w:pPr>
            <w:r w:rsidRPr="00E60EA6">
              <w:rPr>
                <w:rFonts w:ascii="Lucida Sans Unicode" w:hAnsi="Lucida Sans Unicode" w:cs="Lucida Sans Unicode"/>
                <w:bCs/>
                <w:color w:val="0070C0"/>
                <w:sz w:val="22"/>
                <w:szCs w:val="22"/>
              </w:rPr>
              <w:t>Principle</w:t>
            </w:r>
          </w:p>
        </w:tc>
        <w:tc>
          <w:tcPr>
            <w:tcW w:w="2233" w:type="dxa"/>
            <w:tcBorders>
              <w:top w:val="single" w:sz="8" w:space="0" w:color="4F81BD"/>
              <w:bottom w:val="single" w:sz="8" w:space="0" w:color="4F81BD"/>
            </w:tcBorders>
            <w:shd w:val="clear" w:color="auto" w:fill="auto"/>
          </w:tcPr>
          <w:p w:rsidR="00E24B07" w:rsidRPr="00E60EA6" w:rsidRDefault="00CA263C" w:rsidP="00EE0AC3">
            <w:pPr>
              <w:pStyle w:val="NormalWeb"/>
              <w:rPr>
                <w:rFonts w:ascii="Lucida Sans Unicode" w:hAnsi="Lucida Sans Unicode" w:cs="Lucida Sans Unicode"/>
                <w:bCs/>
                <w:color w:val="0070C0"/>
                <w:sz w:val="22"/>
                <w:szCs w:val="22"/>
              </w:rPr>
            </w:pPr>
            <w:r w:rsidRPr="00E60EA6">
              <w:rPr>
                <w:rFonts w:ascii="Lucida Sans Unicode" w:hAnsi="Lucida Sans Unicode" w:cs="Lucida Sans Unicode"/>
                <w:bCs/>
                <w:color w:val="0070C0"/>
                <w:sz w:val="22"/>
                <w:szCs w:val="22"/>
              </w:rPr>
              <w:t>Rating differential to apply</w:t>
            </w:r>
          </w:p>
        </w:tc>
      </w:tr>
      <w:tr w:rsidR="00E24B07" w:rsidRPr="00E60EA6" w:rsidTr="00E60EA6">
        <w:tc>
          <w:tcPr>
            <w:tcW w:w="6487" w:type="dxa"/>
            <w:tcBorders>
              <w:left w:val="nil"/>
              <w:right w:val="nil"/>
            </w:tcBorders>
            <w:shd w:val="clear" w:color="auto" w:fill="D3DFEE"/>
          </w:tcPr>
          <w:p w:rsidR="00E24B07" w:rsidRPr="00E60EA6" w:rsidRDefault="00CA263C">
            <w:pPr>
              <w:pStyle w:val="BodyText"/>
            </w:pPr>
            <w:r w:rsidRPr="00E60EA6">
              <w:t>Properties that are not used as a residence.</w:t>
            </w:r>
          </w:p>
        </w:tc>
        <w:tc>
          <w:tcPr>
            <w:tcW w:w="2233" w:type="dxa"/>
            <w:tcBorders>
              <w:left w:val="nil"/>
              <w:right w:val="nil"/>
            </w:tcBorders>
            <w:shd w:val="clear" w:color="auto" w:fill="D3DFEE"/>
          </w:tcPr>
          <w:p w:rsidR="00E24B07" w:rsidRPr="00E60EA6" w:rsidRDefault="00CA263C">
            <w:pPr>
              <w:pStyle w:val="BodyText"/>
            </w:pPr>
            <w:r w:rsidRPr="00E60EA6">
              <w:t>Commercial, Industrial, Farm or Vacant</w:t>
            </w:r>
          </w:p>
        </w:tc>
      </w:tr>
      <w:tr w:rsidR="00E24B07" w:rsidRPr="00E60EA6" w:rsidTr="00E60EA6">
        <w:tc>
          <w:tcPr>
            <w:tcW w:w="6487" w:type="dxa"/>
            <w:shd w:val="clear" w:color="auto" w:fill="auto"/>
          </w:tcPr>
          <w:p w:rsidR="00E24B07" w:rsidRPr="00E60EA6" w:rsidRDefault="00CA263C">
            <w:pPr>
              <w:pStyle w:val="BodyText"/>
            </w:pPr>
            <w:r w:rsidRPr="00E60EA6">
              <w:t>Properties leased under the Residential Tenancy Act, in effect this property is a tenant’s principal place of residence. Lease in place for greater than 6 months.</w:t>
            </w:r>
          </w:p>
        </w:tc>
        <w:tc>
          <w:tcPr>
            <w:tcW w:w="2233" w:type="dxa"/>
            <w:shd w:val="clear" w:color="auto" w:fill="auto"/>
          </w:tcPr>
          <w:p w:rsidR="00E24B07" w:rsidRPr="00E60EA6" w:rsidRDefault="00CA263C">
            <w:pPr>
              <w:pStyle w:val="BodyText"/>
            </w:pPr>
            <w:r w:rsidRPr="00E60EA6">
              <w:t>Residential</w:t>
            </w:r>
          </w:p>
        </w:tc>
      </w:tr>
      <w:tr w:rsidR="00E24B07" w:rsidRPr="00E60EA6" w:rsidTr="00E60EA6">
        <w:tc>
          <w:tcPr>
            <w:tcW w:w="6487" w:type="dxa"/>
            <w:tcBorders>
              <w:left w:val="nil"/>
              <w:right w:val="nil"/>
            </w:tcBorders>
            <w:shd w:val="clear" w:color="auto" w:fill="D3DFEE"/>
          </w:tcPr>
          <w:p w:rsidR="00E24B07" w:rsidRPr="00E60EA6" w:rsidRDefault="00CA263C">
            <w:pPr>
              <w:pStyle w:val="BodyText"/>
            </w:pPr>
            <w:r w:rsidRPr="00E60EA6">
              <w:t>Properties used for short term accommodation where:</w:t>
            </w:r>
          </w:p>
          <w:p w:rsidR="00A23966" w:rsidRPr="00132FCB" w:rsidRDefault="00E24B07" w:rsidP="005167B1">
            <w:pPr>
              <w:pStyle w:val="ListParagraph"/>
              <w:numPr>
                <w:ilvl w:val="0"/>
                <w:numId w:val="43"/>
              </w:numPr>
              <w:spacing w:after="80"/>
              <w:ind w:left="357" w:hanging="357"/>
              <w:jc w:val="both"/>
            </w:pPr>
            <w:r w:rsidRPr="00C05662">
              <w:rPr>
                <w:rFonts w:cs="Lucida Sans Unicode"/>
                <w:szCs w:val="22"/>
              </w:rPr>
              <w:t>it is not the tenants princip</w:t>
            </w:r>
            <w:r w:rsidR="00BC55A9" w:rsidRPr="005A2AD5">
              <w:rPr>
                <w:rFonts w:cs="Lucida Sans Unicode"/>
                <w:szCs w:val="22"/>
              </w:rPr>
              <w:t>a</w:t>
            </w:r>
            <w:r w:rsidRPr="00583AE6">
              <w:rPr>
                <w:rFonts w:cs="Lucida Sans Unicode"/>
                <w:szCs w:val="22"/>
              </w:rPr>
              <w:t>l place of residence;</w:t>
            </w:r>
          </w:p>
          <w:p w:rsidR="00A23966" w:rsidRPr="005167B1" w:rsidRDefault="00932C4E" w:rsidP="005167B1">
            <w:pPr>
              <w:pStyle w:val="ListParagraph"/>
              <w:numPr>
                <w:ilvl w:val="0"/>
                <w:numId w:val="43"/>
              </w:numPr>
              <w:spacing w:after="80"/>
              <w:ind w:left="357" w:hanging="357"/>
              <w:jc w:val="both"/>
            </w:pPr>
            <w:r w:rsidRPr="005167B1">
              <w:rPr>
                <w:rFonts w:cs="Lucida Sans Unicode"/>
                <w:szCs w:val="22"/>
              </w:rPr>
              <w:t>where the accommodation is being used for the owners commercial gain or reward;</w:t>
            </w:r>
          </w:p>
          <w:p w:rsidR="00A23966" w:rsidRPr="00E60EA6" w:rsidRDefault="00932C4E" w:rsidP="005167B1">
            <w:pPr>
              <w:pStyle w:val="ListParagraph"/>
              <w:numPr>
                <w:ilvl w:val="0"/>
                <w:numId w:val="43"/>
              </w:numPr>
              <w:spacing w:after="80"/>
              <w:ind w:left="357" w:hanging="357"/>
              <w:jc w:val="both"/>
            </w:pPr>
            <w:r w:rsidRPr="005167B1">
              <w:rPr>
                <w:rFonts w:cs="Lucida Sans Unicode"/>
                <w:szCs w:val="22"/>
              </w:rPr>
              <w:t>where the property is advertised externally.</w:t>
            </w:r>
          </w:p>
        </w:tc>
        <w:tc>
          <w:tcPr>
            <w:tcW w:w="2233" w:type="dxa"/>
            <w:tcBorders>
              <w:left w:val="nil"/>
              <w:right w:val="nil"/>
            </w:tcBorders>
            <w:shd w:val="clear" w:color="auto" w:fill="D3DFEE"/>
          </w:tcPr>
          <w:p w:rsidR="00F462EA" w:rsidRPr="00E60EA6" w:rsidRDefault="00CA263C">
            <w:pPr>
              <w:pStyle w:val="BodyText"/>
            </w:pPr>
            <w:r w:rsidRPr="00E60EA6">
              <w:t>Commercial</w:t>
            </w:r>
          </w:p>
        </w:tc>
      </w:tr>
      <w:tr w:rsidR="00E24B07" w:rsidRPr="00E60EA6" w:rsidTr="00E60EA6">
        <w:tc>
          <w:tcPr>
            <w:tcW w:w="6487" w:type="dxa"/>
            <w:shd w:val="clear" w:color="auto" w:fill="auto"/>
          </w:tcPr>
          <w:p w:rsidR="00E24B07" w:rsidRPr="00E60EA6" w:rsidRDefault="00CA263C">
            <w:pPr>
              <w:pStyle w:val="BodyText"/>
            </w:pPr>
            <w:r w:rsidRPr="00E60EA6">
              <w:t>Properties used as a principal place of residence and also offered for short term accommodation where:</w:t>
            </w:r>
          </w:p>
          <w:p w:rsidR="00A23966" w:rsidRPr="005167B1" w:rsidRDefault="00E24B07" w:rsidP="005167B1">
            <w:pPr>
              <w:pStyle w:val="ListParagraph"/>
              <w:numPr>
                <w:ilvl w:val="0"/>
                <w:numId w:val="43"/>
              </w:numPr>
              <w:spacing w:after="80"/>
              <w:ind w:left="357" w:hanging="357"/>
              <w:jc w:val="both"/>
            </w:pPr>
            <w:r w:rsidRPr="00C05662">
              <w:rPr>
                <w:rFonts w:cs="Lucida Sans Unicode"/>
                <w:szCs w:val="22"/>
              </w:rPr>
              <w:t>it is not the tenants princip</w:t>
            </w:r>
            <w:r w:rsidR="00BC55A9" w:rsidRPr="005A2AD5">
              <w:rPr>
                <w:rFonts w:cs="Lucida Sans Unicode"/>
                <w:szCs w:val="22"/>
              </w:rPr>
              <w:t>a</w:t>
            </w:r>
            <w:r w:rsidRPr="00583AE6">
              <w:rPr>
                <w:rFonts w:cs="Lucida Sans Unicode"/>
                <w:szCs w:val="22"/>
              </w:rPr>
              <w:t xml:space="preserve">l </w:t>
            </w:r>
            <w:r w:rsidRPr="00132FCB">
              <w:rPr>
                <w:rFonts w:cs="Lucida Sans Unicode"/>
                <w:szCs w:val="22"/>
              </w:rPr>
              <w:t>place of residence;</w:t>
            </w:r>
          </w:p>
          <w:p w:rsidR="00A23966" w:rsidRPr="005167B1" w:rsidRDefault="00932C4E" w:rsidP="005167B1">
            <w:pPr>
              <w:pStyle w:val="ListParagraph"/>
              <w:numPr>
                <w:ilvl w:val="0"/>
                <w:numId w:val="43"/>
              </w:numPr>
              <w:spacing w:after="80"/>
              <w:ind w:left="357" w:hanging="357"/>
              <w:jc w:val="both"/>
            </w:pPr>
            <w:r w:rsidRPr="005167B1">
              <w:rPr>
                <w:rFonts w:cs="Lucida Sans Unicode"/>
                <w:szCs w:val="22"/>
              </w:rPr>
              <w:t>where the accommodation is being used for the owners commercial gain or reward;</w:t>
            </w:r>
          </w:p>
          <w:p w:rsidR="00A23966" w:rsidRPr="00E60EA6" w:rsidRDefault="00932C4E" w:rsidP="005167B1">
            <w:pPr>
              <w:pStyle w:val="ListParagraph"/>
              <w:numPr>
                <w:ilvl w:val="0"/>
                <w:numId w:val="43"/>
              </w:numPr>
              <w:spacing w:after="80"/>
              <w:ind w:left="357" w:hanging="357"/>
              <w:jc w:val="both"/>
            </w:pPr>
            <w:r w:rsidRPr="005167B1">
              <w:rPr>
                <w:rFonts w:cs="Lucida Sans Unicode"/>
                <w:szCs w:val="22"/>
              </w:rPr>
              <w:t>where the property may be advertised externally.</w:t>
            </w:r>
          </w:p>
        </w:tc>
        <w:tc>
          <w:tcPr>
            <w:tcW w:w="2233" w:type="dxa"/>
            <w:shd w:val="clear" w:color="auto" w:fill="auto"/>
          </w:tcPr>
          <w:p w:rsidR="00F462EA" w:rsidRPr="00E60EA6" w:rsidRDefault="00CA263C">
            <w:pPr>
              <w:pStyle w:val="BodyText"/>
            </w:pPr>
            <w:r w:rsidRPr="00E60EA6">
              <w:t>Mixed Use</w:t>
            </w:r>
          </w:p>
        </w:tc>
      </w:tr>
      <w:tr w:rsidR="00E24B07" w:rsidRPr="00E60EA6" w:rsidTr="00E60EA6">
        <w:tc>
          <w:tcPr>
            <w:tcW w:w="6487" w:type="dxa"/>
            <w:tcBorders>
              <w:left w:val="nil"/>
              <w:right w:val="nil"/>
            </w:tcBorders>
            <w:shd w:val="clear" w:color="auto" w:fill="D3DFEE"/>
          </w:tcPr>
          <w:p w:rsidR="00E24B07" w:rsidRPr="00E60EA6" w:rsidRDefault="00CA263C">
            <w:pPr>
              <w:pStyle w:val="BodyText"/>
            </w:pPr>
            <w:r w:rsidRPr="00E60EA6">
              <w:lastRenderedPageBreak/>
              <w:t>Property is used as a principal place of residence and commercial activity is also conducted at the residence.</w:t>
            </w:r>
          </w:p>
        </w:tc>
        <w:tc>
          <w:tcPr>
            <w:tcW w:w="2233" w:type="dxa"/>
            <w:tcBorders>
              <w:left w:val="nil"/>
              <w:right w:val="nil"/>
            </w:tcBorders>
            <w:shd w:val="clear" w:color="auto" w:fill="D3DFEE"/>
          </w:tcPr>
          <w:p w:rsidR="00E24B07" w:rsidRPr="00E60EA6" w:rsidRDefault="00CA263C">
            <w:pPr>
              <w:pStyle w:val="BodyText"/>
            </w:pPr>
            <w:r w:rsidRPr="00E60EA6">
              <w:t>Mixed Use</w:t>
            </w:r>
          </w:p>
        </w:tc>
      </w:tr>
      <w:tr w:rsidR="00E24B07" w:rsidRPr="00E60EA6" w:rsidTr="00E60EA6">
        <w:tc>
          <w:tcPr>
            <w:tcW w:w="6487" w:type="dxa"/>
            <w:shd w:val="clear" w:color="auto" w:fill="auto"/>
          </w:tcPr>
          <w:p w:rsidR="00E24B07" w:rsidRPr="00E60EA6" w:rsidRDefault="00CA263C">
            <w:pPr>
              <w:pStyle w:val="BodyText"/>
            </w:pPr>
            <w:r w:rsidRPr="00E60EA6">
              <w:t>Where the owner moves out of his sole and principal place of residence once a year and hires the dwelling for a few weeks, up to a maximum of 6 weeks.  A statutory declaration and removal of all advertising material is acceptable evidence.</w:t>
            </w:r>
          </w:p>
        </w:tc>
        <w:tc>
          <w:tcPr>
            <w:tcW w:w="2233" w:type="dxa"/>
            <w:shd w:val="clear" w:color="auto" w:fill="auto"/>
          </w:tcPr>
          <w:p w:rsidR="00E24B07" w:rsidRPr="00E60EA6" w:rsidRDefault="00CA263C">
            <w:pPr>
              <w:pStyle w:val="BodyText"/>
            </w:pPr>
            <w:r w:rsidRPr="00E60EA6">
              <w:t>Residential</w:t>
            </w:r>
          </w:p>
        </w:tc>
      </w:tr>
      <w:tr w:rsidR="00E24B07" w:rsidRPr="00E60EA6" w:rsidTr="00E60EA6">
        <w:tc>
          <w:tcPr>
            <w:tcW w:w="6487" w:type="dxa"/>
            <w:tcBorders>
              <w:left w:val="nil"/>
              <w:right w:val="nil"/>
            </w:tcBorders>
            <w:shd w:val="clear" w:color="auto" w:fill="D3DFEE"/>
          </w:tcPr>
          <w:p w:rsidR="00E24B07" w:rsidRPr="00E60EA6" w:rsidRDefault="00CA263C">
            <w:pPr>
              <w:pStyle w:val="BodyText"/>
            </w:pPr>
            <w:r w:rsidRPr="00E60EA6">
              <w:t>Properties available for short term accommodation as part of one off events are not considered for rating changes. For example, the register of properties available for accommodation for ‘one off’ events would not constitute the predominant use of the property.</w:t>
            </w:r>
          </w:p>
        </w:tc>
        <w:tc>
          <w:tcPr>
            <w:tcW w:w="2233" w:type="dxa"/>
            <w:tcBorders>
              <w:left w:val="nil"/>
              <w:right w:val="nil"/>
            </w:tcBorders>
            <w:shd w:val="clear" w:color="auto" w:fill="D3DFEE"/>
          </w:tcPr>
          <w:p w:rsidR="00E24B07" w:rsidRPr="00E60EA6" w:rsidRDefault="00CA263C">
            <w:pPr>
              <w:pStyle w:val="BodyText"/>
            </w:pPr>
            <w:r w:rsidRPr="00E60EA6">
              <w:t>Residential</w:t>
            </w:r>
          </w:p>
        </w:tc>
      </w:tr>
    </w:tbl>
    <w:p w:rsidR="00BA68FB" w:rsidRPr="00D576C5" w:rsidRDefault="00BA68FB" w:rsidP="00671F60">
      <w:pPr>
        <w:pStyle w:val="Heading4"/>
      </w:pPr>
      <w:bookmarkStart w:id="241" w:name="_Toc292369518"/>
      <w:bookmarkStart w:id="242" w:name="_Toc355947431"/>
      <w:bookmarkStart w:id="243" w:name="_Toc356202927"/>
      <w:bookmarkStart w:id="244" w:name="_Toc403114398"/>
      <w:bookmarkStart w:id="245" w:name="_Toc11845128"/>
      <w:bookmarkStart w:id="246" w:name="_Toc260749451"/>
      <w:r w:rsidRPr="00D576C5">
        <w:t>The Point’ Geographical Rate Description</w:t>
      </w:r>
      <w:bookmarkEnd w:id="241"/>
      <w:bookmarkEnd w:id="242"/>
      <w:bookmarkEnd w:id="243"/>
      <w:bookmarkEnd w:id="244"/>
      <w:bookmarkEnd w:id="245"/>
    </w:p>
    <w:p w:rsidR="00614EB0" w:rsidRPr="00595315" w:rsidRDefault="00302ABF">
      <w:pPr>
        <w:pStyle w:val="BodyText"/>
      </w:pPr>
      <w:r w:rsidRPr="00352B48">
        <w:rPr>
          <w:rFonts w:cs="Arial"/>
        </w:rPr>
        <w:t>T</w:t>
      </w:r>
      <w:r w:rsidR="00BA68FB" w:rsidRPr="00352B48">
        <w:rPr>
          <w:rFonts w:cs="Arial"/>
        </w:rPr>
        <w:t xml:space="preserve">he geographical land description of the Point land is </w:t>
      </w:r>
      <w:r w:rsidR="004324C1" w:rsidRPr="00352B48">
        <w:rPr>
          <w:rFonts w:cs="Arial"/>
        </w:rPr>
        <w:t>–</w:t>
      </w:r>
      <w:r w:rsidRPr="00352B48">
        <w:rPr>
          <w:rFonts w:cs="Arial"/>
        </w:rPr>
        <w:t xml:space="preserve"> </w:t>
      </w:r>
      <w:r w:rsidR="000744A6" w:rsidRPr="000744A6">
        <w:t xml:space="preserve">forms part of the land described (or formerly described) in Certificate of Title Volume </w:t>
      </w:r>
      <w:r w:rsidR="00705C42">
        <w:t xml:space="preserve">09901 Folio 324 and also described as </w:t>
      </w:r>
      <w:r w:rsidR="005E6489">
        <w:t>L</w:t>
      </w:r>
      <w:r w:rsidR="00705C42">
        <w:t xml:space="preserve">ot b PS 635643, PS 640648Y, PS 722221H, PS 722220K, PS 743868K, PS 732908M, PS </w:t>
      </w:r>
      <w:r w:rsidR="005E6489">
        <w:t xml:space="preserve">638301D, PS 635642R, PS 722215C, </w:t>
      </w:r>
      <w:r w:rsidR="00705C42">
        <w:t>PS 722214E</w:t>
      </w:r>
      <w:r w:rsidR="005E6489">
        <w:t xml:space="preserve"> PS 743877, PS 816893, PS </w:t>
      </w:r>
      <w:r w:rsidR="006373A8">
        <w:t xml:space="preserve">743876, </w:t>
      </w:r>
      <w:r w:rsidR="005E6489">
        <w:t>PS 743878</w:t>
      </w:r>
      <w:r w:rsidR="006373A8">
        <w:t xml:space="preserve">, PS </w:t>
      </w:r>
      <w:r w:rsidR="00486857">
        <w:t>822924, PS 822922, PS 822918 and PS 816907</w:t>
      </w:r>
      <w:r w:rsidR="00705C42">
        <w:t>.</w:t>
      </w:r>
    </w:p>
    <w:p w:rsidR="00302ABF" w:rsidRPr="00D576C5" w:rsidRDefault="00302ABF">
      <w:pPr>
        <w:pStyle w:val="BodyText"/>
      </w:pPr>
      <w:r w:rsidRPr="00D576C5">
        <w:t xml:space="preserve">It is recognised that the land description will change in the future with subdivision and sale of the land however the </w:t>
      </w:r>
      <w:r w:rsidR="00187B4C">
        <w:t xml:space="preserve"> Lot C PS 638301</w:t>
      </w:r>
      <w:r w:rsidR="003D2EE8">
        <w:t xml:space="preserve"> and PS </w:t>
      </w:r>
      <w:r w:rsidR="00614EB0">
        <w:t>722214</w:t>
      </w:r>
      <w:r w:rsidR="00187B4C">
        <w:t xml:space="preserve"> </w:t>
      </w:r>
      <w:r w:rsidRPr="00D576C5">
        <w:t>description will always be traceable to the area of land to be included in the differential.</w:t>
      </w:r>
    </w:p>
    <w:p w:rsidR="00281E8A" w:rsidRDefault="00227352">
      <w:pPr>
        <w:pStyle w:val="BodyText"/>
      </w:pPr>
      <w:r w:rsidRPr="00486857">
        <w:rPr>
          <w:snapToGrid/>
          <w:lang w:val="en-AU"/>
        </w:rPr>
        <w:lastRenderedPageBreak/>
        <w:drawing>
          <wp:inline distT="0" distB="0" distL="0" distR="0">
            <wp:extent cx="5391150" cy="3257550"/>
            <wp:effectExtent l="19050" t="19050" r="0" b="0"/>
            <wp:docPr id="24" name="Picture 1"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xWord://media/image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91150" cy="3257550"/>
                    </a:xfrm>
                    <a:prstGeom prst="rect">
                      <a:avLst/>
                    </a:prstGeom>
                    <a:noFill/>
                    <a:ln w="9525" cmpd="sng">
                      <a:solidFill>
                        <a:srgbClr val="000000"/>
                      </a:solidFill>
                      <a:miter lim="800000"/>
                      <a:headEnd/>
                      <a:tailEnd/>
                    </a:ln>
                    <a:effectLst/>
                  </pic:spPr>
                </pic:pic>
              </a:graphicData>
            </a:graphic>
          </wp:inline>
        </w:drawing>
      </w:r>
    </w:p>
    <w:p w:rsidR="00302ABF" w:rsidRPr="00D576C5" w:rsidRDefault="00302ABF">
      <w:pPr>
        <w:pStyle w:val="BodyText"/>
      </w:pPr>
      <w:r w:rsidRPr="00D576C5">
        <w:t xml:space="preserve">A map of the land area is included. </w:t>
      </w:r>
      <w:r w:rsidR="000062C9" w:rsidRPr="00D576C5">
        <w:t>The hashed land is included in the definition for the differential rates.</w:t>
      </w:r>
      <w:r w:rsidR="00B9109C" w:rsidRPr="00D576C5">
        <w:t xml:space="preserve"> </w:t>
      </w:r>
      <w:r w:rsidRPr="00D576C5">
        <w:t>CA 2012 is a road reserve that is immaterial to the differential rate.</w:t>
      </w:r>
    </w:p>
    <w:p w:rsidR="00323854" w:rsidRDefault="004026CC">
      <w:pPr>
        <w:pStyle w:val="BodyText"/>
      </w:pPr>
      <w:r w:rsidRPr="00D576C5">
        <w:t xml:space="preserve">The land definition does not include Lot </w:t>
      </w:r>
      <w:r w:rsidR="00DE1583">
        <w:t>2</w:t>
      </w:r>
      <w:r w:rsidR="00DE1583" w:rsidRPr="00D576C5">
        <w:t xml:space="preserve"> </w:t>
      </w:r>
      <w:r w:rsidRPr="00D576C5">
        <w:t>TP 24109, Lot 1 TP 89558, Lot 1 TP 817344, Lot 1 TP 650917, Lot 3 TP 810878, Lot 4 TP 810878. This is adjoining land not included in the differential rate at this stage.</w:t>
      </w:r>
    </w:p>
    <w:p w:rsidR="00F462EA" w:rsidRDefault="00302ABF">
      <w:pPr>
        <w:pStyle w:val="BodyText"/>
      </w:pPr>
      <w:r w:rsidRPr="00D576C5">
        <w:t>The land definition does not include properties that are already developed</w:t>
      </w:r>
      <w:r w:rsidR="004026CC" w:rsidRPr="00D576C5">
        <w:t xml:space="preserve"> in the area. </w:t>
      </w:r>
    </w:p>
    <w:p w:rsidR="00F462EA" w:rsidRDefault="004026CC">
      <w:pPr>
        <w:pStyle w:val="BodyText"/>
      </w:pPr>
      <w:r w:rsidRPr="00D576C5">
        <w:t>An alternative definition of the land is included to assist in understanding. The definition is</w:t>
      </w:r>
      <w:r w:rsidR="0018318E" w:rsidRPr="00D576C5">
        <w:t>:</w:t>
      </w:r>
    </w:p>
    <w:p w:rsidR="00F462EA" w:rsidRDefault="004026CC">
      <w:pPr>
        <w:pStyle w:val="BodyText"/>
      </w:pPr>
      <w:r w:rsidRPr="00D576C5">
        <w:t>All land that is generally bounded by Bellarine Highway, Shell Road, Fellows Road and the western perimeter of the current land at 2202 -2350 Bellarine Highway, excluding the following list of  properties that are outside t</w:t>
      </w:r>
      <w:r w:rsidR="00E42343">
        <w:t>he Point subdivision:</w:t>
      </w:r>
    </w:p>
    <w:p w:rsidR="00A23966" w:rsidRPr="005A2AD5" w:rsidRDefault="004026CC" w:rsidP="005167B1">
      <w:pPr>
        <w:pStyle w:val="ListParagraph"/>
        <w:numPr>
          <w:ilvl w:val="0"/>
          <w:numId w:val="43"/>
        </w:numPr>
        <w:spacing w:after="80"/>
        <w:ind w:left="357" w:hanging="357"/>
        <w:jc w:val="both"/>
      </w:pPr>
      <w:r w:rsidRPr="00C05662">
        <w:rPr>
          <w:rFonts w:cs="Lucida Sans Unicode"/>
          <w:szCs w:val="22"/>
        </w:rPr>
        <w:t>1-6 Chiswick Court</w:t>
      </w:r>
    </w:p>
    <w:p w:rsidR="00A23966" w:rsidRPr="00132FCB" w:rsidRDefault="004026CC" w:rsidP="005167B1">
      <w:pPr>
        <w:pStyle w:val="ListParagraph"/>
        <w:numPr>
          <w:ilvl w:val="0"/>
          <w:numId w:val="43"/>
        </w:numPr>
        <w:spacing w:after="80"/>
        <w:ind w:left="357" w:hanging="357"/>
        <w:jc w:val="both"/>
      </w:pPr>
      <w:r w:rsidRPr="00583AE6">
        <w:rPr>
          <w:rFonts w:cs="Lucida Sans Unicode"/>
          <w:szCs w:val="22"/>
        </w:rPr>
        <w:t>165 – 239 Fellows Road</w:t>
      </w:r>
    </w:p>
    <w:p w:rsidR="00A23966" w:rsidRPr="005167B1" w:rsidRDefault="004026CC" w:rsidP="005167B1">
      <w:pPr>
        <w:pStyle w:val="ListParagraph"/>
        <w:numPr>
          <w:ilvl w:val="0"/>
          <w:numId w:val="43"/>
        </w:numPr>
        <w:spacing w:after="80"/>
        <w:ind w:left="357" w:hanging="357"/>
        <w:jc w:val="both"/>
      </w:pPr>
      <w:r w:rsidRPr="005167B1">
        <w:rPr>
          <w:rFonts w:cs="Lucida Sans Unicode"/>
          <w:szCs w:val="22"/>
        </w:rPr>
        <w:t>1-8 Herron Court</w:t>
      </w:r>
    </w:p>
    <w:p w:rsidR="00A23966" w:rsidRPr="005167B1" w:rsidRDefault="004026CC" w:rsidP="005167B1">
      <w:pPr>
        <w:pStyle w:val="ListParagraph"/>
        <w:numPr>
          <w:ilvl w:val="0"/>
          <w:numId w:val="43"/>
        </w:numPr>
        <w:spacing w:after="80"/>
        <w:ind w:left="357" w:hanging="357"/>
        <w:jc w:val="both"/>
      </w:pPr>
      <w:r w:rsidRPr="005167B1">
        <w:rPr>
          <w:rFonts w:cs="Lucida Sans Unicode"/>
          <w:szCs w:val="22"/>
        </w:rPr>
        <w:t>1-18 Huntingdon Court</w:t>
      </w:r>
    </w:p>
    <w:p w:rsidR="00A23966" w:rsidRPr="005167B1" w:rsidRDefault="004026CC" w:rsidP="005167B1">
      <w:pPr>
        <w:pStyle w:val="ListParagraph"/>
        <w:numPr>
          <w:ilvl w:val="0"/>
          <w:numId w:val="43"/>
        </w:numPr>
        <w:spacing w:after="80"/>
        <w:ind w:left="357" w:hanging="357"/>
        <w:jc w:val="both"/>
      </w:pPr>
      <w:r w:rsidRPr="005167B1">
        <w:rPr>
          <w:rFonts w:cs="Lucida Sans Unicode"/>
          <w:szCs w:val="22"/>
        </w:rPr>
        <w:t>1-18 Kings Court</w:t>
      </w:r>
    </w:p>
    <w:p w:rsidR="00A23966" w:rsidRPr="005167B1" w:rsidRDefault="004026CC" w:rsidP="005167B1">
      <w:pPr>
        <w:pStyle w:val="ListParagraph"/>
        <w:numPr>
          <w:ilvl w:val="0"/>
          <w:numId w:val="43"/>
        </w:numPr>
        <w:spacing w:after="80"/>
        <w:ind w:left="357" w:hanging="357"/>
        <w:jc w:val="both"/>
      </w:pPr>
      <w:r w:rsidRPr="005167B1">
        <w:rPr>
          <w:rFonts w:cs="Lucida Sans Unicode"/>
          <w:szCs w:val="22"/>
        </w:rPr>
        <w:t>1-16 Lakeland Court</w:t>
      </w:r>
    </w:p>
    <w:p w:rsidR="00A23966" w:rsidRPr="005167B1" w:rsidRDefault="004026CC" w:rsidP="005167B1">
      <w:pPr>
        <w:pStyle w:val="ListParagraph"/>
        <w:numPr>
          <w:ilvl w:val="0"/>
          <w:numId w:val="43"/>
        </w:numPr>
        <w:spacing w:after="80"/>
        <w:ind w:left="357" w:hanging="357"/>
        <w:jc w:val="both"/>
      </w:pPr>
      <w:r w:rsidRPr="005167B1">
        <w:rPr>
          <w:rFonts w:cs="Lucida Sans Unicode"/>
          <w:szCs w:val="22"/>
        </w:rPr>
        <w:t>1-9 Lakes Entrance</w:t>
      </w:r>
    </w:p>
    <w:p w:rsidR="00A23966" w:rsidRPr="005167B1" w:rsidRDefault="004026CC" w:rsidP="005167B1">
      <w:pPr>
        <w:pStyle w:val="ListParagraph"/>
        <w:numPr>
          <w:ilvl w:val="0"/>
          <w:numId w:val="43"/>
        </w:numPr>
        <w:spacing w:after="80"/>
        <w:ind w:left="357" w:hanging="357"/>
        <w:jc w:val="both"/>
      </w:pPr>
      <w:r w:rsidRPr="005167B1">
        <w:rPr>
          <w:rFonts w:cs="Lucida Sans Unicode"/>
          <w:szCs w:val="22"/>
        </w:rPr>
        <w:lastRenderedPageBreak/>
        <w:t>1-69 Peterho Boulevard</w:t>
      </w:r>
    </w:p>
    <w:p w:rsidR="00A23966" w:rsidRPr="005167B1" w:rsidRDefault="004026CC" w:rsidP="005167B1">
      <w:pPr>
        <w:pStyle w:val="ListParagraph"/>
        <w:numPr>
          <w:ilvl w:val="0"/>
          <w:numId w:val="43"/>
        </w:numPr>
        <w:spacing w:after="80"/>
        <w:ind w:left="357" w:hanging="357"/>
        <w:jc w:val="both"/>
      </w:pPr>
      <w:r w:rsidRPr="005167B1">
        <w:rPr>
          <w:rFonts w:cs="Lucida Sans Unicode"/>
          <w:szCs w:val="22"/>
        </w:rPr>
        <w:t>2-60 Peterho Boulevard</w:t>
      </w:r>
    </w:p>
    <w:p w:rsidR="00A23966" w:rsidRPr="005167B1" w:rsidRDefault="004026CC" w:rsidP="005167B1">
      <w:pPr>
        <w:pStyle w:val="ListParagraph"/>
        <w:numPr>
          <w:ilvl w:val="0"/>
          <w:numId w:val="43"/>
        </w:numPr>
        <w:spacing w:after="80"/>
        <w:ind w:left="357" w:hanging="357"/>
        <w:jc w:val="both"/>
      </w:pPr>
      <w:r w:rsidRPr="005167B1">
        <w:rPr>
          <w:rFonts w:cs="Lucida Sans Unicode"/>
          <w:szCs w:val="22"/>
        </w:rPr>
        <w:t>703-735 Shell Road</w:t>
      </w:r>
    </w:p>
    <w:p w:rsidR="00A23966" w:rsidRPr="005167B1" w:rsidRDefault="004026CC" w:rsidP="005167B1">
      <w:pPr>
        <w:pStyle w:val="ListParagraph"/>
        <w:numPr>
          <w:ilvl w:val="0"/>
          <w:numId w:val="43"/>
        </w:numPr>
        <w:spacing w:after="80"/>
        <w:ind w:left="357" w:hanging="357"/>
        <w:jc w:val="both"/>
      </w:pPr>
      <w:r w:rsidRPr="005167B1">
        <w:rPr>
          <w:rFonts w:cs="Lucida Sans Unicode"/>
          <w:szCs w:val="22"/>
        </w:rPr>
        <w:t>1-</w:t>
      </w:r>
      <w:r w:rsidR="00DE1583" w:rsidRPr="005167B1">
        <w:rPr>
          <w:rFonts w:cs="Lucida Sans Unicode"/>
          <w:szCs w:val="22"/>
        </w:rPr>
        <w:t xml:space="preserve">35 </w:t>
      </w:r>
      <w:r w:rsidRPr="005167B1">
        <w:rPr>
          <w:rFonts w:cs="Lucida Sans Unicode"/>
          <w:szCs w:val="22"/>
        </w:rPr>
        <w:t>Silver Ridge Road</w:t>
      </w:r>
    </w:p>
    <w:p w:rsidR="00A23966" w:rsidRPr="005167B1" w:rsidRDefault="00DE1583" w:rsidP="005167B1">
      <w:pPr>
        <w:pStyle w:val="ListParagraph"/>
        <w:numPr>
          <w:ilvl w:val="0"/>
          <w:numId w:val="43"/>
        </w:numPr>
        <w:spacing w:after="80"/>
        <w:ind w:left="357" w:hanging="357"/>
        <w:jc w:val="both"/>
      </w:pPr>
      <w:r w:rsidRPr="005167B1">
        <w:rPr>
          <w:rFonts w:cs="Lucida Sans Unicode"/>
          <w:szCs w:val="22"/>
        </w:rPr>
        <w:t>23-29 Point Boulevard</w:t>
      </w:r>
    </w:p>
    <w:p w:rsidR="00A23966" w:rsidRPr="005167B1" w:rsidRDefault="00DE1583" w:rsidP="005167B1">
      <w:pPr>
        <w:pStyle w:val="ListParagraph"/>
        <w:numPr>
          <w:ilvl w:val="0"/>
          <w:numId w:val="43"/>
        </w:numPr>
        <w:spacing w:after="80"/>
        <w:ind w:left="357" w:hanging="357"/>
        <w:jc w:val="both"/>
      </w:pPr>
      <w:r w:rsidRPr="005167B1">
        <w:rPr>
          <w:rFonts w:cs="Lucida Sans Unicode"/>
          <w:szCs w:val="22"/>
        </w:rPr>
        <w:t>2-10 Crown Lane</w:t>
      </w:r>
    </w:p>
    <w:p w:rsidR="00A23966" w:rsidRPr="005167B1" w:rsidRDefault="00DE1583" w:rsidP="005167B1">
      <w:pPr>
        <w:pStyle w:val="ListParagraph"/>
        <w:numPr>
          <w:ilvl w:val="0"/>
          <w:numId w:val="43"/>
        </w:numPr>
        <w:spacing w:after="80"/>
        <w:ind w:left="357" w:hanging="357"/>
        <w:jc w:val="both"/>
      </w:pPr>
      <w:r w:rsidRPr="005167B1">
        <w:rPr>
          <w:rFonts w:cs="Lucida Sans Unicode"/>
          <w:szCs w:val="22"/>
        </w:rPr>
        <w:t>7-15 and 4-36 Cockle Crescent</w:t>
      </w:r>
    </w:p>
    <w:p w:rsidR="00A23966" w:rsidRPr="005167B1" w:rsidRDefault="004026CC" w:rsidP="005167B1">
      <w:pPr>
        <w:pStyle w:val="ListParagraph"/>
        <w:numPr>
          <w:ilvl w:val="0"/>
          <w:numId w:val="43"/>
        </w:numPr>
        <w:spacing w:after="80"/>
        <w:ind w:left="357" w:hanging="357"/>
        <w:jc w:val="both"/>
      </w:pPr>
      <w:r w:rsidRPr="005167B1">
        <w:rPr>
          <w:rFonts w:cs="Lucida Sans Unicode"/>
          <w:szCs w:val="22"/>
        </w:rPr>
        <w:t>1-6 Watermans Court</w:t>
      </w:r>
    </w:p>
    <w:p w:rsidR="000744A6" w:rsidRDefault="000744A6" w:rsidP="000744A6">
      <w:pPr>
        <w:pStyle w:val="Heading4"/>
      </w:pPr>
      <w:bookmarkStart w:id="247" w:name="_Toc292369519"/>
      <w:bookmarkStart w:id="248" w:name="_Toc355947432"/>
      <w:bookmarkStart w:id="249" w:name="_Toc356202928"/>
      <w:bookmarkStart w:id="250" w:name="_Toc11845129"/>
      <w:r w:rsidRPr="000744A6">
        <w:t>Cultural and Recreation Land Rate</w:t>
      </w:r>
      <w:bookmarkEnd w:id="226"/>
      <w:bookmarkEnd w:id="227"/>
      <w:bookmarkEnd w:id="228"/>
      <w:bookmarkEnd w:id="246"/>
      <w:bookmarkEnd w:id="247"/>
      <w:bookmarkEnd w:id="248"/>
      <w:bookmarkEnd w:id="249"/>
      <w:bookmarkEnd w:id="250"/>
    </w:p>
    <w:p w:rsidR="00F20A52" w:rsidRPr="00952B0E" w:rsidRDefault="00976453">
      <w:pPr>
        <w:pStyle w:val="BodyText"/>
      </w:pPr>
      <w:r>
        <w:t>The City</w:t>
      </w:r>
      <w:r w:rsidRPr="00952B0E">
        <w:t xml:space="preserve"> </w:t>
      </w:r>
      <w:r w:rsidR="00FD5012" w:rsidRPr="00952B0E">
        <w:t xml:space="preserve">declares the Cultural and Recreation Rate on all land reserved under and in accordance with the </w:t>
      </w:r>
      <w:r w:rsidR="00FD5012" w:rsidRPr="005167B1">
        <w:rPr>
          <w:i/>
        </w:rPr>
        <w:t>Cultural and Recreational Lands Act 1963</w:t>
      </w:r>
      <w:r w:rsidR="00FD5012" w:rsidRPr="00952B0E">
        <w:t xml:space="preserve"> – </w:t>
      </w:r>
      <w:r>
        <w:t>s</w:t>
      </w:r>
      <w:r w:rsidRPr="00952B0E">
        <w:t xml:space="preserve">ection </w:t>
      </w:r>
      <w:r w:rsidR="00FD5012" w:rsidRPr="00952B0E">
        <w:t xml:space="preserve">4.  </w:t>
      </w:r>
    </w:p>
    <w:p w:rsidR="00911D62" w:rsidRPr="00952B0E" w:rsidRDefault="00FD5012">
      <w:pPr>
        <w:pStyle w:val="BodyText"/>
      </w:pPr>
      <w:r w:rsidRPr="00952B0E">
        <w:t xml:space="preserve">The </w:t>
      </w:r>
      <w:r w:rsidRPr="005167B1">
        <w:rPr>
          <w:i/>
        </w:rPr>
        <w:t>Cultural and Recreational Lands Act</w:t>
      </w:r>
      <w:r w:rsidRPr="00952B0E">
        <w:t xml:space="preserve"> provides that “an amount be payable in lieu of rates in each year being such amount as the municipal council thinks reasonable having regard to the services provided in relation to such lands and having regard to the benefit to the community derived from such recreational lands”.</w:t>
      </w:r>
    </w:p>
    <w:p w:rsidR="00F462EA" w:rsidRDefault="00911D62">
      <w:pPr>
        <w:pStyle w:val="BodyText"/>
      </w:pPr>
      <w:r w:rsidRPr="00D576C5">
        <w:t xml:space="preserve">Rather than calculating the costs that </w:t>
      </w:r>
      <w:r w:rsidR="00C52306">
        <w:t>l</w:t>
      </w:r>
      <w:r w:rsidR="00C52306" w:rsidRPr="00D576C5">
        <w:t xml:space="preserve">ocal </w:t>
      </w:r>
      <w:r w:rsidR="00C52306">
        <w:t>g</w:t>
      </w:r>
      <w:r w:rsidR="00C52306" w:rsidRPr="00D576C5">
        <w:t xml:space="preserve">overnment </w:t>
      </w:r>
      <w:r w:rsidRPr="00D576C5">
        <w:t xml:space="preserve">bears in respect to such lands, or the benefits received by locals in relation to these properties, </w:t>
      </w:r>
      <w:r w:rsidR="00976453">
        <w:t xml:space="preserve">the City </w:t>
      </w:r>
      <w:r w:rsidR="00F20A52">
        <w:t xml:space="preserve">has set the rate representing a concession to the </w:t>
      </w:r>
      <w:r w:rsidR="003E15C4">
        <w:t xml:space="preserve">commercial </w:t>
      </w:r>
      <w:r w:rsidR="00F20A52">
        <w:t xml:space="preserve">rate. The </w:t>
      </w:r>
      <w:r w:rsidR="00BD51F0">
        <w:t>2019-20</w:t>
      </w:r>
      <w:r w:rsidR="00A431FC">
        <w:t xml:space="preserve"> </w:t>
      </w:r>
      <w:r w:rsidR="00F20A52">
        <w:t xml:space="preserve">rate is </w:t>
      </w:r>
      <w:r w:rsidR="00BD51F0">
        <w:t>31</w:t>
      </w:r>
      <w:r w:rsidR="00F20A52">
        <w:t>% of the commercial rate</w:t>
      </w:r>
      <w:r w:rsidR="00A431FC">
        <w:t>.</w:t>
      </w:r>
      <w:r w:rsidR="005067F5">
        <w:t xml:space="preserve"> </w:t>
      </w:r>
      <w:r w:rsidRPr="00D576C5">
        <w:t>An assessment of the direct and indirect costs involved is problematic.  For example, depreciation of local roads related to access while the quantification of benefits in terms of income, employment, social interaction, community and physical wellbeing is also problematic. The resources involved in attempting to accurately identify and quantify benefits and costs is not justifiable on grounds of efficiency especially given the low levels of rate income involved.</w:t>
      </w:r>
    </w:p>
    <w:p w:rsidR="00F462EA" w:rsidRDefault="00976453">
      <w:pPr>
        <w:pStyle w:val="BodyText"/>
      </w:pPr>
      <w:r>
        <w:t>The City</w:t>
      </w:r>
      <w:r w:rsidRPr="00F462EA">
        <w:t xml:space="preserve"> </w:t>
      </w:r>
      <w:r w:rsidR="00A431FC">
        <w:t>had</w:t>
      </w:r>
      <w:r w:rsidR="00A431FC" w:rsidRPr="00F462EA">
        <w:t xml:space="preserve"> </w:t>
      </w:r>
      <w:r w:rsidR="00F462EA" w:rsidRPr="00F462EA">
        <w:t xml:space="preserve">previously extended the </w:t>
      </w:r>
      <w:r w:rsidR="003E15C4">
        <w:t>c</w:t>
      </w:r>
      <w:r w:rsidR="003E15C4" w:rsidRPr="00F462EA">
        <w:t xml:space="preserve">ultural </w:t>
      </w:r>
      <w:r w:rsidR="00F462EA" w:rsidRPr="00F462EA">
        <w:t xml:space="preserve">and </w:t>
      </w:r>
      <w:r w:rsidR="003E15C4">
        <w:t>r</w:t>
      </w:r>
      <w:r w:rsidR="003E15C4" w:rsidRPr="00F462EA">
        <w:t xml:space="preserve">ecreational </w:t>
      </w:r>
      <w:r w:rsidR="00F462EA" w:rsidRPr="00F462EA">
        <w:t xml:space="preserve">differential to not-for-profit clubs or associations engaged in indoor sporting, recreational and cultural activities which have similar characteristics and objectives to </w:t>
      </w:r>
      <w:r w:rsidR="003E15C4">
        <w:t>c</w:t>
      </w:r>
      <w:r w:rsidR="003E15C4" w:rsidRPr="00F462EA">
        <w:t xml:space="preserve">ultural </w:t>
      </w:r>
      <w:r w:rsidR="00F462EA" w:rsidRPr="00F462EA">
        <w:t xml:space="preserve">and </w:t>
      </w:r>
      <w:r w:rsidR="003E15C4">
        <w:t>r</w:t>
      </w:r>
      <w:r w:rsidR="003E15C4" w:rsidRPr="00F462EA">
        <w:t xml:space="preserve">ecreational </w:t>
      </w:r>
      <w:r w:rsidR="00F462EA" w:rsidRPr="00F462EA">
        <w:t xml:space="preserve">land. </w:t>
      </w:r>
    </w:p>
    <w:p w:rsidR="00A431FC" w:rsidRPr="00F462EA" w:rsidRDefault="00A431FC">
      <w:pPr>
        <w:pStyle w:val="BodyText"/>
      </w:pPr>
      <w:r>
        <w:t xml:space="preserve">From 2017-18 </w:t>
      </w:r>
      <w:r w:rsidR="00976453">
        <w:t xml:space="preserve">the City </w:t>
      </w:r>
      <w:r>
        <w:t xml:space="preserve">will revert to the definition of </w:t>
      </w:r>
      <w:r w:rsidR="003E15C4">
        <w:t xml:space="preserve">cultural </w:t>
      </w:r>
      <w:r>
        <w:t xml:space="preserve">and </w:t>
      </w:r>
      <w:r w:rsidR="003E15C4">
        <w:t xml:space="preserve">recreational </w:t>
      </w:r>
      <w:r>
        <w:t xml:space="preserve">land as per the </w:t>
      </w:r>
      <w:r w:rsidRPr="005167B1">
        <w:rPr>
          <w:i/>
        </w:rPr>
        <w:t>Cultural and Recreational Lands Act 1963</w:t>
      </w:r>
      <w:r>
        <w:t>.</w:t>
      </w:r>
      <w:r w:rsidR="00AD1438">
        <w:t xml:space="preserve"> Any </w:t>
      </w:r>
      <w:r w:rsidR="00CE6DF8">
        <w:t xml:space="preserve">affected </w:t>
      </w:r>
      <w:r w:rsidR="00AD1438">
        <w:t xml:space="preserve">properties will be eligible for a transitional rebate to the otherwise applicable rate. The transitional rebate is to be set at </w:t>
      </w:r>
      <w:r w:rsidR="00BD51F0">
        <w:t>25% for 2019-20</w:t>
      </w:r>
      <w:r w:rsidR="00AD1438">
        <w:t>.</w:t>
      </w:r>
    </w:p>
    <w:p w:rsidR="00E46DC6" w:rsidRDefault="00502E41">
      <w:pPr>
        <w:pStyle w:val="Heading4"/>
      </w:pPr>
      <w:bookmarkStart w:id="251" w:name="_Toc352766758"/>
      <w:bookmarkStart w:id="252" w:name="_Toc355947433"/>
      <w:bookmarkStart w:id="253" w:name="_Toc356202929"/>
      <w:bookmarkStart w:id="254" w:name="_Toc403114399"/>
      <w:bookmarkStart w:id="255" w:name="_Toc11845130"/>
      <w:r w:rsidRPr="00D576C5">
        <w:lastRenderedPageBreak/>
        <w:t xml:space="preserve">Service Charges – LGA </w:t>
      </w:r>
      <w:r w:rsidR="00976453">
        <w:t>s</w:t>
      </w:r>
      <w:r w:rsidR="00976453" w:rsidRPr="00D576C5">
        <w:t xml:space="preserve">ection </w:t>
      </w:r>
      <w:r w:rsidRPr="00D576C5">
        <w:t>162</w:t>
      </w:r>
      <w:bookmarkEnd w:id="251"/>
      <w:bookmarkEnd w:id="252"/>
      <w:bookmarkEnd w:id="253"/>
      <w:bookmarkEnd w:id="254"/>
      <w:bookmarkEnd w:id="255"/>
    </w:p>
    <w:p w:rsidR="00502E41" w:rsidRDefault="00502E41">
      <w:pPr>
        <w:pStyle w:val="BodyText"/>
      </w:pPr>
      <w:r w:rsidRPr="00D576C5">
        <w:t xml:space="preserve">A service rate or annual service charge for water supply, refuse, sewerage or other prescribed services may be declared under any criteria specified by </w:t>
      </w:r>
      <w:r w:rsidR="00976453">
        <w:t>the City</w:t>
      </w:r>
      <w:r w:rsidRPr="00D576C5">
        <w:t xml:space="preserve">. </w:t>
      </w:r>
      <w:r w:rsidR="00976453">
        <w:t>The City of Greater Geelong</w:t>
      </w:r>
      <w:r w:rsidR="00976453" w:rsidRPr="00D576C5">
        <w:t xml:space="preserve"> </w:t>
      </w:r>
      <w:r w:rsidRPr="00D576C5">
        <w:t xml:space="preserve">currently declares a service charge only in respect to the collection and disposal of refuse. The Recycle and Waste Collection </w:t>
      </w:r>
      <w:r w:rsidR="00976453">
        <w:t>s</w:t>
      </w:r>
      <w:r w:rsidR="00976453" w:rsidRPr="00D576C5">
        <w:t xml:space="preserve">ervice </w:t>
      </w:r>
      <w:r w:rsidRPr="00D576C5">
        <w:t>is based on user</w:t>
      </w:r>
      <w:r w:rsidR="00352B48">
        <w:t>-</w:t>
      </w:r>
      <w:r w:rsidRPr="00D576C5">
        <w:t xml:space="preserve">pay principles to cover the costs of collection, recycling and landfill disposal. </w:t>
      </w:r>
      <w:r w:rsidR="00976453">
        <w:t>The City</w:t>
      </w:r>
      <w:r w:rsidR="00976453" w:rsidRPr="00D576C5">
        <w:t xml:space="preserve"> </w:t>
      </w:r>
      <w:r w:rsidRPr="00D576C5">
        <w:t>operates a full domestic garbage, recycling and green waste system providing a three bin service to all residential households. Private contractors generally undertake all non-residential refuse collections by direct arrangement with the landowner or tenant.</w:t>
      </w:r>
      <w:r w:rsidR="00D52E7D">
        <w:t xml:space="preserve"> </w:t>
      </w:r>
    </w:p>
    <w:p w:rsidR="00502E41" w:rsidRPr="00D576C5" w:rsidRDefault="00502E41">
      <w:pPr>
        <w:pStyle w:val="BodyText"/>
      </w:pPr>
      <w:r w:rsidRPr="00D576C5">
        <w:t xml:space="preserve">The </w:t>
      </w:r>
      <w:r>
        <w:t xml:space="preserve">Recycling and Waste Collection Service </w:t>
      </w:r>
      <w:r w:rsidRPr="00D576C5">
        <w:t xml:space="preserve">charge </w:t>
      </w:r>
      <w:r>
        <w:t>is</w:t>
      </w:r>
      <w:r w:rsidRPr="00D576C5">
        <w:t xml:space="preserve"> levied on the following criteria:</w:t>
      </w:r>
    </w:p>
    <w:p w:rsidR="00A23966" w:rsidRPr="005167B1" w:rsidRDefault="00464FB7" w:rsidP="005167B1">
      <w:pPr>
        <w:pStyle w:val="ListParagraph"/>
        <w:numPr>
          <w:ilvl w:val="0"/>
          <w:numId w:val="43"/>
        </w:numPr>
        <w:spacing w:after="80"/>
        <w:ind w:left="357" w:hanging="357"/>
        <w:jc w:val="both"/>
      </w:pPr>
      <w:r w:rsidRPr="00C05662">
        <w:rPr>
          <w:rFonts w:cs="Lucida Sans Unicode"/>
          <w:szCs w:val="22"/>
        </w:rPr>
        <w:t xml:space="preserve">Geographic existence within those areas of the municipal district in which </w:t>
      </w:r>
      <w:r w:rsidR="00976453" w:rsidRPr="00583AE6">
        <w:rPr>
          <w:rFonts w:cs="Lucida Sans Unicode"/>
          <w:szCs w:val="22"/>
        </w:rPr>
        <w:t xml:space="preserve">the City </w:t>
      </w:r>
      <w:r w:rsidRPr="00132FCB">
        <w:rPr>
          <w:rFonts w:cs="Lucida Sans Unicode"/>
          <w:szCs w:val="22"/>
        </w:rPr>
        <w:t xml:space="preserve">provides a domestic refuse collection and disposal service. </w:t>
      </w:r>
    </w:p>
    <w:p w:rsidR="00A23966" w:rsidRPr="005167B1" w:rsidRDefault="00464FB7" w:rsidP="005167B1">
      <w:pPr>
        <w:pStyle w:val="ListParagraph"/>
        <w:numPr>
          <w:ilvl w:val="0"/>
          <w:numId w:val="43"/>
        </w:numPr>
        <w:spacing w:after="80"/>
        <w:ind w:left="357" w:hanging="357"/>
        <w:jc w:val="both"/>
      </w:pPr>
      <w:r w:rsidRPr="005167B1">
        <w:rPr>
          <w:rFonts w:cs="Lucida Sans Unicode"/>
          <w:szCs w:val="22"/>
        </w:rPr>
        <w:t>The charge will be raised irrespective of whether the service is used or not.</w:t>
      </w:r>
    </w:p>
    <w:p w:rsidR="006049D1" w:rsidRDefault="00464FB7">
      <w:pPr>
        <w:pStyle w:val="BodyText"/>
      </w:pPr>
      <w:r w:rsidRPr="00B0096F">
        <w:t xml:space="preserve">The </w:t>
      </w:r>
      <w:r w:rsidR="006049D1" w:rsidRPr="00AE29A8">
        <w:t>Waste Collection Service charge is calculated based on a fee for service, including direct, indirect and overhead costs. The service charge does not form part of the rate cap. The waste collection charge will increase from $</w:t>
      </w:r>
      <w:r w:rsidR="00BD51F0">
        <w:t>316.90</w:t>
      </w:r>
      <w:r w:rsidR="006049D1" w:rsidRPr="00AE29A8">
        <w:t xml:space="preserve"> to $</w:t>
      </w:r>
      <w:r w:rsidR="00BD51F0">
        <w:t>332.00</w:t>
      </w:r>
      <w:r w:rsidR="006049D1" w:rsidRPr="00AE29A8">
        <w:t xml:space="preserve"> or </w:t>
      </w:r>
      <w:r w:rsidR="00BD51F0">
        <w:t>4.8</w:t>
      </w:r>
      <w:r w:rsidR="006049D1" w:rsidRPr="00AE29A8">
        <w:t>%. The EPA landfill levy increases to $</w:t>
      </w:r>
      <w:r w:rsidR="00BD51F0">
        <w:t>35.88</w:t>
      </w:r>
      <w:r w:rsidR="006049D1" w:rsidRPr="00AE29A8">
        <w:t xml:space="preserve"> per tenement</w:t>
      </w:r>
      <w:r w:rsidR="006049D1">
        <w:t xml:space="preserve"> </w:t>
      </w:r>
      <w:r w:rsidR="006049D1" w:rsidRPr="00AE29A8">
        <w:t xml:space="preserve">(included in the service charge). </w:t>
      </w:r>
    </w:p>
    <w:p w:rsidR="00F462EA" w:rsidRDefault="0095643B">
      <w:pPr>
        <w:pStyle w:val="BodyText"/>
      </w:pPr>
      <w:r>
        <w:t xml:space="preserve">Larger 140 litre general waste bins were introduced at no extra cost  from 2013-2014. These bins are provided to new residential properties or where there is a need to replace damaged bins. </w:t>
      </w:r>
    </w:p>
    <w:p w:rsidR="00AB55DD" w:rsidRDefault="006C2E95">
      <w:r w:rsidRPr="006C2E95">
        <w:t xml:space="preserve">A section 162 service charge </w:t>
      </w:r>
      <w:r w:rsidR="00ED5D0D">
        <w:t>was</w:t>
      </w:r>
      <w:r w:rsidR="00ED5D0D" w:rsidRPr="006C2E95">
        <w:t xml:space="preserve"> </w:t>
      </w:r>
      <w:r w:rsidRPr="006C2E95">
        <w:t>introduced</w:t>
      </w:r>
      <w:r>
        <w:t xml:space="preserve"> </w:t>
      </w:r>
      <w:r w:rsidR="00ED5D0D">
        <w:t>in 2016-17</w:t>
      </w:r>
      <w:r>
        <w:t xml:space="preserve">- </w:t>
      </w:r>
      <w:r w:rsidR="00F462EA" w:rsidRPr="00ED6EF8">
        <w:t>The Annual Service Charge – Additional Bin Service.</w:t>
      </w:r>
    </w:p>
    <w:p w:rsidR="006061EE" w:rsidRPr="00ED6EF8" w:rsidRDefault="00F462EA">
      <w:pPr>
        <w:pStyle w:val="BodyText"/>
      </w:pPr>
      <w:r w:rsidRPr="00ED6EF8">
        <w:t>From 1 July 2016 the additional bin service will be available via application compliant with the following criteria:</w:t>
      </w:r>
    </w:p>
    <w:p w:rsidR="00A23966" w:rsidRPr="005167B1" w:rsidRDefault="00ED5D0D" w:rsidP="005167B1">
      <w:pPr>
        <w:pStyle w:val="ListParagraph"/>
        <w:numPr>
          <w:ilvl w:val="0"/>
          <w:numId w:val="43"/>
        </w:numPr>
        <w:spacing w:after="80"/>
        <w:ind w:left="357" w:hanging="357"/>
        <w:jc w:val="both"/>
      </w:pPr>
      <w:r w:rsidRPr="00C05662">
        <w:rPr>
          <w:rFonts w:cs="Lucida Sans Unicode"/>
          <w:szCs w:val="22"/>
        </w:rPr>
        <w:t xml:space="preserve">The green waste additional bin </w:t>
      </w:r>
      <w:r w:rsidR="00BD51F0" w:rsidRPr="005A2AD5">
        <w:rPr>
          <w:rFonts w:cs="Lucida Sans Unicode"/>
          <w:szCs w:val="22"/>
        </w:rPr>
        <w:t>has become available at</w:t>
      </w:r>
      <w:r w:rsidRPr="00583AE6">
        <w:rPr>
          <w:rFonts w:cs="Lucida Sans Unicode"/>
          <w:szCs w:val="22"/>
        </w:rPr>
        <w:t xml:space="preserve"> the Anakie Road Green Organics processing facility </w:t>
      </w:r>
      <w:r w:rsidR="00BD51F0" w:rsidRPr="00132FCB">
        <w:rPr>
          <w:rFonts w:cs="Lucida Sans Unicode"/>
          <w:szCs w:val="22"/>
        </w:rPr>
        <w:t>from 2019-20</w:t>
      </w:r>
      <w:r w:rsidRPr="005167B1">
        <w:rPr>
          <w:rFonts w:cs="Lucida Sans Unicode"/>
          <w:szCs w:val="22"/>
        </w:rPr>
        <w:t>.</w:t>
      </w:r>
    </w:p>
    <w:p w:rsidR="00A23966" w:rsidRPr="005167B1" w:rsidRDefault="00F462EA" w:rsidP="005167B1">
      <w:pPr>
        <w:pStyle w:val="ListParagraph"/>
        <w:numPr>
          <w:ilvl w:val="0"/>
          <w:numId w:val="43"/>
        </w:numPr>
        <w:spacing w:after="80"/>
        <w:ind w:left="357" w:hanging="357"/>
        <w:jc w:val="both"/>
      </w:pPr>
      <w:r w:rsidRPr="005167B1">
        <w:rPr>
          <w:rFonts w:cs="Lucida Sans Unicode"/>
          <w:szCs w:val="22"/>
        </w:rPr>
        <w:t xml:space="preserve">In all cases of application for additional bins, </w:t>
      </w:r>
      <w:r w:rsidR="00976453" w:rsidRPr="005167B1">
        <w:rPr>
          <w:rFonts w:cs="Lucida Sans Unicode"/>
          <w:szCs w:val="22"/>
        </w:rPr>
        <w:t xml:space="preserve">the City </w:t>
      </w:r>
      <w:r w:rsidRPr="005167B1">
        <w:rPr>
          <w:rFonts w:cs="Lucida Sans Unicode"/>
          <w:szCs w:val="22"/>
        </w:rPr>
        <w:t>reserves the right to inspect the applicant’s existing bins to confirm that they are overloaded. If this cannot be confirmed, the additional bins will not be provided;</w:t>
      </w:r>
    </w:p>
    <w:p w:rsidR="00A23966" w:rsidRPr="005167B1" w:rsidRDefault="00F462EA" w:rsidP="005167B1">
      <w:pPr>
        <w:pStyle w:val="ListParagraph"/>
        <w:numPr>
          <w:ilvl w:val="0"/>
          <w:numId w:val="43"/>
        </w:numPr>
        <w:spacing w:after="80"/>
        <w:ind w:left="357" w:hanging="357"/>
        <w:jc w:val="both"/>
      </w:pPr>
      <w:r w:rsidRPr="005167B1">
        <w:rPr>
          <w:rFonts w:cs="Lucida Sans Unicode"/>
          <w:szCs w:val="22"/>
        </w:rPr>
        <w:t>The property owner or their authorised agent signs the additional bin application form, provides appropriate supporting evidence and agrees to the application service charge.</w:t>
      </w:r>
    </w:p>
    <w:p w:rsidR="006061EE" w:rsidRPr="00ED6EF8" w:rsidRDefault="00F462EA">
      <w:pPr>
        <w:pStyle w:val="BodyText"/>
      </w:pPr>
      <w:r w:rsidRPr="00ED6EF8">
        <w:t xml:space="preserve">Applications that meet the criteria will be billed via the Rate, Valuation &amp; Charges </w:t>
      </w:r>
      <w:r w:rsidRPr="00ED6EF8">
        <w:lastRenderedPageBreak/>
        <w:t>notice.</w:t>
      </w:r>
      <w:r w:rsidR="00447272">
        <w:t xml:space="preserve"> </w:t>
      </w:r>
    </w:p>
    <w:p w:rsidR="006061EE" w:rsidRPr="00ED6EF8" w:rsidRDefault="00F462EA">
      <w:pPr>
        <w:pStyle w:val="BodyText"/>
      </w:pPr>
      <w:r w:rsidRPr="00ED6EF8">
        <w:t>If an application is received and approved in the first six months of the financial year, that is, from July to December, the full annual cost of the additional bin will be charged. If an application is received and approved in the second half of the financial year, that is January to June, half the annual cost will be charged.</w:t>
      </w:r>
    </w:p>
    <w:p w:rsidR="006061EE" w:rsidRPr="00ED6EF8" w:rsidRDefault="00F462EA">
      <w:pPr>
        <w:pStyle w:val="BodyText"/>
      </w:pPr>
      <w:r w:rsidRPr="00ED6EF8">
        <w:t>The following costs will apply for the additional bin service per year:</w:t>
      </w:r>
    </w:p>
    <w:p w:rsidR="00A23966" w:rsidRPr="005167B1" w:rsidRDefault="00F462EA" w:rsidP="005167B1">
      <w:pPr>
        <w:pStyle w:val="ListParagraph"/>
        <w:numPr>
          <w:ilvl w:val="0"/>
          <w:numId w:val="43"/>
        </w:numPr>
        <w:spacing w:after="80"/>
        <w:ind w:left="357" w:hanging="357"/>
        <w:jc w:val="both"/>
      </w:pPr>
      <w:r w:rsidRPr="00C05662">
        <w:rPr>
          <w:rFonts w:cs="Lucida Sans Unicode"/>
          <w:szCs w:val="22"/>
        </w:rPr>
        <w:t>Garbage bin</w:t>
      </w:r>
      <w:r w:rsidR="00186A62" w:rsidRPr="005A2AD5">
        <w:rPr>
          <w:rFonts w:cs="Lucida Sans Unicode"/>
          <w:szCs w:val="22"/>
        </w:rPr>
        <w:t xml:space="preserve"> 140L</w:t>
      </w:r>
      <w:r w:rsidR="00186A62" w:rsidRPr="005A2AD5">
        <w:rPr>
          <w:rFonts w:cs="Lucida Sans Unicode"/>
          <w:szCs w:val="22"/>
        </w:rPr>
        <w:tab/>
      </w:r>
      <w:r w:rsidR="00186A62" w:rsidRPr="005A2AD5">
        <w:rPr>
          <w:rFonts w:cs="Lucida Sans Unicode"/>
          <w:szCs w:val="22"/>
        </w:rPr>
        <w:tab/>
      </w:r>
      <w:r w:rsidR="00186A62" w:rsidRPr="005A2AD5">
        <w:rPr>
          <w:rFonts w:cs="Lucida Sans Unicode"/>
          <w:szCs w:val="22"/>
        </w:rPr>
        <w:tab/>
      </w:r>
      <w:r w:rsidRPr="00583AE6">
        <w:rPr>
          <w:rFonts w:cs="Lucida Sans Unicode"/>
          <w:szCs w:val="22"/>
        </w:rPr>
        <w:tab/>
        <w:t>$</w:t>
      </w:r>
      <w:r w:rsidR="00BD51F0" w:rsidRPr="00132FCB">
        <w:rPr>
          <w:rFonts w:cs="Lucida Sans Unicode"/>
          <w:szCs w:val="22"/>
        </w:rPr>
        <w:t>146.85</w:t>
      </w:r>
    </w:p>
    <w:p w:rsidR="00186A62" w:rsidRPr="005167B1" w:rsidRDefault="00186A62" w:rsidP="005167B1">
      <w:pPr>
        <w:pStyle w:val="ListParagraph"/>
        <w:numPr>
          <w:ilvl w:val="0"/>
          <w:numId w:val="43"/>
        </w:numPr>
        <w:spacing w:after="80"/>
        <w:ind w:left="357" w:hanging="357"/>
        <w:jc w:val="both"/>
      </w:pPr>
      <w:r w:rsidRPr="005167B1">
        <w:rPr>
          <w:rFonts w:cs="Lucida Sans Unicode"/>
          <w:szCs w:val="22"/>
        </w:rPr>
        <w:t xml:space="preserve">Garbage bin from 140L to 240L </w:t>
      </w:r>
      <w:r w:rsidRPr="005167B1">
        <w:rPr>
          <w:rFonts w:cs="Lucida Sans Unicode"/>
          <w:szCs w:val="22"/>
        </w:rPr>
        <w:tab/>
        <w:t>$</w:t>
      </w:r>
      <w:r w:rsidR="00BD51F0" w:rsidRPr="005167B1">
        <w:rPr>
          <w:rFonts w:cs="Lucida Sans Unicode"/>
          <w:szCs w:val="22"/>
        </w:rPr>
        <w:t>105.25</w:t>
      </w:r>
    </w:p>
    <w:p w:rsidR="00A23966" w:rsidRPr="005167B1" w:rsidRDefault="00F462EA" w:rsidP="005167B1">
      <w:pPr>
        <w:pStyle w:val="ListParagraph"/>
        <w:numPr>
          <w:ilvl w:val="0"/>
          <w:numId w:val="43"/>
        </w:numPr>
        <w:spacing w:after="80"/>
        <w:ind w:left="357" w:hanging="357"/>
        <w:jc w:val="both"/>
      </w:pPr>
      <w:r w:rsidRPr="005167B1">
        <w:rPr>
          <w:rFonts w:cs="Lucida Sans Unicode"/>
          <w:szCs w:val="22"/>
        </w:rPr>
        <w:t>Recycling bin</w:t>
      </w:r>
      <w:r w:rsidR="00186A62" w:rsidRPr="005167B1">
        <w:rPr>
          <w:rFonts w:cs="Lucida Sans Unicode"/>
          <w:szCs w:val="22"/>
        </w:rPr>
        <w:t xml:space="preserve"> 240L</w:t>
      </w:r>
      <w:r w:rsidR="00186A62" w:rsidRPr="005167B1">
        <w:rPr>
          <w:rFonts w:cs="Lucida Sans Unicode"/>
          <w:szCs w:val="22"/>
        </w:rPr>
        <w:tab/>
      </w:r>
      <w:r w:rsidR="00186A62" w:rsidRPr="005167B1">
        <w:rPr>
          <w:rFonts w:cs="Lucida Sans Unicode"/>
          <w:szCs w:val="22"/>
        </w:rPr>
        <w:tab/>
      </w:r>
      <w:r w:rsidRPr="005167B1">
        <w:rPr>
          <w:rFonts w:cs="Lucida Sans Unicode"/>
          <w:szCs w:val="22"/>
        </w:rPr>
        <w:tab/>
        <w:t xml:space="preserve">$  </w:t>
      </w:r>
      <w:r w:rsidR="00BD51F0" w:rsidRPr="005167B1">
        <w:rPr>
          <w:rFonts w:cs="Lucida Sans Unicode"/>
          <w:szCs w:val="22"/>
        </w:rPr>
        <w:t>82.40</w:t>
      </w:r>
    </w:p>
    <w:p w:rsidR="00BD51F0" w:rsidRPr="005167B1" w:rsidRDefault="00BD51F0" w:rsidP="005167B1">
      <w:pPr>
        <w:pStyle w:val="ListParagraph"/>
        <w:numPr>
          <w:ilvl w:val="0"/>
          <w:numId w:val="43"/>
        </w:numPr>
        <w:spacing w:after="80"/>
        <w:ind w:left="357" w:hanging="357"/>
        <w:jc w:val="both"/>
      </w:pPr>
      <w:r w:rsidRPr="005167B1">
        <w:rPr>
          <w:rFonts w:cs="Lucida Sans Unicode"/>
          <w:szCs w:val="22"/>
        </w:rPr>
        <w:t>Green waste bin 240L</w:t>
      </w:r>
      <w:r w:rsidRPr="005167B1">
        <w:rPr>
          <w:rFonts w:cs="Lucida Sans Unicode"/>
          <w:szCs w:val="22"/>
        </w:rPr>
        <w:tab/>
      </w:r>
      <w:r w:rsidRPr="005167B1">
        <w:rPr>
          <w:rFonts w:cs="Lucida Sans Unicode"/>
          <w:szCs w:val="22"/>
        </w:rPr>
        <w:tab/>
      </w:r>
      <w:r w:rsidRPr="005167B1">
        <w:rPr>
          <w:rFonts w:cs="Lucida Sans Unicode"/>
          <w:szCs w:val="22"/>
        </w:rPr>
        <w:tab/>
        <w:t>$  95.30</w:t>
      </w:r>
    </w:p>
    <w:p w:rsidR="00502E41" w:rsidRPr="00D576C5" w:rsidRDefault="00502E41" w:rsidP="00671F60">
      <w:pPr>
        <w:pStyle w:val="Heading4"/>
      </w:pPr>
      <w:bookmarkStart w:id="256" w:name="_Toc64258365"/>
      <w:bookmarkStart w:id="257" w:name="_Toc64276825"/>
      <w:bookmarkStart w:id="258" w:name="_Toc260749454"/>
      <w:bookmarkStart w:id="259" w:name="_Toc292369514"/>
      <w:bookmarkStart w:id="260" w:name="_Toc352766759"/>
      <w:bookmarkStart w:id="261" w:name="_Toc355947434"/>
      <w:bookmarkStart w:id="262" w:name="_Toc356202930"/>
      <w:bookmarkStart w:id="263" w:name="_Toc403114400"/>
      <w:bookmarkStart w:id="264" w:name="_Toc11845131"/>
      <w:r w:rsidRPr="00D576C5">
        <w:t xml:space="preserve">Municipal Charge – LGA </w:t>
      </w:r>
      <w:r w:rsidR="00976453">
        <w:t>s</w:t>
      </w:r>
      <w:r w:rsidR="00976453" w:rsidRPr="00D576C5">
        <w:t xml:space="preserve">ection </w:t>
      </w:r>
      <w:r w:rsidRPr="00D576C5">
        <w:t>159</w:t>
      </w:r>
      <w:bookmarkEnd w:id="256"/>
      <w:bookmarkEnd w:id="257"/>
      <w:bookmarkEnd w:id="258"/>
      <w:bookmarkEnd w:id="259"/>
      <w:bookmarkEnd w:id="260"/>
      <w:bookmarkEnd w:id="261"/>
      <w:bookmarkEnd w:id="262"/>
      <w:bookmarkEnd w:id="263"/>
      <w:bookmarkEnd w:id="264"/>
    </w:p>
    <w:p w:rsidR="00502E41" w:rsidRPr="00D576C5" w:rsidRDefault="00502E41">
      <w:pPr>
        <w:pStyle w:val="BodyText"/>
      </w:pPr>
      <w:r w:rsidRPr="00D576C5">
        <w:t xml:space="preserve">In addition to differential rates, </w:t>
      </w:r>
      <w:r w:rsidR="00717A0E" w:rsidRPr="006B0939">
        <w:t>Council</w:t>
      </w:r>
      <w:r w:rsidR="00976453" w:rsidRPr="006B0939">
        <w:t xml:space="preserve"> </w:t>
      </w:r>
      <w:r w:rsidRPr="006B0939">
        <w:t>may declare</w:t>
      </w:r>
      <w:r w:rsidRPr="00D576C5">
        <w:t xml:space="preserve"> a municipal charge to cover some of the administrative costs of </w:t>
      </w:r>
      <w:r w:rsidR="00976453">
        <w:t>c</w:t>
      </w:r>
      <w:r w:rsidR="00976453" w:rsidRPr="00D576C5">
        <w:t>ouncil</w:t>
      </w:r>
      <w:r w:rsidRPr="00D576C5">
        <w:t xml:space="preserve">. The total revenue from a municipal charge must not exceed 20% of the sum total of the general rates and municipal charge combined in a financial year. LGA </w:t>
      </w:r>
      <w:r w:rsidR="00976453">
        <w:t>s</w:t>
      </w:r>
      <w:r w:rsidR="00976453" w:rsidRPr="00D576C5">
        <w:t xml:space="preserve">ection </w:t>
      </w:r>
      <w:r w:rsidRPr="00D576C5">
        <w:t>159 (2</w:t>
      </w:r>
      <w:r w:rsidRPr="006B0939">
        <w:t xml:space="preserve">). </w:t>
      </w:r>
      <w:r w:rsidR="00717A0E" w:rsidRPr="006B0939">
        <w:t>Council’s</w:t>
      </w:r>
      <w:r w:rsidR="00976453" w:rsidRPr="006B0939">
        <w:t xml:space="preserve"> </w:t>
      </w:r>
      <w:r w:rsidRPr="006B0939">
        <w:t>position</w:t>
      </w:r>
      <w:r w:rsidRPr="00D576C5">
        <w:t xml:space="preserve"> is that the charge is a contribution to the fixed and unavoidable costs of governance and not to separately account for costs as to do so would not be an efficient use of resources.</w:t>
      </w:r>
    </w:p>
    <w:p w:rsidR="00502E41" w:rsidRPr="00D576C5" w:rsidRDefault="00502E41">
      <w:pPr>
        <w:pStyle w:val="BodyText"/>
      </w:pPr>
      <w:bookmarkStart w:id="265" w:name="_Toc64258366"/>
      <w:bookmarkStart w:id="266" w:name="_Toc64276826"/>
      <w:r w:rsidRPr="00D576C5">
        <w:t>Reasons for policy</w:t>
      </w:r>
      <w:bookmarkEnd w:id="265"/>
      <w:bookmarkEnd w:id="266"/>
      <w:r w:rsidR="00E42343">
        <w:t xml:space="preserve">: </w:t>
      </w:r>
    </w:p>
    <w:p w:rsidR="00A23966" w:rsidRPr="005167B1" w:rsidRDefault="00717A0E" w:rsidP="005167B1">
      <w:pPr>
        <w:pStyle w:val="ListParagraph"/>
        <w:numPr>
          <w:ilvl w:val="0"/>
          <w:numId w:val="43"/>
        </w:numPr>
        <w:spacing w:after="80"/>
        <w:ind w:left="357" w:hanging="357"/>
        <w:jc w:val="both"/>
      </w:pPr>
      <w:r w:rsidRPr="00132FCB">
        <w:rPr>
          <w:rFonts w:cs="Lucida Sans Unicode"/>
          <w:szCs w:val="22"/>
        </w:rPr>
        <w:t>Council</w:t>
      </w:r>
      <w:r w:rsidR="00976453" w:rsidRPr="005167B1">
        <w:rPr>
          <w:rFonts w:cs="Lucida Sans Unicode"/>
          <w:szCs w:val="22"/>
        </w:rPr>
        <w:t xml:space="preserve"> </w:t>
      </w:r>
      <w:r w:rsidR="00502E41" w:rsidRPr="005167B1">
        <w:rPr>
          <w:rFonts w:cs="Lucida Sans Unicode"/>
          <w:szCs w:val="22"/>
        </w:rPr>
        <w:t>b</w:t>
      </w:r>
      <w:r w:rsidR="00502E41" w:rsidRPr="00583AE6">
        <w:rPr>
          <w:rFonts w:cs="Lucida Sans Unicode"/>
          <w:szCs w:val="22"/>
        </w:rPr>
        <w:t>elieves that the diverse land use mix within the municipality is best described using the above differential rating categories and service charge. Taxation deductibility, valuation impacts, property use changes and levels of charge are all considered in de</w:t>
      </w:r>
      <w:r w:rsidR="00502E41" w:rsidRPr="00132FCB">
        <w:rPr>
          <w:rFonts w:cs="Lucida Sans Unicode"/>
          <w:szCs w:val="22"/>
        </w:rPr>
        <w:t>termining tariff groups and the level o</w:t>
      </w:r>
      <w:r w:rsidR="00502E41" w:rsidRPr="005167B1">
        <w:rPr>
          <w:rFonts w:cs="Lucida Sans Unicode"/>
          <w:szCs w:val="22"/>
        </w:rPr>
        <w:t>f rate in dollar to be applied each year.</w:t>
      </w:r>
    </w:p>
    <w:p w:rsidR="00A23966" w:rsidRPr="005167B1" w:rsidRDefault="00502E41" w:rsidP="005167B1">
      <w:pPr>
        <w:pStyle w:val="ListParagraph"/>
        <w:numPr>
          <w:ilvl w:val="0"/>
          <w:numId w:val="43"/>
        </w:numPr>
        <w:spacing w:after="80"/>
        <w:ind w:left="357" w:hanging="357"/>
        <w:jc w:val="both"/>
      </w:pPr>
      <w:r w:rsidRPr="005167B1">
        <w:rPr>
          <w:rFonts w:cs="Lucida Sans Unicode"/>
          <w:szCs w:val="22"/>
        </w:rPr>
        <w:t xml:space="preserve">A municipal charge is declared as a “minimum rate” applicable to all tariff groups and properties. For </w:t>
      </w:r>
      <w:r w:rsidR="00BD51F0" w:rsidRPr="005167B1">
        <w:rPr>
          <w:rFonts w:cs="Lucida Sans Unicode"/>
          <w:szCs w:val="22"/>
        </w:rPr>
        <w:t>2019-20</w:t>
      </w:r>
      <w:r w:rsidR="00ED5D0D" w:rsidRPr="005167B1">
        <w:rPr>
          <w:rFonts w:cs="Lucida Sans Unicode"/>
          <w:szCs w:val="22"/>
        </w:rPr>
        <w:t xml:space="preserve"> </w:t>
      </w:r>
      <w:r w:rsidRPr="005167B1">
        <w:rPr>
          <w:rFonts w:cs="Lucida Sans Unicode"/>
          <w:szCs w:val="22"/>
        </w:rPr>
        <w:t xml:space="preserve">the municipal charge equates to </w:t>
      </w:r>
      <w:r w:rsidR="00ED5D0D" w:rsidRPr="005167B1">
        <w:rPr>
          <w:rFonts w:cs="Lucida Sans Unicode"/>
          <w:szCs w:val="22"/>
        </w:rPr>
        <w:t>6.</w:t>
      </w:r>
      <w:r w:rsidR="0028659B" w:rsidRPr="005167B1">
        <w:rPr>
          <w:rFonts w:cs="Lucida Sans Unicode"/>
          <w:szCs w:val="22"/>
        </w:rPr>
        <w:t>6</w:t>
      </w:r>
      <w:r w:rsidRPr="005167B1">
        <w:rPr>
          <w:rFonts w:cs="Lucida Sans Unicode"/>
          <w:szCs w:val="22"/>
        </w:rPr>
        <w:t>% of the total sum of general rates and the municipal charge combined (6.</w:t>
      </w:r>
      <w:r w:rsidR="00BD51F0" w:rsidRPr="005167B1">
        <w:rPr>
          <w:rFonts w:cs="Lucida Sans Unicode"/>
          <w:szCs w:val="22"/>
        </w:rPr>
        <w:t>6</w:t>
      </w:r>
      <w:r w:rsidRPr="005167B1">
        <w:rPr>
          <w:rFonts w:cs="Lucida Sans Unicode"/>
          <w:szCs w:val="22"/>
        </w:rPr>
        <w:t xml:space="preserve">% in </w:t>
      </w:r>
      <w:r w:rsidR="00BD51F0" w:rsidRPr="005167B1">
        <w:rPr>
          <w:rFonts w:cs="Lucida Sans Unicode"/>
          <w:szCs w:val="22"/>
        </w:rPr>
        <w:t>2018-19</w:t>
      </w:r>
      <w:r w:rsidRPr="005167B1">
        <w:rPr>
          <w:rFonts w:cs="Lucida Sans Unicode"/>
          <w:szCs w:val="22"/>
        </w:rPr>
        <w:t>).</w:t>
      </w:r>
    </w:p>
    <w:p w:rsidR="00911D62" w:rsidRPr="00D576C5" w:rsidRDefault="00911D62" w:rsidP="00671F60">
      <w:pPr>
        <w:pStyle w:val="Heading4"/>
      </w:pPr>
      <w:bookmarkStart w:id="267" w:name="_Toc229533855"/>
      <w:bookmarkStart w:id="268" w:name="_Toc260749452"/>
      <w:bookmarkStart w:id="269" w:name="_Toc292369520"/>
      <w:bookmarkStart w:id="270" w:name="_Toc355947435"/>
      <w:bookmarkStart w:id="271" w:name="_Toc356202931"/>
      <w:bookmarkStart w:id="272" w:name="_Toc403114401"/>
      <w:bookmarkStart w:id="273" w:name="_Toc11845132"/>
      <w:bookmarkStart w:id="274" w:name="_Toc64258364"/>
      <w:bookmarkStart w:id="275" w:name="_Toc64276824"/>
      <w:r w:rsidRPr="00D576C5">
        <w:t>Ex Gratia Rates</w:t>
      </w:r>
      <w:bookmarkEnd w:id="267"/>
      <w:bookmarkEnd w:id="268"/>
      <w:bookmarkEnd w:id="269"/>
      <w:bookmarkEnd w:id="270"/>
      <w:bookmarkEnd w:id="271"/>
      <w:bookmarkEnd w:id="272"/>
      <w:bookmarkEnd w:id="273"/>
    </w:p>
    <w:p w:rsidR="00911D62" w:rsidRPr="00D576C5" w:rsidRDefault="00976453">
      <w:pPr>
        <w:pStyle w:val="BodyText"/>
      </w:pPr>
      <w:r>
        <w:t>The City</w:t>
      </w:r>
      <w:r w:rsidRPr="00D576C5">
        <w:t xml:space="preserve"> </w:t>
      </w:r>
      <w:r w:rsidR="00911D62" w:rsidRPr="00D576C5">
        <w:t xml:space="preserve">has </w:t>
      </w:r>
      <w:r w:rsidR="004324C1" w:rsidRPr="00D576C5">
        <w:t>“</w:t>
      </w:r>
      <w:r w:rsidR="00911D62" w:rsidRPr="00D576C5">
        <w:t>Ex Gratia Rates</w:t>
      </w:r>
      <w:r w:rsidR="004324C1" w:rsidRPr="00D576C5">
        <w:t>”</w:t>
      </w:r>
      <w:r w:rsidR="00911D62" w:rsidRPr="00D576C5">
        <w:t xml:space="preserve"> to gain contributions towards its operational costs from those property owners exempt from paying rates. </w:t>
      </w:r>
      <w:r>
        <w:t>The City’s</w:t>
      </w:r>
      <w:r w:rsidRPr="00D576C5">
        <w:t xml:space="preserve"> </w:t>
      </w:r>
      <w:r w:rsidR="00911D62" w:rsidRPr="00D576C5">
        <w:t>intent is to align ex gratia contributions as close to or equivalent to the applicable rate category for that property subject to particular circumstances.</w:t>
      </w:r>
    </w:p>
    <w:p w:rsidR="00911D62" w:rsidRPr="00D576C5" w:rsidRDefault="00911D62" w:rsidP="00671F60">
      <w:pPr>
        <w:pStyle w:val="Heading4"/>
      </w:pPr>
      <w:bookmarkStart w:id="276" w:name="_Toc64258369"/>
      <w:bookmarkStart w:id="277" w:name="_Toc64276829"/>
      <w:bookmarkStart w:id="278" w:name="_Toc260749458"/>
      <w:bookmarkStart w:id="279" w:name="_Toc292369521"/>
      <w:bookmarkStart w:id="280" w:name="_Toc355947436"/>
      <w:bookmarkStart w:id="281" w:name="_Toc356202932"/>
      <w:bookmarkStart w:id="282" w:name="_Toc403114402"/>
      <w:bookmarkStart w:id="283" w:name="_Toc11845133"/>
      <w:bookmarkEnd w:id="274"/>
      <w:bookmarkEnd w:id="275"/>
      <w:r w:rsidRPr="00D576C5">
        <w:lastRenderedPageBreak/>
        <w:t xml:space="preserve">Special </w:t>
      </w:r>
      <w:r w:rsidR="004B1CEA" w:rsidRPr="00D576C5">
        <w:t>C</w:t>
      </w:r>
      <w:r w:rsidRPr="00D576C5">
        <w:t xml:space="preserve">harge </w:t>
      </w:r>
      <w:r w:rsidR="004B1CEA" w:rsidRPr="00D576C5">
        <w:t>R</w:t>
      </w:r>
      <w:r w:rsidRPr="00D576C5">
        <w:t xml:space="preserve">ates </w:t>
      </w:r>
      <w:r w:rsidR="004324C1" w:rsidRPr="00D576C5">
        <w:t>–</w:t>
      </w:r>
      <w:r w:rsidRPr="00D576C5">
        <w:t xml:space="preserve"> LGA </w:t>
      </w:r>
      <w:r w:rsidR="00976453">
        <w:t>s</w:t>
      </w:r>
      <w:r w:rsidR="00976453" w:rsidRPr="00D576C5">
        <w:t xml:space="preserve">ection </w:t>
      </w:r>
      <w:r w:rsidRPr="00D576C5">
        <w:t>163</w:t>
      </w:r>
      <w:bookmarkEnd w:id="276"/>
      <w:bookmarkEnd w:id="277"/>
      <w:bookmarkEnd w:id="278"/>
      <w:bookmarkEnd w:id="279"/>
      <w:bookmarkEnd w:id="280"/>
      <w:bookmarkEnd w:id="281"/>
      <w:bookmarkEnd w:id="282"/>
      <w:bookmarkEnd w:id="283"/>
    </w:p>
    <w:p w:rsidR="00F462EA" w:rsidRDefault="00717A0E">
      <w:pPr>
        <w:pStyle w:val="BodyText"/>
      </w:pPr>
      <w:r>
        <w:t>Council</w:t>
      </w:r>
      <w:r w:rsidR="00976453" w:rsidRPr="009A0ED5">
        <w:t xml:space="preserve"> </w:t>
      </w:r>
      <w:r w:rsidR="00837637" w:rsidRPr="009A0ED5">
        <w:t>has declared a special rate in respect of the central business district of Geelong applicable to non-residential, non-exempt properties. The special rate is the Central Activities Area (</w:t>
      </w:r>
      <w:smartTag w:uri="urn:schemas-microsoft-com:office:smarttags" w:element="stockticker">
        <w:r w:rsidR="00837637" w:rsidRPr="009A0ED5">
          <w:t>CAA</w:t>
        </w:r>
      </w:smartTag>
      <w:r w:rsidR="00837637" w:rsidRPr="009A0ED5">
        <w:t xml:space="preserve">) </w:t>
      </w:r>
      <w:r w:rsidR="00976453">
        <w:t>r</w:t>
      </w:r>
      <w:r w:rsidR="00976453" w:rsidRPr="009A0ED5">
        <w:t xml:space="preserve">ate </w:t>
      </w:r>
      <w:r w:rsidR="00837637" w:rsidRPr="009A0ED5">
        <w:t xml:space="preserve">and is in addition to other rates and charges. The purpose of the special rate is to promote the </w:t>
      </w:r>
      <w:smartTag w:uri="urn:schemas-microsoft-com:office:smarttags" w:element="stockticker">
        <w:r w:rsidR="00837637" w:rsidRPr="009A0ED5">
          <w:t>CAA</w:t>
        </w:r>
      </w:smartTag>
      <w:r w:rsidR="00837637" w:rsidRPr="009A0ED5">
        <w:t xml:space="preserve"> as a commercial shopping precinct using events, marketing and media.  </w:t>
      </w:r>
    </w:p>
    <w:p w:rsidR="00911D62" w:rsidRDefault="00837637">
      <w:pPr>
        <w:pStyle w:val="BodyText"/>
      </w:pPr>
      <w:r w:rsidRPr="009A0ED5">
        <w:t>A special rate has been declared for the period commencing on 1 July 2016 and concluding on 30 June 2021</w:t>
      </w:r>
      <w:r w:rsidRPr="006B0939">
        <w:t xml:space="preserve">. </w:t>
      </w:r>
      <w:r w:rsidR="00BD51F0" w:rsidRPr="006B0939">
        <w:t>2019-20</w:t>
      </w:r>
      <w:r w:rsidR="00ED5D0D" w:rsidRPr="006B0939">
        <w:t xml:space="preserve"> </w:t>
      </w:r>
      <w:r w:rsidRPr="006B0939">
        <w:t xml:space="preserve">will be the </w:t>
      </w:r>
      <w:r w:rsidR="00BD51F0" w:rsidRPr="006B0939">
        <w:t xml:space="preserve">fourth </w:t>
      </w:r>
      <w:r w:rsidRPr="006B0939">
        <w:t>year of the scheme</w:t>
      </w:r>
      <w:r w:rsidR="006B0939" w:rsidRPr="005167B1">
        <w:t xml:space="preserve"> and</w:t>
      </w:r>
      <w:r w:rsidRPr="006B0939">
        <w:t xml:space="preserve"> provides to raise $</w:t>
      </w:r>
      <w:r w:rsidR="004C7A18" w:rsidRPr="006B0939">
        <w:t>1</w:t>
      </w:r>
      <w:r w:rsidR="00BD51F0" w:rsidRPr="006B0939">
        <w:t>,117,259</w:t>
      </w:r>
      <w:r w:rsidRPr="006B0939">
        <w:t xml:space="preserve"> ($</w:t>
      </w:r>
      <w:r w:rsidR="004C7A18" w:rsidRPr="006B0939">
        <w:t>1,</w:t>
      </w:r>
      <w:r w:rsidR="00BD51F0" w:rsidRPr="006B0939">
        <w:t>090,009</w:t>
      </w:r>
      <w:r w:rsidRPr="006B0939">
        <w:t xml:space="preserve"> in </w:t>
      </w:r>
      <w:r w:rsidR="00BD51F0" w:rsidRPr="006B0939">
        <w:t>2018-19</w:t>
      </w:r>
      <w:r w:rsidRPr="006B0939">
        <w:t xml:space="preserve">). The rate in dollar for </w:t>
      </w:r>
      <w:r w:rsidR="00BD51F0" w:rsidRPr="006B0939">
        <w:t>2019-20</w:t>
      </w:r>
      <w:r w:rsidR="00ED5D0D" w:rsidRPr="006B0939">
        <w:t xml:space="preserve"> </w:t>
      </w:r>
      <w:r w:rsidRPr="006B0939">
        <w:t>is set at $0.</w:t>
      </w:r>
      <w:r w:rsidR="00BD51F0" w:rsidRPr="006B0939">
        <w:t>00063761</w:t>
      </w:r>
      <w:r w:rsidR="00BD51F0" w:rsidRPr="009A0ED5">
        <w:t xml:space="preserve"> </w:t>
      </w:r>
      <w:r w:rsidRPr="009A0ED5">
        <w:t>and $0.</w:t>
      </w:r>
      <w:r w:rsidR="00BD51F0" w:rsidRPr="009A0ED5">
        <w:t>000</w:t>
      </w:r>
      <w:r w:rsidR="00BD51F0">
        <w:t>19887</w:t>
      </w:r>
      <w:r w:rsidR="00BD51F0" w:rsidRPr="009A0ED5">
        <w:t xml:space="preserve"> </w:t>
      </w:r>
      <w:r w:rsidRPr="009A0ED5">
        <w:t>for Cultural &amp; Recreation (</w:t>
      </w:r>
      <w:r w:rsidR="003E15C4">
        <w:t>c</w:t>
      </w:r>
      <w:r w:rsidR="003E15C4" w:rsidRPr="009A0ED5">
        <w:t xml:space="preserve">ultural </w:t>
      </w:r>
      <w:r w:rsidRPr="009A0ED5">
        <w:t xml:space="preserve">and </w:t>
      </w:r>
      <w:r w:rsidR="003E15C4">
        <w:t>r</w:t>
      </w:r>
      <w:r w:rsidR="003E15C4" w:rsidRPr="009A0ED5">
        <w:t xml:space="preserve">ecreation </w:t>
      </w:r>
      <w:r w:rsidRPr="009A0ED5">
        <w:t xml:space="preserve">properties are charged a reduced </w:t>
      </w:r>
      <w:smartTag w:uri="urn:schemas-microsoft-com:office:smarttags" w:element="stockticker">
        <w:r w:rsidRPr="009A0ED5">
          <w:t>CAA</w:t>
        </w:r>
      </w:smartTag>
      <w:r w:rsidRPr="009A0ED5">
        <w:t xml:space="preserve"> rate, in accordance with the ratio of the recreation rate to the commercial rate). </w:t>
      </w:r>
      <w:r w:rsidR="00717A0E">
        <w:t xml:space="preserve">Council </w:t>
      </w:r>
      <w:r w:rsidR="00911D62" w:rsidRPr="00D576C5">
        <w:t xml:space="preserve">from time to time declares special charges in respect to street schemes, construction of footpaths and area beautification subject to the provisions of LGA S163-S166. </w:t>
      </w:r>
    </w:p>
    <w:p w:rsidR="001D7FFA" w:rsidRPr="00D576C5" w:rsidRDefault="00BA5D86" w:rsidP="00D35956">
      <w:pPr>
        <w:pStyle w:val="Heading3"/>
      </w:pPr>
      <w:bookmarkStart w:id="284" w:name="_Toc292369532"/>
      <w:bookmarkStart w:id="285" w:name="_Toc355947437"/>
      <w:bookmarkStart w:id="286" w:name="_Toc355947748"/>
      <w:bookmarkStart w:id="287" w:name="_Toc356202572"/>
      <w:bookmarkStart w:id="288" w:name="_Toc356202933"/>
      <w:bookmarkStart w:id="289" w:name="_Toc403114403"/>
      <w:bookmarkStart w:id="290" w:name="_Toc11845134"/>
      <w:r>
        <w:t xml:space="preserve">3.5  </w:t>
      </w:r>
      <w:r w:rsidR="001D7FFA" w:rsidRPr="00D576C5">
        <w:t>Collections</w:t>
      </w:r>
      <w:bookmarkEnd w:id="284"/>
      <w:bookmarkEnd w:id="285"/>
      <w:bookmarkEnd w:id="286"/>
      <w:bookmarkEnd w:id="287"/>
      <w:bookmarkEnd w:id="288"/>
      <w:bookmarkEnd w:id="289"/>
      <w:bookmarkEnd w:id="290"/>
    </w:p>
    <w:p w:rsidR="001D7FFA" w:rsidRPr="00D576C5" w:rsidRDefault="001D7FFA" w:rsidP="00671F60">
      <w:pPr>
        <w:pStyle w:val="Heading4"/>
      </w:pPr>
      <w:bookmarkStart w:id="291" w:name="_Toc292369533"/>
      <w:bookmarkStart w:id="292" w:name="_Toc355947438"/>
      <w:bookmarkStart w:id="293" w:name="_Toc356202934"/>
      <w:bookmarkStart w:id="294" w:name="_Toc403114404"/>
      <w:bookmarkStart w:id="295" w:name="_Toc11845135"/>
      <w:r w:rsidRPr="00D576C5">
        <w:t>Liability to Pay Rates</w:t>
      </w:r>
      <w:bookmarkEnd w:id="291"/>
      <w:bookmarkEnd w:id="292"/>
      <w:bookmarkEnd w:id="293"/>
      <w:bookmarkEnd w:id="294"/>
      <w:bookmarkEnd w:id="295"/>
    </w:p>
    <w:p w:rsidR="001D7FFA" w:rsidRPr="00D576C5" w:rsidRDefault="001D7FFA">
      <w:pPr>
        <w:pStyle w:val="BodyText"/>
      </w:pPr>
      <w:r w:rsidRPr="00D576C5">
        <w:t xml:space="preserve">LGA </w:t>
      </w:r>
      <w:r w:rsidR="00976453">
        <w:t>s</w:t>
      </w:r>
      <w:r w:rsidR="00976453" w:rsidRPr="00D576C5">
        <w:t xml:space="preserve">ection </w:t>
      </w:r>
      <w:r w:rsidRPr="00D576C5">
        <w:t>156 makes the owner of the land liable to pay the rates and charges on that land. In certain cases, the occupier, mortgagee or licensee holder is liable to pay the rates.</w:t>
      </w:r>
    </w:p>
    <w:p w:rsidR="001D7FFA" w:rsidRPr="00D576C5" w:rsidRDefault="001D7FFA">
      <w:pPr>
        <w:pStyle w:val="BodyText"/>
      </w:pPr>
      <w:r w:rsidRPr="00D576C5">
        <w:t xml:space="preserve">The LGA </w:t>
      </w:r>
      <w:r w:rsidR="00976453">
        <w:t>s</w:t>
      </w:r>
      <w:r w:rsidR="00976453" w:rsidRPr="00D576C5">
        <w:t xml:space="preserve">ection </w:t>
      </w:r>
      <w:r w:rsidRPr="00D576C5">
        <w:t>156(6) declares the rate or charge, unpaid interest or costs to be a first charge upon the land.</w:t>
      </w:r>
    </w:p>
    <w:p w:rsidR="001D7FFA" w:rsidRDefault="001D7FFA" w:rsidP="00671F60">
      <w:pPr>
        <w:pStyle w:val="Heading4"/>
      </w:pPr>
      <w:bookmarkStart w:id="296" w:name="_Toc355947439"/>
      <w:bookmarkStart w:id="297" w:name="_Toc356202935"/>
      <w:bookmarkStart w:id="298" w:name="_Toc403114405"/>
      <w:bookmarkStart w:id="299" w:name="_Toc11845136"/>
      <w:bookmarkStart w:id="300" w:name="_Toc292369534"/>
      <w:r>
        <w:t>Electronic Notices</w:t>
      </w:r>
      <w:bookmarkEnd w:id="296"/>
      <w:bookmarkEnd w:id="297"/>
      <w:bookmarkEnd w:id="298"/>
      <w:bookmarkEnd w:id="299"/>
    </w:p>
    <w:p w:rsidR="001D7FFA" w:rsidRDefault="00976453">
      <w:pPr>
        <w:pStyle w:val="BodyText"/>
      </w:pPr>
      <w:r w:rsidRPr="006B0939">
        <w:t xml:space="preserve">The City </w:t>
      </w:r>
      <w:r w:rsidR="001D7FFA" w:rsidRPr="006B0939">
        <w:t xml:space="preserve">encourages the electronic distribution of rate notices and promotes </w:t>
      </w:r>
      <w:r w:rsidR="00AC6AA4" w:rsidRPr="006B0939">
        <w:t>My Geelong</w:t>
      </w:r>
      <w:r w:rsidR="001D7FFA" w:rsidRPr="006B0939">
        <w:t>.</w:t>
      </w:r>
      <w:r w:rsidR="00342772" w:rsidRPr="006B0939">
        <w:t xml:space="preserve"> </w:t>
      </w:r>
      <w:r w:rsidR="001D7FFA" w:rsidRPr="006B0939">
        <w:t>Ratepayers</w:t>
      </w:r>
      <w:r w:rsidR="001D7FFA">
        <w:t xml:space="preserve"> can elect to receive either their Annual Rate </w:t>
      </w:r>
      <w:r>
        <w:t xml:space="preserve">notice </w:t>
      </w:r>
      <w:r w:rsidR="001D7FFA">
        <w:t xml:space="preserve">or Quarterly Rate </w:t>
      </w:r>
      <w:r>
        <w:t xml:space="preserve">notice </w:t>
      </w:r>
      <w:r w:rsidR="001D7FFA">
        <w:t>electronically which is received through</w:t>
      </w:r>
      <w:r w:rsidR="00A122B1">
        <w:t xml:space="preserve"> </w:t>
      </w:r>
      <w:r w:rsidR="00AC6AA4">
        <w:t>their email address</w:t>
      </w:r>
      <w:r w:rsidR="001D7FFA">
        <w:t>.</w:t>
      </w:r>
    </w:p>
    <w:p w:rsidR="00342772" w:rsidRDefault="00342772">
      <w:pPr>
        <w:pStyle w:val="BodyText"/>
      </w:pPr>
      <w:r>
        <w:t xml:space="preserve">Register with your rate notice at </w:t>
      </w:r>
      <w:hyperlink r:id="rId26" w:history="1">
        <w:r w:rsidRPr="00DC6208">
          <w:rPr>
            <w:rStyle w:val="Hyperlink"/>
          </w:rPr>
          <w:t>www.geelongaustralia.com.au/ratesonline</w:t>
        </w:r>
      </w:hyperlink>
      <w:r>
        <w:t>.</w:t>
      </w:r>
    </w:p>
    <w:p w:rsidR="00342772" w:rsidRDefault="00342772">
      <w:pPr>
        <w:pStyle w:val="BodyText"/>
      </w:pPr>
      <w:r>
        <w:t>Once you have registered you can:</w:t>
      </w:r>
    </w:p>
    <w:p w:rsidR="00A23966" w:rsidRPr="005A2AD5" w:rsidRDefault="00342772" w:rsidP="005167B1">
      <w:pPr>
        <w:pStyle w:val="ListParagraph"/>
        <w:numPr>
          <w:ilvl w:val="0"/>
          <w:numId w:val="43"/>
        </w:numPr>
        <w:spacing w:after="80"/>
        <w:ind w:left="357" w:hanging="357"/>
        <w:jc w:val="both"/>
      </w:pPr>
      <w:r w:rsidRPr="00C05662">
        <w:rPr>
          <w:rFonts w:cs="Lucida Sans Unicode"/>
          <w:szCs w:val="22"/>
        </w:rPr>
        <w:t>Receive and manage rate notices and payments</w:t>
      </w:r>
    </w:p>
    <w:p w:rsidR="00A23966" w:rsidRPr="00132FCB" w:rsidRDefault="00342772" w:rsidP="005167B1">
      <w:pPr>
        <w:pStyle w:val="ListParagraph"/>
        <w:numPr>
          <w:ilvl w:val="0"/>
          <w:numId w:val="43"/>
        </w:numPr>
        <w:spacing w:after="80"/>
        <w:ind w:left="357" w:hanging="357"/>
        <w:jc w:val="both"/>
      </w:pPr>
      <w:r w:rsidRPr="00583AE6">
        <w:rPr>
          <w:rFonts w:cs="Lucida Sans Unicode"/>
          <w:szCs w:val="22"/>
        </w:rPr>
        <w:t>Receive and manage animal registrations</w:t>
      </w:r>
    </w:p>
    <w:p w:rsidR="00A23966" w:rsidRPr="005167B1" w:rsidRDefault="00342772" w:rsidP="005167B1">
      <w:pPr>
        <w:pStyle w:val="ListParagraph"/>
        <w:numPr>
          <w:ilvl w:val="0"/>
          <w:numId w:val="43"/>
        </w:numPr>
        <w:spacing w:after="80"/>
        <w:ind w:left="357" w:hanging="357"/>
        <w:jc w:val="both"/>
      </w:pPr>
      <w:r w:rsidRPr="00132FCB">
        <w:rPr>
          <w:rFonts w:cs="Lucida Sans Unicode"/>
          <w:szCs w:val="22"/>
        </w:rPr>
        <w:t>Check bin collection days</w:t>
      </w:r>
    </w:p>
    <w:p w:rsidR="00A23966" w:rsidRPr="005167B1" w:rsidRDefault="00342772" w:rsidP="005167B1">
      <w:pPr>
        <w:pStyle w:val="ListParagraph"/>
        <w:numPr>
          <w:ilvl w:val="0"/>
          <w:numId w:val="43"/>
        </w:numPr>
        <w:spacing w:after="80"/>
        <w:ind w:left="357" w:hanging="357"/>
        <w:jc w:val="both"/>
      </w:pPr>
      <w:r w:rsidRPr="005167B1">
        <w:rPr>
          <w:rFonts w:cs="Lucida Sans Unicode"/>
          <w:szCs w:val="22"/>
        </w:rPr>
        <w:t>Submit service requests</w:t>
      </w:r>
    </w:p>
    <w:p w:rsidR="001D7FFA" w:rsidRPr="00D576C5" w:rsidRDefault="001D7FFA" w:rsidP="00671F60">
      <w:pPr>
        <w:pStyle w:val="Heading4"/>
      </w:pPr>
      <w:bookmarkStart w:id="301" w:name="_Toc355947440"/>
      <w:bookmarkStart w:id="302" w:name="_Toc356202936"/>
      <w:bookmarkStart w:id="303" w:name="_Toc403114406"/>
      <w:bookmarkStart w:id="304" w:name="_Toc11845137"/>
      <w:r w:rsidRPr="00D576C5">
        <w:lastRenderedPageBreak/>
        <w:t>Payment Dates for Rates</w:t>
      </w:r>
      <w:bookmarkEnd w:id="300"/>
      <w:bookmarkEnd w:id="301"/>
      <w:bookmarkEnd w:id="302"/>
      <w:bookmarkEnd w:id="303"/>
      <w:bookmarkEnd w:id="304"/>
    </w:p>
    <w:p w:rsidR="001D7FFA" w:rsidRPr="00D576C5" w:rsidRDefault="00976453">
      <w:pPr>
        <w:pStyle w:val="BodyText"/>
      </w:pPr>
      <w:r>
        <w:t>The City</w:t>
      </w:r>
      <w:r w:rsidR="001D7FFA" w:rsidRPr="00D576C5">
        <w:t xml:space="preserve">, in accordance with the LGA section 167 (1) must allow for the payment of rates by four instalments per annum.  </w:t>
      </w:r>
      <w:r>
        <w:t>The City</w:t>
      </w:r>
      <w:r w:rsidRPr="00D576C5">
        <w:t xml:space="preserve"> </w:t>
      </w:r>
      <w:r w:rsidR="001D7FFA" w:rsidRPr="00D576C5">
        <w:t xml:space="preserve">may allow a person to pay a rate or charge in a single lump sum payment LGA </w:t>
      </w:r>
      <w:r>
        <w:t>s</w:t>
      </w:r>
      <w:r w:rsidRPr="00D576C5">
        <w:t xml:space="preserve">ection </w:t>
      </w:r>
      <w:r w:rsidR="001D7FFA" w:rsidRPr="00D576C5">
        <w:t>167 (2).</w:t>
      </w:r>
    </w:p>
    <w:p w:rsidR="001D7FFA" w:rsidRPr="00D576C5" w:rsidRDefault="001D7FFA">
      <w:pPr>
        <w:pStyle w:val="BodyText"/>
      </w:pPr>
      <w:r w:rsidRPr="00D576C5">
        <w:t>The Minister fixes instalment and single lump sum payment dates by notice published in the Government gazette.</w:t>
      </w:r>
    </w:p>
    <w:p w:rsidR="00F462EA" w:rsidRDefault="001D7FFA">
      <w:pPr>
        <w:pStyle w:val="BodyText"/>
      </w:pPr>
      <w:r w:rsidRPr="00D576C5">
        <w:t xml:space="preserve">Policy Statement: Council offers ratepayers the option to pay rates by four instalments due on 30 September, 30 November, 28 February and 31 May each year, or the next working day thereafter should those days be a weekend or public holiday.  </w:t>
      </w:r>
    </w:p>
    <w:p w:rsidR="00F462EA" w:rsidRDefault="001D7FFA">
      <w:pPr>
        <w:pStyle w:val="BodyText"/>
      </w:pPr>
      <w:r w:rsidRPr="00D576C5">
        <w:t>Ratepayers may pay in a single lump sum payment provided that payment is received by 15 February or next working day thereafter if that day is a weekend or public holiday.</w:t>
      </w:r>
    </w:p>
    <w:p w:rsidR="00F462EA" w:rsidRDefault="001D7FFA">
      <w:pPr>
        <w:pStyle w:val="BodyText"/>
      </w:pPr>
      <w:bookmarkStart w:id="305" w:name="_Toc64258371"/>
      <w:bookmarkStart w:id="306" w:name="_Toc64276831"/>
      <w:r w:rsidRPr="00D576C5">
        <w:t>Reason for policy</w:t>
      </w:r>
      <w:bookmarkEnd w:id="305"/>
      <w:bookmarkEnd w:id="306"/>
      <w:r w:rsidR="00E42343">
        <w:t xml:space="preserve">: </w:t>
      </w:r>
      <w:r w:rsidRPr="00D576C5">
        <w:t xml:space="preserve">The policy is set in accordance with the </w:t>
      </w:r>
      <w:r w:rsidRPr="005167B1">
        <w:rPr>
          <w:i/>
        </w:rPr>
        <w:t>Local Government Act 1989</w:t>
      </w:r>
      <w:r w:rsidRPr="00D576C5">
        <w:t>.</w:t>
      </w:r>
    </w:p>
    <w:p w:rsidR="001D7FFA" w:rsidRPr="00D576C5" w:rsidRDefault="001D7FFA" w:rsidP="00671F60">
      <w:pPr>
        <w:pStyle w:val="Heading4"/>
      </w:pPr>
      <w:bookmarkStart w:id="307" w:name="_Toc64258372"/>
      <w:bookmarkStart w:id="308" w:name="_Toc64276832"/>
      <w:bookmarkStart w:id="309" w:name="_Toc260749460"/>
      <w:bookmarkStart w:id="310" w:name="_Toc292369535"/>
      <w:bookmarkStart w:id="311" w:name="_Toc355947441"/>
      <w:bookmarkStart w:id="312" w:name="_Toc356202937"/>
      <w:bookmarkStart w:id="313" w:name="_Toc403114407"/>
      <w:bookmarkStart w:id="314" w:name="_Toc11845138"/>
      <w:r w:rsidRPr="00D576C5">
        <w:t>Alternative Instalment / Payment Options</w:t>
      </w:r>
      <w:bookmarkEnd w:id="307"/>
      <w:bookmarkEnd w:id="308"/>
      <w:bookmarkEnd w:id="309"/>
      <w:bookmarkEnd w:id="310"/>
      <w:bookmarkEnd w:id="311"/>
      <w:bookmarkEnd w:id="312"/>
      <w:bookmarkEnd w:id="313"/>
      <w:bookmarkEnd w:id="314"/>
    </w:p>
    <w:p w:rsidR="001D7FFA" w:rsidRPr="00D576C5" w:rsidRDefault="001D7FFA">
      <w:pPr>
        <w:pStyle w:val="BodyText"/>
      </w:pPr>
      <w:r w:rsidRPr="00D576C5">
        <w:t>A number of councils offer four instalments per annum as the only payments option (e.g. Queenscliffe Borough Council).</w:t>
      </w:r>
    </w:p>
    <w:p w:rsidR="001D7FFA" w:rsidRPr="00D576C5" w:rsidRDefault="001D7FFA">
      <w:pPr>
        <w:pStyle w:val="BodyText"/>
      </w:pPr>
      <w:r w:rsidRPr="00D576C5">
        <w:t xml:space="preserve">LGA </w:t>
      </w:r>
      <w:r w:rsidR="00976453">
        <w:t>s</w:t>
      </w:r>
      <w:r w:rsidR="00976453" w:rsidRPr="00D576C5">
        <w:t xml:space="preserve">ection </w:t>
      </w:r>
      <w:r w:rsidRPr="00D576C5">
        <w:t xml:space="preserve">167 requires that councils “must allow” payment in four instalments and “may allow” payment in one lump sum. The Minister fixes the dates of instalments and lump sum by notice published in the Government Gazette. The dates are set statewide with no variability between councils and have traditionally been the dates as listed above. </w:t>
      </w:r>
    </w:p>
    <w:p w:rsidR="00F462EA" w:rsidRDefault="00717A0E">
      <w:pPr>
        <w:pStyle w:val="BodyText"/>
      </w:pPr>
      <w:r w:rsidRPr="006B0939">
        <w:t>Council</w:t>
      </w:r>
      <w:r w:rsidR="00976453" w:rsidRPr="006B0939">
        <w:t xml:space="preserve"> </w:t>
      </w:r>
      <w:r w:rsidR="001D7FFA" w:rsidRPr="006B0939">
        <w:t>may in future</w:t>
      </w:r>
      <w:r w:rsidR="001D7FFA" w:rsidRPr="00D576C5">
        <w:t xml:space="preserve"> consider moving to the instalment payment options only. Of the </w:t>
      </w:r>
      <w:r w:rsidR="00186A23">
        <w:t>125,</w:t>
      </w:r>
      <w:r w:rsidR="006B0939">
        <w:t xml:space="preserve">981 </w:t>
      </w:r>
      <w:r w:rsidR="001D7FFA" w:rsidRPr="00D576C5">
        <w:t xml:space="preserve">rate accounts issued annually, some </w:t>
      </w:r>
      <w:r w:rsidR="00EC26DE">
        <w:t>49.4</w:t>
      </w:r>
      <w:r w:rsidR="001D7FFA" w:rsidRPr="0077210A">
        <w:t>% now use the 4-instalment option.  A move to four instalments only would bring cash flow forward and increase interest</w:t>
      </w:r>
      <w:r w:rsidR="001D7FFA" w:rsidRPr="00D576C5">
        <w:t xml:space="preserve"> on cash held in investments.  However, this is offset by increased postage and collection fees.  </w:t>
      </w:r>
    </w:p>
    <w:p w:rsidR="00F462EA" w:rsidRDefault="001D7FFA">
      <w:pPr>
        <w:pStyle w:val="BodyText"/>
      </w:pPr>
      <w:r w:rsidRPr="00D576C5">
        <w:t xml:space="preserve">For </w:t>
      </w:r>
      <w:r w:rsidR="00BD51F0">
        <w:t>2019-20</w:t>
      </w:r>
      <w:r w:rsidR="00ED5D0D" w:rsidRPr="00D576C5">
        <w:t xml:space="preserve"> </w:t>
      </w:r>
      <w:r w:rsidRPr="00D576C5">
        <w:t xml:space="preserve">there is to be no change to the existing payment instalment arrangements. </w:t>
      </w:r>
    </w:p>
    <w:p w:rsidR="001D7FFA" w:rsidRPr="00D576C5" w:rsidRDefault="001D7FFA" w:rsidP="00671F60">
      <w:pPr>
        <w:pStyle w:val="Heading4"/>
      </w:pPr>
      <w:bookmarkStart w:id="315" w:name="_Toc64258373"/>
      <w:bookmarkStart w:id="316" w:name="_Toc64276833"/>
      <w:bookmarkStart w:id="317" w:name="_Toc229533864"/>
      <w:bookmarkStart w:id="318" w:name="_Toc260749461"/>
      <w:bookmarkStart w:id="319" w:name="_Toc11845139"/>
      <w:r w:rsidRPr="00D576C5">
        <w:t xml:space="preserve">Payment </w:t>
      </w:r>
      <w:r w:rsidR="00C97377">
        <w:t>O</w:t>
      </w:r>
      <w:r w:rsidRPr="00D576C5">
        <w:t>ptions</w:t>
      </w:r>
      <w:bookmarkEnd w:id="315"/>
      <w:bookmarkEnd w:id="316"/>
      <w:bookmarkEnd w:id="317"/>
      <w:bookmarkEnd w:id="318"/>
      <w:bookmarkEnd w:id="319"/>
    </w:p>
    <w:p w:rsidR="001D7FFA" w:rsidRPr="00D576C5" w:rsidRDefault="00976453">
      <w:pPr>
        <w:pStyle w:val="BodyText"/>
      </w:pPr>
      <w:r>
        <w:t>The City of Greater Geelong</w:t>
      </w:r>
      <w:r w:rsidRPr="00D576C5">
        <w:t xml:space="preserve"> </w:t>
      </w:r>
      <w:r w:rsidR="001D7FFA" w:rsidRPr="00D576C5">
        <w:t xml:space="preserve">offers a range of payment options including direct debit, Bpay, internet via </w:t>
      </w:r>
      <w:hyperlink r:id="rId27" w:history="1">
        <w:r w:rsidR="001D7FFA" w:rsidRPr="00E60EA6">
          <w:rPr>
            <w:rStyle w:val="Hyperlink"/>
            <w:color w:val="000000"/>
          </w:rPr>
          <w:t>www.geelongaustralia.com.au</w:t>
        </w:r>
      </w:hyperlink>
      <w:r w:rsidR="001D7FFA" w:rsidRPr="00D576C5">
        <w:t xml:space="preserve">, by mail, telephone, over the counter services at </w:t>
      </w:r>
      <w:r w:rsidR="007874CE">
        <w:t>c</w:t>
      </w:r>
      <w:r>
        <w:t>ustomer</w:t>
      </w:r>
      <w:r w:rsidRPr="00D576C5">
        <w:t xml:space="preserve"> </w:t>
      </w:r>
      <w:r w:rsidR="007874CE">
        <w:t>s</w:t>
      </w:r>
      <w:r w:rsidR="007874CE" w:rsidRPr="00D576C5">
        <w:t xml:space="preserve">ervice </w:t>
      </w:r>
      <w:r w:rsidR="007874CE">
        <w:t>c</w:t>
      </w:r>
      <w:r w:rsidR="007874CE" w:rsidRPr="00D576C5">
        <w:t>entres</w:t>
      </w:r>
      <w:r w:rsidR="00966E13">
        <w:t>.</w:t>
      </w:r>
      <w:r w:rsidR="001D7FFA" w:rsidRPr="00D576C5">
        <w:t xml:space="preserve"> </w:t>
      </w:r>
      <w:r w:rsidR="00966E13">
        <w:t>Over the counter is also available at</w:t>
      </w:r>
      <w:r w:rsidR="001D7FFA" w:rsidRPr="00D576C5">
        <w:t xml:space="preserve"> Australia Post agencies</w:t>
      </w:r>
      <w:r w:rsidR="00966E13">
        <w:t xml:space="preserve"> at a significant cost to </w:t>
      </w:r>
      <w:r>
        <w:t>the City</w:t>
      </w:r>
      <w:r w:rsidR="001D7FFA" w:rsidRPr="00D576C5">
        <w:t>.</w:t>
      </w:r>
      <w:r w:rsidR="00966E13">
        <w:t xml:space="preserve"> This service </w:t>
      </w:r>
      <w:r w:rsidR="00966E13">
        <w:lastRenderedPageBreak/>
        <w:t>is to be reviewed in the future as a part of a review of payment options.</w:t>
      </w:r>
      <w:r w:rsidR="001D7FFA" w:rsidRPr="00D576C5">
        <w:t xml:space="preserve"> </w:t>
      </w:r>
      <w:r>
        <w:t xml:space="preserve">The City </w:t>
      </w:r>
      <w:r w:rsidR="001D7FFA" w:rsidRPr="00D576C5">
        <w:t xml:space="preserve">also uses Centrepay arrangements which offer Centrelink recipients to have payments deducted directly from their Centrelink entitlements. </w:t>
      </w:r>
    </w:p>
    <w:p w:rsidR="001D7FFA" w:rsidRPr="00D576C5" w:rsidRDefault="001D7FFA">
      <w:pPr>
        <w:pStyle w:val="BodyText"/>
      </w:pPr>
      <w:r w:rsidRPr="00D576C5">
        <w:t xml:space="preserve">To assist ratepayers spread the cost of rates over the year </w:t>
      </w:r>
      <w:r w:rsidR="00976453">
        <w:t>the City</w:t>
      </w:r>
      <w:r w:rsidR="00976453" w:rsidRPr="00D576C5">
        <w:t xml:space="preserve"> </w:t>
      </w:r>
      <w:r w:rsidRPr="00D576C5">
        <w:t xml:space="preserve">allows 20 fortnightly direct debit or fortnightly centrepay payments, </w:t>
      </w:r>
      <w:r w:rsidR="007A689C">
        <w:t>nine</w:t>
      </w:r>
      <w:r w:rsidRPr="00D576C5">
        <w:t xml:space="preserve"> monthly direct debit payments. Quarterly or in full payments can be made by the set dates by the means listed above.</w:t>
      </w:r>
    </w:p>
    <w:p w:rsidR="00A212F9" w:rsidRDefault="00A212F9">
      <w:pPr>
        <w:pStyle w:val="BodyText"/>
      </w:pPr>
      <w:r w:rsidRPr="00D576C5">
        <w:t>The cost of collections via all options continues to increase</w:t>
      </w:r>
      <w:r>
        <w:t>.</w:t>
      </w:r>
      <w:r w:rsidRPr="00A212F9">
        <w:t xml:space="preserve"> </w:t>
      </w:r>
      <w:r>
        <w:t xml:space="preserve">The budget for </w:t>
      </w:r>
      <w:r w:rsidR="00EC26DE">
        <w:t>2019-20</w:t>
      </w:r>
      <w:r w:rsidR="00ED5D0D">
        <w:t xml:space="preserve"> </w:t>
      </w:r>
      <w:r>
        <w:t>is $2</w:t>
      </w:r>
      <w:r w:rsidR="002D33F1">
        <w:t>7</w:t>
      </w:r>
      <w:r>
        <w:t>6,</w:t>
      </w:r>
      <w:r w:rsidR="002D33F1">
        <w:t>920</w:t>
      </w:r>
      <w:r>
        <w:t xml:space="preserve">. </w:t>
      </w:r>
    </w:p>
    <w:p w:rsidR="00F462EA" w:rsidRDefault="00976453">
      <w:pPr>
        <w:pStyle w:val="BodyText"/>
      </w:pPr>
      <w:r>
        <w:t>The City</w:t>
      </w:r>
      <w:r w:rsidRPr="00D576C5">
        <w:t xml:space="preserve"> </w:t>
      </w:r>
      <w:r w:rsidR="001D7FFA" w:rsidRPr="00D576C5">
        <w:t xml:space="preserve">incurs costs of collection via agency and merchant service fees. </w:t>
      </w:r>
      <w:r w:rsidR="002D2DC1">
        <w:t>A payment processing fee on credit card transactions was introduced during 2014-15 at 0.4% to offset the merchant service fees charged by financial institutions.</w:t>
      </w:r>
      <w:r w:rsidR="002D33F1">
        <w:t xml:space="preserve"> Due to increased costs the percentage recovered will be increased to 0.</w:t>
      </w:r>
      <w:r w:rsidR="00EC26DE">
        <w:t>55</w:t>
      </w:r>
      <w:r w:rsidR="002D33F1">
        <w:t xml:space="preserve">% from 1 July </w:t>
      </w:r>
      <w:r w:rsidR="00EC26DE">
        <w:t>2019</w:t>
      </w:r>
      <w:r w:rsidR="002D33F1">
        <w:t>.</w:t>
      </w:r>
    </w:p>
    <w:p w:rsidR="001D7FFA" w:rsidRPr="00D576C5" w:rsidRDefault="001D7FFA" w:rsidP="00671F60">
      <w:pPr>
        <w:pStyle w:val="Heading4"/>
      </w:pPr>
      <w:bookmarkStart w:id="320" w:name="_Toc64258381"/>
      <w:bookmarkStart w:id="321" w:name="_Toc64276841"/>
      <w:bookmarkStart w:id="322" w:name="_Toc229533872"/>
      <w:bookmarkStart w:id="323" w:name="_Toc260749472"/>
      <w:bookmarkStart w:id="324" w:name="_Toc292369536"/>
      <w:bookmarkStart w:id="325" w:name="_Toc355947442"/>
      <w:bookmarkStart w:id="326" w:name="_Toc356202938"/>
      <w:bookmarkStart w:id="327" w:name="_Toc11845140"/>
      <w:bookmarkStart w:id="328" w:name="_Toc64258375"/>
      <w:bookmarkStart w:id="329" w:name="_Toc64276835"/>
      <w:bookmarkStart w:id="330" w:name="_Toc260749462"/>
      <w:r w:rsidRPr="00D576C5">
        <w:t>Incentives for Prompt Payment</w:t>
      </w:r>
      <w:bookmarkEnd w:id="320"/>
      <w:bookmarkEnd w:id="321"/>
      <w:bookmarkEnd w:id="322"/>
      <w:bookmarkEnd w:id="323"/>
      <w:bookmarkEnd w:id="324"/>
      <w:bookmarkEnd w:id="325"/>
      <w:bookmarkEnd w:id="326"/>
      <w:bookmarkEnd w:id="327"/>
    </w:p>
    <w:p w:rsidR="001D7FFA" w:rsidRPr="00D576C5" w:rsidRDefault="001D7FFA">
      <w:pPr>
        <w:pStyle w:val="BodyText"/>
      </w:pPr>
      <w:r w:rsidRPr="00D576C5">
        <w:t xml:space="preserve">The LGA </w:t>
      </w:r>
      <w:r w:rsidR="00976453">
        <w:t>s</w:t>
      </w:r>
      <w:r w:rsidR="00976453" w:rsidRPr="00D576C5">
        <w:t xml:space="preserve">ection </w:t>
      </w:r>
      <w:r w:rsidRPr="00D576C5">
        <w:t xml:space="preserve">168 provides that incentives for prompt payment may be offered.  Discount for early payment should be based on cash flow benefit to </w:t>
      </w:r>
      <w:r w:rsidR="00976453">
        <w:t>the City</w:t>
      </w:r>
      <w:r w:rsidRPr="00D576C5">
        <w:t xml:space="preserve">. </w:t>
      </w:r>
    </w:p>
    <w:p w:rsidR="001D7FFA" w:rsidRPr="00D576C5" w:rsidRDefault="001D7FFA">
      <w:pPr>
        <w:pStyle w:val="BodyText"/>
      </w:pPr>
      <w:r w:rsidRPr="00D576C5">
        <w:t xml:space="preserve">Policy Statement: Council has determined that no incentives for prompt payment will be offered for the year </w:t>
      </w:r>
      <w:r w:rsidR="00EC26DE">
        <w:t>2019-20</w:t>
      </w:r>
      <w:r w:rsidRPr="00D576C5">
        <w:t xml:space="preserve">. </w:t>
      </w:r>
    </w:p>
    <w:p w:rsidR="00F462EA" w:rsidRDefault="001D7FFA">
      <w:pPr>
        <w:pStyle w:val="BodyText"/>
      </w:pPr>
      <w:r w:rsidRPr="00D576C5">
        <w:t xml:space="preserve">Reasons for Policy: </w:t>
      </w:r>
      <w:r w:rsidR="007874CE">
        <w:t>The City</w:t>
      </w:r>
      <w:r w:rsidR="007874CE" w:rsidRPr="00D576C5">
        <w:t xml:space="preserve"> </w:t>
      </w:r>
      <w:r w:rsidRPr="00D576C5">
        <w:t xml:space="preserve">offers payments via a number of agencies and services and to provide discount would be administratively cumbersome and costly. Awards and competition based incentives are generally only of benefit to the </w:t>
      </w:r>
      <w:r w:rsidR="005D7448">
        <w:t>City</w:t>
      </w:r>
      <w:r w:rsidR="005D7448" w:rsidRPr="00D576C5">
        <w:t xml:space="preserve"> </w:t>
      </w:r>
      <w:r w:rsidRPr="00D576C5">
        <w:t>via early cash flow and the successful ratepayer(s).</w:t>
      </w:r>
    </w:p>
    <w:p w:rsidR="001D7FFA" w:rsidRPr="00D576C5" w:rsidRDefault="001D7FFA" w:rsidP="00671F60">
      <w:pPr>
        <w:pStyle w:val="Heading4"/>
      </w:pPr>
      <w:bookmarkStart w:id="331" w:name="_Toc292369537"/>
      <w:bookmarkStart w:id="332" w:name="_Toc355947443"/>
      <w:bookmarkStart w:id="333" w:name="_Toc356202939"/>
      <w:bookmarkStart w:id="334" w:name="_Toc11845141"/>
      <w:r w:rsidRPr="00D576C5">
        <w:t>Late Payment of Rates</w:t>
      </w:r>
      <w:bookmarkEnd w:id="331"/>
      <w:bookmarkEnd w:id="332"/>
      <w:bookmarkEnd w:id="333"/>
      <w:bookmarkEnd w:id="334"/>
    </w:p>
    <w:p w:rsidR="001D7FFA" w:rsidRPr="00D576C5" w:rsidRDefault="001D7FFA">
      <w:pPr>
        <w:pStyle w:val="BodyText"/>
      </w:pPr>
      <w:r w:rsidRPr="00D576C5">
        <w:t xml:space="preserve">Policy statement: Council has determined that the application of interest penalties will be in accordance with LGA </w:t>
      </w:r>
      <w:r w:rsidR="002416FE">
        <w:t>s</w:t>
      </w:r>
      <w:r w:rsidR="002416FE" w:rsidRPr="00D576C5">
        <w:t xml:space="preserve">ection </w:t>
      </w:r>
      <w:r w:rsidRPr="00D576C5">
        <w:t>172.</w:t>
      </w:r>
    </w:p>
    <w:p w:rsidR="001D7FFA" w:rsidRPr="00D576C5" w:rsidRDefault="001D7FFA">
      <w:pPr>
        <w:pStyle w:val="BodyText"/>
      </w:pPr>
      <w:r w:rsidRPr="00D576C5">
        <w:t>Reason for policy: To alleviate any discussion or debate late payment of fines and penalties will be applied to any outstanding rates not paid by the due date.  A period of not less than one day grace will be allowed.</w:t>
      </w:r>
    </w:p>
    <w:p w:rsidR="001D7FFA" w:rsidRPr="00D576C5" w:rsidRDefault="001D7FFA" w:rsidP="00671F60">
      <w:pPr>
        <w:pStyle w:val="Heading4"/>
      </w:pPr>
      <w:bookmarkStart w:id="335" w:name="_Toc292369538"/>
      <w:bookmarkStart w:id="336" w:name="_Toc355947444"/>
      <w:bookmarkStart w:id="337" w:name="_Toc356202940"/>
      <w:bookmarkStart w:id="338" w:name="_Toc11845142"/>
      <w:r w:rsidRPr="00D576C5">
        <w:t>Interest on Arrears and Overdue Rates</w:t>
      </w:r>
      <w:bookmarkEnd w:id="328"/>
      <w:bookmarkEnd w:id="329"/>
      <w:bookmarkEnd w:id="330"/>
      <w:bookmarkEnd w:id="335"/>
      <w:bookmarkEnd w:id="336"/>
      <w:bookmarkEnd w:id="337"/>
      <w:bookmarkEnd w:id="338"/>
    </w:p>
    <w:p w:rsidR="001D7FFA" w:rsidRPr="005029BB" w:rsidRDefault="001D7FFA">
      <w:pPr>
        <w:pStyle w:val="BodyText"/>
      </w:pPr>
      <w:r w:rsidRPr="005029BB">
        <w:t xml:space="preserve">Interest is charged on all overdue rates in accordance with LGA </w:t>
      </w:r>
      <w:r w:rsidR="002416FE">
        <w:t>s</w:t>
      </w:r>
      <w:r w:rsidR="002416FE" w:rsidRPr="005029BB">
        <w:t xml:space="preserve">ection </w:t>
      </w:r>
      <w:r w:rsidRPr="005029BB">
        <w:t xml:space="preserve">172. </w:t>
      </w:r>
      <w:r w:rsidR="002D2DC1">
        <w:t>P</w:t>
      </w:r>
      <w:r w:rsidRPr="005029BB">
        <w:t>enalty interest is to be charged from the date when each instalment was due, irrespective of whether a lump sum option is available.</w:t>
      </w:r>
    </w:p>
    <w:p w:rsidR="001D7FFA" w:rsidRPr="005029BB" w:rsidRDefault="001D7FFA">
      <w:pPr>
        <w:pStyle w:val="BodyText"/>
      </w:pPr>
      <w:r w:rsidRPr="005029BB">
        <w:lastRenderedPageBreak/>
        <w:t xml:space="preserve">The interest rate to apply is fixed under </w:t>
      </w:r>
      <w:r w:rsidR="002416FE">
        <w:t>s</w:t>
      </w:r>
      <w:r w:rsidR="002416FE" w:rsidRPr="005029BB">
        <w:t xml:space="preserve">ection </w:t>
      </w:r>
      <w:r w:rsidRPr="005029BB">
        <w:t xml:space="preserve">2 of the Penalty Interest Rates Act 1983, which is determined by the Minister and published by notice in the Government Gazette. </w:t>
      </w:r>
      <w:r w:rsidR="00E135CF" w:rsidRPr="005029BB">
        <w:t xml:space="preserve">The penalty interest rate of </w:t>
      </w:r>
      <w:r w:rsidR="00ED5D0D">
        <w:t>10</w:t>
      </w:r>
      <w:r w:rsidR="00E135CF" w:rsidRPr="005029BB">
        <w:t xml:space="preserve">% per annum will apply from 1 July </w:t>
      </w:r>
      <w:r w:rsidR="00ED5D0D" w:rsidRPr="005029BB">
        <w:t>201</w:t>
      </w:r>
      <w:r w:rsidR="00ED5D0D">
        <w:t>7</w:t>
      </w:r>
      <w:r w:rsidR="00E135CF" w:rsidRPr="005029BB">
        <w:t>.</w:t>
      </w:r>
    </w:p>
    <w:p w:rsidR="00F462EA" w:rsidRDefault="002416FE">
      <w:pPr>
        <w:pStyle w:val="BodyText"/>
      </w:pPr>
      <w:r w:rsidRPr="006B0939">
        <w:t xml:space="preserve">The City </w:t>
      </w:r>
      <w:r w:rsidR="001D7FFA" w:rsidRPr="006B0939">
        <w:t>can</w:t>
      </w:r>
      <w:r w:rsidR="001D7FFA" w:rsidRPr="005029BB">
        <w:t xml:space="preserve">not apply an alternative rate but has the power to exempt any person from paying the whole or part of any interest amount generally or specifically payable – LGA </w:t>
      </w:r>
      <w:r>
        <w:t>s</w:t>
      </w:r>
      <w:r w:rsidRPr="005029BB">
        <w:t xml:space="preserve">ection </w:t>
      </w:r>
      <w:r w:rsidR="001D7FFA" w:rsidRPr="005029BB">
        <w:t>172 (2A).</w:t>
      </w:r>
    </w:p>
    <w:p w:rsidR="00F462EA" w:rsidRDefault="001D7FFA">
      <w:pPr>
        <w:pStyle w:val="BodyText"/>
      </w:pPr>
      <w:r w:rsidRPr="005029BB">
        <w:t xml:space="preserve">As part of the hardship provisions </w:t>
      </w:r>
      <w:r w:rsidR="002416FE">
        <w:t>the City</w:t>
      </w:r>
      <w:r w:rsidR="002416FE" w:rsidRPr="005029BB">
        <w:t xml:space="preserve"> </w:t>
      </w:r>
      <w:r w:rsidRPr="005029BB">
        <w:t xml:space="preserve">allows people who have proven financial difficulties to defer rate payments. </w:t>
      </w:r>
      <w:r w:rsidR="00233BDB">
        <w:t xml:space="preserve"> </w:t>
      </w:r>
      <w:r w:rsidRPr="005029BB">
        <w:t xml:space="preserve">The interest rate for deferred rate payments is set at </w:t>
      </w:r>
      <w:r w:rsidR="00EC26DE">
        <w:t>5.34</w:t>
      </w:r>
      <w:r w:rsidRPr="005029BB">
        <w:t xml:space="preserve">% for </w:t>
      </w:r>
      <w:r w:rsidR="00EC26DE">
        <w:t>2019-20</w:t>
      </w:r>
      <w:r w:rsidRPr="005029BB">
        <w:t xml:space="preserve">. </w:t>
      </w:r>
    </w:p>
    <w:p w:rsidR="001D7FFA" w:rsidRPr="00D576C5" w:rsidRDefault="001D7FFA" w:rsidP="00671F60">
      <w:pPr>
        <w:pStyle w:val="Heading4"/>
      </w:pPr>
      <w:bookmarkStart w:id="339" w:name="_Toc292369539"/>
      <w:bookmarkStart w:id="340" w:name="_Toc355947445"/>
      <w:bookmarkStart w:id="341" w:name="_Toc356202941"/>
      <w:bookmarkStart w:id="342" w:name="_Toc403114408"/>
      <w:bookmarkStart w:id="343" w:name="_Toc11845143"/>
      <w:r w:rsidRPr="00D576C5">
        <w:t>Debt Recovery - Collection of Overdue Rates</w:t>
      </w:r>
      <w:bookmarkEnd w:id="339"/>
      <w:bookmarkEnd w:id="340"/>
      <w:bookmarkEnd w:id="341"/>
      <w:bookmarkEnd w:id="342"/>
      <w:bookmarkEnd w:id="343"/>
    </w:p>
    <w:p w:rsidR="001D7FFA" w:rsidRPr="00D576C5" w:rsidRDefault="002416FE">
      <w:pPr>
        <w:pStyle w:val="BodyText"/>
      </w:pPr>
      <w:r>
        <w:t>The City</w:t>
      </w:r>
      <w:r w:rsidRPr="00D576C5">
        <w:t xml:space="preserve"> </w:t>
      </w:r>
      <w:r w:rsidR="001D7FFA" w:rsidRPr="00D576C5">
        <w:t xml:space="preserve">makes every effort to contact ratepayers at their correct address but it is the ratepayers’ responsibility to properly advise </w:t>
      </w:r>
      <w:r>
        <w:t>the City</w:t>
      </w:r>
      <w:r w:rsidRPr="00D576C5">
        <w:t xml:space="preserve"> </w:t>
      </w:r>
      <w:r w:rsidR="001D7FFA" w:rsidRPr="00D576C5">
        <w:t xml:space="preserve">of their contact details.  Amendments to the </w:t>
      </w:r>
      <w:r w:rsidR="007874CE">
        <w:t>LGA</w:t>
      </w:r>
      <w:r w:rsidR="001D7FFA" w:rsidRPr="00D576C5">
        <w:t xml:space="preserve"> require both the vendor and buyer of property, or their agents (e.g. solicitors), to notify </w:t>
      </w:r>
      <w:r>
        <w:t>the City of Greater Geelong</w:t>
      </w:r>
      <w:r w:rsidRPr="00D576C5">
        <w:t xml:space="preserve"> </w:t>
      </w:r>
      <w:r w:rsidR="001D7FFA" w:rsidRPr="00D576C5">
        <w:t xml:space="preserve">by way of </w:t>
      </w:r>
      <w:r w:rsidR="006F170A">
        <w:t xml:space="preserve">a </w:t>
      </w:r>
      <w:r w:rsidR="001D7FFA" w:rsidRPr="00D576C5">
        <w:t>notice of acquisition.</w:t>
      </w:r>
    </w:p>
    <w:p w:rsidR="001D7FFA" w:rsidRPr="00D576C5" w:rsidRDefault="001D7FFA">
      <w:pPr>
        <w:pStyle w:val="BodyText"/>
      </w:pPr>
      <w:r w:rsidRPr="00D576C5">
        <w:t xml:space="preserve">In the event that an account becomes overdue, </w:t>
      </w:r>
      <w:r w:rsidR="002416FE">
        <w:t>the City</w:t>
      </w:r>
      <w:r w:rsidR="002416FE" w:rsidRPr="00D576C5">
        <w:t xml:space="preserve"> </w:t>
      </w:r>
      <w:r w:rsidRPr="00D576C5">
        <w:t xml:space="preserve">has established procedures for the issue of an overdue final notice which may include interest pre calculated to a forward payment date. </w:t>
      </w:r>
    </w:p>
    <w:p w:rsidR="00F462EA" w:rsidRDefault="001D7FFA">
      <w:pPr>
        <w:pStyle w:val="BodyText"/>
      </w:pPr>
      <w:r w:rsidRPr="00D576C5">
        <w:t xml:space="preserve">In the event that the account remains unpaid, </w:t>
      </w:r>
      <w:r w:rsidR="005D7448">
        <w:t>we</w:t>
      </w:r>
      <w:r w:rsidR="002416FE" w:rsidRPr="00D576C5">
        <w:t xml:space="preserve"> </w:t>
      </w:r>
      <w:r w:rsidRPr="00D576C5">
        <w:t>may take legal action without further notice to recover any overdue amount. All fees and court costs are recoverable from the ratepayer.</w:t>
      </w:r>
    </w:p>
    <w:p w:rsidR="00F462EA" w:rsidRDefault="001D7FFA">
      <w:pPr>
        <w:pStyle w:val="BodyText"/>
      </w:pPr>
      <w:r w:rsidRPr="00D576C5">
        <w:t xml:space="preserve">If an amount payable by way of rates in respect to land has been in arrears for three years or more, </w:t>
      </w:r>
      <w:r w:rsidR="002416FE">
        <w:t>the City</w:t>
      </w:r>
      <w:r w:rsidR="002416FE" w:rsidRPr="00D576C5">
        <w:t xml:space="preserve"> </w:t>
      </w:r>
      <w:r w:rsidRPr="00D576C5">
        <w:t xml:space="preserve">may sell the land in accordance with the </w:t>
      </w:r>
      <w:r w:rsidRPr="005167B1">
        <w:rPr>
          <w:i/>
        </w:rPr>
        <w:t>Local Government Act</w:t>
      </w:r>
      <w:r w:rsidRPr="00D576C5">
        <w:t xml:space="preserve"> – </w:t>
      </w:r>
      <w:r w:rsidR="002416FE">
        <w:t>s</w:t>
      </w:r>
      <w:r w:rsidR="002416FE" w:rsidRPr="00D576C5">
        <w:t xml:space="preserve">ection </w:t>
      </w:r>
      <w:r w:rsidRPr="00D576C5">
        <w:t>181.</w:t>
      </w:r>
    </w:p>
    <w:p w:rsidR="00F462EA" w:rsidRDefault="001D7FFA">
      <w:pPr>
        <w:pStyle w:val="BodyText"/>
      </w:pPr>
      <w:r w:rsidRPr="00D576C5">
        <w:t xml:space="preserve">Reason for Policy:  The purpose of the policy is to act as a genuine deterrent to ratepayers who might otherwise fail to pay rates on time, to allow </w:t>
      </w:r>
      <w:r w:rsidR="002416FE">
        <w:t>the City</w:t>
      </w:r>
      <w:r w:rsidR="002416FE" w:rsidRPr="00D576C5">
        <w:t xml:space="preserve"> </w:t>
      </w:r>
      <w:r w:rsidRPr="00D576C5">
        <w:t xml:space="preserve">to recover the administrative cost of following up unpaid rates and to recover any interest cost the </w:t>
      </w:r>
      <w:r w:rsidR="002416FE">
        <w:t>City</w:t>
      </w:r>
      <w:r w:rsidR="002416FE" w:rsidRPr="00D576C5">
        <w:t xml:space="preserve"> </w:t>
      </w:r>
      <w:r w:rsidRPr="00D576C5">
        <w:t>may incur due to lost investment opportunities.  The principle in providing for such penalty is that ratepayers who pay within the required timeframe should not have to subsidise or bear any cost of ratepayers who default in payment.</w:t>
      </w:r>
    </w:p>
    <w:p w:rsidR="00E82FFE" w:rsidRPr="001E4182" w:rsidRDefault="00BA5D86" w:rsidP="00D35956">
      <w:pPr>
        <w:pStyle w:val="Heading3"/>
      </w:pPr>
      <w:bookmarkStart w:id="344" w:name="_Toc292369540"/>
      <w:bookmarkStart w:id="345" w:name="_Toc355947446"/>
      <w:bookmarkStart w:id="346" w:name="_Toc355947749"/>
      <w:bookmarkStart w:id="347" w:name="_Toc356202573"/>
      <w:bookmarkStart w:id="348" w:name="_Toc356202942"/>
      <w:bookmarkStart w:id="349" w:name="_Toc403114409"/>
      <w:bookmarkStart w:id="350" w:name="_Toc11845144"/>
      <w:bookmarkStart w:id="351" w:name="_Toc260749468"/>
      <w:bookmarkStart w:id="352" w:name="_Toc64258380"/>
      <w:bookmarkStart w:id="353" w:name="_Toc64276840"/>
      <w:r>
        <w:t xml:space="preserve">3.6  </w:t>
      </w:r>
      <w:r w:rsidR="00E82FFE" w:rsidRPr="001E4182">
        <w:t>Rates Assistance</w:t>
      </w:r>
      <w:bookmarkEnd w:id="344"/>
      <w:bookmarkEnd w:id="345"/>
      <w:bookmarkEnd w:id="346"/>
      <w:bookmarkEnd w:id="347"/>
      <w:bookmarkEnd w:id="348"/>
      <w:bookmarkEnd w:id="349"/>
      <w:bookmarkEnd w:id="350"/>
    </w:p>
    <w:bookmarkEnd w:id="351"/>
    <w:bookmarkEnd w:id="352"/>
    <w:bookmarkEnd w:id="353"/>
    <w:p w:rsidR="00E82FFE" w:rsidRPr="00D576C5" w:rsidRDefault="005D7448">
      <w:pPr>
        <w:pStyle w:val="BodyText"/>
      </w:pPr>
      <w:r w:rsidRPr="006B0939">
        <w:t>Council</w:t>
      </w:r>
      <w:r w:rsidR="002416FE" w:rsidRPr="006B0939">
        <w:t xml:space="preserve"> </w:t>
      </w:r>
      <w:r w:rsidR="00E82FFE" w:rsidRPr="006B0939">
        <w:t>has</w:t>
      </w:r>
      <w:r w:rsidR="00E82FFE" w:rsidRPr="00D576C5">
        <w:t xml:space="preserve"> determined that the rating framework described above is appropriate for equitable rating given the principle of taxation by property </w:t>
      </w:r>
      <w:r w:rsidR="00E82FFE" w:rsidRPr="00D576C5">
        <w:lastRenderedPageBreak/>
        <w:t>wealth, land use groupings, other revenue raising strategies and government funded concessions and legislative provisions and requirements.</w:t>
      </w:r>
    </w:p>
    <w:p w:rsidR="00E82FFE" w:rsidRPr="00D576C5" w:rsidRDefault="002416FE">
      <w:pPr>
        <w:pStyle w:val="BodyText"/>
      </w:pPr>
      <w:r>
        <w:t xml:space="preserve">The City </w:t>
      </w:r>
      <w:r w:rsidR="00E82FFE" w:rsidRPr="00D576C5">
        <w:t>acknowledge</w:t>
      </w:r>
      <w:r w:rsidR="003C2620">
        <w:t>s</w:t>
      </w:r>
      <w:r w:rsidR="00E82FFE" w:rsidRPr="00D576C5">
        <w:t xml:space="preserve"> that some ratepayers will experience difficulty from time to time in meeting rate payments due to the effect of rising valuations, cost of </w:t>
      </w:r>
      <w:r>
        <w:t>c</w:t>
      </w:r>
      <w:r w:rsidRPr="00D576C5">
        <w:t xml:space="preserve">ouncil </w:t>
      </w:r>
      <w:r w:rsidR="00E82FFE" w:rsidRPr="00D576C5">
        <w:t xml:space="preserve">services and personal circumstance. </w:t>
      </w:r>
      <w:r w:rsidR="005D7448">
        <w:t>We</w:t>
      </w:r>
      <w:r w:rsidRPr="00D576C5">
        <w:t xml:space="preserve"> </w:t>
      </w:r>
      <w:r w:rsidR="00E82FFE" w:rsidRPr="00D576C5">
        <w:t xml:space="preserve">further understand that rebates and relief measures have a cost to </w:t>
      </w:r>
      <w:r w:rsidR="005D7448">
        <w:t>the City</w:t>
      </w:r>
      <w:r w:rsidRPr="00D576C5">
        <w:t xml:space="preserve"> </w:t>
      </w:r>
      <w:r w:rsidR="00E82FFE" w:rsidRPr="00D576C5">
        <w:t xml:space="preserve">which must be borne by other ratepayers either short or long term.  It is for this reason that </w:t>
      </w:r>
      <w:r>
        <w:t>the City</w:t>
      </w:r>
      <w:r w:rsidRPr="00D576C5">
        <w:t xml:space="preserve"> </w:t>
      </w:r>
      <w:r w:rsidR="00E82FFE" w:rsidRPr="00D576C5">
        <w:t>provides limited assistance</w:t>
      </w:r>
      <w:r w:rsidR="003C2620">
        <w:t>, rates waivers and</w:t>
      </w:r>
      <w:r w:rsidR="00E82FFE" w:rsidRPr="00D576C5">
        <w:t xml:space="preserve"> rebates to assist persons or classes of person in accordance with LGA </w:t>
      </w:r>
      <w:r>
        <w:t>s</w:t>
      </w:r>
      <w:r w:rsidRPr="00D576C5">
        <w:t xml:space="preserve">ection </w:t>
      </w:r>
      <w:r w:rsidR="003C2620">
        <w:t>169 and 171.</w:t>
      </w:r>
    </w:p>
    <w:p w:rsidR="00F462EA" w:rsidRDefault="00E82FFE">
      <w:pPr>
        <w:pStyle w:val="BodyText"/>
      </w:pPr>
      <w:r w:rsidRPr="00D576C5">
        <w:t xml:space="preserve">The MAV 2010 study of the Capacity of Residential Households to Pay Rates found that the average household rate burden is around 2.25% of expenditure. It found that the type of households that typically had a higher rate burden were: </w:t>
      </w:r>
    </w:p>
    <w:p w:rsidR="00A23966" w:rsidRPr="005167B1" w:rsidRDefault="00E82FFE" w:rsidP="005167B1">
      <w:pPr>
        <w:pStyle w:val="ListParagraph"/>
        <w:numPr>
          <w:ilvl w:val="0"/>
          <w:numId w:val="43"/>
        </w:numPr>
        <w:spacing w:after="80"/>
        <w:ind w:left="357" w:hanging="357"/>
        <w:jc w:val="both"/>
      </w:pPr>
      <w:r w:rsidRPr="00C05662">
        <w:rPr>
          <w:rFonts w:cs="Lucida Sans Unicode"/>
          <w:szCs w:val="22"/>
        </w:rPr>
        <w:t>Owned outright (</w:t>
      </w:r>
      <w:r w:rsidR="00F42BAD" w:rsidRPr="00583AE6">
        <w:rPr>
          <w:rFonts w:cs="Lucida Sans Unicode"/>
          <w:szCs w:val="22"/>
        </w:rPr>
        <w:t>i.e.</w:t>
      </w:r>
      <w:r w:rsidRPr="00132FCB">
        <w:rPr>
          <w:rFonts w:cs="Lucida Sans Unicode"/>
          <w:szCs w:val="22"/>
        </w:rPr>
        <w:t xml:space="preserve"> without a mort</w:t>
      </w:r>
      <w:r w:rsidRPr="005167B1">
        <w:rPr>
          <w:rFonts w:cs="Lucida Sans Unicode"/>
          <w:szCs w:val="22"/>
        </w:rPr>
        <w:t>gage).</w:t>
      </w:r>
    </w:p>
    <w:p w:rsidR="00A23966" w:rsidRPr="005167B1" w:rsidRDefault="00E82FFE" w:rsidP="005167B1">
      <w:pPr>
        <w:pStyle w:val="ListParagraph"/>
        <w:numPr>
          <w:ilvl w:val="0"/>
          <w:numId w:val="43"/>
        </w:numPr>
        <w:spacing w:after="80"/>
        <w:ind w:left="357" w:hanging="357"/>
        <w:jc w:val="both"/>
      </w:pPr>
      <w:r w:rsidRPr="005167B1">
        <w:rPr>
          <w:rFonts w:cs="Lucida Sans Unicode"/>
          <w:szCs w:val="22"/>
        </w:rPr>
        <w:t>Rely principally on government pensions and allowances.</w:t>
      </w:r>
    </w:p>
    <w:p w:rsidR="00A23966" w:rsidRPr="005167B1" w:rsidRDefault="00E82FFE" w:rsidP="005167B1">
      <w:pPr>
        <w:pStyle w:val="ListParagraph"/>
        <w:numPr>
          <w:ilvl w:val="0"/>
          <w:numId w:val="43"/>
        </w:numPr>
        <w:spacing w:after="80"/>
        <w:ind w:left="357" w:hanging="357"/>
        <w:jc w:val="both"/>
      </w:pPr>
      <w:r w:rsidRPr="005167B1">
        <w:rPr>
          <w:rFonts w:cs="Lucida Sans Unicode"/>
          <w:szCs w:val="22"/>
        </w:rPr>
        <w:t>Are lone person households.</w:t>
      </w:r>
    </w:p>
    <w:p w:rsidR="00A23966" w:rsidRPr="005167B1" w:rsidRDefault="00E82FFE" w:rsidP="005167B1">
      <w:pPr>
        <w:pStyle w:val="ListParagraph"/>
        <w:numPr>
          <w:ilvl w:val="0"/>
          <w:numId w:val="43"/>
        </w:numPr>
        <w:spacing w:after="80"/>
        <w:ind w:left="357" w:hanging="357"/>
        <w:jc w:val="both"/>
      </w:pPr>
      <w:r w:rsidRPr="005167B1">
        <w:rPr>
          <w:rFonts w:cs="Lucida Sans Unicode"/>
          <w:szCs w:val="22"/>
        </w:rPr>
        <w:t>Have a reference person of 65 years or over.</w:t>
      </w:r>
    </w:p>
    <w:p w:rsidR="00A23966" w:rsidRPr="005167B1" w:rsidRDefault="00E82FFE" w:rsidP="005167B1">
      <w:pPr>
        <w:pStyle w:val="ListParagraph"/>
        <w:numPr>
          <w:ilvl w:val="0"/>
          <w:numId w:val="43"/>
        </w:numPr>
        <w:spacing w:after="80"/>
        <w:ind w:left="357" w:hanging="357"/>
        <w:jc w:val="both"/>
      </w:pPr>
      <w:r w:rsidRPr="005167B1">
        <w:rPr>
          <w:rFonts w:cs="Lucida Sans Unicode"/>
          <w:szCs w:val="22"/>
        </w:rPr>
        <w:t xml:space="preserve">Have no </w:t>
      </w:r>
      <w:r w:rsidR="00F42BAD" w:rsidRPr="005167B1">
        <w:rPr>
          <w:rFonts w:cs="Lucida Sans Unicode"/>
          <w:szCs w:val="22"/>
        </w:rPr>
        <w:t>dependent</w:t>
      </w:r>
      <w:r w:rsidRPr="005167B1">
        <w:rPr>
          <w:rFonts w:cs="Lucida Sans Unicode"/>
          <w:szCs w:val="22"/>
        </w:rPr>
        <w:t xml:space="preserve"> children aged under 25 years.</w:t>
      </w:r>
    </w:p>
    <w:p w:rsidR="00F462EA" w:rsidRDefault="005D7448">
      <w:pPr>
        <w:pStyle w:val="BodyText"/>
      </w:pPr>
      <w:r>
        <w:t>We have</w:t>
      </w:r>
      <w:r w:rsidR="00E82FFE" w:rsidRPr="00D576C5">
        <w:t xml:space="preserve"> implemented rates assistance measures to address the needs of these groups where property taxing causes financial hardship. In particular the pension rebate, rate deferral, rate waiver and the variety of payment options including Centrepay.</w:t>
      </w:r>
    </w:p>
    <w:p w:rsidR="00F462EA" w:rsidRDefault="00A051FA">
      <w:pPr>
        <w:pStyle w:val="BodyText"/>
      </w:pPr>
      <w:r>
        <w:t>The MAV has released hardship policy guidelines. The objectives of these hardship policy guidelines are:</w:t>
      </w:r>
    </w:p>
    <w:p w:rsidR="00CA263C" w:rsidRPr="00583AE6" w:rsidRDefault="00A051FA" w:rsidP="005167B1">
      <w:pPr>
        <w:pStyle w:val="ListParagraph"/>
        <w:numPr>
          <w:ilvl w:val="0"/>
          <w:numId w:val="43"/>
        </w:numPr>
        <w:spacing w:after="80"/>
        <w:ind w:left="357" w:hanging="357"/>
        <w:jc w:val="both"/>
      </w:pPr>
      <w:r w:rsidRPr="00C05662">
        <w:rPr>
          <w:rFonts w:cs="Lucida Sans Unicode"/>
          <w:szCs w:val="22"/>
        </w:rPr>
        <w:t>To provide assistance to ratepayers experiencing financial hardship</w:t>
      </w:r>
      <w:r w:rsidR="007A689C" w:rsidRPr="005A2AD5">
        <w:rPr>
          <w:rFonts w:cs="Lucida Sans Unicode"/>
          <w:szCs w:val="22"/>
        </w:rPr>
        <w:t>.</w:t>
      </w:r>
    </w:p>
    <w:p w:rsidR="00CA263C" w:rsidRPr="005167B1" w:rsidRDefault="00A051FA" w:rsidP="005167B1">
      <w:pPr>
        <w:pStyle w:val="ListParagraph"/>
        <w:numPr>
          <w:ilvl w:val="0"/>
          <w:numId w:val="43"/>
        </w:numPr>
        <w:spacing w:after="80"/>
        <w:ind w:left="357" w:hanging="357"/>
        <w:jc w:val="both"/>
      </w:pPr>
      <w:r w:rsidRPr="00132FCB">
        <w:rPr>
          <w:rFonts w:cs="Lucida Sans Unicode"/>
          <w:szCs w:val="22"/>
        </w:rPr>
        <w:t xml:space="preserve">To provide guidelines, templates and other resources for </w:t>
      </w:r>
      <w:r w:rsidR="002416FE" w:rsidRPr="005167B1">
        <w:rPr>
          <w:rFonts w:cs="Lucida Sans Unicode"/>
          <w:szCs w:val="22"/>
        </w:rPr>
        <w:t>councils</w:t>
      </w:r>
      <w:r w:rsidRPr="005167B1">
        <w:rPr>
          <w:rFonts w:cs="Lucida Sans Unicode"/>
          <w:szCs w:val="22"/>
        </w:rPr>
        <w:t xml:space="preserve">, </w:t>
      </w:r>
      <w:r w:rsidR="002416FE" w:rsidRPr="005167B1">
        <w:rPr>
          <w:rFonts w:cs="Lucida Sans Unicode"/>
          <w:szCs w:val="22"/>
        </w:rPr>
        <w:t xml:space="preserve">council </w:t>
      </w:r>
      <w:r w:rsidRPr="005167B1">
        <w:rPr>
          <w:rFonts w:cs="Lucida Sans Unicode"/>
          <w:szCs w:val="22"/>
        </w:rPr>
        <w:t>staff and contractors to effectively and consistently manage ratepayer financial hardship</w:t>
      </w:r>
      <w:r w:rsidR="005029BB" w:rsidRPr="005167B1">
        <w:rPr>
          <w:rFonts w:cs="Lucida Sans Unicode"/>
          <w:szCs w:val="22"/>
        </w:rPr>
        <w:t>.</w:t>
      </w:r>
    </w:p>
    <w:p w:rsidR="00CA263C" w:rsidRPr="005167B1" w:rsidRDefault="00A051FA" w:rsidP="005167B1">
      <w:pPr>
        <w:pStyle w:val="ListParagraph"/>
        <w:numPr>
          <w:ilvl w:val="0"/>
          <w:numId w:val="43"/>
        </w:numPr>
        <w:spacing w:after="80"/>
        <w:ind w:left="357" w:hanging="357"/>
        <w:jc w:val="both"/>
      </w:pPr>
      <w:r w:rsidRPr="005167B1">
        <w:rPr>
          <w:rFonts w:cs="Lucida Sans Unicode"/>
          <w:szCs w:val="22"/>
        </w:rPr>
        <w:t xml:space="preserve">To ensure a </w:t>
      </w:r>
      <w:r w:rsidR="002416FE" w:rsidRPr="005167B1">
        <w:rPr>
          <w:rFonts w:cs="Lucida Sans Unicode"/>
          <w:szCs w:val="22"/>
        </w:rPr>
        <w:t xml:space="preserve">council’s </w:t>
      </w:r>
      <w:r w:rsidRPr="005167B1">
        <w:rPr>
          <w:rFonts w:cs="Lucida Sans Unicode"/>
          <w:szCs w:val="22"/>
        </w:rPr>
        <w:t>debt collection practices are sensitive and responsive to financial hardship issues.</w:t>
      </w:r>
    </w:p>
    <w:p w:rsidR="00147619" w:rsidRPr="00D576C5" w:rsidRDefault="00147619" w:rsidP="00671F60">
      <w:pPr>
        <w:pStyle w:val="Heading4"/>
      </w:pPr>
      <w:bookmarkStart w:id="354" w:name="_Toc292369523"/>
      <w:bookmarkStart w:id="355" w:name="_Toc355947449"/>
      <w:bookmarkStart w:id="356" w:name="_Toc356202574"/>
      <w:bookmarkStart w:id="357" w:name="_Toc356202943"/>
      <w:bookmarkStart w:id="358" w:name="_Toc403114410"/>
      <w:bookmarkStart w:id="359" w:name="_Toc11845145"/>
      <w:bookmarkStart w:id="360" w:name="RatesAssistanceMeasures"/>
      <w:bookmarkStart w:id="361" w:name="_Toc64258376"/>
      <w:bookmarkStart w:id="362" w:name="_Toc64276836"/>
      <w:bookmarkStart w:id="363" w:name="_Toc260749463"/>
      <w:bookmarkStart w:id="364" w:name="_Toc64258370"/>
      <w:bookmarkStart w:id="365" w:name="_Toc64276830"/>
      <w:bookmarkStart w:id="366" w:name="_Toc260749459"/>
      <w:r w:rsidRPr="00D576C5">
        <w:t xml:space="preserve">Rebates – LGA </w:t>
      </w:r>
      <w:r w:rsidR="002416FE">
        <w:t>s</w:t>
      </w:r>
      <w:r w:rsidR="002416FE" w:rsidRPr="00D576C5">
        <w:t xml:space="preserve">ection </w:t>
      </w:r>
      <w:r w:rsidRPr="00D576C5">
        <w:t>169</w:t>
      </w:r>
      <w:bookmarkEnd w:id="354"/>
      <w:bookmarkEnd w:id="355"/>
      <w:bookmarkEnd w:id="356"/>
      <w:bookmarkEnd w:id="357"/>
      <w:bookmarkEnd w:id="358"/>
      <w:bookmarkEnd w:id="359"/>
    </w:p>
    <w:bookmarkEnd w:id="360"/>
    <w:p w:rsidR="00147619" w:rsidRPr="00D576C5" w:rsidRDefault="00147619">
      <w:pPr>
        <w:pStyle w:val="BodyText"/>
      </w:pPr>
      <w:r w:rsidRPr="00D576C5">
        <w:t xml:space="preserve">A rebate is a mechanism through which a targeted group receives a discount or concession to achieve certain objectives. Essentially rebates are funded through the general rate pool. More specifically, the amount required to fund the rebate is calculated and is incorporated into the total rates and charges requirement. For transparency the amount of any rebate or concession funded by ratepayers </w:t>
      </w:r>
      <w:r w:rsidRPr="00D576C5">
        <w:lastRenderedPageBreak/>
        <w:t>should be declared on an annual basis.</w:t>
      </w:r>
    </w:p>
    <w:p w:rsidR="00140957" w:rsidRDefault="002416FE">
      <w:pPr>
        <w:pStyle w:val="BodyText"/>
      </w:pPr>
      <w:r>
        <w:t>The City</w:t>
      </w:r>
      <w:r w:rsidRPr="00D576C5">
        <w:t xml:space="preserve"> </w:t>
      </w:r>
      <w:r w:rsidR="00147619" w:rsidRPr="00D576C5">
        <w:t xml:space="preserve">may grant rebates or concessions in accordance with the LGA to assist the proper development of the municipal district, to preserve buildings or places </w:t>
      </w:r>
      <w:r w:rsidR="00140957">
        <w:t xml:space="preserve">in the municipal district which are </w:t>
      </w:r>
      <w:r w:rsidR="00147619" w:rsidRPr="00D576C5">
        <w:t>of</w:t>
      </w:r>
      <w:r w:rsidR="00140957">
        <w:t xml:space="preserve"> historical or environmental</w:t>
      </w:r>
      <w:r w:rsidR="00147619" w:rsidRPr="00D576C5">
        <w:t xml:space="preserve"> interest</w:t>
      </w:r>
      <w:r w:rsidR="00140957">
        <w:t xml:space="preserve">, to restore or maintain buildings or places of historical, environmental, architectural or scientific importance </w:t>
      </w:r>
      <w:r w:rsidR="00147619" w:rsidRPr="00D576C5">
        <w:t xml:space="preserve">in </w:t>
      </w:r>
      <w:r w:rsidR="00140957">
        <w:t>the municipal district</w:t>
      </w:r>
      <w:r w:rsidR="00147619" w:rsidRPr="00D576C5">
        <w:t xml:space="preserve">, to assist the proper development </w:t>
      </w:r>
      <w:r w:rsidR="00ED0581">
        <w:t xml:space="preserve">of </w:t>
      </w:r>
      <w:r w:rsidR="00147619" w:rsidRPr="00D576C5">
        <w:t xml:space="preserve">part of the municipal district.  </w:t>
      </w:r>
      <w:r w:rsidR="00140957">
        <w:t xml:space="preserve">A </w:t>
      </w:r>
      <w:r w:rsidR="005D7448">
        <w:t>C</w:t>
      </w:r>
      <w:r>
        <w:t xml:space="preserve">ouncil </w:t>
      </w:r>
      <w:r w:rsidR="00140957">
        <w:t xml:space="preserve">resolution granting a rebate or concession must specify the benefit to the community as a whole resulting from the rebate or concession. If a person granted a rebate or concession has not complied with the terms on which the rebate or concession was granted, </w:t>
      </w:r>
      <w:r>
        <w:t xml:space="preserve">the City </w:t>
      </w:r>
      <w:r w:rsidR="00140957">
        <w:t>will send a notice to the person requiring the payment of the whole or part of the rate by a specified date including interest.</w:t>
      </w:r>
    </w:p>
    <w:p w:rsidR="005F7C5E" w:rsidRDefault="005F7C5E">
      <w:pPr>
        <w:pStyle w:val="BodyText"/>
      </w:pPr>
      <w:r>
        <w:t>Policy Statement: Council considers that it is not appropriate for Council via ratepayer funds to provide for rebates for the proper development in full or part to the municipality.</w:t>
      </w:r>
    </w:p>
    <w:p w:rsidR="00F462EA" w:rsidRDefault="00147619">
      <w:pPr>
        <w:pStyle w:val="BodyText"/>
      </w:pPr>
      <w:r w:rsidRPr="00D576C5">
        <w:t xml:space="preserve">In 2009 the </w:t>
      </w:r>
      <w:r w:rsidR="007874CE">
        <w:t>LGA</w:t>
      </w:r>
      <w:r w:rsidRPr="00D576C5">
        <w:t xml:space="preserve"> was amended to </w:t>
      </w:r>
      <w:r w:rsidRPr="006B0939">
        <w:t xml:space="preserve">allow </w:t>
      </w:r>
      <w:r w:rsidR="007874CE" w:rsidRPr="006B0939">
        <w:t xml:space="preserve">council </w:t>
      </w:r>
      <w:r w:rsidRPr="006B0939">
        <w:t>to provide</w:t>
      </w:r>
      <w:r w:rsidRPr="00D576C5">
        <w:t xml:space="preserve"> rebates to support the provision of affordable housing by a registered agency. It is not proposed to provide any rebate for the provision of affordable housing for </w:t>
      </w:r>
      <w:r w:rsidR="00EC26DE">
        <w:t>2019-20</w:t>
      </w:r>
      <w:r w:rsidRPr="00D576C5">
        <w:t>.</w:t>
      </w:r>
    </w:p>
    <w:p w:rsidR="00147619" w:rsidRPr="001E4182" w:rsidRDefault="00147619" w:rsidP="00671F60">
      <w:pPr>
        <w:pStyle w:val="Heading4"/>
      </w:pPr>
      <w:bookmarkStart w:id="367" w:name="_Toc260749466"/>
      <w:bookmarkStart w:id="368" w:name="_Toc292369529"/>
      <w:bookmarkStart w:id="369" w:name="_Toc355947450"/>
      <w:bookmarkStart w:id="370" w:name="_Toc356202944"/>
      <w:bookmarkStart w:id="371" w:name="_Toc403114411"/>
      <w:bookmarkStart w:id="372" w:name="_Toc11845146"/>
      <w:r w:rsidRPr="001E4182">
        <w:t>Charitable Housing</w:t>
      </w:r>
      <w:bookmarkEnd w:id="367"/>
      <w:bookmarkEnd w:id="368"/>
      <w:bookmarkEnd w:id="369"/>
      <w:bookmarkEnd w:id="370"/>
      <w:bookmarkEnd w:id="371"/>
      <w:bookmarkEnd w:id="372"/>
    </w:p>
    <w:p w:rsidR="00147619" w:rsidRPr="00D576C5" w:rsidRDefault="00147619">
      <w:pPr>
        <w:pStyle w:val="BodyText"/>
      </w:pPr>
      <w:r w:rsidRPr="00D576C5">
        <w:t>There are a number of organisations providing housing for people with low</w:t>
      </w:r>
      <w:r w:rsidRPr="00D576C5">
        <w:noBreakHyphen/>
        <w:t xml:space="preserve">income, on a voluntary and not for profit basis. The provisions of the LGA </w:t>
      </w:r>
      <w:r w:rsidR="002416FE">
        <w:t>s</w:t>
      </w:r>
      <w:r w:rsidR="002416FE" w:rsidRPr="00D576C5">
        <w:t xml:space="preserve">ection </w:t>
      </w:r>
      <w:r w:rsidRPr="00D576C5">
        <w:t xml:space="preserve">154 (4) (b) preclude such residential housing from being non-rateable, even though their use may be regarded as charitable, in the everyday sense of the word. </w:t>
      </w:r>
    </w:p>
    <w:p w:rsidR="00147619" w:rsidRPr="00D576C5" w:rsidRDefault="00147619">
      <w:pPr>
        <w:pStyle w:val="BodyText"/>
      </w:pPr>
      <w:r w:rsidRPr="00D576C5">
        <w:t xml:space="preserve">All housing provided by </w:t>
      </w:r>
      <w:r w:rsidR="002416FE">
        <w:t>r</w:t>
      </w:r>
      <w:r w:rsidR="002416FE" w:rsidRPr="00D576C5">
        <w:t xml:space="preserve">egistered </w:t>
      </w:r>
      <w:r w:rsidR="002416FE">
        <w:t>a</w:t>
      </w:r>
      <w:r w:rsidR="002416FE" w:rsidRPr="00D576C5">
        <w:t>gencies</w:t>
      </w:r>
      <w:r w:rsidRPr="00D576C5">
        <w:t xml:space="preserve">, </w:t>
      </w:r>
      <w:r w:rsidR="002416FE">
        <w:t>h</w:t>
      </w:r>
      <w:r w:rsidR="002416FE" w:rsidRPr="00D576C5">
        <w:t xml:space="preserve">ousing </w:t>
      </w:r>
      <w:r w:rsidR="002416FE">
        <w:t>a</w:t>
      </w:r>
      <w:r w:rsidR="002416FE" w:rsidRPr="00D576C5">
        <w:t>ssociations</w:t>
      </w:r>
      <w:r w:rsidRPr="00D576C5">
        <w:t xml:space="preserve">, charitable or government organisations is rateable in accordance with legal precedent and the </w:t>
      </w:r>
      <w:r w:rsidR="007874CE">
        <w:t>LGA</w:t>
      </w:r>
      <w:r w:rsidRPr="00D576C5">
        <w:t>.</w:t>
      </w:r>
    </w:p>
    <w:p w:rsidR="00F462EA" w:rsidRDefault="00147619">
      <w:pPr>
        <w:pStyle w:val="BodyText"/>
      </w:pPr>
      <w:r w:rsidRPr="00D576C5">
        <w:t xml:space="preserve">During 2009 the </w:t>
      </w:r>
      <w:r w:rsidR="007874CE">
        <w:t>Act</w:t>
      </w:r>
      <w:r w:rsidRPr="00D576C5">
        <w:t xml:space="preserve"> was amended to include section 169 1 (D) which allows that </w:t>
      </w:r>
      <w:r w:rsidR="002416FE">
        <w:t>the City</w:t>
      </w:r>
      <w:r w:rsidR="002416FE" w:rsidRPr="00D576C5">
        <w:t xml:space="preserve"> </w:t>
      </w:r>
      <w:r w:rsidRPr="00D576C5">
        <w:t>may grant a rebate or concession in relation to any rate or charge, to support the provision of affordable housing, to a registered agency.</w:t>
      </w:r>
    </w:p>
    <w:p w:rsidR="00F462EA" w:rsidRDefault="002416FE">
      <w:pPr>
        <w:pStyle w:val="BodyText"/>
      </w:pPr>
      <w:r>
        <w:t>The City</w:t>
      </w:r>
      <w:r w:rsidRPr="00D576C5">
        <w:t xml:space="preserve"> </w:t>
      </w:r>
      <w:r w:rsidR="00147619" w:rsidRPr="00D576C5">
        <w:t>does not provide a rate rebate to support the provision of affordable housing by registered agencies.  Assistance for low income households is already provided through the State Government pension rebate and the means tested rent provided by the Department of Housing and the Housing Associations.</w:t>
      </w:r>
    </w:p>
    <w:p w:rsidR="00F462EA" w:rsidRDefault="00147619">
      <w:pPr>
        <w:pStyle w:val="BodyText"/>
      </w:pPr>
      <w:r w:rsidRPr="00D576C5">
        <w:t xml:space="preserve">There have been some inconsistencies with some charitable housing providers </w:t>
      </w:r>
      <w:r w:rsidRPr="00D576C5">
        <w:lastRenderedPageBreak/>
        <w:t xml:space="preserve">being exempt from rates. This includes some properties owned by registered housing agencies, charitable organisations and some retirement units. </w:t>
      </w:r>
    </w:p>
    <w:p w:rsidR="00F462EA" w:rsidRDefault="00147619">
      <w:pPr>
        <w:pStyle w:val="BodyText"/>
      </w:pPr>
      <w:r>
        <w:t>From</w:t>
      </w:r>
      <w:r w:rsidRPr="00D576C5">
        <w:t xml:space="preserve"> 201</w:t>
      </w:r>
      <w:r>
        <w:t>1</w:t>
      </w:r>
      <w:r w:rsidRPr="00D576C5">
        <w:t>-201</w:t>
      </w:r>
      <w:r>
        <w:t>2</w:t>
      </w:r>
      <w:r w:rsidRPr="00D576C5">
        <w:t xml:space="preserve"> all exclusive residential housing will be rated inline with the </w:t>
      </w:r>
      <w:r w:rsidR="007874CE">
        <w:t>Act</w:t>
      </w:r>
      <w:r w:rsidRPr="00D576C5">
        <w:t xml:space="preserve">. </w:t>
      </w:r>
      <w:r w:rsidR="002416FE">
        <w:t>The City</w:t>
      </w:r>
      <w:r w:rsidR="002416FE" w:rsidRPr="00D576C5">
        <w:t xml:space="preserve"> </w:t>
      </w:r>
      <w:r w:rsidRPr="00D576C5">
        <w:t xml:space="preserve">recognises that this will make some previously non rated properties rateable and has decided to offer a </w:t>
      </w:r>
      <w:r w:rsidR="0096359F">
        <w:t>Housing Support Waiver</w:t>
      </w:r>
      <w:r w:rsidR="00DD72AA">
        <w:t xml:space="preserve"> for eligible properties</w:t>
      </w:r>
      <w:r w:rsidRPr="00D576C5">
        <w:t>.</w:t>
      </w:r>
    </w:p>
    <w:p w:rsidR="000126B8" w:rsidRPr="00D576C5" w:rsidRDefault="000126B8" w:rsidP="00671F60">
      <w:pPr>
        <w:pStyle w:val="Heading4"/>
      </w:pPr>
      <w:bookmarkStart w:id="373" w:name="_Toc292369526"/>
      <w:bookmarkStart w:id="374" w:name="_Toc355947453"/>
      <w:bookmarkStart w:id="375" w:name="_Toc356202946"/>
      <w:bookmarkStart w:id="376" w:name="_Toc403114413"/>
      <w:bookmarkStart w:id="377" w:name="_Toc11845147"/>
      <w:bookmarkStart w:id="378" w:name="_Toc64258377"/>
      <w:bookmarkStart w:id="379" w:name="_Toc64276837"/>
      <w:bookmarkStart w:id="380" w:name="_Toc260749464"/>
      <w:bookmarkEnd w:id="361"/>
      <w:bookmarkEnd w:id="362"/>
      <w:bookmarkEnd w:id="363"/>
      <w:r w:rsidRPr="00D576C5">
        <w:t xml:space="preserve">Farm </w:t>
      </w:r>
      <w:r w:rsidR="004B1CEA" w:rsidRPr="00D576C5">
        <w:t>R</w:t>
      </w:r>
      <w:r w:rsidRPr="00D576C5">
        <w:t>ebate</w:t>
      </w:r>
      <w:bookmarkEnd w:id="373"/>
      <w:bookmarkEnd w:id="374"/>
      <w:bookmarkEnd w:id="375"/>
      <w:bookmarkEnd w:id="376"/>
      <w:bookmarkEnd w:id="377"/>
    </w:p>
    <w:p w:rsidR="000126B8" w:rsidRPr="00D576C5" w:rsidRDefault="000126B8">
      <w:pPr>
        <w:pStyle w:val="BodyText"/>
      </w:pPr>
      <w:r w:rsidRPr="00D576C5">
        <w:t xml:space="preserve">Due to significant variations in valuations within tariff groups and the limitations of the </w:t>
      </w:r>
      <w:r w:rsidR="007028EE">
        <w:t>‘</w:t>
      </w:r>
      <w:r w:rsidRPr="00D576C5">
        <w:t>four times</w:t>
      </w:r>
      <w:r w:rsidR="004324C1" w:rsidRPr="00D576C5">
        <w:t>’</w:t>
      </w:r>
      <w:r w:rsidRPr="00D576C5">
        <w:t xml:space="preserve"> rule, </w:t>
      </w:r>
      <w:r w:rsidR="002416FE">
        <w:t>the City</w:t>
      </w:r>
      <w:r w:rsidR="002416FE" w:rsidRPr="00D576C5">
        <w:t xml:space="preserve"> </w:t>
      </w:r>
      <w:r w:rsidR="00CB3D9D">
        <w:t>p</w:t>
      </w:r>
      <w:r w:rsidRPr="00D576C5">
        <w:t>rovid</w:t>
      </w:r>
      <w:r w:rsidR="00CB3D9D">
        <w:t>es</w:t>
      </w:r>
      <w:r w:rsidRPr="00D576C5">
        <w:t xml:space="preserve"> a rebate for farm properties in </w:t>
      </w:r>
      <w:r w:rsidR="00CB3D9D">
        <w:t>conjuction with a lower rate in the dollar compared to the residential rate in the dollar in</w:t>
      </w:r>
      <w:r w:rsidRPr="00D576C5">
        <w:t>accordance with Rating Policy.</w:t>
      </w:r>
    </w:p>
    <w:p w:rsidR="00AB55DD" w:rsidRDefault="000126B8">
      <w:pPr>
        <w:pStyle w:val="Heading4"/>
      </w:pPr>
      <w:bookmarkStart w:id="381" w:name="_Toc11845148"/>
      <w:r w:rsidRPr="00D576C5">
        <w:t xml:space="preserve">Farm </w:t>
      </w:r>
      <w:r w:rsidR="007F1563">
        <w:t>R</w:t>
      </w:r>
      <w:r w:rsidR="007F1563" w:rsidRPr="00D576C5">
        <w:t>ates</w:t>
      </w:r>
      <w:bookmarkEnd w:id="381"/>
    </w:p>
    <w:p w:rsidR="000126B8" w:rsidRPr="00D576C5" w:rsidRDefault="002416FE">
      <w:pPr>
        <w:pStyle w:val="BodyText"/>
      </w:pPr>
      <w:r>
        <w:t>The City</w:t>
      </w:r>
      <w:r w:rsidRPr="00D576C5">
        <w:t xml:space="preserve"> </w:t>
      </w:r>
      <w:r w:rsidR="000126B8" w:rsidRPr="00D576C5">
        <w:t xml:space="preserve">has determined that for </w:t>
      </w:r>
      <w:r w:rsidR="00EC26DE">
        <w:t>2019-20</w:t>
      </w:r>
      <w:r w:rsidR="00D60342" w:rsidRPr="00D576C5">
        <w:t xml:space="preserve"> </w:t>
      </w:r>
      <w:r w:rsidR="000126B8" w:rsidRPr="00D576C5">
        <w:t>p</w:t>
      </w:r>
      <w:r w:rsidR="00F814B8">
        <w:t>roperties defined as farms (</w:t>
      </w:r>
      <w:r w:rsidR="00F661B9">
        <w:t xml:space="preserve">991 </w:t>
      </w:r>
      <w:r w:rsidR="000126B8" w:rsidRPr="00D576C5">
        <w:t>assessments) will be entitled to a rebate reflecting the view that there is benefit to the community in encouraging the retention of large lot primary producing holdings.</w:t>
      </w:r>
    </w:p>
    <w:p w:rsidR="000126B8" w:rsidRPr="00D576C5" w:rsidRDefault="000126B8">
      <w:pPr>
        <w:pStyle w:val="BodyText"/>
      </w:pPr>
      <w:r w:rsidRPr="00D576C5">
        <w:t>Traditionally a discounted rate (lower differential) for the farm sector has been justified due to factors, which include:</w:t>
      </w:r>
    </w:p>
    <w:p w:rsidR="00A23966" w:rsidRPr="005A2AD5" w:rsidRDefault="000126B8" w:rsidP="005167B1">
      <w:pPr>
        <w:pStyle w:val="ListParagraph"/>
        <w:numPr>
          <w:ilvl w:val="0"/>
          <w:numId w:val="43"/>
        </w:numPr>
        <w:spacing w:after="80"/>
        <w:ind w:left="357" w:hanging="357"/>
        <w:jc w:val="both"/>
      </w:pPr>
      <w:r w:rsidRPr="00C05662">
        <w:rPr>
          <w:rFonts w:cs="Lucida Sans Unicode"/>
          <w:szCs w:val="22"/>
        </w:rPr>
        <w:t>Perception of inequality between rates paid and services received;</w:t>
      </w:r>
    </w:p>
    <w:p w:rsidR="00A23966" w:rsidRPr="005167B1" w:rsidRDefault="000126B8" w:rsidP="005167B1">
      <w:pPr>
        <w:pStyle w:val="ListParagraph"/>
        <w:numPr>
          <w:ilvl w:val="0"/>
          <w:numId w:val="43"/>
        </w:numPr>
        <w:spacing w:after="80"/>
        <w:ind w:left="357" w:hanging="357"/>
        <w:jc w:val="both"/>
      </w:pPr>
      <w:r w:rsidRPr="00583AE6">
        <w:rPr>
          <w:rFonts w:cs="Lucida Sans Unicode"/>
          <w:szCs w:val="22"/>
        </w:rPr>
        <w:t xml:space="preserve">Geographic impediments in terms of access to </w:t>
      </w:r>
      <w:r w:rsidR="002416FE" w:rsidRPr="005167B1">
        <w:rPr>
          <w:rFonts w:cs="Lucida Sans Unicode"/>
          <w:szCs w:val="22"/>
        </w:rPr>
        <w:t xml:space="preserve">council </w:t>
      </w:r>
      <w:r w:rsidRPr="005167B1">
        <w:rPr>
          <w:rFonts w:cs="Lucida Sans Unicode"/>
          <w:szCs w:val="22"/>
        </w:rPr>
        <w:t>services, which are primarily located in urban areas;</w:t>
      </w:r>
    </w:p>
    <w:p w:rsidR="00A23966" w:rsidRPr="005167B1" w:rsidRDefault="000126B8" w:rsidP="005167B1">
      <w:pPr>
        <w:pStyle w:val="ListParagraph"/>
        <w:numPr>
          <w:ilvl w:val="0"/>
          <w:numId w:val="43"/>
        </w:numPr>
        <w:spacing w:after="80"/>
        <w:ind w:left="357" w:hanging="357"/>
        <w:jc w:val="both"/>
      </w:pPr>
      <w:r w:rsidRPr="005167B1">
        <w:rPr>
          <w:rFonts w:cs="Lucida Sans Unicode"/>
          <w:szCs w:val="22"/>
        </w:rPr>
        <w:t xml:space="preserve">Perception that “farmers” use less </w:t>
      </w:r>
      <w:r w:rsidR="002416FE" w:rsidRPr="005167B1">
        <w:rPr>
          <w:rFonts w:cs="Lucida Sans Unicode"/>
          <w:szCs w:val="22"/>
        </w:rPr>
        <w:t xml:space="preserve">council </w:t>
      </w:r>
      <w:r w:rsidRPr="005167B1">
        <w:rPr>
          <w:rFonts w:cs="Lucida Sans Unicode"/>
          <w:szCs w:val="22"/>
        </w:rPr>
        <w:t>services due to “cultural” differences;</w:t>
      </w:r>
    </w:p>
    <w:p w:rsidR="00A23966" w:rsidRPr="005167B1" w:rsidRDefault="000126B8" w:rsidP="005167B1">
      <w:pPr>
        <w:pStyle w:val="ListParagraph"/>
        <w:numPr>
          <w:ilvl w:val="0"/>
          <w:numId w:val="43"/>
        </w:numPr>
        <w:spacing w:after="80"/>
        <w:ind w:left="357" w:hanging="357"/>
        <w:jc w:val="both"/>
      </w:pPr>
      <w:r w:rsidRPr="005167B1">
        <w:rPr>
          <w:rFonts w:cs="Lucida Sans Unicode"/>
          <w:szCs w:val="22"/>
        </w:rPr>
        <w:t>The relatively low return on asset of the farm sector;</w:t>
      </w:r>
    </w:p>
    <w:p w:rsidR="00A23966" w:rsidRPr="005167B1" w:rsidRDefault="000126B8" w:rsidP="005167B1">
      <w:pPr>
        <w:pStyle w:val="ListParagraph"/>
        <w:numPr>
          <w:ilvl w:val="0"/>
          <w:numId w:val="43"/>
        </w:numPr>
        <w:spacing w:after="80"/>
        <w:ind w:left="357" w:hanging="357"/>
        <w:jc w:val="both"/>
      </w:pPr>
      <w:r w:rsidRPr="005167B1">
        <w:rPr>
          <w:rFonts w:cs="Lucida Sans Unicode"/>
          <w:szCs w:val="22"/>
        </w:rPr>
        <w:t>The need to protect the commercial viability of the farm sector;</w:t>
      </w:r>
    </w:p>
    <w:p w:rsidR="00F462EA" w:rsidRDefault="000126B8">
      <w:pPr>
        <w:pStyle w:val="BodyText"/>
      </w:pPr>
      <w:r w:rsidRPr="00D576C5">
        <w:t xml:space="preserve">However, given significant variations to valuations across tariff groups and the limitations of the </w:t>
      </w:r>
      <w:r w:rsidR="004324C1" w:rsidRPr="00D576C5">
        <w:t>‘</w:t>
      </w:r>
      <w:r w:rsidRPr="00D576C5">
        <w:t>four times</w:t>
      </w:r>
      <w:r w:rsidR="004324C1" w:rsidRPr="00D576C5">
        <w:t>’</w:t>
      </w:r>
      <w:r w:rsidRPr="00D576C5">
        <w:t xml:space="preserve"> rule LGA </w:t>
      </w:r>
      <w:r w:rsidR="002416FE">
        <w:t>s</w:t>
      </w:r>
      <w:r w:rsidR="002416FE" w:rsidRPr="00D576C5">
        <w:t xml:space="preserve">ection </w:t>
      </w:r>
      <w:r w:rsidRPr="00D576C5">
        <w:t xml:space="preserve">169 (5), </w:t>
      </w:r>
      <w:r w:rsidR="005D7448">
        <w:t>C</w:t>
      </w:r>
      <w:r w:rsidR="002416FE">
        <w:t>ouncil</w:t>
      </w:r>
      <w:r w:rsidR="002416FE" w:rsidRPr="00D576C5">
        <w:t xml:space="preserve"> </w:t>
      </w:r>
      <w:r w:rsidRPr="00D576C5">
        <w:t xml:space="preserve">has resolved to retain and set the farm differential at </w:t>
      </w:r>
      <w:r w:rsidR="00436D23">
        <w:t xml:space="preserve">a lower rate than </w:t>
      </w:r>
      <w:r w:rsidRPr="00D576C5">
        <w:t>the residential rate and provide a rebate to all farm properties in accordance with Policy of having the farm sector as the lowest rated tariff group.</w:t>
      </w:r>
    </w:p>
    <w:p w:rsidR="00F462EA" w:rsidRDefault="000126B8">
      <w:pPr>
        <w:pStyle w:val="BodyText"/>
      </w:pPr>
      <w:r w:rsidRPr="00D576C5">
        <w:t xml:space="preserve">To qualify for the farm rebate properties will be defined as farm land. The rebate will </w:t>
      </w:r>
      <w:r w:rsidR="002D33F1">
        <w:t>be set</w:t>
      </w:r>
      <w:r w:rsidR="00D60342">
        <w:t xml:space="preserve"> at</w:t>
      </w:r>
      <w:r w:rsidR="006F170A">
        <w:t xml:space="preserve"> </w:t>
      </w:r>
      <w:r w:rsidR="002D33F1">
        <w:t>3</w:t>
      </w:r>
      <w:r w:rsidR="00436D23">
        <w:t>3</w:t>
      </w:r>
      <w:r w:rsidR="002D33F1">
        <w:t>.3</w:t>
      </w:r>
      <w:r w:rsidRPr="00D576C5">
        <w:t>% (46.5% for 2010</w:t>
      </w:r>
      <w:r w:rsidR="008D092C" w:rsidRPr="00D576C5">
        <w:t>-</w:t>
      </w:r>
      <w:r w:rsidR="00D60342">
        <w:t>11</w:t>
      </w:r>
      <w:r w:rsidR="00D60342" w:rsidRPr="00D576C5">
        <w:t xml:space="preserve"> </w:t>
      </w:r>
      <w:r w:rsidR="00D36A0F" w:rsidRPr="00D576C5">
        <w:t>and 2011-</w:t>
      </w:r>
      <w:r w:rsidR="00D60342">
        <w:t>12</w:t>
      </w:r>
      <w:r w:rsidR="00F814B8">
        <w:t>, 36.2% for 2012-</w:t>
      </w:r>
      <w:r w:rsidR="00D60342">
        <w:t xml:space="preserve">13 </w:t>
      </w:r>
      <w:r w:rsidR="00A051FA">
        <w:t>and 2013-</w:t>
      </w:r>
      <w:r w:rsidR="00D60342">
        <w:t>14</w:t>
      </w:r>
      <w:r w:rsidR="00DD72AA">
        <w:t>, 34% for 2014-</w:t>
      </w:r>
      <w:r w:rsidR="00D60342">
        <w:t xml:space="preserve">15 </w:t>
      </w:r>
      <w:r w:rsidR="006F170A">
        <w:t>and 2015-</w:t>
      </w:r>
      <w:r w:rsidR="00D60342">
        <w:t>16, 40% 2016-17</w:t>
      </w:r>
      <w:r w:rsidR="002D33F1">
        <w:t xml:space="preserve"> and 2017-18</w:t>
      </w:r>
      <w:r w:rsidR="00436D23">
        <w:t>, 37.3% 2018-19</w:t>
      </w:r>
      <w:r w:rsidRPr="00D576C5">
        <w:t xml:space="preserve">) of the amount payable of the capital improved value of the property. </w:t>
      </w:r>
    </w:p>
    <w:p w:rsidR="00F462EA" w:rsidRDefault="000126B8">
      <w:pPr>
        <w:pStyle w:val="BodyText"/>
      </w:pPr>
      <w:r w:rsidRPr="00D576C5">
        <w:t xml:space="preserve">The cost to </w:t>
      </w:r>
      <w:r w:rsidR="002416FE">
        <w:t>the City</w:t>
      </w:r>
      <w:r w:rsidR="002416FE" w:rsidRPr="00D576C5">
        <w:t xml:space="preserve"> </w:t>
      </w:r>
      <w:r w:rsidRPr="00D576C5">
        <w:t xml:space="preserve">of the </w:t>
      </w:r>
      <w:r w:rsidR="002416FE">
        <w:t>r</w:t>
      </w:r>
      <w:r w:rsidR="002416FE" w:rsidRPr="00D576C5">
        <w:t xml:space="preserve">ebate </w:t>
      </w:r>
      <w:r w:rsidRPr="00D576C5">
        <w:t>approximates $</w:t>
      </w:r>
      <w:r w:rsidR="00436D23">
        <w:t>1.</w:t>
      </w:r>
      <w:r w:rsidR="002416FE">
        <w:t>232m</w:t>
      </w:r>
      <w:r w:rsidR="002416FE" w:rsidRPr="00D576C5">
        <w:t xml:space="preserve"> </w:t>
      </w:r>
      <w:r w:rsidRPr="00D576C5">
        <w:t xml:space="preserve">and is offset by </w:t>
      </w:r>
      <w:r w:rsidRPr="00D576C5">
        <w:lastRenderedPageBreak/>
        <w:t xml:space="preserve">increased rates to all other rate differentials. </w:t>
      </w:r>
    </w:p>
    <w:p w:rsidR="000126B8" w:rsidRPr="00D576C5" w:rsidRDefault="000126B8" w:rsidP="00D43F06">
      <w:pPr>
        <w:pStyle w:val="Heading5"/>
      </w:pPr>
      <w:r w:rsidRPr="00D576C5">
        <w:t>Criteria for eligibility:</w:t>
      </w:r>
    </w:p>
    <w:p w:rsidR="000126B8" w:rsidRPr="00D576C5" w:rsidRDefault="000126B8">
      <w:pPr>
        <w:pStyle w:val="BodyText"/>
      </w:pPr>
      <w:r w:rsidRPr="001C2457">
        <w:rPr>
          <w:b/>
        </w:rPr>
        <w:t>Farm Land</w:t>
      </w:r>
      <w:r w:rsidRPr="00D576C5">
        <w:t xml:space="preserve"> – means any land which is not less than 2 hectares in area and</w:t>
      </w:r>
    </w:p>
    <w:p w:rsidR="00F462EA" w:rsidRDefault="000126B8" w:rsidP="001C2457">
      <w:pPr>
        <w:pStyle w:val="ListParagraph"/>
        <w:numPr>
          <w:ilvl w:val="0"/>
          <w:numId w:val="96"/>
        </w:numPr>
        <w:ind w:left="360"/>
        <w:jc w:val="both"/>
      </w:pPr>
      <w:r w:rsidRPr="00C97377">
        <w:t>is used predominantly for a business of grazing (including agistment), dairying, pig-farming, poultry farming, fish farming, tree farming, bee-keeping, viticulture, horticulture, fruit growing or the growing of crops of any kind or for any combination of those activities or;</w:t>
      </w:r>
    </w:p>
    <w:p w:rsidR="00F462EA" w:rsidRDefault="000126B8" w:rsidP="001C2457">
      <w:pPr>
        <w:pStyle w:val="ListParagraph"/>
        <w:numPr>
          <w:ilvl w:val="0"/>
          <w:numId w:val="96"/>
        </w:numPr>
        <w:ind w:left="360"/>
        <w:jc w:val="both"/>
      </w:pPr>
      <w:r w:rsidRPr="00C97377">
        <w:t>satisfies the criteria for municipal purpose benefit for large holdings</w:t>
      </w:r>
      <w:r w:rsidR="00B410F5" w:rsidRPr="00C97377">
        <w:t>; such as land predominantly used and maintained for heritage, cultural or environmental purpose such as land held as natural bushland under a trust for nature covenant, or other type of formal undertaking will be classed as farm land.</w:t>
      </w:r>
    </w:p>
    <w:p w:rsidR="00F462EA" w:rsidRDefault="00B410F5">
      <w:pPr>
        <w:pStyle w:val="BodyText"/>
      </w:pPr>
      <w:r w:rsidRPr="00C05E68">
        <w:t xml:space="preserve">A business is defined </w:t>
      </w:r>
      <w:r w:rsidR="007874CE">
        <w:t xml:space="preserve">in the </w:t>
      </w:r>
      <w:r w:rsidRPr="005167B1">
        <w:rPr>
          <w:i/>
        </w:rPr>
        <w:t>Valuation of Land Act</w:t>
      </w:r>
      <w:r w:rsidRPr="00C05E68">
        <w:t xml:space="preserve">  as:</w:t>
      </w:r>
    </w:p>
    <w:p w:rsidR="00F462EA" w:rsidRDefault="00B410F5" w:rsidP="001C2457">
      <w:pPr>
        <w:pStyle w:val="ListParagraph"/>
        <w:numPr>
          <w:ilvl w:val="0"/>
          <w:numId w:val="97"/>
        </w:numPr>
        <w:ind w:left="360"/>
        <w:jc w:val="both"/>
      </w:pPr>
      <w:r w:rsidRPr="00C97377">
        <w:t>having a significant and substantial commercial purpose or characters; and</w:t>
      </w:r>
    </w:p>
    <w:p w:rsidR="00F462EA" w:rsidRDefault="00B410F5" w:rsidP="001C2457">
      <w:pPr>
        <w:pStyle w:val="ListParagraph"/>
        <w:numPr>
          <w:ilvl w:val="0"/>
          <w:numId w:val="97"/>
        </w:numPr>
        <w:ind w:left="360"/>
        <w:jc w:val="both"/>
      </w:pPr>
      <w:r w:rsidRPr="00C97377">
        <w:t>Seeks to make a profit on a continuous or repetitive basis fr</w:t>
      </w:r>
      <w:r w:rsidR="00D53AE2">
        <w:t>o</w:t>
      </w:r>
      <w:r w:rsidRPr="00C97377">
        <w:t>m its activities on the land; and</w:t>
      </w:r>
    </w:p>
    <w:p w:rsidR="00F462EA" w:rsidRDefault="00B410F5" w:rsidP="001C2457">
      <w:pPr>
        <w:pStyle w:val="ListParagraph"/>
        <w:numPr>
          <w:ilvl w:val="0"/>
          <w:numId w:val="97"/>
        </w:numPr>
        <w:ind w:left="360"/>
        <w:jc w:val="both"/>
      </w:pPr>
      <w:r w:rsidRPr="00C97377">
        <w:t>Is making a profit from its activities on the land, or that has a reasonable prospect of making a profit from its activities on the land if it continues to operate in the way that it is operating.</w:t>
      </w:r>
    </w:p>
    <w:p w:rsidR="00F462EA" w:rsidRDefault="000126B8">
      <w:pPr>
        <w:pStyle w:val="BodyText"/>
      </w:pPr>
      <w:r w:rsidRPr="00D576C5">
        <w:t xml:space="preserve">Reason for Policy: The Farm rebate replaces the previous farm rate with all such properties to be rated at the residential rate or redefined according to land use. The rebate recognises the nature of the farm with a LGA </w:t>
      </w:r>
      <w:r w:rsidR="002416FE">
        <w:t>s</w:t>
      </w:r>
      <w:r w:rsidR="002416FE" w:rsidRPr="00D576C5">
        <w:t xml:space="preserve">ection </w:t>
      </w:r>
      <w:r w:rsidRPr="00D576C5">
        <w:t xml:space="preserve">169 rebate. This rebate policy compliments the vacant land policy whereby a higher rate exists to promote infill and development of subdivisional land on a timely basis. </w:t>
      </w:r>
    </w:p>
    <w:p w:rsidR="00AD1438" w:rsidRDefault="00AD1438" w:rsidP="00AD1438">
      <w:pPr>
        <w:pStyle w:val="Heading4"/>
      </w:pPr>
      <w:bookmarkStart w:id="382" w:name="_Toc11845149"/>
      <w:r>
        <w:t>Cultural and Recreational</w:t>
      </w:r>
      <w:r w:rsidRPr="00D576C5">
        <w:t xml:space="preserve"> </w:t>
      </w:r>
      <w:r w:rsidR="000A73E3">
        <w:t xml:space="preserve">Transitional </w:t>
      </w:r>
      <w:r w:rsidRPr="00D576C5">
        <w:t>Rebate</w:t>
      </w:r>
      <w:bookmarkEnd w:id="382"/>
    </w:p>
    <w:p w:rsidR="00AB55DD" w:rsidRDefault="00B036A7">
      <w:pPr>
        <w:pStyle w:val="BodyText"/>
      </w:pPr>
      <w:r>
        <w:t>Council</w:t>
      </w:r>
      <w:r w:rsidR="002416FE">
        <w:t xml:space="preserve"> </w:t>
      </w:r>
      <w:r w:rsidR="00AD1438">
        <w:t xml:space="preserve">has declared a transitional rebate for </w:t>
      </w:r>
      <w:r w:rsidR="00436D23">
        <w:t>25</w:t>
      </w:r>
      <w:r w:rsidR="00AD1438">
        <w:t xml:space="preserve">% of the difference between the Cultural and Recreational differential of the otherwise applicable differential. Properties that were eligible for the </w:t>
      </w:r>
      <w:r w:rsidR="007874CE">
        <w:t xml:space="preserve">cultural </w:t>
      </w:r>
      <w:r w:rsidR="00AD1438">
        <w:t xml:space="preserve">and </w:t>
      </w:r>
      <w:r w:rsidR="007874CE">
        <w:t xml:space="preserve">recreational </w:t>
      </w:r>
      <w:r w:rsidR="00AD1438">
        <w:t>differential in 2016-17 that are no longer eligible in 2017-18 will be encouraged to apply for this rebate.</w:t>
      </w:r>
    </w:p>
    <w:p w:rsidR="00381E11" w:rsidRPr="00D576C5" w:rsidRDefault="00381E11" w:rsidP="00671F60">
      <w:pPr>
        <w:pStyle w:val="Heading4"/>
      </w:pPr>
      <w:bookmarkStart w:id="383" w:name="_Toc292369525"/>
      <w:bookmarkStart w:id="384" w:name="_Toc355947452"/>
      <w:bookmarkStart w:id="385" w:name="_Toc356202947"/>
      <w:bookmarkStart w:id="386" w:name="_Toc403114414"/>
      <w:bookmarkStart w:id="387" w:name="_Toc11845150"/>
      <w:r w:rsidRPr="00D576C5">
        <w:t>Pensioner Rebates</w:t>
      </w:r>
      <w:bookmarkEnd w:id="383"/>
      <w:bookmarkEnd w:id="384"/>
      <w:bookmarkEnd w:id="385"/>
      <w:bookmarkEnd w:id="386"/>
      <w:bookmarkEnd w:id="387"/>
    </w:p>
    <w:p w:rsidR="00381E11" w:rsidRPr="00D576C5" w:rsidRDefault="00381E11">
      <w:pPr>
        <w:pStyle w:val="BodyText"/>
      </w:pPr>
      <w:r w:rsidRPr="00D576C5">
        <w:t xml:space="preserve">Holders of a Centrelink or Veterans Affairs </w:t>
      </w:r>
      <w:r w:rsidR="002416FE">
        <w:t>p</w:t>
      </w:r>
      <w:r w:rsidR="002416FE" w:rsidRPr="00D576C5">
        <w:t xml:space="preserve">ension </w:t>
      </w:r>
      <w:r w:rsidR="002416FE">
        <w:t>c</w:t>
      </w:r>
      <w:r w:rsidR="002416FE" w:rsidRPr="00D576C5">
        <w:t xml:space="preserve">oncession </w:t>
      </w:r>
      <w:r w:rsidRPr="00D576C5">
        <w:t xml:space="preserve">card, or a Veteran Affairs Gold card which stipulates TPI or War Widow (excludes Health Care and </w:t>
      </w:r>
      <w:smartTag w:uri="urn:schemas-microsoft-com:office:smarttags" w:element="stockticker">
        <w:r w:rsidRPr="00D576C5">
          <w:t>DVA</w:t>
        </w:r>
      </w:smartTag>
      <w:r w:rsidRPr="00D576C5">
        <w:t xml:space="preserve"> all conditions, POW, EDA and dependant cards) may claim a rebate on their </w:t>
      </w:r>
      <w:r w:rsidRPr="00D576C5">
        <w:lastRenderedPageBreak/>
        <w:t>sole or princip</w:t>
      </w:r>
      <w:r w:rsidR="005029BB">
        <w:t>a</w:t>
      </w:r>
      <w:r w:rsidRPr="00D576C5">
        <w:t xml:space="preserve">l place of residence. </w:t>
      </w:r>
    </w:p>
    <w:p w:rsidR="00381E11" w:rsidRPr="00D576C5" w:rsidRDefault="00381E11">
      <w:pPr>
        <w:pStyle w:val="BodyText"/>
      </w:pPr>
      <w:r w:rsidRPr="00D576C5">
        <w:t xml:space="preserve">For </w:t>
      </w:r>
      <w:r w:rsidR="00EF69CC">
        <w:t>2019-20</w:t>
      </w:r>
      <w:r w:rsidR="003E636B" w:rsidRPr="00D576C5">
        <w:t xml:space="preserve"> </w:t>
      </w:r>
      <w:r w:rsidRPr="00D576C5">
        <w:t xml:space="preserve">the government-funded indexed rebate is provided under the Municipal Rates Concession </w:t>
      </w:r>
      <w:r w:rsidR="002416FE">
        <w:t>s</w:t>
      </w:r>
      <w:r w:rsidR="002416FE" w:rsidRPr="00D576C5">
        <w:t>cheme</w:t>
      </w:r>
      <w:r w:rsidRPr="00C63BDC">
        <w:t>. It will increase from $</w:t>
      </w:r>
      <w:r w:rsidR="00436D23">
        <w:t>229.40</w:t>
      </w:r>
      <w:r>
        <w:t xml:space="preserve"> to</w:t>
      </w:r>
      <w:r w:rsidR="002D33F1">
        <w:t xml:space="preserve"> </w:t>
      </w:r>
      <w:r w:rsidR="00436D23">
        <w:t xml:space="preserve"> 235.</w:t>
      </w:r>
      <w:r w:rsidR="00EF69CC">
        <w:t xml:space="preserve">15 </w:t>
      </w:r>
      <w:r w:rsidRPr="00C63BDC">
        <w:t>or 50% of the rate payment, whichever is the less. Upon initial application</w:t>
      </w:r>
      <w:r w:rsidRPr="00D576C5">
        <w:t xml:space="preserve">, an ongoing eligibility is maintained unless rejected by Centrelink or Department of Veteran Affairs during verification procedures. Upon acceptance of pensioner status the concession or rebate is deducted from the rate account before payment by the ratepayer. </w:t>
      </w:r>
    </w:p>
    <w:p w:rsidR="00381E11" w:rsidRPr="00D576C5" w:rsidRDefault="00381E11">
      <w:pPr>
        <w:pStyle w:val="BodyText"/>
      </w:pPr>
      <w:r w:rsidRPr="00D576C5">
        <w:t xml:space="preserve">Applications for the concession must be lodged by 30 June in each year.  </w:t>
      </w:r>
    </w:p>
    <w:p w:rsidR="00F462EA" w:rsidRDefault="00381E11">
      <w:pPr>
        <w:pStyle w:val="BodyText"/>
      </w:pPr>
      <w:r w:rsidRPr="00D576C5">
        <w:t xml:space="preserve">In 2010 the MAV undertook a statistical analysis of figures across Victoria that showed on average 2.25% of household expenditure was spent on </w:t>
      </w:r>
      <w:r w:rsidR="002416FE">
        <w:t>c</w:t>
      </w:r>
      <w:r w:rsidR="002416FE" w:rsidRPr="00D576C5">
        <w:t xml:space="preserve">ouncil </w:t>
      </w:r>
      <w:r w:rsidRPr="00D576C5">
        <w:t xml:space="preserve">rates. The study indicated that households occupied by </w:t>
      </w:r>
      <w:r w:rsidRPr="007874CE">
        <w:t>old-age pensioners</w:t>
      </w:r>
      <w:r w:rsidRPr="00D576C5">
        <w:t xml:space="preserve"> are likely to have a higher rate burden. The study recommended that the MAV should call for an increase in the State Government pension rate rebate.</w:t>
      </w:r>
    </w:p>
    <w:p w:rsidR="00F462EA" w:rsidRDefault="00381E11">
      <w:pPr>
        <w:pStyle w:val="BodyText"/>
      </w:pPr>
      <w:r w:rsidRPr="00D576C5">
        <w:t xml:space="preserve">Policy Statement: Council considers that it is not appropriate for </w:t>
      </w:r>
      <w:r w:rsidR="002416FE">
        <w:t>c</w:t>
      </w:r>
      <w:r w:rsidR="002416FE" w:rsidRPr="00D576C5">
        <w:t xml:space="preserve">ouncil </w:t>
      </w:r>
      <w:r w:rsidRPr="00D576C5">
        <w:t>via ratepayer funds to make an additional rebate or offset to all pensioners.</w:t>
      </w:r>
    </w:p>
    <w:p w:rsidR="00F462EA" w:rsidRDefault="00381E11">
      <w:pPr>
        <w:pStyle w:val="BodyText"/>
      </w:pPr>
      <w:r w:rsidRPr="00D576C5">
        <w:t xml:space="preserve">Reason for Policy: Councils view is that pensioners receive a variety of utility and other concessions funded from general government taxation, which is appropriate. The State </w:t>
      </w:r>
      <w:r w:rsidR="007874CE">
        <w:t>g</w:t>
      </w:r>
      <w:r w:rsidR="007874CE" w:rsidRPr="00D576C5">
        <w:t xml:space="preserve">overnment </w:t>
      </w:r>
      <w:r w:rsidRPr="00D576C5">
        <w:t xml:space="preserve">has historically accepted the need to redistribute income taxes in support of utility concessions and rebates to low income households. Council supports this view, along with annual indexation of the municipal rate concession amount. </w:t>
      </w:r>
    </w:p>
    <w:p w:rsidR="00F462EA" w:rsidRDefault="00381E11">
      <w:pPr>
        <w:pStyle w:val="BodyText"/>
      </w:pPr>
      <w:r w:rsidRPr="00D576C5">
        <w:t xml:space="preserve">For </w:t>
      </w:r>
      <w:r w:rsidR="002416FE">
        <w:t>the City</w:t>
      </w:r>
      <w:r w:rsidR="002416FE" w:rsidRPr="00D576C5">
        <w:t xml:space="preserve"> </w:t>
      </w:r>
      <w:r w:rsidRPr="00D576C5">
        <w:t>to make further concessions would mean a redistribution of the rate burden with other ratepayers bearing the cost by way of higher rates and charges and having regard to these factors would unfairly penalise those ratepayers.</w:t>
      </w:r>
    </w:p>
    <w:p w:rsidR="007F2198" w:rsidRPr="00D576C5" w:rsidRDefault="007F2198" w:rsidP="00671F60">
      <w:pPr>
        <w:pStyle w:val="Heading4"/>
      </w:pPr>
      <w:bookmarkStart w:id="388" w:name="_Toc355947456"/>
      <w:bookmarkStart w:id="389" w:name="_Toc356202575"/>
      <w:bookmarkStart w:id="390" w:name="_Toc356202948"/>
      <w:bookmarkStart w:id="391" w:name="_Toc403114415"/>
      <w:bookmarkStart w:id="392" w:name="_Toc11845151"/>
      <w:r>
        <w:t>Waivers</w:t>
      </w:r>
      <w:r w:rsidRPr="00D576C5">
        <w:t xml:space="preserve"> – LGA </w:t>
      </w:r>
      <w:r w:rsidR="002416FE">
        <w:t>s</w:t>
      </w:r>
      <w:r w:rsidR="002416FE" w:rsidRPr="00D576C5">
        <w:t xml:space="preserve">ection </w:t>
      </w:r>
      <w:r w:rsidRPr="00D576C5">
        <w:t>1</w:t>
      </w:r>
      <w:r>
        <w:t>71</w:t>
      </w:r>
      <w:bookmarkEnd w:id="388"/>
      <w:bookmarkEnd w:id="389"/>
      <w:bookmarkEnd w:id="390"/>
      <w:bookmarkEnd w:id="391"/>
      <w:bookmarkEnd w:id="392"/>
    </w:p>
    <w:p w:rsidR="00DE7FCB" w:rsidRPr="00D576C5" w:rsidRDefault="0096359F" w:rsidP="00671F60">
      <w:pPr>
        <w:pStyle w:val="Heading4"/>
      </w:pPr>
      <w:bookmarkStart w:id="393" w:name="_Toc403114416"/>
      <w:bookmarkStart w:id="394" w:name="_Toc11845152"/>
      <w:r>
        <w:t>Housing Support Waiver</w:t>
      </w:r>
      <w:bookmarkEnd w:id="393"/>
      <w:bookmarkEnd w:id="394"/>
    </w:p>
    <w:p w:rsidR="00DE7FCB" w:rsidRDefault="00E73107">
      <w:pPr>
        <w:pStyle w:val="BodyText"/>
      </w:pPr>
      <w:r>
        <w:t>From 2013-14</w:t>
      </w:r>
      <w:r w:rsidR="00DE7FCB">
        <w:t>,</w:t>
      </w:r>
      <w:r w:rsidR="00DE7FCB" w:rsidRPr="00D576C5">
        <w:t xml:space="preserve"> </w:t>
      </w:r>
      <w:r w:rsidR="00B036A7">
        <w:t>Council</w:t>
      </w:r>
      <w:r w:rsidR="002416FE" w:rsidRPr="00D576C5">
        <w:t xml:space="preserve"> </w:t>
      </w:r>
      <w:r w:rsidR="00DE7FCB" w:rsidRPr="00D576C5">
        <w:t>declare</w:t>
      </w:r>
      <w:r w:rsidR="00DE7FCB">
        <w:t>d</w:t>
      </w:r>
      <w:r w:rsidR="00DE7FCB" w:rsidRPr="00D576C5">
        <w:t xml:space="preserve"> a </w:t>
      </w:r>
      <w:r>
        <w:t>waiver</w:t>
      </w:r>
      <w:r w:rsidR="00DE7FCB" w:rsidRPr="00D576C5">
        <w:t xml:space="preserve"> under section 1</w:t>
      </w:r>
      <w:r>
        <w:t>71</w:t>
      </w:r>
      <w:r w:rsidR="00DE7FCB" w:rsidRPr="00D576C5">
        <w:t xml:space="preserve"> of the </w:t>
      </w:r>
      <w:r w:rsidR="00DE7FCB" w:rsidRPr="005167B1">
        <w:rPr>
          <w:i/>
        </w:rPr>
        <w:t>Local Government Act</w:t>
      </w:r>
      <w:r w:rsidR="00DE7FCB" w:rsidRPr="00D576C5">
        <w:t xml:space="preserve"> </w:t>
      </w:r>
      <w:r w:rsidR="007874CE">
        <w:t xml:space="preserve"> </w:t>
      </w:r>
      <w:r w:rsidR="00DE7FCB" w:rsidRPr="00D576C5">
        <w:t xml:space="preserve">of 100% of general rates and municipal charge for the following types of properties. Transitional, </w:t>
      </w:r>
      <w:r w:rsidR="002416FE">
        <w:t>e</w:t>
      </w:r>
      <w:r w:rsidR="002416FE" w:rsidRPr="00D576C5">
        <w:t>mergency</w:t>
      </w:r>
      <w:r w:rsidR="00DE7FCB" w:rsidRPr="00D576C5">
        <w:t xml:space="preserve">, </w:t>
      </w:r>
      <w:r w:rsidR="002416FE">
        <w:t>c</w:t>
      </w:r>
      <w:r w:rsidR="002416FE" w:rsidRPr="00D576C5">
        <w:t xml:space="preserve">risis </w:t>
      </w:r>
      <w:r w:rsidR="002416FE">
        <w:t>h</w:t>
      </w:r>
      <w:r w:rsidR="002416FE" w:rsidRPr="00D576C5">
        <w:t>ousing</w:t>
      </w:r>
      <w:r w:rsidR="00DE7FCB" w:rsidRPr="00D576C5">
        <w:t xml:space="preserve">, </w:t>
      </w:r>
      <w:r w:rsidR="002416FE">
        <w:t>h</w:t>
      </w:r>
      <w:r w:rsidR="002416FE" w:rsidRPr="00D576C5">
        <w:t xml:space="preserve">ousing </w:t>
      </w:r>
      <w:r w:rsidR="00DE7FCB" w:rsidRPr="00D576C5">
        <w:t xml:space="preserve">for </w:t>
      </w:r>
      <w:r w:rsidR="002416FE">
        <w:t>l</w:t>
      </w:r>
      <w:r w:rsidR="002416FE" w:rsidRPr="00D576C5">
        <w:t xml:space="preserve">egatees </w:t>
      </w:r>
      <w:r w:rsidR="00DE7FCB" w:rsidRPr="00D576C5">
        <w:t xml:space="preserve">or </w:t>
      </w:r>
      <w:r w:rsidR="002416FE">
        <w:t>w</w:t>
      </w:r>
      <w:r w:rsidR="002416FE" w:rsidRPr="00D576C5">
        <w:t xml:space="preserve">ar </w:t>
      </w:r>
      <w:r w:rsidR="002416FE">
        <w:t>w</w:t>
      </w:r>
      <w:r w:rsidR="002416FE" w:rsidRPr="00D576C5">
        <w:t xml:space="preserve">idows </w:t>
      </w:r>
      <w:r w:rsidR="00DE7FCB" w:rsidRPr="00D576C5">
        <w:t xml:space="preserve">provided by the Geelong Legacy Club or provided by RSL, and supported </w:t>
      </w:r>
      <w:r w:rsidR="002416FE">
        <w:t>h</w:t>
      </w:r>
      <w:r w:rsidR="002416FE" w:rsidRPr="00D576C5">
        <w:t xml:space="preserve">ousing </w:t>
      </w:r>
      <w:r w:rsidR="00DE7FCB" w:rsidRPr="00D576C5">
        <w:t xml:space="preserve">for disabled people. </w:t>
      </w:r>
    </w:p>
    <w:p w:rsidR="007F2198" w:rsidRDefault="00DE7FCB">
      <w:pPr>
        <w:pStyle w:val="BodyText"/>
      </w:pPr>
      <w:r>
        <w:t xml:space="preserve">This allows </w:t>
      </w:r>
      <w:r w:rsidR="002416FE">
        <w:t xml:space="preserve">the City </w:t>
      </w:r>
      <w:r>
        <w:t xml:space="preserve">to waiver the fire services levy under </w:t>
      </w:r>
      <w:r w:rsidR="002416FE">
        <w:t xml:space="preserve">section </w:t>
      </w:r>
      <w:r>
        <w:t xml:space="preserve">27 of </w:t>
      </w:r>
      <w:r w:rsidRPr="006B0939">
        <w:t xml:space="preserve">the </w:t>
      </w:r>
      <w:r w:rsidR="007F2198" w:rsidRPr="006B0939">
        <w:t>FSPL</w:t>
      </w:r>
      <w:r w:rsidR="006B0939" w:rsidRPr="005167B1">
        <w:t xml:space="preserve"> </w:t>
      </w:r>
      <w:r w:rsidR="007F2198" w:rsidRPr="006B0939">
        <w:t>A</w:t>
      </w:r>
      <w:r w:rsidR="006B0939" w:rsidRPr="006B0939">
        <w:t>ct</w:t>
      </w:r>
      <w:r w:rsidRPr="006B0939">
        <w:t xml:space="preserve">, inline with </w:t>
      </w:r>
      <w:r w:rsidR="002416FE" w:rsidRPr="006B0939">
        <w:t xml:space="preserve">council </w:t>
      </w:r>
      <w:r w:rsidRPr="006B0939">
        <w:t>policy.</w:t>
      </w:r>
      <w:r>
        <w:t xml:space="preserve"> </w:t>
      </w:r>
    </w:p>
    <w:p w:rsidR="00F462EA" w:rsidRDefault="00DE7FCB">
      <w:pPr>
        <w:pStyle w:val="BodyText"/>
      </w:pPr>
      <w:r>
        <w:t xml:space="preserve">The </w:t>
      </w:r>
      <w:r w:rsidR="00454457">
        <w:t>Housing Support Waiver</w:t>
      </w:r>
      <w:r>
        <w:t xml:space="preserve"> will be for 100% of general rates and the municipal </w:t>
      </w:r>
      <w:r>
        <w:lastRenderedPageBreak/>
        <w:t xml:space="preserve">charge </w:t>
      </w:r>
      <w:r w:rsidR="007F2198">
        <w:t>for the class of persons comprised of ratepayers in respect of assessments which contain the following types of housing:</w:t>
      </w:r>
    </w:p>
    <w:p w:rsidR="00A23966" w:rsidRPr="005A2AD5" w:rsidRDefault="007F2198" w:rsidP="005167B1">
      <w:pPr>
        <w:pStyle w:val="ListParagraph"/>
        <w:numPr>
          <w:ilvl w:val="0"/>
          <w:numId w:val="43"/>
        </w:numPr>
        <w:spacing w:after="80"/>
        <w:ind w:left="357" w:hanging="357"/>
        <w:jc w:val="both"/>
      </w:pPr>
      <w:r w:rsidRPr="00C05662">
        <w:rPr>
          <w:rFonts w:cs="Lucida Sans Unicode"/>
          <w:szCs w:val="22"/>
        </w:rPr>
        <w:t>Transitional, emergency or crisis housing;</w:t>
      </w:r>
    </w:p>
    <w:p w:rsidR="00A23966" w:rsidRPr="005167B1" w:rsidRDefault="007F2198" w:rsidP="005167B1">
      <w:pPr>
        <w:pStyle w:val="ListParagraph"/>
        <w:numPr>
          <w:ilvl w:val="0"/>
          <w:numId w:val="43"/>
        </w:numPr>
        <w:spacing w:after="80"/>
        <w:ind w:left="357" w:hanging="357"/>
        <w:jc w:val="both"/>
      </w:pPr>
      <w:r w:rsidRPr="00583AE6">
        <w:rPr>
          <w:rFonts w:cs="Lucida Sans Unicode"/>
          <w:szCs w:val="22"/>
        </w:rPr>
        <w:t xml:space="preserve">Housing for </w:t>
      </w:r>
      <w:r w:rsidR="002416FE" w:rsidRPr="005167B1">
        <w:rPr>
          <w:rFonts w:cs="Lucida Sans Unicode"/>
          <w:szCs w:val="22"/>
        </w:rPr>
        <w:t xml:space="preserve">legatees </w:t>
      </w:r>
      <w:r w:rsidRPr="005167B1">
        <w:rPr>
          <w:rFonts w:cs="Lucida Sans Unicode"/>
          <w:szCs w:val="22"/>
        </w:rPr>
        <w:t xml:space="preserve">or </w:t>
      </w:r>
      <w:r w:rsidR="002416FE" w:rsidRPr="005167B1">
        <w:rPr>
          <w:rFonts w:cs="Lucida Sans Unicode"/>
          <w:szCs w:val="22"/>
        </w:rPr>
        <w:t>w</w:t>
      </w:r>
      <w:r w:rsidRPr="005167B1">
        <w:rPr>
          <w:rFonts w:cs="Lucida Sans Unicode"/>
          <w:szCs w:val="22"/>
        </w:rPr>
        <w:t xml:space="preserve">ar </w:t>
      </w:r>
      <w:r w:rsidR="002416FE" w:rsidRPr="005167B1">
        <w:rPr>
          <w:rFonts w:cs="Lucida Sans Unicode"/>
          <w:szCs w:val="22"/>
        </w:rPr>
        <w:t>widows</w:t>
      </w:r>
      <w:r w:rsidRPr="005167B1">
        <w:rPr>
          <w:rFonts w:cs="Lucida Sans Unicode"/>
          <w:szCs w:val="22"/>
        </w:rPr>
        <w:t xml:space="preserve">, provided by the Geelong Legacy Club or provided by </w:t>
      </w:r>
      <w:r w:rsidR="0074600B" w:rsidRPr="005167B1">
        <w:rPr>
          <w:rFonts w:cs="Lucida Sans Unicode"/>
          <w:szCs w:val="22"/>
        </w:rPr>
        <w:t>RSL; and</w:t>
      </w:r>
      <w:r w:rsidR="00DE7FCB" w:rsidRPr="005167B1">
        <w:rPr>
          <w:rFonts w:cs="Lucida Sans Unicode"/>
          <w:szCs w:val="22"/>
        </w:rPr>
        <w:t xml:space="preserve"> </w:t>
      </w:r>
    </w:p>
    <w:p w:rsidR="00A23966" w:rsidRPr="005167B1" w:rsidRDefault="007F2198" w:rsidP="005167B1">
      <w:pPr>
        <w:pStyle w:val="ListParagraph"/>
        <w:numPr>
          <w:ilvl w:val="0"/>
          <w:numId w:val="43"/>
        </w:numPr>
        <w:spacing w:after="80"/>
        <w:ind w:left="357" w:hanging="357"/>
        <w:jc w:val="both"/>
      </w:pPr>
      <w:r w:rsidRPr="005167B1">
        <w:rPr>
          <w:rFonts w:cs="Lucida Sans Unicode"/>
          <w:szCs w:val="22"/>
        </w:rPr>
        <w:t>Supported housing for disabled people.</w:t>
      </w:r>
    </w:p>
    <w:p w:rsidR="00F462EA" w:rsidRDefault="00DE7FCB">
      <w:pPr>
        <w:pStyle w:val="BodyText"/>
      </w:pPr>
      <w:r w:rsidRPr="00D576C5">
        <w:t xml:space="preserve">This </w:t>
      </w:r>
      <w:r>
        <w:t>waiver</w:t>
      </w:r>
      <w:r w:rsidRPr="00D576C5">
        <w:t xml:space="preserve"> recognises that these properties provide </w:t>
      </w:r>
      <w:r w:rsidR="007F2198">
        <w:t>for specific needs within the community</w:t>
      </w:r>
      <w:r w:rsidR="006023E8">
        <w:t>.</w:t>
      </w:r>
    </w:p>
    <w:p w:rsidR="00E82FFE" w:rsidRPr="00D576C5" w:rsidRDefault="00E82FFE" w:rsidP="00671F60">
      <w:pPr>
        <w:pStyle w:val="Heading4"/>
      </w:pPr>
      <w:bookmarkStart w:id="395" w:name="_Toc356202950"/>
      <w:bookmarkStart w:id="396" w:name="_Toc403114417"/>
      <w:bookmarkStart w:id="397" w:name="_Toc11845153"/>
      <w:bookmarkStart w:id="398" w:name="_Toc64258382"/>
      <w:bookmarkStart w:id="399" w:name="_Toc64276842"/>
      <w:bookmarkStart w:id="400" w:name="_Toc260749470"/>
      <w:bookmarkStart w:id="401" w:name="_Toc292369542"/>
      <w:bookmarkStart w:id="402" w:name="_Toc355947459"/>
      <w:r w:rsidRPr="00D576C5">
        <w:t xml:space="preserve">Rates </w:t>
      </w:r>
      <w:r w:rsidR="00005B4D">
        <w:t xml:space="preserve">Assistance </w:t>
      </w:r>
      <w:r w:rsidRPr="00D576C5">
        <w:t>Waiver</w:t>
      </w:r>
      <w:bookmarkEnd w:id="395"/>
      <w:bookmarkEnd w:id="396"/>
      <w:bookmarkEnd w:id="397"/>
      <w:r w:rsidRPr="00D576C5">
        <w:t xml:space="preserve"> </w:t>
      </w:r>
      <w:bookmarkEnd w:id="398"/>
      <w:bookmarkEnd w:id="399"/>
      <w:bookmarkEnd w:id="400"/>
      <w:bookmarkEnd w:id="401"/>
      <w:bookmarkEnd w:id="402"/>
    </w:p>
    <w:p w:rsidR="00E82FFE" w:rsidRPr="00D576C5" w:rsidRDefault="00E82FFE">
      <w:pPr>
        <w:pStyle w:val="BodyText"/>
      </w:pPr>
      <w:r w:rsidRPr="00D576C5">
        <w:t>Policy Statement: Council is of the opinion that it is desirable to provide relief against any substantial increase of rates payable by residential ratepayers where such increase may cause hardship.</w:t>
      </w:r>
    </w:p>
    <w:p w:rsidR="00E82FFE" w:rsidRPr="00D576C5" w:rsidRDefault="00E82FFE">
      <w:pPr>
        <w:pStyle w:val="BodyText"/>
      </w:pPr>
      <w:r w:rsidRPr="00D576C5">
        <w:t>Reasons for Policy: In each revaluation there has been significant increases in valuations above the average, which have occurred due to the diverse property types and market influences within the municipal district and especially along coastal and waterfront locations. Based upon analysis of rating impacts</w:t>
      </w:r>
      <w:r w:rsidR="007874CE">
        <w:t>,</w:t>
      </w:r>
      <w:r w:rsidRPr="00D576C5">
        <w:t xml:space="preserve"> Council has determined that the continuation of the assistance measure will ensure that equity, benefit, ability to pay, efficiency and simplicity principles of taxation are adhered to. </w:t>
      </w:r>
    </w:p>
    <w:p w:rsidR="00F462EA" w:rsidRDefault="00E82FFE">
      <w:pPr>
        <w:pStyle w:val="BodyText"/>
      </w:pPr>
      <w:r w:rsidRPr="00D576C5">
        <w:t xml:space="preserve">Policy:  The purpose of this measure is to provide relief to qualifying ratepayers who have incurred significant increases to valuation and hence rates arising solely from an increase in valuation caused by market conditions. Relief is granted subject to the criteria below for one year of the valuation as a “phase-in of valuation” method.  </w:t>
      </w:r>
    </w:p>
    <w:p w:rsidR="00F462EA" w:rsidRDefault="00E82FFE">
      <w:pPr>
        <w:pStyle w:val="BodyText"/>
      </w:pPr>
      <w:r w:rsidRPr="00D576C5">
        <w:t xml:space="preserve">The </w:t>
      </w:r>
      <w:r w:rsidR="00875D43">
        <w:t>waiver</w:t>
      </w:r>
      <w:r w:rsidRPr="00D576C5">
        <w:t xml:space="preserve"> </w:t>
      </w:r>
      <w:r w:rsidR="003E636B">
        <w:t xml:space="preserve">for </w:t>
      </w:r>
      <w:r w:rsidR="00436D23">
        <w:t>2019-20</w:t>
      </w:r>
      <w:r w:rsidR="003E636B" w:rsidRPr="00D576C5">
        <w:t xml:space="preserve"> </w:t>
      </w:r>
      <w:r w:rsidRPr="00D576C5">
        <w:t>is grante</w:t>
      </w:r>
      <w:r w:rsidR="000F2A1D">
        <w:t>d in accordance with the waiver </w:t>
      </w:r>
      <w:r w:rsidRPr="00D576C5">
        <w:t xml:space="preserve">/ hardship provisions of </w:t>
      </w:r>
      <w:r w:rsidR="002416FE">
        <w:t>s</w:t>
      </w:r>
      <w:r w:rsidR="002416FE" w:rsidRPr="00D576C5">
        <w:t xml:space="preserve">ection </w:t>
      </w:r>
      <w:r w:rsidRPr="00D576C5">
        <w:t xml:space="preserve">171A of the </w:t>
      </w:r>
      <w:r>
        <w:t>LGA</w:t>
      </w:r>
      <w:r w:rsidRPr="00D576C5">
        <w:t>.</w:t>
      </w:r>
    </w:p>
    <w:p w:rsidR="00E82FFE" w:rsidRPr="00D576C5" w:rsidRDefault="00E82FFE" w:rsidP="00D43F06">
      <w:pPr>
        <w:pStyle w:val="Heading5"/>
      </w:pPr>
      <w:r w:rsidRPr="00D576C5">
        <w:t>Upon Application:-</w:t>
      </w:r>
    </w:p>
    <w:p w:rsidR="00E82FFE" w:rsidRPr="00D576C5" w:rsidRDefault="00E82FFE">
      <w:pPr>
        <w:pStyle w:val="BodyText"/>
      </w:pPr>
      <w:r w:rsidRPr="00D576C5">
        <w:t xml:space="preserve">Provide a </w:t>
      </w:r>
      <w:r w:rsidR="00875D43">
        <w:t>waiver</w:t>
      </w:r>
      <w:r w:rsidRPr="00D576C5">
        <w:t xml:space="preserve"> to any </w:t>
      </w:r>
      <w:r w:rsidR="002B0B34">
        <w:t xml:space="preserve">qualifying </w:t>
      </w:r>
      <w:r w:rsidRPr="00D576C5">
        <w:t xml:space="preserve">ratepayer experiencing an increase in valuation of more than </w:t>
      </w:r>
      <w:r w:rsidR="00436D23">
        <w:t>50</w:t>
      </w:r>
      <w:r w:rsidRPr="00D576C5">
        <w:t>% provided the following criteria is met:</w:t>
      </w:r>
    </w:p>
    <w:p w:rsidR="00A23966" w:rsidRPr="005A2AD5" w:rsidRDefault="00E82FFE" w:rsidP="005167B1">
      <w:pPr>
        <w:pStyle w:val="ListParagraph"/>
        <w:numPr>
          <w:ilvl w:val="0"/>
          <w:numId w:val="43"/>
        </w:numPr>
        <w:spacing w:after="80"/>
        <w:ind w:left="357" w:hanging="357"/>
        <w:jc w:val="both"/>
      </w:pPr>
      <w:r w:rsidRPr="00C05662">
        <w:rPr>
          <w:rFonts w:cs="Lucida Sans Unicode"/>
          <w:szCs w:val="22"/>
        </w:rPr>
        <w:t>the property is the principal place of residence;</w:t>
      </w:r>
    </w:p>
    <w:p w:rsidR="00436D23" w:rsidRPr="00132FCB" w:rsidRDefault="00FC7C84" w:rsidP="005167B1">
      <w:pPr>
        <w:pStyle w:val="ListParagraph"/>
        <w:numPr>
          <w:ilvl w:val="0"/>
          <w:numId w:val="43"/>
        </w:numPr>
        <w:spacing w:after="80"/>
        <w:ind w:left="357" w:hanging="357"/>
        <w:jc w:val="both"/>
      </w:pPr>
      <w:r w:rsidRPr="00583AE6">
        <w:rPr>
          <w:rFonts w:cs="Lucida Sans Unicode"/>
          <w:szCs w:val="22"/>
        </w:rPr>
        <w:t>the property has been owned by the same ratepayer for both valuation periods;</w:t>
      </w:r>
    </w:p>
    <w:p w:rsidR="00A23966" w:rsidRPr="005167B1" w:rsidRDefault="00E82FFE" w:rsidP="005167B1">
      <w:pPr>
        <w:pStyle w:val="ListParagraph"/>
        <w:numPr>
          <w:ilvl w:val="0"/>
          <w:numId w:val="43"/>
        </w:numPr>
        <w:spacing w:after="80"/>
        <w:ind w:left="357" w:hanging="357"/>
        <w:jc w:val="both"/>
      </w:pPr>
      <w:r w:rsidRPr="005167B1">
        <w:rPr>
          <w:rFonts w:cs="Lucida Sans Unicode"/>
          <w:szCs w:val="22"/>
        </w:rPr>
        <w:t>the property is rated within the residential or farm tariff group;</w:t>
      </w:r>
      <w:r w:rsidR="00C260E5" w:rsidRPr="005167B1">
        <w:rPr>
          <w:rFonts w:cs="Lucida Sans Unicode"/>
          <w:szCs w:val="22"/>
        </w:rPr>
        <w:t xml:space="preserve"> and</w:t>
      </w:r>
    </w:p>
    <w:p w:rsidR="00CA263C" w:rsidRPr="005167B1" w:rsidRDefault="00E82FFE" w:rsidP="005167B1">
      <w:pPr>
        <w:pStyle w:val="ListParagraph"/>
        <w:numPr>
          <w:ilvl w:val="0"/>
          <w:numId w:val="43"/>
        </w:numPr>
        <w:spacing w:after="80"/>
        <w:ind w:left="357" w:hanging="357"/>
        <w:jc w:val="both"/>
      </w:pPr>
      <w:r w:rsidRPr="005167B1">
        <w:rPr>
          <w:rFonts w:cs="Lucida Sans Unicode"/>
          <w:szCs w:val="22"/>
        </w:rPr>
        <w:t>have not had</w:t>
      </w:r>
      <w:r w:rsidR="00592B5E" w:rsidRPr="005167B1">
        <w:rPr>
          <w:rFonts w:cs="Lucida Sans Unicode"/>
          <w:szCs w:val="22"/>
        </w:rPr>
        <w:t xml:space="preserve"> </w:t>
      </w:r>
      <w:r w:rsidRPr="005167B1">
        <w:rPr>
          <w:rFonts w:cs="Lucida Sans Unicode"/>
          <w:szCs w:val="22"/>
        </w:rPr>
        <w:t xml:space="preserve">an increase in valuation of the land for the assessment because of improvements made requiring a building permit; and can demonstrate </w:t>
      </w:r>
      <w:r w:rsidRPr="005167B1">
        <w:rPr>
          <w:rFonts w:cs="Lucida Sans Unicode"/>
          <w:szCs w:val="22"/>
        </w:rPr>
        <w:lastRenderedPageBreak/>
        <w:t>financial hardship by way of</w:t>
      </w:r>
      <w:r w:rsidR="00592B5E" w:rsidRPr="005167B1">
        <w:rPr>
          <w:rFonts w:cs="Lucida Sans Unicode"/>
          <w:szCs w:val="22"/>
        </w:rPr>
        <w:t xml:space="preserve"> </w:t>
      </w:r>
      <w:r w:rsidRPr="005167B1">
        <w:rPr>
          <w:rFonts w:cs="Lucida Sans Unicode"/>
          <w:szCs w:val="22"/>
        </w:rPr>
        <w:t xml:space="preserve">being currently eligible as a pensioner under the </w:t>
      </w:r>
      <w:r w:rsidRPr="005167B1">
        <w:rPr>
          <w:rFonts w:cs="Lucida Sans Unicode"/>
          <w:i/>
          <w:szCs w:val="22"/>
        </w:rPr>
        <w:t>State Concession Act</w:t>
      </w:r>
      <w:r w:rsidR="007874CE">
        <w:rPr>
          <w:rFonts w:cs="Lucida Sans Unicode"/>
          <w:szCs w:val="22"/>
        </w:rPr>
        <w:t xml:space="preserve"> (2004)</w:t>
      </w:r>
      <w:r w:rsidRPr="00132FCB">
        <w:rPr>
          <w:rFonts w:cs="Lucida Sans Unicode"/>
          <w:szCs w:val="22"/>
        </w:rPr>
        <w:t xml:space="preserve"> (Centrelink Pensioner Concession, Department of Veterans Aff</w:t>
      </w:r>
      <w:r w:rsidRPr="005167B1">
        <w:rPr>
          <w:rFonts w:cs="Lucida Sans Unicode"/>
          <w:szCs w:val="22"/>
        </w:rPr>
        <w:t>airs Pension Concession, Gold Card -widow or TPI specific - Cards);</w:t>
      </w:r>
      <w:r w:rsidR="00774B3A" w:rsidRPr="005167B1">
        <w:rPr>
          <w:rFonts w:cs="Lucida Sans Unicode"/>
          <w:szCs w:val="22"/>
        </w:rPr>
        <w:t xml:space="preserve">  </w:t>
      </w:r>
      <w:r w:rsidR="00095E27" w:rsidRPr="005167B1">
        <w:rPr>
          <w:rFonts w:cs="Lucida Sans Unicode"/>
          <w:szCs w:val="22"/>
        </w:rPr>
        <w:t xml:space="preserve">and </w:t>
      </w:r>
    </w:p>
    <w:p w:rsidR="00A23966" w:rsidRPr="005167B1" w:rsidRDefault="00E82FFE" w:rsidP="005167B1">
      <w:pPr>
        <w:pStyle w:val="ListParagraph"/>
        <w:numPr>
          <w:ilvl w:val="0"/>
          <w:numId w:val="43"/>
        </w:numPr>
        <w:spacing w:after="80"/>
        <w:ind w:left="357" w:hanging="357"/>
        <w:jc w:val="both"/>
      </w:pPr>
      <w:r w:rsidRPr="005167B1">
        <w:rPr>
          <w:rFonts w:cs="Lucida Sans Unicode"/>
          <w:szCs w:val="22"/>
        </w:rPr>
        <w:t xml:space="preserve">can </w:t>
      </w:r>
      <w:r w:rsidR="00592012" w:rsidRPr="005167B1">
        <w:rPr>
          <w:rFonts w:cs="Lucida Sans Unicode"/>
          <w:szCs w:val="22"/>
        </w:rPr>
        <w:t>demonstrate that</w:t>
      </w:r>
      <w:r w:rsidRPr="005167B1">
        <w:rPr>
          <w:rFonts w:cs="Lucida Sans Unicode"/>
          <w:szCs w:val="22"/>
        </w:rPr>
        <w:t xml:space="preserve"> they are of low income status with a maximum income of $</w:t>
      </w:r>
      <w:r w:rsidR="00C260E5" w:rsidRPr="005167B1">
        <w:rPr>
          <w:rFonts w:cs="Lucida Sans Unicode"/>
          <w:szCs w:val="22"/>
        </w:rPr>
        <w:t>53,728</w:t>
      </w:r>
      <w:r w:rsidRPr="005167B1">
        <w:rPr>
          <w:rFonts w:cs="Lucida Sans Unicode"/>
          <w:szCs w:val="22"/>
        </w:rPr>
        <w:t xml:space="preserve"> or less (Statement of Earnings </w:t>
      </w:r>
      <w:smartTag w:uri="urn:schemas-microsoft-com:office:smarttags" w:element="stockticker">
        <w:r w:rsidRPr="005167B1">
          <w:rPr>
            <w:rFonts w:cs="Lucida Sans Unicode"/>
            <w:szCs w:val="22"/>
          </w:rPr>
          <w:t>SOE</w:t>
        </w:r>
      </w:smartTag>
      <w:r w:rsidRPr="005167B1">
        <w:rPr>
          <w:rFonts w:cs="Lucida Sans Unicode"/>
          <w:szCs w:val="22"/>
        </w:rPr>
        <w:t xml:space="preserve"> - Centrelink or most recent tax assessment notice).</w:t>
      </w:r>
    </w:p>
    <w:p w:rsidR="00E82FFE" w:rsidRPr="00D576C5" w:rsidRDefault="00E82FFE" w:rsidP="00D43F06">
      <w:pPr>
        <w:pStyle w:val="Heading5"/>
      </w:pPr>
      <w:r w:rsidRPr="00D576C5">
        <w:t xml:space="preserve">Amount of waiver </w:t>
      </w:r>
    </w:p>
    <w:p w:rsidR="00E82FFE" w:rsidRPr="00D576C5" w:rsidRDefault="00E82FFE">
      <w:pPr>
        <w:pStyle w:val="BodyText"/>
      </w:pPr>
      <w:r w:rsidRPr="00D576C5">
        <w:t xml:space="preserve">The amount of the waiver shall be calculated to provide a maximum </w:t>
      </w:r>
      <w:r w:rsidR="00875D43">
        <w:t>50</w:t>
      </w:r>
      <w:r w:rsidRPr="00D576C5">
        <w:t xml:space="preserve">% </w:t>
      </w:r>
      <w:r w:rsidR="00875D43">
        <w:t>waiver</w:t>
      </w:r>
      <w:r w:rsidRPr="00D576C5">
        <w:t xml:space="preserve"> of the total increase</w:t>
      </w:r>
      <w:r w:rsidR="006F170A">
        <w:t xml:space="preserve"> in rates due to the change in CIV</w:t>
      </w:r>
      <w:r w:rsidRPr="00D576C5">
        <w:t>.  A phase</w:t>
      </w:r>
      <w:r w:rsidRPr="00D576C5">
        <w:noBreakHyphen/>
        <w:t xml:space="preserve">in percentage based on increments to the property valuation shall apply </w:t>
      </w:r>
      <w:r w:rsidR="00B036A7">
        <w:t>viz</w:t>
      </w:r>
      <w:r w:rsidRPr="00D576C5">
        <w:t>:</w:t>
      </w:r>
    </w:p>
    <w:p w:rsidR="00F462EA" w:rsidRDefault="00E82FFE" w:rsidP="00E34A15">
      <w:pPr>
        <w:spacing w:after="0"/>
      </w:pPr>
      <w:r w:rsidRPr="00D576C5">
        <w:t>Property valuation increased by:</w:t>
      </w:r>
    </w:p>
    <w:tbl>
      <w:tblPr>
        <w:tblW w:w="8505" w:type="dxa"/>
        <w:tblBorders>
          <w:top w:val="single" w:sz="8" w:space="0" w:color="4F81BD"/>
          <w:bottom w:val="single" w:sz="8" w:space="0" w:color="4F81BD"/>
        </w:tblBorders>
        <w:tblLook w:val="0480" w:firstRow="0" w:lastRow="0" w:firstColumn="1" w:lastColumn="0" w:noHBand="0" w:noVBand="1"/>
      </w:tblPr>
      <w:tblGrid>
        <w:gridCol w:w="3085"/>
        <w:gridCol w:w="5420"/>
      </w:tblGrid>
      <w:tr w:rsidR="00C97377" w:rsidRPr="00E60EA6" w:rsidTr="00E60EA6">
        <w:tc>
          <w:tcPr>
            <w:tcW w:w="3085" w:type="dxa"/>
            <w:tcBorders>
              <w:top w:val="single" w:sz="4" w:space="0" w:color="auto"/>
            </w:tcBorders>
            <w:shd w:val="clear" w:color="auto" w:fill="DBE5F1"/>
          </w:tcPr>
          <w:p w:rsidR="00C97377" w:rsidRPr="00E60EA6" w:rsidRDefault="00C260E5">
            <w:pPr>
              <w:pStyle w:val="BodyText"/>
            </w:pPr>
            <w:r>
              <w:t>50</w:t>
            </w:r>
            <w:r w:rsidR="001A5D13" w:rsidRPr="00E60EA6">
              <w:t xml:space="preserve">%  -  </w:t>
            </w:r>
            <w:r w:rsidR="001A5D13" w:rsidRPr="00E60EA6">
              <w:tab/>
            </w:r>
            <w:r>
              <w:t>51</w:t>
            </w:r>
            <w:r w:rsidR="00C97377" w:rsidRPr="00E60EA6">
              <w:t>.9%</w:t>
            </w:r>
          </w:p>
        </w:tc>
        <w:tc>
          <w:tcPr>
            <w:tcW w:w="5420" w:type="dxa"/>
            <w:tcBorders>
              <w:top w:val="single" w:sz="4" w:space="0" w:color="auto"/>
              <w:bottom w:val="nil"/>
            </w:tcBorders>
            <w:shd w:val="clear" w:color="auto" w:fill="DBE5F1"/>
          </w:tcPr>
          <w:p w:rsidR="00C97377" w:rsidRPr="00E60EA6" w:rsidRDefault="00E21BD1">
            <w:pPr>
              <w:pStyle w:val="BodyText"/>
            </w:pPr>
            <w:r w:rsidRPr="00E60EA6">
              <w:t>Waiver</w:t>
            </w:r>
            <w:r w:rsidR="00C97377" w:rsidRPr="00E60EA6">
              <w:t xml:space="preserve"> at 25%</w:t>
            </w:r>
            <w:r w:rsidRPr="00E60EA6">
              <w:t xml:space="preserve"> of increase</w:t>
            </w:r>
          </w:p>
        </w:tc>
      </w:tr>
      <w:tr w:rsidR="00C97377" w:rsidRPr="00E60EA6" w:rsidTr="00E60EA6">
        <w:tc>
          <w:tcPr>
            <w:tcW w:w="3085" w:type="dxa"/>
            <w:tcBorders>
              <w:top w:val="nil"/>
            </w:tcBorders>
            <w:shd w:val="clear" w:color="auto" w:fill="auto"/>
          </w:tcPr>
          <w:p w:rsidR="00C97377" w:rsidRPr="00E60EA6" w:rsidRDefault="00C260E5">
            <w:pPr>
              <w:pStyle w:val="BodyText"/>
            </w:pPr>
            <w:r>
              <w:t>52</w:t>
            </w:r>
            <w:r w:rsidR="00C97377" w:rsidRPr="00E60EA6">
              <w:t>%     -</w:t>
            </w:r>
            <w:r w:rsidR="001A5D13" w:rsidRPr="00E60EA6">
              <w:t xml:space="preserve">  </w:t>
            </w:r>
            <w:r w:rsidR="001A5D13" w:rsidRPr="00E60EA6">
              <w:tab/>
            </w:r>
            <w:r>
              <w:t>53</w:t>
            </w:r>
            <w:r w:rsidR="00C97377" w:rsidRPr="00E60EA6">
              <w:t>.9%</w:t>
            </w:r>
          </w:p>
        </w:tc>
        <w:tc>
          <w:tcPr>
            <w:tcW w:w="5420" w:type="dxa"/>
            <w:tcBorders>
              <w:top w:val="nil"/>
            </w:tcBorders>
            <w:shd w:val="clear" w:color="auto" w:fill="auto"/>
          </w:tcPr>
          <w:p w:rsidR="00C97377" w:rsidRPr="00E60EA6" w:rsidRDefault="00E21BD1">
            <w:pPr>
              <w:pStyle w:val="BodyText"/>
            </w:pPr>
            <w:r w:rsidRPr="00E60EA6">
              <w:t>Waiver</w:t>
            </w:r>
            <w:r w:rsidR="00C97377" w:rsidRPr="00E60EA6">
              <w:t xml:space="preserve"> at 30%</w:t>
            </w:r>
            <w:r w:rsidRPr="00E60EA6">
              <w:t xml:space="preserve"> of increase</w:t>
            </w:r>
          </w:p>
        </w:tc>
      </w:tr>
      <w:tr w:rsidR="00C97377" w:rsidRPr="00E60EA6" w:rsidTr="00E60EA6">
        <w:tc>
          <w:tcPr>
            <w:tcW w:w="3085" w:type="dxa"/>
            <w:shd w:val="clear" w:color="auto" w:fill="D3DFEE"/>
          </w:tcPr>
          <w:p w:rsidR="00C97377" w:rsidRPr="00E60EA6" w:rsidRDefault="00C260E5">
            <w:pPr>
              <w:pStyle w:val="BodyText"/>
            </w:pPr>
            <w:r>
              <w:t>54</w:t>
            </w:r>
            <w:r w:rsidR="00C97377" w:rsidRPr="00E60EA6">
              <w:t xml:space="preserve">%     - </w:t>
            </w:r>
            <w:r w:rsidR="00C97377" w:rsidRPr="00E60EA6">
              <w:tab/>
            </w:r>
            <w:r>
              <w:t>55</w:t>
            </w:r>
            <w:r w:rsidR="00C97377" w:rsidRPr="00E60EA6">
              <w:t>.9%</w:t>
            </w:r>
          </w:p>
        </w:tc>
        <w:tc>
          <w:tcPr>
            <w:tcW w:w="5420" w:type="dxa"/>
            <w:shd w:val="clear" w:color="auto" w:fill="D3DFEE"/>
          </w:tcPr>
          <w:p w:rsidR="00C97377" w:rsidRPr="00E60EA6" w:rsidRDefault="00E21BD1">
            <w:pPr>
              <w:pStyle w:val="BodyText"/>
            </w:pPr>
            <w:r w:rsidRPr="00E60EA6">
              <w:t>Waiver</w:t>
            </w:r>
            <w:r w:rsidR="00C97377" w:rsidRPr="00E60EA6">
              <w:t xml:space="preserve"> at 35%</w:t>
            </w:r>
            <w:r w:rsidRPr="00E60EA6">
              <w:t xml:space="preserve"> of increase</w:t>
            </w:r>
          </w:p>
        </w:tc>
      </w:tr>
      <w:tr w:rsidR="00C97377" w:rsidRPr="00E60EA6" w:rsidTr="00E60EA6">
        <w:tc>
          <w:tcPr>
            <w:tcW w:w="3085" w:type="dxa"/>
            <w:shd w:val="clear" w:color="auto" w:fill="auto"/>
          </w:tcPr>
          <w:p w:rsidR="00C97377" w:rsidRPr="00E60EA6" w:rsidRDefault="00C260E5">
            <w:pPr>
              <w:pStyle w:val="BodyText"/>
            </w:pPr>
            <w:r>
              <w:t>56</w:t>
            </w:r>
            <w:r w:rsidR="00C97377" w:rsidRPr="00E60EA6">
              <w:t xml:space="preserve">%     - </w:t>
            </w:r>
            <w:r w:rsidR="00C97377" w:rsidRPr="00E60EA6">
              <w:tab/>
            </w:r>
            <w:r>
              <w:t>57</w:t>
            </w:r>
            <w:r w:rsidR="00C97377" w:rsidRPr="00E60EA6">
              <w:t>.9%</w:t>
            </w:r>
          </w:p>
        </w:tc>
        <w:tc>
          <w:tcPr>
            <w:tcW w:w="5420" w:type="dxa"/>
            <w:shd w:val="clear" w:color="auto" w:fill="auto"/>
          </w:tcPr>
          <w:p w:rsidR="00C97377" w:rsidRPr="00E60EA6" w:rsidRDefault="00E21BD1">
            <w:pPr>
              <w:pStyle w:val="BodyText"/>
            </w:pPr>
            <w:r w:rsidRPr="00E60EA6">
              <w:t>Waiver</w:t>
            </w:r>
            <w:r w:rsidR="00C97377" w:rsidRPr="00E60EA6">
              <w:t xml:space="preserve"> at 40%</w:t>
            </w:r>
            <w:r w:rsidRPr="00E60EA6">
              <w:t xml:space="preserve"> of increase</w:t>
            </w:r>
          </w:p>
        </w:tc>
      </w:tr>
      <w:tr w:rsidR="00C97377" w:rsidRPr="00E60EA6" w:rsidTr="00E60EA6">
        <w:tc>
          <w:tcPr>
            <w:tcW w:w="3085" w:type="dxa"/>
            <w:shd w:val="clear" w:color="auto" w:fill="D3DFEE"/>
          </w:tcPr>
          <w:p w:rsidR="00C97377" w:rsidRPr="00E60EA6" w:rsidRDefault="00C260E5">
            <w:pPr>
              <w:pStyle w:val="BodyText"/>
            </w:pPr>
            <w:r>
              <w:t>58</w:t>
            </w:r>
            <w:r w:rsidR="00C97377" w:rsidRPr="00E60EA6">
              <w:t xml:space="preserve">%     - </w:t>
            </w:r>
            <w:r w:rsidR="00C97377" w:rsidRPr="00E60EA6">
              <w:tab/>
            </w:r>
            <w:r w:rsidRPr="00E60EA6">
              <w:t>5</w:t>
            </w:r>
            <w:r>
              <w:t>9</w:t>
            </w:r>
            <w:r w:rsidR="00C97377" w:rsidRPr="00E60EA6">
              <w:t>.9%</w:t>
            </w:r>
          </w:p>
        </w:tc>
        <w:tc>
          <w:tcPr>
            <w:tcW w:w="5420" w:type="dxa"/>
            <w:tcBorders>
              <w:bottom w:val="nil"/>
            </w:tcBorders>
            <w:shd w:val="clear" w:color="auto" w:fill="D3DFEE"/>
          </w:tcPr>
          <w:p w:rsidR="00C97377" w:rsidRPr="00E60EA6" w:rsidRDefault="00E21BD1">
            <w:pPr>
              <w:pStyle w:val="BodyText"/>
            </w:pPr>
            <w:r w:rsidRPr="00E60EA6">
              <w:t>Waiver</w:t>
            </w:r>
            <w:r w:rsidR="00C97377" w:rsidRPr="00E60EA6">
              <w:t xml:space="preserve"> at 45%</w:t>
            </w:r>
            <w:r w:rsidRPr="00E60EA6">
              <w:t xml:space="preserve"> of increase</w:t>
            </w:r>
          </w:p>
        </w:tc>
      </w:tr>
      <w:tr w:rsidR="00C97377" w:rsidRPr="00E60EA6" w:rsidTr="00E60EA6">
        <w:tc>
          <w:tcPr>
            <w:tcW w:w="3085" w:type="dxa"/>
            <w:tcBorders>
              <w:top w:val="nil"/>
              <w:bottom w:val="single" w:sz="4" w:space="0" w:color="auto"/>
            </w:tcBorders>
            <w:shd w:val="clear" w:color="auto" w:fill="auto"/>
          </w:tcPr>
          <w:p w:rsidR="00C97377" w:rsidRPr="00E60EA6" w:rsidRDefault="00C260E5">
            <w:pPr>
              <w:pStyle w:val="BodyText"/>
            </w:pPr>
            <w:r>
              <w:t>60</w:t>
            </w:r>
            <w:r w:rsidR="00C97377" w:rsidRPr="00E60EA6">
              <w:t>% or greater</w:t>
            </w:r>
          </w:p>
        </w:tc>
        <w:tc>
          <w:tcPr>
            <w:tcW w:w="5420" w:type="dxa"/>
            <w:tcBorders>
              <w:top w:val="nil"/>
              <w:bottom w:val="single" w:sz="4" w:space="0" w:color="auto"/>
            </w:tcBorders>
            <w:shd w:val="clear" w:color="auto" w:fill="auto"/>
          </w:tcPr>
          <w:p w:rsidR="00C97377" w:rsidRPr="00E60EA6" w:rsidRDefault="00E21BD1">
            <w:pPr>
              <w:pStyle w:val="BodyText"/>
            </w:pPr>
            <w:r w:rsidRPr="00E60EA6">
              <w:t>Waiver</w:t>
            </w:r>
            <w:r w:rsidR="00C97377" w:rsidRPr="00E60EA6">
              <w:t xml:space="preserve"> at 50%</w:t>
            </w:r>
            <w:r w:rsidRPr="00E60EA6">
              <w:t xml:space="preserve"> of increase</w:t>
            </w:r>
          </w:p>
        </w:tc>
      </w:tr>
    </w:tbl>
    <w:p w:rsidR="00312A6B" w:rsidRDefault="00312A6B">
      <w:pPr>
        <w:spacing w:before="0" w:after="0"/>
      </w:pPr>
    </w:p>
    <w:p w:rsidR="008A4F3D" w:rsidRDefault="008A4F3D" w:rsidP="00E34A15">
      <w:pPr>
        <w:spacing w:after="0"/>
      </w:pPr>
      <w:r>
        <w:t xml:space="preserve">Calculation of Rates Assistance Waiver </w:t>
      </w:r>
      <w:r w:rsidR="00C260E5">
        <w:t>2019-20</w:t>
      </w:r>
      <w:r w:rsidR="008E1C23">
        <w:t xml:space="preserve"> </w:t>
      </w:r>
      <w:r>
        <w:t>- Example:</w:t>
      </w:r>
    </w:p>
    <w:tbl>
      <w:tblPr>
        <w:tblW w:w="0" w:type="auto"/>
        <w:tblLook w:val="04A0" w:firstRow="1" w:lastRow="0" w:firstColumn="1" w:lastColumn="0" w:noHBand="0" w:noVBand="1"/>
      </w:tblPr>
      <w:tblGrid>
        <w:gridCol w:w="2856"/>
        <w:gridCol w:w="1400"/>
        <w:gridCol w:w="2744"/>
        <w:gridCol w:w="1504"/>
      </w:tblGrid>
      <w:tr w:rsidR="008A4F3D" w:rsidRPr="00E60EA6" w:rsidTr="00E60EA6">
        <w:tc>
          <w:tcPr>
            <w:tcW w:w="8720" w:type="dxa"/>
            <w:gridSpan w:val="4"/>
            <w:tcBorders>
              <w:top w:val="single" w:sz="4" w:space="0" w:color="auto"/>
            </w:tcBorders>
            <w:shd w:val="clear" w:color="auto" w:fill="DBE5F1"/>
          </w:tcPr>
          <w:p w:rsidR="008A4F3D" w:rsidRPr="00E60EA6" w:rsidRDefault="008A4F3D">
            <w:pPr>
              <w:pStyle w:val="BodyText"/>
            </w:pPr>
            <w:r w:rsidRPr="00E60EA6">
              <w:t>Residential &amp; Farm Property only</w:t>
            </w:r>
          </w:p>
        </w:tc>
      </w:tr>
      <w:tr w:rsidR="008A4F3D" w:rsidRPr="00E60EA6" w:rsidTr="00E60EA6">
        <w:tc>
          <w:tcPr>
            <w:tcW w:w="2943" w:type="dxa"/>
            <w:shd w:val="clear" w:color="auto" w:fill="auto"/>
          </w:tcPr>
          <w:p w:rsidR="008A4F3D" w:rsidRPr="00E60EA6" w:rsidRDefault="008A4F3D" w:rsidP="005B4D00">
            <w:pPr>
              <w:spacing w:before="0" w:after="0"/>
              <w:rPr>
                <w:sz w:val="18"/>
                <w:szCs w:val="18"/>
              </w:rPr>
            </w:pPr>
            <w:r w:rsidRPr="00E60EA6">
              <w:rPr>
                <w:sz w:val="18"/>
                <w:szCs w:val="18"/>
              </w:rPr>
              <w:t xml:space="preserve">Input </w:t>
            </w:r>
            <w:r w:rsidR="00C260E5" w:rsidRPr="00E60EA6">
              <w:rPr>
                <w:sz w:val="18"/>
                <w:szCs w:val="18"/>
              </w:rPr>
              <w:t>201</w:t>
            </w:r>
            <w:r w:rsidR="00C260E5">
              <w:rPr>
                <w:sz w:val="18"/>
                <w:szCs w:val="18"/>
              </w:rPr>
              <w:t>8</w:t>
            </w:r>
            <w:r w:rsidR="00C260E5" w:rsidRPr="00E60EA6">
              <w:rPr>
                <w:sz w:val="18"/>
                <w:szCs w:val="18"/>
              </w:rPr>
              <w:t xml:space="preserve"> </w:t>
            </w:r>
            <w:r w:rsidRPr="00E60EA6">
              <w:rPr>
                <w:sz w:val="18"/>
                <w:szCs w:val="18"/>
              </w:rPr>
              <w:t>CIV</w:t>
            </w:r>
          </w:p>
        </w:tc>
        <w:tc>
          <w:tcPr>
            <w:tcW w:w="1417" w:type="dxa"/>
            <w:shd w:val="clear" w:color="auto" w:fill="auto"/>
          </w:tcPr>
          <w:p w:rsidR="008A4F3D" w:rsidRPr="00E60EA6" w:rsidRDefault="008A4F3D" w:rsidP="00E60EA6">
            <w:pPr>
              <w:spacing w:before="0" w:after="0"/>
              <w:jc w:val="right"/>
              <w:rPr>
                <w:sz w:val="18"/>
                <w:szCs w:val="18"/>
              </w:rPr>
            </w:pPr>
            <w:r w:rsidRPr="00E60EA6">
              <w:rPr>
                <w:sz w:val="18"/>
                <w:szCs w:val="18"/>
              </w:rPr>
              <w:t>$350,000</w:t>
            </w:r>
          </w:p>
        </w:tc>
        <w:tc>
          <w:tcPr>
            <w:tcW w:w="2836" w:type="dxa"/>
            <w:shd w:val="clear" w:color="auto" w:fill="auto"/>
          </w:tcPr>
          <w:p w:rsidR="008A4F3D" w:rsidRPr="00E60EA6" w:rsidRDefault="008A4F3D" w:rsidP="005B4D00">
            <w:pPr>
              <w:spacing w:before="0" w:after="0"/>
              <w:rPr>
                <w:sz w:val="18"/>
                <w:szCs w:val="18"/>
              </w:rPr>
            </w:pPr>
            <w:r w:rsidRPr="00E60EA6">
              <w:rPr>
                <w:sz w:val="18"/>
                <w:szCs w:val="18"/>
              </w:rPr>
              <w:t xml:space="preserve">Rates Paid </w:t>
            </w:r>
            <w:r w:rsidR="00C260E5">
              <w:rPr>
                <w:sz w:val="18"/>
                <w:szCs w:val="18"/>
              </w:rPr>
              <w:t>2018-19</w:t>
            </w:r>
          </w:p>
        </w:tc>
        <w:tc>
          <w:tcPr>
            <w:tcW w:w="1524" w:type="dxa"/>
            <w:shd w:val="clear" w:color="auto" w:fill="auto"/>
          </w:tcPr>
          <w:p w:rsidR="008A4F3D" w:rsidRPr="00E60EA6" w:rsidRDefault="008A4F3D" w:rsidP="005B4D00">
            <w:pPr>
              <w:spacing w:before="0" w:after="0"/>
              <w:jc w:val="right"/>
              <w:rPr>
                <w:sz w:val="18"/>
                <w:szCs w:val="18"/>
              </w:rPr>
            </w:pPr>
            <w:r w:rsidRPr="00E60EA6">
              <w:rPr>
                <w:sz w:val="18"/>
                <w:szCs w:val="18"/>
              </w:rPr>
              <w:t>$</w:t>
            </w:r>
            <w:r w:rsidR="00A3457A">
              <w:rPr>
                <w:sz w:val="18"/>
                <w:szCs w:val="18"/>
              </w:rPr>
              <w:t>834.75</w:t>
            </w:r>
          </w:p>
        </w:tc>
      </w:tr>
      <w:tr w:rsidR="008A4F3D" w:rsidRPr="00E60EA6" w:rsidTr="00E60EA6">
        <w:tc>
          <w:tcPr>
            <w:tcW w:w="2943" w:type="dxa"/>
            <w:shd w:val="clear" w:color="auto" w:fill="auto"/>
          </w:tcPr>
          <w:p w:rsidR="008A4F3D" w:rsidRPr="00E60EA6" w:rsidRDefault="008A4F3D" w:rsidP="005B4D00">
            <w:pPr>
              <w:spacing w:before="0" w:after="0"/>
              <w:rPr>
                <w:sz w:val="18"/>
                <w:szCs w:val="18"/>
              </w:rPr>
            </w:pPr>
            <w:r w:rsidRPr="00E60EA6">
              <w:rPr>
                <w:sz w:val="18"/>
                <w:szCs w:val="18"/>
              </w:rPr>
              <w:t xml:space="preserve">Input </w:t>
            </w:r>
            <w:r w:rsidR="00C260E5" w:rsidRPr="00E60EA6">
              <w:rPr>
                <w:sz w:val="18"/>
                <w:szCs w:val="18"/>
              </w:rPr>
              <w:t>201</w:t>
            </w:r>
            <w:r w:rsidR="00C260E5">
              <w:rPr>
                <w:sz w:val="18"/>
                <w:szCs w:val="18"/>
              </w:rPr>
              <w:t>9</w:t>
            </w:r>
            <w:r w:rsidR="00C260E5" w:rsidRPr="00E60EA6">
              <w:rPr>
                <w:sz w:val="18"/>
                <w:szCs w:val="18"/>
              </w:rPr>
              <w:t xml:space="preserve"> </w:t>
            </w:r>
            <w:r w:rsidRPr="00E60EA6">
              <w:rPr>
                <w:sz w:val="18"/>
                <w:szCs w:val="18"/>
              </w:rPr>
              <w:t>CIV</w:t>
            </w:r>
          </w:p>
        </w:tc>
        <w:tc>
          <w:tcPr>
            <w:tcW w:w="1417" w:type="dxa"/>
            <w:shd w:val="clear" w:color="auto" w:fill="auto"/>
          </w:tcPr>
          <w:p w:rsidR="008A4F3D" w:rsidRPr="00E60EA6" w:rsidRDefault="008A4F3D" w:rsidP="005B4D00">
            <w:pPr>
              <w:spacing w:before="0" w:after="0"/>
              <w:jc w:val="right"/>
              <w:rPr>
                <w:sz w:val="18"/>
                <w:szCs w:val="18"/>
              </w:rPr>
            </w:pPr>
            <w:r w:rsidRPr="00E60EA6">
              <w:rPr>
                <w:sz w:val="18"/>
                <w:szCs w:val="18"/>
              </w:rPr>
              <w:t>$</w:t>
            </w:r>
            <w:r w:rsidR="00C260E5" w:rsidRPr="00E60EA6">
              <w:rPr>
                <w:sz w:val="18"/>
                <w:szCs w:val="18"/>
              </w:rPr>
              <w:t>5</w:t>
            </w:r>
            <w:r w:rsidR="00C260E5">
              <w:rPr>
                <w:sz w:val="18"/>
                <w:szCs w:val="18"/>
              </w:rPr>
              <w:t>55</w:t>
            </w:r>
            <w:r w:rsidRPr="00E60EA6">
              <w:rPr>
                <w:sz w:val="18"/>
                <w:szCs w:val="18"/>
              </w:rPr>
              <w:t>,000</w:t>
            </w:r>
          </w:p>
        </w:tc>
        <w:tc>
          <w:tcPr>
            <w:tcW w:w="2836" w:type="dxa"/>
            <w:shd w:val="clear" w:color="auto" w:fill="auto"/>
          </w:tcPr>
          <w:p w:rsidR="008A4F3D" w:rsidRPr="00E60EA6" w:rsidRDefault="008A4F3D" w:rsidP="005B4D00">
            <w:pPr>
              <w:spacing w:before="0" w:after="0"/>
              <w:rPr>
                <w:sz w:val="18"/>
                <w:szCs w:val="18"/>
              </w:rPr>
            </w:pPr>
            <w:r w:rsidRPr="00E60EA6">
              <w:rPr>
                <w:sz w:val="18"/>
                <w:szCs w:val="18"/>
              </w:rPr>
              <w:t xml:space="preserve">Rates Payable </w:t>
            </w:r>
            <w:r w:rsidR="00C260E5">
              <w:rPr>
                <w:sz w:val="18"/>
                <w:szCs w:val="18"/>
              </w:rPr>
              <w:t>2019-20</w:t>
            </w:r>
          </w:p>
        </w:tc>
        <w:tc>
          <w:tcPr>
            <w:tcW w:w="1524" w:type="dxa"/>
            <w:shd w:val="clear" w:color="auto" w:fill="auto"/>
          </w:tcPr>
          <w:p w:rsidR="008A4F3D" w:rsidRPr="00E60EA6" w:rsidRDefault="008A4F3D">
            <w:pPr>
              <w:spacing w:before="0" w:after="0"/>
              <w:jc w:val="right"/>
              <w:rPr>
                <w:sz w:val="18"/>
                <w:szCs w:val="18"/>
              </w:rPr>
            </w:pPr>
            <w:r w:rsidRPr="00E60EA6">
              <w:rPr>
                <w:sz w:val="18"/>
                <w:szCs w:val="18"/>
              </w:rPr>
              <w:t>$</w:t>
            </w:r>
            <w:r w:rsidR="00A3457A">
              <w:rPr>
                <w:sz w:val="18"/>
                <w:szCs w:val="18"/>
              </w:rPr>
              <w:t>1.</w:t>
            </w:r>
            <w:r w:rsidR="006B0939">
              <w:rPr>
                <w:sz w:val="18"/>
                <w:szCs w:val="18"/>
              </w:rPr>
              <w:t>199</w:t>
            </w:r>
            <w:r w:rsidR="00A3457A">
              <w:rPr>
                <w:sz w:val="18"/>
                <w:szCs w:val="18"/>
              </w:rPr>
              <w:t>.</w:t>
            </w:r>
            <w:r w:rsidR="006B0939">
              <w:rPr>
                <w:sz w:val="18"/>
                <w:szCs w:val="18"/>
              </w:rPr>
              <w:t>83</w:t>
            </w:r>
          </w:p>
        </w:tc>
      </w:tr>
      <w:tr w:rsidR="008A4F3D" w:rsidRPr="00E60EA6" w:rsidTr="00E60EA6">
        <w:tc>
          <w:tcPr>
            <w:tcW w:w="2943" w:type="dxa"/>
            <w:tcBorders>
              <w:bottom w:val="single" w:sz="4" w:space="0" w:color="auto"/>
            </w:tcBorders>
            <w:shd w:val="clear" w:color="auto" w:fill="auto"/>
          </w:tcPr>
          <w:p w:rsidR="008A4F3D" w:rsidRPr="00E60EA6" w:rsidRDefault="008A4F3D" w:rsidP="00E60EA6">
            <w:pPr>
              <w:spacing w:before="0" w:after="0"/>
              <w:rPr>
                <w:b/>
                <w:sz w:val="18"/>
                <w:szCs w:val="18"/>
              </w:rPr>
            </w:pPr>
            <w:r w:rsidRPr="00E60EA6">
              <w:rPr>
                <w:b/>
                <w:sz w:val="18"/>
                <w:szCs w:val="18"/>
              </w:rPr>
              <w:t>Variation</w:t>
            </w:r>
          </w:p>
        </w:tc>
        <w:tc>
          <w:tcPr>
            <w:tcW w:w="1417" w:type="dxa"/>
            <w:tcBorders>
              <w:bottom w:val="single" w:sz="4" w:space="0" w:color="auto"/>
            </w:tcBorders>
            <w:shd w:val="clear" w:color="auto" w:fill="auto"/>
          </w:tcPr>
          <w:p w:rsidR="008A4F3D" w:rsidRPr="00E60EA6" w:rsidRDefault="00C260E5" w:rsidP="00E60EA6">
            <w:pPr>
              <w:spacing w:before="0" w:after="0"/>
              <w:jc w:val="right"/>
              <w:rPr>
                <w:sz w:val="18"/>
                <w:szCs w:val="18"/>
              </w:rPr>
            </w:pPr>
            <w:r>
              <w:rPr>
                <w:sz w:val="18"/>
                <w:szCs w:val="18"/>
              </w:rPr>
              <w:t>58.6</w:t>
            </w:r>
            <w:r w:rsidR="008A4F3D" w:rsidRPr="00E60EA6">
              <w:rPr>
                <w:sz w:val="18"/>
                <w:szCs w:val="18"/>
              </w:rPr>
              <w:t>%</w:t>
            </w:r>
          </w:p>
        </w:tc>
        <w:tc>
          <w:tcPr>
            <w:tcW w:w="2836" w:type="dxa"/>
            <w:tcBorders>
              <w:bottom w:val="single" w:sz="4" w:space="0" w:color="auto"/>
            </w:tcBorders>
            <w:shd w:val="clear" w:color="auto" w:fill="auto"/>
          </w:tcPr>
          <w:p w:rsidR="008A4F3D" w:rsidRPr="00E60EA6" w:rsidRDefault="008A4F3D" w:rsidP="00E60EA6">
            <w:pPr>
              <w:spacing w:before="0" w:after="0"/>
              <w:rPr>
                <w:b/>
                <w:sz w:val="18"/>
                <w:szCs w:val="18"/>
              </w:rPr>
            </w:pPr>
            <w:r w:rsidRPr="00E60EA6">
              <w:rPr>
                <w:b/>
                <w:sz w:val="18"/>
                <w:szCs w:val="18"/>
              </w:rPr>
              <w:t>Variance</w:t>
            </w:r>
          </w:p>
        </w:tc>
        <w:tc>
          <w:tcPr>
            <w:tcW w:w="1524" w:type="dxa"/>
            <w:tcBorders>
              <w:bottom w:val="single" w:sz="4" w:space="0" w:color="auto"/>
            </w:tcBorders>
            <w:shd w:val="clear" w:color="auto" w:fill="auto"/>
          </w:tcPr>
          <w:p w:rsidR="008A4F3D" w:rsidRPr="00E60EA6" w:rsidRDefault="008A4F3D">
            <w:pPr>
              <w:spacing w:before="0" w:after="0"/>
              <w:jc w:val="right"/>
              <w:rPr>
                <w:sz w:val="18"/>
                <w:szCs w:val="18"/>
              </w:rPr>
            </w:pPr>
            <w:r w:rsidRPr="00E60EA6">
              <w:rPr>
                <w:sz w:val="18"/>
                <w:szCs w:val="18"/>
              </w:rPr>
              <w:t>$</w:t>
            </w:r>
            <w:r w:rsidR="00A3457A">
              <w:rPr>
                <w:sz w:val="18"/>
                <w:szCs w:val="18"/>
              </w:rPr>
              <w:t>365.</w:t>
            </w:r>
            <w:r w:rsidR="006B0939">
              <w:rPr>
                <w:sz w:val="18"/>
                <w:szCs w:val="18"/>
              </w:rPr>
              <w:t>08</w:t>
            </w:r>
          </w:p>
        </w:tc>
      </w:tr>
      <w:tr w:rsidR="008A4F3D" w:rsidRPr="00E60EA6" w:rsidTr="00E60EA6">
        <w:tc>
          <w:tcPr>
            <w:tcW w:w="2943" w:type="dxa"/>
            <w:tcBorders>
              <w:top w:val="single" w:sz="4" w:space="0" w:color="auto"/>
              <w:bottom w:val="single" w:sz="4" w:space="0" w:color="auto"/>
            </w:tcBorders>
            <w:shd w:val="clear" w:color="auto" w:fill="auto"/>
            <w:vAlign w:val="bottom"/>
          </w:tcPr>
          <w:p w:rsidR="008A4F3D" w:rsidRPr="00E60EA6" w:rsidRDefault="008A4F3D" w:rsidP="00E60EA6">
            <w:pPr>
              <w:spacing w:before="0" w:after="0"/>
              <w:rPr>
                <w:sz w:val="18"/>
                <w:szCs w:val="18"/>
              </w:rPr>
            </w:pPr>
            <w:r w:rsidRPr="00E60EA6">
              <w:rPr>
                <w:sz w:val="18"/>
                <w:szCs w:val="18"/>
              </w:rPr>
              <w:t>Rebate Amount</w:t>
            </w:r>
          </w:p>
          <w:p w:rsidR="008A4F3D" w:rsidRPr="00E60EA6" w:rsidRDefault="008A4F3D" w:rsidP="00E60EA6">
            <w:pPr>
              <w:spacing w:before="0" w:after="0"/>
              <w:rPr>
                <w:sz w:val="18"/>
                <w:szCs w:val="18"/>
              </w:rPr>
            </w:pPr>
            <w:r w:rsidRPr="00E60EA6">
              <w:rPr>
                <w:sz w:val="18"/>
                <w:szCs w:val="18"/>
              </w:rPr>
              <w:t>Percentage Rebate Allowable</w:t>
            </w:r>
          </w:p>
        </w:tc>
        <w:tc>
          <w:tcPr>
            <w:tcW w:w="1417" w:type="dxa"/>
            <w:tcBorders>
              <w:top w:val="single" w:sz="4" w:space="0" w:color="auto"/>
              <w:bottom w:val="single" w:sz="4" w:space="0" w:color="auto"/>
            </w:tcBorders>
            <w:shd w:val="clear" w:color="auto" w:fill="auto"/>
            <w:vAlign w:val="center"/>
          </w:tcPr>
          <w:p w:rsidR="008A4F3D" w:rsidRPr="00E60EA6" w:rsidRDefault="00C260E5" w:rsidP="00E60EA6">
            <w:pPr>
              <w:spacing w:before="0" w:after="0"/>
              <w:jc w:val="right"/>
              <w:rPr>
                <w:b/>
                <w:sz w:val="18"/>
                <w:szCs w:val="18"/>
              </w:rPr>
            </w:pPr>
            <w:r>
              <w:rPr>
                <w:b/>
                <w:sz w:val="18"/>
                <w:szCs w:val="18"/>
              </w:rPr>
              <w:t>45</w:t>
            </w:r>
            <w:r w:rsidR="008A4F3D" w:rsidRPr="00E60EA6">
              <w:rPr>
                <w:b/>
                <w:sz w:val="18"/>
                <w:szCs w:val="18"/>
              </w:rPr>
              <w:t>.0%</w:t>
            </w:r>
          </w:p>
        </w:tc>
        <w:tc>
          <w:tcPr>
            <w:tcW w:w="2836" w:type="dxa"/>
            <w:tcBorders>
              <w:top w:val="single" w:sz="4" w:space="0" w:color="auto"/>
              <w:bottom w:val="single" w:sz="4" w:space="0" w:color="auto"/>
            </w:tcBorders>
            <w:shd w:val="clear" w:color="auto" w:fill="auto"/>
            <w:vAlign w:val="center"/>
          </w:tcPr>
          <w:p w:rsidR="008A4F3D" w:rsidRPr="00E60EA6" w:rsidRDefault="008A4F3D" w:rsidP="00E60EA6">
            <w:pPr>
              <w:spacing w:before="0" w:after="0"/>
              <w:jc w:val="right"/>
              <w:rPr>
                <w:b/>
                <w:sz w:val="18"/>
                <w:szCs w:val="18"/>
              </w:rPr>
            </w:pPr>
          </w:p>
        </w:tc>
        <w:tc>
          <w:tcPr>
            <w:tcW w:w="1524" w:type="dxa"/>
            <w:tcBorders>
              <w:top w:val="single" w:sz="4" w:space="0" w:color="auto"/>
              <w:bottom w:val="single" w:sz="4" w:space="0" w:color="auto"/>
            </w:tcBorders>
            <w:shd w:val="clear" w:color="auto" w:fill="auto"/>
            <w:vAlign w:val="center"/>
          </w:tcPr>
          <w:p w:rsidR="008A4F3D" w:rsidRPr="00E60EA6" w:rsidRDefault="008A4F3D" w:rsidP="005B4D00">
            <w:pPr>
              <w:spacing w:before="0" w:after="0"/>
              <w:jc w:val="right"/>
              <w:rPr>
                <w:b/>
                <w:sz w:val="18"/>
                <w:szCs w:val="18"/>
              </w:rPr>
            </w:pPr>
            <w:r w:rsidRPr="00E60EA6">
              <w:rPr>
                <w:b/>
                <w:sz w:val="18"/>
                <w:szCs w:val="18"/>
              </w:rPr>
              <w:t>$</w:t>
            </w:r>
            <w:r w:rsidR="00A3457A">
              <w:rPr>
                <w:b/>
                <w:sz w:val="18"/>
                <w:szCs w:val="18"/>
              </w:rPr>
              <w:t>164.</w:t>
            </w:r>
            <w:r w:rsidR="006B0939">
              <w:rPr>
                <w:b/>
                <w:sz w:val="18"/>
                <w:szCs w:val="18"/>
              </w:rPr>
              <w:t>2</w:t>
            </w:r>
            <w:r w:rsidR="00A3457A">
              <w:rPr>
                <w:b/>
                <w:sz w:val="18"/>
                <w:szCs w:val="18"/>
              </w:rPr>
              <w:t>9</w:t>
            </w:r>
          </w:p>
        </w:tc>
      </w:tr>
    </w:tbl>
    <w:p w:rsidR="001D734C" w:rsidRDefault="001D734C">
      <w:pPr>
        <w:pStyle w:val="BodyText"/>
      </w:pPr>
    </w:p>
    <w:p w:rsidR="00A23966" w:rsidRDefault="00E82FFE">
      <w:pPr>
        <w:pStyle w:val="BodyText"/>
      </w:pPr>
      <w:r w:rsidRPr="00D576C5">
        <w:t>No maximum rebate under this formula is to apply.</w:t>
      </w:r>
    </w:p>
    <w:p w:rsidR="00A23966" w:rsidRDefault="00E82FFE">
      <w:pPr>
        <w:pStyle w:val="BodyText"/>
      </w:pPr>
      <w:r w:rsidRPr="00D576C5">
        <w:t xml:space="preserve">The Recycle and Waste Services </w:t>
      </w:r>
      <w:r w:rsidR="00D14549">
        <w:t>c</w:t>
      </w:r>
      <w:r w:rsidR="00D14549" w:rsidRPr="00D576C5">
        <w:t xml:space="preserve">harge </w:t>
      </w:r>
      <w:r w:rsidRPr="00D576C5">
        <w:t xml:space="preserve">and the Municipal </w:t>
      </w:r>
      <w:r w:rsidR="00D14549">
        <w:t>c</w:t>
      </w:r>
      <w:r w:rsidR="00D14549" w:rsidRPr="00D576C5">
        <w:t xml:space="preserve">harge </w:t>
      </w:r>
      <w:r w:rsidRPr="00D576C5">
        <w:t>are excluded from the waiver.</w:t>
      </w:r>
    </w:p>
    <w:p w:rsidR="00CA263C" w:rsidRDefault="00E82FFE" w:rsidP="00CA263C">
      <w:pPr>
        <w:pStyle w:val="Heading5"/>
        <w:jc w:val="both"/>
      </w:pPr>
      <w:r w:rsidRPr="00D576C5">
        <w:t>Reason for policy</w:t>
      </w:r>
    </w:p>
    <w:p w:rsidR="00A23966" w:rsidRDefault="00E82FFE">
      <w:pPr>
        <w:pStyle w:val="BodyText"/>
      </w:pPr>
      <w:r w:rsidRPr="00D576C5">
        <w:t xml:space="preserve">The waiver provisions are provided for under LGA </w:t>
      </w:r>
      <w:r w:rsidR="00D14549">
        <w:t>s</w:t>
      </w:r>
      <w:r w:rsidR="00D14549" w:rsidRPr="00D576C5">
        <w:t xml:space="preserve">ection </w:t>
      </w:r>
      <w:r w:rsidRPr="00D576C5">
        <w:t>171A.</w:t>
      </w:r>
    </w:p>
    <w:p w:rsidR="00A23966" w:rsidRDefault="00E82FFE">
      <w:pPr>
        <w:pStyle w:val="BodyText"/>
      </w:pPr>
      <w:r w:rsidRPr="00D576C5">
        <w:t xml:space="preserve">The waiver is to be granted upon application simplified for those ratepayers </w:t>
      </w:r>
      <w:r w:rsidRPr="00D576C5">
        <w:lastRenderedPageBreak/>
        <w:t xml:space="preserve">supplying a current Centrelink statement of earnings or </w:t>
      </w:r>
      <w:smartTag w:uri="urn:schemas-microsoft-com:office:smarttags" w:element="stockticker">
        <w:r w:rsidRPr="00D576C5">
          <w:t>ATO</w:t>
        </w:r>
      </w:smartTag>
      <w:r w:rsidRPr="00D576C5">
        <w:t xml:space="preserve"> tax assessment. </w:t>
      </w:r>
    </w:p>
    <w:p w:rsidR="00A23966" w:rsidRDefault="00E82FFE">
      <w:pPr>
        <w:pStyle w:val="BodyText"/>
      </w:pPr>
      <w:r w:rsidRPr="00D576C5">
        <w:t>The property criteria to be met is to ensure that the waiver is properly targeted to property owners that have experienced significant changes in valuations by reason only of market forces.</w:t>
      </w:r>
    </w:p>
    <w:p w:rsidR="00F462EA" w:rsidRDefault="00E82FFE">
      <w:pPr>
        <w:pStyle w:val="BodyText"/>
      </w:pPr>
      <w:r w:rsidRPr="00D576C5">
        <w:t xml:space="preserve">The financial criteria is to prove hardship within the context of the legislation and to ensure that only low-income status property owners become entitled to the waiver. </w:t>
      </w:r>
    </w:p>
    <w:p w:rsidR="00F462EA" w:rsidRDefault="00E82FFE">
      <w:pPr>
        <w:pStyle w:val="BodyText"/>
      </w:pPr>
      <w:r w:rsidRPr="00266514">
        <w:t>The maximum income test is $</w:t>
      </w:r>
      <w:r w:rsidR="00A3457A">
        <w:t>53,728</w:t>
      </w:r>
      <w:r w:rsidRPr="00266514">
        <w:t xml:space="preserve"> which is the Centrelink threshol</w:t>
      </w:r>
      <w:r w:rsidR="0066426E">
        <w:t>d for Family Tax Benefit Part A</w:t>
      </w:r>
      <w:r w:rsidRPr="00266514">
        <w:t>.</w:t>
      </w:r>
    </w:p>
    <w:p w:rsidR="00F462EA" w:rsidRDefault="00E82FFE">
      <w:pPr>
        <w:pStyle w:val="BodyText"/>
      </w:pPr>
      <w:r w:rsidRPr="00266514">
        <w:t>Other ratepayers, via a higher rate, effectively pay for the cost of any waiver granted.</w:t>
      </w:r>
    </w:p>
    <w:p w:rsidR="00F462EA" w:rsidRDefault="00E82FFE">
      <w:pPr>
        <w:pStyle w:val="BodyText"/>
      </w:pPr>
      <w:r w:rsidRPr="00266514">
        <w:t xml:space="preserve">The application process is to be subject to the provision of LGA </w:t>
      </w:r>
      <w:r w:rsidR="00D14549">
        <w:t>s</w:t>
      </w:r>
      <w:r w:rsidR="00D14549" w:rsidRPr="00266514">
        <w:t xml:space="preserve">ection </w:t>
      </w:r>
      <w:r w:rsidRPr="00266514">
        <w:t>171A (4) with penalties for misleading or false information relative to the granting of the waiver (10 penalty units equals $</w:t>
      </w:r>
      <w:r w:rsidR="00A3457A">
        <w:t>1,652.20</w:t>
      </w:r>
      <w:r w:rsidR="008E1C23">
        <w:t xml:space="preserve"> as at 1 July </w:t>
      </w:r>
      <w:r w:rsidR="00A3457A">
        <w:t>2019</w:t>
      </w:r>
      <w:r w:rsidRPr="00266514">
        <w:t>).</w:t>
      </w:r>
    </w:p>
    <w:p w:rsidR="00323854" w:rsidRDefault="00E82FFE" w:rsidP="00D43F06">
      <w:pPr>
        <w:pStyle w:val="Heading5"/>
      </w:pPr>
      <w:r w:rsidRPr="00D576C5">
        <w:t>Communications</w:t>
      </w:r>
    </w:p>
    <w:p w:rsidR="00323854" w:rsidRDefault="00D14549">
      <w:pPr>
        <w:pStyle w:val="BodyText"/>
      </w:pPr>
      <w:r>
        <w:t>The City</w:t>
      </w:r>
      <w:r w:rsidRPr="00D576C5">
        <w:t xml:space="preserve"> </w:t>
      </w:r>
      <w:r w:rsidR="00E82FFE" w:rsidRPr="00D576C5">
        <w:t>to ratepayers’ communication will include the following:</w:t>
      </w:r>
    </w:p>
    <w:p w:rsidR="00A23966" w:rsidRPr="00583AE6" w:rsidRDefault="00E82FFE" w:rsidP="005167B1">
      <w:pPr>
        <w:pStyle w:val="ListParagraph"/>
        <w:numPr>
          <w:ilvl w:val="0"/>
          <w:numId w:val="43"/>
        </w:numPr>
        <w:spacing w:after="80"/>
        <w:ind w:left="357" w:hanging="357"/>
        <w:jc w:val="both"/>
      </w:pPr>
      <w:r w:rsidRPr="00C05662">
        <w:rPr>
          <w:rFonts w:cs="Lucida Sans Unicode"/>
          <w:szCs w:val="22"/>
        </w:rPr>
        <w:t>Rates assistance waiver: A letter is sent to each residential property identified as having a significant valuation movement outlining the Rates Assistance measures available.  An</w:t>
      </w:r>
      <w:r w:rsidRPr="005A2AD5">
        <w:rPr>
          <w:rFonts w:cs="Lucida Sans Unicode"/>
          <w:szCs w:val="22"/>
        </w:rPr>
        <w:t xml:space="preserve"> ‘Application for Waiver’ form accompanies the letter.</w:t>
      </w:r>
    </w:p>
    <w:p w:rsidR="00A23966" w:rsidRPr="005167B1" w:rsidRDefault="00E82FFE" w:rsidP="005167B1">
      <w:pPr>
        <w:pStyle w:val="ListParagraph"/>
        <w:numPr>
          <w:ilvl w:val="0"/>
          <w:numId w:val="43"/>
        </w:numPr>
        <w:spacing w:after="80"/>
        <w:ind w:left="357" w:hanging="357"/>
        <w:jc w:val="both"/>
      </w:pPr>
      <w:r w:rsidRPr="00583AE6">
        <w:rPr>
          <w:rFonts w:cs="Lucida Sans Unicode"/>
          <w:szCs w:val="22"/>
        </w:rPr>
        <w:t xml:space="preserve">Personalised assistance will be given for either deferral or waiver measures including </w:t>
      </w:r>
      <w:r w:rsidR="00B036A7" w:rsidRPr="005167B1">
        <w:rPr>
          <w:rFonts w:cs="Lucida Sans Unicode"/>
          <w:szCs w:val="22"/>
        </w:rPr>
        <w:t xml:space="preserve">council </w:t>
      </w:r>
      <w:r w:rsidRPr="005167B1">
        <w:rPr>
          <w:rFonts w:cs="Lucida Sans Unicode"/>
          <w:szCs w:val="22"/>
        </w:rPr>
        <w:t>officers visiting the ratepayer if necessary (this already occurs with some pensioner applications).</w:t>
      </w:r>
    </w:p>
    <w:p w:rsidR="00A23966" w:rsidRPr="005167B1" w:rsidRDefault="00E82FFE" w:rsidP="005167B1">
      <w:pPr>
        <w:pStyle w:val="ListParagraph"/>
        <w:numPr>
          <w:ilvl w:val="0"/>
          <w:numId w:val="43"/>
        </w:numPr>
        <w:spacing w:after="80"/>
        <w:ind w:left="357" w:hanging="357"/>
        <w:jc w:val="both"/>
      </w:pPr>
      <w:r w:rsidRPr="005167B1">
        <w:rPr>
          <w:rFonts w:cs="Lucida Sans Unicode"/>
          <w:szCs w:val="22"/>
        </w:rPr>
        <w:t xml:space="preserve">Staff training is conducted each year with </w:t>
      </w:r>
      <w:r w:rsidR="00AB21BD" w:rsidRPr="005167B1">
        <w:rPr>
          <w:rFonts w:cs="Lucida Sans Unicode"/>
          <w:szCs w:val="22"/>
        </w:rPr>
        <w:t xml:space="preserve">customer service </w:t>
      </w:r>
      <w:r w:rsidRPr="005167B1">
        <w:rPr>
          <w:rFonts w:cs="Lucida Sans Unicode"/>
          <w:szCs w:val="22"/>
        </w:rPr>
        <w:t>staff, with material available to again emphasise the assistance measures available to ensure that ratepayer requests are properly addressed.</w:t>
      </w:r>
    </w:p>
    <w:p w:rsidR="00A23966" w:rsidRPr="005167B1" w:rsidRDefault="00E82FFE" w:rsidP="005167B1">
      <w:pPr>
        <w:pStyle w:val="ListParagraph"/>
        <w:numPr>
          <w:ilvl w:val="0"/>
          <w:numId w:val="43"/>
        </w:numPr>
        <w:spacing w:after="80"/>
        <w:ind w:left="357" w:hanging="357"/>
        <w:jc w:val="both"/>
      </w:pPr>
      <w:r w:rsidRPr="005167B1">
        <w:rPr>
          <w:rFonts w:cs="Lucida Sans Unicode"/>
          <w:szCs w:val="22"/>
        </w:rPr>
        <w:t xml:space="preserve">Information will be included on the rate notice, rate brochure, web site and City News advertising. </w:t>
      </w:r>
    </w:p>
    <w:p w:rsidR="00323854" w:rsidRDefault="00381E11" w:rsidP="00671F60">
      <w:pPr>
        <w:pStyle w:val="Heading4"/>
      </w:pPr>
      <w:bookmarkStart w:id="403" w:name="_Toc355947458"/>
      <w:bookmarkStart w:id="404" w:name="_Toc356202951"/>
      <w:bookmarkStart w:id="405" w:name="_Toc403114418"/>
      <w:bookmarkStart w:id="406" w:name="_Toc11845154"/>
      <w:r>
        <w:t>New Corio Estate (Inappropriate</w:t>
      </w:r>
      <w:r w:rsidR="00266514">
        <w:t xml:space="preserve"> </w:t>
      </w:r>
      <w:r>
        <w:t>Subdivision) Waiver</w:t>
      </w:r>
      <w:bookmarkEnd w:id="403"/>
      <w:bookmarkEnd w:id="404"/>
      <w:bookmarkEnd w:id="405"/>
      <w:bookmarkEnd w:id="406"/>
    </w:p>
    <w:p w:rsidR="002B0B34" w:rsidRDefault="002B0B34">
      <w:pPr>
        <w:pStyle w:val="BodyText"/>
      </w:pPr>
      <w:bookmarkStart w:id="407" w:name="_Toc260749471"/>
      <w:bookmarkStart w:id="408" w:name="_Toc292369548"/>
      <w:bookmarkStart w:id="409" w:name="_Toc355947460"/>
      <w:bookmarkStart w:id="410" w:name="_Toc356202952"/>
      <w:r w:rsidRPr="00A40400">
        <w:t>The New Corio Estate is an old and inappropriate subdivision within an established farming zone in Corio. Since the land is zoned as farming land it cannot be developed for residential use with no services available for the area. There is no prospect of these services becoming available in the future</w:t>
      </w:r>
      <w:r>
        <w:t xml:space="preserve">. In addition Council has adopted Planning Scheme amendment C243 which formally protects the native vegetation and provides some certainty over future use of the land. </w:t>
      </w:r>
    </w:p>
    <w:p w:rsidR="002B0B34" w:rsidRPr="00D576C5" w:rsidRDefault="002B0B34">
      <w:pPr>
        <w:pStyle w:val="BodyText"/>
      </w:pPr>
      <w:r>
        <w:lastRenderedPageBreak/>
        <w:t xml:space="preserve">For </w:t>
      </w:r>
      <w:r w:rsidR="009F7CEB">
        <w:t>2019-20</w:t>
      </w:r>
      <w:r w:rsidR="00A17087">
        <w:t xml:space="preserve"> </w:t>
      </w:r>
      <w:r w:rsidR="00AB21BD">
        <w:t xml:space="preserve">Council </w:t>
      </w:r>
      <w:r>
        <w:t>will declare a waiver under section 171 of the LGA of 100% of general rates and municipal charge for privately owned properties in the New Corio Estate. This rates assistance waiver recognises the financial burden associated with ownership of the land and the</w:t>
      </w:r>
      <w:r w:rsidRPr="00F44D3B">
        <w:t xml:space="preserve"> encumbrances that prevents property owners from making any demands on </w:t>
      </w:r>
      <w:r w:rsidR="00AB21BD">
        <w:t>c</w:t>
      </w:r>
      <w:r w:rsidR="00AB21BD" w:rsidRPr="00F44D3B">
        <w:t xml:space="preserve">ouncil </w:t>
      </w:r>
      <w:r w:rsidRPr="00F44D3B">
        <w:t>services now and into the future</w:t>
      </w:r>
      <w:r>
        <w:t xml:space="preserve">. </w:t>
      </w:r>
    </w:p>
    <w:p w:rsidR="001D7FFA" w:rsidRDefault="001D7FFA" w:rsidP="00671F60">
      <w:pPr>
        <w:pStyle w:val="Heading4"/>
      </w:pPr>
      <w:bookmarkStart w:id="411" w:name="_Toc292369546"/>
      <w:bookmarkStart w:id="412" w:name="_Toc355947461"/>
      <w:bookmarkStart w:id="413" w:name="_Toc356202953"/>
      <w:bookmarkStart w:id="414" w:name="_Toc403114420"/>
      <w:bookmarkStart w:id="415" w:name="_Toc11845155"/>
      <w:bookmarkEnd w:id="364"/>
      <w:bookmarkEnd w:id="365"/>
      <w:bookmarkEnd w:id="366"/>
      <w:bookmarkEnd w:id="378"/>
      <w:bookmarkEnd w:id="379"/>
      <w:bookmarkEnd w:id="380"/>
      <w:bookmarkEnd w:id="407"/>
      <w:bookmarkEnd w:id="408"/>
      <w:bookmarkEnd w:id="409"/>
      <w:bookmarkEnd w:id="410"/>
      <w:r w:rsidRPr="00D576C5">
        <w:t xml:space="preserve">Deferral of Rates - LGA </w:t>
      </w:r>
      <w:r w:rsidR="00AB21BD">
        <w:t>s</w:t>
      </w:r>
      <w:r w:rsidR="00AB21BD" w:rsidRPr="00D576C5">
        <w:t xml:space="preserve">ection </w:t>
      </w:r>
      <w:r w:rsidRPr="00D576C5">
        <w:t>170</w:t>
      </w:r>
      <w:bookmarkEnd w:id="411"/>
      <w:bookmarkEnd w:id="412"/>
      <w:bookmarkEnd w:id="413"/>
      <w:bookmarkEnd w:id="414"/>
      <w:bookmarkEnd w:id="415"/>
    </w:p>
    <w:p w:rsidR="00E82FFE" w:rsidRPr="00D576C5" w:rsidRDefault="00E82FFE" w:rsidP="00671F60">
      <w:pPr>
        <w:pStyle w:val="Heading4"/>
      </w:pPr>
      <w:bookmarkStart w:id="416" w:name="_Toc292369545"/>
      <w:bookmarkStart w:id="417" w:name="_Toc355947462"/>
      <w:bookmarkStart w:id="418" w:name="_Toc356202954"/>
      <w:bookmarkStart w:id="419" w:name="_Toc403114421"/>
      <w:bookmarkStart w:id="420" w:name="_Toc11845156"/>
      <w:r w:rsidRPr="00D576C5">
        <w:t>Assistance to Individuals</w:t>
      </w:r>
      <w:bookmarkEnd w:id="416"/>
      <w:bookmarkEnd w:id="417"/>
      <w:bookmarkEnd w:id="418"/>
      <w:bookmarkEnd w:id="419"/>
      <w:bookmarkEnd w:id="420"/>
    </w:p>
    <w:p w:rsidR="00E82FFE" w:rsidRPr="00D576C5" w:rsidRDefault="00E82FFE">
      <w:pPr>
        <w:pStyle w:val="BodyText"/>
      </w:pPr>
      <w:r w:rsidRPr="00D576C5">
        <w:t xml:space="preserve">When a ratepayer has financial difficulty </w:t>
      </w:r>
      <w:r w:rsidR="00AB21BD">
        <w:t xml:space="preserve">the </w:t>
      </w:r>
      <w:r w:rsidR="00B036A7">
        <w:t>C</w:t>
      </w:r>
      <w:r w:rsidR="00AB21BD">
        <w:t>ity</w:t>
      </w:r>
      <w:r w:rsidR="00AB21BD" w:rsidRPr="00D576C5">
        <w:t xml:space="preserve"> </w:t>
      </w:r>
      <w:r w:rsidRPr="00D576C5">
        <w:t>will consider deferral of rates.</w:t>
      </w:r>
    </w:p>
    <w:p w:rsidR="00E82FFE" w:rsidRPr="00D576C5" w:rsidRDefault="00E82FFE">
      <w:pPr>
        <w:pStyle w:val="BodyText"/>
      </w:pPr>
      <w:r w:rsidRPr="00D576C5">
        <w:t xml:space="preserve">Policy Statement: Council has determined that the provisions for deferral (LGA </w:t>
      </w:r>
      <w:r w:rsidR="00AB21BD">
        <w:t>s</w:t>
      </w:r>
      <w:r w:rsidR="00AB21BD" w:rsidRPr="00D576C5">
        <w:t xml:space="preserve">ection </w:t>
      </w:r>
      <w:r w:rsidRPr="00D576C5">
        <w:t xml:space="preserve">170) and waiver of rates (LGA </w:t>
      </w:r>
      <w:r w:rsidR="00AB21BD">
        <w:t>s</w:t>
      </w:r>
      <w:r w:rsidR="00AB21BD" w:rsidRPr="00D576C5">
        <w:t xml:space="preserve">ection </w:t>
      </w:r>
      <w:r w:rsidRPr="00D576C5">
        <w:t xml:space="preserve">171 &amp; 171A) may be utilised in accordance with the delegated authority to officers approved by Council. </w:t>
      </w:r>
    </w:p>
    <w:p w:rsidR="00F462EA" w:rsidRDefault="00E82FFE">
      <w:pPr>
        <w:pStyle w:val="BodyText"/>
      </w:pPr>
      <w:r w:rsidRPr="00D576C5">
        <w:t>Reason for Policy: Council recognises that discretionary deferral and waiver of rates is appropriate for certain individuals in cases of proven hardship.</w:t>
      </w:r>
    </w:p>
    <w:p w:rsidR="00F462EA" w:rsidRDefault="001D7FFA">
      <w:pPr>
        <w:pStyle w:val="BodyText"/>
      </w:pPr>
      <w:r w:rsidRPr="00D576C5">
        <w:t xml:space="preserve">The option to defer rates is a legislative provision – LGA </w:t>
      </w:r>
      <w:r w:rsidR="00AB21BD">
        <w:t>s</w:t>
      </w:r>
      <w:r w:rsidR="00AB21BD" w:rsidRPr="00D576C5">
        <w:t xml:space="preserve">ection </w:t>
      </w:r>
      <w:r w:rsidRPr="00D576C5">
        <w:t xml:space="preserve">170.  </w:t>
      </w:r>
    </w:p>
    <w:p w:rsidR="00F462EA" w:rsidRDefault="00B036A7">
      <w:pPr>
        <w:pStyle w:val="BodyText"/>
      </w:pPr>
      <w:r>
        <w:t>Council</w:t>
      </w:r>
      <w:r w:rsidR="00AB21BD" w:rsidRPr="00D576C5">
        <w:t xml:space="preserve"> </w:t>
      </w:r>
      <w:r w:rsidR="001D7FFA" w:rsidRPr="00D576C5">
        <w:t xml:space="preserve">has determined that the deferral of rates be extended to include both residential and non-investment vacant land ratepayers. </w:t>
      </w:r>
    </w:p>
    <w:p w:rsidR="00F462EA" w:rsidRDefault="001D7FFA">
      <w:pPr>
        <w:pStyle w:val="BodyText"/>
      </w:pPr>
      <w:r w:rsidRPr="00D576C5">
        <w:t xml:space="preserve">Promotion of this option will occur on the rate notice, rate brochures and web site. </w:t>
      </w:r>
    </w:p>
    <w:p w:rsidR="00F462EA" w:rsidRDefault="001D7FFA">
      <w:pPr>
        <w:pStyle w:val="BodyText"/>
      </w:pPr>
      <w:r w:rsidRPr="00D576C5">
        <w:t xml:space="preserve">There is a misconception that by deferring rates </w:t>
      </w:r>
      <w:r w:rsidR="00AB21BD">
        <w:t>the City</w:t>
      </w:r>
      <w:r w:rsidR="00AB21BD" w:rsidRPr="00D576C5">
        <w:t xml:space="preserve"> </w:t>
      </w:r>
      <w:r w:rsidRPr="00D576C5">
        <w:t>would eventually “own the property” by way of accumulated debt. This is not so.  By way of example, current average rates approximate 0.</w:t>
      </w:r>
      <w:r w:rsidR="00606DBB">
        <w:t>22</w:t>
      </w:r>
      <w:r w:rsidRPr="00D576C5">
        <w:t xml:space="preserve">% of the capital value of the property.  Based on the average residential rates and the actual </w:t>
      </w:r>
      <w:smartTag w:uri="urn:schemas-microsoft-com:office:smarttags" w:element="stockticker">
        <w:r w:rsidRPr="00D576C5">
          <w:t>CIV</w:t>
        </w:r>
      </w:smartTag>
      <w:r w:rsidRPr="00D576C5">
        <w:t xml:space="preserve"> changes and rate increases over the past 10 years, even after 10 years of accumulated rate deferral (with interest rate</w:t>
      </w:r>
      <w:r w:rsidR="00CA5A75">
        <w:t xml:space="preserve"> for </w:t>
      </w:r>
      <w:r w:rsidR="009F7CEB">
        <w:t>2019-20</w:t>
      </w:r>
      <w:r w:rsidR="00A17087">
        <w:t xml:space="preserve"> </w:t>
      </w:r>
      <w:r w:rsidR="00CA5A75">
        <w:t xml:space="preserve">at </w:t>
      </w:r>
      <w:r w:rsidR="00A17087">
        <w:t>5.</w:t>
      </w:r>
      <w:r w:rsidR="009F7CEB">
        <w:t>34</w:t>
      </w:r>
      <w:r w:rsidR="00CA5A75">
        <w:t>%)</w:t>
      </w:r>
      <w:r w:rsidRPr="00D576C5">
        <w:t xml:space="preserve">, the value of rates deferred still only approximated </w:t>
      </w:r>
      <w:r w:rsidR="00E36BE5">
        <w:t>3.</w:t>
      </w:r>
      <w:r w:rsidR="00606DBB">
        <w:t>2</w:t>
      </w:r>
      <w:r w:rsidRPr="00D576C5">
        <w:t>% of the properties capital value.</w:t>
      </w:r>
    </w:p>
    <w:p w:rsidR="00AB21BD" w:rsidRDefault="00227352">
      <w:pPr>
        <w:pStyle w:val="BodyText"/>
      </w:pPr>
      <w:r>
        <w:rPr>
          <w:bCs w:val="0"/>
          <w:lang w:val="en-AU"/>
        </w:rPr>
        <w:drawing>
          <wp:inline distT="0" distB="0" distL="0" distR="0">
            <wp:extent cx="4844034" cy="2047875"/>
            <wp:effectExtent l="19050" t="19050" r="13970"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47999" cy="2049551"/>
                    </a:xfrm>
                    <a:prstGeom prst="rect">
                      <a:avLst/>
                    </a:prstGeom>
                    <a:noFill/>
                    <a:ln w="12700">
                      <a:solidFill>
                        <a:srgbClr val="2E74B5"/>
                      </a:solidFill>
                      <a:miter lim="800000"/>
                      <a:headEnd/>
                      <a:tailEnd/>
                    </a:ln>
                  </pic:spPr>
                </pic:pic>
              </a:graphicData>
            </a:graphic>
          </wp:inline>
        </w:drawing>
      </w:r>
      <w:r w:rsidR="00606DBB" w:rsidRPr="00606DBB">
        <w:t xml:space="preserve"> </w:t>
      </w:r>
    </w:p>
    <w:p w:rsidR="00F462EA" w:rsidRDefault="00AB21BD">
      <w:pPr>
        <w:pStyle w:val="BodyText"/>
      </w:pPr>
      <w:r>
        <w:lastRenderedPageBreak/>
        <w:t>The City</w:t>
      </w:r>
      <w:r w:rsidR="001D7FFA" w:rsidRPr="00D576C5">
        <w:t xml:space="preserve"> has established guidelines and an application form for ratepayers wishing to apply for deferral or waiver of rates. </w:t>
      </w:r>
    </w:p>
    <w:p w:rsidR="00F462EA" w:rsidRDefault="001D7FFA">
      <w:pPr>
        <w:pStyle w:val="BodyText"/>
      </w:pPr>
      <w:r w:rsidRPr="001D734C">
        <w:t xml:space="preserve">If </w:t>
      </w:r>
      <w:r w:rsidR="00AB21BD" w:rsidRPr="001D734C">
        <w:t xml:space="preserve">the City </w:t>
      </w:r>
      <w:r w:rsidRPr="001D734C">
        <w:t xml:space="preserve">is satisfied on the application of a ratepayer that payment of rates in accordance with the Act would </w:t>
      </w:r>
      <w:r w:rsidR="00266514" w:rsidRPr="001D734C">
        <w:t xml:space="preserve">cause hardship, the </w:t>
      </w:r>
      <w:r w:rsidR="00AB21BD" w:rsidRPr="001D734C">
        <w:t xml:space="preserve">the City </w:t>
      </w:r>
      <w:r w:rsidR="00266514" w:rsidRPr="001D734C">
        <w:t>may d</w:t>
      </w:r>
      <w:r w:rsidRPr="001D734C">
        <w:t xml:space="preserve">efer payment or part payment for such period as </w:t>
      </w:r>
      <w:r w:rsidR="00AB21BD" w:rsidRPr="001D734C">
        <w:t xml:space="preserve">the City </w:t>
      </w:r>
      <w:r w:rsidRPr="001D734C">
        <w:t>thinks fit.</w:t>
      </w:r>
      <w:r w:rsidR="00AB21BD">
        <w:t xml:space="preserve">  </w:t>
      </w:r>
    </w:p>
    <w:p w:rsidR="00F462EA" w:rsidRDefault="001D7FFA">
      <w:pPr>
        <w:pStyle w:val="BodyText"/>
      </w:pPr>
      <w:r w:rsidRPr="00D576C5">
        <w:t>The deferral will be granted on the following conditions:</w:t>
      </w:r>
    </w:p>
    <w:p w:rsidR="00A23966" w:rsidRPr="005167B1" w:rsidRDefault="001D7FFA" w:rsidP="005167B1">
      <w:pPr>
        <w:pStyle w:val="ListParagraph"/>
        <w:numPr>
          <w:ilvl w:val="0"/>
          <w:numId w:val="43"/>
        </w:numPr>
        <w:spacing w:after="80"/>
        <w:ind w:left="357" w:hanging="357"/>
        <w:jc w:val="both"/>
      </w:pPr>
      <w:r w:rsidRPr="00C05662">
        <w:rPr>
          <w:rFonts w:cs="Lucida Sans Unicode"/>
          <w:szCs w:val="22"/>
        </w:rPr>
        <w:t>That the ratepayer pay interest on the amount affected by the deferr</w:t>
      </w:r>
      <w:r w:rsidRPr="005A2AD5">
        <w:rPr>
          <w:rFonts w:cs="Lucida Sans Unicode"/>
          <w:szCs w:val="22"/>
        </w:rPr>
        <w:t xml:space="preserve">al at a rate fixed by </w:t>
      </w:r>
      <w:r w:rsidR="00AB21BD" w:rsidRPr="00132FCB">
        <w:rPr>
          <w:rFonts w:cs="Lucida Sans Unicode"/>
          <w:szCs w:val="22"/>
        </w:rPr>
        <w:t>the City</w:t>
      </w:r>
      <w:r w:rsidRPr="005167B1">
        <w:rPr>
          <w:rFonts w:cs="Lucida Sans Unicode"/>
          <w:szCs w:val="22"/>
        </w:rPr>
        <w:t xml:space="preserve">. </w:t>
      </w:r>
    </w:p>
    <w:p w:rsidR="00A23966" w:rsidRPr="005167B1" w:rsidRDefault="001D7FFA" w:rsidP="005167B1">
      <w:pPr>
        <w:pStyle w:val="ListParagraph"/>
        <w:numPr>
          <w:ilvl w:val="0"/>
          <w:numId w:val="43"/>
        </w:numPr>
        <w:spacing w:after="80"/>
        <w:ind w:left="357" w:hanging="357"/>
        <w:jc w:val="both"/>
      </w:pPr>
      <w:r w:rsidRPr="005167B1">
        <w:rPr>
          <w:rFonts w:cs="Lucida Sans Unicode"/>
          <w:szCs w:val="22"/>
        </w:rPr>
        <w:t xml:space="preserve">The deferral ceases if </w:t>
      </w:r>
      <w:r w:rsidR="00AB21BD" w:rsidRPr="005167B1">
        <w:rPr>
          <w:rFonts w:cs="Lucida Sans Unicode"/>
          <w:szCs w:val="22"/>
        </w:rPr>
        <w:t xml:space="preserve">the City </w:t>
      </w:r>
      <w:r w:rsidRPr="005167B1">
        <w:rPr>
          <w:rFonts w:cs="Lucida Sans Unicode"/>
          <w:szCs w:val="22"/>
        </w:rPr>
        <w:t xml:space="preserve">in its discretion revokes the deferral (in which case </w:t>
      </w:r>
      <w:r w:rsidR="00AB21BD" w:rsidRPr="005167B1">
        <w:rPr>
          <w:rFonts w:cs="Lucida Sans Unicode"/>
          <w:szCs w:val="22"/>
        </w:rPr>
        <w:t xml:space="preserve">the City </w:t>
      </w:r>
      <w:r w:rsidRPr="005167B1">
        <w:rPr>
          <w:rFonts w:cs="Lucida Sans Unicode"/>
          <w:szCs w:val="22"/>
        </w:rPr>
        <w:t xml:space="preserve">must give the ratepayer at least 30 </w:t>
      </w:r>
      <w:r w:rsidR="00B347F4" w:rsidRPr="005167B1">
        <w:rPr>
          <w:rFonts w:cs="Lucida Sans Unicode"/>
          <w:szCs w:val="22"/>
        </w:rPr>
        <w:t>days’ notice</w:t>
      </w:r>
      <w:r w:rsidRPr="005167B1">
        <w:rPr>
          <w:rFonts w:cs="Lucida Sans Unicode"/>
          <w:szCs w:val="22"/>
        </w:rPr>
        <w:t xml:space="preserve"> in writing of the revocation before taking action to recover rates affected by the deferral);</w:t>
      </w:r>
    </w:p>
    <w:p w:rsidR="00A23966" w:rsidRPr="005167B1" w:rsidRDefault="001D7FFA" w:rsidP="005167B1">
      <w:pPr>
        <w:pStyle w:val="ListParagraph"/>
        <w:numPr>
          <w:ilvl w:val="0"/>
          <w:numId w:val="43"/>
        </w:numPr>
        <w:spacing w:after="80"/>
        <w:ind w:left="357" w:hanging="357"/>
        <w:jc w:val="both"/>
      </w:pPr>
      <w:r w:rsidRPr="005167B1">
        <w:rPr>
          <w:rFonts w:cs="Lucida Sans Unicode"/>
          <w:szCs w:val="22"/>
        </w:rPr>
        <w:t>The ratepayer ceases to own or occupy the land in respect of which rates are imposed (in which case the rates are immediately payable); and</w:t>
      </w:r>
    </w:p>
    <w:p w:rsidR="00A23966" w:rsidRPr="00583AE6" w:rsidRDefault="001D7FFA" w:rsidP="005167B1">
      <w:pPr>
        <w:pStyle w:val="ListParagraph"/>
        <w:numPr>
          <w:ilvl w:val="0"/>
          <w:numId w:val="43"/>
        </w:numPr>
        <w:spacing w:after="80"/>
        <w:ind w:left="357" w:hanging="357"/>
        <w:jc w:val="both"/>
      </w:pPr>
      <w:r w:rsidRPr="005167B1">
        <w:rPr>
          <w:rFonts w:cs="Lucida Sans Unicode"/>
          <w:szCs w:val="22"/>
        </w:rPr>
        <w:t xml:space="preserve">Any other conditions as </w:t>
      </w:r>
      <w:r w:rsidR="00AB21BD" w:rsidRPr="005167B1">
        <w:rPr>
          <w:rFonts w:cs="Lucida Sans Unicode"/>
          <w:szCs w:val="22"/>
        </w:rPr>
        <w:t xml:space="preserve">the City </w:t>
      </w:r>
      <w:r w:rsidRPr="005167B1">
        <w:rPr>
          <w:rFonts w:cs="Lucida Sans Unicode"/>
          <w:szCs w:val="22"/>
        </w:rPr>
        <w:t>thinks fit.</w:t>
      </w:r>
      <w:r w:rsidR="00B036A7" w:rsidRPr="005167B1">
        <w:rPr>
          <w:rFonts w:cs="Lucida Sans Unicode"/>
          <w:szCs w:val="22"/>
        </w:rPr>
        <w:t xml:space="preserve"> </w:t>
      </w:r>
    </w:p>
    <w:p w:rsidR="00F462EA" w:rsidRDefault="001D7FFA">
      <w:pPr>
        <w:pStyle w:val="BodyText"/>
      </w:pPr>
      <w:r w:rsidRPr="00D576C5">
        <w:t>The application for deferral does not change the due date for payment of rates.</w:t>
      </w:r>
    </w:p>
    <w:p w:rsidR="00F462EA" w:rsidRDefault="001D7FFA">
      <w:pPr>
        <w:pStyle w:val="BodyText"/>
      </w:pPr>
      <w:r w:rsidRPr="00D576C5">
        <w:t xml:space="preserve">Policy Statement: Council policy is that deferral is appropriate where ratepayers have incurred increases to rates and immediate affordability is an issue. </w:t>
      </w:r>
    </w:p>
    <w:p w:rsidR="00F462EA" w:rsidRDefault="001D7FFA">
      <w:pPr>
        <w:pStyle w:val="BodyText"/>
      </w:pPr>
      <w:r w:rsidRPr="00D576C5">
        <w:t xml:space="preserve">Reason for Policy:  Where application for waiver of rates causing hardship is based on the premise of significant increases to capital value, short-term rates assistance measures are available based on eligibility. Beyond the rates assistance measures </w:t>
      </w:r>
      <w:r w:rsidR="001D734C">
        <w:t>c</w:t>
      </w:r>
      <w:r w:rsidR="00AB21BD" w:rsidRPr="00D576C5">
        <w:t xml:space="preserve">ouncil </w:t>
      </w:r>
      <w:r w:rsidRPr="00D576C5">
        <w:t xml:space="preserve">believes that in such cases deferral of rates is more appropriate. </w:t>
      </w:r>
      <w:r>
        <w:t>Waiver</w:t>
      </w:r>
      <w:r w:rsidRPr="00D576C5">
        <w:t xml:space="preserve"> should be considered only for those in genuine hardship and where little capital gain or future benefit can be demonstrated. To provide additional waiver to ratepayers experiencing significant capital appreciation in property values would result in a redistribution of rates back to lower valued properties – in effect regressive taxation, which is inequitable.</w:t>
      </w:r>
    </w:p>
    <w:p w:rsidR="000F7EC2" w:rsidRPr="00D576C5" w:rsidRDefault="000F7EC2" w:rsidP="00671F60">
      <w:pPr>
        <w:pStyle w:val="Heading4"/>
      </w:pPr>
      <w:bookmarkStart w:id="421" w:name="_Toc292369543"/>
      <w:bookmarkStart w:id="422" w:name="_Toc355947463"/>
      <w:bookmarkStart w:id="423" w:name="_Toc356202955"/>
      <w:bookmarkStart w:id="424" w:name="_Toc403114422"/>
      <w:bookmarkStart w:id="425" w:name="_Toc11845157"/>
      <w:r w:rsidRPr="00D576C5">
        <w:t xml:space="preserve">Bushfire </w:t>
      </w:r>
      <w:r w:rsidR="004B1CEA" w:rsidRPr="00D576C5">
        <w:t>R</w:t>
      </w:r>
      <w:r w:rsidR="00987C64" w:rsidRPr="00D576C5">
        <w:t>elief</w:t>
      </w:r>
      <w:bookmarkEnd w:id="421"/>
      <w:bookmarkEnd w:id="422"/>
      <w:bookmarkEnd w:id="423"/>
      <w:bookmarkEnd w:id="424"/>
      <w:bookmarkEnd w:id="425"/>
    </w:p>
    <w:p w:rsidR="00521FAB" w:rsidRPr="00D576C5" w:rsidRDefault="000F7EC2">
      <w:pPr>
        <w:pStyle w:val="BodyText"/>
      </w:pPr>
      <w:r w:rsidRPr="00D576C5">
        <w:t xml:space="preserve">Policy Statement: Council has determined to provide Bushfire rate relief for any properties significantly </w:t>
      </w:r>
      <w:r w:rsidR="00521FAB" w:rsidRPr="00D576C5">
        <w:t>damaged</w:t>
      </w:r>
      <w:r w:rsidRPr="00D576C5">
        <w:t xml:space="preserve"> by bushfire to immediately have their valuation reduced down to a site value for the remainder of the </w:t>
      </w:r>
      <w:r w:rsidR="00521FAB" w:rsidRPr="00D576C5">
        <w:t>financial</w:t>
      </w:r>
      <w:r w:rsidRPr="00D576C5">
        <w:t xml:space="preserve"> year and then subject to supplementary valuation </w:t>
      </w:r>
      <w:r w:rsidR="00521FAB" w:rsidRPr="00D576C5">
        <w:t>thereafter</w:t>
      </w:r>
      <w:r w:rsidRPr="00D576C5">
        <w:t>.</w:t>
      </w:r>
    </w:p>
    <w:p w:rsidR="000F7EC2" w:rsidRPr="00D576C5" w:rsidRDefault="00521FAB">
      <w:pPr>
        <w:pStyle w:val="BodyText"/>
      </w:pPr>
      <w:r w:rsidRPr="00D576C5">
        <w:t xml:space="preserve">Policy Statement: Upon verification of an owner occupied residence being destroyed or significantly damaged by bushfire, </w:t>
      </w:r>
      <w:r w:rsidR="00AA4ADD">
        <w:t>the City</w:t>
      </w:r>
      <w:r w:rsidR="00AB21BD" w:rsidRPr="00D576C5">
        <w:t xml:space="preserve"> </w:t>
      </w:r>
      <w:r w:rsidRPr="00D576C5">
        <w:t xml:space="preserve">is to provide rate relief by amending the property rate back to it’s site value (residential) from the date of the fire for the remainder of this financial year. Such properties to be revalued with appropriate valuations and rate differential effective from 1 July of the new </w:t>
      </w:r>
      <w:r w:rsidRPr="00D576C5">
        <w:lastRenderedPageBreak/>
        <w:t>financial year. Affected ratepayers to be given the opportunity to make arrangements to pay rates without penalty up to 31 May in that year.</w:t>
      </w:r>
      <w:r w:rsidR="000F7EC2" w:rsidRPr="00D576C5">
        <w:t xml:space="preserve"> </w:t>
      </w:r>
    </w:p>
    <w:p w:rsidR="000F7EC2" w:rsidRPr="00D576C5" w:rsidRDefault="000F7EC2">
      <w:pPr>
        <w:pStyle w:val="BodyText"/>
      </w:pPr>
      <w:r w:rsidRPr="00D576C5">
        <w:t xml:space="preserve">Reason for Policy: Council recognises </w:t>
      </w:r>
      <w:r w:rsidR="00521FAB" w:rsidRPr="00D576C5">
        <w:t>the distress that bushfire can cause and seeks to provide immediate relief to affected residents. The relief is targeted where the immediate living conditions of the ratepayer is affected and not the surrounding land which may include fencing, stock and outbuildings.</w:t>
      </w:r>
    </w:p>
    <w:p w:rsidR="000756D1" w:rsidRPr="00D576C5" w:rsidRDefault="000756D1" w:rsidP="00671F60">
      <w:pPr>
        <w:pStyle w:val="Heading4"/>
      </w:pPr>
      <w:bookmarkStart w:id="426" w:name="_Toc292369544"/>
      <w:bookmarkStart w:id="427" w:name="_Toc355947464"/>
      <w:bookmarkStart w:id="428" w:name="_Toc403114423"/>
      <w:bookmarkStart w:id="429" w:name="_Toc11845158"/>
      <w:r w:rsidRPr="00D576C5">
        <w:t xml:space="preserve">Drought </w:t>
      </w:r>
      <w:r w:rsidR="004B1CEA" w:rsidRPr="00D576C5">
        <w:t>A</w:t>
      </w:r>
      <w:r w:rsidRPr="00D576C5">
        <w:t>ssistance</w:t>
      </w:r>
      <w:bookmarkEnd w:id="426"/>
      <w:bookmarkEnd w:id="427"/>
      <w:bookmarkEnd w:id="428"/>
      <w:bookmarkEnd w:id="429"/>
    </w:p>
    <w:p w:rsidR="000756D1" w:rsidRPr="00D576C5" w:rsidRDefault="000756D1">
      <w:pPr>
        <w:pStyle w:val="BodyText"/>
      </w:pPr>
      <w:r w:rsidRPr="00D576C5">
        <w:t xml:space="preserve">Since July 2005, </w:t>
      </w:r>
      <w:r w:rsidR="00AA4ADD">
        <w:t>the City</w:t>
      </w:r>
      <w:r w:rsidR="00AA4ADD" w:rsidRPr="00D576C5">
        <w:t xml:space="preserve"> </w:t>
      </w:r>
      <w:r w:rsidRPr="00D576C5">
        <w:t xml:space="preserve">has administered the State </w:t>
      </w:r>
      <w:r w:rsidR="001D734C">
        <w:t>G</w:t>
      </w:r>
      <w:r w:rsidR="001D734C" w:rsidRPr="00D576C5">
        <w:t xml:space="preserve">overnment </w:t>
      </w:r>
      <w:r w:rsidRPr="00D576C5">
        <w:t xml:space="preserve">Municipal Rate Subsidy Drought Assistance </w:t>
      </w:r>
      <w:r w:rsidR="00AA4ADD">
        <w:t>s</w:t>
      </w:r>
      <w:r w:rsidR="00AA4ADD" w:rsidRPr="00D576C5">
        <w:t>cheme</w:t>
      </w:r>
      <w:r w:rsidRPr="00D576C5">
        <w:t xml:space="preserve">.  Farmers who were receiving emergency payments or Exceptional Circumstances Relief payments were eligible to receive a subsidy of up to </w:t>
      </w:r>
      <w:r w:rsidR="00CB7063" w:rsidRPr="00D576C5">
        <w:t>3</w:t>
      </w:r>
      <w:r w:rsidRPr="00D576C5">
        <w:t>0% off their rates.</w:t>
      </w:r>
    </w:p>
    <w:p w:rsidR="000756D1" w:rsidRPr="00D576C5" w:rsidRDefault="007C4F1F">
      <w:pPr>
        <w:pStyle w:val="BodyText"/>
      </w:pPr>
      <w:r w:rsidRPr="00D576C5">
        <w:t>T</w:t>
      </w:r>
      <w:r w:rsidR="000756D1" w:rsidRPr="00D576C5">
        <w:t xml:space="preserve">he </w:t>
      </w:r>
      <w:r w:rsidR="00367848" w:rsidRPr="00D576C5">
        <w:t xml:space="preserve">declaration of </w:t>
      </w:r>
      <w:r w:rsidR="000756D1" w:rsidRPr="00D576C5">
        <w:t xml:space="preserve">Geelong </w:t>
      </w:r>
      <w:r w:rsidR="00367848" w:rsidRPr="00D576C5">
        <w:t xml:space="preserve">as a drought affected area with farmers potentially being eligible for exceptional circumstances payments </w:t>
      </w:r>
      <w:r w:rsidR="008355A4" w:rsidRPr="00D576C5">
        <w:t xml:space="preserve">concluded on 1 May 2011. </w:t>
      </w:r>
    </w:p>
    <w:p w:rsidR="001D7FFA" w:rsidRPr="00EE12BC" w:rsidRDefault="000744A6" w:rsidP="00671F60">
      <w:pPr>
        <w:pStyle w:val="Heading4"/>
      </w:pPr>
      <w:bookmarkStart w:id="430" w:name="_Toc292369524"/>
      <w:bookmarkStart w:id="431" w:name="_Toc355947465"/>
      <w:bookmarkStart w:id="432" w:name="_Toc356202956"/>
      <w:bookmarkStart w:id="433" w:name="_Toc403114424"/>
      <w:bookmarkStart w:id="434" w:name="_Toc11845159"/>
      <w:r w:rsidRPr="000744A6">
        <w:t>Community Grants</w:t>
      </w:r>
      <w:bookmarkEnd w:id="430"/>
      <w:bookmarkEnd w:id="431"/>
      <w:bookmarkEnd w:id="432"/>
      <w:bookmarkEnd w:id="433"/>
      <w:bookmarkEnd w:id="434"/>
    </w:p>
    <w:p w:rsidR="001D7FFA" w:rsidRPr="00EE12BC" w:rsidRDefault="001D734C">
      <w:pPr>
        <w:pStyle w:val="BodyText"/>
      </w:pPr>
      <w:r>
        <w:t>The City</w:t>
      </w:r>
      <w:r w:rsidRPr="000744A6">
        <w:t xml:space="preserve"> </w:t>
      </w:r>
      <w:r w:rsidR="000744A6" w:rsidRPr="000744A6">
        <w:t xml:space="preserve">operates the community grants, sponsorships and donations program allocating </w:t>
      </w:r>
      <w:r w:rsidR="00EE12BC">
        <w:t>$</w:t>
      </w:r>
      <w:r w:rsidR="0092246B">
        <w:t>8.</w:t>
      </w:r>
      <w:r w:rsidR="00AA4ADD">
        <w:t>3m</w:t>
      </w:r>
      <w:r w:rsidR="00AA4ADD" w:rsidRPr="000744A6">
        <w:t xml:space="preserve"> </w:t>
      </w:r>
      <w:r w:rsidR="000744A6" w:rsidRPr="000744A6">
        <w:t xml:space="preserve">to support a wide variety of community organisations, events and networks. Based on principles of accountability and transparency, and in lieu of the granting an application for rebates of rates, it is </w:t>
      </w:r>
      <w:r w:rsidR="00AA4ADD">
        <w:t xml:space="preserve">the </w:t>
      </w:r>
      <w:r w:rsidR="006B0939">
        <w:t>City’s</w:t>
      </w:r>
      <w:r w:rsidR="00AA4ADD" w:rsidRPr="000744A6">
        <w:t xml:space="preserve"> </w:t>
      </w:r>
      <w:r w:rsidR="000744A6" w:rsidRPr="000744A6">
        <w:t xml:space="preserve">preference that such organisations apply for funding under this program. </w:t>
      </w:r>
    </w:p>
    <w:p w:rsidR="001D7FFA" w:rsidRPr="00D576C5" w:rsidRDefault="001D7FFA" w:rsidP="00671F60">
      <w:pPr>
        <w:pStyle w:val="Heading4"/>
      </w:pPr>
      <w:bookmarkStart w:id="435" w:name="_Toc292369527"/>
      <w:bookmarkStart w:id="436" w:name="_Toc355947466"/>
      <w:bookmarkStart w:id="437" w:name="_Toc356202957"/>
      <w:bookmarkStart w:id="438" w:name="_Toc403114425"/>
      <w:bookmarkStart w:id="439" w:name="_Toc11845160"/>
      <w:r w:rsidRPr="00D576C5">
        <w:t>Exemptions from Rating</w:t>
      </w:r>
      <w:bookmarkEnd w:id="435"/>
      <w:bookmarkEnd w:id="436"/>
      <w:bookmarkEnd w:id="437"/>
      <w:bookmarkEnd w:id="438"/>
      <w:bookmarkEnd w:id="439"/>
    </w:p>
    <w:p w:rsidR="001D7FFA" w:rsidRPr="00D576C5" w:rsidRDefault="001D7FFA">
      <w:pPr>
        <w:pStyle w:val="BodyText"/>
      </w:pPr>
      <w:r w:rsidRPr="00D576C5">
        <w:t xml:space="preserve">The LGA </w:t>
      </w:r>
      <w:r w:rsidR="00AA4ADD">
        <w:t>s</w:t>
      </w:r>
      <w:r w:rsidR="00AA4ADD" w:rsidRPr="00D576C5">
        <w:t xml:space="preserve">ection </w:t>
      </w:r>
      <w:r w:rsidRPr="00D576C5">
        <w:t xml:space="preserve">154 declares that all land is rateable with a number of exceptions including </w:t>
      </w:r>
      <w:r w:rsidR="00AA4ADD">
        <w:t>c</w:t>
      </w:r>
      <w:r w:rsidR="00AA4ADD" w:rsidRPr="00D576C5">
        <w:t xml:space="preserve">rown </w:t>
      </w:r>
      <w:r w:rsidRPr="00D576C5">
        <w:t>land occupied for municipal purposes, land used exclusively for charitable purposes, the residence of a practising Minister of Religion, certain land used for mining purposes, clubs or memorials under the Patriotic Funds Act, Returned Services League and related associations as defined. Generally land is not used exclusively for public municipal or charitable purposes if it is a residence, is used for the retail sale of goods or the carrying on a business for profit.</w:t>
      </w:r>
    </w:p>
    <w:p w:rsidR="001D7FFA" w:rsidRPr="00D576C5" w:rsidRDefault="001D7FFA" w:rsidP="00671F60">
      <w:pPr>
        <w:pStyle w:val="Heading4"/>
      </w:pPr>
      <w:bookmarkStart w:id="440" w:name="_Toc64258378"/>
      <w:bookmarkStart w:id="441" w:name="_Toc64276838"/>
      <w:bookmarkStart w:id="442" w:name="_Toc260749465"/>
      <w:bookmarkStart w:id="443" w:name="_Toc292369528"/>
      <w:bookmarkStart w:id="444" w:name="_Toc355947467"/>
      <w:bookmarkStart w:id="445" w:name="_Toc356202958"/>
      <w:bookmarkStart w:id="446" w:name="_Toc403114426"/>
      <w:bookmarkStart w:id="447" w:name="_Toc11845161"/>
      <w:r w:rsidRPr="00D576C5">
        <w:t>Charitable and Not-for-Profit Organisations</w:t>
      </w:r>
      <w:bookmarkEnd w:id="440"/>
      <w:bookmarkEnd w:id="441"/>
      <w:bookmarkEnd w:id="442"/>
      <w:bookmarkEnd w:id="443"/>
      <w:bookmarkEnd w:id="444"/>
      <w:bookmarkEnd w:id="445"/>
      <w:bookmarkEnd w:id="446"/>
      <w:bookmarkEnd w:id="447"/>
    </w:p>
    <w:p w:rsidR="001D7FFA" w:rsidRPr="00D576C5" w:rsidRDefault="001D7FFA">
      <w:pPr>
        <w:pStyle w:val="BodyText"/>
      </w:pPr>
      <w:r w:rsidRPr="00D576C5">
        <w:t xml:space="preserve">Application for exemption from rating may be made at any time during the financial year and will be assessed based on the usage of the property. </w:t>
      </w:r>
      <w:r w:rsidR="00AA4ADD">
        <w:t>The City</w:t>
      </w:r>
      <w:r w:rsidR="00AA4ADD" w:rsidRPr="00D576C5">
        <w:t xml:space="preserve"> </w:t>
      </w:r>
      <w:r w:rsidRPr="00D576C5">
        <w:t>does not generally allow for any retrospective claims.</w:t>
      </w:r>
    </w:p>
    <w:p w:rsidR="00BA5D86" w:rsidRDefault="001D7FFA">
      <w:pPr>
        <w:pStyle w:val="BodyText"/>
      </w:pPr>
      <w:r w:rsidRPr="00D576C5">
        <w:t>Legal precedent has determined that charitable uses include those providing health services, education, religion and services to the needy.</w:t>
      </w:r>
    </w:p>
    <w:p w:rsidR="00D04338" w:rsidRDefault="00D04338" w:rsidP="00D04338">
      <w:pPr>
        <w:pStyle w:val="Heading4"/>
      </w:pPr>
      <w:bookmarkStart w:id="448" w:name="_Toc11845162"/>
      <w:r>
        <w:lastRenderedPageBreak/>
        <w:t>Fire Services Property Levy (FSPL)</w:t>
      </w:r>
      <w:bookmarkEnd w:id="448"/>
    </w:p>
    <w:p w:rsidR="00D04338" w:rsidRDefault="002046CE">
      <w:pPr>
        <w:pStyle w:val="BodyText"/>
      </w:pPr>
      <w:r>
        <w:t>The Victorian State G</w:t>
      </w:r>
      <w:r w:rsidR="005A02E4">
        <w:t xml:space="preserve">overnment introduced the </w:t>
      </w:r>
      <w:r w:rsidR="005A02E4" w:rsidRPr="005167B1">
        <w:rPr>
          <w:i/>
        </w:rPr>
        <w:t>Fire Services Property Levy Act</w:t>
      </w:r>
      <w:r w:rsidR="005A02E4">
        <w:t xml:space="preserve"> </w:t>
      </w:r>
      <w:r w:rsidR="001D734C">
        <w:t>(</w:t>
      </w:r>
      <w:r w:rsidR="005A02E4">
        <w:t>2012</w:t>
      </w:r>
      <w:r w:rsidR="001D734C">
        <w:t>)</w:t>
      </w:r>
      <w:r w:rsidR="005A02E4">
        <w:t xml:space="preserve"> which </w:t>
      </w:r>
      <w:r w:rsidR="00743115">
        <w:t>came</w:t>
      </w:r>
      <w:r w:rsidR="005A02E4">
        <w:t xml:space="preserve"> into effect from 1 July 2013 and requiring </w:t>
      </w:r>
      <w:r w:rsidR="00C52306">
        <w:t xml:space="preserve">local government </w:t>
      </w:r>
      <w:r w:rsidR="005A02E4">
        <w:t xml:space="preserve">to bill, receipt and collect </w:t>
      </w:r>
      <w:r w:rsidR="00F755BD">
        <w:t>a Fire Services Property Levy on rateable and non rateable properties.</w:t>
      </w:r>
    </w:p>
    <w:p w:rsidR="00F755BD" w:rsidRDefault="00F755BD">
      <w:pPr>
        <w:pStyle w:val="BodyText"/>
      </w:pPr>
      <w:r>
        <w:t>The Act was in response to one of the recommendations of the Victorian Bushfires Royal Commission with the objective being to ensure that all property owners benefitting from Victoria’s Fire Services should make a contribution to the cost of the service compared with the existing insurance based levy.</w:t>
      </w:r>
    </w:p>
    <w:p w:rsidR="00F462EA" w:rsidRDefault="00F755BD">
      <w:pPr>
        <w:pStyle w:val="BodyText"/>
      </w:pPr>
      <w:r>
        <w:t>Principles</w:t>
      </w:r>
    </w:p>
    <w:p w:rsidR="00F462EA" w:rsidRDefault="00F755BD">
      <w:pPr>
        <w:pStyle w:val="BodyText"/>
      </w:pPr>
      <w:r>
        <w:t>The levy is designed to ensure that all property owners pay a contribution for fire services so that Victoria’s fire services continue to operate with sufficient resources. The levy is assessed on the Capital Improved Value (CIV) of property and is consistent with the valuation base used by most municipalities in levying rates.</w:t>
      </w:r>
    </w:p>
    <w:p w:rsidR="00F462EA" w:rsidRDefault="00F755BD">
      <w:pPr>
        <w:pStyle w:val="BodyText"/>
      </w:pPr>
      <w:r>
        <w:t>How is the payment calculated?</w:t>
      </w:r>
    </w:p>
    <w:p w:rsidR="00F462EA" w:rsidRDefault="00F755BD">
      <w:pPr>
        <w:pStyle w:val="BodyText"/>
      </w:pPr>
      <w:r>
        <w:t xml:space="preserve">The levy will consist of a fixed component plus a variable component based on the property’s capital improved value. </w:t>
      </w:r>
      <w:r w:rsidR="005E04E4">
        <w:t>The variable component will be a rate based on the land use classification code, known as the Australian Valuation Property Classificiation Code (AVPCC) for different property types [residential, commercial, industrial, primary production, public benefit, vacant] and will be determined by the Minister on or before 31 May each year. A $50 per property concession will apply to pensioner concession and Veterans Affairs gold card holders.</w:t>
      </w:r>
    </w:p>
    <w:p w:rsidR="006D6A25" w:rsidRDefault="00774679">
      <w:pPr>
        <w:pStyle w:val="BodyText"/>
      </w:pPr>
      <w:bookmarkStart w:id="449" w:name="Rates"/>
      <w:r>
        <w:t xml:space="preserve">The rates for </w:t>
      </w:r>
      <w:r w:rsidR="00FA34E4">
        <w:t>2019-20</w:t>
      </w:r>
      <w:r>
        <w:t xml:space="preserve"> </w:t>
      </w:r>
      <w:r w:rsidR="001235C0">
        <w:t>are</w:t>
      </w:r>
      <w:r w:rsidR="002E4E14">
        <w:t>:</w:t>
      </w:r>
    </w:p>
    <w:tbl>
      <w:tblPr>
        <w:tblW w:w="0" w:type="auto"/>
        <w:tblBorders>
          <w:top w:val="single" w:sz="8" w:space="0" w:color="4F81BD"/>
          <w:bottom w:val="single" w:sz="8" w:space="0" w:color="4F81BD"/>
        </w:tblBorders>
        <w:tblLook w:val="04A0" w:firstRow="1" w:lastRow="0" w:firstColumn="1" w:lastColumn="0" w:noHBand="0" w:noVBand="1"/>
      </w:tblPr>
      <w:tblGrid>
        <w:gridCol w:w="3308"/>
        <w:gridCol w:w="1403"/>
        <w:gridCol w:w="1660"/>
        <w:gridCol w:w="2133"/>
      </w:tblGrid>
      <w:tr w:rsidR="00D21F72" w:rsidRPr="00E60EA6" w:rsidTr="00E60EA6">
        <w:trPr>
          <w:tblHeader/>
        </w:trPr>
        <w:tc>
          <w:tcPr>
            <w:tcW w:w="3369" w:type="dxa"/>
            <w:tcBorders>
              <w:top w:val="single" w:sz="8" w:space="0" w:color="4F81BD"/>
              <w:bottom w:val="single" w:sz="8" w:space="0" w:color="4F81BD"/>
            </w:tcBorders>
            <w:shd w:val="clear" w:color="auto" w:fill="auto"/>
            <w:vAlign w:val="bottom"/>
          </w:tcPr>
          <w:bookmarkEnd w:id="449"/>
          <w:p w:rsidR="00AB55DD" w:rsidRPr="00E60EA6" w:rsidRDefault="00FA34E4" w:rsidP="005167B1">
            <w:pPr>
              <w:pStyle w:val="BodyText1"/>
            </w:pPr>
            <w:r>
              <w:t>2019-20</w:t>
            </w:r>
            <w:r w:rsidR="001235C0" w:rsidRPr="00E60EA6">
              <w:t xml:space="preserve"> </w:t>
            </w:r>
            <w:r w:rsidR="00D21F72" w:rsidRPr="00E60EA6">
              <w:t>Rates</w:t>
            </w:r>
          </w:p>
        </w:tc>
        <w:tc>
          <w:tcPr>
            <w:tcW w:w="1417" w:type="dxa"/>
            <w:tcBorders>
              <w:top w:val="single" w:sz="8" w:space="0" w:color="4F81BD"/>
              <w:bottom w:val="single" w:sz="8" w:space="0" w:color="4F81BD"/>
            </w:tcBorders>
            <w:shd w:val="clear" w:color="auto" w:fill="auto"/>
            <w:vAlign w:val="bottom"/>
          </w:tcPr>
          <w:p w:rsidR="00F462EA" w:rsidRPr="00E60EA6" w:rsidRDefault="00D21F72">
            <w:pPr>
              <w:pStyle w:val="BodyText1"/>
            </w:pPr>
            <w:r w:rsidRPr="00E60EA6">
              <w:t>Fixed Charge</w:t>
            </w:r>
          </w:p>
        </w:tc>
        <w:tc>
          <w:tcPr>
            <w:tcW w:w="1673" w:type="dxa"/>
            <w:tcBorders>
              <w:top w:val="single" w:sz="8" w:space="0" w:color="4F81BD"/>
              <w:bottom w:val="single" w:sz="8" w:space="0" w:color="4F81BD"/>
            </w:tcBorders>
            <w:shd w:val="clear" w:color="auto" w:fill="auto"/>
            <w:vAlign w:val="bottom"/>
          </w:tcPr>
          <w:p w:rsidR="00F462EA" w:rsidRPr="00E60EA6" w:rsidRDefault="00D21F72">
            <w:pPr>
              <w:pStyle w:val="BodyText1"/>
            </w:pPr>
            <w:r w:rsidRPr="00E60EA6">
              <w:t>Variable Charge per $ of CIV</w:t>
            </w:r>
          </w:p>
        </w:tc>
        <w:tc>
          <w:tcPr>
            <w:tcW w:w="2154" w:type="dxa"/>
            <w:tcBorders>
              <w:top w:val="single" w:sz="8" w:space="0" w:color="4F81BD"/>
              <w:bottom w:val="single" w:sz="8" w:space="0" w:color="4F81BD"/>
            </w:tcBorders>
            <w:shd w:val="clear" w:color="auto" w:fill="auto"/>
            <w:vAlign w:val="bottom"/>
          </w:tcPr>
          <w:p w:rsidR="00F462EA" w:rsidRPr="00E60EA6" w:rsidRDefault="00D21F72">
            <w:pPr>
              <w:pStyle w:val="BodyText1"/>
            </w:pPr>
            <w:r w:rsidRPr="00E60EA6">
              <w:t>Council Differential</w:t>
            </w:r>
          </w:p>
        </w:tc>
      </w:tr>
      <w:tr w:rsidR="00D21F72" w:rsidRPr="00E60EA6" w:rsidTr="00E60EA6">
        <w:tc>
          <w:tcPr>
            <w:tcW w:w="3369" w:type="dxa"/>
            <w:tcBorders>
              <w:left w:val="nil"/>
              <w:right w:val="nil"/>
            </w:tcBorders>
            <w:shd w:val="clear" w:color="auto" w:fill="D3DFEE"/>
          </w:tcPr>
          <w:p w:rsidR="00F462EA" w:rsidRPr="00E60EA6" w:rsidRDefault="00D21F72">
            <w:pPr>
              <w:pStyle w:val="BodyText1"/>
            </w:pPr>
            <w:r w:rsidRPr="00E60EA6">
              <w:t>Residential</w:t>
            </w:r>
            <w:r w:rsidRPr="00E60EA6">
              <w:br/>
              <w:t>(including vacant residential land)</w:t>
            </w:r>
          </w:p>
        </w:tc>
        <w:tc>
          <w:tcPr>
            <w:tcW w:w="1417" w:type="dxa"/>
            <w:tcBorders>
              <w:left w:val="nil"/>
              <w:right w:val="nil"/>
            </w:tcBorders>
            <w:shd w:val="clear" w:color="auto" w:fill="D3DFEE"/>
          </w:tcPr>
          <w:p w:rsidR="00F462EA" w:rsidRPr="00E60EA6" w:rsidRDefault="00D21F72">
            <w:pPr>
              <w:pStyle w:val="BodyText1"/>
            </w:pPr>
            <w:r w:rsidRPr="00E60EA6">
              <w:t>$</w:t>
            </w:r>
            <w:r w:rsidR="00FA34E4">
              <w:t>111</w:t>
            </w:r>
          </w:p>
        </w:tc>
        <w:tc>
          <w:tcPr>
            <w:tcW w:w="1673" w:type="dxa"/>
            <w:tcBorders>
              <w:left w:val="nil"/>
              <w:right w:val="nil"/>
            </w:tcBorders>
            <w:shd w:val="clear" w:color="auto" w:fill="D3DFEE"/>
          </w:tcPr>
          <w:p w:rsidR="00F462EA" w:rsidRPr="00E60EA6" w:rsidRDefault="006F6D68">
            <w:pPr>
              <w:pStyle w:val="BodyText1"/>
            </w:pPr>
            <w:r w:rsidRPr="00E60EA6">
              <w:t>0.</w:t>
            </w:r>
            <w:r w:rsidR="00FA34E4" w:rsidRPr="00E60EA6">
              <w:t>0000</w:t>
            </w:r>
            <w:r w:rsidR="00FA34E4">
              <w:t>66</w:t>
            </w:r>
          </w:p>
        </w:tc>
        <w:tc>
          <w:tcPr>
            <w:tcW w:w="2154" w:type="dxa"/>
            <w:tcBorders>
              <w:left w:val="nil"/>
              <w:right w:val="nil"/>
            </w:tcBorders>
            <w:shd w:val="clear" w:color="auto" w:fill="D3DFEE"/>
          </w:tcPr>
          <w:p w:rsidR="00F462EA" w:rsidRPr="00E60EA6" w:rsidRDefault="00D21F72" w:rsidP="00CD5843">
            <w:pPr>
              <w:pStyle w:val="BodyText1"/>
              <w:jc w:val="left"/>
            </w:pPr>
            <w:r w:rsidRPr="00E60EA6">
              <w:t>Residential</w:t>
            </w:r>
          </w:p>
          <w:p w:rsidR="00F462EA" w:rsidRPr="00E60EA6" w:rsidRDefault="00F02381" w:rsidP="00CD5843">
            <w:pPr>
              <w:pStyle w:val="BodyText1"/>
              <w:jc w:val="left"/>
            </w:pPr>
            <w:r w:rsidRPr="00E60EA6">
              <w:t xml:space="preserve">The Point </w:t>
            </w:r>
            <w:r w:rsidR="00D21F72" w:rsidRPr="00E60EA6">
              <w:t>Residential</w:t>
            </w:r>
          </w:p>
          <w:p w:rsidR="00F462EA" w:rsidRPr="00E60EA6" w:rsidRDefault="00D21F72" w:rsidP="00CD5843">
            <w:pPr>
              <w:pStyle w:val="BodyText1"/>
              <w:jc w:val="left"/>
            </w:pPr>
            <w:r w:rsidRPr="00E60EA6">
              <w:t>Vacant</w:t>
            </w:r>
          </w:p>
          <w:p w:rsidR="00F462EA" w:rsidRPr="00E60EA6" w:rsidRDefault="00D21F72" w:rsidP="00CD5843">
            <w:pPr>
              <w:pStyle w:val="BodyText1"/>
              <w:jc w:val="left"/>
            </w:pPr>
            <w:r w:rsidRPr="00E60EA6">
              <w:t>The Point Vacant</w:t>
            </w:r>
          </w:p>
        </w:tc>
      </w:tr>
      <w:tr w:rsidR="00D21F72" w:rsidRPr="00E60EA6" w:rsidTr="00E60EA6">
        <w:tc>
          <w:tcPr>
            <w:tcW w:w="3369" w:type="dxa"/>
            <w:shd w:val="clear" w:color="auto" w:fill="auto"/>
          </w:tcPr>
          <w:p w:rsidR="00F462EA" w:rsidRPr="00E60EA6" w:rsidRDefault="00D21F72">
            <w:pPr>
              <w:pStyle w:val="BodyText1"/>
            </w:pPr>
            <w:r w:rsidRPr="00E60EA6">
              <w:lastRenderedPageBreak/>
              <w:t>Vacant</w:t>
            </w:r>
            <w:r w:rsidRPr="00E60EA6">
              <w:br/>
              <w:t>(excluding vacant residential land)</w:t>
            </w:r>
          </w:p>
        </w:tc>
        <w:tc>
          <w:tcPr>
            <w:tcW w:w="1417" w:type="dxa"/>
            <w:shd w:val="clear" w:color="auto" w:fill="auto"/>
          </w:tcPr>
          <w:p w:rsidR="00F462EA" w:rsidRPr="00E60EA6" w:rsidRDefault="006F6D68">
            <w:pPr>
              <w:pStyle w:val="BodyText1"/>
            </w:pPr>
            <w:r w:rsidRPr="00E60EA6">
              <w:t>$</w:t>
            </w:r>
            <w:r w:rsidR="00FA34E4" w:rsidRPr="00E60EA6">
              <w:t>22</w:t>
            </w:r>
            <w:r w:rsidR="00FA34E4">
              <w:t>6</w:t>
            </w:r>
          </w:p>
        </w:tc>
        <w:tc>
          <w:tcPr>
            <w:tcW w:w="1673" w:type="dxa"/>
            <w:shd w:val="clear" w:color="auto" w:fill="auto"/>
          </w:tcPr>
          <w:p w:rsidR="00F462EA" w:rsidRPr="00E60EA6" w:rsidRDefault="006F6D68">
            <w:pPr>
              <w:pStyle w:val="BodyText1"/>
            </w:pPr>
            <w:r w:rsidRPr="00E60EA6">
              <w:t>0.</w:t>
            </w:r>
            <w:r w:rsidR="00FA34E4" w:rsidRPr="00E60EA6">
              <w:t>000</w:t>
            </w:r>
            <w:r w:rsidR="00FA34E4">
              <w:t>249</w:t>
            </w:r>
          </w:p>
        </w:tc>
        <w:tc>
          <w:tcPr>
            <w:tcW w:w="2154" w:type="dxa"/>
            <w:shd w:val="clear" w:color="auto" w:fill="auto"/>
          </w:tcPr>
          <w:p w:rsidR="00F462EA" w:rsidRPr="00E60EA6" w:rsidRDefault="00D21F72" w:rsidP="00CD5843">
            <w:pPr>
              <w:pStyle w:val="BodyText1"/>
              <w:jc w:val="left"/>
            </w:pPr>
            <w:r w:rsidRPr="00E60EA6">
              <w:t>Vacant</w:t>
            </w:r>
          </w:p>
          <w:p w:rsidR="00F462EA" w:rsidRPr="00E60EA6" w:rsidRDefault="00D21F72" w:rsidP="00CD5843">
            <w:pPr>
              <w:pStyle w:val="BodyText1"/>
              <w:jc w:val="left"/>
            </w:pPr>
            <w:r w:rsidRPr="00E60EA6">
              <w:t>The Point Vacant</w:t>
            </w:r>
          </w:p>
        </w:tc>
      </w:tr>
      <w:tr w:rsidR="00D21F72" w:rsidRPr="00E60EA6" w:rsidTr="00E60EA6">
        <w:tc>
          <w:tcPr>
            <w:tcW w:w="3369" w:type="dxa"/>
            <w:tcBorders>
              <w:left w:val="nil"/>
              <w:right w:val="nil"/>
            </w:tcBorders>
            <w:shd w:val="clear" w:color="auto" w:fill="D3DFEE"/>
          </w:tcPr>
          <w:p w:rsidR="00F462EA" w:rsidRPr="00E60EA6" w:rsidRDefault="00D21F72">
            <w:pPr>
              <w:pStyle w:val="BodyText1"/>
            </w:pPr>
            <w:r w:rsidRPr="00E60EA6">
              <w:t>Commercial</w:t>
            </w:r>
          </w:p>
        </w:tc>
        <w:tc>
          <w:tcPr>
            <w:tcW w:w="1417" w:type="dxa"/>
            <w:tcBorders>
              <w:left w:val="nil"/>
              <w:right w:val="nil"/>
            </w:tcBorders>
            <w:shd w:val="clear" w:color="auto" w:fill="D3DFEE"/>
          </w:tcPr>
          <w:p w:rsidR="00F462EA" w:rsidRPr="00E60EA6" w:rsidRDefault="006F6D68">
            <w:pPr>
              <w:pStyle w:val="BodyText1"/>
            </w:pPr>
            <w:r w:rsidRPr="00E60EA6">
              <w:t>$</w:t>
            </w:r>
            <w:r w:rsidR="00FA34E4" w:rsidRPr="00E60EA6">
              <w:t>22</w:t>
            </w:r>
            <w:r w:rsidR="00FA34E4">
              <w:t>6</w:t>
            </w:r>
          </w:p>
        </w:tc>
        <w:tc>
          <w:tcPr>
            <w:tcW w:w="1673" w:type="dxa"/>
            <w:tcBorders>
              <w:left w:val="nil"/>
              <w:right w:val="nil"/>
            </w:tcBorders>
            <w:shd w:val="clear" w:color="auto" w:fill="D3DFEE"/>
          </w:tcPr>
          <w:p w:rsidR="00F462EA" w:rsidRPr="00E60EA6" w:rsidRDefault="00D21F72">
            <w:pPr>
              <w:pStyle w:val="BodyText1"/>
            </w:pPr>
            <w:r w:rsidRPr="00E60EA6">
              <w:t>0.</w:t>
            </w:r>
            <w:r w:rsidR="00FA34E4" w:rsidRPr="00E60EA6">
              <w:t>000</w:t>
            </w:r>
            <w:r w:rsidR="00FA34E4">
              <w:t>795</w:t>
            </w:r>
          </w:p>
        </w:tc>
        <w:tc>
          <w:tcPr>
            <w:tcW w:w="2154" w:type="dxa"/>
            <w:tcBorders>
              <w:left w:val="nil"/>
              <w:right w:val="nil"/>
            </w:tcBorders>
            <w:shd w:val="clear" w:color="auto" w:fill="D3DFEE"/>
          </w:tcPr>
          <w:p w:rsidR="00F462EA" w:rsidRPr="00E60EA6" w:rsidRDefault="00D21F72" w:rsidP="00CD5843">
            <w:pPr>
              <w:pStyle w:val="BodyText1"/>
              <w:jc w:val="left"/>
            </w:pPr>
            <w:r w:rsidRPr="00E60EA6">
              <w:t>Commercial</w:t>
            </w:r>
          </w:p>
          <w:p w:rsidR="00F462EA" w:rsidRPr="00E60EA6" w:rsidRDefault="00D21F72" w:rsidP="00CD5843">
            <w:pPr>
              <w:pStyle w:val="BodyText1"/>
              <w:jc w:val="left"/>
            </w:pPr>
            <w:r w:rsidRPr="00E60EA6">
              <w:t>Mixed Use</w:t>
            </w:r>
          </w:p>
          <w:p w:rsidR="00F462EA" w:rsidRPr="00E60EA6" w:rsidRDefault="00D21F72" w:rsidP="00CD5843">
            <w:pPr>
              <w:pStyle w:val="BodyText1"/>
              <w:jc w:val="left"/>
            </w:pPr>
            <w:r w:rsidRPr="00E60EA6">
              <w:t>The</w:t>
            </w:r>
            <w:r w:rsidR="00B95AFF" w:rsidRPr="00E60EA6">
              <w:t xml:space="preserve"> </w:t>
            </w:r>
            <w:r w:rsidRPr="00E60EA6">
              <w:t>Point Commercial</w:t>
            </w:r>
          </w:p>
        </w:tc>
      </w:tr>
      <w:tr w:rsidR="00D21F72" w:rsidRPr="00E60EA6" w:rsidTr="00E60EA6">
        <w:tc>
          <w:tcPr>
            <w:tcW w:w="3369" w:type="dxa"/>
            <w:shd w:val="clear" w:color="auto" w:fill="auto"/>
          </w:tcPr>
          <w:p w:rsidR="00F462EA" w:rsidRPr="00E60EA6" w:rsidRDefault="00D21F72">
            <w:pPr>
              <w:pStyle w:val="BodyText1"/>
            </w:pPr>
            <w:r w:rsidRPr="00E60EA6">
              <w:t>Industrial</w:t>
            </w:r>
          </w:p>
        </w:tc>
        <w:tc>
          <w:tcPr>
            <w:tcW w:w="1417" w:type="dxa"/>
            <w:shd w:val="clear" w:color="auto" w:fill="auto"/>
          </w:tcPr>
          <w:p w:rsidR="00F462EA" w:rsidRPr="00E60EA6" w:rsidRDefault="006F6D68">
            <w:pPr>
              <w:pStyle w:val="BodyText1"/>
            </w:pPr>
            <w:r w:rsidRPr="00E60EA6">
              <w:t>$</w:t>
            </w:r>
            <w:r w:rsidR="00FA34E4" w:rsidRPr="00E60EA6">
              <w:t>22</w:t>
            </w:r>
            <w:r w:rsidR="00FA34E4">
              <w:t>6</w:t>
            </w:r>
          </w:p>
        </w:tc>
        <w:tc>
          <w:tcPr>
            <w:tcW w:w="1673" w:type="dxa"/>
            <w:shd w:val="clear" w:color="auto" w:fill="auto"/>
          </w:tcPr>
          <w:p w:rsidR="00F462EA" w:rsidRPr="00E60EA6" w:rsidRDefault="006F6D68">
            <w:pPr>
              <w:pStyle w:val="BodyText1"/>
            </w:pPr>
            <w:r w:rsidRPr="00E60EA6">
              <w:t>0.</w:t>
            </w:r>
            <w:r w:rsidR="00FA34E4" w:rsidRPr="00E60EA6">
              <w:t>00</w:t>
            </w:r>
            <w:r w:rsidR="00FA34E4">
              <w:t>0953</w:t>
            </w:r>
          </w:p>
        </w:tc>
        <w:tc>
          <w:tcPr>
            <w:tcW w:w="2154" w:type="dxa"/>
            <w:shd w:val="clear" w:color="auto" w:fill="auto"/>
          </w:tcPr>
          <w:p w:rsidR="00F462EA" w:rsidRPr="00E60EA6" w:rsidRDefault="00D21F72" w:rsidP="00CD5843">
            <w:pPr>
              <w:pStyle w:val="BodyText1"/>
              <w:jc w:val="left"/>
            </w:pPr>
            <w:r w:rsidRPr="00E60EA6">
              <w:t>Industrial</w:t>
            </w:r>
          </w:p>
          <w:p w:rsidR="00F462EA" w:rsidRPr="00E60EA6" w:rsidRDefault="00D21F72" w:rsidP="00CD5843">
            <w:pPr>
              <w:pStyle w:val="BodyText1"/>
              <w:jc w:val="left"/>
            </w:pPr>
            <w:r w:rsidRPr="00E60EA6">
              <w:t>Automobile</w:t>
            </w:r>
          </w:p>
          <w:p w:rsidR="00F462EA" w:rsidRPr="00E60EA6" w:rsidRDefault="00D21F72" w:rsidP="00CD5843">
            <w:pPr>
              <w:pStyle w:val="BodyText1"/>
              <w:jc w:val="left"/>
            </w:pPr>
            <w:r w:rsidRPr="00E60EA6">
              <w:t>Petroleum</w:t>
            </w:r>
          </w:p>
        </w:tc>
      </w:tr>
      <w:tr w:rsidR="00D21F72" w:rsidRPr="00E60EA6" w:rsidTr="00E60EA6">
        <w:tc>
          <w:tcPr>
            <w:tcW w:w="3369" w:type="dxa"/>
            <w:tcBorders>
              <w:left w:val="nil"/>
              <w:right w:val="nil"/>
            </w:tcBorders>
            <w:shd w:val="clear" w:color="auto" w:fill="D3DFEE"/>
          </w:tcPr>
          <w:p w:rsidR="00F462EA" w:rsidRPr="00E60EA6" w:rsidRDefault="00D21F72">
            <w:pPr>
              <w:pStyle w:val="BodyText1"/>
            </w:pPr>
            <w:r w:rsidRPr="00E60EA6">
              <w:t>Primary Production</w:t>
            </w:r>
          </w:p>
        </w:tc>
        <w:tc>
          <w:tcPr>
            <w:tcW w:w="1417" w:type="dxa"/>
            <w:tcBorders>
              <w:left w:val="nil"/>
              <w:right w:val="nil"/>
            </w:tcBorders>
            <w:shd w:val="clear" w:color="auto" w:fill="D3DFEE"/>
          </w:tcPr>
          <w:p w:rsidR="00F462EA" w:rsidRPr="00E60EA6" w:rsidRDefault="006F6D68">
            <w:pPr>
              <w:pStyle w:val="BodyText1"/>
            </w:pPr>
            <w:r w:rsidRPr="00E60EA6">
              <w:t>$</w:t>
            </w:r>
            <w:r w:rsidR="00FA34E4" w:rsidRPr="00E60EA6">
              <w:t>22</w:t>
            </w:r>
            <w:r w:rsidR="00FA34E4">
              <w:t>6</w:t>
            </w:r>
          </w:p>
        </w:tc>
        <w:tc>
          <w:tcPr>
            <w:tcW w:w="1673" w:type="dxa"/>
            <w:tcBorders>
              <w:left w:val="nil"/>
              <w:right w:val="nil"/>
            </w:tcBorders>
            <w:shd w:val="clear" w:color="auto" w:fill="D3DFEE"/>
          </w:tcPr>
          <w:p w:rsidR="00F462EA" w:rsidRPr="00E60EA6" w:rsidRDefault="006F6D68">
            <w:pPr>
              <w:pStyle w:val="BodyText1"/>
            </w:pPr>
            <w:r w:rsidRPr="00E60EA6">
              <w:t>0.</w:t>
            </w:r>
            <w:r w:rsidR="00FA34E4" w:rsidRPr="00E60EA6">
              <w:t>000</w:t>
            </w:r>
            <w:r w:rsidR="00FA34E4">
              <w:t>190</w:t>
            </w:r>
          </w:p>
        </w:tc>
        <w:tc>
          <w:tcPr>
            <w:tcW w:w="2154" w:type="dxa"/>
            <w:tcBorders>
              <w:left w:val="nil"/>
              <w:right w:val="nil"/>
            </w:tcBorders>
            <w:shd w:val="clear" w:color="auto" w:fill="D3DFEE"/>
          </w:tcPr>
          <w:p w:rsidR="00F462EA" w:rsidRPr="00E60EA6" w:rsidRDefault="00D21F72" w:rsidP="00CD5843">
            <w:pPr>
              <w:pStyle w:val="BodyText1"/>
              <w:jc w:val="left"/>
            </w:pPr>
            <w:r w:rsidRPr="00E60EA6">
              <w:t>Farm</w:t>
            </w:r>
          </w:p>
        </w:tc>
      </w:tr>
      <w:tr w:rsidR="00D21F72" w:rsidRPr="00E60EA6" w:rsidTr="00E60EA6">
        <w:tc>
          <w:tcPr>
            <w:tcW w:w="3369" w:type="dxa"/>
            <w:shd w:val="clear" w:color="auto" w:fill="auto"/>
          </w:tcPr>
          <w:p w:rsidR="00F462EA" w:rsidRPr="00E60EA6" w:rsidRDefault="00D21F72">
            <w:pPr>
              <w:pStyle w:val="BodyText1"/>
            </w:pPr>
            <w:r w:rsidRPr="00E60EA6">
              <w:t>Public Benefit</w:t>
            </w:r>
          </w:p>
        </w:tc>
        <w:tc>
          <w:tcPr>
            <w:tcW w:w="1417" w:type="dxa"/>
            <w:shd w:val="clear" w:color="auto" w:fill="auto"/>
          </w:tcPr>
          <w:p w:rsidR="00F462EA" w:rsidRPr="00E60EA6" w:rsidRDefault="006F6D68">
            <w:pPr>
              <w:pStyle w:val="BodyText1"/>
            </w:pPr>
            <w:r w:rsidRPr="00E60EA6">
              <w:t>$</w:t>
            </w:r>
            <w:r w:rsidR="00FA34E4" w:rsidRPr="00E60EA6">
              <w:t>22</w:t>
            </w:r>
            <w:r w:rsidR="00FA34E4">
              <w:t>6</w:t>
            </w:r>
          </w:p>
        </w:tc>
        <w:tc>
          <w:tcPr>
            <w:tcW w:w="1673" w:type="dxa"/>
            <w:shd w:val="clear" w:color="auto" w:fill="auto"/>
          </w:tcPr>
          <w:p w:rsidR="00F462EA" w:rsidRPr="00E60EA6" w:rsidRDefault="006F6D68">
            <w:pPr>
              <w:pStyle w:val="BodyText1"/>
            </w:pPr>
            <w:r w:rsidRPr="00E60EA6">
              <w:t>0.</w:t>
            </w:r>
            <w:r w:rsidR="00FA34E4" w:rsidRPr="00E60EA6">
              <w:t>0000</w:t>
            </w:r>
            <w:r w:rsidR="00FA34E4">
              <w:t>66</w:t>
            </w:r>
          </w:p>
        </w:tc>
        <w:tc>
          <w:tcPr>
            <w:tcW w:w="2154" w:type="dxa"/>
            <w:shd w:val="clear" w:color="auto" w:fill="auto"/>
          </w:tcPr>
          <w:p w:rsidR="00F462EA" w:rsidRPr="00E60EA6" w:rsidRDefault="00D21F72" w:rsidP="00CD5843">
            <w:pPr>
              <w:pStyle w:val="BodyText1"/>
              <w:jc w:val="left"/>
            </w:pPr>
            <w:r w:rsidRPr="00E60EA6">
              <w:t>Cultural &amp; Recreation</w:t>
            </w:r>
          </w:p>
        </w:tc>
      </w:tr>
    </w:tbl>
    <w:p w:rsidR="006D6A25" w:rsidRDefault="00D21F72">
      <w:pPr>
        <w:pStyle w:val="BodyText"/>
      </w:pPr>
      <w:r>
        <w:t>For FSPL Vacant Land is split between Residential Land and other Vacant Land.</w:t>
      </w:r>
    </w:p>
    <w:p w:rsidR="006D6A25" w:rsidRDefault="006D6A25">
      <w:pPr>
        <w:pStyle w:val="BodyText"/>
      </w:pPr>
    </w:p>
    <w:p w:rsidR="006D6A25" w:rsidRDefault="006D6A25">
      <w:pPr>
        <w:pStyle w:val="BodyText"/>
      </w:pPr>
    </w:p>
    <w:p w:rsidR="00F05304" w:rsidRDefault="00F05304">
      <w:pPr>
        <w:spacing w:before="0" w:after="0"/>
        <w:rPr>
          <w:rFonts w:cs="Lucida Sans Unicode"/>
          <w:bCs/>
          <w:noProof/>
          <w:snapToGrid w:val="0"/>
          <w:szCs w:val="22"/>
          <w:lang w:val="en-GB" w:eastAsia="en-AU"/>
        </w:rPr>
      </w:pPr>
      <w:r>
        <w:br w:type="page"/>
      </w:r>
    </w:p>
    <w:p w:rsidR="00BA5D86" w:rsidRDefault="00BA5D86" w:rsidP="00BA5D86">
      <w:pPr>
        <w:pStyle w:val="Heading2"/>
      </w:pPr>
      <w:bookmarkStart w:id="450" w:name="_Toc11845163"/>
      <w:r>
        <w:lastRenderedPageBreak/>
        <w:t>4.  Bibliography</w:t>
      </w:r>
      <w:bookmarkEnd w:id="450"/>
    </w:p>
    <w:p w:rsidR="00A23966" w:rsidRPr="00583AE6" w:rsidRDefault="008A5E40" w:rsidP="005167B1">
      <w:pPr>
        <w:pStyle w:val="ListParagraph"/>
        <w:numPr>
          <w:ilvl w:val="0"/>
          <w:numId w:val="43"/>
        </w:numPr>
        <w:spacing w:after="80"/>
        <w:ind w:left="357" w:hanging="357"/>
      </w:pPr>
      <w:r w:rsidRPr="00C05662">
        <w:rPr>
          <w:rFonts w:cs="Lucida Sans Unicode"/>
          <w:szCs w:val="22"/>
        </w:rPr>
        <w:t xml:space="preserve">City of Greater Geelong </w:t>
      </w:r>
      <w:r w:rsidR="0092246B" w:rsidRPr="00C05662">
        <w:rPr>
          <w:rFonts w:cs="Lucida Sans Unicode"/>
          <w:szCs w:val="22"/>
        </w:rPr>
        <w:t>2019-20</w:t>
      </w:r>
      <w:r w:rsidR="00774679" w:rsidRPr="005A2AD5">
        <w:rPr>
          <w:rFonts w:cs="Lucida Sans Unicode"/>
          <w:szCs w:val="22"/>
        </w:rPr>
        <w:t xml:space="preserve"> </w:t>
      </w:r>
      <w:r w:rsidR="00E8606B" w:rsidRPr="005A2AD5">
        <w:rPr>
          <w:rFonts w:cs="Lucida Sans Unicode"/>
          <w:szCs w:val="22"/>
        </w:rPr>
        <w:t>B</w:t>
      </w:r>
      <w:r w:rsidR="00AB62F0" w:rsidRPr="00583AE6">
        <w:rPr>
          <w:rFonts w:cs="Lucida Sans Unicode"/>
          <w:szCs w:val="22"/>
        </w:rPr>
        <w:t>udget.</w:t>
      </w:r>
    </w:p>
    <w:p w:rsidR="00A23966" w:rsidRPr="005167B1" w:rsidRDefault="00D307AD" w:rsidP="005167B1">
      <w:pPr>
        <w:pStyle w:val="ListParagraph"/>
        <w:numPr>
          <w:ilvl w:val="0"/>
          <w:numId w:val="43"/>
        </w:numPr>
        <w:spacing w:after="80"/>
        <w:ind w:left="357" w:hanging="357"/>
      </w:pPr>
      <w:r w:rsidRPr="00132FCB">
        <w:rPr>
          <w:rFonts w:cs="Lucida Sans Unicode"/>
          <w:szCs w:val="22"/>
        </w:rPr>
        <w:t>Capacity of Residential Households to Pay Rat</w:t>
      </w:r>
      <w:r w:rsidRPr="005167B1">
        <w:rPr>
          <w:rFonts w:cs="Lucida Sans Unicode"/>
          <w:szCs w:val="22"/>
        </w:rPr>
        <w:t>es. Municipal Association of Victoria February 2010.</w:t>
      </w:r>
    </w:p>
    <w:p w:rsidR="00A23966" w:rsidRPr="00C05662" w:rsidRDefault="00911D62" w:rsidP="005167B1">
      <w:pPr>
        <w:pStyle w:val="ListParagraph"/>
        <w:numPr>
          <w:ilvl w:val="0"/>
          <w:numId w:val="43"/>
        </w:numPr>
        <w:spacing w:after="80"/>
        <w:ind w:left="357" w:hanging="357"/>
      </w:pPr>
      <w:r w:rsidRPr="005167B1">
        <w:rPr>
          <w:rFonts w:cs="Lucida Sans Unicode"/>
          <w:szCs w:val="22"/>
        </w:rPr>
        <w:t xml:space="preserve">URL link to latest version of </w:t>
      </w:r>
      <w:r w:rsidR="00942666" w:rsidRPr="005167B1">
        <w:rPr>
          <w:rFonts w:cs="Lucida Sans Unicode"/>
          <w:i/>
          <w:szCs w:val="22"/>
        </w:rPr>
        <w:t>Local Government</w:t>
      </w:r>
      <w:r w:rsidRPr="005167B1">
        <w:rPr>
          <w:rFonts w:cs="Lucida Sans Unicode"/>
          <w:i/>
          <w:szCs w:val="22"/>
        </w:rPr>
        <w:t xml:space="preserve"> Act 1989</w:t>
      </w:r>
      <w:r w:rsidRPr="005A2AD5">
        <w:rPr>
          <w:rFonts w:cs="Lucida Sans Unicode"/>
          <w:szCs w:val="22"/>
        </w:rPr>
        <w:t>:</w:t>
      </w:r>
      <w:r w:rsidR="00D307AD" w:rsidRPr="005A2AD5">
        <w:rPr>
          <w:rFonts w:cs="Lucida Sans Unicode"/>
          <w:szCs w:val="22"/>
        </w:rPr>
        <w:t xml:space="preserve"> </w:t>
      </w:r>
      <w:hyperlink r:id="rId29" w:history="1">
        <w:r w:rsidR="00090AD5" w:rsidRPr="005167B1">
          <w:t>www.austlii.edu.au/au/legis/vic/consol_act/lga1989182/</w:t>
        </w:r>
      </w:hyperlink>
      <w:r w:rsidR="00090AD5" w:rsidRPr="00C05662">
        <w:rPr>
          <w:rFonts w:cs="Lucida Sans Unicode"/>
          <w:szCs w:val="22"/>
        </w:rPr>
        <w:t xml:space="preserve"> </w:t>
      </w:r>
    </w:p>
    <w:p w:rsidR="00A23966" w:rsidRPr="00C05662" w:rsidRDefault="00A8548A" w:rsidP="005167B1">
      <w:pPr>
        <w:pStyle w:val="ListParagraph"/>
        <w:numPr>
          <w:ilvl w:val="0"/>
          <w:numId w:val="43"/>
        </w:numPr>
        <w:spacing w:after="80"/>
        <w:ind w:left="357" w:hanging="357"/>
      </w:pPr>
      <w:r w:rsidRPr="005A2AD5">
        <w:rPr>
          <w:rFonts w:cs="Lucida Sans Unicode"/>
          <w:szCs w:val="22"/>
        </w:rPr>
        <w:t xml:space="preserve">Income test for Family Tax Benefit Part A </w:t>
      </w:r>
      <w:hyperlink r:id="rId30" w:history="1">
        <w:r w:rsidR="00090AD5" w:rsidRPr="005167B1">
          <w:t>ww</w:t>
        </w:r>
        <w:bookmarkStart w:id="451" w:name="_GoBack"/>
        <w:bookmarkEnd w:id="451"/>
        <w:r w:rsidR="00090AD5" w:rsidRPr="005167B1">
          <w:t>w.centrelink.gov.au/payments/ftb-a-</w:t>
        </w:r>
      </w:hyperlink>
      <w:r w:rsidR="00090AD5" w:rsidRPr="00C05662">
        <w:rPr>
          <w:rFonts w:cs="Lucida Sans Unicode"/>
          <w:szCs w:val="22"/>
        </w:rPr>
        <w:t xml:space="preserve"> </w:t>
      </w:r>
    </w:p>
    <w:p w:rsidR="00A13E8D" w:rsidRDefault="00A13E8D">
      <w:pPr>
        <w:spacing w:before="0" w:after="0"/>
      </w:pPr>
      <w:bookmarkStart w:id="452" w:name="_Toc356202547"/>
      <w:bookmarkStart w:id="453" w:name="_Toc356202880"/>
    </w:p>
    <w:p w:rsidR="00835175" w:rsidRDefault="00835175">
      <w:pPr>
        <w:spacing w:before="0" w:after="0"/>
        <w:sectPr w:rsidR="00835175" w:rsidSect="005167B1">
          <w:footerReference w:type="even" r:id="rId31"/>
          <w:footerReference w:type="default" r:id="rId32"/>
          <w:type w:val="nextColumn"/>
          <w:pgSz w:w="11907" w:h="16840" w:code="184"/>
          <w:pgMar w:top="1134" w:right="1418" w:bottom="1701" w:left="1985" w:header="567" w:footer="227" w:gutter="0"/>
          <w:pgNumType w:start="1"/>
          <w:cols w:space="720"/>
          <w:docGrid w:linePitch="272"/>
        </w:sectPr>
      </w:pPr>
    </w:p>
    <w:p w:rsidR="00CE0920" w:rsidRDefault="00CE0920">
      <w:pPr>
        <w:pStyle w:val="Heading4A"/>
      </w:pPr>
      <w:r>
        <w:lastRenderedPageBreak/>
        <w:t>Attachment</w:t>
      </w:r>
      <w:r w:rsidRPr="00C74FC9">
        <w:t xml:space="preserve"> </w:t>
      </w:r>
      <w:r>
        <w:t>1</w:t>
      </w:r>
    </w:p>
    <w:p w:rsidR="007A6F86" w:rsidRDefault="007A6F86">
      <w:pPr>
        <w:pStyle w:val="Heading4A"/>
      </w:pPr>
      <w:r w:rsidRPr="007A6F86">
        <w:drawing>
          <wp:inline distT="0" distB="0" distL="0" distR="0">
            <wp:extent cx="8763000" cy="4909543"/>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769230" cy="4913033"/>
                    </a:xfrm>
                    <a:prstGeom prst="rect">
                      <a:avLst/>
                    </a:prstGeom>
                    <a:noFill/>
                    <a:ln>
                      <a:noFill/>
                    </a:ln>
                  </pic:spPr>
                </pic:pic>
              </a:graphicData>
            </a:graphic>
          </wp:inline>
        </w:drawing>
      </w:r>
    </w:p>
    <w:p w:rsidR="00142A1F" w:rsidRDefault="00142A1F">
      <w:pPr>
        <w:pStyle w:val="Heading4A"/>
      </w:pPr>
    </w:p>
    <w:p w:rsidR="007A6F86" w:rsidRDefault="007A6F86">
      <w:pPr>
        <w:pStyle w:val="Heading4A"/>
        <w:sectPr w:rsidR="007A6F86" w:rsidSect="005167B1">
          <w:footerReference w:type="default" r:id="rId34"/>
          <w:type w:val="nextColumn"/>
          <w:pgSz w:w="16840" w:h="11907" w:orient="landscape" w:code="184"/>
          <w:pgMar w:top="1134" w:right="1418" w:bottom="1701" w:left="1985" w:header="567" w:footer="227" w:gutter="0"/>
          <w:pgNumType w:start="1"/>
          <w:cols w:space="720"/>
          <w:docGrid w:linePitch="299"/>
        </w:sectPr>
      </w:pPr>
    </w:p>
    <w:p w:rsidR="00CE0920" w:rsidRDefault="00CE0920">
      <w:pPr>
        <w:pStyle w:val="Heading4A"/>
        <w:rPr>
          <w:lang w:eastAsia="en-AU"/>
        </w:rPr>
      </w:pPr>
    </w:p>
    <w:p w:rsidR="00CE0920" w:rsidRDefault="00AB37C6">
      <w:pPr>
        <w:pStyle w:val="Heading4A"/>
      </w:pPr>
      <w:r>
        <w:t>Attachment 2</w:t>
      </w:r>
    </w:p>
    <w:tbl>
      <w:tblPr>
        <w:tblW w:w="8861" w:type="dxa"/>
        <w:tblLayout w:type="fixed"/>
        <w:tblLook w:val="04A0" w:firstRow="1" w:lastRow="0" w:firstColumn="1" w:lastColumn="0" w:noHBand="0" w:noVBand="1"/>
      </w:tblPr>
      <w:tblGrid>
        <w:gridCol w:w="1903"/>
        <w:gridCol w:w="1494"/>
        <w:gridCol w:w="1134"/>
        <w:gridCol w:w="1701"/>
        <w:gridCol w:w="1701"/>
        <w:gridCol w:w="928"/>
      </w:tblGrid>
      <w:tr w:rsidR="00BB325A" w:rsidRPr="00BB325A" w:rsidTr="005167B1">
        <w:trPr>
          <w:trHeight w:val="1020"/>
          <w:tblHeader/>
        </w:trPr>
        <w:tc>
          <w:tcPr>
            <w:tcW w:w="1903" w:type="dxa"/>
            <w:tcBorders>
              <w:top w:val="single" w:sz="4" w:space="0" w:color="auto"/>
              <w:left w:val="single" w:sz="4" w:space="0" w:color="auto"/>
              <w:bottom w:val="single" w:sz="4" w:space="0" w:color="auto"/>
              <w:right w:val="single" w:sz="4" w:space="0" w:color="auto"/>
            </w:tcBorders>
            <w:shd w:val="clear" w:color="000000" w:fill="D9E1F2"/>
            <w:vAlign w:val="bottom"/>
            <w:hideMark/>
          </w:tcPr>
          <w:p w:rsidR="00BB325A" w:rsidRPr="00BB325A" w:rsidRDefault="00BB325A" w:rsidP="00BB325A">
            <w:pPr>
              <w:spacing w:before="0" w:after="0"/>
              <w:rPr>
                <w:rFonts w:ascii="Arial" w:hAnsi="Arial" w:cs="Arial"/>
                <w:color w:val="000000"/>
                <w:sz w:val="20"/>
                <w:lang w:eastAsia="en-AU"/>
              </w:rPr>
            </w:pPr>
            <w:r w:rsidRPr="00BB325A">
              <w:rPr>
                <w:rFonts w:ascii="Arial" w:hAnsi="Arial" w:cs="Arial"/>
                <w:color w:val="000000"/>
                <w:sz w:val="20"/>
                <w:lang w:eastAsia="en-AU"/>
              </w:rPr>
              <w:t>Suburb</w:t>
            </w:r>
          </w:p>
        </w:tc>
        <w:tc>
          <w:tcPr>
            <w:tcW w:w="1494" w:type="dxa"/>
            <w:tcBorders>
              <w:top w:val="single" w:sz="4" w:space="0" w:color="auto"/>
              <w:left w:val="nil"/>
              <w:bottom w:val="single" w:sz="4" w:space="0" w:color="auto"/>
              <w:right w:val="single" w:sz="4" w:space="0" w:color="auto"/>
            </w:tcBorders>
            <w:shd w:val="clear" w:color="000000" w:fill="D9E1F2"/>
            <w:vAlign w:val="bottom"/>
            <w:hideMark/>
          </w:tcPr>
          <w:p w:rsidR="00BB325A" w:rsidRPr="00BB325A" w:rsidRDefault="00BB325A" w:rsidP="00BB325A">
            <w:pPr>
              <w:spacing w:before="0" w:after="0"/>
              <w:rPr>
                <w:rFonts w:ascii="Arial" w:hAnsi="Arial" w:cs="Arial"/>
                <w:color w:val="000000"/>
                <w:sz w:val="20"/>
                <w:lang w:eastAsia="en-AU"/>
              </w:rPr>
            </w:pPr>
            <w:r w:rsidRPr="00BB325A">
              <w:rPr>
                <w:rFonts w:ascii="Arial" w:hAnsi="Arial" w:cs="Arial"/>
                <w:color w:val="000000"/>
                <w:sz w:val="20"/>
                <w:lang w:eastAsia="en-AU"/>
              </w:rPr>
              <w:t> </w:t>
            </w:r>
            <w:r w:rsidR="00F661B9">
              <w:rPr>
                <w:rFonts w:ascii="Arial" w:hAnsi="Arial" w:cs="Arial"/>
                <w:color w:val="000000"/>
                <w:sz w:val="20"/>
                <w:lang w:eastAsia="en-AU"/>
              </w:rPr>
              <w:t>Rate Type</w:t>
            </w:r>
          </w:p>
        </w:tc>
        <w:tc>
          <w:tcPr>
            <w:tcW w:w="1134" w:type="dxa"/>
            <w:tcBorders>
              <w:top w:val="single" w:sz="4" w:space="0" w:color="auto"/>
              <w:left w:val="nil"/>
              <w:bottom w:val="single" w:sz="4" w:space="0" w:color="auto"/>
              <w:right w:val="single" w:sz="4" w:space="0" w:color="auto"/>
            </w:tcBorders>
            <w:shd w:val="clear" w:color="000000" w:fill="D9E1F2"/>
            <w:vAlign w:val="bottom"/>
            <w:hideMark/>
          </w:tcPr>
          <w:p w:rsidR="00BB325A" w:rsidRPr="00BB325A" w:rsidRDefault="00BB325A" w:rsidP="00BB325A">
            <w:pPr>
              <w:spacing w:before="0" w:after="0"/>
              <w:jc w:val="center"/>
              <w:rPr>
                <w:rFonts w:ascii="Arial" w:hAnsi="Arial" w:cs="Arial"/>
                <w:color w:val="000000"/>
                <w:sz w:val="20"/>
                <w:lang w:eastAsia="en-AU"/>
              </w:rPr>
            </w:pPr>
            <w:r w:rsidRPr="00BB325A">
              <w:rPr>
                <w:rFonts w:ascii="Arial" w:hAnsi="Arial" w:cs="Arial"/>
                <w:color w:val="000000"/>
                <w:sz w:val="20"/>
                <w:lang w:eastAsia="en-AU"/>
              </w:rPr>
              <w:t xml:space="preserve"> Number of Properties </w:t>
            </w:r>
          </w:p>
        </w:tc>
        <w:tc>
          <w:tcPr>
            <w:tcW w:w="1701" w:type="dxa"/>
            <w:tcBorders>
              <w:top w:val="single" w:sz="4" w:space="0" w:color="auto"/>
              <w:left w:val="nil"/>
              <w:bottom w:val="single" w:sz="4" w:space="0" w:color="auto"/>
              <w:right w:val="single" w:sz="4" w:space="0" w:color="auto"/>
            </w:tcBorders>
            <w:shd w:val="clear" w:color="000000" w:fill="D9E1F2"/>
            <w:vAlign w:val="bottom"/>
            <w:hideMark/>
          </w:tcPr>
          <w:p w:rsidR="00BB325A" w:rsidRPr="00BB325A" w:rsidRDefault="00BB325A" w:rsidP="00BB325A">
            <w:pPr>
              <w:spacing w:before="0" w:after="0"/>
              <w:rPr>
                <w:rFonts w:ascii="Arial" w:hAnsi="Arial" w:cs="Arial"/>
                <w:color w:val="000000"/>
                <w:sz w:val="20"/>
                <w:lang w:eastAsia="en-AU"/>
              </w:rPr>
            </w:pPr>
            <w:r w:rsidRPr="00BB325A">
              <w:rPr>
                <w:rFonts w:ascii="Arial" w:hAnsi="Arial" w:cs="Arial"/>
                <w:color w:val="000000"/>
                <w:sz w:val="20"/>
                <w:lang w:eastAsia="en-AU"/>
              </w:rPr>
              <w:t xml:space="preserve"> 2018 Level CIV </w:t>
            </w:r>
          </w:p>
        </w:tc>
        <w:tc>
          <w:tcPr>
            <w:tcW w:w="1701" w:type="dxa"/>
            <w:tcBorders>
              <w:top w:val="single" w:sz="4" w:space="0" w:color="auto"/>
              <w:left w:val="nil"/>
              <w:bottom w:val="single" w:sz="4" w:space="0" w:color="auto"/>
              <w:right w:val="single" w:sz="4" w:space="0" w:color="auto"/>
            </w:tcBorders>
            <w:shd w:val="clear" w:color="000000" w:fill="D9E1F2"/>
            <w:vAlign w:val="bottom"/>
            <w:hideMark/>
          </w:tcPr>
          <w:p w:rsidR="00BB325A" w:rsidRPr="00BB325A" w:rsidRDefault="00BB325A" w:rsidP="00BB325A">
            <w:pPr>
              <w:spacing w:before="0" w:after="0"/>
              <w:rPr>
                <w:rFonts w:ascii="Arial" w:hAnsi="Arial" w:cs="Arial"/>
                <w:color w:val="000000"/>
                <w:sz w:val="20"/>
                <w:lang w:eastAsia="en-AU"/>
              </w:rPr>
            </w:pPr>
            <w:r w:rsidRPr="00BB325A">
              <w:rPr>
                <w:rFonts w:ascii="Arial" w:hAnsi="Arial" w:cs="Arial"/>
                <w:color w:val="000000"/>
                <w:sz w:val="20"/>
                <w:lang w:eastAsia="en-AU"/>
              </w:rPr>
              <w:t xml:space="preserve"> 2019 Level CIV </w:t>
            </w:r>
          </w:p>
        </w:tc>
        <w:tc>
          <w:tcPr>
            <w:tcW w:w="928" w:type="dxa"/>
            <w:tcBorders>
              <w:top w:val="single" w:sz="4" w:space="0" w:color="auto"/>
              <w:left w:val="nil"/>
              <w:bottom w:val="single" w:sz="4" w:space="0" w:color="auto"/>
              <w:right w:val="single" w:sz="4" w:space="0" w:color="auto"/>
            </w:tcBorders>
            <w:shd w:val="clear" w:color="000000" w:fill="D9E1F2"/>
            <w:tcMar>
              <w:left w:w="11" w:type="dxa"/>
              <w:right w:w="11" w:type="dxa"/>
            </w:tcMar>
            <w:vAlign w:val="bottom"/>
            <w:hideMark/>
          </w:tcPr>
          <w:p w:rsidR="00BB325A" w:rsidRPr="005167B1" w:rsidRDefault="00BB325A" w:rsidP="00BB325A">
            <w:pPr>
              <w:spacing w:before="0" w:after="0"/>
              <w:rPr>
                <w:rFonts w:ascii="Arial" w:hAnsi="Arial" w:cs="Arial"/>
                <w:color w:val="000000"/>
                <w:sz w:val="18"/>
                <w:lang w:eastAsia="en-AU"/>
              </w:rPr>
            </w:pPr>
            <w:r w:rsidRPr="005167B1">
              <w:rPr>
                <w:rFonts w:ascii="Arial" w:hAnsi="Arial" w:cs="Arial"/>
                <w:color w:val="000000"/>
                <w:sz w:val="18"/>
                <w:lang w:eastAsia="en-AU"/>
              </w:rPr>
              <w:t>% Movement</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Anakie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220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112,595,000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127,975,000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13.7%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Anakie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117,479,000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167,114,000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42.3%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Anakie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3,781,000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4,153,000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9.8%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Anakie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13,400,000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15,190,000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13.4%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Anakie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5,709,000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8,215,000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43.9%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Anakie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3,630,000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3,900,000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7.4%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Anakie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345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256,594,000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326,547,000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Armstrong Creek</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2,595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1,208,925,000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1,342,612,000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11.1%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Armstrong Creek</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118,960,000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136,620,000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14.8%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Armstrong Creek</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69,446,000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75,185,000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8.3%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Armstrong Creek</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832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293,020,000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359,030,000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22.5%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Armstrong Creek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3,527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1,690,351,000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1,913,447,000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Avalon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49,878,000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56,429,000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13.1%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Avalon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11,490,000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18,330,000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59.5%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Avalon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17,140,700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17,771,857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Avalon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22,989,000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23,720,000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Avalon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7,947,000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10,077,000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26.8%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Avalon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690,000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40.8%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Avalon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2,950,000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3,260,000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10.5%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Avalon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141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112,884,700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130,277,857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Balliang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19,650,000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22,855,000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16.3%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Balliang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62,515,000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98,300,000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57.2%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Balliang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350,000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510,000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45.7%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Balliang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940,000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1,120,000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19.1%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Balliang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2,834,000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4,576,000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61.5%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lastRenderedPageBreak/>
              <w:t>Balliang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95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86,289,000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127,361,000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Barwon Heads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2,255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2,291,875,000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2,476,075,000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8.0%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Barwon Heads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5,500,000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6,700,000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21.8%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Barwon Heads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51,051,300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52,477,680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Barwon Heads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55,180,000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60,110,000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8.9%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Barwon Heads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16,755,000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16,795,000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0.2%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Barwon Heads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14,960,000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16,090,000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7.6%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Barwon Heads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2,407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2,435,321,300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2,628,247,680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Batesford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53,900,000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72,580,000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34.7%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Batesford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17,760,000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23,560,000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32.7%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Batesford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3,236,700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3,456,439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Batesford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3,273,000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4,125,000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26.0%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Batesford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720,000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760,000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5.6%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Batesford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670,000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770,000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14.9%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Batesford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103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79,559,700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105,251,439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Bell Park</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2,378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866,015,000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1,004,015,000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15.9%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Bell Park</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71,224,800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77,116,139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8.3%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Bell Park</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74,105,000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79,460,000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7.2%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Bell Park</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14,499,000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19,532,000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34.7%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Bell Park</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2,030,000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2,270,000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11.8%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Bell Park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2,632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1,027,873,800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1,182,393,139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Bell Post Hill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2,190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893,495,000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985,224,000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10.3%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Bell Post Hill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4,810,000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6,560,000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36.4%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Bell Post Hill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7,646,000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8,002,000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Bell Post Hill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20,905,000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24,265,000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16.1%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Bell Post Hill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410,000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450,000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9.8%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Bell Post Hill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2,277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927,266,000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1,024,501,000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lastRenderedPageBreak/>
              <w:t>Bellarine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50,218,000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64,399,000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28.2%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Bellarine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82,500,000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94,460,000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14.5%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Bellarine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4,910,000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4,970,000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Bellarine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370,000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350,000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-5.4%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Bellarine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1,130,000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88.3%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Bellarine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1,020,000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1,420,000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39.2%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Bellarine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96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139,618,000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166,729,000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Belmont</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6,544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2,867,370,000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3,142,445,000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9.6%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Belmont</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322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310,835,500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329,608,419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Belmont</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30,355,000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37,215,000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22.6%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Belmont</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38,334,000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43,282,000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12.9%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Belmont</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5,080,000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7,680,000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51.2%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Belmont</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8,345,000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9,190,000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10.1%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Belmont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7,041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3,260,319,500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3,569,420,419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Breakwater</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527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157,790,000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183,545,000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16.3%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Breakwater</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39,194,000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43,242,590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10.3%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Breakwater</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146,195,000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165,700,000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13.3%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Breakwater</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5,180,000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6,535,000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26.2%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Breakwater</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10,700,000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10,700,000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0.0%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Breakwater</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2,080,000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2,210,000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Breakwater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757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361,139,000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411,932,590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347F4"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Breamlea</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80,730,000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92,170,000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14.2%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347F4"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Breamlea</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28.6%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347F4"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Breamlea</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2,230,000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2,780,000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24.7%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Breamlea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113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83,065,000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95,085,000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Ceres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86,310,000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92,445,000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7.1%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Ceres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31,050,000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32,710,000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5.3%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lastRenderedPageBreak/>
              <w:t>Ceres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181,000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257,000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42.0%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Ceres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2,767,000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3,511,000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26.9%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Ceres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111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120,308,000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128,923,000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Charlemont</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445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233,780,000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248,790,000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Charlemont</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88,300,000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89,735,000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Charlemont</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2,011,000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2,026,000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0.7%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Charlemont</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820,000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Charlemont</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46,395,000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62,415,000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34.5%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Charlemont</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1,470,000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1,560,000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Charlemont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602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372,746,000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405,346,000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Clifton Springs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3,470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1,456,815,000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1,711,010,000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17.4%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Clifton Springs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4,600,000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4,500,000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Clifton Springs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5,480,200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5,806,689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Clifton Springs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255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50,090,000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65,520,000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30.8%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Clifton Springs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5,892,000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6,684,000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13.4%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Clifton Springs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1,195,000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1,225,000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Clifton Springs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3,749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1,524,072,200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1,794,745,689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Connewarre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306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239,265,000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260,593,000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8.9%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Connewarre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55,608,000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65,255,000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17.3%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Connewarre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12,864,000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13,964,905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8.6%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Connewarre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30,970,000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36,000,000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16.2%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Connewarre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4,370,000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5,240,000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19.9%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Connewarre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464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343,077,000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381,052,905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Corio</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6,161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1,762,230,000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2,048,145,000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16.2%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Corio</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5,480,000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10,430,000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90.3%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Corio</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252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267,939,900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256,120,771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Corio</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162,574,000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163,857,000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0.8%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lastRenderedPageBreak/>
              <w:t>Corio</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310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65,118,911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82,251,911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26.3%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Corio</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17,886,700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21,208,218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18.6%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Corio</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2,500,000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2,850,000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14.0%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Corio</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Petroleum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145,100,000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145,100,000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0.0%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Corio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6,819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2,428,829,511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2,729,962,900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Curlewis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1,094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530,755,000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608,380,000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14.6%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Curlewis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76,880,000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81,610,000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Curlewis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23,819,000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26,794,525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12.5%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Curlewis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343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82,687,000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120,200,000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45.4%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Curlewis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1,508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714,141,000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836,984,525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Drumcondra</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242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210,190,000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246,530,000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17.3%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Drumcondra</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4,301,700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4,581,075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Drumcondra</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2,100,000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23.5%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Drumcondra</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2,290,000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2,570,000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12.2%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Drumcondra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257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218,481,700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255,781,075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Drysdale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1,964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911,205,000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1,083,875,000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18.9%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Drysdale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106,950,000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128,000,000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19.7%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Drysdale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103,606,300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110,887,294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7.0%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Drysdale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9,940,000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10,200,000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Drysdale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42,316,000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52,679,000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24.5%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Drysdale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1,280,000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29.3%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Drysdale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6,850,000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7,260,000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Drysdale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2,352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1,181,857,300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1,394,181,294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East 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1,817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926,005,000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1,066,990,000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15.2%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East 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40,921,900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42,618,846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East 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6,190,000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7,400,000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19.5%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East 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6,292,000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6,852,000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8.9%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lastRenderedPageBreak/>
              <w:t>East 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3,350,000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3,280,000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East Geelong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1,906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982,758,900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1,127,140,846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Fyansford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210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123,690,000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147,610,000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19.3%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Fyansford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20,030,000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20,720,000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Fyansford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13,375,000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13,942,335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Fyansford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17,855,000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18,295,000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Fyansford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190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77,175,000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86,915,000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12.6%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Fyansford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970,000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23.7%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Fyansford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950,000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8.0%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Fyansford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441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253,975,000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289,632,335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2,797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1,710,010,000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1,916,670,000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12.1%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1,698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1,809,873,100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1,949,880,220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7.7%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13,640,000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17,340,000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27.1%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15,762,000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19,691,000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24.9%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6,630,000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7,056,000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21,500,000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22,740,000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5.8%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Geelong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4,580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3,577,415,100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3,933,377,220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Geelong West</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3,513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1,801,760,000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1,968,660,000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9.3%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Geelong West</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450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385,052,600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404,849,450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5.1%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Geelong West</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21,629,000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23,780,000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9.9%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Geelong West</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27,712,000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29,958,000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8.1%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Geelong West</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9,240,000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9,850,000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Geelong West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4,063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2,245,393,600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2,437,097,450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Grovedale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6,100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2,422,605,000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2,710,210,000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11.9%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Grovedale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355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397,358,800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421,118,518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Grovedale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48,760,000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52,520,000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7.7%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Grovedale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33,810,000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39,640,000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17.2%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lastRenderedPageBreak/>
              <w:t>Grovedale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6,165,000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6,960,000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12.9%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Grovedale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6,644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2,908,698,800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3,230,448,518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Hamlyn Heights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2,872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1,258,815,000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1,403,080,000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11.5%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Hamlyn Heights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1,360,000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13.3%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Hamlyn Heights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13,500,000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14,566,000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7.9%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Hamlyn Heights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20,205,000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20,665,000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Hamlyn Heights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534,100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588,748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10.2%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Hamlyn Heights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2,580,000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2,740,000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Hamlyn Heights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2,968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1,296,834,100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1,442,999,748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Herne Hill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1,760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661,290,000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756,525,000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14.4%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Herne Hill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9,710,000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10,845,000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11.7%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Herne Hill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9,080,000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10,440,000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15.0%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Herne Hill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980,000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10.1%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Herne Hill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1,817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680,970,000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778,790,000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Highton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7,745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4,280,100,000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4,717,100,000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10.2%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Highton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122,377,300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131,607,400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7.5%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Highton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374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128,515,000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158,690,000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23.5%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Highton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1,280,000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8.5%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Highton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4,715,000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5,255,000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11.5%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Highton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8,292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4,536,887,300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5,013,932,400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Indented Head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1,229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627,975,000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757,155,000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20.6%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Indented Head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15,430,000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18,940,000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22.7%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Indented Head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645,000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684,000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Indented Head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188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51,650,000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56,880,000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10.1%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Indented Head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346,000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378,000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9.2%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Indented Head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3,320,000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3,720,000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12.0%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Indented Head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1,435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699,366,000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837,757,000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lastRenderedPageBreak/>
              <w:t>Lara</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6,152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2,836,232,000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3,340,680,000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17.8%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Lara</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92,870,000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158,180,000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70.3%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Lara</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126,546,300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133,259,281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5.3%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Lara</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95,365,000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96,185,000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0.9%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Lara</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285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116,541,000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171,712,000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47.3%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Lara</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2,930,000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3,620,000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23.5%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Lara</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12,395,000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17,620,000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42.2%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Lara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6,742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3,282,879,300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3,921,256,281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Leopold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5,100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2,216,090,000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2,595,770,000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17.1%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Leopold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56,630,000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70,510,000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24.5%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Leopold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145,209,500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158,674,802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9.3%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Leopold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39,235,000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51,990,000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32.5%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Leopold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2,041,000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2,015,000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Leopold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4,600,000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4,640,000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0.9%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Leopold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5,383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2,463,805,500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2,883,599,802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Little River</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133,780,000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161,830,000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21.0%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Little River</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60,620,000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96,830,000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59.7%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Little River</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17,720,000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20,027,857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13.0%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Little River</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24,790,000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26,713,000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7.8%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Little River</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22,795,000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36,925,000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62.0%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Little River</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2,540,000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2,850,000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12.2%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Little River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273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262,245,000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345,175,857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Lovely Banks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826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454,940,000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534,605,000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17.5%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Lovely Banks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111,830,000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224,890,000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101.1%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Lovely Banks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22,950,700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25,495,696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11.1%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Lovely Banks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750,000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46.7%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Lovely Banks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46,820,000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70,125,000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49.8%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lastRenderedPageBreak/>
              <w:t>Lovely Banks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5,320,000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9,440,000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77.4%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Lovely Banks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988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642,610,700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865,655,696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Manifold Heights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1,176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670,570,000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727,025,000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8.4%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Manifold Heights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24,323,400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25,168,766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Manifold Heights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520,000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620,000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19.2%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Manifold Heights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8,940,000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9,240,000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Manifold Heights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1,250,000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1,270,000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Manifold Heights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1,234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705,603,400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763,323,766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Mannerim</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13,220,000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15,655,000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18.4%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Mannerim</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62,195,000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70,765,000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13.8%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Mannerim</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710,000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Mannerim</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6,150,000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6,560,000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Mannerim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65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82,255,000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93,690,000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Marcus Hill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32,980,000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38,625,000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17.1%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Marcus Hill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42,480,000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53,640,000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26.3%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Marcus Hill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5,245,000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5,315,000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Marcus Hill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720,000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20.0%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Marcus Hill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Marcus Hill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78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81,385,000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98,385,000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Marshall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985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362,920,000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407,450,000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12.3%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Marshall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4,160,000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4,560,000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9.6%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Marshall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1,520,000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1,570,000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Marshall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11,346,000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13,362,000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17.8%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Marshall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2,380,000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2,800,000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17.6%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Marshall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1,009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382,326,000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429,742,000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Moolap</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631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356,847,000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433,558,000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21.5%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Moolap</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31,840,000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42,300,000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32.9%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lastRenderedPageBreak/>
              <w:t>Moolap</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83,254,000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91,861,410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10.3%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Moolap</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353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198,705,001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244,995,001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23.3%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Moolap</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32,325,000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37,935,000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17.4%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Moolap</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4,405,000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5,885,000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33.6%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Moolap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1,222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707,376,001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856,534,411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Moorabool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13,085,000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16,990,000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29.8%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Moorabool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42,150,000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57,310,000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36.0%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Moorabool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185,000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-36.2%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Moorabool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940,000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38.3%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Moorabool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2,470,000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46.2%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Moorabool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56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58,155,000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78,255,000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Mount Duneed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1,158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624,780,000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690,335,000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10.5%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Mount Duneed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55,350,000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63,330,000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14.4%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Mount Duneed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13,557,000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15,456,000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14.0%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Mount Duneed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213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90,625,000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108,055,000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19.2%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Mount Duneed</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720,000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1,060,000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47.2%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Mount Duneed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1,419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785,032,000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878,236,000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Newcomb</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2,323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787,400,000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933,250,000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18.5%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Newcomb</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105,184,400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115,950,179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10.2%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Newcomb</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11,040,000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12,270,000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11.1%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Newcomb</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6,775,000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8,155,000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20.4%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Newcomb</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1,440,000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1,510,000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Newcomb Total </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2,482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911,839,400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1,071,135,179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Newtown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4,501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3,179,845,000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3,531,455,000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11.1%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Newtown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311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242,692,400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273,123,357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12.5%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Newtown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69,095,000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81,470,000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17.9%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Newtown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57,913,000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65,488,000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13.1%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lastRenderedPageBreak/>
              <w:t>Newtown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3,360,000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3,560,000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Newtown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5,580,000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6,620,000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18.6%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Newtown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5,028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3,558,485,400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3,961,716,357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Norlane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4,260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1,132,580,000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1,310,580,000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15.7%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Norlane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80,930,400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87,964,443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8.7%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Norlane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71,600,000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73,570,000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Norlane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17,000,000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21,870,000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28.6%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Norlane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1,160,000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1,480,000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27.6%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Norlane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350,000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410,000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17.1%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Norlane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4,505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1,303,620,400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1,495,874,443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North 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1,272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501,025,000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546,125,000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9.0%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North 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164,964,300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182,885,395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10.9%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North 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490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355,070,595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382,460,444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7.7%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North 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27,365,000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38,860,000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42.0%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North 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3,750,000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3,890,000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North 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2,870,000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3,430,000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19.5%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North Geelong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2,013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1,055,044,895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1,157,650,839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North Shore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189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86,045,000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95,265,000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10.7%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North Shore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4,360,000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4,680,000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7.3%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North Shore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106,660,778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118,590,778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11.2%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North Shore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11,385,111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13,160,111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15.6%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North Shore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270,000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11.1%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North Shore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356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208,720,889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231,995,889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Ocean Grove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7,846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4,984,732,500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5,485,955,000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10.1%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Ocean Grove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11,050,000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13,000,000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17.6%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Ocean Grove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314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246,415,900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259,742,467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5.4%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Ocean Grove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38,435,000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47,815,000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24.4%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lastRenderedPageBreak/>
              <w:t>Ocean Grove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499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259,231,000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310,395,000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19.7%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Ocean Grove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4,998,600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5,218,888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Ocean Grove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29,270,000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31,350,000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7.1%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Ocean Grove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8,783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5,574,133,000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6,153,476,355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Point Lonsdale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The Point - 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90,930,000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107,250,000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17.9%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Point Lonsdale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The Point - 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9,334,000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8,670,000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-7.1%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Point Lonsdale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The Point - 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38,030,000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42,070,000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10.6%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Point Lonsdale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710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481,939,000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546,975,000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13.5%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Point Lonsdale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12,990,000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14,225,000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9.5%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Point Lonsdale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1,258,000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1,350,000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7.3%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Point Lonsdale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1,520,000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1,660,000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9.2%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Point Lonsdale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40,821,600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50,702,825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24.2%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Point Lonsdale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2,970,000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2,999,175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Point Lonsdale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1,045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679,792,600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775,902,000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Point Wilson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4,450,000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8,480,000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90.6%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Point Wilson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290,000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81.3%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Point Wilson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40,480,000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43,540,000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7.6%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Point Wilson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5,500,000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6,300,000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14.5%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Point Wilson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50,590,000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58,610,000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Portarlington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2,876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1,490,025,000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1,737,130,000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16.6%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Portarlington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40,790,000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58,230,000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42.8%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Portarlington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55,685,100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58,322,961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Portarlington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6,650,000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7,270,000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9.3%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Portarlington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428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126,595,000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166,210,000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31.3%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Portarlington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5,079,000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5,956,200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17.3%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Portarlington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16,300,000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18,070,000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10.9%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Portarlington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3,439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1,741,124,100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2,051,189,161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lastRenderedPageBreak/>
              <w:t>Rippleside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436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319,670,000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332,780,000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Rippleside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17,612,000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18,402,000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Rippleside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11,370,000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11,550,000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Rippleside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770,000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770,000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0.0%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Rippleside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479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349,422,000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363,502,000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South 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479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227,590,000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255,945,000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12.5%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South 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169,285,500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175,972,839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South 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229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175,386,000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187,469,000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South 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17,630,000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23,675,000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34.3%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South 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20,680,000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29,295,000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41.7%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South Geelong</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2,280,000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2,360,000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South Geelong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909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612,851,500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674,716,839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St Albans Park</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2,145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762,940,000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866,235,000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13.5%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St Albans Park</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3,700,000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5,240,000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41.6%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St Albans Park</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19,778,000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20,114,000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St Albans Park</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5,310,000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6,960,000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31.1%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St Albans Park</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530,000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790,000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49.1%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St Albans Park</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810,000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1,160,000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43.2%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St Albans Park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2,185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793,068,000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900,499,000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St Leonards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2,515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1,175,254,000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1,387,495,000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18.1%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St Leonards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41,200,000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60,640,000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47.2%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St Leonards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21,533,600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22,875,594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St Leonards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9.1%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St Leonards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435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119,791,000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162,170,000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35.4%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St Leonards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Cult &amp; Rec</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1,462,000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1,830,000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25.2%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St Leonards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3,490,000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3,840,000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10.0%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St Leonards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3,024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1,362,785,600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1,638,910,594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lastRenderedPageBreak/>
              <w:t>Staughton Vale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16,930,000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19,540,000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15.4%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Staughton Vale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5,270,000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6,820,000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29.4%</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Staughton Vale</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1,330,000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1,875,000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41.0%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Staughton Vale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42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23,530,000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28,235,000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Swan Bay</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17,130,000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17,280,000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0.9%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Swan Bay</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23,970,000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23,840,000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-0.5%</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Swan Bay</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4,781,000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4,729,000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Swan Bay</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2,910,000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3,190,000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9.6%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Swan Bay</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870,000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Swan Bay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49,671,000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49,909,000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Thomson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919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271,765,000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329,240,000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21.1%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Thomson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4,890,000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4,920,000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0.6%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Thomson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1,650,000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65.0%</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Thomson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310,000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10.7%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Thomson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943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277,935,000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336,120,000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Wallington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425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393,030,000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482,965,000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22.9%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Wallington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48,060,000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63,560,000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32.3%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Wallington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30,659,000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31,161,000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Wallington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12,446,000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15,888,000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27.7%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Wallington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7,420,000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8,520,000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14.8%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Wallington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511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491,615,000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602,094,000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Wandana Heights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735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470,775,000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520,790,000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10.6%</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Wandana Heights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594,000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1,002,000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68.7%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Wandana Heights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27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13,035,000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15,800,000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21.2%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Wandana Heights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768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484,404,000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537,592,000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Waurn Ponds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Mixed Use</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1,780,000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2,540,000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42.7%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Waurn Ponds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1,396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775,500,000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860,195,000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10.9%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lastRenderedPageBreak/>
              <w:t>Waurn Ponds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Farm</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30,980,000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32,200,000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3.9%</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Waurn Ponds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73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136,589,000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144,546,120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5.8%</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Waurn Ponds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Industrial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9,820,000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10,220,000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4.1%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Waurn Ponds</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14,425,000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18,195,000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26.1%</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Waurn Ponds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1,525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969,094,000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1,067,896,120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Whittington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Residential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1,876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492,155,000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596,470,000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21.2%</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Whittington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Commercial</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12,365,000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11,955,000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-3.3%</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Whittington</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Vacant</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372,000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1"/>
              <w:rPr>
                <w:rFonts w:ascii="Arial" w:hAnsi="Arial" w:cs="Arial"/>
                <w:color w:val="000000"/>
                <w:sz w:val="20"/>
                <w:lang w:eastAsia="en-AU"/>
              </w:rPr>
            </w:pPr>
            <w:r w:rsidRPr="00BB325A">
              <w:rPr>
                <w:rFonts w:ascii="Arial" w:hAnsi="Arial" w:cs="Arial"/>
                <w:color w:val="000000"/>
                <w:sz w:val="20"/>
                <w:lang w:eastAsia="en-AU"/>
              </w:rPr>
              <w:t xml:space="preserve">               490,000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jc w:val="right"/>
              <w:outlineLvl w:val="1"/>
              <w:rPr>
                <w:rFonts w:ascii="Arial" w:hAnsi="Arial" w:cs="Arial"/>
                <w:color w:val="000000"/>
                <w:sz w:val="20"/>
                <w:lang w:eastAsia="en-AU"/>
              </w:rPr>
            </w:pPr>
            <w:r w:rsidRPr="00BB325A">
              <w:rPr>
                <w:rFonts w:ascii="Arial" w:hAnsi="Arial" w:cs="Arial"/>
                <w:color w:val="000000"/>
                <w:sz w:val="20"/>
                <w:lang w:eastAsia="en-AU"/>
              </w:rPr>
              <w:t>31.7%</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Whittington Total</w:t>
            </w:r>
          </w:p>
        </w:tc>
        <w:tc>
          <w:tcPr>
            <w:tcW w:w="149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1,891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504,892,000 </w:t>
            </w:r>
          </w:p>
        </w:tc>
        <w:tc>
          <w:tcPr>
            <w:tcW w:w="1701"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608,915,000 </w:t>
            </w:r>
          </w:p>
        </w:tc>
        <w:tc>
          <w:tcPr>
            <w:tcW w:w="928" w:type="dxa"/>
            <w:tcBorders>
              <w:top w:val="nil"/>
              <w:left w:val="nil"/>
              <w:bottom w:val="single" w:sz="4" w:space="0" w:color="auto"/>
              <w:right w:val="single" w:sz="4" w:space="0" w:color="auto"/>
            </w:tcBorders>
            <w:shd w:val="clear" w:color="auto" w:fill="auto"/>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r w:rsidR="00BB325A" w:rsidRPr="00BB325A" w:rsidTr="00594240">
        <w:trPr>
          <w:trHeight w:val="255"/>
        </w:trPr>
        <w:tc>
          <w:tcPr>
            <w:tcW w:w="1903" w:type="dxa"/>
            <w:tcBorders>
              <w:top w:val="nil"/>
              <w:left w:val="single" w:sz="4" w:space="0" w:color="auto"/>
              <w:bottom w:val="single" w:sz="4" w:space="0" w:color="auto"/>
              <w:right w:val="single" w:sz="4" w:space="0" w:color="auto"/>
            </w:tcBorders>
            <w:shd w:val="clear" w:color="000000" w:fill="D9E1F2"/>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Grand Total</w:t>
            </w:r>
          </w:p>
        </w:tc>
        <w:tc>
          <w:tcPr>
            <w:tcW w:w="1494" w:type="dxa"/>
            <w:tcBorders>
              <w:top w:val="nil"/>
              <w:left w:val="nil"/>
              <w:bottom w:val="single" w:sz="4" w:space="0" w:color="auto"/>
              <w:right w:val="single" w:sz="4" w:space="0" w:color="auto"/>
            </w:tcBorders>
            <w:shd w:val="clear" w:color="000000" w:fill="D9E1F2"/>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c>
          <w:tcPr>
            <w:tcW w:w="1134" w:type="dxa"/>
            <w:tcBorders>
              <w:top w:val="nil"/>
              <w:left w:val="nil"/>
              <w:bottom w:val="single" w:sz="4" w:space="0" w:color="auto"/>
              <w:right w:val="single" w:sz="4" w:space="0" w:color="auto"/>
            </w:tcBorders>
            <w:shd w:val="clear" w:color="000000" w:fill="D9E1F2"/>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125,981 </w:t>
            </w:r>
          </w:p>
        </w:tc>
        <w:tc>
          <w:tcPr>
            <w:tcW w:w="1701" w:type="dxa"/>
            <w:tcBorders>
              <w:top w:val="nil"/>
              <w:left w:val="nil"/>
              <w:bottom w:val="single" w:sz="4" w:space="0" w:color="auto"/>
              <w:right w:val="single" w:sz="4" w:space="0" w:color="auto"/>
            </w:tcBorders>
            <w:shd w:val="clear" w:color="000000" w:fill="D9E1F2"/>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65,002,384,196 </w:t>
            </w:r>
          </w:p>
        </w:tc>
        <w:tc>
          <w:tcPr>
            <w:tcW w:w="1701" w:type="dxa"/>
            <w:tcBorders>
              <w:top w:val="nil"/>
              <w:left w:val="nil"/>
              <w:bottom w:val="single" w:sz="4" w:space="0" w:color="auto"/>
              <w:right w:val="single" w:sz="4" w:space="0" w:color="auto"/>
            </w:tcBorders>
            <w:shd w:val="clear" w:color="000000" w:fill="D9E1F2"/>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xml:space="preserve">    73,679,139,618 </w:t>
            </w:r>
          </w:p>
        </w:tc>
        <w:tc>
          <w:tcPr>
            <w:tcW w:w="928" w:type="dxa"/>
            <w:tcBorders>
              <w:top w:val="nil"/>
              <w:left w:val="nil"/>
              <w:bottom w:val="single" w:sz="4" w:space="0" w:color="auto"/>
              <w:right w:val="single" w:sz="4" w:space="0" w:color="auto"/>
            </w:tcBorders>
            <w:shd w:val="clear" w:color="000000" w:fill="D9E1F2"/>
            <w:noWrap/>
            <w:vAlign w:val="bottom"/>
            <w:hideMark/>
          </w:tcPr>
          <w:p w:rsidR="00BB325A" w:rsidRPr="00BB325A" w:rsidRDefault="00BB325A" w:rsidP="00BB325A">
            <w:pPr>
              <w:spacing w:before="0" w:after="0"/>
              <w:outlineLvl w:val="0"/>
              <w:rPr>
                <w:rFonts w:ascii="Arial" w:hAnsi="Arial" w:cs="Arial"/>
                <w:b/>
                <w:bCs/>
                <w:color w:val="000000"/>
                <w:sz w:val="20"/>
                <w:lang w:eastAsia="en-AU"/>
              </w:rPr>
            </w:pPr>
            <w:r w:rsidRPr="00BB325A">
              <w:rPr>
                <w:rFonts w:ascii="Arial" w:hAnsi="Arial" w:cs="Arial"/>
                <w:b/>
                <w:bCs/>
                <w:color w:val="000000"/>
                <w:sz w:val="20"/>
                <w:lang w:eastAsia="en-AU"/>
              </w:rPr>
              <w:t> </w:t>
            </w:r>
          </w:p>
        </w:tc>
      </w:tr>
    </w:tbl>
    <w:p w:rsidR="00DB51E1" w:rsidRDefault="00DB51E1">
      <w:pPr>
        <w:pStyle w:val="Heading4A"/>
      </w:pPr>
    </w:p>
    <w:p w:rsidR="00B354EC" w:rsidRDefault="00B354EC" w:rsidP="00CE0920">
      <w:pPr>
        <w:spacing w:before="0" w:after="0"/>
        <w:rPr>
          <w:rFonts w:ascii="News Gothic Std" w:hAnsi="News Gothic Std" w:cs="Lucida Sans Unicode"/>
          <w:noProof/>
          <w:color w:val="0070C0"/>
          <w:sz w:val="24"/>
          <w:szCs w:val="24"/>
          <w:lang w:val="en-US"/>
        </w:rPr>
      </w:pPr>
    </w:p>
    <w:p w:rsidR="00B354EC" w:rsidRDefault="00B354EC" w:rsidP="00CE0920">
      <w:pPr>
        <w:spacing w:before="0" w:after="0"/>
        <w:rPr>
          <w:rFonts w:ascii="News Gothic Std" w:hAnsi="News Gothic Std" w:cs="Lucida Sans Unicode"/>
          <w:noProof/>
          <w:color w:val="0070C0"/>
          <w:sz w:val="24"/>
          <w:szCs w:val="24"/>
          <w:lang w:val="en-US"/>
        </w:rPr>
      </w:pPr>
    </w:p>
    <w:p w:rsidR="00B354EC" w:rsidRDefault="00B354EC" w:rsidP="00CE0920">
      <w:pPr>
        <w:spacing w:before="0" w:after="0"/>
        <w:rPr>
          <w:rFonts w:ascii="News Gothic Std" w:hAnsi="News Gothic Std" w:cs="Lucida Sans Unicode"/>
          <w:noProof/>
          <w:color w:val="0070C0"/>
          <w:sz w:val="24"/>
          <w:szCs w:val="24"/>
          <w:lang w:val="en-US"/>
        </w:rPr>
        <w:sectPr w:rsidR="00B354EC" w:rsidSect="005167B1">
          <w:footerReference w:type="default" r:id="rId35"/>
          <w:pgSz w:w="11907" w:h="16840" w:code="184"/>
          <w:pgMar w:top="1134" w:right="1418" w:bottom="1701" w:left="1985" w:header="567" w:footer="227" w:gutter="0"/>
          <w:pgNumType w:start="1"/>
          <w:cols w:space="720"/>
          <w:docGrid w:linePitch="299"/>
        </w:sectPr>
      </w:pPr>
    </w:p>
    <w:p w:rsidR="00CE0920" w:rsidRDefault="00A35936">
      <w:pPr>
        <w:pStyle w:val="Heading4A"/>
      </w:pPr>
      <w:r>
        <w:rPr>
          <w:lang w:eastAsia="en-AU"/>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margin-left:413.2pt;margin-top:-33.75pt;width:69.1pt;height:25.95pt;z-index:251655168;visibility:visible;mso-wrap-edited:f" fillcolor="window">
            <v:imagedata r:id="rId36" o:title=""/>
          </v:shape>
          <o:OLEObject Type="Embed" ProgID="Word.Picture.8" ShapeID="_x0000_s1056" DrawAspect="Content" ObjectID="_1623064125" r:id="rId37"/>
        </w:object>
      </w:r>
      <w:r w:rsidR="00CE0920" w:rsidRPr="00DC5078">
        <w:t xml:space="preserve">Attachment </w:t>
      </w:r>
      <w:r w:rsidR="00CE0920">
        <w:t>3</w:t>
      </w:r>
    </w:p>
    <w:p w:rsidR="00CE0920" w:rsidRPr="00DC5078" w:rsidRDefault="00CE0920" w:rsidP="00CE0920">
      <w:pPr>
        <w:pStyle w:val="Heading1"/>
        <w:jc w:val="center"/>
        <w:rPr>
          <w:rFonts w:ascii="Arial" w:hAnsi="Arial"/>
          <w:b/>
          <w:bCs/>
          <w:color w:val="000000"/>
          <w:sz w:val="36"/>
          <w:szCs w:val="36"/>
        </w:rPr>
      </w:pPr>
      <w:r w:rsidRPr="00DC5078">
        <w:rPr>
          <w:rFonts w:ascii="Arial" w:hAnsi="Arial"/>
          <w:b/>
          <w:bCs/>
          <w:noProof/>
          <w:color w:val="000000"/>
          <w:sz w:val="36"/>
          <w:szCs w:val="36"/>
        </w:rPr>
        <w:t>COUNCIL POLICY</w:t>
      </w:r>
    </w:p>
    <w:tbl>
      <w:tblPr>
        <w:tblW w:w="9101" w:type="dxa"/>
        <w:tblInd w:w="105" w:type="dxa"/>
        <w:tblLayout w:type="fixed"/>
        <w:tblLook w:val="0000" w:firstRow="0" w:lastRow="0" w:firstColumn="0" w:lastColumn="0" w:noHBand="0" w:noVBand="0"/>
      </w:tblPr>
      <w:tblGrid>
        <w:gridCol w:w="2552"/>
        <w:gridCol w:w="2835"/>
        <w:gridCol w:w="1843"/>
        <w:gridCol w:w="1871"/>
      </w:tblGrid>
      <w:tr w:rsidR="00CE0920" w:rsidRPr="00E60EA6" w:rsidTr="00B114DB">
        <w:trPr>
          <w:cantSplit/>
        </w:trPr>
        <w:tc>
          <w:tcPr>
            <w:tcW w:w="5387" w:type="dxa"/>
            <w:gridSpan w:val="2"/>
            <w:vMerge w:val="restart"/>
            <w:tcBorders>
              <w:top w:val="single" w:sz="6" w:space="0" w:color="auto"/>
              <w:left w:val="single" w:sz="6" w:space="0" w:color="auto"/>
              <w:bottom w:val="nil"/>
              <w:right w:val="single" w:sz="6" w:space="0" w:color="auto"/>
            </w:tcBorders>
            <w:vAlign w:val="center"/>
          </w:tcPr>
          <w:p w:rsidR="00CE0920" w:rsidRPr="00E60EA6" w:rsidRDefault="00CE0920" w:rsidP="00B114DB">
            <w:pPr>
              <w:jc w:val="center"/>
              <w:rPr>
                <w:color w:val="000000"/>
                <w:szCs w:val="22"/>
              </w:rPr>
            </w:pPr>
            <w:r w:rsidRPr="00E60EA6">
              <w:rPr>
                <w:b/>
                <w:color w:val="000000"/>
                <w:sz w:val="40"/>
                <w:szCs w:val="22"/>
              </w:rPr>
              <w:t>Council Rates</w:t>
            </w:r>
          </w:p>
        </w:tc>
        <w:tc>
          <w:tcPr>
            <w:tcW w:w="1843" w:type="dxa"/>
            <w:tcBorders>
              <w:top w:val="single" w:sz="6" w:space="0" w:color="auto"/>
              <w:left w:val="single" w:sz="6" w:space="0" w:color="auto"/>
              <w:bottom w:val="single" w:sz="6" w:space="0" w:color="auto"/>
              <w:right w:val="single" w:sz="6" w:space="0" w:color="auto"/>
            </w:tcBorders>
          </w:tcPr>
          <w:p w:rsidR="00CE0920" w:rsidRPr="00E60EA6" w:rsidRDefault="00CE0920" w:rsidP="00B114DB">
            <w:pPr>
              <w:spacing w:after="40"/>
              <w:rPr>
                <w:color w:val="000000"/>
                <w:szCs w:val="22"/>
              </w:rPr>
            </w:pPr>
            <w:r w:rsidRPr="00E60EA6">
              <w:rPr>
                <w:color w:val="000000"/>
                <w:szCs w:val="22"/>
              </w:rPr>
              <w:t>Document No:</w:t>
            </w:r>
          </w:p>
        </w:tc>
        <w:tc>
          <w:tcPr>
            <w:tcW w:w="1871" w:type="dxa"/>
            <w:tcBorders>
              <w:top w:val="single" w:sz="6" w:space="0" w:color="auto"/>
              <w:bottom w:val="single" w:sz="6" w:space="0" w:color="auto"/>
              <w:right w:val="single" w:sz="6" w:space="0" w:color="auto"/>
            </w:tcBorders>
          </w:tcPr>
          <w:p w:rsidR="00CE0920" w:rsidRPr="00E60EA6" w:rsidRDefault="00CE0920" w:rsidP="00B114DB">
            <w:pPr>
              <w:spacing w:after="40"/>
              <w:rPr>
                <w:color w:val="000000"/>
                <w:szCs w:val="22"/>
              </w:rPr>
            </w:pPr>
            <w:smartTag w:uri="urn:schemas-microsoft-com:office:smarttags" w:element="stockticker">
              <w:r w:rsidRPr="00E60EA6">
                <w:rPr>
                  <w:color w:val="000000"/>
                  <w:szCs w:val="22"/>
                </w:rPr>
                <w:t>CPL</w:t>
              </w:r>
            </w:smartTag>
            <w:r w:rsidRPr="00E60EA6">
              <w:rPr>
                <w:color w:val="000000"/>
                <w:szCs w:val="22"/>
              </w:rPr>
              <w:t>510.2</w:t>
            </w:r>
          </w:p>
        </w:tc>
      </w:tr>
      <w:tr w:rsidR="00CE0920" w:rsidRPr="00E60EA6" w:rsidTr="00B114DB">
        <w:trPr>
          <w:cantSplit/>
        </w:trPr>
        <w:tc>
          <w:tcPr>
            <w:tcW w:w="5387" w:type="dxa"/>
            <w:gridSpan w:val="2"/>
            <w:vMerge/>
            <w:tcBorders>
              <w:left w:val="single" w:sz="6" w:space="0" w:color="auto"/>
              <w:bottom w:val="nil"/>
              <w:right w:val="single" w:sz="6" w:space="0" w:color="auto"/>
            </w:tcBorders>
          </w:tcPr>
          <w:p w:rsidR="00CE0920" w:rsidRPr="00E60EA6" w:rsidRDefault="00CE0920" w:rsidP="00B114DB">
            <w:pPr>
              <w:rPr>
                <w:color w:val="000000"/>
                <w:szCs w:val="22"/>
              </w:rPr>
            </w:pPr>
          </w:p>
        </w:tc>
        <w:tc>
          <w:tcPr>
            <w:tcW w:w="1843" w:type="dxa"/>
            <w:tcBorders>
              <w:top w:val="single" w:sz="6" w:space="0" w:color="auto"/>
              <w:left w:val="single" w:sz="6" w:space="0" w:color="auto"/>
              <w:right w:val="single" w:sz="6" w:space="0" w:color="auto"/>
            </w:tcBorders>
          </w:tcPr>
          <w:p w:rsidR="00CE0920" w:rsidRPr="00E60EA6" w:rsidRDefault="00CE0920" w:rsidP="00B114DB">
            <w:pPr>
              <w:spacing w:after="40"/>
              <w:rPr>
                <w:color w:val="000000"/>
                <w:szCs w:val="22"/>
              </w:rPr>
            </w:pPr>
            <w:r w:rsidRPr="00E60EA6">
              <w:rPr>
                <w:color w:val="000000"/>
                <w:szCs w:val="22"/>
              </w:rPr>
              <w:t xml:space="preserve">Approval Date:  </w:t>
            </w:r>
          </w:p>
        </w:tc>
        <w:tc>
          <w:tcPr>
            <w:tcW w:w="1871" w:type="dxa"/>
            <w:tcBorders>
              <w:top w:val="single" w:sz="6" w:space="0" w:color="auto"/>
              <w:right w:val="single" w:sz="6" w:space="0" w:color="auto"/>
            </w:tcBorders>
          </w:tcPr>
          <w:p w:rsidR="00CE0920" w:rsidRPr="00E60EA6" w:rsidRDefault="0092246B" w:rsidP="005B4D00">
            <w:pPr>
              <w:spacing w:after="40"/>
              <w:rPr>
                <w:color w:val="000000"/>
                <w:szCs w:val="22"/>
              </w:rPr>
            </w:pPr>
            <w:r w:rsidRPr="00E60EA6">
              <w:rPr>
                <w:color w:val="000000"/>
                <w:szCs w:val="22"/>
              </w:rPr>
              <w:t>2</w:t>
            </w:r>
            <w:r>
              <w:rPr>
                <w:color w:val="000000"/>
                <w:szCs w:val="22"/>
              </w:rPr>
              <w:t xml:space="preserve">5 </w:t>
            </w:r>
            <w:r w:rsidR="00CE0920" w:rsidRPr="00E60EA6">
              <w:rPr>
                <w:color w:val="000000"/>
                <w:szCs w:val="22"/>
              </w:rPr>
              <w:t xml:space="preserve">June </w:t>
            </w:r>
            <w:r w:rsidRPr="00E60EA6">
              <w:rPr>
                <w:color w:val="000000"/>
                <w:szCs w:val="22"/>
              </w:rPr>
              <w:t>201</w:t>
            </w:r>
            <w:r>
              <w:rPr>
                <w:color w:val="000000"/>
                <w:szCs w:val="22"/>
              </w:rPr>
              <w:t>9</w:t>
            </w:r>
          </w:p>
        </w:tc>
      </w:tr>
      <w:tr w:rsidR="00CE0920" w:rsidRPr="00E60EA6" w:rsidTr="00B114DB">
        <w:trPr>
          <w:cantSplit/>
        </w:trPr>
        <w:tc>
          <w:tcPr>
            <w:tcW w:w="5387" w:type="dxa"/>
            <w:gridSpan w:val="2"/>
            <w:vMerge/>
            <w:tcBorders>
              <w:left w:val="single" w:sz="6" w:space="0" w:color="auto"/>
              <w:bottom w:val="nil"/>
              <w:right w:val="single" w:sz="6" w:space="0" w:color="auto"/>
            </w:tcBorders>
          </w:tcPr>
          <w:p w:rsidR="00CE0920" w:rsidRPr="00E60EA6" w:rsidRDefault="00CE0920" w:rsidP="00B114DB">
            <w:pPr>
              <w:rPr>
                <w:color w:val="000000"/>
                <w:szCs w:val="22"/>
              </w:rPr>
            </w:pPr>
          </w:p>
        </w:tc>
        <w:tc>
          <w:tcPr>
            <w:tcW w:w="1843" w:type="dxa"/>
            <w:tcBorders>
              <w:top w:val="single" w:sz="6" w:space="0" w:color="auto"/>
              <w:left w:val="single" w:sz="6" w:space="0" w:color="auto"/>
              <w:right w:val="single" w:sz="6" w:space="0" w:color="auto"/>
            </w:tcBorders>
          </w:tcPr>
          <w:p w:rsidR="00CE0920" w:rsidRPr="00E60EA6" w:rsidRDefault="00CE0920" w:rsidP="00B114DB">
            <w:pPr>
              <w:spacing w:after="40"/>
              <w:rPr>
                <w:color w:val="000000"/>
                <w:szCs w:val="22"/>
              </w:rPr>
            </w:pPr>
            <w:r w:rsidRPr="00E60EA6">
              <w:rPr>
                <w:color w:val="000000"/>
                <w:szCs w:val="22"/>
              </w:rPr>
              <w:t>Approved By:</w:t>
            </w:r>
          </w:p>
        </w:tc>
        <w:tc>
          <w:tcPr>
            <w:tcW w:w="1871" w:type="dxa"/>
            <w:tcBorders>
              <w:top w:val="single" w:sz="6" w:space="0" w:color="auto"/>
              <w:right w:val="single" w:sz="6" w:space="0" w:color="auto"/>
            </w:tcBorders>
          </w:tcPr>
          <w:p w:rsidR="00CE0920" w:rsidRPr="00E60EA6" w:rsidRDefault="00CE0920" w:rsidP="00B114DB">
            <w:pPr>
              <w:spacing w:after="40"/>
              <w:rPr>
                <w:color w:val="000000"/>
                <w:szCs w:val="22"/>
              </w:rPr>
            </w:pPr>
            <w:r w:rsidRPr="00E60EA6">
              <w:rPr>
                <w:color w:val="000000"/>
                <w:szCs w:val="22"/>
              </w:rPr>
              <w:t>Council</w:t>
            </w:r>
          </w:p>
        </w:tc>
      </w:tr>
      <w:tr w:rsidR="00CE0920" w:rsidRPr="00E60EA6" w:rsidTr="00B114DB">
        <w:trPr>
          <w:cantSplit/>
          <w:trHeight w:val="250"/>
        </w:trPr>
        <w:tc>
          <w:tcPr>
            <w:tcW w:w="5387" w:type="dxa"/>
            <w:gridSpan w:val="2"/>
            <w:vMerge/>
            <w:tcBorders>
              <w:left w:val="single" w:sz="6" w:space="0" w:color="auto"/>
              <w:right w:val="single" w:sz="6" w:space="0" w:color="auto"/>
            </w:tcBorders>
          </w:tcPr>
          <w:p w:rsidR="00CE0920" w:rsidRPr="00E60EA6" w:rsidRDefault="00CE0920" w:rsidP="00B114DB">
            <w:pPr>
              <w:rPr>
                <w:color w:val="000000"/>
                <w:szCs w:val="22"/>
              </w:rPr>
            </w:pPr>
          </w:p>
        </w:tc>
        <w:tc>
          <w:tcPr>
            <w:tcW w:w="1843" w:type="dxa"/>
            <w:tcBorders>
              <w:top w:val="single" w:sz="6" w:space="0" w:color="auto"/>
              <w:left w:val="single" w:sz="6" w:space="0" w:color="auto"/>
              <w:right w:val="single" w:sz="6" w:space="0" w:color="auto"/>
            </w:tcBorders>
          </w:tcPr>
          <w:p w:rsidR="00CE0920" w:rsidRPr="00E60EA6" w:rsidRDefault="00CE0920" w:rsidP="00B114DB">
            <w:pPr>
              <w:spacing w:after="40"/>
              <w:rPr>
                <w:color w:val="000000"/>
                <w:szCs w:val="22"/>
              </w:rPr>
            </w:pPr>
            <w:r w:rsidRPr="00E60EA6">
              <w:rPr>
                <w:color w:val="000000"/>
                <w:szCs w:val="22"/>
              </w:rPr>
              <w:t>Review Date:</w:t>
            </w:r>
          </w:p>
        </w:tc>
        <w:tc>
          <w:tcPr>
            <w:tcW w:w="1871" w:type="dxa"/>
            <w:tcBorders>
              <w:top w:val="single" w:sz="6" w:space="0" w:color="auto"/>
              <w:right w:val="single" w:sz="6" w:space="0" w:color="auto"/>
            </w:tcBorders>
          </w:tcPr>
          <w:p w:rsidR="00CE0920" w:rsidRPr="00E60EA6" w:rsidRDefault="00CE0920" w:rsidP="005B4D00">
            <w:pPr>
              <w:spacing w:after="40"/>
              <w:rPr>
                <w:color w:val="000000"/>
                <w:szCs w:val="22"/>
              </w:rPr>
            </w:pPr>
            <w:r w:rsidRPr="00E60EA6">
              <w:rPr>
                <w:color w:val="000000"/>
                <w:szCs w:val="22"/>
              </w:rPr>
              <w:t xml:space="preserve">May </w:t>
            </w:r>
            <w:r w:rsidR="002B3FFB">
              <w:rPr>
                <w:color w:val="000000"/>
                <w:szCs w:val="22"/>
              </w:rPr>
              <w:t>2020</w:t>
            </w:r>
          </w:p>
        </w:tc>
      </w:tr>
      <w:tr w:rsidR="00CE0920" w:rsidRPr="00E60EA6" w:rsidTr="00B114DB">
        <w:trPr>
          <w:cantSplit/>
        </w:trPr>
        <w:tc>
          <w:tcPr>
            <w:tcW w:w="5387" w:type="dxa"/>
            <w:gridSpan w:val="2"/>
            <w:tcBorders>
              <w:top w:val="single" w:sz="4" w:space="0" w:color="auto"/>
              <w:left w:val="single" w:sz="6" w:space="0" w:color="auto"/>
              <w:right w:val="single" w:sz="6" w:space="0" w:color="auto"/>
            </w:tcBorders>
          </w:tcPr>
          <w:p w:rsidR="00CE0920" w:rsidRPr="00E60EA6" w:rsidRDefault="00CE0920" w:rsidP="00B114DB">
            <w:pPr>
              <w:spacing w:after="40"/>
              <w:rPr>
                <w:b/>
                <w:color w:val="000000"/>
                <w:szCs w:val="22"/>
              </w:rPr>
            </w:pPr>
            <w:r w:rsidRPr="00E60EA6">
              <w:rPr>
                <w:b/>
                <w:color w:val="000000"/>
                <w:szCs w:val="22"/>
              </w:rPr>
              <w:t>Responsible Officer:</w:t>
            </w:r>
          </w:p>
        </w:tc>
        <w:tc>
          <w:tcPr>
            <w:tcW w:w="1843" w:type="dxa"/>
            <w:tcBorders>
              <w:top w:val="single" w:sz="4" w:space="0" w:color="auto"/>
              <w:left w:val="single" w:sz="6" w:space="0" w:color="auto"/>
              <w:bottom w:val="single" w:sz="6" w:space="0" w:color="auto"/>
              <w:right w:val="single" w:sz="6" w:space="0" w:color="auto"/>
            </w:tcBorders>
          </w:tcPr>
          <w:p w:rsidR="00CE0920" w:rsidRPr="00E60EA6" w:rsidRDefault="00CE0920" w:rsidP="00B114DB">
            <w:pPr>
              <w:spacing w:after="40"/>
              <w:rPr>
                <w:color w:val="000000"/>
                <w:szCs w:val="22"/>
              </w:rPr>
            </w:pPr>
            <w:r w:rsidRPr="00E60EA6">
              <w:rPr>
                <w:color w:val="000000"/>
                <w:szCs w:val="22"/>
              </w:rPr>
              <w:t>Expiry Date:</w:t>
            </w:r>
          </w:p>
        </w:tc>
        <w:tc>
          <w:tcPr>
            <w:tcW w:w="1871" w:type="dxa"/>
            <w:tcBorders>
              <w:top w:val="single" w:sz="4" w:space="0" w:color="auto"/>
              <w:bottom w:val="single" w:sz="6" w:space="0" w:color="auto"/>
              <w:right w:val="single" w:sz="6" w:space="0" w:color="auto"/>
            </w:tcBorders>
          </w:tcPr>
          <w:p w:rsidR="00CE0920" w:rsidRPr="00E60EA6" w:rsidRDefault="00CE0920" w:rsidP="00B114DB">
            <w:pPr>
              <w:spacing w:after="40"/>
              <w:rPr>
                <w:color w:val="000000"/>
                <w:szCs w:val="22"/>
              </w:rPr>
            </w:pPr>
            <w:r w:rsidRPr="00E60EA6">
              <w:rPr>
                <w:color w:val="000000"/>
                <w:szCs w:val="22"/>
              </w:rPr>
              <w:t>N/A</w:t>
            </w:r>
          </w:p>
        </w:tc>
      </w:tr>
      <w:tr w:rsidR="00CE0920" w:rsidRPr="00E60EA6" w:rsidTr="00B114DB">
        <w:trPr>
          <w:cantSplit/>
        </w:trPr>
        <w:tc>
          <w:tcPr>
            <w:tcW w:w="5387" w:type="dxa"/>
            <w:gridSpan w:val="2"/>
            <w:tcBorders>
              <w:left w:val="single" w:sz="6" w:space="0" w:color="auto"/>
            </w:tcBorders>
          </w:tcPr>
          <w:p w:rsidR="00CE0920" w:rsidRPr="00E60EA6" w:rsidRDefault="00CE0920" w:rsidP="00C06631">
            <w:pPr>
              <w:spacing w:after="40"/>
              <w:rPr>
                <w:b/>
                <w:color w:val="000000"/>
                <w:szCs w:val="22"/>
              </w:rPr>
            </w:pPr>
            <w:r w:rsidRPr="00E60EA6">
              <w:rPr>
                <w:b/>
                <w:color w:val="000000"/>
                <w:szCs w:val="22"/>
              </w:rPr>
              <w:t xml:space="preserve">Director </w:t>
            </w:r>
            <w:r w:rsidR="00465CD6">
              <w:rPr>
                <w:b/>
                <w:color w:val="000000"/>
                <w:szCs w:val="22"/>
              </w:rPr>
              <w:t>Customer and Corporate Services</w:t>
            </w:r>
          </w:p>
        </w:tc>
        <w:tc>
          <w:tcPr>
            <w:tcW w:w="1843" w:type="dxa"/>
            <w:tcBorders>
              <w:top w:val="single" w:sz="6" w:space="0" w:color="auto"/>
              <w:left w:val="single" w:sz="6" w:space="0" w:color="auto"/>
              <w:right w:val="single" w:sz="6" w:space="0" w:color="auto"/>
            </w:tcBorders>
          </w:tcPr>
          <w:p w:rsidR="00CE0920" w:rsidRPr="00E60EA6" w:rsidRDefault="00CE0920" w:rsidP="00B114DB">
            <w:pPr>
              <w:spacing w:after="40"/>
              <w:rPr>
                <w:color w:val="000000"/>
                <w:szCs w:val="22"/>
              </w:rPr>
            </w:pPr>
            <w:r w:rsidRPr="00E60EA6">
              <w:rPr>
                <w:color w:val="000000"/>
                <w:szCs w:val="22"/>
              </w:rPr>
              <w:t>Version No:</w:t>
            </w:r>
          </w:p>
        </w:tc>
        <w:tc>
          <w:tcPr>
            <w:tcW w:w="1871" w:type="dxa"/>
            <w:tcBorders>
              <w:top w:val="single" w:sz="6" w:space="0" w:color="auto"/>
              <w:right w:val="single" w:sz="6" w:space="0" w:color="auto"/>
            </w:tcBorders>
          </w:tcPr>
          <w:p w:rsidR="00CE0920" w:rsidRPr="00E60EA6" w:rsidRDefault="00CE0920" w:rsidP="00B114DB">
            <w:pPr>
              <w:spacing w:after="40"/>
              <w:rPr>
                <w:color w:val="000000"/>
                <w:szCs w:val="22"/>
              </w:rPr>
            </w:pPr>
            <w:r w:rsidRPr="00E60EA6">
              <w:rPr>
                <w:color w:val="000000"/>
                <w:szCs w:val="22"/>
              </w:rPr>
              <w:t>1</w:t>
            </w:r>
            <w:r w:rsidR="002B3FFB">
              <w:rPr>
                <w:color w:val="000000"/>
                <w:szCs w:val="22"/>
              </w:rPr>
              <w:t>2</w:t>
            </w:r>
          </w:p>
        </w:tc>
      </w:tr>
      <w:tr w:rsidR="00CE0920" w:rsidRPr="00E60EA6" w:rsidTr="00B114DB">
        <w:trPr>
          <w:cantSplit/>
          <w:trHeight w:val="683"/>
        </w:trPr>
        <w:tc>
          <w:tcPr>
            <w:tcW w:w="2552" w:type="dxa"/>
            <w:tcBorders>
              <w:top w:val="single" w:sz="4" w:space="0" w:color="auto"/>
              <w:left w:val="single" w:sz="4" w:space="0" w:color="auto"/>
              <w:bottom w:val="single" w:sz="4" w:space="0" w:color="auto"/>
            </w:tcBorders>
            <w:vAlign w:val="center"/>
          </w:tcPr>
          <w:p w:rsidR="00CE0920" w:rsidRPr="00E60EA6" w:rsidRDefault="00CE0920" w:rsidP="00B114DB">
            <w:pPr>
              <w:spacing w:after="40"/>
              <w:rPr>
                <w:b/>
                <w:color w:val="000000"/>
                <w:szCs w:val="22"/>
              </w:rPr>
            </w:pPr>
            <w:r w:rsidRPr="00E60EA6">
              <w:rPr>
                <w:b/>
                <w:color w:val="000000"/>
                <w:szCs w:val="22"/>
              </w:rPr>
              <w:t>Authorising Officer:</w:t>
            </w:r>
          </w:p>
        </w:tc>
        <w:tc>
          <w:tcPr>
            <w:tcW w:w="6549" w:type="dxa"/>
            <w:gridSpan w:val="3"/>
            <w:tcBorders>
              <w:top w:val="single" w:sz="4" w:space="0" w:color="auto"/>
              <w:left w:val="nil"/>
              <w:bottom w:val="single" w:sz="4" w:space="0" w:color="auto"/>
              <w:right w:val="single" w:sz="4" w:space="0" w:color="auto"/>
            </w:tcBorders>
            <w:vAlign w:val="center"/>
          </w:tcPr>
          <w:p w:rsidR="00CE0920" w:rsidRPr="00E60EA6" w:rsidRDefault="00CE0920" w:rsidP="00B114DB">
            <w:pPr>
              <w:spacing w:after="40"/>
              <w:jc w:val="right"/>
              <w:rPr>
                <w:b/>
                <w:color w:val="000000"/>
                <w:szCs w:val="22"/>
              </w:rPr>
            </w:pPr>
            <w:r w:rsidRPr="00E60EA6">
              <w:rPr>
                <w:b/>
                <w:color w:val="000000"/>
                <w:szCs w:val="22"/>
              </w:rPr>
              <w:t>Chief Executive Officer</w:t>
            </w:r>
          </w:p>
        </w:tc>
      </w:tr>
    </w:tbl>
    <w:p w:rsidR="00CE0920" w:rsidRPr="00595315" w:rsidRDefault="00CE0920" w:rsidP="00CE0920">
      <w:pPr>
        <w:pStyle w:val="NumberedPara"/>
        <w:rPr>
          <w:color w:val="000000"/>
          <w:sz w:val="22"/>
          <w:szCs w:val="22"/>
        </w:rPr>
      </w:pPr>
      <w:r w:rsidRPr="00595315">
        <w:rPr>
          <w:color w:val="000000"/>
          <w:sz w:val="22"/>
          <w:szCs w:val="22"/>
        </w:rPr>
        <w:t xml:space="preserve">PURPOSE </w:t>
      </w:r>
    </w:p>
    <w:p w:rsidR="00CE0920" w:rsidRPr="00595315" w:rsidRDefault="00CE0920" w:rsidP="00CE0920">
      <w:pPr>
        <w:jc w:val="both"/>
        <w:rPr>
          <w:color w:val="000000"/>
          <w:szCs w:val="22"/>
        </w:rPr>
      </w:pPr>
      <w:r w:rsidRPr="00595315">
        <w:rPr>
          <w:color w:val="000000"/>
          <w:szCs w:val="22"/>
        </w:rPr>
        <w:t xml:space="preserve">To ensure that </w:t>
      </w:r>
      <w:r w:rsidR="00A576DC">
        <w:rPr>
          <w:color w:val="000000"/>
          <w:szCs w:val="22"/>
        </w:rPr>
        <w:t>the organisation</w:t>
      </w:r>
      <w:r w:rsidR="00A576DC" w:rsidRPr="00595315">
        <w:rPr>
          <w:color w:val="000000"/>
          <w:szCs w:val="22"/>
        </w:rPr>
        <w:t xml:space="preserve"> </w:t>
      </w:r>
      <w:r w:rsidRPr="00595315">
        <w:rPr>
          <w:color w:val="000000"/>
          <w:szCs w:val="22"/>
        </w:rPr>
        <w:t xml:space="preserve">has a sound basis on which to develop the various charging features when determining its revenue strategies and ensure consistency with provisions of the </w:t>
      </w:r>
      <w:r w:rsidRPr="00595315">
        <w:rPr>
          <w:i/>
          <w:color w:val="000000"/>
          <w:szCs w:val="22"/>
        </w:rPr>
        <w:t>Local Government Act</w:t>
      </w:r>
      <w:r w:rsidRPr="00595315">
        <w:rPr>
          <w:color w:val="000000"/>
          <w:szCs w:val="22"/>
        </w:rPr>
        <w:t xml:space="preserve"> 1989 (</w:t>
      </w:r>
      <w:r w:rsidRPr="00595315">
        <w:rPr>
          <w:b/>
          <w:color w:val="000000"/>
          <w:szCs w:val="22"/>
        </w:rPr>
        <w:t>LGA</w:t>
      </w:r>
      <w:r w:rsidRPr="00595315">
        <w:rPr>
          <w:color w:val="000000"/>
          <w:szCs w:val="22"/>
        </w:rPr>
        <w:t>).</w:t>
      </w:r>
    </w:p>
    <w:p w:rsidR="00CE0920" w:rsidRPr="00595315" w:rsidRDefault="00CE0920" w:rsidP="00CE0920">
      <w:pPr>
        <w:pStyle w:val="NumberedPara"/>
        <w:rPr>
          <w:color w:val="000000"/>
          <w:sz w:val="22"/>
          <w:szCs w:val="22"/>
        </w:rPr>
      </w:pPr>
      <w:r w:rsidRPr="00595315">
        <w:rPr>
          <w:color w:val="000000"/>
          <w:sz w:val="22"/>
          <w:szCs w:val="22"/>
        </w:rPr>
        <w:t xml:space="preserve">SCOPE </w:t>
      </w:r>
    </w:p>
    <w:p w:rsidR="00CE0920" w:rsidRPr="00595315" w:rsidRDefault="00CE0920" w:rsidP="00CE0920">
      <w:pPr>
        <w:jc w:val="both"/>
        <w:rPr>
          <w:color w:val="000000"/>
          <w:szCs w:val="22"/>
        </w:rPr>
      </w:pPr>
      <w:r w:rsidRPr="00595315">
        <w:rPr>
          <w:color w:val="000000"/>
          <w:szCs w:val="22"/>
        </w:rPr>
        <w:t xml:space="preserve">The policy applies to </w:t>
      </w:r>
      <w:r w:rsidR="00253CDE">
        <w:rPr>
          <w:color w:val="000000"/>
          <w:szCs w:val="22"/>
        </w:rPr>
        <w:t>the City</w:t>
      </w:r>
      <w:r w:rsidR="00253CDE" w:rsidRPr="00595315">
        <w:rPr>
          <w:color w:val="000000"/>
          <w:szCs w:val="22"/>
        </w:rPr>
        <w:t xml:space="preserve"> </w:t>
      </w:r>
      <w:r w:rsidRPr="00595315">
        <w:rPr>
          <w:color w:val="000000"/>
          <w:szCs w:val="22"/>
        </w:rPr>
        <w:t xml:space="preserve">when considering and determining the annual budget or special rates and charges throughout the financial year. </w:t>
      </w:r>
    </w:p>
    <w:p w:rsidR="00CE0920" w:rsidRPr="00595315" w:rsidRDefault="00CE0920" w:rsidP="00CE0920">
      <w:pPr>
        <w:jc w:val="both"/>
        <w:rPr>
          <w:color w:val="000000"/>
          <w:szCs w:val="22"/>
        </w:rPr>
      </w:pPr>
      <w:r w:rsidRPr="00595315">
        <w:rPr>
          <w:color w:val="000000"/>
          <w:szCs w:val="22"/>
        </w:rPr>
        <w:t>Council officers must consider the application of this policy when:</w:t>
      </w:r>
    </w:p>
    <w:p w:rsidR="00CE0920" w:rsidRPr="00595315" w:rsidRDefault="00CE0920" w:rsidP="00CE0920">
      <w:pPr>
        <w:pStyle w:val="SumPoint"/>
        <w:tabs>
          <w:tab w:val="clear" w:pos="360"/>
          <w:tab w:val="num" w:pos="567"/>
        </w:tabs>
        <w:spacing w:before="0"/>
        <w:ind w:left="567" w:hanging="567"/>
        <w:jc w:val="both"/>
        <w:rPr>
          <w:color w:val="000000"/>
          <w:sz w:val="22"/>
          <w:szCs w:val="22"/>
        </w:rPr>
      </w:pPr>
      <w:r w:rsidRPr="00595315">
        <w:rPr>
          <w:color w:val="000000"/>
          <w:sz w:val="22"/>
          <w:szCs w:val="22"/>
        </w:rPr>
        <w:t xml:space="preserve">preparing revenue models or raising charges; or </w:t>
      </w:r>
    </w:p>
    <w:p w:rsidR="00CE0920" w:rsidRPr="00595315" w:rsidRDefault="00CE0920" w:rsidP="00CE0920">
      <w:pPr>
        <w:pStyle w:val="SumPoint"/>
        <w:tabs>
          <w:tab w:val="clear" w:pos="360"/>
          <w:tab w:val="num" w:pos="567"/>
        </w:tabs>
        <w:spacing w:before="0"/>
        <w:ind w:left="567" w:hanging="567"/>
        <w:jc w:val="both"/>
        <w:rPr>
          <w:color w:val="000000"/>
          <w:sz w:val="22"/>
          <w:szCs w:val="22"/>
        </w:rPr>
      </w:pPr>
      <w:r w:rsidRPr="00595315">
        <w:rPr>
          <w:color w:val="000000"/>
          <w:sz w:val="22"/>
          <w:szCs w:val="22"/>
        </w:rPr>
        <w:t>dealing with any proposed or existing commercial enterprises.</w:t>
      </w:r>
    </w:p>
    <w:p w:rsidR="00CE0920" w:rsidRPr="00595315" w:rsidRDefault="00CE0920" w:rsidP="00CE0920">
      <w:pPr>
        <w:pStyle w:val="NumberedPara"/>
        <w:rPr>
          <w:color w:val="000000"/>
          <w:sz w:val="22"/>
          <w:szCs w:val="22"/>
        </w:rPr>
      </w:pPr>
      <w:r w:rsidRPr="00595315">
        <w:rPr>
          <w:color w:val="000000"/>
          <w:sz w:val="22"/>
          <w:szCs w:val="22"/>
        </w:rPr>
        <w:t>REFERENCES</w:t>
      </w:r>
    </w:p>
    <w:p w:rsidR="00CE0920" w:rsidRDefault="00CE0920" w:rsidP="00CE0920">
      <w:pPr>
        <w:pStyle w:val="SumPoint"/>
        <w:numPr>
          <w:ilvl w:val="0"/>
          <w:numId w:val="115"/>
        </w:numPr>
        <w:spacing w:before="0"/>
        <w:ind w:left="567" w:hanging="567"/>
        <w:jc w:val="both"/>
        <w:rPr>
          <w:color w:val="000000"/>
          <w:sz w:val="22"/>
          <w:szCs w:val="22"/>
        </w:rPr>
      </w:pPr>
      <w:r w:rsidRPr="00595315">
        <w:rPr>
          <w:color w:val="000000"/>
          <w:sz w:val="22"/>
          <w:szCs w:val="22"/>
        </w:rPr>
        <w:t xml:space="preserve">LGA – Part 8 Rates &amp; Charges on Rateable Land – in particular see </w:t>
      </w:r>
      <w:r w:rsidR="00BA2077">
        <w:rPr>
          <w:color w:val="000000"/>
          <w:sz w:val="22"/>
          <w:szCs w:val="22"/>
        </w:rPr>
        <w:t>s</w:t>
      </w:r>
      <w:r w:rsidR="00BA2077" w:rsidRPr="00595315">
        <w:rPr>
          <w:color w:val="000000"/>
          <w:sz w:val="22"/>
          <w:szCs w:val="22"/>
        </w:rPr>
        <w:t xml:space="preserve">ection </w:t>
      </w:r>
      <w:r w:rsidRPr="00595315">
        <w:rPr>
          <w:color w:val="000000"/>
          <w:sz w:val="22"/>
          <w:szCs w:val="22"/>
        </w:rPr>
        <w:t>161(1).</w:t>
      </w:r>
    </w:p>
    <w:p w:rsidR="00CE0920" w:rsidRDefault="00CE0920" w:rsidP="00CE0920">
      <w:pPr>
        <w:pStyle w:val="SumPoint"/>
        <w:numPr>
          <w:ilvl w:val="0"/>
          <w:numId w:val="115"/>
        </w:numPr>
        <w:spacing w:before="0"/>
        <w:ind w:left="567" w:hanging="567"/>
        <w:jc w:val="both"/>
        <w:rPr>
          <w:color w:val="000000"/>
          <w:sz w:val="22"/>
          <w:szCs w:val="22"/>
        </w:rPr>
      </w:pPr>
      <w:r w:rsidRPr="00595315">
        <w:rPr>
          <w:color w:val="000000"/>
          <w:sz w:val="22"/>
          <w:szCs w:val="22"/>
        </w:rPr>
        <w:t>Ministerial Guidelines for Differential Rating</w:t>
      </w:r>
      <w:r>
        <w:rPr>
          <w:color w:val="000000"/>
          <w:sz w:val="22"/>
          <w:szCs w:val="22"/>
        </w:rPr>
        <w:t>.</w:t>
      </w:r>
    </w:p>
    <w:p w:rsidR="00CE0920" w:rsidRPr="00595315" w:rsidRDefault="00CE0920" w:rsidP="00CE0920">
      <w:pPr>
        <w:pStyle w:val="NumberedPara"/>
        <w:rPr>
          <w:color w:val="000000"/>
          <w:sz w:val="22"/>
          <w:szCs w:val="22"/>
        </w:rPr>
      </w:pPr>
      <w:r w:rsidRPr="00595315">
        <w:rPr>
          <w:color w:val="000000"/>
          <w:sz w:val="22"/>
          <w:szCs w:val="22"/>
        </w:rPr>
        <w:t>DEFINITIONS</w:t>
      </w:r>
    </w:p>
    <w:p w:rsidR="00CE0920" w:rsidRPr="00595315" w:rsidRDefault="00CE0920" w:rsidP="00CE0920">
      <w:pPr>
        <w:jc w:val="both"/>
        <w:rPr>
          <w:b/>
          <w:color w:val="000000"/>
          <w:szCs w:val="22"/>
        </w:rPr>
      </w:pPr>
      <w:r w:rsidRPr="00595315">
        <w:rPr>
          <w:b/>
          <w:color w:val="000000"/>
          <w:szCs w:val="22"/>
        </w:rPr>
        <w:t>Use &amp; Level of Differential Rate</w:t>
      </w:r>
    </w:p>
    <w:p w:rsidR="00CE0920" w:rsidRDefault="00CE0920" w:rsidP="00CE0920">
      <w:pPr>
        <w:jc w:val="both"/>
        <w:rPr>
          <w:color w:val="000000"/>
          <w:szCs w:val="22"/>
        </w:rPr>
      </w:pPr>
      <w:r w:rsidRPr="00595315">
        <w:rPr>
          <w:color w:val="000000"/>
          <w:szCs w:val="22"/>
        </w:rPr>
        <w:t>The differential rate will be used to fund some of those items of expenditure described in the Budget adopted by Council and set at a level which Council considers necessary to achieve the identified objectives.</w:t>
      </w:r>
    </w:p>
    <w:p w:rsidR="00CE0920" w:rsidRDefault="00CE0920" w:rsidP="00CE0920">
      <w:pPr>
        <w:spacing w:before="0" w:after="0"/>
        <w:rPr>
          <w:b/>
          <w:color w:val="000000"/>
          <w:szCs w:val="22"/>
        </w:rPr>
      </w:pPr>
      <w:r>
        <w:rPr>
          <w:b/>
          <w:color w:val="000000"/>
          <w:szCs w:val="22"/>
        </w:rPr>
        <w:br w:type="page"/>
      </w:r>
    </w:p>
    <w:p w:rsidR="00CE0920" w:rsidRDefault="00CE0920" w:rsidP="00CE0920">
      <w:pPr>
        <w:jc w:val="both"/>
        <w:rPr>
          <w:b/>
          <w:color w:val="000000"/>
          <w:szCs w:val="22"/>
        </w:rPr>
      </w:pPr>
      <w:r w:rsidRPr="00595315">
        <w:rPr>
          <w:b/>
          <w:color w:val="000000"/>
          <w:szCs w:val="22"/>
        </w:rPr>
        <w:lastRenderedPageBreak/>
        <w:t>Geographic Location</w:t>
      </w:r>
    </w:p>
    <w:p w:rsidR="00CE0920" w:rsidRDefault="00CE0920" w:rsidP="00CE0920">
      <w:pPr>
        <w:jc w:val="both"/>
        <w:rPr>
          <w:color w:val="000000"/>
          <w:szCs w:val="22"/>
        </w:rPr>
      </w:pPr>
      <w:r w:rsidRPr="00595315">
        <w:rPr>
          <w:color w:val="000000"/>
          <w:szCs w:val="22"/>
        </w:rPr>
        <w:t>Wherever located within the municipal district, except those differentials which are described below as including a geographic restriction.</w:t>
      </w:r>
    </w:p>
    <w:p w:rsidR="00CE0920" w:rsidRDefault="00CE0920" w:rsidP="00CE0920">
      <w:pPr>
        <w:jc w:val="both"/>
        <w:rPr>
          <w:b/>
          <w:color w:val="000000"/>
          <w:szCs w:val="22"/>
        </w:rPr>
      </w:pPr>
      <w:r w:rsidRPr="00595315">
        <w:rPr>
          <w:b/>
          <w:color w:val="000000"/>
          <w:szCs w:val="22"/>
        </w:rPr>
        <w:t>Use of Land</w:t>
      </w:r>
    </w:p>
    <w:p w:rsidR="00CE0920" w:rsidRDefault="00CE0920" w:rsidP="00CE0920">
      <w:pPr>
        <w:jc w:val="both"/>
        <w:rPr>
          <w:color w:val="000000"/>
          <w:szCs w:val="22"/>
        </w:rPr>
      </w:pPr>
      <w:r w:rsidRPr="00595315">
        <w:rPr>
          <w:color w:val="000000"/>
          <w:szCs w:val="22"/>
        </w:rPr>
        <w:t>Any use permitted under the Greater Geelong Planning Scheme.</w:t>
      </w:r>
    </w:p>
    <w:p w:rsidR="00CE0920" w:rsidRDefault="00CE0920" w:rsidP="00CE0920">
      <w:pPr>
        <w:jc w:val="both"/>
        <w:rPr>
          <w:b/>
          <w:color w:val="000000"/>
          <w:szCs w:val="22"/>
        </w:rPr>
      </w:pPr>
      <w:r w:rsidRPr="00595315">
        <w:rPr>
          <w:b/>
          <w:color w:val="000000"/>
          <w:szCs w:val="22"/>
        </w:rPr>
        <w:t>Planning Scheme Zoning</w:t>
      </w:r>
    </w:p>
    <w:p w:rsidR="00CE0920" w:rsidRDefault="00CE0920" w:rsidP="00CE0920">
      <w:pPr>
        <w:jc w:val="both"/>
        <w:rPr>
          <w:color w:val="000000"/>
          <w:szCs w:val="22"/>
        </w:rPr>
      </w:pPr>
      <w:r w:rsidRPr="00595315">
        <w:rPr>
          <w:color w:val="000000"/>
          <w:szCs w:val="22"/>
        </w:rPr>
        <w:t>The zoning applicable to each piece of rateable land within this category, as determined by consulting maps referred to in the Greater Geelong Planning Scheme.</w:t>
      </w:r>
    </w:p>
    <w:p w:rsidR="00CE0920" w:rsidRPr="00595315" w:rsidRDefault="00CE0920" w:rsidP="00CE0920">
      <w:pPr>
        <w:rPr>
          <w:b/>
          <w:color w:val="000000"/>
          <w:szCs w:val="22"/>
        </w:rPr>
      </w:pPr>
      <w:r w:rsidRPr="00595315">
        <w:rPr>
          <w:b/>
          <w:color w:val="000000"/>
          <w:szCs w:val="22"/>
        </w:rPr>
        <w:t>Types of Buildings</w:t>
      </w:r>
    </w:p>
    <w:p w:rsidR="00CE0920" w:rsidRDefault="00CE0920" w:rsidP="00CE0920">
      <w:pPr>
        <w:jc w:val="both"/>
        <w:rPr>
          <w:color w:val="000000"/>
          <w:szCs w:val="22"/>
        </w:rPr>
      </w:pPr>
      <w:r w:rsidRPr="00595315">
        <w:rPr>
          <w:color w:val="000000"/>
          <w:szCs w:val="22"/>
        </w:rPr>
        <w:t xml:space="preserve">All buildings which are now constructed on the land or which are constructed prior to 30 June </w:t>
      </w:r>
      <w:r w:rsidR="002B3FFB">
        <w:rPr>
          <w:color w:val="000000"/>
          <w:szCs w:val="22"/>
        </w:rPr>
        <w:t>2020</w:t>
      </w:r>
      <w:r>
        <w:rPr>
          <w:color w:val="000000"/>
          <w:szCs w:val="22"/>
        </w:rPr>
        <w:t>.</w:t>
      </w:r>
    </w:p>
    <w:p w:rsidR="00CE0920" w:rsidRDefault="00CE0920" w:rsidP="00CE0920">
      <w:pPr>
        <w:spacing w:after="0"/>
        <w:jc w:val="both"/>
        <w:rPr>
          <w:b/>
          <w:color w:val="000000"/>
          <w:szCs w:val="22"/>
        </w:rPr>
      </w:pPr>
      <w:r w:rsidRPr="00595315">
        <w:rPr>
          <w:b/>
          <w:color w:val="000000"/>
          <w:szCs w:val="22"/>
        </w:rPr>
        <w:t xml:space="preserve">Vacant Land </w:t>
      </w:r>
    </w:p>
    <w:p w:rsidR="00CE0920" w:rsidRDefault="00CE0920" w:rsidP="00CE0920">
      <w:pPr>
        <w:pStyle w:val="SumPoint"/>
        <w:numPr>
          <w:ilvl w:val="0"/>
          <w:numId w:val="0"/>
        </w:numPr>
        <w:jc w:val="both"/>
        <w:rPr>
          <w:color w:val="000000"/>
          <w:sz w:val="22"/>
          <w:szCs w:val="22"/>
        </w:rPr>
      </w:pPr>
      <w:r w:rsidRPr="00595315">
        <w:rPr>
          <w:color w:val="000000"/>
          <w:sz w:val="22"/>
          <w:szCs w:val="22"/>
        </w:rPr>
        <w:t xml:space="preserve">No building must be located on the land or constructed prior to 30 June </w:t>
      </w:r>
      <w:r w:rsidR="002B3FFB">
        <w:rPr>
          <w:color w:val="000000"/>
          <w:sz w:val="22"/>
          <w:szCs w:val="22"/>
        </w:rPr>
        <w:t>2020</w:t>
      </w:r>
      <w:r w:rsidR="002B3FFB" w:rsidRPr="00595315">
        <w:rPr>
          <w:color w:val="000000"/>
          <w:sz w:val="22"/>
          <w:szCs w:val="22"/>
        </w:rPr>
        <w:t xml:space="preserve"> </w:t>
      </w:r>
      <w:r w:rsidRPr="00595315">
        <w:rPr>
          <w:color w:val="000000"/>
          <w:sz w:val="22"/>
          <w:szCs w:val="22"/>
        </w:rPr>
        <w:t>except for any uninhabitable shed or shelter, the size of which does not exceed 5% of the total area of the land.</w:t>
      </w:r>
    </w:p>
    <w:p w:rsidR="00CE0920" w:rsidRDefault="00CE0920" w:rsidP="00CE0920">
      <w:pPr>
        <w:jc w:val="both"/>
        <w:rPr>
          <w:b/>
          <w:color w:val="000000"/>
          <w:szCs w:val="22"/>
        </w:rPr>
      </w:pPr>
      <w:r w:rsidRPr="00595315">
        <w:rPr>
          <w:b/>
          <w:color w:val="000000"/>
          <w:szCs w:val="22"/>
        </w:rPr>
        <w:t>Differential Characteristics &amp; Rating Objectives</w:t>
      </w:r>
    </w:p>
    <w:p w:rsidR="00CE0920" w:rsidRDefault="00CE0920" w:rsidP="00CE0920">
      <w:pPr>
        <w:jc w:val="both"/>
        <w:rPr>
          <w:color w:val="000000"/>
          <w:szCs w:val="22"/>
        </w:rPr>
      </w:pPr>
      <w:r w:rsidRPr="00595315">
        <w:rPr>
          <w:b/>
          <w:color w:val="000000"/>
          <w:szCs w:val="22"/>
        </w:rPr>
        <w:t>Residential Land</w:t>
      </w:r>
      <w:r w:rsidRPr="00595315">
        <w:rPr>
          <w:color w:val="000000"/>
          <w:szCs w:val="22"/>
        </w:rPr>
        <w:t xml:space="preserve"> - means any land: </w:t>
      </w:r>
    </w:p>
    <w:p w:rsidR="00CE0920" w:rsidRDefault="00CE0920" w:rsidP="00CE0920">
      <w:pPr>
        <w:numPr>
          <w:ilvl w:val="0"/>
          <w:numId w:val="98"/>
        </w:numPr>
        <w:tabs>
          <w:tab w:val="num" w:pos="567"/>
        </w:tabs>
        <w:spacing w:before="0" w:after="80"/>
        <w:ind w:left="567" w:hanging="567"/>
        <w:jc w:val="both"/>
        <w:rPr>
          <w:color w:val="000000"/>
          <w:szCs w:val="22"/>
        </w:rPr>
      </w:pPr>
      <w:r w:rsidRPr="00595315">
        <w:rPr>
          <w:color w:val="000000"/>
          <w:szCs w:val="22"/>
        </w:rPr>
        <w:t>that is used exclusively for residential purposes; or</w:t>
      </w:r>
    </w:p>
    <w:p w:rsidR="00CE0920" w:rsidRDefault="00CE0920" w:rsidP="00CE0920">
      <w:pPr>
        <w:numPr>
          <w:ilvl w:val="0"/>
          <w:numId w:val="98"/>
        </w:numPr>
        <w:tabs>
          <w:tab w:val="num" w:pos="567"/>
        </w:tabs>
        <w:spacing w:before="0" w:after="80"/>
        <w:ind w:left="567" w:hanging="567"/>
        <w:jc w:val="both"/>
        <w:rPr>
          <w:color w:val="000000"/>
          <w:szCs w:val="22"/>
        </w:rPr>
      </w:pPr>
      <w:r w:rsidRPr="00595315">
        <w:rPr>
          <w:color w:val="000000"/>
          <w:szCs w:val="22"/>
        </w:rPr>
        <w:t>on which a habitable building is erected, which building is unoccupied, and which is zoned residential under the Greater Geelong Planning Scheme.</w:t>
      </w:r>
    </w:p>
    <w:p w:rsidR="00CE0920" w:rsidRPr="00595315" w:rsidRDefault="00CE0920" w:rsidP="00CE0920">
      <w:pPr>
        <w:jc w:val="both"/>
        <w:rPr>
          <w:color w:val="000000"/>
          <w:szCs w:val="22"/>
        </w:rPr>
      </w:pPr>
      <w:r w:rsidRPr="00595315">
        <w:rPr>
          <w:color w:val="000000"/>
          <w:szCs w:val="22"/>
        </w:rPr>
        <w:t xml:space="preserve">Rating Objective: </w:t>
      </w:r>
    </w:p>
    <w:p w:rsidR="00CE0920" w:rsidRPr="00595315" w:rsidRDefault="00CE0920" w:rsidP="00CE0920">
      <w:pPr>
        <w:jc w:val="both"/>
        <w:rPr>
          <w:color w:val="000000"/>
          <w:szCs w:val="22"/>
        </w:rPr>
      </w:pPr>
      <w:r w:rsidRPr="00595315">
        <w:rPr>
          <w:color w:val="000000"/>
          <w:szCs w:val="22"/>
        </w:rPr>
        <w:t xml:space="preserve">To ensure that all rateable land makes an equitable and efficient financial contribution to the cost of carrying out the functions of </w:t>
      </w:r>
      <w:r w:rsidR="0051216F">
        <w:rPr>
          <w:color w:val="000000"/>
          <w:szCs w:val="22"/>
        </w:rPr>
        <w:t>the City</w:t>
      </w:r>
      <w:r w:rsidR="0051216F" w:rsidRPr="00595315">
        <w:rPr>
          <w:color w:val="000000"/>
          <w:szCs w:val="22"/>
        </w:rPr>
        <w:t xml:space="preserve"> </w:t>
      </w:r>
      <w:r w:rsidRPr="00595315">
        <w:rPr>
          <w:color w:val="000000"/>
          <w:szCs w:val="22"/>
        </w:rPr>
        <w:t>generally, including the:</w:t>
      </w:r>
    </w:p>
    <w:p w:rsidR="00CE0920" w:rsidRPr="00595315" w:rsidRDefault="00CE0920" w:rsidP="00CE0920">
      <w:pPr>
        <w:numPr>
          <w:ilvl w:val="0"/>
          <w:numId w:val="99"/>
        </w:numPr>
        <w:tabs>
          <w:tab w:val="left" w:pos="567"/>
        </w:tabs>
        <w:spacing w:before="0" w:after="80"/>
        <w:ind w:left="567" w:hanging="567"/>
        <w:jc w:val="both"/>
        <w:rPr>
          <w:color w:val="000000"/>
          <w:szCs w:val="22"/>
        </w:rPr>
      </w:pPr>
      <w:r w:rsidRPr="00595315">
        <w:rPr>
          <w:color w:val="000000"/>
          <w:szCs w:val="22"/>
        </w:rPr>
        <w:t>construction and maintenance of public infrastructure;</w:t>
      </w:r>
    </w:p>
    <w:p w:rsidR="00CE0920" w:rsidRPr="00595315" w:rsidRDefault="00CE0920" w:rsidP="00CE0920">
      <w:pPr>
        <w:numPr>
          <w:ilvl w:val="0"/>
          <w:numId w:val="99"/>
        </w:numPr>
        <w:tabs>
          <w:tab w:val="left" w:pos="567"/>
        </w:tabs>
        <w:spacing w:before="0" w:after="80"/>
        <w:ind w:left="567" w:hanging="567"/>
        <w:jc w:val="both"/>
        <w:rPr>
          <w:color w:val="000000"/>
          <w:szCs w:val="22"/>
        </w:rPr>
      </w:pPr>
      <w:r w:rsidRPr="00595315">
        <w:rPr>
          <w:color w:val="000000"/>
          <w:szCs w:val="22"/>
        </w:rPr>
        <w:t>development and provision of health and community services; and</w:t>
      </w:r>
    </w:p>
    <w:p w:rsidR="00CE0920" w:rsidRPr="00595315" w:rsidRDefault="00CE0920" w:rsidP="00CE0920">
      <w:pPr>
        <w:numPr>
          <w:ilvl w:val="0"/>
          <w:numId w:val="99"/>
        </w:numPr>
        <w:tabs>
          <w:tab w:val="left" w:pos="567"/>
        </w:tabs>
        <w:spacing w:before="0" w:after="80"/>
        <w:ind w:left="567" w:hanging="567"/>
        <w:jc w:val="both"/>
        <w:rPr>
          <w:color w:val="000000"/>
          <w:szCs w:val="22"/>
        </w:rPr>
      </w:pPr>
      <w:r w:rsidRPr="00595315">
        <w:rPr>
          <w:color w:val="000000"/>
          <w:szCs w:val="22"/>
        </w:rPr>
        <w:t>provision of general support services.</w:t>
      </w:r>
    </w:p>
    <w:p w:rsidR="00CE0920" w:rsidRPr="00595315" w:rsidRDefault="00CE0920" w:rsidP="00CE0920">
      <w:pPr>
        <w:spacing w:after="0"/>
        <w:rPr>
          <w:color w:val="000000"/>
          <w:szCs w:val="22"/>
        </w:rPr>
      </w:pPr>
    </w:p>
    <w:p w:rsidR="00CE0920" w:rsidRPr="00595315" w:rsidRDefault="00CE0920" w:rsidP="00CE0920">
      <w:pPr>
        <w:jc w:val="both"/>
        <w:rPr>
          <w:color w:val="000000"/>
          <w:szCs w:val="22"/>
        </w:rPr>
      </w:pPr>
      <w:r w:rsidRPr="00595315">
        <w:rPr>
          <w:b/>
          <w:color w:val="000000"/>
          <w:szCs w:val="22"/>
        </w:rPr>
        <w:t>Vacant Land</w:t>
      </w:r>
      <w:r w:rsidRPr="00595315">
        <w:rPr>
          <w:color w:val="000000"/>
          <w:szCs w:val="22"/>
        </w:rPr>
        <w:t xml:space="preserve"> - means any land: </w:t>
      </w:r>
    </w:p>
    <w:p w:rsidR="00CE0920" w:rsidRPr="00595315" w:rsidRDefault="00CE0920" w:rsidP="00CE0920">
      <w:pPr>
        <w:numPr>
          <w:ilvl w:val="0"/>
          <w:numId w:val="26"/>
        </w:numPr>
        <w:tabs>
          <w:tab w:val="num" w:pos="567"/>
        </w:tabs>
        <w:spacing w:before="0" w:after="80"/>
        <w:ind w:left="567" w:hanging="567"/>
        <w:jc w:val="both"/>
        <w:rPr>
          <w:color w:val="000000"/>
          <w:szCs w:val="22"/>
        </w:rPr>
      </w:pPr>
      <w:r w:rsidRPr="00595315">
        <w:rPr>
          <w:color w:val="000000"/>
          <w:szCs w:val="22"/>
        </w:rPr>
        <w:t xml:space="preserve">that does not have the characteristics of Farm Land; and </w:t>
      </w:r>
    </w:p>
    <w:p w:rsidR="00CE0920" w:rsidRPr="00595315" w:rsidRDefault="00CE0920" w:rsidP="00CE0920">
      <w:pPr>
        <w:numPr>
          <w:ilvl w:val="0"/>
          <w:numId w:val="26"/>
        </w:numPr>
        <w:tabs>
          <w:tab w:val="num" w:pos="567"/>
        </w:tabs>
        <w:spacing w:before="0" w:after="80"/>
        <w:ind w:left="567" w:hanging="567"/>
        <w:jc w:val="both"/>
        <w:rPr>
          <w:color w:val="000000"/>
          <w:szCs w:val="22"/>
        </w:rPr>
      </w:pPr>
      <w:r w:rsidRPr="00595315">
        <w:rPr>
          <w:color w:val="000000"/>
          <w:szCs w:val="22"/>
        </w:rPr>
        <w:t>on which no building is erected, save for any uninhabitable shed or shelter, the size of which does not exceed 5% of the total area of the land.</w:t>
      </w:r>
    </w:p>
    <w:p w:rsidR="00CE0920" w:rsidRPr="00595315" w:rsidRDefault="00CE0920" w:rsidP="00CE0920">
      <w:pPr>
        <w:jc w:val="both"/>
        <w:rPr>
          <w:color w:val="000000"/>
          <w:szCs w:val="22"/>
        </w:rPr>
      </w:pPr>
      <w:r w:rsidRPr="00595315">
        <w:rPr>
          <w:color w:val="000000"/>
          <w:szCs w:val="22"/>
        </w:rPr>
        <w:lastRenderedPageBreak/>
        <w:t xml:space="preserve">Rating Objectives: </w:t>
      </w:r>
    </w:p>
    <w:p w:rsidR="00CE0920" w:rsidRPr="00595315" w:rsidRDefault="00CE0920" w:rsidP="00CE0920">
      <w:pPr>
        <w:numPr>
          <w:ilvl w:val="0"/>
          <w:numId w:val="100"/>
        </w:numPr>
        <w:tabs>
          <w:tab w:val="num" w:pos="567"/>
        </w:tabs>
        <w:spacing w:before="0" w:after="80"/>
        <w:ind w:left="567" w:hanging="567"/>
        <w:jc w:val="both"/>
        <w:rPr>
          <w:rFonts w:cs="Arial"/>
          <w:color w:val="000000"/>
          <w:szCs w:val="22"/>
        </w:rPr>
      </w:pPr>
      <w:r w:rsidRPr="00595315">
        <w:rPr>
          <w:color w:val="000000"/>
          <w:szCs w:val="22"/>
        </w:rPr>
        <w:t xml:space="preserve">To ensure that all rateable land makes an equitable and efficient financial contribution to the </w:t>
      </w:r>
      <w:r w:rsidRPr="00595315">
        <w:rPr>
          <w:rFonts w:cs="Arial"/>
          <w:color w:val="000000"/>
          <w:szCs w:val="22"/>
        </w:rPr>
        <w:t xml:space="preserve">cost of carrying out the functions of </w:t>
      </w:r>
      <w:r w:rsidR="0051216F">
        <w:rPr>
          <w:rFonts w:cs="Arial"/>
          <w:color w:val="000000"/>
          <w:szCs w:val="22"/>
        </w:rPr>
        <w:t>the City</w:t>
      </w:r>
      <w:r w:rsidR="0051216F" w:rsidRPr="00595315">
        <w:rPr>
          <w:rFonts w:cs="Arial"/>
          <w:color w:val="000000"/>
          <w:szCs w:val="22"/>
        </w:rPr>
        <w:t xml:space="preserve"> </w:t>
      </w:r>
      <w:r w:rsidRPr="00595315">
        <w:rPr>
          <w:rFonts w:cs="Arial"/>
          <w:color w:val="000000"/>
          <w:szCs w:val="22"/>
        </w:rPr>
        <w:t>generally, including the:</w:t>
      </w:r>
    </w:p>
    <w:p w:rsidR="00CE0920" w:rsidRPr="00E60EA6" w:rsidRDefault="00CE0920" w:rsidP="00CE0920">
      <w:pPr>
        <w:pStyle w:val="BodyText0"/>
        <w:numPr>
          <w:ilvl w:val="1"/>
          <w:numId w:val="101"/>
        </w:numPr>
        <w:tabs>
          <w:tab w:val="clear" w:pos="1440"/>
          <w:tab w:val="num" w:pos="993"/>
          <w:tab w:val="left" w:pos="1985"/>
        </w:tabs>
        <w:spacing w:before="0"/>
        <w:ind w:left="993" w:hanging="426"/>
        <w:jc w:val="both"/>
        <w:rPr>
          <w:rFonts w:ascii="Lucida Sans Unicode" w:hAnsi="Lucida Sans Unicode" w:cs="Lucida Sans Unicode"/>
          <w:color w:val="000000"/>
          <w:sz w:val="22"/>
          <w:szCs w:val="22"/>
        </w:rPr>
      </w:pPr>
      <w:r w:rsidRPr="00E60EA6">
        <w:rPr>
          <w:rFonts w:ascii="Lucida Sans Unicode" w:hAnsi="Lucida Sans Unicode" w:cs="Lucida Sans Unicode"/>
          <w:color w:val="000000"/>
          <w:sz w:val="22"/>
          <w:szCs w:val="22"/>
        </w:rPr>
        <w:t>construction and maintenance of public infrastructure;</w:t>
      </w:r>
    </w:p>
    <w:p w:rsidR="00CE0920" w:rsidRPr="00E60EA6" w:rsidRDefault="00CE0920" w:rsidP="00CE0920">
      <w:pPr>
        <w:pStyle w:val="BodyText0"/>
        <w:numPr>
          <w:ilvl w:val="1"/>
          <w:numId w:val="101"/>
        </w:numPr>
        <w:tabs>
          <w:tab w:val="clear" w:pos="1440"/>
          <w:tab w:val="num" w:pos="993"/>
          <w:tab w:val="left" w:pos="1985"/>
        </w:tabs>
        <w:spacing w:before="0"/>
        <w:ind w:left="993" w:hanging="426"/>
        <w:jc w:val="both"/>
        <w:rPr>
          <w:rFonts w:ascii="Lucida Sans Unicode" w:hAnsi="Lucida Sans Unicode" w:cs="Lucida Sans Unicode"/>
          <w:color w:val="000000"/>
          <w:sz w:val="22"/>
          <w:szCs w:val="22"/>
        </w:rPr>
      </w:pPr>
      <w:r w:rsidRPr="00E60EA6">
        <w:rPr>
          <w:rFonts w:ascii="Lucida Sans Unicode" w:hAnsi="Lucida Sans Unicode" w:cs="Lucida Sans Unicode"/>
          <w:color w:val="000000"/>
          <w:sz w:val="22"/>
          <w:szCs w:val="22"/>
        </w:rPr>
        <w:t>development and provision of health and community services; and</w:t>
      </w:r>
    </w:p>
    <w:p w:rsidR="00CE0920" w:rsidRPr="00E60EA6" w:rsidRDefault="00CE0920" w:rsidP="00CE0920">
      <w:pPr>
        <w:pStyle w:val="BodyText0"/>
        <w:numPr>
          <w:ilvl w:val="1"/>
          <w:numId w:val="101"/>
        </w:numPr>
        <w:tabs>
          <w:tab w:val="clear" w:pos="1440"/>
          <w:tab w:val="num" w:pos="993"/>
          <w:tab w:val="left" w:pos="1985"/>
        </w:tabs>
        <w:spacing w:before="0"/>
        <w:ind w:left="993" w:hanging="426"/>
        <w:jc w:val="both"/>
        <w:rPr>
          <w:rFonts w:ascii="Lucida Sans Unicode" w:hAnsi="Lucida Sans Unicode" w:cs="Lucida Sans Unicode"/>
          <w:color w:val="000000"/>
          <w:sz w:val="22"/>
          <w:szCs w:val="22"/>
        </w:rPr>
      </w:pPr>
      <w:r w:rsidRPr="00E60EA6">
        <w:rPr>
          <w:rFonts w:ascii="Lucida Sans Unicode" w:hAnsi="Lucida Sans Unicode" w:cs="Lucida Sans Unicode"/>
          <w:color w:val="000000"/>
          <w:sz w:val="22"/>
          <w:szCs w:val="22"/>
        </w:rPr>
        <w:t>provision of general support services.</w:t>
      </w:r>
    </w:p>
    <w:p w:rsidR="00CE0920" w:rsidRPr="00595315" w:rsidRDefault="00CE0920" w:rsidP="00CE0920">
      <w:pPr>
        <w:numPr>
          <w:ilvl w:val="0"/>
          <w:numId w:val="100"/>
        </w:numPr>
        <w:tabs>
          <w:tab w:val="num" w:pos="567"/>
        </w:tabs>
        <w:spacing w:before="0" w:after="80"/>
        <w:ind w:left="567" w:hanging="567"/>
        <w:jc w:val="both"/>
        <w:rPr>
          <w:color w:val="000000"/>
          <w:szCs w:val="22"/>
        </w:rPr>
      </w:pPr>
      <w:r w:rsidRPr="00595315">
        <w:rPr>
          <w:rFonts w:cs="Arial"/>
          <w:color w:val="000000"/>
          <w:szCs w:val="22"/>
        </w:rPr>
        <w:t>To encourage the prompt development of vacant land to attract new residents and businesses</w:t>
      </w:r>
      <w:r w:rsidRPr="00595315">
        <w:rPr>
          <w:color w:val="000000"/>
          <w:szCs w:val="22"/>
        </w:rPr>
        <w:t xml:space="preserve"> to the City of Greater Geelong.</w:t>
      </w:r>
    </w:p>
    <w:p w:rsidR="00CE0920" w:rsidRPr="00595315" w:rsidRDefault="00CE0920" w:rsidP="00CE0920">
      <w:pPr>
        <w:numPr>
          <w:ilvl w:val="0"/>
          <w:numId w:val="100"/>
        </w:numPr>
        <w:tabs>
          <w:tab w:val="num" w:pos="567"/>
        </w:tabs>
        <w:spacing w:before="0" w:after="80"/>
        <w:ind w:left="567" w:hanging="567"/>
        <w:jc w:val="both"/>
        <w:rPr>
          <w:color w:val="000000"/>
          <w:szCs w:val="22"/>
        </w:rPr>
      </w:pPr>
      <w:r w:rsidRPr="00595315">
        <w:rPr>
          <w:color w:val="000000"/>
          <w:szCs w:val="22"/>
        </w:rPr>
        <w:t>To discourage untimely and unnecessary divisions of land.</w:t>
      </w:r>
    </w:p>
    <w:p w:rsidR="00CE0920" w:rsidRDefault="00CE0920" w:rsidP="00CE0920">
      <w:pPr>
        <w:tabs>
          <w:tab w:val="num" w:pos="1440"/>
        </w:tabs>
        <w:jc w:val="both"/>
        <w:rPr>
          <w:color w:val="000000"/>
          <w:szCs w:val="22"/>
        </w:rPr>
      </w:pPr>
      <w:r w:rsidRPr="00595315">
        <w:rPr>
          <w:color w:val="000000"/>
          <w:szCs w:val="22"/>
        </w:rPr>
        <w:t xml:space="preserve">These objectives will be met by setting the Vacant Land differential at </w:t>
      </w:r>
      <w:r w:rsidR="002B3FFB">
        <w:rPr>
          <w:color w:val="000000"/>
          <w:szCs w:val="22"/>
        </w:rPr>
        <w:t>146</w:t>
      </w:r>
      <w:r w:rsidRPr="00595315">
        <w:rPr>
          <w:color w:val="000000"/>
          <w:szCs w:val="22"/>
        </w:rPr>
        <w:t>% of the Residential Land differential.</w:t>
      </w:r>
    </w:p>
    <w:p w:rsidR="00CE0920" w:rsidRPr="00595315" w:rsidRDefault="00CE0920" w:rsidP="00CE0920">
      <w:pPr>
        <w:tabs>
          <w:tab w:val="left" w:pos="318"/>
        </w:tabs>
        <w:jc w:val="both"/>
        <w:rPr>
          <w:color w:val="000000"/>
          <w:szCs w:val="22"/>
        </w:rPr>
      </w:pPr>
      <w:r w:rsidRPr="00595315">
        <w:rPr>
          <w:b/>
          <w:color w:val="000000"/>
          <w:szCs w:val="22"/>
        </w:rPr>
        <w:t xml:space="preserve">Commercial Land </w:t>
      </w:r>
      <w:r w:rsidRPr="00595315">
        <w:rPr>
          <w:color w:val="000000"/>
          <w:szCs w:val="22"/>
        </w:rPr>
        <w:t>– means any land that:</w:t>
      </w:r>
    </w:p>
    <w:p w:rsidR="00CE0920" w:rsidRDefault="00CE0920" w:rsidP="00CE0920">
      <w:pPr>
        <w:pStyle w:val="ListParagraph"/>
        <w:numPr>
          <w:ilvl w:val="0"/>
          <w:numId w:val="35"/>
        </w:numPr>
        <w:spacing w:before="0" w:after="80"/>
        <w:ind w:left="567" w:hanging="567"/>
        <w:jc w:val="both"/>
        <w:rPr>
          <w:color w:val="000000"/>
          <w:szCs w:val="22"/>
        </w:rPr>
      </w:pPr>
      <w:r w:rsidRPr="00E21EEB">
        <w:rPr>
          <w:color w:val="000000"/>
          <w:szCs w:val="22"/>
        </w:rPr>
        <w:t>does not have the characteristics of:</w:t>
      </w:r>
    </w:p>
    <w:p w:rsidR="00CE0920" w:rsidRPr="00E60EA6" w:rsidRDefault="00CE0920" w:rsidP="00CE0920">
      <w:pPr>
        <w:pStyle w:val="BodyText0"/>
        <w:numPr>
          <w:ilvl w:val="0"/>
          <w:numId w:val="36"/>
        </w:numPr>
        <w:tabs>
          <w:tab w:val="left" w:pos="1985"/>
        </w:tabs>
        <w:spacing w:before="0"/>
        <w:ind w:left="927"/>
        <w:jc w:val="both"/>
        <w:rPr>
          <w:rFonts w:ascii="Lucida Sans Unicode" w:hAnsi="Lucida Sans Unicode" w:cs="Lucida Sans Unicode"/>
          <w:color w:val="000000"/>
          <w:sz w:val="22"/>
          <w:szCs w:val="22"/>
        </w:rPr>
      </w:pPr>
      <w:r w:rsidRPr="00E60EA6">
        <w:rPr>
          <w:rFonts w:ascii="Lucida Sans Unicode" w:hAnsi="Lucida Sans Unicode" w:cs="Lucida Sans Unicode"/>
          <w:color w:val="000000"/>
          <w:sz w:val="22"/>
          <w:szCs w:val="22"/>
        </w:rPr>
        <w:t>Farm Land; or</w:t>
      </w:r>
    </w:p>
    <w:p w:rsidR="00CE0920" w:rsidRPr="00E60EA6" w:rsidRDefault="00CE0920" w:rsidP="00CE0920">
      <w:pPr>
        <w:pStyle w:val="BodyText0"/>
        <w:numPr>
          <w:ilvl w:val="0"/>
          <w:numId w:val="36"/>
        </w:numPr>
        <w:tabs>
          <w:tab w:val="left" w:pos="1985"/>
        </w:tabs>
        <w:spacing w:before="0"/>
        <w:ind w:left="927"/>
        <w:jc w:val="both"/>
        <w:rPr>
          <w:rFonts w:ascii="Lucida Sans Unicode" w:hAnsi="Lucida Sans Unicode" w:cs="Lucida Sans Unicode"/>
          <w:color w:val="000000"/>
          <w:sz w:val="22"/>
          <w:szCs w:val="22"/>
        </w:rPr>
      </w:pPr>
      <w:r w:rsidRPr="00E60EA6">
        <w:rPr>
          <w:rFonts w:ascii="Lucida Sans Unicode" w:hAnsi="Lucida Sans Unicode" w:cs="Lucida Sans Unicode"/>
          <w:color w:val="000000"/>
          <w:sz w:val="22"/>
          <w:szCs w:val="22"/>
        </w:rPr>
        <w:t>Industrial Land; and</w:t>
      </w:r>
    </w:p>
    <w:p w:rsidR="00CE0920" w:rsidRPr="00E21EEB" w:rsidRDefault="00CE0920" w:rsidP="00CE0920">
      <w:pPr>
        <w:pStyle w:val="BodyText0"/>
        <w:numPr>
          <w:ilvl w:val="0"/>
          <w:numId w:val="36"/>
        </w:numPr>
        <w:tabs>
          <w:tab w:val="left" w:pos="1985"/>
        </w:tabs>
        <w:spacing w:before="0"/>
        <w:ind w:left="927"/>
        <w:jc w:val="both"/>
        <w:rPr>
          <w:rFonts w:ascii="Arial" w:hAnsi="Arial" w:cs="Arial"/>
          <w:color w:val="000000"/>
          <w:sz w:val="22"/>
          <w:szCs w:val="22"/>
        </w:rPr>
      </w:pPr>
      <w:r w:rsidRPr="00E60EA6">
        <w:rPr>
          <w:rFonts w:ascii="Lucida Sans Unicode" w:hAnsi="Lucida Sans Unicode" w:cs="Lucida Sans Unicode"/>
          <w:color w:val="000000"/>
          <w:sz w:val="22"/>
          <w:szCs w:val="22"/>
        </w:rPr>
        <w:t>Petroleum Production Land</w:t>
      </w:r>
      <w:r>
        <w:rPr>
          <w:rFonts w:ascii="Arial" w:hAnsi="Arial" w:cs="Arial"/>
          <w:color w:val="000000"/>
          <w:sz w:val="22"/>
          <w:szCs w:val="22"/>
        </w:rPr>
        <w:t>.</w:t>
      </w:r>
    </w:p>
    <w:p w:rsidR="00CE0920" w:rsidRDefault="00CE0920" w:rsidP="00CE0920">
      <w:pPr>
        <w:pStyle w:val="ListParagraph"/>
        <w:numPr>
          <w:ilvl w:val="0"/>
          <w:numId w:val="35"/>
        </w:numPr>
        <w:spacing w:before="0" w:after="80"/>
        <w:ind w:left="567" w:hanging="567"/>
        <w:jc w:val="both"/>
        <w:rPr>
          <w:color w:val="000000"/>
          <w:szCs w:val="22"/>
        </w:rPr>
      </w:pPr>
      <w:r w:rsidRPr="00E21EEB">
        <w:rPr>
          <w:color w:val="000000"/>
          <w:szCs w:val="22"/>
        </w:rPr>
        <w:t>is used predominantly for the sale of goods or services or other commercial purposes; or</w:t>
      </w:r>
    </w:p>
    <w:p w:rsidR="00CE0920" w:rsidRDefault="00CE0920" w:rsidP="00CE0920">
      <w:pPr>
        <w:pStyle w:val="ListParagraph"/>
        <w:numPr>
          <w:ilvl w:val="0"/>
          <w:numId w:val="35"/>
        </w:numPr>
        <w:spacing w:before="0" w:after="80"/>
        <w:ind w:left="567" w:hanging="567"/>
        <w:jc w:val="both"/>
        <w:rPr>
          <w:color w:val="000000"/>
          <w:szCs w:val="22"/>
        </w:rPr>
      </w:pPr>
      <w:r w:rsidRPr="00E21EEB">
        <w:rPr>
          <w:color w:val="000000"/>
          <w:szCs w:val="22"/>
        </w:rPr>
        <w:t>on which a habitable building is erected, which building is unoccupied, and which is zoned other than residential under the Greater Geelong Planning Scheme.</w:t>
      </w:r>
    </w:p>
    <w:p w:rsidR="00CE0920" w:rsidRPr="00595315" w:rsidRDefault="00CE0920" w:rsidP="00CE0920">
      <w:pPr>
        <w:jc w:val="both"/>
        <w:rPr>
          <w:color w:val="000000"/>
          <w:szCs w:val="22"/>
        </w:rPr>
      </w:pPr>
      <w:r w:rsidRPr="00595315">
        <w:rPr>
          <w:color w:val="000000"/>
          <w:szCs w:val="22"/>
        </w:rPr>
        <w:t xml:space="preserve">Rating Objective: </w:t>
      </w:r>
    </w:p>
    <w:p w:rsidR="00CE0920" w:rsidRDefault="00CE0920" w:rsidP="00CE0920">
      <w:pPr>
        <w:tabs>
          <w:tab w:val="left" w:pos="567"/>
        </w:tabs>
        <w:jc w:val="both"/>
        <w:rPr>
          <w:color w:val="000000"/>
          <w:szCs w:val="22"/>
        </w:rPr>
      </w:pPr>
      <w:r w:rsidRPr="00E21EEB">
        <w:rPr>
          <w:color w:val="000000"/>
          <w:szCs w:val="22"/>
        </w:rPr>
        <w:t xml:space="preserve">To ensure that all rateable land makes an equitable and efficient financial contribution to the cost of carrying out the functions of </w:t>
      </w:r>
      <w:r w:rsidR="0051216F">
        <w:rPr>
          <w:color w:val="000000"/>
          <w:szCs w:val="22"/>
        </w:rPr>
        <w:t>the City</w:t>
      </w:r>
      <w:r w:rsidR="0051216F" w:rsidRPr="00E21EEB">
        <w:rPr>
          <w:color w:val="000000"/>
          <w:szCs w:val="22"/>
        </w:rPr>
        <w:t xml:space="preserve"> </w:t>
      </w:r>
      <w:r w:rsidRPr="00E21EEB">
        <w:rPr>
          <w:color w:val="000000"/>
          <w:szCs w:val="22"/>
        </w:rPr>
        <w:t>generally, including the:</w:t>
      </w:r>
    </w:p>
    <w:p w:rsidR="00CE0920" w:rsidRPr="00E21EEB" w:rsidRDefault="00CE0920" w:rsidP="00CE0920">
      <w:pPr>
        <w:numPr>
          <w:ilvl w:val="0"/>
          <w:numId w:val="37"/>
        </w:numPr>
        <w:tabs>
          <w:tab w:val="left" w:pos="567"/>
        </w:tabs>
        <w:spacing w:before="0" w:after="80"/>
        <w:ind w:left="360"/>
        <w:jc w:val="both"/>
        <w:rPr>
          <w:color w:val="000000"/>
          <w:szCs w:val="22"/>
        </w:rPr>
      </w:pPr>
      <w:r w:rsidRPr="00E21EEB">
        <w:rPr>
          <w:color w:val="000000"/>
          <w:szCs w:val="22"/>
        </w:rPr>
        <w:t>construction and maintenance of public infrastructure;</w:t>
      </w:r>
    </w:p>
    <w:p w:rsidR="00CE0920" w:rsidRPr="00E21EEB" w:rsidRDefault="00CE0920" w:rsidP="00CE0920">
      <w:pPr>
        <w:numPr>
          <w:ilvl w:val="0"/>
          <w:numId w:val="37"/>
        </w:numPr>
        <w:tabs>
          <w:tab w:val="left" w:pos="567"/>
        </w:tabs>
        <w:spacing w:before="0" w:after="80"/>
        <w:ind w:left="360"/>
        <w:jc w:val="both"/>
        <w:rPr>
          <w:color w:val="000000"/>
          <w:szCs w:val="22"/>
        </w:rPr>
      </w:pPr>
      <w:r w:rsidRPr="00E21EEB">
        <w:rPr>
          <w:color w:val="000000"/>
          <w:szCs w:val="22"/>
        </w:rPr>
        <w:t>development and provision of health and community services; and</w:t>
      </w:r>
    </w:p>
    <w:p w:rsidR="00CE0920" w:rsidRPr="00E21EEB" w:rsidRDefault="00CE0920" w:rsidP="00CE0920">
      <w:pPr>
        <w:numPr>
          <w:ilvl w:val="0"/>
          <w:numId w:val="37"/>
        </w:numPr>
        <w:tabs>
          <w:tab w:val="left" w:pos="567"/>
        </w:tabs>
        <w:spacing w:before="0" w:after="80"/>
        <w:ind w:left="360"/>
        <w:jc w:val="both"/>
        <w:rPr>
          <w:color w:val="000000"/>
          <w:szCs w:val="22"/>
        </w:rPr>
      </w:pPr>
      <w:r w:rsidRPr="00E21EEB">
        <w:rPr>
          <w:color w:val="000000"/>
          <w:szCs w:val="22"/>
        </w:rPr>
        <w:t>provision of general support services.</w:t>
      </w:r>
    </w:p>
    <w:p w:rsidR="00CE0920" w:rsidRPr="00595315" w:rsidRDefault="00CE0920" w:rsidP="00CE0920">
      <w:pPr>
        <w:pStyle w:val="BodyText0"/>
        <w:jc w:val="both"/>
        <w:rPr>
          <w:rFonts w:ascii="Arial" w:hAnsi="Arial"/>
          <w:b/>
          <w:color w:val="000000"/>
          <w:sz w:val="22"/>
          <w:szCs w:val="22"/>
        </w:rPr>
      </w:pPr>
    </w:p>
    <w:p w:rsidR="00CE0920" w:rsidRPr="00595315" w:rsidRDefault="00CE0920" w:rsidP="00CE0920">
      <w:pPr>
        <w:pStyle w:val="BodyText0"/>
        <w:jc w:val="both"/>
        <w:rPr>
          <w:rFonts w:ascii="Arial" w:hAnsi="Arial"/>
          <w:b/>
          <w:color w:val="000000"/>
          <w:sz w:val="22"/>
          <w:szCs w:val="22"/>
        </w:rPr>
      </w:pPr>
      <w:r w:rsidRPr="00595315">
        <w:rPr>
          <w:rFonts w:ascii="Arial" w:hAnsi="Arial"/>
          <w:b/>
          <w:color w:val="000000"/>
          <w:sz w:val="22"/>
          <w:szCs w:val="22"/>
        </w:rPr>
        <w:t xml:space="preserve">The Point – Residential Land - </w:t>
      </w:r>
      <w:r w:rsidRPr="00595315">
        <w:rPr>
          <w:rFonts w:ascii="Arial" w:hAnsi="Arial"/>
          <w:color w:val="000000"/>
          <w:sz w:val="22"/>
          <w:szCs w:val="22"/>
        </w:rPr>
        <w:t>means any land that:</w:t>
      </w:r>
    </w:p>
    <w:p w:rsidR="00CE0920" w:rsidRDefault="00CE0920" w:rsidP="00CE0920">
      <w:pPr>
        <w:pStyle w:val="ListParagraph"/>
        <w:numPr>
          <w:ilvl w:val="0"/>
          <w:numId w:val="38"/>
        </w:numPr>
        <w:spacing w:before="0" w:after="80"/>
        <w:ind w:left="567" w:hanging="567"/>
        <w:jc w:val="both"/>
        <w:rPr>
          <w:color w:val="000000"/>
          <w:szCs w:val="22"/>
        </w:rPr>
      </w:pPr>
      <w:r w:rsidRPr="00E21EEB">
        <w:rPr>
          <w:color w:val="000000"/>
          <w:szCs w:val="22"/>
        </w:rPr>
        <w:t>is used exclusively for residential purposes; or</w:t>
      </w:r>
    </w:p>
    <w:p w:rsidR="00CE0920" w:rsidRDefault="00CE0920" w:rsidP="00CE0920">
      <w:pPr>
        <w:pStyle w:val="ListParagraph"/>
        <w:numPr>
          <w:ilvl w:val="0"/>
          <w:numId w:val="38"/>
        </w:numPr>
        <w:spacing w:before="0" w:after="80"/>
        <w:ind w:left="567" w:hanging="567"/>
        <w:jc w:val="both"/>
        <w:rPr>
          <w:color w:val="000000"/>
          <w:szCs w:val="22"/>
        </w:rPr>
      </w:pPr>
      <w:r w:rsidRPr="00E21EEB">
        <w:rPr>
          <w:color w:val="000000"/>
          <w:szCs w:val="22"/>
        </w:rPr>
        <w:lastRenderedPageBreak/>
        <w:t>on which a habitable building is erected, which building is unoccupied, and which is zoned residential under the Greater Geelong Planning Scheme; and</w:t>
      </w:r>
    </w:p>
    <w:p w:rsidR="00CE0920" w:rsidRDefault="00CE0920" w:rsidP="00CE0920">
      <w:pPr>
        <w:pStyle w:val="ListParagraph"/>
        <w:ind w:left="567"/>
        <w:jc w:val="both"/>
        <w:rPr>
          <w:color w:val="000000"/>
          <w:szCs w:val="22"/>
        </w:rPr>
      </w:pPr>
      <w:r w:rsidRPr="00E21EEB">
        <w:rPr>
          <w:color w:val="000000"/>
          <w:szCs w:val="22"/>
        </w:rPr>
        <w:t xml:space="preserve">forms part of the land </w:t>
      </w:r>
      <w:r w:rsidRPr="008C135D">
        <w:rPr>
          <w:rFonts w:cs="Arial"/>
          <w:szCs w:val="22"/>
        </w:rPr>
        <w:t>formerly described in Certificate of Title Volume 09901 Folio 324 and also described as Lot B PS 635643, PS 640648Y, PS 722221H,  PS 722220K, PS 743868K, PS 732908M, PS</w:t>
      </w:r>
      <w:r>
        <w:rPr>
          <w:rFonts w:cs="Arial"/>
          <w:szCs w:val="22"/>
        </w:rPr>
        <w:t xml:space="preserve"> 638301D, PS 635642R, PS722215C, </w:t>
      </w:r>
      <w:r w:rsidRPr="008C135D">
        <w:rPr>
          <w:rFonts w:cs="Arial"/>
          <w:szCs w:val="22"/>
        </w:rPr>
        <w:t>PS 722214E</w:t>
      </w:r>
      <w:r>
        <w:rPr>
          <w:rFonts w:cs="Arial"/>
          <w:szCs w:val="22"/>
        </w:rPr>
        <w:t xml:space="preserve"> </w:t>
      </w:r>
      <w:r>
        <w:t>PS 743877, PS 816893, PS 743876</w:t>
      </w:r>
      <w:r w:rsidR="002B3FFB">
        <w:t xml:space="preserve">, </w:t>
      </w:r>
      <w:r>
        <w:t>PS 743878</w:t>
      </w:r>
      <w:r w:rsidR="002B3FFB">
        <w:rPr>
          <w:rFonts w:cs="Arial"/>
          <w:szCs w:val="22"/>
        </w:rPr>
        <w:t>, PS822924, PS 822922, PS 822918 and PS 816907.</w:t>
      </w:r>
      <w:r w:rsidRPr="00E21EEB" w:rsidDel="003C6EEE">
        <w:rPr>
          <w:color w:val="000000"/>
          <w:szCs w:val="22"/>
        </w:rPr>
        <w:t xml:space="preserve"> </w:t>
      </w:r>
    </w:p>
    <w:p w:rsidR="00CE0920" w:rsidRDefault="00CE0920" w:rsidP="00CE0920">
      <w:pPr>
        <w:pStyle w:val="ListParagraph"/>
        <w:ind w:left="567"/>
        <w:jc w:val="both"/>
        <w:rPr>
          <w:color w:val="000000"/>
          <w:szCs w:val="22"/>
        </w:rPr>
      </w:pPr>
      <w:r w:rsidRPr="003C6EEE">
        <w:rPr>
          <w:color w:val="000000"/>
          <w:szCs w:val="22"/>
        </w:rPr>
        <w:t xml:space="preserve">Rating Objectives: </w:t>
      </w:r>
    </w:p>
    <w:p w:rsidR="00CE0920" w:rsidRDefault="00CE0920" w:rsidP="005167B1">
      <w:pPr>
        <w:pStyle w:val="BodyText1"/>
        <w:numPr>
          <w:ilvl w:val="0"/>
          <w:numId w:val="111"/>
        </w:numPr>
      </w:pPr>
      <w:r w:rsidRPr="003C6EEE">
        <w:t xml:space="preserve">To ensure that all rateable land makes an equitable and efficient financial contribution to the cost of carrying out the functions of </w:t>
      </w:r>
      <w:r w:rsidR="0051216F">
        <w:t>the City</w:t>
      </w:r>
      <w:r w:rsidR="0051216F" w:rsidRPr="003C6EEE">
        <w:t xml:space="preserve"> </w:t>
      </w:r>
      <w:r w:rsidRPr="003C6EEE">
        <w:t>generally, including the:</w:t>
      </w:r>
    </w:p>
    <w:p w:rsidR="00CE0920" w:rsidRDefault="00CE0920" w:rsidP="005167B1">
      <w:pPr>
        <w:pStyle w:val="BodyText1"/>
        <w:numPr>
          <w:ilvl w:val="0"/>
          <w:numId w:val="112"/>
        </w:numPr>
      </w:pPr>
      <w:r w:rsidRPr="003C6EEE">
        <w:t>construction and maintenance of public infrastructure;</w:t>
      </w:r>
    </w:p>
    <w:p w:rsidR="00CE0920" w:rsidRDefault="00CE0920">
      <w:pPr>
        <w:pStyle w:val="BodyText1"/>
        <w:numPr>
          <w:ilvl w:val="0"/>
          <w:numId w:val="112"/>
        </w:numPr>
      </w:pPr>
      <w:r>
        <w:t>development and provision of hea</w:t>
      </w:r>
      <w:r w:rsidRPr="00595315">
        <w:t>lth and community services;</w:t>
      </w:r>
    </w:p>
    <w:p w:rsidR="00CE0920" w:rsidRDefault="00CE0920">
      <w:pPr>
        <w:pStyle w:val="BodyText1"/>
        <w:numPr>
          <w:ilvl w:val="0"/>
          <w:numId w:val="112"/>
        </w:numPr>
      </w:pPr>
      <w:r w:rsidRPr="00595315">
        <w:t>provision of general support services; and</w:t>
      </w:r>
    </w:p>
    <w:p w:rsidR="00CE0920" w:rsidRDefault="00CE0920">
      <w:pPr>
        <w:pStyle w:val="BodyText1"/>
        <w:numPr>
          <w:ilvl w:val="0"/>
          <w:numId w:val="112"/>
        </w:numPr>
      </w:pPr>
      <w:r w:rsidRPr="00595315">
        <w:t xml:space="preserve">management of environmentally sensitive land. </w:t>
      </w:r>
    </w:p>
    <w:p w:rsidR="00CE0920" w:rsidRDefault="00CE0920" w:rsidP="005167B1">
      <w:pPr>
        <w:pStyle w:val="BodyText1"/>
        <w:numPr>
          <w:ilvl w:val="0"/>
          <w:numId w:val="111"/>
        </w:numPr>
      </w:pPr>
      <w:r w:rsidRPr="00E21EEB">
        <w:t xml:space="preserve">To ensure that, following the development of the Point Land, and transfer to </w:t>
      </w:r>
      <w:r w:rsidR="0051216F">
        <w:t>the City</w:t>
      </w:r>
      <w:r w:rsidR="0051216F" w:rsidRPr="00E21EEB">
        <w:t xml:space="preserve"> </w:t>
      </w:r>
      <w:r w:rsidRPr="00E21EEB">
        <w:t xml:space="preserve">of the management of environmentally sensitive land, including the provision of a range of services around an existing waterway, constructed lake and canal system, an equitable and efficient financial contribution to the cost of </w:t>
      </w:r>
      <w:r w:rsidR="0051216F">
        <w:t>the City’s</w:t>
      </w:r>
      <w:r w:rsidR="0051216F" w:rsidRPr="00E21EEB">
        <w:t xml:space="preserve"> </w:t>
      </w:r>
      <w:r w:rsidRPr="00E21EEB">
        <w:t xml:space="preserve">management responsibilities will be made by the ratepayers in respect of that land. </w:t>
      </w:r>
    </w:p>
    <w:p w:rsidR="00CE0920" w:rsidRPr="00595315" w:rsidRDefault="00CE0920" w:rsidP="00CE0920">
      <w:pPr>
        <w:pStyle w:val="BodyText0"/>
        <w:jc w:val="both"/>
        <w:rPr>
          <w:rFonts w:ascii="Arial" w:hAnsi="Arial"/>
          <w:color w:val="000000"/>
          <w:sz w:val="22"/>
          <w:szCs w:val="22"/>
        </w:rPr>
      </w:pPr>
      <w:r w:rsidRPr="00595315">
        <w:rPr>
          <w:rFonts w:ascii="Arial" w:hAnsi="Arial"/>
          <w:b/>
          <w:color w:val="000000"/>
          <w:sz w:val="22"/>
          <w:szCs w:val="22"/>
        </w:rPr>
        <w:t xml:space="preserve">The Point – Vacant Land - </w:t>
      </w:r>
      <w:r w:rsidRPr="00595315">
        <w:rPr>
          <w:rFonts w:ascii="Arial" w:hAnsi="Arial"/>
          <w:color w:val="000000"/>
          <w:sz w:val="22"/>
          <w:szCs w:val="22"/>
        </w:rPr>
        <w:t>means any land:</w:t>
      </w:r>
    </w:p>
    <w:p w:rsidR="00CE0920" w:rsidRPr="00595315" w:rsidRDefault="00CE0920" w:rsidP="00CE0920">
      <w:pPr>
        <w:numPr>
          <w:ilvl w:val="0"/>
          <w:numId w:val="27"/>
        </w:numPr>
        <w:tabs>
          <w:tab w:val="clear" w:pos="720"/>
        </w:tabs>
        <w:spacing w:before="0" w:after="80"/>
        <w:ind w:left="567" w:hanging="567"/>
        <w:jc w:val="both"/>
        <w:rPr>
          <w:color w:val="000000"/>
          <w:szCs w:val="22"/>
        </w:rPr>
      </w:pPr>
      <w:r w:rsidRPr="00595315">
        <w:rPr>
          <w:color w:val="000000"/>
          <w:szCs w:val="22"/>
        </w:rPr>
        <w:t xml:space="preserve">that does not have the characteristics of Farm Land;  and </w:t>
      </w:r>
    </w:p>
    <w:p w:rsidR="00CE0920" w:rsidRPr="00595315" w:rsidRDefault="00CE0920" w:rsidP="00CE0920">
      <w:pPr>
        <w:numPr>
          <w:ilvl w:val="0"/>
          <w:numId w:val="27"/>
        </w:numPr>
        <w:tabs>
          <w:tab w:val="clear" w:pos="720"/>
        </w:tabs>
        <w:spacing w:before="0" w:after="80"/>
        <w:ind w:left="567" w:hanging="567"/>
        <w:jc w:val="both"/>
        <w:rPr>
          <w:color w:val="000000"/>
          <w:szCs w:val="22"/>
        </w:rPr>
      </w:pPr>
      <w:r w:rsidRPr="00595315">
        <w:rPr>
          <w:color w:val="000000"/>
          <w:szCs w:val="22"/>
        </w:rPr>
        <w:t>on which no building is erected save for any small uninhabitable storage shed or shelter, the size of which does not exceed 5% of the total land area; and</w:t>
      </w:r>
      <w:r w:rsidRPr="00595315" w:rsidDel="003C41FE">
        <w:rPr>
          <w:color w:val="000000"/>
          <w:szCs w:val="22"/>
        </w:rPr>
        <w:t xml:space="preserve">  </w:t>
      </w:r>
    </w:p>
    <w:p w:rsidR="002B3FFB" w:rsidRDefault="002B3FFB" w:rsidP="002B3FFB">
      <w:pPr>
        <w:pStyle w:val="ListParagraph"/>
        <w:numPr>
          <w:ilvl w:val="0"/>
          <w:numId w:val="27"/>
        </w:numPr>
        <w:jc w:val="both"/>
        <w:rPr>
          <w:color w:val="000000"/>
          <w:szCs w:val="22"/>
        </w:rPr>
      </w:pPr>
      <w:r w:rsidRPr="00E21EEB">
        <w:rPr>
          <w:color w:val="000000"/>
          <w:szCs w:val="22"/>
        </w:rPr>
        <w:t xml:space="preserve">forms part of the land </w:t>
      </w:r>
      <w:r w:rsidRPr="008C135D">
        <w:rPr>
          <w:rFonts w:cs="Arial"/>
          <w:szCs w:val="22"/>
        </w:rPr>
        <w:t>formerly described in Certificate of Title Volume 09901 Folio 324 and also described as Lot B PS 635643, PS 640648Y, PS 722221H,  PS 722220K, PS 743868K, PS 732908M, PS</w:t>
      </w:r>
      <w:r>
        <w:rPr>
          <w:rFonts w:cs="Arial"/>
          <w:szCs w:val="22"/>
        </w:rPr>
        <w:t xml:space="preserve"> 638301D, PS 635642R, PS722215C, </w:t>
      </w:r>
      <w:r w:rsidRPr="008C135D">
        <w:rPr>
          <w:rFonts w:cs="Arial"/>
          <w:szCs w:val="22"/>
        </w:rPr>
        <w:t>PS 722214E</w:t>
      </w:r>
      <w:r>
        <w:rPr>
          <w:rFonts w:cs="Arial"/>
          <w:szCs w:val="22"/>
        </w:rPr>
        <w:t xml:space="preserve"> </w:t>
      </w:r>
      <w:r>
        <w:t>PS 743877, PS 816893, PS 743876, PS 743878</w:t>
      </w:r>
      <w:r>
        <w:rPr>
          <w:rFonts w:cs="Arial"/>
          <w:szCs w:val="22"/>
        </w:rPr>
        <w:t>, PS822924, PS 822922, PS 822918 and PS 816907.</w:t>
      </w:r>
      <w:r w:rsidRPr="00E21EEB" w:rsidDel="003C6EEE">
        <w:rPr>
          <w:color w:val="000000"/>
          <w:szCs w:val="22"/>
        </w:rPr>
        <w:t xml:space="preserve"> </w:t>
      </w:r>
    </w:p>
    <w:p w:rsidR="00CE0920" w:rsidRDefault="00CE0920" w:rsidP="00CE0920">
      <w:pPr>
        <w:ind w:left="567"/>
        <w:jc w:val="both"/>
        <w:rPr>
          <w:color w:val="000000"/>
          <w:szCs w:val="22"/>
        </w:rPr>
      </w:pPr>
      <w:r w:rsidRPr="003C6EEE">
        <w:rPr>
          <w:color w:val="000000"/>
          <w:szCs w:val="22"/>
        </w:rPr>
        <w:t xml:space="preserve">Rating Objectives: </w:t>
      </w:r>
    </w:p>
    <w:p w:rsidR="00CE0920" w:rsidRPr="003C6EEE" w:rsidRDefault="00CE0920" w:rsidP="00CE0920">
      <w:pPr>
        <w:numPr>
          <w:ilvl w:val="0"/>
          <w:numId w:val="113"/>
        </w:numPr>
        <w:tabs>
          <w:tab w:val="clear" w:pos="720"/>
          <w:tab w:val="num" w:pos="567"/>
        </w:tabs>
        <w:spacing w:before="0" w:after="80"/>
        <w:ind w:left="567" w:hanging="567"/>
        <w:jc w:val="both"/>
        <w:rPr>
          <w:rFonts w:cs="Arial"/>
          <w:color w:val="000000"/>
          <w:szCs w:val="22"/>
        </w:rPr>
      </w:pPr>
      <w:r w:rsidRPr="003C6EEE">
        <w:rPr>
          <w:color w:val="000000"/>
          <w:szCs w:val="22"/>
        </w:rPr>
        <w:t xml:space="preserve">To </w:t>
      </w:r>
      <w:r w:rsidRPr="003C6EEE">
        <w:rPr>
          <w:rFonts w:cs="Arial"/>
          <w:color w:val="000000"/>
          <w:szCs w:val="22"/>
        </w:rPr>
        <w:t xml:space="preserve">ensure that all rateable land makes an equitable and efficient financial contribution to the cost of carrying out the functions of </w:t>
      </w:r>
      <w:r w:rsidR="0051216F">
        <w:rPr>
          <w:rFonts w:cs="Arial"/>
          <w:color w:val="000000"/>
          <w:szCs w:val="22"/>
        </w:rPr>
        <w:t>the City</w:t>
      </w:r>
      <w:r w:rsidRPr="003C6EEE">
        <w:rPr>
          <w:rFonts w:cs="Arial"/>
          <w:color w:val="000000"/>
          <w:szCs w:val="22"/>
        </w:rPr>
        <w:t>, generally including the:</w:t>
      </w:r>
    </w:p>
    <w:p w:rsidR="00CE0920" w:rsidRPr="00E60EA6" w:rsidRDefault="00CE0920" w:rsidP="00CE0920">
      <w:pPr>
        <w:pStyle w:val="BodyText0"/>
        <w:numPr>
          <w:ilvl w:val="0"/>
          <w:numId w:val="102"/>
        </w:numPr>
        <w:tabs>
          <w:tab w:val="clear" w:pos="1440"/>
          <w:tab w:val="num" w:pos="993"/>
          <w:tab w:val="left" w:pos="1701"/>
          <w:tab w:val="left" w:pos="1985"/>
        </w:tabs>
        <w:spacing w:before="0"/>
        <w:ind w:left="993" w:hanging="426"/>
        <w:jc w:val="both"/>
        <w:rPr>
          <w:rFonts w:ascii="Lucida Sans Unicode" w:hAnsi="Lucida Sans Unicode" w:cs="Lucida Sans Unicode"/>
          <w:color w:val="000000"/>
          <w:sz w:val="22"/>
          <w:szCs w:val="22"/>
        </w:rPr>
      </w:pPr>
      <w:r w:rsidRPr="00E60EA6">
        <w:rPr>
          <w:rFonts w:ascii="Lucida Sans Unicode" w:hAnsi="Lucida Sans Unicode" w:cs="Lucida Sans Unicode"/>
          <w:color w:val="000000"/>
          <w:sz w:val="22"/>
          <w:szCs w:val="22"/>
        </w:rPr>
        <w:lastRenderedPageBreak/>
        <w:t>construction and maintenance of public infrastructure;</w:t>
      </w:r>
    </w:p>
    <w:p w:rsidR="00CE0920" w:rsidRPr="00E60EA6" w:rsidRDefault="00CE0920" w:rsidP="00CE0920">
      <w:pPr>
        <w:pStyle w:val="BodyText0"/>
        <w:numPr>
          <w:ilvl w:val="0"/>
          <w:numId w:val="102"/>
        </w:numPr>
        <w:tabs>
          <w:tab w:val="clear" w:pos="1440"/>
          <w:tab w:val="num" w:pos="993"/>
          <w:tab w:val="left" w:pos="1701"/>
          <w:tab w:val="left" w:pos="1985"/>
        </w:tabs>
        <w:spacing w:before="0"/>
        <w:ind w:left="993" w:hanging="426"/>
        <w:jc w:val="both"/>
        <w:rPr>
          <w:rFonts w:ascii="Lucida Sans Unicode" w:hAnsi="Lucida Sans Unicode" w:cs="Lucida Sans Unicode"/>
          <w:color w:val="000000"/>
          <w:sz w:val="22"/>
          <w:szCs w:val="22"/>
        </w:rPr>
      </w:pPr>
      <w:r w:rsidRPr="00E60EA6">
        <w:rPr>
          <w:rFonts w:ascii="Lucida Sans Unicode" w:hAnsi="Lucida Sans Unicode" w:cs="Lucida Sans Unicode"/>
          <w:color w:val="000000"/>
          <w:sz w:val="22"/>
          <w:szCs w:val="22"/>
        </w:rPr>
        <w:t>development and provision of health and community services;</w:t>
      </w:r>
    </w:p>
    <w:p w:rsidR="00CE0920" w:rsidRPr="00E60EA6" w:rsidRDefault="00CE0920" w:rsidP="00CE0920">
      <w:pPr>
        <w:pStyle w:val="BodyText0"/>
        <w:numPr>
          <w:ilvl w:val="0"/>
          <w:numId w:val="102"/>
        </w:numPr>
        <w:tabs>
          <w:tab w:val="clear" w:pos="1440"/>
          <w:tab w:val="num" w:pos="993"/>
          <w:tab w:val="left" w:pos="1701"/>
          <w:tab w:val="left" w:pos="1985"/>
        </w:tabs>
        <w:spacing w:before="0"/>
        <w:ind w:left="993" w:hanging="426"/>
        <w:jc w:val="both"/>
        <w:rPr>
          <w:rFonts w:ascii="Lucida Sans Unicode" w:hAnsi="Lucida Sans Unicode" w:cs="Lucida Sans Unicode"/>
          <w:color w:val="000000"/>
          <w:sz w:val="22"/>
          <w:szCs w:val="22"/>
        </w:rPr>
      </w:pPr>
      <w:r w:rsidRPr="00E60EA6">
        <w:rPr>
          <w:rFonts w:ascii="Lucida Sans Unicode" w:hAnsi="Lucida Sans Unicode" w:cs="Lucida Sans Unicode"/>
          <w:color w:val="000000"/>
          <w:sz w:val="22"/>
          <w:szCs w:val="22"/>
        </w:rPr>
        <w:t>provision of general support services; and</w:t>
      </w:r>
    </w:p>
    <w:p w:rsidR="00CE0920" w:rsidRPr="00E60EA6" w:rsidRDefault="00CE0920" w:rsidP="00CE0920">
      <w:pPr>
        <w:pStyle w:val="BodyText0"/>
        <w:numPr>
          <w:ilvl w:val="0"/>
          <w:numId w:val="102"/>
        </w:numPr>
        <w:tabs>
          <w:tab w:val="clear" w:pos="1440"/>
          <w:tab w:val="num" w:pos="993"/>
          <w:tab w:val="left" w:pos="1701"/>
          <w:tab w:val="left" w:pos="1985"/>
        </w:tabs>
        <w:spacing w:before="0"/>
        <w:ind w:left="993" w:hanging="426"/>
        <w:jc w:val="both"/>
        <w:rPr>
          <w:rFonts w:ascii="Lucida Sans Unicode" w:hAnsi="Lucida Sans Unicode" w:cs="Lucida Sans Unicode"/>
          <w:color w:val="000000"/>
          <w:sz w:val="22"/>
          <w:szCs w:val="22"/>
        </w:rPr>
      </w:pPr>
      <w:r w:rsidRPr="00E60EA6">
        <w:rPr>
          <w:rFonts w:ascii="Lucida Sans Unicode" w:hAnsi="Lucida Sans Unicode" w:cs="Lucida Sans Unicode"/>
          <w:color w:val="000000"/>
          <w:sz w:val="22"/>
          <w:szCs w:val="22"/>
        </w:rPr>
        <w:t xml:space="preserve">management of environmentally sensitive land. </w:t>
      </w:r>
    </w:p>
    <w:p w:rsidR="00CE0920" w:rsidRPr="00E21EEB" w:rsidRDefault="00CE0920" w:rsidP="00CE0920">
      <w:pPr>
        <w:numPr>
          <w:ilvl w:val="0"/>
          <w:numId w:val="113"/>
        </w:numPr>
        <w:tabs>
          <w:tab w:val="clear" w:pos="720"/>
          <w:tab w:val="num" w:pos="567"/>
        </w:tabs>
        <w:spacing w:before="0" w:after="80"/>
        <w:ind w:left="567" w:hanging="567"/>
        <w:jc w:val="both"/>
        <w:rPr>
          <w:color w:val="000000"/>
          <w:szCs w:val="22"/>
        </w:rPr>
      </w:pPr>
      <w:r w:rsidRPr="00E21EEB">
        <w:rPr>
          <w:color w:val="000000"/>
          <w:szCs w:val="22"/>
        </w:rPr>
        <w:t xml:space="preserve">To ensure that, following the development of the Point Land, and transfer to </w:t>
      </w:r>
      <w:r w:rsidR="0051216F">
        <w:rPr>
          <w:color w:val="000000"/>
          <w:szCs w:val="22"/>
        </w:rPr>
        <w:t>the City</w:t>
      </w:r>
      <w:r w:rsidR="0051216F" w:rsidRPr="00E21EEB">
        <w:rPr>
          <w:color w:val="000000"/>
          <w:szCs w:val="22"/>
        </w:rPr>
        <w:t xml:space="preserve"> </w:t>
      </w:r>
      <w:r w:rsidRPr="00E21EEB">
        <w:rPr>
          <w:color w:val="000000"/>
          <w:szCs w:val="22"/>
        </w:rPr>
        <w:t xml:space="preserve">of the management of environmentally sensitive land, including the provision of a range of services around an existing waterway, constructed lake and canal system, an equitable and efficient financial contribution to the cost of </w:t>
      </w:r>
      <w:r w:rsidR="0051216F">
        <w:rPr>
          <w:color w:val="000000"/>
          <w:szCs w:val="22"/>
        </w:rPr>
        <w:t>the City’s</w:t>
      </w:r>
      <w:r w:rsidR="0051216F" w:rsidRPr="00E21EEB">
        <w:rPr>
          <w:color w:val="000000"/>
          <w:szCs w:val="22"/>
        </w:rPr>
        <w:t xml:space="preserve"> </w:t>
      </w:r>
      <w:r w:rsidRPr="00E21EEB">
        <w:rPr>
          <w:color w:val="000000"/>
          <w:szCs w:val="22"/>
        </w:rPr>
        <w:t>management responsibilities will be made by the ratepayers in respect of that land.</w:t>
      </w:r>
    </w:p>
    <w:p w:rsidR="00CE0920" w:rsidRPr="00E21EEB" w:rsidRDefault="00CE0920" w:rsidP="00CE0920">
      <w:pPr>
        <w:numPr>
          <w:ilvl w:val="0"/>
          <w:numId w:val="113"/>
        </w:numPr>
        <w:tabs>
          <w:tab w:val="clear" w:pos="720"/>
          <w:tab w:val="num" w:pos="567"/>
        </w:tabs>
        <w:spacing w:before="0" w:after="80"/>
        <w:ind w:left="567" w:hanging="567"/>
        <w:jc w:val="both"/>
        <w:rPr>
          <w:color w:val="000000"/>
          <w:szCs w:val="22"/>
        </w:rPr>
      </w:pPr>
      <w:r w:rsidRPr="00E21EEB">
        <w:rPr>
          <w:color w:val="000000"/>
          <w:szCs w:val="22"/>
        </w:rPr>
        <w:t>To encourage the prompt development of vacant land to attract new residents and businesses to the City of Greater Geelong and, more specifically, to the Point Land.</w:t>
      </w:r>
    </w:p>
    <w:p w:rsidR="00CE0920" w:rsidRPr="00E21EEB" w:rsidRDefault="00CE0920" w:rsidP="00CE0920">
      <w:pPr>
        <w:numPr>
          <w:ilvl w:val="0"/>
          <w:numId w:val="113"/>
        </w:numPr>
        <w:tabs>
          <w:tab w:val="clear" w:pos="720"/>
          <w:tab w:val="num" w:pos="567"/>
        </w:tabs>
        <w:spacing w:before="0" w:after="80"/>
        <w:ind w:left="567" w:hanging="567"/>
        <w:jc w:val="both"/>
        <w:rPr>
          <w:color w:val="000000"/>
          <w:szCs w:val="22"/>
        </w:rPr>
      </w:pPr>
      <w:r w:rsidRPr="00E21EEB">
        <w:rPr>
          <w:color w:val="000000"/>
          <w:szCs w:val="22"/>
        </w:rPr>
        <w:t>To discourage untimely and unnecessary divisions of land.</w:t>
      </w:r>
    </w:p>
    <w:p w:rsidR="00CE0920" w:rsidRDefault="00CE0920" w:rsidP="00CE0920">
      <w:pPr>
        <w:spacing w:after="0"/>
        <w:rPr>
          <w:b/>
          <w:color w:val="000000"/>
          <w:szCs w:val="22"/>
        </w:rPr>
      </w:pPr>
    </w:p>
    <w:p w:rsidR="00CE0920" w:rsidRPr="005167B1" w:rsidRDefault="00CE0920" w:rsidP="00CE0920">
      <w:pPr>
        <w:pStyle w:val="BodyText0"/>
        <w:jc w:val="both"/>
        <w:rPr>
          <w:rFonts w:ascii="Lucida Sans Unicode" w:hAnsi="Lucida Sans Unicode" w:cs="Lucida Sans Unicode"/>
          <w:color w:val="000000"/>
          <w:sz w:val="22"/>
          <w:szCs w:val="22"/>
        </w:rPr>
      </w:pPr>
      <w:r w:rsidRPr="00595315">
        <w:rPr>
          <w:rFonts w:ascii="Arial" w:hAnsi="Arial"/>
          <w:b/>
          <w:color w:val="000000"/>
          <w:sz w:val="22"/>
          <w:szCs w:val="22"/>
        </w:rPr>
        <w:t xml:space="preserve">The Point – Commercial Land - </w:t>
      </w:r>
      <w:r w:rsidRPr="005167B1">
        <w:rPr>
          <w:rFonts w:ascii="Lucida Sans Unicode" w:hAnsi="Lucida Sans Unicode" w:cs="Lucida Sans Unicode"/>
          <w:color w:val="000000"/>
          <w:sz w:val="22"/>
          <w:szCs w:val="22"/>
        </w:rPr>
        <w:t>means any land that:</w:t>
      </w:r>
    </w:p>
    <w:p w:rsidR="00CE0920" w:rsidRDefault="00CE0920" w:rsidP="005167B1">
      <w:pPr>
        <w:pStyle w:val="BodyText1"/>
        <w:numPr>
          <w:ilvl w:val="0"/>
          <w:numId w:val="114"/>
        </w:numPr>
      </w:pPr>
      <w:r w:rsidRPr="00595315">
        <w:t>does not have the characteristics of:</w:t>
      </w:r>
    </w:p>
    <w:p w:rsidR="00CE0920" w:rsidRPr="005167B1" w:rsidRDefault="00CE0920" w:rsidP="00CE0920">
      <w:pPr>
        <w:pStyle w:val="BodyText0"/>
        <w:numPr>
          <w:ilvl w:val="1"/>
          <w:numId w:val="103"/>
        </w:numPr>
        <w:tabs>
          <w:tab w:val="clear" w:pos="1440"/>
          <w:tab w:val="num" w:pos="993"/>
          <w:tab w:val="num" w:pos="1560"/>
          <w:tab w:val="left" w:pos="1985"/>
        </w:tabs>
        <w:spacing w:before="0"/>
        <w:ind w:left="993" w:hanging="426"/>
        <w:jc w:val="both"/>
        <w:rPr>
          <w:rFonts w:ascii="Lucida Sans Unicode" w:hAnsi="Lucida Sans Unicode" w:cs="Lucida Sans Unicode"/>
          <w:color w:val="000000"/>
          <w:sz w:val="22"/>
          <w:szCs w:val="22"/>
        </w:rPr>
      </w:pPr>
      <w:r w:rsidRPr="005167B1">
        <w:rPr>
          <w:rFonts w:ascii="Lucida Sans Unicode" w:hAnsi="Lucida Sans Unicode" w:cs="Lucida Sans Unicode"/>
          <w:color w:val="000000"/>
          <w:sz w:val="22"/>
          <w:szCs w:val="22"/>
        </w:rPr>
        <w:t>Farm Land; or</w:t>
      </w:r>
    </w:p>
    <w:p w:rsidR="00CE0920" w:rsidRPr="005167B1" w:rsidRDefault="00CE0920" w:rsidP="00CE0920">
      <w:pPr>
        <w:pStyle w:val="BodyText0"/>
        <w:numPr>
          <w:ilvl w:val="1"/>
          <w:numId w:val="103"/>
        </w:numPr>
        <w:tabs>
          <w:tab w:val="clear" w:pos="1440"/>
          <w:tab w:val="num" w:pos="993"/>
          <w:tab w:val="num" w:pos="1560"/>
          <w:tab w:val="left" w:pos="1985"/>
        </w:tabs>
        <w:spacing w:before="0"/>
        <w:ind w:left="993" w:hanging="426"/>
        <w:jc w:val="both"/>
        <w:rPr>
          <w:rFonts w:ascii="Lucida Sans Unicode" w:hAnsi="Lucida Sans Unicode" w:cs="Lucida Sans Unicode"/>
          <w:color w:val="000000"/>
          <w:sz w:val="22"/>
          <w:szCs w:val="22"/>
        </w:rPr>
      </w:pPr>
      <w:r w:rsidRPr="005167B1">
        <w:rPr>
          <w:rFonts w:ascii="Lucida Sans Unicode" w:hAnsi="Lucida Sans Unicode" w:cs="Lucida Sans Unicode"/>
          <w:color w:val="000000"/>
          <w:sz w:val="22"/>
          <w:szCs w:val="22"/>
        </w:rPr>
        <w:t>Industrial Land; and</w:t>
      </w:r>
    </w:p>
    <w:p w:rsidR="00CE0920" w:rsidRDefault="00CE0920">
      <w:pPr>
        <w:pStyle w:val="BodyText1"/>
        <w:numPr>
          <w:ilvl w:val="0"/>
          <w:numId w:val="114"/>
        </w:numPr>
      </w:pPr>
      <w:r w:rsidRPr="00595315">
        <w:t>is used predominantly for the sale of goods or services, or other commercial purposes; or</w:t>
      </w:r>
    </w:p>
    <w:p w:rsidR="00CE0920" w:rsidRDefault="00CE0920">
      <w:pPr>
        <w:pStyle w:val="BodyText1"/>
        <w:numPr>
          <w:ilvl w:val="0"/>
          <w:numId w:val="114"/>
        </w:numPr>
      </w:pPr>
      <w:r w:rsidRPr="00595315">
        <w:t>on which a habitable building is erected, which building is unoccupied, and which is zoned other than residential under the Greater Geelong Planning Scheme; and</w:t>
      </w:r>
    </w:p>
    <w:p w:rsidR="002B3FFB" w:rsidRDefault="002B3FFB" w:rsidP="002B3FFB">
      <w:pPr>
        <w:pStyle w:val="ListParagraph"/>
        <w:numPr>
          <w:ilvl w:val="0"/>
          <w:numId w:val="114"/>
        </w:numPr>
        <w:jc w:val="both"/>
        <w:rPr>
          <w:color w:val="000000"/>
          <w:szCs w:val="22"/>
        </w:rPr>
      </w:pPr>
      <w:r w:rsidRPr="00E21EEB">
        <w:rPr>
          <w:color w:val="000000"/>
          <w:szCs w:val="22"/>
        </w:rPr>
        <w:t xml:space="preserve">forms part of the land </w:t>
      </w:r>
      <w:r w:rsidRPr="008C135D">
        <w:rPr>
          <w:rFonts w:cs="Arial"/>
          <w:szCs w:val="22"/>
        </w:rPr>
        <w:t>formerly described in Certificate of Title Volume 09901 Folio 324 and also described as Lot B PS 635643, PS 640648Y, PS 722221H,  PS 722220K, PS 743868K, PS 732908M, PS</w:t>
      </w:r>
      <w:r>
        <w:rPr>
          <w:rFonts w:cs="Arial"/>
          <w:szCs w:val="22"/>
        </w:rPr>
        <w:t xml:space="preserve"> 638301D, PS 635642R, PS722215C, </w:t>
      </w:r>
      <w:r w:rsidRPr="008C135D">
        <w:rPr>
          <w:rFonts w:cs="Arial"/>
          <w:szCs w:val="22"/>
        </w:rPr>
        <w:t>PS 722214E</w:t>
      </w:r>
      <w:r>
        <w:rPr>
          <w:rFonts w:cs="Arial"/>
          <w:szCs w:val="22"/>
        </w:rPr>
        <w:t xml:space="preserve"> </w:t>
      </w:r>
      <w:r>
        <w:t>PS 743877, PS 816893, PS 743876, PS 743878</w:t>
      </w:r>
      <w:r>
        <w:rPr>
          <w:rFonts w:cs="Arial"/>
          <w:szCs w:val="22"/>
        </w:rPr>
        <w:t>, PS822924, PS 822922, PS 822918 and PS 816907.</w:t>
      </w:r>
      <w:r w:rsidRPr="00E21EEB" w:rsidDel="003C6EEE">
        <w:rPr>
          <w:color w:val="000000"/>
          <w:szCs w:val="22"/>
        </w:rPr>
        <w:t xml:space="preserve"> </w:t>
      </w:r>
    </w:p>
    <w:p w:rsidR="00CE0920" w:rsidRDefault="00CE0920" w:rsidP="005167B1">
      <w:pPr>
        <w:pStyle w:val="BodyText1"/>
      </w:pPr>
      <w:r w:rsidRPr="003C6EEE">
        <w:t xml:space="preserve">Rating Objectives: </w:t>
      </w:r>
    </w:p>
    <w:p w:rsidR="00CE0920" w:rsidRPr="003C6EEE" w:rsidRDefault="00CE0920" w:rsidP="00CE0920">
      <w:pPr>
        <w:numPr>
          <w:ilvl w:val="0"/>
          <w:numId w:val="104"/>
        </w:numPr>
        <w:tabs>
          <w:tab w:val="clear" w:pos="720"/>
          <w:tab w:val="num" w:pos="567"/>
        </w:tabs>
        <w:spacing w:before="0" w:after="80"/>
        <w:ind w:left="567" w:hanging="567"/>
        <w:jc w:val="both"/>
        <w:rPr>
          <w:rFonts w:cs="Arial"/>
          <w:color w:val="000000"/>
          <w:szCs w:val="22"/>
        </w:rPr>
      </w:pPr>
      <w:r w:rsidRPr="003C6EEE">
        <w:rPr>
          <w:color w:val="000000"/>
          <w:szCs w:val="22"/>
        </w:rPr>
        <w:t xml:space="preserve">To </w:t>
      </w:r>
      <w:r w:rsidRPr="003C6EEE">
        <w:rPr>
          <w:rFonts w:cs="Arial"/>
          <w:color w:val="000000"/>
          <w:szCs w:val="22"/>
        </w:rPr>
        <w:t xml:space="preserve">ensure that all rateable land makes an equitable and efficient financial contribution to cost of carrying out the functions of </w:t>
      </w:r>
      <w:r w:rsidR="0051216F">
        <w:rPr>
          <w:rFonts w:cs="Arial"/>
          <w:color w:val="000000"/>
          <w:szCs w:val="22"/>
        </w:rPr>
        <w:t>the City</w:t>
      </w:r>
      <w:r w:rsidRPr="003C6EEE">
        <w:rPr>
          <w:rFonts w:cs="Arial"/>
          <w:color w:val="000000"/>
          <w:szCs w:val="22"/>
        </w:rPr>
        <w:t>, generally including the:</w:t>
      </w:r>
    </w:p>
    <w:p w:rsidR="00CE0920" w:rsidRPr="00E60EA6" w:rsidRDefault="00CE0920" w:rsidP="00CE0920">
      <w:pPr>
        <w:pStyle w:val="BodyText0"/>
        <w:numPr>
          <w:ilvl w:val="1"/>
          <w:numId w:val="105"/>
        </w:numPr>
        <w:tabs>
          <w:tab w:val="clear" w:pos="1440"/>
          <w:tab w:val="num" w:pos="993"/>
          <w:tab w:val="num" w:pos="1701"/>
          <w:tab w:val="left" w:pos="1985"/>
        </w:tabs>
        <w:spacing w:before="0"/>
        <w:ind w:left="993" w:hanging="426"/>
        <w:jc w:val="both"/>
        <w:rPr>
          <w:rFonts w:ascii="Lucida Sans Unicode" w:hAnsi="Lucida Sans Unicode" w:cs="Lucida Sans Unicode"/>
          <w:color w:val="000000"/>
          <w:sz w:val="22"/>
          <w:szCs w:val="22"/>
        </w:rPr>
      </w:pPr>
      <w:r w:rsidRPr="00E60EA6">
        <w:rPr>
          <w:rFonts w:ascii="Lucida Sans Unicode" w:hAnsi="Lucida Sans Unicode" w:cs="Lucida Sans Unicode"/>
          <w:color w:val="000000"/>
          <w:sz w:val="22"/>
          <w:szCs w:val="22"/>
        </w:rPr>
        <w:t>construction and maintenance of public infrastructure;</w:t>
      </w:r>
    </w:p>
    <w:p w:rsidR="00CE0920" w:rsidRPr="00E60EA6" w:rsidRDefault="00CE0920" w:rsidP="00CE0920">
      <w:pPr>
        <w:pStyle w:val="BodyText0"/>
        <w:numPr>
          <w:ilvl w:val="1"/>
          <w:numId w:val="105"/>
        </w:numPr>
        <w:tabs>
          <w:tab w:val="clear" w:pos="1440"/>
          <w:tab w:val="num" w:pos="993"/>
          <w:tab w:val="num" w:pos="1701"/>
          <w:tab w:val="left" w:pos="1985"/>
        </w:tabs>
        <w:spacing w:before="0"/>
        <w:ind w:left="993" w:hanging="426"/>
        <w:jc w:val="both"/>
        <w:rPr>
          <w:rFonts w:ascii="Lucida Sans Unicode" w:hAnsi="Lucida Sans Unicode" w:cs="Lucida Sans Unicode"/>
          <w:color w:val="000000"/>
          <w:sz w:val="22"/>
          <w:szCs w:val="22"/>
        </w:rPr>
      </w:pPr>
      <w:r w:rsidRPr="00E60EA6">
        <w:rPr>
          <w:rFonts w:ascii="Lucida Sans Unicode" w:hAnsi="Lucida Sans Unicode" w:cs="Lucida Sans Unicode"/>
          <w:color w:val="000000"/>
          <w:sz w:val="22"/>
          <w:szCs w:val="22"/>
        </w:rPr>
        <w:lastRenderedPageBreak/>
        <w:t>development and provision of health and community services;</w:t>
      </w:r>
    </w:p>
    <w:p w:rsidR="00CE0920" w:rsidRPr="00E60EA6" w:rsidRDefault="00CE0920" w:rsidP="00CE0920">
      <w:pPr>
        <w:pStyle w:val="BodyText0"/>
        <w:numPr>
          <w:ilvl w:val="1"/>
          <w:numId w:val="105"/>
        </w:numPr>
        <w:tabs>
          <w:tab w:val="clear" w:pos="1440"/>
          <w:tab w:val="num" w:pos="993"/>
          <w:tab w:val="num" w:pos="1701"/>
          <w:tab w:val="left" w:pos="1985"/>
        </w:tabs>
        <w:spacing w:before="0"/>
        <w:ind w:left="993" w:hanging="426"/>
        <w:jc w:val="both"/>
        <w:rPr>
          <w:rFonts w:ascii="Lucida Sans Unicode" w:hAnsi="Lucida Sans Unicode" w:cs="Lucida Sans Unicode"/>
          <w:color w:val="000000"/>
          <w:sz w:val="22"/>
          <w:szCs w:val="22"/>
        </w:rPr>
      </w:pPr>
      <w:r w:rsidRPr="00E60EA6">
        <w:rPr>
          <w:rFonts w:ascii="Lucida Sans Unicode" w:hAnsi="Lucida Sans Unicode" w:cs="Lucida Sans Unicode"/>
          <w:color w:val="000000"/>
          <w:sz w:val="22"/>
          <w:szCs w:val="22"/>
        </w:rPr>
        <w:t>provision of general support services; and</w:t>
      </w:r>
    </w:p>
    <w:p w:rsidR="00CE0920" w:rsidRPr="00E60EA6" w:rsidRDefault="00CE0920" w:rsidP="00CE0920">
      <w:pPr>
        <w:pStyle w:val="BodyText0"/>
        <w:numPr>
          <w:ilvl w:val="1"/>
          <w:numId w:val="105"/>
        </w:numPr>
        <w:tabs>
          <w:tab w:val="clear" w:pos="1440"/>
          <w:tab w:val="num" w:pos="993"/>
          <w:tab w:val="num" w:pos="1701"/>
          <w:tab w:val="left" w:pos="1985"/>
        </w:tabs>
        <w:spacing w:before="0"/>
        <w:ind w:left="993" w:hanging="426"/>
        <w:jc w:val="both"/>
        <w:rPr>
          <w:rFonts w:ascii="Lucida Sans Unicode" w:hAnsi="Lucida Sans Unicode" w:cs="Lucida Sans Unicode"/>
          <w:color w:val="000000"/>
          <w:sz w:val="22"/>
          <w:szCs w:val="22"/>
        </w:rPr>
      </w:pPr>
      <w:r w:rsidRPr="00E60EA6">
        <w:rPr>
          <w:rFonts w:ascii="Lucida Sans Unicode" w:hAnsi="Lucida Sans Unicode" w:cs="Lucida Sans Unicode"/>
          <w:color w:val="000000"/>
          <w:sz w:val="22"/>
          <w:szCs w:val="22"/>
        </w:rPr>
        <w:t xml:space="preserve">management of environmentally sensitive land. </w:t>
      </w:r>
    </w:p>
    <w:p w:rsidR="00CE0920" w:rsidRPr="00C43625" w:rsidRDefault="00CE0920" w:rsidP="00CE0920">
      <w:pPr>
        <w:numPr>
          <w:ilvl w:val="0"/>
          <w:numId w:val="104"/>
        </w:numPr>
        <w:tabs>
          <w:tab w:val="clear" w:pos="720"/>
          <w:tab w:val="num" w:pos="567"/>
        </w:tabs>
        <w:spacing w:before="0" w:after="80"/>
        <w:ind w:left="567" w:hanging="567"/>
        <w:jc w:val="both"/>
        <w:rPr>
          <w:color w:val="000000"/>
          <w:szCs w:val="22"/>
        </w:rPr>
      </w:pPr>
      <w:r w:rsidRPr="00C43625">
        <w:rPr>
          <w:color w:val="000000"/>
          <w:szCs w:val="22"/>
        </w:rPr>
        <w:t xml:space="preserve">To ensure that, following the development of the Point Land, and transfer to </w:t>
      </w:r>
      <w:r w:rsidR="0051216F">
        <w:rPr>
          <w:color w:val="000000"/>
          <w:szCs w:val="22"/>
        </w:rPr>
        <w:t>the City</w:t>
      </w:r>
      <w:r w:rsidR="0051216F" w:rsidRPr="00C43625">
        <w:rPr>
          <w:color w:val="000000"/>
          <w:szCs w:val="22"/>
        </w:rPr>
        <w:t xml:space="preserve"> </w:t>
      </w:r>
      <w:r w:rsidRPr="00C43625">
        <w:rPr>
          <w:color w:val="000000"/>
          <w:szCs w:val="22"/>
        </w:rPr>
        <w:t xml:space="preserve">of the management of environmentally sensitive land, including the provision of a range of services around an existing waterway, constructed lake and canal system, to ensure that an equitable and efficient financial contribution to the cost of </w:t>
      </w:r>
      <w:r w:rsidR="0051216F">
        <w:rPr>
          <w:color w:val="000000"/>
          <w:szCs w:val="22"/>
        </w:rPr>
        <w:t>the City’s</w:t>
      </w:r>
      <w:r w:rsidR="0051216F" w:rsidRPr="00C43625">
        <w:rPr>
          <w:color w:val="000000"/>
          <w:szCs w:val="22"/>
        </w:rPr>
        <w:t xml:space="preserve"> </w:t>
      </w:r>
      <w:r w:rsidRPr="00C43625">
        <w:rPr>
          <w:color w:val="000000"/>
          <w:szCs w:val="22"/>
        </w:rPr>
        <w:t>management responsibilities will be made by the ratepayers in respect of that land.</w:t>
      </w:r>
    </w:p>
    <w:p w:rsidR="00CE0920" w:rsidRPr="00595315" w:rsidRDefault="00CE0920" w:rsidP="00CE0920">
      <w:pPr>
        <w:jc w:val="both"/>
        <w:rPr>
          <w:color w:val="000000"/>
          <w:szCs w:val="22"/>
        </w:rPr>
      </w:pPr>
      <w:r w:rsidRPr="00595315">
        <w:rPr>
          <w:b/>
          <w:color w:val="000000"/>
          <w:szCs w:val="22"/>
        </w:rPr>
        <w:t>Industrial Land</w:t>
      </w:r>
      <w:r w:rsidRPr="00595315">
        <w:rPr>
          <w:color w:val="000000"/>
          <w:szCs w:val="22"/>
        </w:rPr>
        <w:t xml:space="preserve"> – means any land that:</w:t>
      </w:r>
    </w:p>
    <w:p w:rsidR="00CE0920" w:rsidRPr="00595315" w:rsidRDefault="00CE0920" w:rsidP="00CE0920">
      <w:pPr>
        <w:numPr>
          <w:ilvl w:val="0"/>
          <w:numId w:val="106"/>
        </w:numPr>
        <w:tabs>
          <w:tab w:val="num" w:pos="567"/>
        </w:tabs>
        <w:spacing w:before="0" w:after="80"/>
        <w:ind w:left="567" w:hanging="567"/>
        <w:jc w:val="both"/>
        <w:rPr>
          <w:color w:val="000000"/>
          <w:szCs w:val="22"/>
        </w:rPr>
      </w:pPr>
      <w:r w:rsidRPr="00595315">
        <w:rPr>
          <w:color w:val="000000"/>
          <w:szCs w:val="22"/>
        </w:rPr>
        <w:t>does not have the characteristics of:</w:t>
      </w:r>
    </w:p>
    <w:p w:rsidR="00CE0920" w:rsidRPr="00E60EA6" w:rsidRDefault="00CE0920" w:rsidP="00CE0920">
      <w:pPr>
        <w:pStyle w:val="BodyText0"/>
        <w:numPr>
          <w:ilvl w:val="0"/>
          <w:numId w:val="107"/>
        </w:numPr>
        <w:tabs>
          <w:tab w:val="num" w:pos="993"/>
          <w:tab w:val="left" w:pos="1985"/>
        </w:tabs>
        <w:spacing w:before="0"/>
        <w:ind w:left="993" w:hanging="426"/>
        <w:jc w:val="both"/>
        <w:rPr>
          <w:rFonts w:ascii="Lucida Sans Unicode" w:hAnsi="Lucida Sans Unicode" w:cs="Lucida Sans Unicode"/>
          <w:color w:val="000000"/>
          <w:sz w:val="22"/>
          <w:szCs w:val="22"/>
        </w:rPr>
      </w:pPr>
      <w:r w:rsidRPr="00E60EA6">
        <w:rPr>
          <w:rFonts w:ascii="Lucida Sans Unicode" w:hAnsi="Lucida Sans Unicode" w:cs="Lucida Sans Unicode"/>
          <w:color w:val="000000"/>
          <w:sz w:val="22"/>
          <w:szCs w:val="22"/>
        </w:rPr>
        <w:t>Vacant Land; or</w:t>
      </w:r>
    </w:p>
    <w:p w:rsidR="00CE0920" w:rsidRPr="00E60EA6" w:rsidRDefault="00CE0920" w:rsidP="00CE0920">
      <w:pPr>
        <w:pStyle w:val="BodyText0"/>
        <w:numPr>
          <w:ilvl w:val="0"/>
          <w:numId w:val="107"/>
        </w:numPr>
        <w:tabs>
          <w:tab w:val="num" w:pos="993"/>
          <w:tab w:val="left" w:pos="1985"/>
        </w:tabs>
        <w:spacing w:before="0"/>
        <w:ind w:left="993" w:hanging="426"/>
        <w:jc w:val="both"/>
        <w:rPr>
          <w:rFonts w:ascii="Lucida Sans Unicode" w:hAnsi="Lucida Sans Unicode" w:cs="Lucida Sans Unicode"/>
          <w:color w:val="000000"/>
          <w:sz w:val="22"/>
          <w:szCs w:val="22"/>
        </w:rPr>
      </w:pPr>
      <w:r w:rsidRPr="00E60EA6">
        <w:rPr>
          <w:rFonts w:ascii="Lucida Sans Unicode" w:hAnsi="Lucida Sans Unicode" w:cs="Lucida Sans Unicode"/>
          <w:color w:val="000000"/>
          <w:sz w:val="22"/>
          <w:szCs w:val="22"/>
        </w:rPr>
        <w:t>Commercial Land; and</w:t>
      </w:r>
    </w:p>
    <w:p w:rsidR="00CE0920" w:rsidRPr="00595315" w:rsidRDefault="00CE0920" w:rsidP="00CE0920">
      <w:pPr>
        <w:pStyle w:val="BodyText0"/>
        <w:numPr>
          <w:ilvl w:val="0"/>
          <w:numId w:val="107"/>
        </w:numPr>
        <w:tabs>
          <w:tab w:val="num" w:pos="993"/>
          <w:tab w:val="left" w:pos="1985"/>
        </w:tabs>
        <w:spacing w:before="0"/>
        <w:ind w:left="993" w:hanging="426"/>
        <w:jc w:val="both"/>
        <w:rPr>
          <w:rFonts w:ascii="Arial" w:hAnsi="Arial" w:cs="Arial"/>
          <w:color w:val="000000"/>
          <w:sz w:val="22"/>
          <w:szCs w:val="22"/>
        </w:rPr>
      </w:pPr>
      <w:r w:rsidRPr="00E60EA6">
        <w:rPr>
          <w:rFonts w:ascii="Lucida Sans Unicode" w:hAnsi="Lucida Sans Unicode" w:cs="Lucida Sans Unicode"/>
          <w:color w:val="000000"/>
          <w:sz w:val="22"/>
          <w:szCs w:val="22"/>
        </w:rPr>
        <w:t>Petroleum Production Land</w:t>
      </w:r>
      <w:r>
        <w:rPr>
          <w:rFonts w:ascii="Arial" w:hAnsi="Arial" w:cs="Arial"/>
          <w:color w:val="000000"/>
          <w:sz w:val="22"/>
          <w:szCs w:val="22"/>
        </w:rPr>
        <w:t>.</w:t>
      </w:r>
    </w:p>
    <w:p w:rsidR="00CE0920" w:rsidRPr="00595315" w:rsidRDefault="00CE0920" w:rsidP="00CE0920">
      <w:pPr>
        <w:numPr>
          <w:ilvl w:val="0"/>
          <w:numId w:val="106"/>
        </w:numPr>
        <w:tabs>
          <w:tab w:val="num" w:pos="567"/>
          <w:tab w:val="num" w:pos="993"/>
        </w:tabs>
        <w:spacing w:before="0" w:after="80"/>
        <w:ind w:left="567" w:hanging="567"/>
        <w:jc w:val="both"/>
        <w:rPr>
          <w:color w:val="000000"/>
          <w:szCs w:val="22"/>
        </w:rPr>
      </w:pPr>
      <w:r w:rsidRPr="00595315">
        <w:rPr>
          <w:color w:val="000000"/>
          <w:szCs w:val="22"/>
        </w:rPr>
        <w:t xml:space="preserve">is used </w:t>
      </w:r>
      <w:r>
        <w:rPr>
          <w:color w:val="000000"/>
          <w:szCs w:val="22"/>
        </w:rPr>
        <w:t>predominantly</w:t>
      </w:r>
      <w:r w:rsidRPr="00595315">
        <w:rPr>
          <w:color w:val="000000"/>
          <w:szCs w:val="22"/>
        </w:rPr>
        <w:t xml:space="preserve"> for industrial purposes, which includes manufacturing, repairing, servicing, processing and reprocessing</w:t>
      </w:r>
      <w:r>
        <w:rPr>
          <w:color w:val="000000"/>
          <w:szCs w:val="22"/>
        </w:rPr>
        <w:t xml:space="preserve"> or warehousing</w:t>
      </w:r>
      <w:r w:rsidRPr="00595315">
        <w:rPr>
          <w:color w:val="000000"/>
          <w:szCs w:val="22"/>
        </w:rPr>
        <w:t>.</w:t>
      </w:r>
    </w:p>
    <w:p w:rsidR="00CE0920" w:rsidRPr="00595315" w:rsidRDefault="00CE0920" w:rsidP="00CE0920">
      <w:pPr>
        <w:jc w:val="both"/>
        <w:rPr>
          <w:color w:val="000000"/>
          <w:szCs w:val="22"/>
        </w:rPr>
      </w:pPr>
      <w:r w:rsidRPr="00595315">
        <w:rPr>
          <w:color w:val="000000"/>
          <w:szCs w:val="22"/>
        </w:rPr>
        <w:t xml:space="preserve">Rating Objective: </w:t>
      </w:r>
    </w:p>
    <w:p w:rsidR="00CE0920" w:rsidRPr="00595315" w:rsidRDefault="00CE0920" w:rsidP="00CE0920">
      <w:pPr>
        <w:jc w:val="both"/>
        <w:rPr>
          <w:color w:val="000000"/>
          <w:szCs w:val="22"/>
        </w:rPr>
      </w:pPr>
      <w:r w:rsidRPr="00595315">
        <w:rPr>
          <w:color w:val="000000"/>
          <w:szCs w:val="22"/>
        </w:rPr>
        <w:t xml:space="preserve">To ensure that all rateable land makes an equitable and efficient financial contribution to the cost of carrying out the functions of </w:t>
      </w:r>
      <w:r w:rsidR="0051216F">
        <w:rPr>
          <w:color w:val="000000"/>
          <w:szCs w:val="22"/>
        </w:rPr>
        <w:t>the City</w:t>
      </w:r>
      <w:r w:rsidR="0051216F" w:rsidRPr="00595315">
        <w:rPr>
          <w:color w:val="000000"/>
          <w:szCs w:val="22"/>
        </w:rPr>
        <w:t xml:space="preserve"> </w:t>
      </w:r>
      <w:r w:rsidRPr="00595315">
        <w:rPr>
          <w:color w:val="000000"/>
          <w:szCs w:val="22"/>
        </w:rPr>
        <w:t>generally, including the:</w:t>
      </w:r>
    </w:p>
    <w:p w:rsidR="00CE0920" w:rsidRPr="00595315" w:rsidRDefault="00CE0920" w:rsidP="00CE0920">
      <w:pPr>
        <w:numPr>
          <w:ilvl w:val="0"/>
          <w:numId w:val="28"/>
        </w:numPr>
        <w:tabs>
          <w:tab w:val="left" w:pos="567"/>
        </w:tabs>
        <w:spacing w:before="0" w:after="80"/>
        <w:ind w:left="567" w:hanging="567"/>
        <w:jc w:val="both"/>
        <w:rPr>
          <w:color w:val="000000"/>
          <w:szCs w:val="22"/>
        </w:rPr>
      </w:pPr>
      <w:r w:rsidRPr="00595315">
        <w:rPr>
          <w:color w:val="000000"/>
          <w:szCs w:val="22"/>
        </w:rPr>
        <w:t>construction and maintenance of public infrastructure;</w:t>
      </w:r>
    </w:p>
    <w:p w:rsidR="00CE0920" w:rsidRPr="00595315" w:rsidRDefault="00CE0920" w:rsidP="00CE0920">
      <w:pPr>
        <w:numPr>
          <w:ilvl w:val="0"/>
          <w:numId w:val="28"/>
        </w:numPr>
        <w:tabs>
          <w:tab w:val="left" w:pos="567"/>
        </w:tabs>
        <w:spacing w:before="0" w:after="80"/>
        <w:ind w:left="567" w:hanging="567"/>
        <w:jc w:val="both"/>
        <w:rPr>
          <w:color w:val="000000"/>
          <w:szCs w:val="22"/>
        </w:rPr>
      </w:pPr>
      <w:r w:rsidRPr="00595315">
        <w:rPr>
          <w:color w:val="000000"/>
          <w:szCs w:val="22"/>
        </w:rPr>
        <w:t>development and provision of health and community services; and</w:t>
      </w:r>
    </w:p>
    <w:p w:rsidR="00CE0920" w:rsidRPr="00595315" w:rsidRDefault="00CE0920" w:rsidP="00CE0920">
      <w:pPr>
        <w:numPr>
          <w:ilvl w:val="0"/>
          <w:numId w:val="28"/>
        </w:numPr>
        <w:tabs>
          <w:tab w:val="left" w:pos="567"/>
        </w:tabs>
        <w:spacing w:before="0" w:after="80"/>
        <w:ind w:left="567" w:hanging="567"/>
        <w:jc w:val="both"/>
        <w:rPr>
          <w:color w:val="000000"/>
          <w:szCs w:val="22"/>
        </w:rPr>
      </w:pPr>
      <w:r w:rsidRPr="00595315">
        <w:rPr>
          <w:color w:val="000000"/>
          <w:szCs w:val="22"/>
        </w:rPr>
        <w:t>provision of general support services.</w:t>
      </w:r>
    </w:p>
    <w:p w:rsidR="00CE0920" w:rsidRPr="00595315" w:rsidRDefault="00CE0920" w:rsidP="00CE0920">
      <w:pPr>
        <w:jc w:val="both"/>
        <w:rPr>
          <w:color w:val="000000"/>
          <w:szCs w:val="22"/>
        </w:rPr>
      </w:pPr>
      <w:r w:rsidRPr="00595315">
        <w:rPr>
          <w:b/>
          <w:color w:val="000000"/>
          <w:szCs w:val="22"/>
        </w:rPr>
        <w:t xml:space="preserve">Mixed Use Land </w:t>
      </w:r>
      <w:r w:rsidRPr="00595315">
        <w:rPr>
          <w:color w:val="000000"/>
          <w:szCs w:val="22"/>
        </w:rPr>
        <w:t>– means any land that:</w:t>
      </w:r>
    </w:p>
    <w:p w:rsidR="00CE0920" w:rsidRPr="00595315" w:rsidRDefault="00CE0920" w:rsidP="00CE0920">
      <w:pPr>
        <w:numPr>
          <w:ilvl w:val="0"/>
          <w:numId w:val="29"/>
        </w:numPr>
        <w:tabs>
          <w:tab w:val="left" w:pos="567"/>
          <w:tab w:val="num" w:pos="1080"/>
        </w:tabs>
        <w:spacing w:before="0" w:after="80"/>
        <w:ind w:left="567" w:hanging="567"/>
        <w:jc w:val="both"/>
        <w:rPr>
          <w:color w:val="000000"/>
          <w:szCs w:val="22"/>
        </w:rPr>
      </w:pPr>
      <w:r w:rsidRPr="00595315">
        <w:rPr>
          <w:color w:val="000000"/>
          <w:szCs w:val="22"/>
        </w:rPr>
        <w:t>has the characteristics of Residential Land combined with the characteristics of Commercial Land or Industrial Land; and</w:t>
      </w:r>
    </w:p>
    <w:p w:rsidR="00CE0920" w:rsidRPr="00595315" w:rsidRDefault="00CE0920" w:rsidP="00CE0920">
      <w:pPr>
        <w:numPr>
          <w:ilvl w:val="0"/>
          <w:numId w:val="29"/>
        </w:numPr>
        <w:tabs>
          <w:tab w:val="left" w:pos="567"/>
          <w:tab w:val="num" w:pos="1080"/>
        </w:tabs>
        <w:spacing w:before="0" w:after="80"/>
        <w:ind w:left="567" w:hanging="567"/>
        <w:jc w:val="both"/>
        <w:rPr>
          <w:color w:val="000000"/>
          <w:szCs w:val="22"/>
        </w:rPr>
      </w:pPr>
      <w:r w:rsidRPr="00595315">
        <w:rPr>
          <w:color w:val="000000"/>
          <w:szCs w:val="22"/>
        </w:rPr>
        <w:t>is used partly for residential purposes and partly for commercial and/or industrial purposes.</w:t>
      </w:r>
    </w:p>
    <w:p w:rsidR="00CE0920" w:rsidRPr="00595315" w:rsidRDefault="00CE0920" w:rsidP="00CE0920">
      <w:pPr>
        <w:tabs>
          <w:tab w:val="left" w:pos="567"/>
          <w:tab w:val="num" w:pos="993"/>
        </w:tabs>
        <w:ind w:left="567" w:hanging="567"/>
        <w:jc w:val="both"/>
        <w:rPr>
          <w:color w:val="000000"/>
          <w:szCs w:val="22"/>
        </w:rPr>
      </w:pPr>
      <w:r w:rsidRPr="00595315">
        <w:rPr>
          <w:color w:val="000000"/>
          <w:szCs w:val="22"/>
        </w:rPr>
        <w:t xml:space="preserve">Rating Objective: </w:t>
      </w:r>
    </w:p>
    <w:p w:rsidR="00CE0920" w:rsidRPr="00595315" w:rsidRDefault="00CE0920" w:rsidP="00CE0920">
      <w:pPr>
        <w:tabs>
          <w:tab w:val="num" w:pos="993"/>
        </w:tabs>
        <w:jc w:val="both"/>
        <w:rPr>
          <w:color w:val="000000"/>
          <w:szCs w:val="22"/>
        </w:rPr>
      </w:pPr>
      <w:r w:rsidRPr="00595315">
        <w:rPr>
          <w:color w:val="000000"/>
          <w:szCs w:val="22"/>
        </w:rPr>
        <w:t xml:space="preserve">To ensure that all rateable land makes an equitable and efficient financial contribution to the cost of carrying out the functions of </w:t>
      </w:r>
      <w:r w:rsidR="0051216F">
        <w:rPr>
          <w:color w:val="000000"/>
          <w:szCs w:val="22"/>
        </w:rPr>
        <w:t>the City</w:t>
      </w:r>
      <w:r w:rsidR="0051216F" w:rsidRPr="00595315">
        <w:rPr>
          <w:color w:val="000000"/>
          <w:szCs w:val="22"/>
        </w:rPr>
        <w:t xml:space="preserve"> </w:t>
      </w:r>
      <w:r w:rsidRPr="00595315">
        <w:rPr>
          <w:color w:val="000000"/>
          <w:szCs w:val="22"/>
        </w:rPr>
        <w:t>generally, including the:</w:t>
      </w:r>
    </w:p>
    <w:p w:rsidR="00CE0920" w:rsidRPr="00595315" w:rsidRDefault="00CE0920" w:rsidP="00CE0920">
      <w:pPr>
        <w:numPr>
          <w:ilvl w:val="0"/>
          <w:numId w:val="30"/>
        </w:numPr>
        <w:tabs>
          <w:tab w:val="left" w:pos="567"/>
        </w:tabs>
        <w:spacing w:before="0" w:after="80"/>
        <w:ind w:left="567" w:hanging="567"/>
        <w:jc w:val="both"/>
        <w:rPr>
          <w:color w:val="000000"/>
          <w:szCs w:val="22"/>
        </w:rPr>
      </w:pPr>
      <w:r w:rsidRPr="00595315">
        <w:rPr>
          <w:color w:val="000000"/>
          <w:szCs w:val="22"/>
        </w:rPr>
        <w:lastRenderedPageBreak/>
        <w:t>construction and maintenance of public infrastructure;</w:t>
      </w:r>
    </w:p>
    <w:p w:rsidR="00CE0920" w:rsidRPr="00595315" w:rsidRDefault="00CE0920" w:rsidP="00CE0920">
      <w:pPr>
        <w:numPr>
          <w:ilvl w:val="0"/>
          <w:numId w:val="30"/>
        </w:numPr>
        <w:tabs>
          <w:tab w:val="left" w:pos="567"/>
        </w:tabs>
        <w:spacing w:before="0" w:after="80"/>
        <w:ind w:left="567" w:hanging="567"/>
        <w:jc w:val="both"/>
        <w:rPr>
          <w:color w:val="000000"/>
          <w:szCs w:val="22"/>
        </w:rPr>
      </w:pPr>
      <w:r w:rsidRPr="00595315">
        <w:rPr>
          <w:color w:val="000000"/>
          <w:szCs w:val="22"/>
        </w:rPr>
        <w:t>development and provision of health and community services; and</w:t>
      </w:r>
    </w:p>
    <w:p w:rsidR="00CE0920" w:rsidRPr="00595315" w:rsidRDefault="00CE0920" w:rsidP="00CE0920">
      <w:pPr>
        <w:numPr>
          <w:ilvl w:val="0"/>
          <w:numId w:val="30"/>
        </w:numPr>
        <w:tabs>
          <w:tab w:val="left" w:pos="567"/>
        </w:tabs>
        <w:spacing w:before="0" w:after="80"/>
        <w:ind w:left="567" w:hanging="567"/>
        <w:jc w:val="both"/>
        <w:rPr>
          <w:color w:val="000000"/>
          <w:szCs w:val="22"/>
        </w:rPr>
      </w:pPr>
      <w:r w:rsidRPr="00595315">
        <w:rPr>
          <w:color w:val="000000"/>
          <w:szCs w:val="22"/>
        </w:rPr>
        <w:t>provision of general support services.</w:t>
      </w:r>
    </w:p>
    <w:p w:rsidR="00CE0920" w:rsidRPr="00595315" w:rsidRDefault="00CE0920" w:rsidP="00CE0920">
      <w:pPr>
        <w:jc w:val="both"/>
        <w:rPr>
          <w:b/>
          <w:color w:val="000000"/>
          <w:szCs w:val="22"/>
        </w:rPr>
      </w:pPr>
    </w:p>
    <w:p w:rsidR="00CE0920" w:rsidRPr="00595315" w:rsidRDefault="00CE0920" w:rsidP="00CE0920">
      <w:pPr>
        <w:jc w:val="both"/>
        <w:rPr>
          <w:color w:val="000000"/>
          <w:szCs w:val="22"/>
        </w:rPr>
      </w:pPr>
      <w:r w:rsidRPr="00595315">
        <w:rPr>
          <w:b/>
          <w:color w:val="000000"/>
          <w:szCs w:val="22"/>
        </w:rPr>
        <w:t>Farm Land</w:t>
      </w:r>
      <w:r w:rsidRPr="00595315">
        <w:rPr>
          <w:color w:val="000000"/>
          <w:szCs w:val="22"/>
        </w:rPr>
        <w:t xml:space="preserve"> – means any land which: </w:t>
      </w:r>
    </w:p>
    <w:p w:rsidR="00CE0920" w:rsidRPr="00595315" w:rsidRDefault="00CE0920" w:rsidP="00CE0920">
      <w:pPr>
        <w:numPr>
          <w:ilvl w:val="0"/>
          <w:numId w:val="31"/>
        </w:numPr>
        <w:tabs>
          <w:tab w:val="num" w:pos="567"/>
        </w:tabs>
        <w:spacing w:before="0" w:after="80"/>
        <w:ind w:left="567" w:hanging="567"/>
        <w:jc w:val="both"/>
        <w:rPr>
          <w:color w:val="000000"/>
          <w:szCs w:val="22"/>
        </w:rPr>
      </w:pPr>
      <w:r w:rsidRPr="00595315">
        <w:rPr>
          <w:color w:val="000000"/>
          <w:szCs w:val="22"/>
        </w:rPr>
        <w:t>is not less than 2 hectares in area; and</w:t>
      </w:r>
    </w:p>
    <w:p w:rsidR="00CE0920" w:rsidRPr="00595315" w:rsidRDefault="00CE0920" w:rsidP="00CE0920">
      <w:pPr>
        <w:numPr>
          <w:ilvl w:val="0"/>
          <w:numId w:val="31"/>
        </w:numPr>
        <w:tabs>
          <w:tab w:val="num" w:pos="567"/>
        </w:tabs>
        <w:spacing w:before="0" w:after="80"/>
        <w:ind w:left="567" w:hanging="567"/>
        <w:jc w:val="both"/>
        <w:rPr>
          <w:color w:val="000000"/>
          <w:szCs w:val="22"/>
        </w:rPr>
      </w:pPr>
      <w:r w:rsidRPr="00595315">
        <w:rPr>
          <w:color w:val="000000"/>
          <w:szCs w:val="22"/>
        </w:rPr>
        <w:t>is used predominantly for the business of grazing (including agistment), dairying, pig-farming, poultry farming, fish farming, tree farming, bee-keeping, viticulture, horticulture, fruit growing or the growing of crops of any kind or for any combination of those activities; or</w:t>
      </w:r>
    </w:p>
    <w:p w:rsidR="00CE0920" w:rsidRPr="00595315" w:rsidRDefault="00CE0920" w:rsidP="00CE0920">
      <w:pPr>
        <w:numPr>
          <w:ilvl w:val="0"/>
          <w:numId w:val="31"/>
        </w:numPr>
        <w:tabs>
          <w:tab w:val="num" w:pos="567"/>
        </w:tabs>
        <w:spacing w:before="0" w:after="80"/>
        <w:ind w:left="567" w:hanging="567"/>
        <w:jc w:val="both"/>
        <w:rPr>
          <w:color w:val="000000"/>
          <w:szCs w:val="22"/>
        </w:rPr>
      </w:pPr>
      <w:r w:rsidRPr="00595315">
        <w:rPr>
          <w:color w:val="000000"/>
          <w:szCs w:val="22"/>
        </w:rPr>
        <w:t>satisfies the criteria for municipal purpose benefit for large holdings to the extent that it is, for example, land that is predominantly used and maintained for heritage, cultural or environmental purposes, or land that is held as natural bushland under a trust for nature covenant, or land that is held under some other type of similar formal undertaking.</w:t>
      </w:r>
    </w:p>
    <w:p w:rsidR="00CE0920" w:rsidRPr="00595315" w:rsidRDefault="00CE0920" w:rsidP="00CE0920">
      <w:pPr>
        <w:jc w:val="both"/>
        <w:rPr>
          <w:color w:val="000000"/>
          <w:szCs w:val="22"/>
        </w:rPr>
      </w:pPr>
      <w:r>
        <w:rPr>
          <w:color w:val="000000"/>
          <w:szCs w:val="22"/>
        </w:rPr>
        <w:t>T</w:t>
      </w:r>
      <w:r w:rsidRPr="00595315">
        <w:rPr>
          <w:color w:val="000000"/>
          <w:szCs w:val="22"/>
        </w:rPr>
        <w:t xml:space="preserve">o avoid doubt, 'business' for the purposes of identifying Farm Land has the same meaning as that given to it by section 2(1) of the </w:t>
      </w:r>
      <w:r w:rsidRPr="00595315">
        <w:rPr>
          <w:i/>
          <w:color w:val="000000"/>
          <w:szCs w:val="22"/>
        </w:rPr>
        <w:t>Valuation of Land Act</w:t>
      </w:r>
      <w:r w:rsidRPr="00595315">
        <w:rPr>
          <w:color w:val="000000"/>
          <w:szCs w:val="22"/>
        </w:rPr>
        <w:t xml:space="preserve"> 1960 for the same purpose, being a business that:</w:t>
      </w:r>
    </w:p>
    <w:p w:rsidR="00CE0920" w:rsidRPr="00595315" w:rsidRDefault="00CE0920" w:rsidP="00CE0920">
      <w:pPr>
        <w:pStyle w:val="SumPoint"/>
        <w:numPr>
          <w:ilvl w:val="0"/>
          <w:numId w:val="32"/>
        </w:numPr>
        <w:spacing w:before="0"/>
        <w:ind w:left="567" w:hanging="567"/>
        <w:jc w:val="both"/>
        <w:rPr>
          <w:color w:val="000000"/>
          <w:sz w:val="22"/>
          <w:szCs w:val="22"/>
        </w:rPr>
      </w:pPr>
      <w:r w:rsidRPr="00595315">
        <w:rPr>
          <w:color w:val="000000"/>
          <w:sz w:val="22"/>
          <w:szCs w:val="22"/>
        </w:rPr>
        <w:t>has a significant and substantial commercial purpose or character; and</w:t>
      </w:r>
    </w:p>
    <w:p w:rsidR="00CE0920" w:rsidRPr="00595315" w:rsidRDefault="00CE0920" w:rsidP="00CE0920">
      <w:pPr>
        <w:pStyle w:val="SumPoint"/>
        <w:numPr>
          <w:ilvl w:val="0"/>
          <w:numId w:val="32"/>
        </w:numPr>
        <w:spacing w:before="0"/>
        <w:ind w:left="567" w:hanging="567"/>
        <w:jc w:val="both"/>
        <w:rPr>
          <w:color w:val="000000"/>
          <w:sz w:val="22"/>
          <w:szCs w:val="22"/>
        </w:rPr>
      </w:pPr>
      <w:r w:rsidRPr="00595315">
        <w:rPr>
          <w:color w:val="000000"/>
          <w:sz w:val="22"/>
          <w:szCs w:val="22"/>
        </w:rPr>
        <w:t xml:space="preserve">seeks to make a profit on a continuous or repetitive basis </w:t>
      </w:r>
      <w:r>
        <w:rPr>
          <w:color w:val="000000"/>
          <w:sz w:val="22"/>
          <w:szCs w:val="22"/>
        </w:rPr>
        <w:t>from</w:t>
      </w:r>
      <w:r w:rsidRPr="00595315">
        <w:rPr>
          <w:color w:val="000000"/>
          <w:sz w:val="22"/>
          <w:szCs w:val="22"/>
        </w:rPr>
        <w:t xml:space="preserve"> its activities on the land; and</w:t>
      </w:r>
    </w:p>
    <w:p w:rsidR="00CE0920" w:rsidRPr="00595315" w:rsidRDefault="00CE0920" w:rsidP="00CE0920">
      <w:pPr>
        <w:pStyle w:val="SumPoint"/>
        <w:numPr>
          <w:ilvl w:val="0"/>
          <w:numId w:val="32"/>
        </w:numPr>
        <w:spacing w:before="0"/>
        <w:ind w:left="567" w:hanging="567"/>
        <w:jc w:val="both"/>
        <w:rPr>
          <w:color w:val="000000"/>
          <w:sz w:val="22"/>
          <w:szCs w:val="22"/>
        </w:rPr>
      </w:pPr>
      <w:r w:rsidRPr="00595315">
        <w:rPr>
          <w:color w:val="000000"/>
          <w:sz w:val="22"/>
          <w:szCs w:val="22"/>
        </w:rPr>
        <w:t>is making a profit from its activities on the land, or that has a reasonable prospect of making a profit from its activities on the land if it continues to operate in the way that it is operating.</w:t>
      </w:r>
    </w:p>
    <w:p w:rsidR="00CE0920" w:rsidRPr="00595315" w:rsidRDefault="00CE0920" w:rsidP="00CE0920">
      <w:pPr>
        <w:jc w:val="both"/>
        <w:rPr>
          <w:color w:val="000000"/>
          <w:szCs w:val="22"/>
        </w:rPr>
      </w:pPr>
      <w:r w:rsidRPr="00595315">
        <w:rPr>
          <w:color w:val="000000"/>
          <w:szCs w:val="22"/>
        </w:rPr>
        <w:t xml:space="preserve">Rating Objectives: </w:t>
      </w:r>
    </w:p>
    <w:p w:rsidR="00CE0920" w:rsidRPr="00C43625" w:rsidRDefault="00CE0920" w:rsidP="00CE0920">
      <w:pPr>
        <w:numPr>
          <w:ilvl w:val="0"/>
          <w:numId w:val="108"/>
        </w:numPr>
        <w:tabs>
          <w:tab w:val="num" w:pos="567"/>
        </w:tabs>
        <w:spacing w:before="0" w:after="80"/>
        <w:ind w:left="567" w:hanging="567"/>
        <w:jc w:val="both"/>
        <w:rPr>
          <w:rFonts w:cs="Arial"/>
          <w:color w:val="000000"/>
          <w:szCs w:val="22"/>
        </w:rPr>
      </w:pPr>
      <w:r w:rsidRPr="00C43625">
        <w:rPr>
          <w:rFonts w:cs="Arial"/>
          <w:color w:val="000000"/>
          <w:szCs w:val="22"/>
        </w:rPr>
        <w:t xml:space="preserve">To ensure that all rateable land makes an equitable and efficient financial contribution to the cost of carrying out the functions of </w:t>
      </w:r>
      <w:r w:rsidR="0051216F">
        <w:rPr>
          <w:rFonts w:cs="Arial"/>
          <w:color w:val="000000"/>
          <w:szCs w:val="22"/>
        </w:rPr>
        <w:t>the City</w:t>
      </w:r>
      <w:r w:rsidR="0051216F" w:rsidRPr="00C43625">
        <w:rPr>
          <w:rFonts w:cs="Arial"/>
          <w:color w:val="000000"/>
          <w:szCs w:val="22"/>
        </w:rPr>
        <w:t xml:space="preserve"> </w:t>
      </w:r>
      <w:r w:rsidRPr="00C43625">
        <w:rPr>
          <w:rFonts w:cs="Arial"/>
          <w:color w:val="000000"/>
          <w:szCs w:val="22"/>
        </w:rPr>
        <w:t>generally, including the:</w:t>
      </w:r>
    </w:p>
    <w:p w:rsidR="00CE0920" w:rsidRPr="00E60EA6" w:rsidRDefault="00CE0920" w:rsidP="00CE0920">
      <w:pPr>
        <w:pStyle w:val="BodyText0"/>
        <w:numPr>
          <w:ilvl w:val="0"/>
          <w:numId w:val="109"/>
        </w:numPr>
        <w:tabs>
          <w:tab w:val="clear" w:pos="1440"/>
          <w:tab w:val="num" w:pos="993"/>
          <w:tab w:val="num" w:pos="1701"/>
          <w:tab w:val="left" w:pos="1985"/>
        </w:tabs>
        <w:spacing w:before="0"/>
        <w:ind w:left="993" w:hanging="426"/>
        <w:jc w:val="both"/>
        <w:rPr>
          <w:rFonts w:ascii="Lucida Sans Unicode" w:hAnsi="Lucida Sans Unicode" w:cs="Lucida Sans Unicode"/>
          <w:color w:val="000000"/>
          <w:sz w:val="22"/>
          <w:szCs w:val="22"/>
        </w:rPr>
      </w:pPr>
      <w:r w:rsidRPr="00E60EA6">
        <w:rPr>
          <w:rFonts w:ascii="Lucida Sans Unicode" w:hAnsi="Lucida Sans Unicode" w:cs="Lucida Sans Unicode"/>
          <w:color w:val="000000"/>
          <w:sz w:val="22"/>
          <w:szCs w:val="22"/>
        </w:rPr>
        <w:t>construction and maintenance of public infrastructure;</w:t>
      </w:r>
    </w:p>
    <w:p w:rsidR="00CE0920" w:rsidRPr="00E60EA6" w:rsidRDefault="00CE0920" w:rsidP="00CE0920">
      <w:pPr>
        <w:pStyle w:val="BodyText0"/>
        <w:numPr>
          <w:ilvl w:val="0"/>
          <w:numId w:val="109"/>
        </w:numPr>
        <w:tabs>
          <w:tab w:val="clear" w:pos="1440"/>
          <w:tab w:val="num" w:pos="993"/>
          <w:tab w:val="num" w:pos="1701"/>
          <w:tab w:val="left" w:pos="1985"/>
        </w:tabs>
        <w:spacing w:before="0"/>
        <w:ind w:left="993" w:hanging="426"/>
        <w:jc w:val="both"/>
        <w:rPr>
          <w:rFonts w:ascii="Lucida Sans Unicode" w:hAnsi="Lucida Sans Unicode" w:cs="Lucida Sans Unicode"/>
          <w:color w:val="000000"/>
          <w:sz w:val="22"/>
          <w:szCs w:val="22"/>
        </w:rPr>
      </w:pPr>
      <w:r w:rsidRPr="00E60EA6">
        <w:rPr>
          <w:rFonts w:ascii="Lucida Sans Unicode" w:hAnsi="Lucida Sans Unicode" w:cs="Lucida Sans Unicode"/>
          <w:color w:val="000000"/>
          <w:sz w:val="22"/>
          <w:szCs w:val="22"/>
        </w:rPr>
        <w:t>development and provision of health and community services; and</w:t>
      </w:r>
    </w:p>
    <w:p w:rsidR="00CE0920" w:rsidRPr="00E60EA6" w:rsidRDefault="00CE0920" w:rsidP="00CE0920">
      <w:pPr>
        <w:pStyle w:val="BodyText0"/>
        <w:numPr>
          <w:ilvl w:val="0"/>
          <w:numId w:val="109"/>
        </w:numPr>
        <w:tabs>
          <w:tab w:val="clear" w:pos="1440"/>
          <w:tab w:val="num" w:pos="993"/>
          <w:tab w:val="num" w:pos="1701"/>
          <w:tab w:val="left" w:pos="1985"/>
        </w:tabs>
        <w:spacing w:before="0"/>
        <w:ind w:left="993" w:hanging="426"/>
        <w:jc w:val="both"/>
        <w:rPr>
          <w:rFonts w:ascii="Lucida Sans Unicode" w:hAnsi="Lucida Sans Unicode" w:cs="Lucida Sans Unicode"/>
          <w:color w:val="000000"/>
          <w:sz w:val="22"/>
          <w:szCs w:val="22"/>
        </w:rPr>
      </w:pPr>
      <w:r w:rsidRPr="00E60EA6">
        <w:rPr>
          <w:rFonts w:ascii="Lucida Sans Unicode" w:hAnsi="Lucida Sans Unicode" w:cs="Lucida Sans Unicode"/>
          <w:color w:val="000000"/>
          <w:sz w:val="22"/>
          <w:szCs w:val="22"/>
        </w:rPr>
        <w:t>provision of general support services.</w:t>
      </w:r>
    </w:p>
    <w:p w:rsidR="00CE0920" w:rsidRPr="00C43625" w:rsidRDefault="00CE0920" w:rsidP="00CE0920">
      <w:pPr>
        <w:numPr>
          <w:ilvl w:val="0"/>
          <w:numId w:val="108"/>
        </w:numPr>
        <w:tabs>
          <w:tab w:val="num" w:pos="567"/>
          <w:tab w:val="num" w:pos="1701"/>
        </w:tabs>
        <w:spacing w:before="0" w:after="80"/>
        <w:ind w:left="567" w:hanging="567"/>
        <w:jc w:val="both"/>
        <w:rPr>
          <w:rFonts w:cs="Arial"/>
          <w:color w:val="000000"/>
          <w:szCs w:val="22"/>
        </w:rPr>
      </w:pPr>
      <w:r w:rsidRPr="00C43625">
        <w:rPr>
          <w:rFonts w:cs="Arial"/>
          <w:color w:val="000000"/>
          <w:szCs w:val="22"/>
        </w:rPr>
        <w:t xml:space="preserve">To encourage and support the business of primary production and, where appropriate, expand the business of primary production. </w:t>
      </w:r>
    </w:p>
    <w:p w:rsidR="00CE0920" w:rsidRPr="00C43625" w:rsidRDefault="00CE0920" w:rsidP="00CE0920">
      <w:pPr>
        <w:tabs>
          <w:tab w:val="num" w:pos="1440"/>
        </w:tabs>
        <w:jc w:val="both"/>
        <w:rPr>
          <w:rFonts w:cs="Arial"/>
          <w:color w:val="000000"/>
          <w:szCs w:val="22"/>
        </w:rPr>
      </w:pPr>
      <w:r w:rsidRPr="00C43625">
        <w:rPr>
          <w:rFonts w:cs="Arial"/>
          <w:color w:val="000000"/>
          <w:szCs w:val="22"/>
        </w:rPr>
        <w:lastRenderedPageBreak/>
        <w:t xml:space="preserve">These objectives will be met by setting the Farm Land differential at </w:t>
      </w:r>
      <w:r w:rsidR="002B3FFB">
        <w:rPr>
          <w:rFonts w:cs="Arial"/>
          <w:color w:val="000000"/>
          <w:szCs w:val="22"/>
        </w:rPr>
        <w:t>80</w:t>
      </w:r>
      <w:r w:rsidRPr="00C43625">
        <w:rPr>
          <w:rFonts w:cs="Arial"/>
          <w:color w:val="000000"/>
          <w:szCs w:val="22"/>
        </w:rPr>
        <w:t xml:space="preserve">% of the Residential Land differential and by the provision of a farm rebate under </w:t>
      </w:r>
      <w:r w:rsidR="0051216F">
        <w:rPr>
          <w:rFonts w:cs="Arial"/>
          <w:color w:val="000000"/>
          <w:szCs w:val="22"/>
        </w:rPr>
        <w:t>s</w:t>
      </w:r>
      <w:r w:rsidR="0051216F" w:rsidRPr="00C43625">
        <w:rPr>
          <w:rFonts w:cs="Arial"/>
          <w:color w:val="000000"/>
          <w:szCs w:val="22"/>
        </w:rPr>
        <w:t xml:space="preserve">ection </w:t>
      </w:r>
      <w:r w:rsidRPr="00C43625">
        <w:rPr>
          <w:rFonts w:cs="Arial"/>
          <w:color w:val="000000"/>
          <w:szCs w:val="22"/>
        </w:rPr>
        <w:t>169 of the LGA.</w:t>
      </w:r>
    </w:p>
    <w:p w:rsidR="00CE0920" w:rsidRPr="00595315" w:rsidRDefault="00CE0920" w:rsidP="00CE0920">
      <w:pPr>
        <w:rPr>
          <w:color w:val="000000"/>
          <w:szCs w:val="22"/>
        </w:rPr>
      </w:pPr>
      <w:r w:rsidRPr="00595315">
        <w:rPr>
          <w:b/>
          <w:color w:val="000000"/>
          <w:szCs w:val="22"/>
        </w:rPr>
        <w:t>Petroleum Production Land</w:t>
      </w:r>
      <w:r w:rsidRPr="00595315">
        <w:rPr>
          <w:color w:val="000000"/>
          <w:szCs w:val="22"/>
        </w:rPr>
        <w:t xml:space="preserve"> – means any land that is:</w:t>
      </w:r>
    </w:p>
    <w:p w:rsidR="00CE0920" w:rsidRPr="00595315" w:rsidRDefault="00CE0920" w:rsidP="00CE0920">
      <w:pPr>
        <w:numPr>
          <w:ilvl w:val="0"/>
          <w:numId w:val="110"/>
        </w:numPr>
        <w:spacing w:before="0" w:after="80"/>
        <w:ind w:left="567" w:hanging="567"/>
        <w:jc w:val="both"/>
        <w:rPr>
          <w:color w:val="000000"/>
          <w:szCs w:val="22"/>
        </w:rPr>
      </w:pPr>
      <w:r w:rsidRPr="00595315">
        <w:rPr>
          <w:color w:val="000000"/>
          <w:szCs w:val="22"/>
        </w:rPr>
        <w:t>used primarily for the production or conveyance of petroleum and/or petroleum by-products; and</w:t>
      </w:r>
    </w:p>
    <w:p w:rsidR="00CE0920" w:rsidRPr="00595315" w:rsidRDefault="00CE0920" w:rsidP="00CE0920">
      <w:pPr>
        <w:numPr>
          <w:ilvl w:val="0"/>
          <w:numId w:val="110"/>
        </w:numPr>
        <w:spacing w:before="0" w:after="80"/>
        <w:ind w:left="567" w:hanging="567"/>
        <w:jc w:val="both"/>
        <w:rPr>
          <w:color w:val="000000"/>
          <w:szCs w:val="22"/>
        </w:rPr>
      </w:pPr>
      <w:r w:rsidRPr="00595315">
        <w:rPr>
          <w:color w:val="000000"/>
          <w:szCs w:val="22"/>
        </w:rPr>
        <w:t>described as all that land generally bounded more or less by Princes Highway, Shell Parade, Corio Bay Foreshore, Wharf Road, Station Road and neighbouring land.</w:t>
      </w:r>
    </w:p>
    <w:p w:rsidR="00CE0920" w:rsidRPr="00595315" w:rsidRDefault="00CE0920" w:rsidP="00CE0920">
      <w:pPr>
        <w:jc w:val="both"/>
        <w:rPr>
          <w:color w:val="000000"/>
          <w:szCs w:val="22"/>
        </w:rPr>
      </w:pPr>
      <w:r w:rsidRPr="00595315">
        <w:rPr>
          <w:color w:val="000000"/>
          <w:szCs w:val="22"/>
        </w:rPr>
        <w:t xml:space="preserve">Rating Objective: </w:t>
      </w:r>
    </w:p>
    <w:p w:rsidR="00CE0920" w:rsidRPr="00595315" w:rsidRDefault="00CE0920" w:rsidP="00CE0920">
      <w:pPr>
        <w:jc w:val="both"/>
        <w:rPr>
          <w:color w:val="000000"/>
          <w:szCs w:val="22"/>
        </w:rPr>
      </w:pPr>
      <w:r w:rsidRPr="00595315">
        <w:rPr>
          <w:color w:val="000000"/>
          <w:szCs w:val="22"/>
        </w:rPr>
        <w:t xml:space="preserve">To ensure that all rateable land makes an equitable and efficient financial contribution to the cost of carrying out the functions of </w:t>
      </w:r>
      <w:r w:rsidR="0051216F">
        <w:rPr>
          <w:color w:val="000000"/>
          <w:szCs w:val="22"/>
        </w:rPr>
        <w:t>the City</w:t>
      </w:r>
      <w:r w:rsidR="0051216F" w:rsidRPr="00595315">
        <w:rPr>
          <w:color w:val="000000"/>
          <w:szCs w:val="22"/>
        </w:rPr>
        <w:t xml:space="preserve"> </w:t>
      </w:r>
      <w:r w:rsidRPr="00595315">
        <w:rPr>
          <w:color w:val="000000"/>
          <w:szCs w:val="22"/>
        </w:rPr>
        <w:t>generally, including the:</w:t>
      </w:r>
    </w:p>
    <w:p w:rsidR="00CE0920" w:rsidRPr="00595315" w:rsidRDefault="00CE0920" w:rsidP="00CE0920">
      <w:pPr>
        <w:numPr>
          <w:ilvl w:val="0"/>
          <w:numId w:val="33"/>
        </w:numPr>
        <w:tabs>
          <w:tab w:val="left" w:pos="567"/>
        </w:tabs>
        <w:spacing w:before="0" w:after="80"/>
        <w:ind w:left="567" w:hanging="567"/>
        <w:jc w:val="both"/>
        <w:rPr>
          <w:color w:val="000000"/>
          <w:szCs w:val="22"/>
        </w:rPr>
      </w:pPr>
      <w:r w:rsidRPr="00595315">
        <w:rPr>
          <w:color w:val="000000"/>
          <w:szCs w:val="22"/>
        </w:rPr>
        <w:t>construction and maintenance of public infrastructure;</w:t>
      </w:r>
    </w:p>
    <w:p w:rsidR="00CE0920" w:rsidRPr="00595315" w:rsidRDefault="00CE0920" w:rsidP="00CE0920">
      <w:pPr>
        <w:numPr>
          <w:ilvl w:val="0"/>
          <w:numId w:val="33"/>
        </w:numPr>
        <w:tabs>
          <w:tab w:val="left" w:pos="567"/>
        </w:tabs>
        <w:spacing w:before="0" w:after="80"/>
        <w:ind w:left="567" w:hanging="567"/>
        <w:jc w:val="both"/>
        <w:rPr>
          <w:color w:val="000000"/>
          <w:szCs w:val="22"/>
        </w:rPr>
      </w:pPr>
      <w:r w:rsidRPr="00595315">
        <w:rPr>
          <w:color w:val="000000"/>
          <w:szCs w:val="22"/>
        </w:rPr>
        <w:t>development and provision of health and community services; and</w:t>
      </w:r>
    </w:p>
    <w:p w:rsidR="00CE0920" w:rsidRPr="00595315" w:rsidRDefault="00CE0920" w:rsidP="00CE0920">
      <w:pPr>
        <w:numPr>
          <w:ilvl w:val="0"/>
          <w:numId w:val="33"/>
        </w:numPr>
        <w:tabs>
          <w:tab w:val="left" w:pos="567"/>
        </w:tabs>
        <w:spacing w:before="0" w:after="80"/>
        <w:ind w:left="567" w:hanging="567"/>
        <w:jc w:val="both"/>
        <w:rPr>
          <w:color w:val="000000"/>
          <w:szCs w:val="22"/>
        </w:rPr>
      </w:pPr>
      <w:r w:rsidRPr="00595315">
        <w:rPr>
          <w:color w:val="000000"/>
          <w:szCs w:val="22"/>
        </w:rPr>
        <w:t>provision of general support services.</w:t>
      </w:r>
    </w:p>
    <w:p w:rsidR="00CE0920" w:rsidRPr="00595315" w:rsidRDefault="00CE0920" w:rsidP="00CE0920">
      <w:pPr>
        <w:pStyle w:val="ListParagraph"/>
        <w:ind w:left="0"/>
        <w:rPr>
          <w:color w:val="000000"/>
          <w:szCs w:val="22"/>
        </w:rPr>
      </w:pPr>
      <w:r w:rsidRPr="00595315">
        <w:rPr>
          <w:color w:val="000000"/>
          <w:szCs w:val="22"/>
        </w:rPr>
        <w:t xml:space="preserve">The Petroleum Production Land differential is set at the Industrial Land </w:t>
      </w:r>
      <w:r>
        <w:rPr>
          <w:color w:val="000000"/>
          <w:szCs w:val="22"/>
        </w:rPr>
        <w:t xml:space="preserve">rate </w:t>
      </w:r>
      <w:r w:rsidRPr="00595315">
        <w:rPr>
          <w:color w:val="000000"/>
          <w:szCs w:val="22"/>
        </w:rPr>
        <w:t xml:space="preserve">differential </w:t>
      </w:r>
      <w:r>
        <w:rPr>
          <w:color w:val="000000"/>
          <w:szCs w:val="22"/>
        </w:rPr>
        <w:t>from 2017-18</w:t>
      </w:r>
      <w:r w:rsidRPr="00595315">
        <w:rPr>
          <w:color w:val="000000"/>
          <w:szCs w:val="22"/>
        </w:rPr>
        <w:t>.</w:t>
      </w:r>
    </w:p>
    <w:p w:rsidR="00CE0920" w:rsidRPr="00595315" w:rsidRDefault="00CE0920" w:rsidP="00CE0920">
      <w:pPr>
        <w:jc w:val="both"/>
        <w:rPr>
          <w:color w:val="000000"/>
          <w:szCs w:val="22"/>
        </w:rPr>
      </w:pPr>
      <w:r w:rsidRPr="00595315">
        <w:rPr>
          <w:b/>
          <w:color w:val="000000"/>
          <w:szCs w:val="22"/>
        </w:rPr>
        <w:t xml:space="preserve">Cultural &amp; Recreational Land </w:t>
      </w:r>
      <w:r w:rsidRPr="00595315">
        <w:rPr>
          <w:color w:val="000000"/>
          <w:szCs w:val="22"/>
        </w:rPr>
        <w:t>– means any land that:</w:t>
      </w:r>
    </w:p>
    <w:p w:rsidR="00CE0920" w:rsidRPr="00595315" w:rsidRDefault="00CE0920" w:rsidP="00CE0920">
      <w:pPr>
        <w:numPr>
          <w:ilvl w:val="0"/>
          <w:numId w:val="34"/>
        </w:numPr>
        <w:spacing w:before="0" w:after="80"/>
        <w:ind w:left="567" w:hanging="567"/>
        <w:jc w:val="both"/>
        <w:rPr>
          <w:rFonts w:cs="Arial"/>
          <w:color w:val="000000"/>
          <w:szCs w:val="22"/>
          <w:lang w:val="en-US"/>
        </w:rPr>
      </w:pPr>
      <w:r w:rsidRPr="00595315">
        <w:rPr>
          <w:color w:val="000000"/>
          <w:szCs w:val="22"/>
        </w:rPr>
        <w:t>has the characteristics of</w:t>
      </w:r>
      <w:r>
        <w:rPr>
          <w:color w:val="000000"/>
          <w:szCs w:val="22"/>
        </w:rPr>
        <w:t xml:space="preserve"> </w:t>
      </w:r>
      <w:r w:rsidRPr="00595315">
        <w:rPr>
          <w:color w:val="000000"/>
          <w:szCs w:val="22"/>
        </w:rPr>
        <w:t xml:space="preserve"> '</w:t>
      </w:r>
      <w:r w:rsidRPr="00595315">
        <w:rPr>
          <w:i/>
          <w:color w:val="000000"/>
          <w:szCs w:val="22"/>
        </w:rPr>
        <w:t>recreational lands</w:t>
      </w:r>
      <w:r w:rsidRPr="00595315">
        <w:rPr>
          <w:color w:val="000000"/>
          <w:szCs w:val="22"/>
        </w:rPr>
        <w:t xml:space="preserve">' as defined by the </w:t>
      </w:r>
      <w:r w:rsidRPr="00595315">
        <w:rPr>
          <w:i/>
          <w:color w:val="000000"/>
          <w:szCs w:val="22"/>
        </w:rPr>
        <w:t xml:space="preserve">Cultural and Recreational Lands Act </w:t>
      </w:r>
      <w:r w:rsidRPr="00595315">
        <w:rPr>
          <w:color w:val="000000"/>
          <w:szCs w:val="22"/>
        </w:rPr>
        <w:t xml:space="preserve">1963; and </w:t>
      </w:r>
    </w:p>
    <w:p w:rsidR="00CE0920" w:rsidRDefault="00CE0920" w:rsidP="00CE0920">
      <w:pPr>
        <w:numPr>
          <w:ilvl w:val="0"/>
          <w:numId w:val="34"/>
        </w:numPr>
        <w:spacing w:before="0" w:after="80"/>
        <w:ind w:left="567" w:hanging="567"/>
        <w:jc w:val="both"/>
        <w:rPr>
          <w:rFonts w:cs="Arial"/>
          <w:color w:val="000000"/>
          <w:szCs w:val="22"/>
          <w:lang w:val="en-US"/>
        </w:rPr>
      </w:pPr>
      <w:r w:rsidRPr="00595315">
        <w:rPr>
          <w:color w:val="000000"/>
          <w:szCs w:val="22"/>
        </w:rPr>
        <w:t>the following</w:t>
      </w:r>
      <w:r>
        <w:rPr>
          <w:color w:val="000000"/>
          <w:szCs w:val="22"/>
        </w:rPr>
        <w:t xml:space="preserve"> organisations will be reviewed to confirm eligibility based on land use definition </w:t>
      </w:r>
      <w:r w:rsidRPr="00595315">
        <w:rPr>
          <w:rFonts w:cs="Arial"/>
          <w:color w:val="000000"/>
          <w:szCs w:val="22"/>
          <w:lang w:val="en-US"/>
        </w:rPr>
        <w:t>:</w:t>
      </w:r>
    </w:p>
    <w:tbl>
      <w:tblPr>
        <w:tblW w:w="8784" w:type="dxa"/>
        <w:tblLook w:val="04A0" w:firstRow="1" w:lastRow="0" w:firstColumn="1" w:lastColumn="0" w:noHBand="0" w:noVBand="1"/>
      </w:tblPr>
      <w:tblGrid>
        <w:gridCol w:w="909"/>
        <w:gridCol w:w="3622"/>
        <w:gridCol w:w="4253"/>
      </w:tblGrid>
      <w:tr w:rsidR="00CE0920" w:rsidRPr="00E60EA6" w:rsidTr="00B114DB">
        <w:trPr>
          <w:trHeight w:val="190"/>
          <w:tblHeader/>
        </w:trPr>
        <w:tc>
          <w:tcPr>
            <w:tcW w:w="909" w:type="dxa"/>
            <w:tcBorders>
              <w:top w:val="single" w:sz="4" w:space="0" w:color="auto"/>
              <w:left w:val="single" w:sz="4" w:space="0" w:color="auto"/>
              <w:bottom w:val="single" w:sz="4" w:space="0" w:color="auto"/>
              <w:right w:val="single" w:sz="4" w:space="0" w:color="auto"/>
            </w:tcBorders>
            <w:shd w:val="clear" w:color="000000" w:fill="9BC2E6"/>
            <w:vAlign w:val="bottom"/>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2"/>
                <w:szCs w:val="16"/>
                <w:lang w:eastAsia="en-AU"/>
              </w:rPr>
              <w:t>Assessment</w:t>
            </w:r>
          </w:p>
        </w:tc>
        <w:tc>
          <w:tcPr>
            <w:tcW w:w="3622" w:type="dxa"/>
            <w:tcBorders>
              <w:top w:val="single" w:sz="4" w:space="0" w:color="auto"/>
              <w:left w:val="nil"/>
              <w:bottom w:val="single" w:sz="4" w:space="0" w:color="auto"/>
              <w:right w:val="single" w:sz="4" w:space="0" w:color="auto"/>
            </w:tcBorders>
            <w:shd w:val="clear" w:color="000000" w:fill="9BC2E6"/>
            <w:vAlign w:val="bottom"/>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Ratepayer</w:t>
            </w:r>
          </w:p>
        </w:tc>
        <w:tc>
          <w:tcPr>
            <w:tcW w:w="4253" w:type="dxa"/>
            <w:tcBorders>
              <w:top w:val="single" w:sz="4" w:space="0" w:color="auto"/>
              <w:left w:val="nil"/>
              <w:bottom w:val="single" w:sz="4" w:space="0" w:color="auto"/>
              <w:right w:val="single" w:sz="4" w:space="0" w:color="auto"/>
            </w:tcBorders>
            <w:shd w:val="clear" w:color="000000" w:fill="9BC2E6"/>
            <w:vAlign w:val="bottom"/>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Property Address</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2315</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Bareena Bowling Club Incorporated</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89 Noble Street, NEWTOWN VIC 3220</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75017</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Bell Park Sports Club</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10 Lynnburn Road, BATESFORD VIC 3213</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18010</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Barwon Rowing Club Inc.</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2 Barwon Terrace, SOUTH GEELONG VIC 3220</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18011</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Geelong College Rowing Club</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4 Barwon Terrace, SOUTH GEELONG VIC 3220</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18012</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Geelong Church of England Grammar School</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6 Barwon Terrace, SOUTH GEELONG VIC 3220</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18014</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Geelong Rowing Association</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8 Barwon Terrace, SOUTH GEELONG VIC 3220</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18015</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Corio Bay Rowing Club</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10 Barwon Terrace, SOUTH GEELONG VIC 3220</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18932</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Geelong Race Course Trustees</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99 Breakwater Road, BREAKWATER VIC 3219</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19004</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 xml:space="preserve">Royal Geelong Agricultural &amp; Pastoral Society </w:t>
            </w:r>
            <w:r w:rsidR="00F42BAD" w:rsidRPr="00E60EA6">
              <w:rPr>
                <w:rFonts w:cs="Arial"/>
                <w:color w:val="000000"/>
                <w:sz w:val="16"/>
                <w:szCs w:val="16"/>
                <w:lang w:eastAsia="en-AU"/>
              </w:rPr>
              <w:t>Inc.</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79 Breakwater Road, BREAKWATER VIC 3219</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14860</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Royal Geelong Yacht Club</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25 Eastern Beach Road, GEELONG VIC 3220</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18125</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 xml:space="preserve">Geelong Eastern Park Bowling Club </w:t>
            </w:r>
            <w:r w:rsidR="00F42BAD" w:rsidRPr="00E60EA6">
              <w:rPr>
                <w:rFonts w:cs="Arial"/>
                <w:color w:val="000000"/>
                <w:sz w:val="16"/>
                <w:szCs w:val="16"/>
                <w:lang w:eastAsia="en-AU"/>
              </w:rPr>
              <w:t>Inc.</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51-55 Garden Street, EAST GEELONG VIC 3219</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12265</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Geelong Football Club Limited</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360 Moorabool Street, SOUTH GEELONG VIC 3220</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14226</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East Geelong Golf Club</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401 Eastern Park Circuit, EAST GEELONG VIC 3219</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17308</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East Geelong Recreation Reserve Committee</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137-139 McKillop Street, GEELONG VIC 3220</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12466</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 xml:space="preserve">Western Beach Boat Club </w:t>
            </w:r>
            <w:r w:rsidR="00F42BAD" w:rsidRPr="00E60EA6">
              <w:rPr>
                <w:rFonts w:cs="Arial"/>
                <w:color w:val="000000"/>
                <w:sz w:val="16"/>
                <w:szCs w:val="16"/>
                <w:lang w:eastAsia="en-AU"/>
              </w:rPr>
              <w:t>Inc.</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74-90 Western Foreshore Road, GEELONG VIC 3220</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19948</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 xml:space="preserve">Highton Bowling Club </w:t>
            </w:r>
            <w:r w:rsidR="00F42BAD" w:rsidRPr="00E60EA6">
              <w:rPr>
                <w:rFonts w:cs="Arial"/>
                <w:color w:val="000000"/>
                <w:sz w:val="16"/>
                <w:szCs w:val="16"/>
                <w:lang w:eastAsia="en-AU"/>
              </w:rPr>
              <w:t>Inc.</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204 Roslyn Road, HIGHTON VIC 3216</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34824</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Barwon Heads Golf Club Incorporated</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1A Golf Links Road, BARWON HEADS VIC 3227</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27814</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Belmont Bowling Club Incorporated</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16-36 Reynolds Road, BELMONT VIC 3216</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lastRenderedPageBreak/>
              <w:t>28619</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Geelong Lawn Tennis Club Incorporated</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12-20 Sommers Street, BELMONT VIC 3216</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28620</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Geelong Bowls Club Incorporated</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4-10 Sommers Street, BELMONT VIC 3216</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41419</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 xml:space="preserve">Geelong Pistol Club </w:t>
            </w:r>
            <w:r w:rsidR="00F42BAD" w:rsidRPr="00E60EA6">
              <w:rPr>
                <w:rFonts w:cs="Arial"/>
                <w:color w:val="000000"/>
                <w:sz w:val="16"/>
                <w:szCs w:val="16"/>
                <w:lang w:eastAsia="en-AU"/>
              </w:rPr>
              <w:t>Inc.</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70-80 Williams Road, MOUNT DUNEED VIC 3217</w:t>
            </w:r>
          </w:p>
        </w:tc>
      </w:tr>
      <w:tr w:rsidR="00CE0920" w:rsidRPr="00E60EA6" w:rsidTr="00B114DB">
        <w:trPr>
          <w:trHeight w:hRule="exact" w:val="583"/>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75364</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 xml:space="preserve">Western District Car Club and </w:t>
            </w:r>
            <w:r w:rsidRPr="00E60EA6">
              <w:rPr>
                <w:rFonts w:cs="Arial"/>
                <w:color w:val="000000"/>
                <w:sz w:val="16"/>
                <w:szCs w:val="16"/>
                <w:lang w:eastAsia="en-AU"/>
              </w:rPr>
              <w:br/>
              <w:t xml:space="preserve">Geelong Motor Sports Complex </w:t>
            </w:r>
            <w:r w:rsidR="00F42BAD" w:rsidRPr="00E60EA6">
              <w:rPr>
                <w:rFonts w:cs="Arial"/>
                <w:color w:val="000000"/>
                <w:sz w:val="16"/>
                <w:szCs w:val="16"/>
                <w:lang w:eastAsia="en-AU"/>
              </w:rPr>
              <w:t>Inc.</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55 Beach Road, AVALON VIC 3212</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76277</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 xml:space="preserve">Beckley Park Committee of Management </w:t>
            </w:r>
            <w:r w:rsidR="00F42BAD" w:rsidRPr="00E60EA6">
              <w:rPr>
                <w:rFonts w:cs="Arial"/>
                <w:color w:val="000000"/>
                <w:sz w:val="16"/>
                <w:szCs w:val="16"/>
                <w:lang w:eastAsia="en-AU"/>
              </w:rPr>
              <w:t>Inc.</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40 Broderick Road, CORIO VIC 3214</w:t>
            </w:r>
          </w:p>
        </w:tc>
      </w:tr>
      <w:tr w:rsidR="00CE0920" w:rsidRPr="00E60EA6" w:rsidTr="00B114DB">
        <w:trPr>
          <w:trHeight w:hRule="exact" w:val="582"/>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78578</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Croatian Community Centre of Geelong (</w:t>
            </w:r>
            <w:r w:rsidR="00F42BAD" w:rsidRPr="00E60EA6">
              <w:rPr>
                <w:rFonts w:cs="Arial"/>
                <w:color w:val="000000"/>
                <w:sz w:val="16"/>
                <w:szCs w:val="16"/>
                <w:lang w:eastAsia="en-AU"/>
              </w:rPr>
              <w:t>Inc.</w:t>
            </w:r>
            <w:r w:rsidRPr="00E60EA6">
              <w:rPr>
                <w:rFonts w:cs="Arial"/>
                <w:color w:val="000000"/>
                <w:sz w:val="16"/>
                <w:szCs w:val="16"/>
                <w:lang w:eastAsia="en-AU"/>
              </w:rPr>
              <w:t>)</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172 Cox Road, CORIO VIC 3214</w:t>
            </w:r>
          </w:p>
        </w:tc>
      </w:tr>
      <w:tr w:rsidR="00CE0920" w:rsidRPr="00E60EA6" w:rsidTr="00B114DB">
        <w:trPr>
          <w:trHeight w:hRule="exact" w:val="514"/>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81781</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 xml:space="preserve">Australian Croatian Sporting Centre and </w:t>
            </w:r>
            <w:r w:rsidRPr="00E60EA6">
              <w:rPr>
                <w:rFonts w:cs="Arial"/>
                <w:color w:val="000000"/>
                <w:sz w:val="16"/>
                <w:szCs w:val="16"/>
                <w:lang w:eastAsia="en-AU"/>
              </w:rPr>
              <w:br/>
              <w:t xml:space="preserve">North Geelong Warriors Soccer Club </w:t>
            </w:r>
            <w:r w:rsidR="00F42BAD" w:rsidRPr="00E60EA6">
              <w:rPr>
                <w:rFonts w:cs="Arial"/>
                <w:color w:val="000000"/>
                <w:sz w:val="16"/>
                <w:szCs w:val="16"/>
                <w:lang w:eastAsia="en-AU"/>
              </w:rPr>
              <w:t>Inc.</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15 Gibbons Road, LARA VIC 3212</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86079</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 xml:space="preserve">Geelong Trailable Yacht Club </w:t>
            </w:r>
            <w:r w:rsidR="00F42BAD" w:rsidRPr="00E60EA6">
              <w:rPr>
                <w:rFonts w:cs="Arial"/>
                <w:color w:val="000000"/>
                <w:sz w:val="16"/>
                <w:szCs w:val="16"/>
                <w:lang w:eastAsia="en-AU"/>
              </w:rPr>
              <w:t>Inc.</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105 Mackey Street, NORTH GEELONG VIC 3215</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51189</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 xml:space="preserve">Clifton Springs Golf Club </w:t>
            </w:r>
            <w:r w:rsidR="00F42BAD" w:rsidRPr="00E60EA6">
              <w:rPr>
                <w:rFonts w:cs="Arial"/>
                <w:color w:val="000000"/>
                <w:sz w:val="16"/>
                <w:szCs w:val="16"/>
                <w:lang w:eastAsia="en-AU"/>
              </w:rPr>
              <w:t>Inc.</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62-88 Clear Water Drive, CLIFTON SPRINGS VIC 3222</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51336</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Clifton Springs Bowling Club</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39 Springs Street, CLIFTON SPRINGS VIC 3222</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51643</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 xml:space="preserve">Drysdale Bowling &amp; Croquet Club </w:t>
            </w:r>
            <w:r w:rsidR="00F42BAD" w:rsidRPr="00E60EA6">
              <w:rPr>
                <w:rFonts w:cs="Arial"/>
                <w:color w:val="000000"/>
                <w:sz w:val="16"/>
                <w:szCs w:val="16"/>
                <w:lang w:eastAsia="en-AU"/>
              </w:rPr>
              <w:t>Inc.</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19-29 Collins Street, DRYSDALE VIC 3222</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55682</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Lonsdale Golf Club</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PARENT - 28 Gill Road, POINT LONSDALE VIC 3225</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56256</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Portarlington Sailing Club</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219 Point Richards Road, PORTARLINGTON VIC 3223</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56261</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Portarlington Bowls Club Incorporated</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2A Harding Street, PORTARLINGTON VIC 3223</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56282</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 xml:space="preserve">Indented Head Boat Club </w:t>
            </w:r>
            <w:r w:rsidR="00F42BAD" w:rsidRPr="00E60EA6">
              <w:rPr>
                <w:rFonts w:cs="Arial"/>
                <w:color w:val="000000"/>
                <w:sz w:val="16"/>
                <w:szCs w:val="16"/>
                <w:lang w:eastAsia="en-AU"/>
              </w:rPr>
              <w:t>Inc.</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326A The Esplanade, INDENTED HEAD VIC 3223</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56284</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Indented Head Yacht Club</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326B The Esplanade, INDENTED HEAD VIC 3223</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56302</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St Leonards Yacht Club &amp; Motor Squadron</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1001 Lower Bluff Road, ST LEONARDS VIC 3223</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59153</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Portarlington Golf Club</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92-160 Hood Road, PORTARLINGTON VIC 3223</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60281</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 xml:space="preserve">Leopold </w:t>
            </w:r>
            <w:r w:rsidR="00F42BAD" w:rsidRPr="00E60EA6">
              <w:rPr>
                <w:rFonts w:cs="Arial"/>
                <w:color w:val="000000"/>
                <w:sz w:val="16"/>
                <w:szCs w:val="16"/>
                <w:lang w:eastAsia="en-AU"/>
              </w:rPr>
              <w:t>Sportsman’s</w:t>
            </w:r>
            <w:r w:rsidRPr="00E60EA6">
              <w:rPr>
                <w:rFonts w:cs="Arial"/>
                <w:color w:val="000000"/>
                <w:sz w:val="16"/>
                <w:szCs w:val="16"/>
                <w:lang w:eastAsia="en-AU"/>
              </w:rPr>
              <w:t xml:space="preserve"> Club </w:t>
            </w:r>
            <w:r w:rsidR="00F42BAD" w:rsidRPr="00E60EA6">
              <w:rPr>
                <w:rFonts w:cs="Arial"/>
                <w:color w:val="000000"/>
                <w:sz w:val="16"/>
                <w:szCs w:val="16"/>
                <w:lang w:eastAsia="en-AU"/>
              </w:rPr>
              <w:t>Inc.</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131-139 Kensington Road, LEOPOLD VIC 3224</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61065</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Ocean Grove Bowling Club Incorporated</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16-24 The Terrace, OCEAN GROVE VIC 3226</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63059</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St Leonards Bowling Club</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1274 Murradoc Road, ST LEONARDS VIC 3223</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71282</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Ocean Grove Golf Club Incorporated</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9 Guthridge Street, OCEAN GROVE VIC 3226</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72825</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 xml:space="preserve">Geelong Watersports Club </w:t>
            </w:r>
            <w:r w:rsidR="00F42BAD" w:rsidRPr="00E60EA6">
              <w:rPr>
                <w:rFonts w:cs="Arial"/>
                <w:color w:val="000000"/>
                <w:sz w:val="16"/>
                <w:szCs w:val="16"/>
                <w:lang w:eastAsia="en-AU"/>
              </w:rPr>
              <w:t>Inc.</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493-499 Wilsons Road, ST ALBANS PARK VIC 3219</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103216</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 xml:space="preserve">Lagoon Boat Club </w:t>
            </w:r>
            <w:r w:rsidR="00F42BAD" w:rsidRPr="00E60EA6">
              <w:rPr>
                <w:rFonts w:cs="Arial"/>
                <w:color w:val="000000"/>
                <w:sz w:val="16"/>
                <w:szCs w:val="16"/>
                <w:lang w:eastAsia="en-AU"/>
              </w:rPr>
              <w:t>Inc.</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200 Foreshore Road, CORIO VIC 3214</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112395</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Belrec Incorporated</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68 Calvert Street, HAMLYN HEIGHTS VIC 3215</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112396</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 xml:space="preserve">North Shore Football &amp; Netball Club </w:t>
            </w:r>
            <w:r w:rsidR="00F42BAD" w:rsidRPr="00E60EA6">
              <w:rPr>
                <w:rFonts w:cs="Arial"/>
                <w:color w:val="000000"/>
                <w:sz w:val="16"/>
                <w:szCs w:val="16"/>
                <w:lang w:eastAsia="en-AU"/>
              </w:rPr>
              <w:t>Inc.</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39 Rose Avenue, NORLANE VIC 3214</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113283</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Lara Sporting Club Incorporated</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4 Mill Road, LARA VIC 3212</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115653</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Corio Bay Sailing Club</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180 Foreshore Road, CORIO VIC 3214</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806676</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Norlane Bowling Club Incorporated</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26-36 St Georges Road, CORIO VIC 3214</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813371</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 xml:space="preserve">Lara Bowling Club </w:t>
            </w:r>
            <w:r w:rsidR="00F42BAD" w:rsidRPr="00E60EA6">
              <w:rPr>
                <w:rFonts w:cs="Arial"/>
                <w:color w:val="000000"/>
                <w:sz w:val="16"/>
                <w:szCs w:val="16"/>
                <w:lang w:eastAsia="en-AU"/>
              </w:rPr>
              <w:t>Inc.</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10 Alkara Avenue, LARA VIC 3212</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821417</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 xml:space="preserve">Herne Hill Bowls Club </w:t>
            </w:r>
            <w:r w:rsidR="00F42BAD" w:rsidRPr="00E60EA6">
              <w:rPr>
                <w:rFonts w:cs="Arial"/>
                <w:color w:val="000000"/>
                <w:sz w:val="16"/>
                <w:szCs w:val="16"/>
                <w:lang w:eastAsia="en-AU"/>
              </w:rPr>
              <w:t>Inc.</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200 McCurdy Road, FYANSFORD VIC 3218</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901556</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 xml:space="preserve">Seabrae Boat Owners Club </w:t>
            </w:r>
            <w:r w:rsidR="00F42BAD" w:rsidRPr="00E60EA6">
              <w:rPr>
                <w:rFonts w:cs="Arial"/>
                <w:color w:val="000000"/>
                <w:sz w:val="16"/>
                <w:szCs w:val="16"/>
                <w:lang w:eastAsia="en-AU"/>
              </w:rPr>
              <w:t>Inc.</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302 Clifton Avenue, LEOPOLD VIC 3224</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902805</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 xml:space="preserve">Barwon Heads Bowling Club </w:t>
            </w:r>
            <w:r w:rsidR="00F42BAD" w:rsidRPr="00E60EA6">
              <w:rPr>
                <w:rFonts w:cs="Arial"/>
                <w:color w:val="000000"/>
                <w:sz w:val="16"/>
                <w:szCs w:val="16"/>
                <w:lang w:eastAsia="en-AU"/>
              </w:rPr>
              <w:t>Inc.</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18 Geelong Road East, BARWON HEADS VIC 3227</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919267</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Lonsdale Golf Club</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69 Fellows Road, POINT LONSDALE VIC 3225</w:t>
            </w:r>
          </w:p>
        </w:tc>
      </w:tr>
      <w:tr w:rsidR="00CE0920" w:rsidRPr="00E60EA6" w:rsidTr="00B114DB">
        <w:trPr>
          <w:trHeight w:hRule="exact" w:val="24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920726</w:t>
            </w:r>
          </w:p>
        </w:tc>
        <w:tc>
          <w:tcPr>
            <w:tcW w:w="3622"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 xml:space="preserve">City of Geelong Bowls Club </w:t>
            </w:r>
            <w:r w:rsidR="00F42BAD" w:rsidRPr="00E60EA6">
              <w:rPr>
                <w:rFonts w:cs="Arial"/>
                <w:color w:val="000000"/>
                <w:sz w:val="16"/>
                <w:szCs w:val="16"/>
                <w:lang w:eastAsia="en-AU"/>
              </w:rPr>
              <w:t>Inc.</w:t>
            </w:r>
          </w:p>
        </w:tc>
        <w:tc>
          <w:tcPr>
            <w:tcW w:w="4253" w:type="dxa"/>
            <w:tcBorders>
              <w:top w:val="nil"/>
              <w:left w:val="nil"/>
              <w:bottom w:val="single" w:sz="4" w:space="0" w:color="auto"/>
              <w:right w:val="single" w:sz="4" w:space="0" w:color="auto"/>
            </w:tcBorders>
            <w:shd w:val="clear" w:color="auto" w:fill="auto"/>
            <w:vAlign w:val="center"/>
            <w:hideMark/>
          </w:tcPr>
          <w:p w:rsidR="00CE0920" w:rsidRPr="00E60EA6" w:rsidRDefault="00CE0920" w:rsidP="00B114DB">
            <w:pPr>
              <w:spacing w:before="20" w:after="20"/>
              <w:rPr>
                <w:rFonts w:cs="Arial"/>
                <w:color w:val="000000"/>
                <w:sz w:val="16"/>
                <w:szCs w:val="16"/>
                <w:lang w:eastAsia="en-AU"/>
              </w:rPr>
            </w:pPr>
            <w:r w:rsidRPr="00E60EA6">
              <w:rPr>
                <w:rFonts w:cs="Arial"/>
                <w:color w:val="000000"/>
                <w:sz w:val="16"/>
                <w:szCs w:val="16"/>
                <w:lang w:eastAsia="en-AU"/>
              </w:rPr>
              <w:t>7-9 Ballarat Road, NORTH GEELONG VIC 3215</w:t>
            </w:r>
          </w:p>
        </w:tc>
      </w:tr>
    </w:tbl>
    <w:p w:rsidR="00CE0920" w:rsidRDefault="00CE0920" w:rsidP="00CE0920">
      <w:pPr>
        <w:ind w:left="567"/>
        <w:jc w:val="both"/>
        <w:rPr>
          <w:rFonts w:cs="Arial"/>
          <w:color w:val="000000"/>
          <w:szCs w:val="22"/>
          <w:lang w:val="en-US"/>
        </w:rPr>
      </w:pPr>
      <w:r>
        <w:rPr>
          <w:rFonts w:cs="Arial"/>
          <w:color w:val="000000"/>
          <w:szCs w:val="22"/>
          <w:lang w:val="en-US"/>
        </w:rPr>
        <w:t>If the ratepayer is not eligible then the transitional rebate may apply.</w:t>
      </w:r>
    </w:p>
    <w:p w:rsidR="00CE0920" w:rsidRPr="00595315" w:rsidRDefault="00CE0920" w:rsidP="00CE0920">
      <w:pPr>
        <w:pStyle w:val="NumberedPara"/>
        <w:rPr>
          <w:color w:val="000000"/>
          <w:sz w:val="22"/>
          <w:szCs w:val="22"/>
        </w:rPr>
      </w:pPr>
      <w:r w:rsidRPr="00595315">
        <w:rPr>
          <w:color w:val="000000"/>
          <w:sz w:val="22"/>
          <w:szCs w:val="22"/>
        </w:rPr>
        <w:t>COUNCIL POLICY</w:t>
      </w:r>
    </w:p>
    <w:p w:rsidR="00CE0920" w:rsidRPr="00595315" w:rsidRDefault="00BE49FF" w:rsidP="00CE0920">
      <w:pPr>
        <w:pStyle w:val="NumberedPara1"/>
        <w:tabs>
          <w:tab w:val="clear" w:pos="1117"/>
          <w:tab w:val="num" w:pos="720"/>
        </w:tabs>
        <w:ind w:left="395"/>
        <w:rPr>
          <w:color w:val="000000"/>
          <w:sz w:val="22"/>
          <w:szCs w:val="22"/>
        </w:rPr>
      </w:pPr>
      <w:r>
        <w:rPr>
          <w:color w:val="000000"/>
          <w:sz w:val="22"/>
          <w:szCs w:val="22"/>
        </w:rPr>
        <w:t xml:space="preserve"> </w:t>
      </w:r>
      <w:r w:rsidR="00CE0920" w:rsidRPr="00595315">
        <w:rPr>
          <w:color w:val="000000"/>
          <w:sz w:val="22"/>
          <w:szCs w:val="22"/>
        </w:rPr>
        <w:t>Statement of Principles</w:t>
      </w:r>
    </w:p>
    <w:p w:rsidR="00CE0920" w:rsidRPr="00595315" w:rsidRDefault="00CE0920" w:rsidP="00CE0920">
      <w:pPr>
        <w:pStyle w:val="NumberedPara2"/>
        <w:tabs>
          <w:tab w:val="clear" w:pos="1588"/>
          <w:tab w:val="num" w:pos="794"/>
        </w:tabs>
        <w:ind w:left="794"/>
        <w:jc w:val="both"/>
        <w:rPr>
          <w:color w:val="000000"/>
          <w:sz w:val="22"/>
          <w:szCs w:val="22"/>
        </w:rPr>
      </w:pPr>
      <w:r w:rsidRPr="00595315">
        <w:rPr>
          <w:color w:val="000000"/>
          <w:sz w:val="22"/>
          <w:szCs w:val="22"/>
        </w:rPr>
        <w:t xml:space="preserve">The application of the rating strategy should be simple, efficient, and include a mechanism that contains principles of public benefit taxation. </w:t>
      </w:r>
    </w:p>
    <w:p w:rsidR="00CE0920" w:rsidRPr="004654FD" w:rsidRDefault="00CE0920" w:rsidP="00CE0920">
      <w:pPr>
        <w:pStyle w:val="NumberedPara2"/>
        <w:tabs>
          <w:tab w:val="clear" w:pos="1588"/>
          <w:tab w:val="num" w:pos="794"/>
        </w:tabs>
        <w:ind w:left="794"/>
        <w:jc w:val="both"/>
        <w:rPr>
          <w:sz w:val="22"/>
          <w:szCs w:val="22"/>
        </w:rPr>
      </w:pPr>
      <w:r w:rsidRPr="00595315">
        <w:rPr>
          <w:color w:val="000000"/>
          <w:sz w:val="22"/>
          <w:szCs w:val="22"/>
        </w:rPr>
        <w:t xml:space="preserve">While general rates are not a 'user pays' mechanism, elements of the rating strategy will embrace the 'user pays' principle where practicable. </w:t>
      </w:r>
      <w:r w:rsidR="0051216F">
        <w:rPr>
          <w:color w:val="000000"/>
          <w:sz w:val="22"/>
          <w:szCs w:val="22"/>
        </w:rPr>
        <w:t>The City</w:t>
      </w:r>
      <w:r w:rsidR="0051216F" w:rsidRPr="00595315">
        <w:rPr>
          <w:color w:val="000000"/>
          <w:sz w:val="22"/>
          <w:szCs w:val="22"/>
        </w:rPr>
        <w:t xml:space="preserve"> </w:t>
      </w:r>
      <w:r w:rsidRPr="00595315">
        <w:rPr>
          <w:color w:val="000000"/>
          <w:sz w:val="22"/>
          <w:szCs w:val="22"/>
        </w:rPr>
        <w:t>may consider the imposition of specific costs that may warrant the striking of new or higher differentials.</w:t>
      </w:r>
      <w:r>
        <w:rPr>
          <w:color w:val="000000"/>
          <w:sz w:val="22"/>
          <w:szCs w:val="22"/>
        </w:rPr>
        <w:t xml:space="preserve"> </w:t>
      </w:r>
      <w:r w:rsidRPr="001E62E6">
        <w:rPr>
          <w:sz w:val="22"/>
          <w:szCs w:val="22"/>
        </w:rPr>
        <w:t>The investigation of new differentials will be conducted as appropriate.</w:t>
      </w:r>
    </w:p>
    <w:p w:rsidR="00CE0920" w:rsidRPr="00595315" w:rsidRDefault="00CE0920" w:rsidP="00CE0920">
      <w:pPr>
        <w:pStyle w:val="NumberedPara2"/>
        <w:tabs>
          <w:tab w:val="clear" w:pos="1588"/>
          <w:tab w:val="num" w:pos="794"/>
        </w:tabs>
        <w:ind w:left="794"/>
        <w:jc w:val="both"/>
        <w:rPr>
          <w:color w:val="000000"/>
          <w:sz w:val="22"/>
          <w:szCs w:val="22"/>
        </w:rPr>
      </w:pPr>
      <w:r w:rsidRPr="00595315">
        <w:rPr>
          <w:color w:val="000000"/>
          <w:sz w:val="22"/>
          <w:szCs w:val="22"/>
        </w:rPr>
        <w:lastRenderedPageBreak/>
        <w:t>Rating must ensure that there is sufficient funding to meet the cost of providing and maintaining infrastructure, assets and services for the benefit of current and future communities.</w:t>
      </w:r>
    </w:p>
    <w:p w:rsidR="00CE0920" w:rsidRPr="00595315" w:rsidRDefault="00CE0920" w:rsidP="00CE0920">
      <w:pPr>
        <w:pStyle w:val="NumberedPara2"/>
        <w:tabs>
          <w:tab w:val="clear" w:pos="1588"/>
          <w:tab w:val="num" w:pos="794"/>
        </w:tabs>
        <w:ind w:left="794"/>
        <w:jc w:val="both"/>
        <w:rPr>
          <w:color w:val="000000"/>
          <w:sz w:val="22"/>
          <w:szCs w:val="22"/>
        </w:rPr>
      </w:pPr>
      <w:r w:rsidRPr="00595315">
        <w:rPr>
          <w:color w:val="000000"/>
          <w:sz w:val="22"/>
          <w:szCs w:val="22"/>
        </w:rPr>
        <w:t xml:space="preserve">The City of Greater Geelong applies a Capital Improved Valuation (CIV) method to all properties within the municipality to take into account the full development value of the property. This method is applied irrespective of whether the property is subject to rates or exempt under legislation. </w:t>
      </w:r>
      <w:r w:rsidR="0051216F">
        <w:rPr>
          <w:color w:val="000000"/>
          <w:sz w:val="22"/>
          <w:szCs w:val="22"/>
        </w:rPr>
        <w:t>The City</w:t>
      </w:r>
      <w:r w:rsidR="0051216F" w:rsidRPr="00595315">
        <w:rPr>
          <w:color w:val="000000"/>
          <w:sz w:val="22"/>
          <w:szCs w:val="22"/>
        </w:rPr>
        <w:t xml:space="preserve"> </w:t>
      </w:r>
      <w:r w:rsidRPr="00595315">
        <w:rPr>
          <w:color w:val="000000"/>
          <w:sz w:val="22"/>
          <w:szCs w:val="22"/>
        </w:rPr>
        <w:t xml:space="preserve">recognises that people with higher value properties generally have higher wealth and a greater ability to meet the provision of </w:t>
      </w:r>
      <w:r w:rsidR="0051216F">
        <w:rPr>
          <w:color w:val="000000"/>
          <w:sz w:val="22"/>
          <w:szCs w:val="22"/>
        </w:rPr>
        <w:t>c</w:t>
      </w:r>
      <w:r w:rsidR="0051216F" w:rsidRPr="00595315">
        <w:rPr>
          <w:color w:val="000000"/>
          <w:sz w:val="22"/>
          <w:szCs w:val="22"/>
        </w:rPr>
        <w:t xml:space="preserve">ouncil </w:t>
      </w:r>
      <w:r w:rsidRPr="00595315">
        <w:rPr>
          <w:color w:val="000000"/>
          <w:sz w:val="22"/>
          <w:szCs w:val="22"/>
        </w:rPr>
        <w:t>services.</w:t>
      </w:r>
    </w:p>
    <w:p w:rsidR="00CE0920" w:rsidRPr="00595315" w:rsidRDefault="00CE0920" w:rsidP="00CE0920">
      <w:pPr>
        <w:pStyle w:val="NumberedPara2"/>
        <w:tabs>
          <w:tab w:val="clear" w:pos="1588"/>
          <w:tab w:val="num" w:pos="794"/>
        </w:tabs>
        <w:ind w:left="794"/>
        <w:jc w:val="both"/>
        <w:rPr>
          <w:color w:val="000000"/>
          <w:sz w:val="22"/>
          <w:szCs w:val="22"/>
        </w:rPr>
      </w:pPr>
      <w:r w:rsidRPr="00595315">
        <w:rPr>
          <w:color w:val="000000"/>
          <w:sz w:val="22"/>
          <w:szCs w:val="22"/>
        </w:rPr>
        <w:t xml:space="preserve">Rating, through the application of higher differentials, recognises the ability of some ratepayers to obtain concessions from the tax deductibility of </w:t>
      </w:r>
      <w:r w:rsidR="0051216F">
        <w:rPr>
          <w:color w:val="000000"/>
          <w:sz w:val="22"/>
          <w:szCs w:val="22"/>
        </w:rPr>
        <w:t>c</w:t>
      </w:r>
      <w:r w:rsidR="0051216F" w:rsidRPr="00595315">
        <w:rPr>
          <w:color w:val="000000"/>
          <w:sz w:val="22"/>
          <w:szCs w:val="22"/>
        </w:rPr>
        <w:t xml:space="preserve">ouncil </w:t>
      </w:r>
      <w:r w:rsidRPr="00595315">
        <w:rPr>
          <w:color w:val="000000"/>
          <w:sz w:val="22"/>
          <w:szCs w:val="22"/>
        </w:rPr>
        <w:t xml:space="preserve">rates and provides for a series of differential rates. This takes into account low economic return to large landholdings, avoidance of distortions in the market or an ability to contribute above the standard charge. </w:t>
      </w:r>
    </w:p>
    <w:p w:rsidR="00CE0920" w:rsidRPr="00595315" w:rsidRDefault="00CE0920" w:rsidP="00CE0920">
      <w:pPr>
        <w:pStyle w:val="NumberedPara2"/>
        <w:tabs>
          <w:tab w:val="clear" w:pos="1588"/>
          <w:tab w:val="num" w:pos="794"/>
        </w:tabs>
        <w:ind w:left="794"/>
        <w:jc w:val="both"/>
        <w:rPr>
          <w:color w:val="000000"/>
          <w:sz w:val="22"/>
          <w:szCs w:val="22"/>
        </w:rPr>
      </w:pPr>
      <w:r w:rsidRPr="00595315">
        <w:rPr>
          <w:color w:val="000000"/>
          <w:sz w:val="22"/>
          <w:szCs w:val="22"/>
        </w:rPr>
        <w:t>Rating shall endeavour to promote and encourage economic development throughout the municipality.</w:t>
      </w:r>
    </w:p>
    <w:p w:rsidR="00CE0920" w:rsidRPr="00595315" w:rsidRDefault="00CE0920" w:rsidP="00CE0920">
      <w:pPr>
        <w:pStyle w:val="NumberedPara2"/>
        <w:tabs>
          <w:tab w:val="clear" w:pos="1588"/>
          <w:tab w:val="num" w:pos="794"/>
        </w:tabs>
        <w:ind w:left="794"/>
        <w:jc w:val="both"/>
        <w:rPr>
          <w:color w:val="000000"/>
          <w:sz w:val="22"/>
          <w:szCs w:val="22"/>
        </w:rPr>
      </w:pPr>
      <w:r w:rsidRPr="00595315">
        <w:rPr>
          <w:color w:val="000000"/>
          <w:sz w:val="22"/>
          <w:szCs w:val="22"/>
        </w:rPr>
        <w:t xml:space="preserve">The Farm Land differential is intended to recognise the benefits of large land holdings, open space and what has traditionally been a lesser demand upon </w:t>
      </w:r>
      <w:r w:rsidR="00017BEB">
        <w:rPr>
          <w:color w:val="000000"/>
          <w:sz w:val="22"/>
          <w:szCs w:val="22"/>
        </w:rPr>
        <w:t>c</w:t>
      </w:r>
      <w:r w:rsidR="00017BEB" w:rsidRPr="00595315">
        <w:rPr>
          <w:color w:val="000000"/>
          <w:sz w:val="22"/>
          <w:szCs w:val="22"/>
        </w:rPr>
        <w:t xml:space="preserve">ouncil </w:t>
      </w:r>
      <w:r w:rsidRPr="00595315">
        <w:rPr>
          <w:color w:val="000000"/>
          <w:sz w:val="22"/>
          <w:szCs w:val="22"/>
        </w:rPr>
        <w:t xml:space="preserve">services per land area held. </w:t>
      </w:r>
      <w:r w:rsidR="00017BEB">
        <w:rPr>
          <w:color w:val="000000"/>
          <w:sz w:val="22"/>
          <w:szCs w:val="22"/>
        </w:rPr>
        <w:t>The City</w:t>
      </w:r>
      <w:r w:rsidR="00017BEB" w:rsidRPr="00595315">
        <w:rPr>
          <w:color w:val="000000"/>
          <w:sz w:val="22"/>
          <w:szCs w:val="22"/>
        </w:rPr>
        <w:t xml:space="preserve"> </w:t>
      </w:r>
      <w:r w:rsidRPr="00595315">
        <w:rPr>
          <w:color w:val="000000"/>
          <w:sz w:val="22"/>
          <w:szCs w:val="22"/>
        </w:rPr>
        <w:t xml:space="preserve">has used a combination of a differential rate and a rebate under </w:t>
      </w:r>
      <w:r w:rsidR="00017BEB">
        <w:rPr>
          <w:color w:val="000000"/>
          <w:sz w:val="22"/>
          <w:szCs w:val="22"/>
        </w:rPr>
        <w:t>s</w:t>
      </w:r>
      <w:r w:rsidR="00017BEB" w:rsidRPr="00595315">
        <w:rPr>
          <w:color w:val="000000"/>
          <w:sz w:val="22"/>
          <w:szCs w:val="22"/>
        </w:rPr>
        <w:t xml:space="preserve">ection </w:t>
      </w:r>
      <w:r w:rsidRPr="00595315">
        <w:rPr>
          <w:color w:val="000000"/>
          <w:sz w:val="22"/>
          <w:szCs w:val="22"/>
        </w:rPr>
        <w:t>169 of the LGA in order to maintain the status of farms as the lowest rated tariff group.</w:t>
      </w:r>
    </w:p>
    <w:p w:rsidR="00CE0920" w:rsidRPr="00595315" w:rsidRDefault="00CE0920" w:rsidP="00CE0920">
      <w:pPr>
        <w:pStyle w:val="NumberedPara2"/>
        <w:tabs>
          <w:tab w:val="clear" w:pos="1588"/>
          <w:tab w:val="num" w:pos="794"/>
        </w:tabs>
        <w:ind w:left="794"/>
        <w:jc w:val="both"/>
        <w:rPr>
          <w:color w:val="000000"/>
          <w:sz w:val="22"/>
          <w:szCs w:val="22"/>
        </w:rPr>
      </w:pPr>
      <w:r w:rsidRPr="00595315">
        <w:rPr>
          <w:color w:val="000000"/>
          <w:sz w:val="22"/>
          <w:szCs w:val="22"/>
        </w:rPr>
        <w:t>Vacant Land is rated at a higher rate in the dollar than Residential Land to encourage the development of the land and discourage future subdivisions ahead of market elements.</w:t>
      </w:r>
    </w:p>
    <w:p w:rsidR="00CE0920" w:rsidRPr="00595315" w:rsidRDefault="00CE0920" w:rsidP="00CE0920">
      <w:pPr>
        <w:pStyle w:val="NumberedPara2"/>
        <w:tabs>
          <w:tab w:val="clear" w:pos="1588"/>
          <w:tab w:val="num" w:pos="794"/>
        </w:tabs>
        <w:ind w:left="794"/>
        <w:jc w:val="both"/>
        <w:rPr>
          <w:color w:val="000000"/>
          <w:sz w:val="22"/>
          <w:szCs w:val="22"/>
        </w:rPr>
      </w:pPr>
      <w:r w:rsidRPr="00595315">
        <w:rPr>
          <w:color w:val="000000"/>
          <w:sz w:val="22"/>
          <w:szCs w:val="22"/>
        </w:rPr>
        <w:t>To promote equity in rating, a "Municipal Charge" may be used or, where appropriate, an ex-gratia amount may be negotiated.</w:t>
      </w:r>
    </w:p>
    <w:p w:rsidR="00CE0920" w:rsidRPr="00595315" w:rsidRDefault="00CE0920" w:rsidP="00CE0920">
      <w:pPr>
        <w:pStyle w:val="NumberedPara1"/>
        <w:numPr>
          <w:ilvl w:val="0"/>
          <w:numId w:val="0"/>
        </w:numPr>
        <w:ind w:left="395"/>
        <w:jc w:val="both"/>
        <w:rPr>
          <w:color w:val="000000"/>
          <w:sz w:val="22"/>
          <w:szCs w:val="22"/>
        </w:rPr>
      </w:pPr>
    </w:p>
    <w:p w:rsidR="00CE0920" w:rsidRPr="00595315" w:rsidRDefault="00CE0920" w:rsidP="00CE0920">
      <w:pPr>
        <w:pStyle w:val="NumberedPara1"/>
        <w:tabs>
          <w:tab w:val="clear" w:pos="1117"/>
          <w:tab w:val="num" w:pos="720"/>
        </w:tabs>
        <w:ind w:left="395"/>
        <w:jc w:val="both"/>
        <w:rPr>
          <w:color w:val="000000"/>
          <w:sz w:val="22"/>
          <w:szCs w:val="22"/>
        </w:rPr>
      </w:pPr>
      <w:r w:rsidRPr="00595315">
        <w:rPr>
          <w:color w:val="000000"/>
          <w:sz w:val="22"/>
          <w:szCs w:val="22"/>
        </w:rPr>
        <w:t xml:space="preserve"> Rating Strategy</w:t>
      </w:r>
      <w:r w:rsidRPr="00595315">
        <w:rPr>
          <w:color w:val="000000"/>
          <w:sz w:val="22"/>
          <w:szCs w:val="22"/>
        </w:rPr>
        <w:fldChar w:fldCharType="begin"/>
      </w:r>
      <w:r w:rsidRPr="00595315">
        <w:rPr>
          <w:color w:val="000000"/>
          <w:sz w:val="22"/>
          <w:szCs w:val="22"/>
        </w:rPr>
        <w:fldChar w:fldCharType="end"/>
      </w:r>
    </w:p>
    <w:p w:rsidR="00CE0920" w:rsidRPr="00595315" w:rsidRDefault="00017BEB" w:rsidP="005167B1">
      <w:pPr>
        <w:pStyle w:val="RecommendedBody"/>
        <w:spacing w:after="0"/>
        <w:ind w:firstLine="567"/>
        <w:jc w:val="both"/>
        <w:rPr>
          <w:color w:val="000000"/>
          <w:sz w:val="22"/>
          <w:szCs w:val="22"/>
        </w:rPr>
      </w:pPr>
      <w:r>
        <w:rPr>
          <w:color w:val="000000"/>
          <w:sz w:val="22"/>
          <w:szCs w:val="22"/>
        </w:rPr>
        <w:t xml:space="preserve">   </w:t>
      </w:r>
      <w:r w:rsidR="00CE0920" w:rsidRPr="00595315">
        <w:rPr>
          <w:color w:val="000000"/>
          <w:sz w:val="22"/>
          <w:szCs w:val="22"/>
        </w:rPr>
        <w:t>Parameters to be considered in developing Rating Strategy:</w:t>
      </w:r>
    </w:p>
    <w:p w:rsidR="00CE0920" w:rsidRPr="00595315" w:rsidRDefault="00CE0920" w:rsidP="00CE0920">
      <w:pPr>
        <w:pStyle w:val="NumberedPara2"/>
        <w:tabs>
          <w:tab w:val="clear" w:pos="1588"/>
          <w:tab w:val="num" w:pos="794"/>
        </w:tabs>
        <w:ind w:left="794"/>
        <w:jc w:val="both"/>
        <w:rPr>
          <w:color w:val="000000"/>
          <w:sz w:val="22"/>
          <w:szCs w:val="22"/>
        </w:rPr>
      </w:pPr>
      <w:r w:rsidRPr="00595315">
        <w:rPr>
          <w:color w:val="000000"/>
          <w:sz w:val="22"/>
          <w:szCs w:val="22"/>
        </w:rPr>
        <w:t>Rate Differentials (or "RateTypes"):</w:t>
      </w:r>
    </w:p>
    <w:p w:rsidR="00CE0920" w:rsidRPr="00595315" w:rsidRDefault="00CE0920" w:rsidP="00CE0920">
      <w:pPr>
        <w:pStyle w:val="NormalIndent1"/>
        <w:ind w:left="794"/>
        <w:jc w:val="both"/>
        <w:rPr>
          <w:color w:val="000000"/>
          <w:sz w:val="22"/>
          <w:szCs w:val="22"/>
        </w:rPr>
      </w:pPr>
      <w:r w:rsidRPr="00595315">
        <w:rPr>
          <w:color w:val="000000"/>
          <w:sz w:val="22"/>
          <w:szCs w:val="22"/>
        </w:rPr>
        <w:t xml:space="preserve">Under </w:t>
      </w:r>
      <w:r w:rsidR="00794E57">
        <w:rPr>
          <w:color w:val="000000"/>
          <w:sz w:val="22"/>
          <w:szCs w:val="22"/>
        </w:rPr>
        <w:t>s</w:t>
      </w:r>
      <w:r w:rsidR="00794E57" w:rsidRPr="00595315">
        <w:rPr>
          <w:color w:val="000000"/>
          <w:sz w:val="22"/>
          <w:szCs w:val="22"/>
        </w:rPr>
        <w:t xml:space="preserve">ection </w:t>
      </w:r>
      <w:r w:rsidRPr="00595315">
        <w:rPr>
          <w:color w:val="000000"/>
          <w:sz w:val="22"/>
          <w:szCs w:val="22"/>
        </w:rPr>
        <w:t>161(1) of the LGA.</w:t>
      </w:r>
    </w:p>
    <w:p w:rsidR="00CE0920" w:rsidRPr="00595315" w:rsidRDefault="00017BEB" w:rsidP="00CE0920">
      <w:pPr>
        <w:pStyle w:val="NormalIndent1"/>
        <w:ind w:left="794"/>
        <w:jc w:val="both"/>
        <w:rPr>
          <w:color w:val="000000"/>
          <w:sz w:val="22"/>
          <w:szCs w:val="22"/>
        </w:rPr>
      </w:pPr>
      <w:r>
        <w:rPr>
          <w:color w:val="000000"/>
          <w:sz w:val="22"/>
          <w:szCs w:val="22"/>
        </w:rPr>
        <w:t>The City</w:t>
      </w:r>
      <w:r w:rsidRPr="00595315">
        <w:rPr>
          <w:color w:val="000000"/>
          <w:sz w:val="22"/>
          <w:szCs w:val="22"/>
        </w:rPr>
        <w:t xml:space="preserve"> </w:t>
      </w:r>
      <w:r w:rsidR="00CE0920" w:rsidRPr="00595315">
        <w:rPr>
          <w:color w:val="000000"/>
          <w:sz w:val="22"/>
          <w:szCs w:val="22"/>
        </w:rPr>
        <w:t>will apply differential rates to ensure there is flexibility in the rating model to enable rates to be raised at different levels.</w:t>
      </w:r>
    </w:p>
    <w:p w:rsidR="00CE0920" w:rsidRDefault="00017BEB" w:rsidP="00CE0920">
      <w:pPr>
        <w:pStyle w:val="NormalIndent1"/>
        <w:ind w:left="794"/>
        <w:jc w:val="both"/>
        <w:rPr>
          <w:rFonts w:cs="Arial"/>
          <w:bCs/>
          <w:sz w:val="22"/>
          <w:szCs w:val="22"/>
        </w:rPr>
      </w:pPr>
      <w:r>
        <w:rPr>
          <w:rFonts w:cs="Arial"/>
          <w:bCs/>
          <w:sz w:val="22"/>
          <w:szCs w:val="22"/>
        </w:rPr>
        <w:lastRenderedPageBreak/>
        <w:t>The City</w:t>
      </w:r>
      <w:r w:rsidRPr="00595315">
        <w:rPr>
          <w:rFonts w:cs="Arial"/>
          <w:bCs/>
          <w:sz w:val="22"/>
          <w:szCs w:val="22"/>
        </w:rPr>
        <w:t xml:space="preserve"> </w:t>
      </w:r>
      <w:r w:rsidR="00CE0920" w:rsidRPr="00595315">
        <w:rPr>
          <w:rFonts w:cs="Arial"/>
          <w:bCs/>
          <w:sz w:val="22"/>
          <w:szCs w:val="22"/>
        </w:rPr>
        <w:t xml:space="preserve">has considered its differential rates in the context of the range of revenue instruments available to it and has determined that differential rates are the most appropriate means of meeting </w:t>
      </w:r>
      <w:r>
        <w:rPr>
          <w:rFonts w:cs="Arial"/>
          <w:bCs/>
          <w:sz w:val="22"/>
          <w:szCs w:val="22"/>
        </w:rPr>
        <w:t xml:space="preserve">the City’s </w:t>
      </w:r>
      <w:r w:rsidR="00CE0920" w:rsidRPr="00595315">
        <w:rPr>
          <w:rFonts w:cs="Arial"/>
          <w:bCs/>
          <w:sz w:val="22"/>
          <w:szCs w:val="22"/>
        </w:rPr>
        <w:t>stated objectives.</w:t>
      </w:r>
    </w:p>
    <w:p w:rsidR="00CE0920" w:rsidRPr="001E62E6" w:rsidRDefault="00CE0920" w:rsidP="00CE0920">
      <w:pPr>
        <w:pStyle w:val="NormalIndent1"/>
        <w:ind w:left="794"/>
        <w:jc w:val="both"/>
        <w:rPr>
          <w:sz w:val="22"/>
          <w:szCs w:val="22"/>
        </w:rPr>
      </w:pPr>
      <w:r w:rsidRPr="001E62E6">
        <w:rPr>
          <w:rFonts w:cs="Arial"/>
          <w:bCs/>
          <w:sz w:val="22"/>
          <w:szCs w:val="22"/>
        </w:rPr>
        <w:t>The investigation of introducing new differentials will proceed budget discussions.</w:t>
      </w:r>
    </w:p>
    <w:p w:rsidR="00CE0920" w:rsidRPr="00595315" w:rsidRDefault="00CE0920" w:rsidP="00CE0920">
      <w:pPr>
        <w:pStyle w:val="NumberedPara2"/>
        <w:tabs>
          <w:tab w:val="clear" w:pos="1588"/>
          <w:tab w:val="num" w:pos="794"/>
        </w:tabs>
        <w:ind w:left="794"/>
        <w:jc w:val="both"/>
        <w:rPr>
          <w:color w:val="000000"/>
          <w:sz w:val="22"/>
          <w:szCs w:val="22"/>
        </w:rPr>
      </w:pPr>
      <w:r w:rsidRPr="00595315">
        <w:rPr>
          <w:color w:val="000000"/>
          <w:sz w:val="22"/>
          <w:szCs w:val="22"/>
        </w:rPr>
        <w:t>Municipal Charge:</w:t>
      </w:r>
    </w:p>
    <w:p w:rsidR="00CE0920" w:rsidRPr="00595315" w:rsidRDefault="00CE0920" w:rsidP="00CE0920">
      <w:pPr>
        <w:pStyle w:val="NormalIndent1"/>
        <w:ind w:left="794"/>
        <w:jc w:val="both"/>
        <w:rPr>
          <w:color w:val="000000"/>
          <w:sz w:val="22"/>
          <w:szCs w:val="22"/>
        </w:rPr>
      </w:pPr>
      <w:r w:rsidRPr="00595315">
        <w:rPr>
          <w:color w:val="000000"/>
          <w:sz w:val="22"/>
          <w:szCs w:val="22"/>
        </w:rPr>
        <w:t xml:space="preserve">Under </w:t>
      </w:r>
      <w:r w:rsidR="00017BEB">
        <w:rPr>
          <w:color w:val="000000"/>
          <w:sz w:val="22"/>
          <w:szCs w:val="22"/>
        </w:rPr>
        <w:t>s</w:t>
      </w:r>
      <w:r w:rsidR="00017BEB" w:rsidRPr="00595315">
        <w:rPr>
          <w:color w:val="000000"/>
          <w:sz w:val="22"/>
          <w:szCs w:val="22"/>
        </w:rPr>
        <w:t xml:space="preserve">ection </w:t>
      </w:r>
      <w:r w:rsidRPr="00595315">
        <w:rPr>
          <w:color w:val="000000"/>
          <w:sz w:val="22"/>
          <w:szCs w:val="22"/>
        </w:rPr>
        <w:t>159(1) of the LGA</w:t>
      </w:r>
    </w:p>
    <w:p w:rsidR="00CE0920" w:rsidRPr="00595315" w:rsidRDefault="00017BEB" w:rsidP="00CE0920">
      <w:pPr>
        <w:pStyle w:val="NormalIndent1"/>
        <w:ind w:left="794"/>
        <w:jc w:val="both"/>
        <w:rPr>
          <w:color w:val="000000"/>
          <w:sz w:val="22"/>
          <w:szCs w:val="22"/>
        </w:rPr>
      </w:pPr>
      <w:r>
        <w:rPr>
          <w:color w:val="000000"/>
          <w:sz w:val="22"/>
          <w:szCs w:val="22"/>
        </w:rPr>
        <w:t>The City</w:t>
      </w:r>
      <w:r w:rsidRPr="00595315">
        <w:rPr>
          <w:color w:val="000000"/>
          <w:sz w:val="22"/>
          <w:szCs w:val="22"/>
        </w:rPr>
        <w:t xml:space="preserve"> </w:t>
      </w:r>
      <w:r w:rsidR="00CE0920" w:rsidRPr="00595315">
        <w:rPr>
          <w:color w:val="000000"/>
          <w:sz w:val="22"/>
          <w:szCs w:val="22"/>
        </w:rPr>
        <w:t xml:space="preserve">will apply a "Municipal Charge" to ensure some of its fixed administrative costs are recovered as a uniform contribution by all of its ratepayers.  </w:t>
      </w:r>
    </w:p>
    <w:p w:rsidR="00CE0920" w:rsidRPr="00595315" w:rsidRDefault="00CE0920" w:rsidP="00CE0920">
      <w:pPr>
        <w:pStyle w:val="NormalIndent1"/>
        <w:ind w:left="794"/>
        <w:jc w:val="both"/>
        <w:rPr>
          <w:i/>
          <w:color w:val="000000"/>
          <w:sz w:val="22"/>
          <w:szCs w:val="22"/>
        </w:rPr>
      </w:pPr>
      <w:r w:rsidRPr="00595315">
        <w:rPr>
          <w:color w:val="000000"/>
          <w:sz w:val="22"/>
          <w:szCs w:val="22"/>
        </w:rPr>
        <w:t>(</w:t>
      </w:r>
      <w:r w:rsidRPr="00595315">
        <w:rPr>
          <w:i/>
          <w:color w:val="000000"/>
          <w:sz w:val="22"/>
          <w:szCs w:val="22"/>
        </w:rPr>
        <w:t xml:space="preserve">Note: </w:t>
      </w:r>
      <w:r w:rsidR="00017BEB">
        <w:rPr>
          <w:i/>
          <w:color w:val="000000"/>
          <w:sz w:val="22"/>
          <w:szCs w:val="22"/>
        </w:rPr>
        <w:t xml:space="preserve">City of Greater Geelong </w:t>
      </w:r>
      <w:r w:rsidRPr="00595315">
        <w:rPr>
          <w:i/>
          <w:color w:val="000000"/>
          <w:sz w:val="22"/>
          <w:szCs w:val="22"/>
        </w:rPr>
        <w:t xml:space="preserve">intent is to continually review the charge over time, noting that it can total no more than 20% of the total rate income as required by </w:t>
      </w:r>
      <w:r w:rsidR="00017BEB">
        <w:rPr>
          <w:i/>
          <w:color w:val="000000"/>
          <w:sz w:val="22"/>
          <w:szCs w:val="22"/>
        </w:rPr>
        <w:t>s</w:t>
      </w:r>
      <w:r w:rsidR="00017BEB" w:rsidRPr="00595315">
        <w:rPr>
          <w:i/>
          <w:color w:val="000000"/>
          <w:sz w:val="22"/>
          <w:szCs w:val="22"/>
        </w:rPr>
        <w:t xml:space="preserve">ection </w:t>
      </w:r>
      <w:r w:rsidRPr="00595315">
        <w:rPr>
          <w:i/>
          <w:color w:val="000000"/>
          <w:sz w:val="22"/>
          <w:szCs w:val="22"/>
        </w:rPr>
        <w:t>159(2) of the LGA.).</w:t>
      </w:r>
    </w:p>
    <w:p w:rsidR="00CE0920" w:rsidRPr="00595315" w:rsidRDefault="00CE0920" w:rsidP="00CE0920">
      <w:pPr>
        <w:pStyle w:val="NumberedPara2"/>
        <w:tabs>
          <w:tab w:val="clear" w:pos="1588"/>
          <w:tab w:val="num" w:pos="794"/>
        </w:tabs>
        <w:ind w:left="794"/>
        <w:jc w:val="both"/>
        <w:rPr>
          <w:color w:val="000000"/>
          <w:sz w:val="22"/>
          <w:szCs w:val="22"/>
        </w:rPr>
      </w:pPr>
      <w:r w:rsidRPr="00595315">
        <w:rPr>
          <w:color w:val="000000"/>
          <w:sz w:val="22"/>
          <w:szCs w:val="22"/>
        </w:rPr>
        <w:t>Service Rates &amp; Charges:</w:t>
      </w:r>
    </w:p>
    <w:p w:rsidR="00CE0920" w:rsidRPr="00595315" w:rsidRDefault="00CE0920" w:rsidP="00CE0920">
      <w:pPr>
        <w:pStyle w:val="NormalIndent1"/>
        <w:ind w:left="794"/>
        <w:jc w:val="both"/>
        <w:rPr>
          <w:color w:val="000000"/>
          <w:sz w:val="22"/>
          <w:szCs w:val="22"/>
        </w:rPr>
      </w:pPr>
      <w:r w:rsidRPr="00595315">
        <w:rPr>
          <w:color w:val="000000"/>
          <w:sz w:val="22"/>
          <w:szCs w:val="22"/>
        </w:rPr>
        <w:t xml:space="preserve">Under </w:t>
      </w:r>
      <w:r w:rsidR="00017BEB">
        <w:rPr>
          <w:color w:val="000000"/>
          <w:sz w:val="22"/>
          <w:szCs w:val="22"/>
        </w:rPr>
        <w:t>s</w:t>
      </w:r>
      <w:r w:rsidR="00017BEB" w:rsidRPr="00595315">
        <w:rPr>
          <w:color w:val="000000"/>
          <w:sz w:val="22"/>
          <w:szCs w:val="22"/>
        </w:rPr>
        <w:t xml:space="preserve">ection </w:t>
      </w:r>
      <w:r w:rsidRPr="00595315">
        <w:rPr>
          <w:color w:val="000000"/>
          <w:sz w:val="22"/>
          <w:szCs w:val="22"/>
        </w:rPr>
        <w:t>162(1) of the LGA</w:t>
      </w:r>
    </w:p>
    <w:p w:rsidR="00CE0920" w:rsidRDefault="00017BEB" w:rsidP="00CE0920">
      <w:pPr>
        <w:pStyle w:val="NormalIndent1"/>
        <w:ind w:left="794"/>
        <w:jc w:val="both"/>
        <w:rPr>
          <w:color w:val="000000"/>
          <w:sz w:val="22"/>
          <w:szCs w:val="22"/>
        </w:rPr>
      </w:pPr>
      <w:r>
        <w:rPr>
          <w:color w:val="000000"/>
          <w:sz w:val="22"/>
          <w:szCs w:val="22"/>
        </w:rPr>
        <w:t>The City</w:t>
      </w:r>
      <w:r w:rsidRPr="00595315">
        <w:rPr>
          <w:color w:val="000000"/>
          <w:sz w:val="22"/>
          <w:szCs w:val="22"/>
        </w:rPr>
        <w:t xml:space="preserve"> </w:t>
      </w:r>
      <w:r w:rsidR="00CE0920" w:rsidRPr="00595315">
        <w:rPr>
          <w:color w:val="000000"/>
          <w:sz w:val="22"/>
          <w:szCs w:val="22"/>
        </w:rPr>
        <w:t>has service rates and charges to recover the full cost of the service from the user through an annual charge, e</w:t>
      </w:r>
      <w:r>
        <w:rPr>
          <w:color w:val="000000"/>
          <w:sz w:val="22"/>
          <w:szCs w:val="22"/>
        </w:rPr>
        <w:t>.</w:t>
      </w:r>
      <w:r w:rsidR="00CE0920" w:rsidRPr="00595315">
        <w:rPr>
          <w:color w:val="000000"/>
          <w:sz w:val="22"/>
          <w:szCs w:val="22"/>
        </w:rPr>
        <w:t xml:space="preserve">g. the </w:t>
      </w:r>
      <w:r w:rsidR="00CE0920" w:rsidRPr="008C135D">
        <w:rPr>
          <w:color w:val="000000"/>
          <w:sz w:val="22"/>
          <w:szCs w:val="22"/>
        </w:rPr>
        <w:t>waste management / garbage charge</w:t>
      </w:r>
      <w:r w:rsidR="00CE0920" w:rsidRPr="00595315">
        <w:rPr>
          <w:color w:val="000000"/>
          <w:sz w:val="22"/>
          <w:szCs w:val="22"/>
        </w:rPr>
        <w:t xml:space="preserve"> is determined annually in accordance with cost and service. </w:t>
      </w:r>
    </w:p>
    <w:p w:rsidR="00CE0920" w:rsidRPr="00595315" w:rsidRDefault="00CE0920" w:rsidP="00CE0920">
      <w:pPr>
        <w:pStyle w:val="NormalIndent1"/>
        <w:ind w:left="794"/>
        <w:jc w:val="both"/>
        <w:rPr>
          <w:color w:val="000000"/>
          <w:sz w:val="22"/>
          <w:szCs w:val="22"/>
        </w:rPr>
      </w:pPr>
      <w:r>
        <w:rPr>
          <w:color w:val="000000"/>
          <w:sz w:val="22"/>
          <w:szCs w:val="22"/>
        </w:rPr>
        <w:t>From 1 July 2016 a user pays system will be introduced for an additional bin service.</w:t>
      </w:r>
    </w:p>
    <w:p w:rsidR="00CE0920" w:rsidRPr="00595315" w:rsidRDefault="00CE0920" w:rsidP="00CE0920">
      <w:pPr>
        <w:pStyle w:val="NumberedPara2"/>
        <w:tabs>
          <w:tab w:val="clear" w:pos="1588"/>
          <w:tab w:val="num" w:pos="794"/>
        </w:tabs>
        <w:ind w:left="794"/>
        <w:jc w:val="both"/>
        <w:rPr>
          <w:color w:val="000000"/>
          <w:sz w:val="22"/>
          <w:szCs w:val="22"/>
        </w:rPr>
      </w:pPr>
      <w:r w:rsidRPr="00595315">
        <w:rPr>
          <w:color w:val="000000"/>
          <w:sz w:val="22"/>
          <w:szCs w:val="22"/>
        </w:rPr>
        <w:t>Special Rates &amp; Charges:</w:t>
      </w:r>
    </w:p>
    <w:p w:rsidR="00CE0920" w:rsidRPr="00595315" w:rsidRDefault="00CE0920" w:rsidP="00CE0920">
      <w:pPr>
        <w:pStyle w:val="NormalIndent1"/>
        <w:ind w:left="794"/>
        <w:jc w:val="both"/>
        <w:rPr>
          <w:color w:val="000000"/>
          <w:sz w:val="22"/>
          <w:szCs w:val="22"/>
        </w:rPr>
      </w:pPr>
      <w:r w:rsidRPr="00595315">
        <w:rPr>
          <w:color w:val="000000"/>
          <w:sz w:val="22"/>
          <w:szCs w:val="22"/>
        </w:rPr>
        <w:t xml:space="preserve">Under </w:t>
      </w:r>
      <w:r w:rsidR="00017BEB">
        <w:rPr>
          <w:color w:val="000000"/>
          <w:sz w:val="22"/>
          <w:szCs w:val="22"/>
        </w:rPr>
        <w:t>s</w:t>
      </w:r>
      <w:r w:rsidR="00017BEB" w:rsidRPr="00595315">
        <w:rPr>
          <w:color w:val="000000"/>
          <w:sz w:val="22"/>
          <w:szCs w:val="22"/>
        </w:rPr>
        <w:t xml:space="preserve">ection </w:t>
      </w:r>
      <w:r w:rsidRPr="00595315">
        <w:rPr>
          <w:color w:val="000000"/>
          <w:sz w:val="22"/>
          <w:szCs w:val="22"/>
        </w:rPr>
        <w:t>163(1) of the LGA</w:t>
      </w:r>
    </w:p>
    <w:p w:rsidR="00CE0920" w:rsidRPr="00595315" w:rsidRDefault="00017BEB" w:rsidP="00CE0920">
      <w:pPr>
        <w:pStyle w:val="NormalIndent1"/>
        <w:ind w:left="794"/>
        <w:jc w:val="both"/>
        <w:rPr>
          <w:color w:val="000000"/>
          <w:sz w:val="22"/>
          <w:szCs w:val="22"/>
        </w:rPr>
      </w:pPr>
      <w:r>
        <w:rPr>
          <w:color w:val="000000"/>
          <w:sz w:val="22"/>
          <w:szCs w:val="22"/>
        </w:rPr>
        <w:t>The City</w:t>
      </w:r>
      <w:r w:rsidRPr="00595315">
        <w:rPr>
          <w:color w:val="000000"/>
          <w:sz w:val="22"/>
          <w:szCs w:val="22"/>
        </w:rPr>
        <w:t xml:space="preserve"> </w:t>
      </w:r>
      <w:r w:rsidR="00CE0920" w:rsidRPr="00595315">
        <w:rPr>
          <w:color w:val="000000"/>
          <w:sz w:val="22"/>
          <w:szCs w:val="22"/>
        </w:rPr>
        <w:t>has special rates and charges to defray the cost for the performance of a function that is of special benefit to any specific ratepayer group (refer Council Policy Special Rates &amp; Charges).</w:t>
      </w:r>
    </w:p>
    <w:p w:rsidR="00CE0920" w:rsidRPr="00595315" w:rsidRDefault="00CE0920" w:rsidP="00CE0920">
      <w:pPr>
        <w:pStyle w:val="NumberedPara2"/>
        <w:tabs>
          <w:tab w:val="clear" w:pos="1134"/>
          <w:tab w:val="clear" w:pos="1588"/>
          <w:tab w:val="num" w:pos="794"/>
        </w:tabs>
        <w:ind w:left="794"/>
        <w:jc w:val="both"/>
        <w:rPr>
          <w:color w:val="000000"/>
          <w:sz w:val="22"/>
          <w:szCs w:val="22"/>
        </w:rPr>
      </w:pPr>
      <w:r w:rsidRPr="00595315">
        <w:rPr>
          <w:color w:val="000000"/>
          <w:sz w:val="22"/>
          <w:szCs w:val="22"/>
        </w:rPr>
        <w:t>Ex Gratia Rates</w:t>
      </w:r>
    </w:p>
    <w:p w:rsidR="00CE0920" w:rsidRPr="00595315" w:rsidRDefault="00017BEB" w:rsidP="00CE0920">
      <w:pPr>
        <w:pStyle w:val="NormalIndent1"/>
        <w:ind w:left="794"/>
        <w:jc w:val="both"/>
        <w:rPr>
          <w:color w:val="000000"/>
          <w:sz w:val="22"/>
          <w:szCs w:val="22"/>
        </w:rPr>
      </w:pPr>
      <w:r>
        <w:rPr>
          <w:color w:val="000000"/>
          <w:sz w:val="22"/>
          <w:szCs w:val="22"/>
        </w:rPr>
        <w:t>The City</w:t>
      </w:r>
      <w:r w:rsidRPr="00595315">
        <w:rPr>
          <w:color w:val="000000"/>
          <w:sz w:val="22"/>
          <w:szCs w:val="22"/>
        </w:rPr>
        <w:t xml:space="preserve"> </w:t>
      </w:r>
      <w:r w:rsidR="00CE0920" w:rsidRPr="00595315">
        <w:rPr>
          <w:color w:val="000000"/>
          <w:sz w:val="22"/>
          <w:szCs w:val="22"/>
        </w:rPr>
        <w:t xml:space="preserve">has "Ex Gratia Rates" to gain contributions towards its operational costs from those property owners which are otherwise exempt from paying rates. </w:t>
      </w:r>
      <w:r>
        <w:rPr>
          <w:color w:val="000000"/>
          <w:sz w:val="22"/>
          <w:szCs w:val="22"/>
        </w:rPr>
        <w:t>It is the City’s</w:t>
      </w:r>
      <w:r w:rsidRPr="00595315">
        <w:rPr>
          <w:color w:val="000000"/>
          <w:sz w:val="22"/>
          <w:szCs w:val="22"/>
        </w:rPr>
        <w:t xml:space="preserve"> </w:t>
      </w:r>
      <w:r w:rsidR="00CE0920" w:rsidRPr="00595315">
        <w:rPr>
          <w:color w:val="000000"/>
          <w:sz w:val="22"/>
          <w:szCs w:val="22"/>
        </w:rPr>
        <w:t>intent to align ex gratia contributions as close, or equivalent, to the applicable rate category for that property as possible, subject to particular circumstances.</w:t>
      </w:r>
    </w:p>
    <w:p w:rsidR="00CE0920" w:rsidRDefault="00CE0920" w:rsidP="00CE0920">
      <w:pPr>
        <w:spacing w:after="0"/>
        <w:rPr>
          <w:b/>
          <w:color w:val="000000"/>
          <w:szCs w:val="22"/>
        </w:rPr>
      </w:pPr>
    </w:p>
    <w:p w:rsidR="001A1FFB" w:rsidRDefault="001A1FFB" w:rsidP="00CE0920">
      <w:pPr>
        <w:spacing w:after="0"/>
        <w:rPr>
          <w:b/>
          <w:color w:val="000000"/>
          <w:szCs w:val="22"/>
        </w:rPr>
      </w:pPr>
    </w:p>
    <w:p w:rsidR="00CE0920" w:rsidRPr="00595315" w:rsidRDefault="00CE0920" w:rsidP="00CE0920">
      <w:pPr>
        <w:pStyle w:val="NumberedPara1"/>
        <w:tabs>
          <w:tab w:val="clear" w:pos="1117"/>
          <w:tab w:val="num" w:pos="720"/>
        </w:tabs>
        <w:ind w:left="395"/>
        <w:jc w:val="both"/>
        <w:rPr>
          <w:color w:val="000000"/>
          <w:sz w:val="22"/>
          <w:szCs w:val="22"/>
        </w:rPr>
      </w:pPr>
      <w:r w:rsidRPr="00595315">
        <w:rPr>
          <w:color w:val="000000"/>
          <w:sz w:val="22"/>
          <w:szCs w:val="22"/>
        </w:rPr>
        <w:lastRenderedPageBreak/>
        <w:t>Other Legislative Provisions (LGA)</w:t>
      </w:r>
    </w:p>
    <w:p w:rsidR="00CE0920" w:rsidRPr="00595315" w:rsidRDefault="00CE0920" w:rsidP="00CE0920">
      <w:pPr>
        <w:pStyle w:val="NumberedPara2"/>
        <w:tabs>
          <w:tab w:val="clear" w:pos="1588"/>
          <w:tab w:val="num" w:pos="794"/>
        </w:tabs>
        <w:ind w:left="794"/>
        <w:jc w:val="both"/>
        <w:rPr>
          <w:color w:val="000000"/>
          <w:sz w:val="22"/>
          <w:szCs w:val="22"/>
        </w:rPr>
      </w:pPr>
      <w:r w:rsidRPr="00595315">
        <w:rPr>
          <w:color w:val="000000"/>
          <w:sz w:val="22"/>
          <w:szCs w:val="22"/>
        </w:rPr>
        <w:t xml:space="preserve">Section 157 of the LGA provides that </w:t>
      </w:r>
      <w:r w:rsidR="00017BEB">
        <w:rPr>
          <w:color w:val="000000"/>
          <w:sz w:val="22"/>
          <w:szCs w:val="22"/>
        </w:rPr>
        <w:t>the City</w:t>
      </w:r>
      <w:r w:rsidR="00017BEB" w:rsidRPr="00595315">
        <w:rPr>
          <w:color w:val="000000"/>
          <w:sz w:val="22"/>
          <w:szCs w:val="22"/>
        </w:rPr>
        <w:t xml:space="preserve"> </w:t>
      </w:r>
      <w:r w:rsidR="00017BEB">
        <w:rPr>
          <w:color w:val="000000"/>
          <w:sz w:val="22"/>
          <w:szCs w:val="22"/>
        </w:rPr>
        <w:t xml:space="preserve">of Greater Geelong </w:t>
      </w:r>
      <w:r w:rsidRPr="00595315">
        <w:rPr>
          <w:color w:val="000000"/>
          <w:sz w:val="22"/>
          <w:szCs w:val="22"/>
        </w:rPr>
        <w:t xml:space="preserve">may use the "Site Value", "Net Annual Value" or "Capital Improved Value" system of valuation.  ("Capital Improved Valuation" is currently used by </w:t>
      </w:r>
      <w:r w:rsidR="00017BEB">
        <w:rPr>
          <w:color w:val="000000"/>
          <w:sz w:val="22"/>
          <w:szCs w:val="22"/>
        </w:rPr>
        <w:t>the City</w:t>
      </w:r>
      <w:r w:rsidRPr="00595315">
        <w:rPr>
          <w:color w:val="000000"/>
          <w:sz w:val="22"/>
          <w:szCs w:val="22"/>
        </w:rPr>
        <w:t>).</w:t>
      </w:r>
    </w:p>
    <w:p w:rsidR="00CE0920" w:rsidRPr="00595315" w:rsidRDefault="00CE0920" w:rsidP="00CE0920">
      <w:pPr>
        <w:pStyle w:val="NumberedPara2"/>
        <w:tabs>
          <w:tab w:val="clear" w:pos="1588"/>
          <w:tab w:val="num" w:pos="794"/>
        </w:tabs>
        <w:ind w:left="794"/>
        <w:jc w:val="both"/>
        <w:rPr>
          <w:color w:val="000000"/>
          <w:sz w:val="22"/>
          <w:szCs w:val="22"/>
        </w:rPr>
      </w:pPr>
      <w:r w:rsidRPr="00595315">
        <w:rPr>
          <w:color w:val="000000"/>
          <w:sz w:val="22"/>
          <w:szCs w:val="22"/>
        </w:rPr>
        <w:t>Section 158 of the LGA requires Council to declare rates and charges by 31 August each year.</w:t>
      </w:r>
    </w:p>
    <w:p w:rsidR="00CE0920" w:rsidRPr="00595315" w:rsidRDefault="00CE0920" w:rsidP="00CE0920">
      <w:pPr>
        <w:pStyle w:val="NumberedPara2"/>
        <w:tabs>
          <w:tab w:val="clear" w:pos="1588"/>
          <w:tab w:val="num" w:pos="794"/>
        </w:tabs>
        <w:ind w:left="794"/>
        <w:jc w:val="both"/>
        <w:rPr>
          <w:color w:val="000000"/>
          <w:sz w:val="22"/>
          <w:szCs w:val="22"/>
        </w:rPr>
      </w:pPr>
      <w:r w:rsidRPr="00595315">
        <w:rPr>
          <w:color w:val="000000"/>
          <w:sz w:val="22"/>
          <w:szCs w:val="22"/>
        </w:rPr>
        <w:t>Section 158A of the LGA requires rates and charges to be levied on each occupancy.</w:t>
      </w:r>
    </w:p>
    <w:p w:rsidR="00CE0920" w:rsidRDefault="00CE0920" w:rsidP="00CE0920">
      <w:pPr>
        <w:pStyle w:val="NumberedPara2"/>
        <w:tabs>
          <w:tab w:val="clear" w:pos="1588"/>
          <w:tab w:val="num" w:pos="794"/>
        </w:tabs>
        <w:spacing w:after="0"/>
        <w:ind w:left="794"/>
        <w:jc w:val="both"/>
        <w:rPr>
          <w:b/>
          <w:color w:val="000000"/>
          <w:sz w:val="22"/>
          <w:szCs w:val="22"/>
        </w:rPr>
      </w:pPr>
      <w:r w:rsidRPr="00595315">
        <w:rPr>
          <w:color w:val="000000"/>
          <w:sz w:val="22"/>
          <w:szCs w:val="22"/>
        </w:rPr>
        <w:t>Section 161(5) of the LGA requires that the highest differential must be no more than 4 times the lowest differential.</w:t>
      </w:r>
    </w:p>
    <w:p w:rsidR="00CE0920" w:rsidRPr="00C16D3E" w:rsidRDefault="00CE0920" w:rsidP="00CE0920">
      <w:pPr>
        <w:pStyle w:val="NumberedPara1"/>
        <w:tabs>
          <w:tab w:val="clear" w:pos="1117"/>
          <w:tab w:val="num" w:pos="720"/>
        </w:tabs>
        <w:ind w:left="395"/>
        <w:jc w:val="both"/>
        <w:rPr>
          <w:color w:val="000000"/>
          <w:sz w:val="22"/>
          <w:szCs w:val="22"/>
        </w:rPr>
      </w:pPr>
      <w:r>
        <w:rPr>
          <w:color w:val="000000"/>
          <w:sz w:val="22"/>
          <w:szCs w:val="22"/>
        </w:rPr>
        <w:t xml:space="preserve">Incentives, Discounts and Rebates </w:t>
      </w:r>
    </w:p>
    <w:p w:rsidR="00CE0920" w:rsidRDefault="00CE0920" w:rsidP="00CE0920">
      <w:pPr>
        <w:pStyle w:val="NumberedPara2"/>
        <w:tabs>
          <w:tab w:val="clear" w:pos="1588"/>
          <w:tab w:val="num" w:pos="794"/>
        </w:tabs>
        <w:ind w:left="794"/>
        <w:jc w:val="both"/>
        <w:rPr>
          <w:color w:val="000000"/>
          <w:sz w:val="22"/>
          <w:szCs w:val="22"/>
        </w:rPr>
      </w:pPr>
      <w:r>
        <w:rPr>
          <w:color w:val="000000"/>
          <w:sz w:val="22"/>
          <w:szCs w:val="22"/>
        </w:rPr>
        <w:t xml:space="preserve">For  </w:t>
      </w:r>
      <w:r w:rsidR="002B3FFB">
        <w:rPr>
          <w:color w:val="000000"/>
          <w:sz w:val="22"/>
          <w:szCs w:val="22"/>
        </w:rPr>
        <w:t>2019-20</w:t>
      </w:r>
      <w:r>
        <w:rPr>
          <w:color w:val="000000"/>
          <w:sz w:val="22"/>
          <w:szCs w:val="22"/>
        </w:rPr>
        <w:t xml:space="preserve"> </w:t>
      </w:r>
      <w:r w:rsidR="00017BEB">
        <w:rPr>
          <w:color w:val="000000"/>
          <w:sz w:val="22"/>
          <w:szCs w:val="22"/>
        </w:rPr>
        <w:t xml:space="preserve">the City </w:t>
      </w:r>
      <w:r>
        <w:rPr>
          <w:color w:val="000000"/>
          <w:sz w:val="22"/>
          <w:szCs w:val="22"/>
        </w:rPr>
        <w:t>do not grant rebates or concessions to assist t</w:t>
      </w:r>
      <w:r w:rsidRPr="008C135D">
        <w:rPr>
          <w:b/>
          <w:color w:val="000000"/>
          <w:sz w:val="22"/>
          <w:szCs w:val="22"/>
        </w:rPr>
        <w:t>h</w:t>
      </w:r>
      <w:r w:rsidRPr="00595315">
        <w:rPr>
          <w:color w:val="000000"/>
          <w:sz w:val="22"/>
          <w:szCs w:val="22"/>
        </w:rPr>
        <w:t xml:space="preserve">e proper development in full or part unless a </w:t>
      </w:r>
      <w:r w:rsidR="00017BEB">
        <w:rPr>
          <w:color w:val="000000"/>
          <w:sz w:val="22"/>
          <w:szCs w:val="22"/>
        </w:rPr>
        <w:t>c</w:t>
      </w:r>
      <w:r w:rsidR="00017BEB" w:rsidRPr="00595315">
        <w:rPr>
          <w:color w:val="000000"/>
          <w:sz w:val="22"/>
          <w:szCs w:val="22"/>
        </w:rPr>
        <w:t xml:space="preserve">ouncil </w:t>
      </w:r>
      <w:r w:rsidRPr="00595315">
        <w:rPr>
          <w:color w:val="000000"/>
          <w:sz w:val="22"/>
          <w:szCs w:val="22"/>
        </w:rPr>
        <w:t>resolution as per the LGA specifies the benefit to the community as a whole.</w:t>
      </w:r>
    </w:p>
    <w:p w:rsidR="00CE0920" w:rsidRPr="00CD4F1C" w:rsidRDefault="00017BEB" w:rsidP="00CE0920">
      <w:pPr>
        <w:pStyle w:val="NumberedPara2"/>
        <w:tabs>
          <w:tab w:val="clear" w:pos="1588"/>
          <w:tab w:val="num" w:pos="794"/>
        </w:tabs>
        <w:ind w:left="794"/>
        <w:jc w:val="both"/>
        <w:rPr>
          <w:color w:val="000000"/>
          <w:sz w:val="22"/>
          <w:szCs w:val="22"/>
        </w:rPr>
      </w:pPr>
      <w:r>
        <w:rPr>
          <w:color w:val="000000"/>
          <w:sz w:val="22"/>
          <w:szCs w:val="22"/>
        </w:rPr>
        <w:t xml:space="preserve">The City </w:t>
      </w:r>
      <w:r w:rsidR="00CE0920">
        <w:rPr>
          <w:color w:val="000000"/>
          <w:sz w:val="22"/>
          <w:szCs w:val="22"/>
        </w:rPr>
        <w:t>offers support by way of sponsorships, grants and donations to specific groups as an alternative to rate rebates.</w:t>
      </w:r>
    </w:p>
    <w:p w:rsidR="00CE0920" w:rsidRPr="00595315" w:rsidRDefault="00017BEB" w:rsidP="00CE0920">
      <w:pPr>
        <w:pStyle w:val="NumberedPara2"/>
        <w:tabs>
          <w:tab w:val="clear" w:pos="1588"/>
          <w:tab w:val="num" w:pos="794"/>
        </w:tabs>
        <w:ind w:left="794"/>
        <w:jc w:val="both"/>
        <w:rPr>
          <w:color w:val="000000"/>
          <w:sz w:val="22"/>
          <w:szCs w:val="22"/>
        </w:rPr>
      </w:pPr>
      <w:r>
        <w:rPr>
          <w:color w:val="000000"/>
          <w:sz w:val="22"/>
          <w:szCs w:val="22"/>
        </w:rPr>
        <w:t>The City</w:t>
      </w:r>
      <w:r w:rsidRPr="00595315">
        <w:rPr>
          <w:color w:val="000000"/>
          <w:sz w:val="22"/>
          <w:szCs w:val="22"/>
        </w:rPr>
        <w:t xml:space="preserve"> </w:t>
      </w:r>
      <w:r w:rsidR="00CE0920" w:rsidRPr="00595315">
        <w:rPr>
          <w:color w:val="000000"/>
          <w:sz w:val="22"/>
          <w:szCs w:val="22"/>
        </w:rPr>
        <w:t>administers the State Government funded pension rebate according to the eligibility criteria set by the State Government.</w:t>
      </w:r>
    </w:p>
    <w:p w:rsidR="00CE0920" w:rsidRDefault="00CE0920" w:rsidP="00CE0920">
      <w:pPr>
        <w:pStyle w:val="NumberedPara2"/>
        <w:tabs>
          <w:tab w:val="clear" w:pos="1588"/>
          <w:tab w:val="num" w:pos="794"/>
        </w:tabs>
        <w:ind w:left="794"/>
        <w:jc w:val="both"/>
        <w:rPr>
          <w:color w:val="000000"/>
          <w:sz w:val="22"/>
          <w:szCs w:val="22"/>
        </w:rPr>
      </w:pPr>
      <w:r w:rsidRPr="00595315">
        <w:rPr>
          <w:color w:val="000000"/>
          <w:sz w:val="22"/>
          <w:szCs w:val="22"/>
        </w:rPr>
        <w:t xml:space="preserve">Council declares a Farm Rebate to support the continuation of broad acre farming.  The Farm Rebate is fixed at </w:t>
      </w:r>
      <w:r w:rsidR="002B3FFB">
        <w:rPr>
          <w:color w:val="000000"/>
          <w:sz w:val="22"/>
          <w:szCs w:val="22"/>
        </w:rPr>
        <w:t>33</w:t>
      </w:r>
      <w:r>
        <w:rPr>
          <w:color w:val="000000"/>
          <w:sz w:val="22"/>
          <w:szCs w:val="22"/>
        </w:rPr>
        <w:t>.3</w:t>
      </w:r>
      <w:r w:rsidRPr="00595315">
        <w:rPr>
          <w:color w:val="000000"/>
          <w:sz w:val="22"/>
          <w:szCs w:val="22"/>
        </w:rPr>
        <w:t>% of general rates payable in respect of each assessment that is subject to the Farm Land differential.</w:t>
      </w:r>
    </w:p>
    <w:p w:rsidR="00CE0920" w:rsidRPr="00595315" w:rsidRDefault="00CE0920" w:rsidP="00CE0920">
      <w:pPr>
        <w:pStyle w:val="NumberedPara2"/>
        <w:tabs>
          <w:tab w:val="clear" w:pos="1588"/>
          <w:tab w:val="num" w:pos="794"/>
        </w:tabs>
        <w:ind w:left="794"/>
        <w:jc w:val="both"/>
        <w:rPr>
          <w:color w:val="000000"/>
          <w:sz w:val="22"/>
          <w:szCs w:val="22"/>
        </w:rPr>
      </w:pPr>
      <w:r>
        <w:rPr>
          <w:color w:val="000000"/>
          <w:sz w:val="22"/>
          <w:szCs w:val="22"/>
        </w:rPr>
        <w:t xml:space="preserve">Council declares a transitional rebate for </w:t>
      </w:r>
      <w:r w:rsidR="00583613">
        <w:rPr>
          <w:color w:val="000000"/>
          <w:sz w:val="22"/>
          <w:szCs w:val="22"/>
        </w:rPr>
        <w:t>25</w:t>
      </w:r>
      <w:r>
        <w:rPr>
          <w:color w:val="000000"/>
          <w:sz w:val="22"/>
          <w:szCs w:val="22"/>
        </w:rPr>
        <w:t>% of the difference between the Cultural and Recreational differential of the otherwise applicable differential. Properties that were eligible for the Cultural and Recreational differential in 2016-17 that are no longer eligible in 2017-18 will be encouraged to apply for this rebate.</w:t>
      </w:r>
    </w:p>
    <w:p w:rsidR="00CE0920" w:rsidRPr="00595315" w:rsidRDefault="00CE0920" w:rsidP="00CE0920">
      <w:pPr>
        <w:pStyle w:val="NumberedPara1"/>
        <w:tabs>
          <w:tab w:val="clear" w:pos="1117"/>
          <w:tab w:val="num" w:pos="720"/>
        </w:tabs>
        <w:ind w:left="395"/>
        <w:jc w:val="both"/>
        <w:rPr>
          <w:color w:val="000000"/>
          <w:sz w:val="22"/>
          <w:szCs w:val="22"/>
        </w:rPr>
      </w:pPr>
      <w:r w:rsidRPr="00595315">
        <w:rPr>
          <w:color w:val="000000"/>
          <w:sz w:val="22"/>
          <w:szCs w:val="22"/>
        </w:rPr>
        <w:t>Rates Waivers</w:t>
      </w:r>
    </w:p>
    <w:p w:rsidR="00CE0920" w:rsidRPr="00595315" w:rsidRDefault="00CE0920" w:rsidP="00CE0920">
      <w:pPr>
        <w:pStyle w:val="NumberedPara2"/>
        <w:numPr>
          <w:ilvl w:val="0"/>
          <w:numId w:val="0"/>
        </w:numPr>
        <w:jc w:val="both"/>
        <w:rPr>
          <w:color w:val="000000"/>
          <w:sz w:val="22"/>
          <w:szCs w:val="22"/>
        </w:rPr>
      </w:pPr>
      <w:r w:rsidRPr="00595315">
        <w:rPr>
          <w:color w:val="000000"/>
          <w:sz w:val="22"/>
          <w:szCs w:val="22"/>
        </w:rPr>
        <w:t xml:space="preserve">Rates Assistance will be reviewed annually as part of the </w:t>
      </w:r>
      <w:r w:rsidR="00017BEB">
        <w:rPr>
          <w:color w:val="000000"/>
          <w:sz w:val="22"/>
          <w:szCs w:val="22"/>
        </w:rPr>
        <w:t>b</w:t>
      </w:r>
      <w:r w:rsidR="00017BEB" w:rsidRPr="00595315">
        <w:rPr>
          <w:color w:val="000000"/>
          <w:sz w:val="22"/>
          <w:szCs w:val="22"/>
        </w:rPr>
        <w:t xml:space="preserve">udget </w:t>
      </w:r>
      <w:r w:rsidRPr="00595315">
        <w:rPr>
          <w:color w:val="000000"/>
          <w:sz w:val="22"/>
          <w:szCs w:val="22"/>
        </w:rPr>
        <w:t xml:space="preserve">process and published within Council's Rating Strategy.  Ratepayers will be provided with a range of payment options.  Applications for hardship will be considered in accordance with </w:t>
      </w:r>
      <w:r w:rsidR="00794E57">
        <w:rPr>
          <w:color w:val="000000"/>
          <w:sz w:val="22"/>
          <w:szCs w:val="22"/>
        </w:rPr>
        <w:t>s</w:t>
      </w:r>
      <w:r w:rsidR="00794E57" w:rsidRPr="00595315">
        <w:rPr>
          <w:color w:val="000000"/>
          <w:sz w:val="22"/>
          <w:szCs w:val="22"/>
        </w:rPr>
        <w:t xml:space="preserve">ections </w:t>
      </w:r>
      <w:r w:rsidRPr="00595315">
        <w:rPr>
          <w:color w:val="000000"/>
          <w:sz w:val="22"/>
          <w:szCs w:val="22"/>
        </w:rPr>
        <w:t xml:space="preserve">170 and 171 of the LGA. </w:t>
      </w:r>
    </w:p>
    <w:p w:rsidR="00CE0920" w:rsidRPr="00595315" w:rsidRDefault="00CE0920" w:rsidP="00CE0920">
      <w:pPr>
        <w:pStyle w:val="NumberedPara2"/>
        <w:tabs>
          <w:tab w:val="clear" w:pos="1588"/>
          <w:tab w:val="num" w:pos="794"/>
        </w:tabs>
        <w:ind w:left="794"/>
        <w:jc w:val="both"/>
        <w:rPr>
          <w:color w:val="000000"/>
          <w:sz w:val="22"/>
          <w:szCs w:val="22"/>
        </w:rPr>
      </w:pPr>
      <w:r w:rsidRPr="00595315">
        <w:rPr>
          <w:color w:val="000000"/>
          <w:sz w:val="22"/>
          <w:szCs w:val="22"/>
        </w:rPr>
        <w:t xml:space="preserve">Council declares a waiver of general rates under </w:t>
      </w:r>
      <w:r w:rsidR="00017BEB">
        <w:rPr>
          <w:color w:val="000000"/>
          <w:sz w:val="22"/>
          <w:szCs w:val="22"/>
        </w:rPr>
        <w:t>s</w:t>
      </w:r>
      <w:r w:rsidR="00017BEB" w:rsidRPr="00595315">
        <w:rPr>
          <w:color w:val="000000"/>
          <w:sz w:val="22"/>
          <w:szCs w:val="22"/>
        </w:rPr>
        <w:t xml:space="preserve">ection </w:t>
      </w:r>
      <w:r w:rsidRPr="00595315">
        <w:rPr>
          <w:color w:val="000000"/>
          <w:sz w:val="22"/>
          <w:szCs w:val="22"/>
        </w:rPr>
        <w:t xml:space="preserve">171A of the LGA for the class of persons comprised of ratepayers in respect of assessments which are categorised as Residential Land or Farm Land where the valuation of the assessment has increased, between the </w:t>
      </w:r>
      <w:r w:rsidR="00583613">
        <w:rPr>
          <w:color w:val="000000"/>
          <w:sz w:val="22"/>
          <w:szCs w:val="22"/>
        </w:rPr>
        <w:t>2018</w:t>
      </w:r>
      <w:r w:rsidR="00583613" w:rsidRPr="00595315">
        <w:rPr>
          <w:color w:val="000000"/>
          <w:sz w:val="22"/>
          <w:szCs w:val="22"/>
        </w:rPr>
        <w:t xml:space="preserve"> </w:t>
      </w:r>
      <w:r w:rsidRPr="00595315">
        <w:rPr>
          <w:color w:val="000000"/>
          <w:sz w:val="22"/>
          <w:szCs w:val="22"/>
        </w:rPr>
        <w:t xml:space="preserve">valuation and the </w:t>
      </w:r>
      <w:r w:rsidR="00583613">
        <w:rPr>
          <w:color w:val="000000"/>
          <w:sz w:val="22"/>
          <w:szCs w:val="22"/>
        </w:rPr>
        <w:t xml:space="preserve">2019 </w:t>
      </w:r>
      <w:r w:rsidRPr="00595315">
        <w:rPr>
          <w:color w:val="000000"/>
          <w:sz w:val="22"/>
          <w:szCs w:val="22"/>
        </w:rPr>
        <w:t xml:space="preserve">valuation, by </w:t>
      </w:r>
      <w:r w:rsidR="00583613">
        <w:rPr>
          <w:color w:val="000000"/>
          <w:sz w:val="22"/>
          <w:szCs w:val="22"/>
        </w:rPr>
        <w:t>50</w:t>
      </w:r>
      <w:r w:rsidRPr="00595315">
        <w:rPr>
          <w:color w:val="000000"/>
          <w:sz w:val="22"/>
          <w:szCs w:val="22"/>
        </w:rPr>
        <w:t xml:space="preserve">% or more and that increase is </w:t>
      </w:r>
      <w:r w:rsidRPr="00595315">
        <w:rPr>
          <w:color w:val="000000"/>
          <w:sz w:val="22"/>
          <w:szCs w:val="22"/>
        </w:rPr>
        <w:lastRenderedPageBreak/>
        <w:t xml:space="preserve">purely attributable to market factors, not attributable, in whole or in part, to improvements made to the assessment by the owner (or occupier). The amount of the waiver is set at: </w:t>
      </w:r>
    </w:p>
    <w:p w:rsidR="00CE0920" w:rsidRPr="00595315" w:rsidRDefault="00CE0920" w:rsidP="00CE0920">
      <w:pPr>
        <w:pStyle w:val="NumberedPara3"/>
        <w:tabs>
          <w:tab w:val="clear" w:pos="2552"/>
          <w:tab w:val="num" w:pos="1758"/>
        </w:tabs>
        <w:ind w:left="1758"/>
        <w:rPr>
          <w:sz w:val="22"/>
          <w:szCs w:val="22"/>
        </w:rPr>
      </w:pPr>
      <w:r w:rsidRPr="00595315">
        <w:rPr>
          <w:sz w:val="22"/>
          <w:szCs w:val="22"/>
        </w:rPr>
        <w:t xml:space="preserve">between 25% and 49.99% of the general rates payable for the </w:t>
      </w:r>
      <w:r>
        <w:rPr>
          <w:sz w:val="22"/>
          <w:szCs w:val="22"/>
        </w:rPr>
        <w:t xml:space="preserve">2018-19 </w:t>
      </w:r>
      <w:r w:rsidRPr="00595315">
        <w:rPr>
          <w:sz w:val="22"/>
          <w:szCs w:val="22"/>
        </w:rPr>
        <w:t xml:space="preserve">financial year, increasing pro rata according to the valuation increase, for valuation increases between </w:t>
      </w:r>
      <w:r w:rsidR="00583613">
        <w:rPr>
          <w:sz w:val="22"/>
          <w:szCs w:val="22"/>
        </w:rPr>
        <w:t>50</w:t>
      </w:r>
      <w:r w:rsidRPr="00595315">
        <w:rPr>
          <w:sz w:val="22"/>
          <w:szCs w:val="22"/>
        </w:rPr>
        <w:t xml:space="preserve">% and </w:t>
      </w:r>
      <w:r w:rsidR="00583613" w:rsidRPr="00595315">
        <w:rPr>
          <w:sz w:val="22"/>
          <w:szCs w:val="22"/>
        </w:rPr>
        <w:t>5</w:t>
      </w:r>
      <w:r w:rsidR="00583613">
        <w:rPr>
          <w:sz w:val="22"/>
          <w:szCs w:val="22"/>
        </w:rPr>
        <w:t>9</w:t>
      </w:r>
      <w:r w:rsidRPr="00595315">
        <w:rPr>
          <w:sz w:val="22"/>
          <w:szCs w:val="22"/>
        </w:rPr>
        <w:t xml:space="preserve">.99%; and </w:t>
      </w:r>
    </w:p>
    <w:p w:rsidR="00CE0920" w:rsidRPr="00595315" w:rsidRDefault="00CE0920" w:rsidP="00CE0920">
      <w:pPr>
        <w:pStyle w:val="NumberedPara3"/>
        <w:tabs>
          <w:tab w:val="clear" w:pos="2552"/>
          <w:tab w:val="num" w:pos="1758"/>
        </w:tabs>
        <w:ind w:left="1758"/>
        <w:rPr>
          <w:sz w:val="22"/>
          <w:szCs w:val="22"/>
        </w:rPr>
      </w:pPr>
      <w:r w:rsidRPr="00595315">
        <w:rPr>
          <w:sz w:val="22"/>
          <w:szCs w:val="22"/>
        </w:rPr>
        <w:t xml:space="preserve">50% of the general rates payable for the </w:t>
      </w:r>
      <w:r w:rsidR="00583613">
        <w:rPr>
          <w:sz w:val="22"/>
          <w:szCs w:val="22"/>
        </w:rPr>
        <w:t>2019-</w:t>
      </w:r>
      <w:r w:rsidR="00F42BAD">
        <w:rPr>
          <w:sz w:val="22"/>
          <w:szCs w:val="22"/>
        </w:rPr>
        <w:t xml:space="preserve">20 </w:t>
      </w:r>
      <w:r w:rsidR="00F42BAD" w:rsidRPr="00595315">
        <w:rPr>
          <w:sz w:val="22"/>
          <w:szCs w:val="22"/>
        </w:rPr>
        <w:t>financial</w:t>
      </w:r>
      <w:r w:rsidRPr="00595315">
        <w:rPr>
          <w:sz w:val="22"/>
          <w:szCs w:val="22"/>
        </w:rPr>
        <w:t xml:space="preserve"> year for valuation increases of </w:t>
      </w:r>
      <w:r w:rsidR="00583613">
        <w:rPr>
          <w:sz w:val="22"/>
          <w:szCs w:val="22"/>
        </w:rPr>
        <w:t>60</w:t>
      </w:r>
      <w:r w:rsidRPr="00595315">
        <w:rPr>
          <w:sz w:val="22"/>
          <w:szCs w:val="22"/>
        </w:rPr>
        <w:t xml:space="preserve">% or more. </w:t>
      </w:r>
    </w:p>
    <w:p w:rsidR="00CE0920" w:rsidRPr="00595315" w:rsidRDefault="00CE0920" w:rsidP="00CE0920">
      <w:pPr>
        <w:pStyle w:val="Sumpoint3"/>
        <w:numPr>
          <w:ilvl w:val="0"/>
          <w:numId w:val="0"/>
        </w:numPr>
        <w:ind w:left="794"/>
        <w:jc w:val="both"/>
        <w:rPr>
          <w:sz w:val="22"/>
          <w:szCs w:val="22"/>
        </w:rPr>
      </w:pPr>
      <w:r w:rsidRPr="00595315">
        <w:rPr>
          <w:sz w:val="22"/>
          <w:szCs w:val="22"/>
        </w:rPr>
        <w:t>The waiver is designed to mitigate the rates shock of a valuation increase and can only be claimed in respect of an assessment once in a two year valuation cycle.</w:t>
      </w:r>
    </w:p>
    <w:p w:rsidR="00CE0920" w:rsidRPr="00595315" w:rsidRDefault="00CE0920" w:rsidP="00CE0920">
      <w:pPr>
        <w:pStyle w:val="NumberedPara2"/>
        <w:tabs>
          <w:tab w:val="clear" w:pos="1588"/>
          <w:tab w:val="num" w:pos="794"/>
        </w:tabs>
        <w:ind w:left="794"/>
        <w:jc w:val="both"/>
        <w:rPr>
          <w:color w:val="000000"/>
          <w:sz w:val="22"/>
          <w:szCs w:val="22"/>
        </w:rPr>
      </w:pPr>
      <w:r w:rsidRPr="00595315">
        <w:rPr>
          <w:color w:val="000000"/>
          <w:sz w:val="22"/>
          <w:szCs w:val="22"/>
        </w:rPr>
        <w:t xml:space="preserve">Council declares a Housing Support Waiver of 100% of general rates and municipal charge under </w:t>
      </w:r>
      <w:r w:rsidR="00017BEB">
        <w:rPr>
          <w:color w:val="000000"/>
          <w:sz w:val="22"/>
          <w:szCs w:val="22"/>
        </w:rPr>
        <w:t>s</w:t>
      </w:r>
      <w:r w:rsidR="00017BEB" w:rsidRPr="00595315">
        <w:rPr>
          <w:color w:val="000000"/>
          <w:sz w:val="22"/>
          <w:szCs w:val="22"/>
        </w:rPr>
        <w:t xml:space="preserve">ection </w:t>
      </w:r>
      <w:r w:rsidRPr="00595315">
        <w:rPr>
          <w:color w:val="000000"/>
          <w:sz w:val="22"/>
          <w:szCs w:val="22"/>
        </w:rPr>
        <w:t xml:space="preserve">171 of the LGA for the class of persons comprised of ratepayers in respect of assessments which contain the following types of housing: </w:t>
      </w:r>
    </w:p>
    <w:p w:rsidR="00CE0920" w:rsidRPr="00595315" w:rsidRDefault="00CE0920" w:rsidP="00CE0920">
      <w:pPr>
        <w:pStyle w:val="NumberedPara3"/>
        <w:tabs>
          <w:tab w:val="clear" w:pos="2552"/>
          <w:tab w:val="num" w:pos="1758"/>
        </w:tabs>
        <w:ind w:left="1758"/>
        <w:rPr>
          <w:sz w:val="22"/>
          <w:szCs w:val="22"/>
        </w:rPr>
      </w:pPr>
      <w:r w:rsidRPr="00595315">
        <w:rPr>
          <w:sz w:val="22"/>
          <w:szCs w:val="22"/>
        </w:rPr>
        <w:t xml:space="preserve">transitional, emergency or crisis housing; </w:t>
      </w:r>
    </w:p>
    <w:p w:rsidR="00CE0920" w:rsidRPr="00595315" w:rsidRDefault="00CE0920" w:rsidP="00CE0920">
      <w:pPr>
        <w:pStyle w:val="NumberedPara3"/>
        <w:tabs>
          <w:tab w:val="clear" w:pos="2552"/>
          <w:tab w:val="num" w:pos="1758"/>
        </w:tabs>
        <w:ind w:left="1758"/>
        <w:rPr>
          <w:sz w:val="22"/>
          <w:szCs w:val="22"/>
        </w:rPr>
      </w:pPr>
      <w:r w:rsidRPr="00595315">
        <w:rPr>
          <w:sz w:val="22"/>
          <w:szCs w:val="22"/>
        </w:rPr>
        <w:t xml:space="preserve">housing for </w:t>
      </w:r>
      <w:r w:rsidR="00017BEB">
        <w:rPr>
          <w:sz w:val="22"/>
          <w:szCs w:val="22"/>
        </w:rPr>
        <w:t>l</w:t>
      </w:r>
      <w:r w:rsidR="00017BEB" w:rsidRPr="00595315">
        <w:rPr>
          <w:sz w:val="22"/>
          <w:szCs w:val="22"/>
        </w:rPr>
        <w:t xml:space="preserve">egatees </w:t>
      </w:r>
      <w:r w:rsidRPr="00595315">
        <w:rPr>
          <w:sz w:val="22"/>
          <w:szCs w:val="22"/>
        </w:rPr>
        <w:t xml:space="preserve">or </w:t>
      </w:r>
      <w:r w:rsidR="00017BEB">
        <w:rPr>
          <w:sz w:val="22"/>
          <w:szCs w:val="22"/>
        </w:rPr>
        <w:t>w</w:t>
      </w:r>
      <w:r w:rsidR="00017BEB" w:rsidRPr="00595315">
        <w:rPr>
          <w:sz w:val="22"/>
          <w:szCs w:val="22"/>
        </w:rPr>
        <w:t xml:space="preserve">ar </w:t>
      </w:r>
      <w:r w:rsidR="00017BEB">
        <w:rPr>
          <w:sz w:val="22"/>
          <w:szCs w:val="22"/>
        </w:rPr>
        <w:t>w</w:t>
      </w:r>
      <w:r w:rsidR="00017BEB" w:rsidRPr="00595315">
        <w:rPr>
          <w:sz w:val="22"/>
          <w:szCs w:val="22"/>
        </w:rPr>
        <w:t>idows</w:t>
      </w:r>
      <w:r w:rsidRPr="00595315">
        <w:rPr>
          <w:sz w:val="22"/>
          <w:szCs w:val="22"/>
        </w:rPr>
        <w:t xml:space="preserve">, provided by the Geelong Legacy Club or provided by RSL; and </w:t>
      </w:r>
    </w:p>
    <w:p w:rsidR="00CE0920" w:rsidRPr="00595315" w:rsidRDefault="00CE0920" w:rsidP="00CE0920">
      <w:pPr>
        <w:pStyle w:val="NumberedPara3"/>
        <w:tabs>
          <w:tab w:val="clear" w:pos="2552"/>
          <w:tab w:val="num" w:pos="1758"/>
        </w:tabs>
        <w:ind w:left="1758"/>
        <w:rPr>
          <w:sz w:val="22"/>
          <w:szCs w:val="22"/>
        </w:rPr>
      </w:pPr>
      <w:r w:rsidRPr="00595315">
        <w:rPr>
          <w:sz w:val="22"/>
          <w:szCs w:val="22"/>
        </w:rPr>
        <w:t xml:space="preserve">supported housing for disabled people. </w:t>
      </w:r>
    </w:p>
    <w:p w:rsidR="00CE0920" w:rsidRPr="00595315" w:rsidRDefault="00CE0920" w:rsidP="00CE0920">
      <w:pPr>
        <w:pStyle w:val="Sumpoint3"/>
        <w:numPr>
          <w:ilvl w:val="0"/>
          <w:numId w:val="0"/>
        </w:numPr>
        <w:ind w:left="794"/>
        <w:jc w:val="both"/>
        <w:rPr>
          <w:sz w:val="22"/>
          <w:szCs w:val="22"/>
        </w:rPr>
      </w:pPr>
      <w:r w:rsidRPr="00595315">
        <w:rPr>
          <w:sz w:val="22"/>
          <w:szCs w:val="22"/>
        </w:rPr>
        <w:t xml:space="preserve">This waiver recognises that these properties provide for specific needs within the community. </w:t>
      </w:r>
    </w:p>
    <w:p w:rsidR="00CE0920" w:rsidRDefault="00CE0920" w:rsidP="00CE0920">
      <w:pPr>
        <w:pStyle w:val="NumberedPara2"/>
        <w:tabs>
          <w:tab w:val="clear" w:pos="1588"/>
          <w:tab w:val="num" w:pos="794"/>
        </w:tabs>
        <w:ind w:left="794"/>
        <w:jc w:val="both"/>
        <w:rPr>
          <w:color w:val="000000"/>
          <w:sz w:val="22"/>
          <w:szCs w:val="22"/>
        </w:rPr>
      </w:pPr>
      <w:r w:rsidRPr="00595315">
        <w:rPr>
          <w:color w:val="000000"/>
          <w:sz w:val="22"/>
          <w:szCs w:val="22"/>
        </w:rPr>
        <w:t xml:space="preserve">For </w:t>
      </w:r>
      <w:r w:rsidR="00583613">
        <w:rPr>
          <w:color w:val="000000"/>
          <w:sz w:val="22"/>
          <w:szCs w:val="22"/>
        </w:rPr>
        <w:t>2019-20</w:t>
      </w:r>
      <w:r>
        <w:rPr>
          <w:color w:val="000000"/>
          <w:sz w:val="22"/>
          <w:szCs w:val="22"/>
        </w:rPr>
        <w:t xml:space="preserve"> </w:t>
      </w:r>
      <w:r w:rsidRPr="00595315">
        <w:rPr>
          <w:color w:val="000000"/>
          <w:sz w:val="22"/>
          <w:szCs w:val="22"/>
        </w:rPr>
        <w:t xml:space="preserve">financial year, Council declares a waiver of 100% of general rates and municipal charge under </w:t>
      </w:r>
      <w:r w:rsidR="00017BEB">
        <w:rPr>
          <w:color w:val="000000"/>
          <w:sz w:val="22"/>
          <w:szCs w:val="22"/>
        </w:rPr>
        <w:t>s</w:t>
      </w:r>
      <w:r w:rsidR="00017BEB" w:rsidRPr="00595315">
        <w:rPr>
          <w:color w:val="000000"/>
          <w:sz w:val="22"/>
          <w:szCs w:val="22"/>
        </w:rPr>
        <w:t xml:space="preserve">ection </w:t>
      </w:r>
      <w:r w:rsidRPr="00595315">
        <w:rPr>
          <w:color w:val="000000"/>
          <w:sz w:val="22"/>
          <w:szCs w:val="22"/>
        </w:rPr>
        <w:t>171 of the LGA for the class of persons comprised of ratepayers in respect of assessments which are in private ownership within the inappropriate subdivision known as New Corio Estate. This rates assistance waiver recognises the financial burden associated with ownership of this land.  Land within the New Corio Estate is zoned as farming land and the area has been determined to be an inappropriate subdivision due to the difficulty of providing utilities and drainage and due to its distance from other residential areas. The Minister for Environment &amp; Climate Change has approved a native vegetation plan for this land in support of natural temperate grassland of the Victorian Volcanic Plains. The waiver recognises the ongoing encumbrances on the land that prevent owners from making any demands on Council services now and into the future.</w:t>
      </w:r>
    </w:p>
    <w:p w:rsidR="001A1FFB" w:rsidRPr="00595315" w:rsidRDefault="001A1FFB" w:rsidP="001A1FFB">
      <w:pPr>
        <w:pStyle w:val="NumberedPara2"/>
        <w:numPr>
          <w:ilvl w:val="0"/>
          <w:numId w:val="0"/>
        </w:numPr>
        <w:ind w:left="794"/>
        <w:jc w:val="both"/>
        <w:rPr>
          <w:color w:val="000000"/>
          <w:sz w:val="22"/>
          <w:szCs w:val="22"/>
        </w:rPr>
      </w:pPr>
    </w:p>
    <w:p w:rsidR="00CE0920" w:rsidRPr="00595315" w:rsidRDefault="00CE0920" w:rsidP="00CE0920">
      <w:pPr>
        <w:pStyle w:val="NumberedPara1"/>
        <w:tabs>
          <w:tab w:val="clear" w:pos="1117"/>
          <w:tab w:val="num" w:pos="720"/>
        </w:tabs>
        <w:ind w:left="395"/>
        <w:rPr>
          <w:color w:val="000000"/>
          <w:sz w:val="22"/>
          <w:szCs w:val="22"/>
        </w:rPr>
      </w:pPr>
      <w:r w:rsidRPr="00595315">
        <w:rPr>
          <w:color w:val="000000"/>
          <w:sz w:val="22"/>
          <w:szCs w:val="22"/>
        </w:rPr>
        <w:lastRenderedPageBreak/>
        <w:t>Rate Review</w:t>
      </w:r>
    </w:p>
    <w:p w:rsidR="00CE0920" w:rsidRPr="00595315" w:rsidRDefault="00CE0920" w:rsidP="00CE0920">
      <w:pPr>
        <w:pStyle w:val="NumberedPara2"/>
        <w:tabs>
          <w:tab w:val="clear" w:pos="1588"/>
          <w:tab w:val="num" w:pos="794"/>
        </w:tabs>
        <w:ind w:left="794"/>
        <w:jc w:val="both"/>
        <w:rPr>
          <w:color w:val="000000"/>
          <w:sz w:val="22"/>
          <w:szCs w:val="22"/>
        </w:rPr>
      </w:pPr>
      <w:r w:rsidRPr="00595315">
        <w:rPr>
          <w:color w:val="000000"/>
          <w:sz w:val="22"/>
          <w:szCs w:val="22"/>
        </w:rPr>
        <w:t xml:space="preserve">Rateable and non-rateable land shall be subject to regular review and audit. </w:t>
      </w:r>
    </w:p>
    <w:p w:rsidR="00CE0920" w:rsidRPr="00595315" w:rsidRDefault="00CE0920" w:rsidP="00CE0920">
      <w:pPr>
        <w:pStyle w:val="Sumpoint3"/>
        <w:numPr>
          <w:ilvl w:val="0"/>
          <w:numId w:val="0"/>
        </w:numPr>
        <w:ind w:left="794"/>
        <w:jc w:val="both"/>
        <w:rPr>
          <w:color w:val="000000"/>
          <w:sz w:val="22"/>
          <w:szCs w:val="22"/>
        </w:rPr>
      </w:pPr>
      <w:r w:rsidRPr="00595315">
        <w:rPr>
          <w:color w:val="000000"/>
          <w:sz w:val="22"/>
          <w:szCs w:val="22"/>
        </w:rPr>
        <w:t>Rateable land is reviewed:</w:t>
      </w:r>
    </w:p>
    <w:p w:rsidR="00CE0920" w:rsidRPr="00595315" w:rsidRDefault="00CE0920" w:rsidP="00CE0920">
      <w:pPr>
        <w:pStyle w:val="Sumpoint35"/>
        <w:numPr>
          <w:ilvl w:val="0"/>
          <w:numId w:val="23"/>
        </w:numPr>
        <w:spacing w:before="0"/>
        <w:ind w:left="1154"/>
        <w:jc w:val="both"/>
        <w:rPr>
          <w:color w:val="000000"/>
          <w:sz w:val="22"/>
          <w:szCs w:val="22"/>
        </w:rPr>
      </w:pPr>
      <w:r w:rsidRPr="00595315">
        <w:rPr>
          <w:color w:val="000000"/>
          <w:sz w:val="22"/>
          <w:szCs w:val="22"/>
        </w:rPr>
        <w:t>upon revaluation;</w:t>
      </w:r>
    </w:p>
    <w:p w:rsidR="00CE0920" w:rsidRDefault="00CE0920" w:rsidP="00CE0920">
      <w:pPr>
        <w:pStyle w:val="Sumpoint35"/>
        <w:numPr>
          <w:ilvl w:val="0"/>
          <w:numId w:val="23"/>
        </w:numPr>
        <w:spacing w:before="0"/>
        <w:ind w:left="1154"/>
        <w:jc w:val="both"/>
        <w:rPr>
          <w:color w:val="000000"/>
          <w:sz w:val="22"/>
          <w:szCs w:val="22"/>
        </w:rPr>
      </w:pPr>
      <w:r w:rsidRPr="00595315">
        <w:rPr>
          <w:color w:val="000000"/>
          <w:sz w:val="22"/>
          <w:szCs w:val="22"/>
        </w:rPr>
        <w:t>when building permits or subdivisions occur;</w:t>
      </w:r>
    </w:p>
    <w:p w:rsidR="00CE0920" w:rsidRPr="001E62E6" w:rsidRDefault="00CE0920" w:rsidP="00CE0920">
      <w:pPr>
        <w:pStyle w:val="Sumpoint35"/>
        <w:numPr>
          <w:ilvl w:val="0"/>
          <w:numId w:val="23"/>
        </w:numPr>
        <w:spacing w:before="0"/>
        <w:ind w:left="1154"/>
        <w:jc w:val="both"/>
        <w:rPr>
          <w:sz w:val="22"/>
          <w:szCs w:val="22"/>
        </w:rPr>
      </w:pPr>
      <w:r w:rsidRPr="001E62E6">
        <w:rPr>
          <w:sz w:val="22"/>
          <w:szCs w:val="22"/>
        </w:rPr>
        <w:t>where a parcel of land may have more than one land use;</w:t>
      </w:r>
    </w:p>
    <w:p w:rsidR="00CE0920" w:rsidRPr="004654FD" w:rsidRDefault="00CE0920" w:rsidP="00CE0920">
      <w:pPr>
        <w:pStyle w:val="Sumpoint35"/>
        <w:numPr>
          <w:ilvl w:val="0"/>
          <w:numId w:val="23"/>
        </w:numPr>
        <w:spacing w:before="0"/>
        <w:ind w:left="1154"/>
        <w:jc w:val="both"/>
        <w:rPr>
          <w:sz w:val="22"/>
          <w:szCs w:val="22"/>
        </w:rPr>
      </w:pPr>
      <w:r w:rsidRPr="001E62E6">
        <w:rPr>
          <w:sz w:val="22"/>
          <w:szCs w:val="22"/>
        </w:rPr>
        <w:t>if the creation of a separate assessment on a parcel of land is required;</w:t>
      </w:r>
    </w:p>
    <w:p w:rsidR="00CE0920" w:rsidRPr="00595315" w:rsidRDefault="00CE0920" w:rsidP="00CE0920">
      <w:pPr>
        <w:pStyle w:val="Sumpoint35"/>
        <w:numPr>
          <w:ilvl w:val="0"/>
          <w:numId w:val="23"/>
        </w:numPr>
        <w:spacing w:before="0"/>
        <w:ind w:left="1154"/>
        <w:jc w:val="both"/>
        <w:rPr>
          <w:color w:val="000000"/>
          <w:sz w:val="22"/>
          <w:szCs w:val="22"/>
        </w:rPr>
      </w:pPr>
      <w:r w:rsidRPr="00595315">
        <w:rPr>
          <w:color w:val="000000"/>
          <w:sz w:val="22"/>
          <w:szCs w:val="22"/>
        </w:rPr>
        <w:t>upon sale and transfer of land;</w:t>
      </w:r>
    </w:p>
    <w:p w:rsidR="00CE0920" w:rsidRPr="00595315" w:rsidRDefault="00CE0920" w:rsidP="00CE0920">
      <w:pPr>
        <w:pStyle w:val="Sumpoint35"/>
        <w:numPr>
          <w:ilvl w:val="0"/>
          <w:numId w:val="23"/>
        </w:numPr>
        <w:spacing w:before="0"/>
        <w:ind w:left="1154"/>
        <w:jc w:val="both"/>
        <w:rPr>
          <w:color w:val="000000"/>
          <w:sz w:val="22"/>
          <w:szCs w:val="22"/>
        </w:rPr>
      </w:pPr>
      <w:r w:rsidRPr="00595315">
        <w:rPr>
          <w:color w:val="000000"/>
          <w:sz w:val="22"/>
          <w:szCs w:val="22"/>
        </w:rPr>
        <w:t xml:space="preserve">upon inspection by </w:t>
      </w:r>
      <w:r w:rsidR="00017BEB">
        <w:rPr>
          <w:color w:val="000000"/>
          <w:sz w:val="22"/>
          <w:szCs w:val="22"/>
        </w:rPr>
        <w:t>the City</w:t>
      </w:r>
      <w:r w:rsidRPr="00595315">
        <w:rPr>
          <w:color w:val="000000"/>
          <w:sz w:val="22"/>
          <w:szCs w:val="22"/>
        </w:rPr>
        <w:t>; and</w:t>
      </w:r>
    </w:p>
    <w:p w:rsidR="00CE0920" w:rsidRPr="00595315" w:rsidRDefault="00CE0920" w:rsidP="00CE0920">
      <w:pPr>
        <w:pStyle w:val="Sumpoint35"/>
        <w:numPr>
          <w:ilvl w:val="0"/>
          <w:numId w:val="23"/>
        </w:numPr>
        <w:spacing w:before="0"/>
        <w:ind w:left="1154"/>
        <w:jc w:val="both"/>
        <w:rPr>
          <w:color w:val="000000"/>
          <w:sz w:val="22"/>
          <w:szCs w:val="22"/>
        </w:rPr>
      </w:pPr>
      <w:r w:rsidRPr="00595315">
        <w:rPr>
          <w:color w:val="000000"/>
          <w:sz w:val="22"/>
          <w:szCs w:val="22"/>
        </w:rPr>
        <w:t>upon application and inquiry by the ratepayer.</w:t>
      </w:r>
    </w:p>
    <w:p w:rsidR="00CE0920" w:rsidRPr="00595315" w:rsidRDefault="00CE0920" w:rsidP="00CE0920">
      <w:pPr>
        <w:pStyle w:val="Sumpoint3"/>
        <w:numPr>
          <w:ilvl w:val="0"/>
          <w:numId w:val="0"/>
        </w:numPr>
        <w:ind w:left="794"/>
        <w:jc w:val="both"/>
        <w:rPr>
          <w:color w:val="000000"/>
          <w:sz w:val="22"/>
          <w:szCs w:val="22"/>
        </w:rPr>
      </w:pPr>
      <w:r w:rsidRPr="00595315">
        <w:rPr>
          <w:color w:val="000000"/>
          <w:sz w:val="22"/>
          <w:szCs w:val="22"/>
        </w:rPr>
        <w:t>Non-rateable land shall be reviewed bi-annually in respect to its continuing classification as non-rateable land.</w:t>
      </w:r>
    </w:p>
    <w:p w:rsidR="00CE0920" w:rsidRPr="00595315" w:rsidRDefault="00CE0920" w:rsidP="00CE0920">
      <w:pPr>
        <w:pStyle w:val="NumberedPara1"/>
        <w:tabs>
          <w:tab w:val="clear" w:pos="1117"/>
          <w:tab w:val="num" w:pos="720"/>
        </w:tabs>
        <w:ind w:left="395"/>
        <w:jc w:val="both"/>
        <w:rPr>
          <w:sz w:val="22"/>
          <w:szCs w:val="22"/>
        </w:rPr>
      </w:pPr>
      <w:r w:rsidRPr="00595315">
        <w:rPr>
          <w:color w:val="000000"/>
          <w:sz w:val="22"/>
          <w:szCs w:val="22"/>
        </w:rPr>
        <w:t xml:space="preserve">Policy Review </w:t>
      </w:r>
    </w:p>
    <w:p w:rsidR="00CE0920" w:rsidRPr="00595315" w:rsidRDefault="00CE0920" w:rsidP="00CE0920">
      <w:pPr>
        <w:pStyle w:val="NumberedPara2"/>
        <w:tabs>
          <w:tab w:val="clear" w:pos="1588"/>
          <w:tab w:val="num" w:pos="794"/>
        </w:tabs>
        <w:ind w:left="794"/>
        <w:jc w:val="both"/>
        <w:rPr>
          <w:color w:val="000000"/>
          <w:sz w:val="22"/>
          <w:szCs w:val="22"/>
        </w:rPr>
      </w:pPr>
      <w:r w:rsidRPr="00595315">
        <w:rPr>
          <w:color w:val="000000"/>
          <w:sz w:val="22"/>
          <w:szCs w:val="22"/>
        </w:rPr>
        <w:t xml:space="preserve">This Policy and Rating Strategy shall be reviewed annually during budget development and endorsed by Council. </w:t>
      </w:r>
    </w:p>
    <w:p w:rsidR="00CE0920" w:rsidRPr="00595315" w:rsidRDefault="00CE0920" w:rsidP="00CE0920">
      <w:pPr>
        <w:pStyle w:val="NumberedPara2"/>
        <w:numPr>
          <w:ilvl w:val="0"/>
          <w:numId w:val="0"/>
        </w:numPr>
        <w:jc w:val="both"/>
        <w:rPr>
          <w:sz w:val="22"/>
          <w:szCs w:val="22"/>
        </w:rPr>
      </w:pPr>
      <w:r w:rsidRPr="00595315">
        <w:rPr>
          <w:b/>
          <w:sz w:val="22"/>
          <w:szCs w:val="22"/>
        </w:rPr>
        <w:t>QUALITY RECORDS</w:t>
      </w:r>
    </w:p>
    <w:p w:rsidR="00CE0920" w:rsidRPr="00595315" w:rsidRDefault="00CE0920" w:rsidP="00CE0920">
      <w:pPr>
        <w:pStyle w:val="OfficerFile"/>
        <w:ind w:left="426"/>
        <w:rPr>
          <w:color w:val="000000"/>
          <w:sz w:val="22"/>
          <w:szCs w:val="22"/>
        </w:rPr>
      </w:pPr>
      <w:r w:rsidRPr="00595315">
        <w:rPr>
          <w:color w:val="000000"/>
          <w:sz w:val="22"/>
          <w:szCs w:val="22"/>
        </w:rPr>
        <w:t>Quality Records shall be retained for at least the period shown below.</w:t>
      </w:r>
    </w:p>
    <w:p w:rsidR="00CE0920" w:rsidRPr="00595315" w:rsidRDefault="00CE0920" w:rsidP="00CE0920">
      <w:pPr>
        <w:rPr>
          <w:color w:val="000000"/>
          <w:szCs w:val="22"/>
        </w:rPr>
      </w:pPr>
    </w:p>
    <w:tbl>
      <w:tblPr>
        <w:tblW w:w="8256" w:type="dxa"/>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26"/>
        <w:gridCol w:w="2712"/>
        <w:gridCol w:w="1559"/>
        <w:gridCol w:w="1859"/>
      </w:tblGrid>
      <w:tr w:rsidR="00CE0920" w:rsidRPr="00E60EA6" w:rsidTr="00B114DB">
        <w:tc>
          <w:tcPr>
            <w:tcW w:w="2126" w:type="dxa"/>
          </w:tcPr>
          <w:p w:rsidR="00CE0920" w:rsidRPr="00E60EA6" w:rsidRDefault="00CE0920" w:rsidP="00B114DB">
            <w:pPr>
              <w:ind w:left="33"/>
              <w:rPr>
                <w:b/>
                <w:color w:val="000000"/>
                <w:szCs w:val="22"/>
              </w:rPr>
            </w:pPr>
            <w:r w:rsidRPr="00E60EA6">
              <w:rPr>
                <w:b/>
                <w:color w:val="000000"/>
                <w:szCs w:val="22"/>
              </w:rPr>
              <w:t>Record</w:t>
            </w:r>
          </w:p>
        </w:tc>
        <w:tc>
          <w:tcPr>
            <w:tcW w:w="2712" w:type="dxa"/>
          </w:tcPr>
          <w:p w:rsidR="00CE0920" w:rsidRPr="00E60EA6" w:rsidRDefault="00CE0920" w:rsidP="00B114DB">
            <w:pPr>
              <w:ind w:left="33"/>
              <w:rPr>
                <w:b/>
                <w:color w:val="000000"/>
                <w:szCs w:val="22"/>
              </w:rPr>
            </w:pPr>
            <w:r w:rsidRPr="00E60EA6">
              <w:rPr>
                <w:b/>
                <w:color w:val="000000"/>
                <w:szCs w:val="22"/>
              </w:rPr>
              <w:t>Retention/Disposal Responsibility</w:t>
            </w:r>
          </w:p>
        </w:tc>
        <w:tc>
          <w:tcPr>
            <w:tcW w:w="1559" w:type="dxa"/>
          </w:tcPr>
          <w:p w:rsidR="00CE0920" w:rsidRPr="00E60EA6" w:rsidRDefault="00CE0920" w:rsidP="00B114DB">
            <w:pPr>
              <w:ind w:left="33"/>
              <w:rPr>
                <w:b/>
                <w:color w:val="000000"/>
                <w:szCs w:val="22"/>
              </w:rPr>
            </w:pPr>
            <w:r w:rsidRPr="00E60EA6">
              <w:rPr>
                <w:b/>
                <w:color w:val="000000"/>
                <w:szCs w:val="22"/>
              </w:rPr>
              <w:t>Retention Period</w:t>
            </w:r>
          </w:p>
        </w:tc>
        <w:tc>
          <w:tcPr>
            <w:tcW w:w="1859" w:type="dxa"/>
          </w:tcPr>
          <w:p w:rsidR="00CE0920" w:rsidRPr="00E60EA6" w:rsidRDefault="00CE0920" w:rsidP="00B114DB">
            <w:pPr>
              <w:tabs>
                <w:tab w:val="left" w:pos="1735"/>
              </w:tabs>
              <w:ind w:left="33"/>
              <w:rPr>
                <w:b/>
                <w:color w:val="000000"/>
                <w:szCs w:val="22"/>
              </w:rPr>
            </w:pPr>
            <w:r w:rsidRPr="00E60EA6">
              <w:rPr>
                <w:b/>
                <w:color w:val="000000"/>
                <w:szCs w:val="22"/>
              </w:rPr>
              <w:t>Location</w:t>
            </w:r>
          </w:p>
        </w:tc>
      </w:tr>
      <w:tr w:rsidR="00CE0920" w:rsidRPr="00E60EA6" w:rsidTr="00B114DB">
        <w:tc>
          <w:tcPr>
            <w:tcW w:w="2126" w:type="dxa"/>
          </w:tcPr>
          <w:p w:rsidR="00CE0920" w:rsidRPr="00E60EA6" w:rsidRDefault="00CE0920" w:rsidP="00B114DB">
            <w:pPr>
              <w:ind w:left="33"/>
              <w:rPr>
                <w:color w:val="000000"/>
                <w:szCs w:val="22"/>
              </w:rPr>
            </w:pPr>
            <w:r w:rsidRPr="00E60EA6">
              <w:rPr>
                <w:color w:val="000000"/>
                <w:szCs w:val="22"/>
              </w:rPr>
              <w:t>Adopted Budget.</w:t>
            </w:r>
          </w:p>
        </w:tc>
        <w:tc>
          <w:tcPr>
            <w:tcW w:w="2712" w:type="dxa"/>
          </w:tcPr>
          <w:p w:rsidR="00CE0920" w:rsidRPr="00E60EA6" w:rsidRDefault="00CE0920" w:rsidP="00B114DB">
            <w:pPr>
              <w:pStyle w:val="Header"/>
              <w:ind w:left="33"/>
              <w:rPr>
                <w:color w:val="000000"/>
                <w:szCs w:val="22"/>
              </w:rPr>
            </w:pPr>
            <w:r w:rsidRPr="00E60EA6">
              <w:rPr>
                <w:color w:val="000000"/>
                <w:szCs w:val="22"/>
              </w:rPr>
              <w:t>Manager – Financial Services</w:t>
            </w:r>
          </w:p>
        </w:tc>
        <w:tc>
          <w:tcPr>
            <w:tcW w:w="1559" w:type="dxa"/>
          </w:tcPr>
          <w:p w:rsidR="00CE0920" w:rsidRPr="00E60EA6" w:rsidRDefault="00CE0920" w:rsidP="00B114DB">
            <w:pPr>
              <w:ind w:left="33"/>
              <w:rPr>
                <w:color w:val="000000"/>
                <w:szCs w:val="22"/>
              </w:rPr>
            </w:pPr>
          </w:p>
        </w:tc>
        <w:tc>
          <w:tcPr>
            <w:tcW w:w="1859" w:type="dxa"/>
          </w:tcPr>
          <w:p w:rsidR="00CE0920" w:rsidRPr="00E60EA6" w:rsidRDefault="00CE0920" w:rsidP="00B114DB">
            <w:pPr>
              <w:ind w:left="33"/>
              <w:rPr>
                <w:color w:val="000000"/>
                <w:szCs w:val="22"/>
              </w:rPr>
            </w:pPr>
            <w:r w:rsidRPr="00E60EA6">
              <w:rPr>
                <w:color w:val="000000"/>
                <w:szCs w:val="22"/>
              </w:rPr>
              <w:t>Corporate Records</w:t>
            </w:r>
          </w:p>
        </w:tc>
      </w:tr>
    </w:tbl>
    <w:p w:rsidR="00CE0920" w:rsidRPr="00595315" w:rsidRDefault="00CE0920" w:rsidP="00CE0920">
      <w:pPr>
        <w:rPr>
          <w:color w:val="000000"/>
          <w:szCs w:val="22"/>
        </w:rPr>
      </w:pPr>
    </w:p>
    <w:p w:rsidR="00CE0920" w:rsidRPr="00595315" w:rsidRDefault="00CE0920" w:rsidP="00CE0920">
      <w:pPr>
        <w:pStyle w:val="NumberedPara"/>
        <w:rPr>
          <w:color w:val="000000"/>
          <w:sz w:val="22"/>
          <w:szCs w:val="22"/>
        </w:rPr>
      </w:pPr>
      <w:r w:rsidRPr="00595315">
        <w:rPr>
          <w:color w:val="000000"/>
          <w:sz w:val="22"/>
          <w:szCs w:val="22"/>
        </w:rPr>
        <w:t>ATTACHMENTS – none.</w:t>
      </w:r>
      <w:r w:rsidRPr="00595315" w:rsidDel="005757C8">
        <w:rPr>
          <w:color w:val="000000"/>
          <w:sz w:val="22"/>
          <w:szCs w:val="22"/>
        </w:rPr>
        <w:t xml:space="preserve"> </w:t>
      </w:r>
    </w:p>
    <w:p w:rsidR="004F509C" w:rsidRDefault="004F509C">
      <w:pPr>
        <w:spacing w:before="0" w:after="0"/>
        <w:rPr>
          <w:color w:val="0070C0"/>
        </w:rPr>
        <w:sectPr w:rsidR="004F509C" w:rsidSect="00132FCB">
          <w:footerReference w:type="default" r:id="rId38"/>
          <w:pgSz w:w="11907" w:h="16840" w:code="184"/>
          <w:pgMar w:top="1134" w:right="1418" w:bottom="1701" w:left="1985" w:header="567" w:footer="227" w:gutter="0"/>
          <w:pgNumType w:start="1"/>
          <w:cols w:space="720"/>
          <w:docGrid w:linePitch="299"/>
        </w:sectPr>
      </w:pPr>
    </w:p>
    <w:p w:rsidR="00F462EA" w:rsidRPr="00F462EA" w:rsidRDefault="00F462EA" w:rsidP="00F462EA">
      <w:pPr>
        <w:spacing w:after="0"/>
      </w:pPr>
      <w:r w:rsidRPr="00F462EA">
        <w:rPr>
          <w:color w:val="0070C0"/>
        </w:rPr>
        <w:lastRenderedPageBreak/>
        <w:t xml:space="preserve">Attachment </w:t>
      </w:r>
      <w:r w:rsidR="00CE0920">
        <w:rPr>
          <w:color w:val="0070C0"/>
        </w:rPr>
        <w:t>4</w:t>
      </w:r>
    </w:p>
    <w:p w:rsidR="0075415F" w:rsidRPr="00D576C5" w:rsidRDefault="0075415F" w:rsidP="00390ABE">
      <w:pPr>
        <w:pStyle w:val="Heading2A"/>
      </w:pPr>
      <w:r w:rsidRPr="00D576C5">
        <w:t>Historic Overview of Annual Rating Strategy Decisions</w:t>
      </w:r>
      <w:bookmarkEnd w:id="452"/>
      <w:bookmarkEnd w:id="453"/>
    </w:p>
    <w:p w:rsidR="0075415F" w:rsidRPr="00BA4451" w:rsidRDefault="0075415F">
      <w:pPr>
        <w:pStyle w:val="Heading4A"/>
      </w:pPr>
      <w:bookmarkStart w:id="454" w:name="_Toc260749420"/>
      <w:bookmarkStart w:id="455" w:name="_Toc292369410"/>
      <w:bookmarkStart w:id="456" w:name="_Toc292369482"/>
      <w:bookmarkStart w:id="457" w:name="_Toc355947708"/>
      <w:bookmarkStart w:id="458" w:name="_Toc356202548"/>
      <w:bookmarkStart w:id="459" w:name="_Toc356202881"/>
      <w:r w:rsidRPr="00BA4451">
        <w:t>2002-</w:t>
      </w:r>
      <w:bookmarkEnd w:id="454"/>
      <w:bookmarkEnd w:id="455"/>
      <w:bookmarkEnd w:id="456"/>
      <w:bookmarkEnd w:id="457"/>
      <w:bookmarkEnd w:id="458"/>
      <w:bookmarkEnd w:id="459"/>
      <w:r w:rsidR="009B21E0">
        <w:t>03</w:t>
      </w:r>
    </w:p>
    <w:p w:rsidR="0075415F" w:rsidRPr="0098189D" w:rsidRDefault="0075415F">
      <w:pPr>
        <w:pStyle w:val="BodyText"/>
      </w:pPr>
      <w:r w:rsidRPr="0098189D">
        <w:t>Following the 2002-</w:t>
      </w:r>
      <w:r w:rsidR="00AA06D8">
        <w:t>03</w:t>
      </w:r>
      <w:r w:rsidR="00AA06D8" w:rsidRPr="0098189D">
        <w:t xml:space="preserve"> </w:t>
      </w:r>
      <w:r w:rsidRPr="0098189D">
        <w:t xml:space="preserve">Budget and striking of rates using the 2002 revaluations, </w:t>
      </w:r>
      <w:r w:rsidR="00132FCB">
        <w:t>Council</w:t>
      </w:r>
      <w:r w:rsidR="00BA2077" w:rsidRPr="0098189D">
        <w:t xml:space="preserve"> </w:t>
      </w:r>
      <w:r w:rsidRPr="0098189D">
        <w:t>received considerable negative response from ratepayers whose rates had significantly increased above the 5.7% average movement.</w:t>
      </w:r>
    </w:p>
    <w:p w:rsidR="0075415F" w:rsidRPr="0098189D" w:rsidRDefault="0075415F">
      <w:pPr>
        <w:pStyle w:val="BodyText"/>
      </w:pPr>
      <w:r w:rsidRPr="0098189D">
        <w:t xml:space="preserve">In response, Council in October 2002 adopted a ‘Rates Assistance Plan’ offering a range of support, including extension of interest free terms, easier arrangements for hardship and deferral applications and significantly, a one-off rate relief of up to $300 for qualifying ratepayers under the hardship provisions of the </w:t>
      </w:r>
      <w:r w:rsidRPr="005167B1">
        <w:rPr>
          <w:i/>
        </w:rPr>
        <w:t>Local Government Act 1989</w:t>
      </w:r>
      <w:r w:rsidRPr="0098189D">
        <w:t>.</w:t>
      </w:r>
    </w:p>
    <w:p w:rsidR="0075415F" w:rsidRPr="00BA4451" w:rsidRDefault="0075415F">
      <w:pPr>
        <w:pStyle w:val="Heading4A"/>
      </w:pPr>
      <w:bookmarkStart w:id="460" w:name="_Toc260749421"/>
      <w:bookmarkStart w:id="461" w:name="_Toc292369411"/>
      <w:bookmarkStart w:id="462" w:name="_Toc292369483"/>
      <w:bookmarkStart w:id="463" w:name="_Toc355947709"/>
      <w:bookmarkStart w:id="464" w:name="_Toc356202549"/>
      <w:bookmarkStart w:id="465" w:name="_Toc356202882"/>
      <w:r w:rsidRPr="00BA4451">
        <w:t>2003-</w:t>
      </w:r>
      <w:bookmarkEnd w:id="460"/>
      <w:bookmarkEnd w:id="461"/>
      <w:bookmarkEnd w:id="462"/>
      <w:bookmarkEnd w:id="463"/>
      <w:bookmarkEnd w:id="464"/>
      <w:bookmarkEnd w:id="465"/>
      <w:r w:rsidR="009B21E0">
        <w:t>04</w:t>
      </w:r>
    </w:p>
    <w:p w:rsidR="0075415F" w:rsidRPr="0098189D" w:rsidRDefault="0075415F">
      <w:pPr>
        <w:pStyle w:val="BodyText"/>
      </w:pPr>
      <w:r w:rsidRPr="0098189D">
        <w:t xml:space="preserve">For the 2003-04 Budget, </w:t>
      </w:r>
      <w:r w:rsidR="00132FCB">
        <w:t>Council</w:t>
      </w:r>
      <w:r w:rsidR="007C6D8E" w:rsidRPr="0098189D">
        <w:t xml:space="preserve"> </w:t>
      </w:r>
      <w:r w:rsidRPr="0098189D">
        <w:t>established a consultation process with a Community Rates Forum held in June 2003.  A report to Council in July 2003 recommended a number of legislative amendments and administrative action.</w:t>
      </w:r>
    </w:p>
    <w:p w:rsidR="0075415F" w:rsidRPr="0098189D" w:rsidRDefault="00132FCB">
      <w:pPr>
        <w:pStyle w:val="BodyText"/>
      </w:pPr>
      <w:r>
        <w:t xml:space="preserve">Council </w:t>
      </w:r>
      <w:r w:rsidR="0075415F" w:rsidRPr="0098189D">
        <w:t xml:space="preserve">pursued legislative amendments that would give flexibility within the rate setting framework including a general capping of rates, power to set a minimum rate and changes to the four times rule. </w:t>
      </w:r>
    </w:p>
    <w:p w:rsidR="00F462EA" w:rsidRDefault="0075415F">
      <w:pPr>
        <w:pStyle w:val="BodyText"/>
      </w:pPr>
      <w:r w:rsidRPr="0098189D">
        <w:t xml:space="preserve">Despite </w:t>
      </w:r>
      <w:r w:rsidR="00132FCB">
        <w:t>Council</w:t>
      </w:r>
      <w:r w:rsidR="007C6D8E" w:rsidRPr="0098189D">
        <w:t xml:space="preserve"> </w:t>
      </w:r>
      <w:r w:rsidRPr="0098189D">
        <w:t xml:space="preserve">considerable effort, the </w:t>
      </w:r>
      <w:r w:rsidRPr="005167B1">
        <w:rPr>
          <w:i/>
        </w:rPr>
        <w:t>Local Government (Democratic Reform) Act 2003</w:t>
      </w:r>
      <w:r w:rsidRPr="0098189D">
        <w:t xml:space="preserve"> included none of </w:t>
      </w:r>
      <w:r w:rsidR="00132FCB">
        <w:t>Council</w:t>
      </w:r>
      <w:r w:rsidR="007C6D8E" w:rsidRPr="0098189D">
        <w:t xml:space="preserve"> </w:t>
      </w:r>
      <w:r w:rsidRPr="0098189D">
        <w:t xml:space="preserve">proposals and legal advice concluded that the amendment to </w:t>
      </w:r>
      <w:r w:rsidR="007C6D8E">
        <w:t>s</w:t>
      </w:r>
      <w:r w:rsidR="007C6D8E" w:rsidRPr="0098189D">
        <w:t xml:space="preserve">ection </w:t>
      </w:r>
      <w:r w:rsidRPr="0098189D">
        <w:t>171 of the principal Act provides for no additional flexibility for capping rates per se as a result of significant valuation movements.</w:t>
      </w:r>
    </w:p>
    <w:p w:rsidR="00F462EA" w:rsidRDefault="0075415F">
      <w:pPr>
        <w:pStyle w:val="BodyText"/>
      </w:pPr>
      <w:r w:rsidRPr="0098189D">
        <w:t xml:space="preserve">At the National Conference of the Australian Local Government Association, in November 2003, </w:t>
      </w:r>
      <w:r w:rsidRPr="00B354EC">
        <w:t>Council put forward</w:t>
      </w:r>
      <w:r w:rsidRPr="0098189D">
        <w:t xml:space="preserve"> a motion to move towards an “income assessed” method of rating for </w:t>
      </w:r>
      <w:r w:rsidR="00C52306">
        <w:t>l</w:t>
      </w:r>
      <w:r w:rsidR="00C52306" w:rsidRPr="0098189D">
        <w:t xml:space="preserve">ocal </w:t>
      </w:r>
      <w:r w:rsidR="00C52306">
        <w:t>g</w:t>
      </w:r>
      <w:r w:rsidR="00C52306" w:rsidRPr="0098189D">
        <w:t>overnment</w:t>
      </w:r>
      <w:r w:rsidRPr="0098189D">
        <w:t xml:space="preserve">, which received little support. The ALGA represents the </w:t>
      </w:r>
      <w:r w:rsidR="00C52306">
        <w:t>l</w:t>
      </w:r>
      <w:r w:rsidR="00C52306" w:rsidRPr="0098189D">
        <w:t xml:space="preserve">ocal </w:t>
      </w:r>
      <w:r w:rsidR="00C52306">
        <w:t>g</w:t>
      </w:r>
      <w:r w:rsidR="00C52306" w:rsidRPr="0098189D">
        <w:t xml:space="preserve">overnment </w:t>
      </w:r>
      <w:r w:rsidRPr="0098189D">
        <w:t>industry nationally and delegates are councillors, elected and appointed by ratepayers.</w:t>
      </w:r>
    </w:p>
    <w:p w:rsidR="00F462EA" w:rsidRDefault="0075415F">
      <w:pPr>
        <w:pStyle w:val="BodyText"/>
      </w:pPr>
      <w:r w:rsidRPr="0098189D">
        <w:t>In November 2003 a NATSEMA study</w:t>
      </w:r>
      <w:r w:rsidRPr="0098189D">
        <w:rPr>
          <w:vertAlign w:val="superscript"/>
        </w:rPr>
        <w:t>1</w:t>
      </w:r>
      <w:r w:rsidRPr="0098189D">
        <w:t xml:space="preserve"> indicated that Australia’s ageing population held significant wealth in housing with the younger generation holding less housing assets </w:t>
      </w:r>
      <w:r w:rsidRPr="00C95673">
        <w:t xml:space="preserve">and greater debt arising from soaring higher education fees, higher house prices along with job insecurity and cuts in welfare. The so called “generation X” are likely to pay higher taxes to meet health and welfare costs of an ageing population. Any move to </w:t>
      </w:r>
      <w:r w:rsidRPr="00C95673">
        <w:lastRenderedPageBreak/>
        <w:t>reduce the property tax burden will simply shift that burden to lower cost housing owners and tenants.  Again, more likely to be the younger generation.</w:t>
      </w:r>
    </w:p>
    <w:p w:rsidR="00F462EA" w:rsidRDefault="0075415F">
      <w:pPr>
        <w:pStyle w:val="BodyText"/>
      </w:pPr>
      <w:r w:rsidRPr="0098189D">
        <w:t>The State of the Regions 2003-</w:t>
      </w:r>
      <w:r w:rsidR="00AA06D8">
        <w:t>04</w:t>
      </w:r>
      <w:r w:rsidR="00AA06D8" w:rsidRPr="0098189D">
        <w:rPr>
          <w:vertAlign w:val="superscript"/>
        </w:rPr>
        <w:t>2</w:t>
      </w:r>
      <w:r w:rsidR="00AA06D8" w:rsidRPr="0098189D">
        <w:t xml:space="preserve"> </w:t>
      </w:r>
      <w:r w:rsidRPr="0098189D">
        <w:t xml:space="preserve">report identified regional cities in Australia with growth potential and that one of the biggest demographic shifts - retirees moving to desirable locations such as the coast - would ultimately depress those economies. The report indicated that while retirees will have lower disposable income they will require higher support and infrastructure needs which can drain resources from </w:t>
      </w:r>
      <w:r w:rsidR="00C52306">
        <w:t>l</w:t>
      </w:r>
      <w:r w:rsidR="00C52306" w:rsidRPr="0098189D">
        <w:t xml:space="preserve">ocal </w:t>
      </w:r>
      <w:r w:rsidR="00C52306">
        <w:t>g</w:t>
      </w:r>
      <w:r w:rsidR="00C52306" w:rsidRPr="0098189D">
        <w:t>overnment</w:t>
      </w:r>
      <w:r w:rsidRPr="0098189D">
        <w:t>.</w:t>
      </w:r>
    </w:p>
    <w:p w:rsidR="00F462EA" w:rsidRDefault="0075415F">
      <w:pPr>
        <w:pStyle w:val="BodyText"/>
        <w:rPr>
          <w:i/>
        </w:rPr>
      </w:pPr>
      <w:r w:rsidRPr="0098189D">
        <w:t xml:space="preserve">The problem of inter-generational debt and tax burdening has been described by the Federal Treasurer </w:t>
      </w:r>
      <w:r w:rsidRPr="0098189D">
        <w:rPr>
          <w:i/>
        </w:rPr>
        <w:t xml:space="preserve">as “one of the largest challenges which is confronting our society”. </w:t>
      </w:r>
    </w:p>
    <w:p w:rsidR="00F462EA" w:rsidRDefault="0075415F">
      <w:pPr>
        <w:pStyle w:val="BodyText"/>
      </w:pPr>
      <w:r w:rsidRPr="0098189D">
        <w:t xml:space="preserve">Similarly affecting the rates and charges levied by Council, is the extent to which cost shifting from </w:t>
      </w:r>
      <w:r w:rsidR="00C52306">
        <w:t>f</w:t>
      </w:r>
      <w:r w:rsidR="00C52306" w:rsidRPr="0098189D">
        <w:t xml:space="preserve">ederal </w:t>
      </w:r>
      <w:r w:rsidRPr="0098189D">
        <w:t xml:space="preserve">and </w:t>
      </w:r>
      <w:r w:rsidR="00C52306">
        <w:t>s</w:t>
      </w:r>
      <w:r w:rsidR="00C52306" w:rsidRPr="0098189D">
        <w:t xml:space="preserve">tate </w:t>
      </w:r>
      <w:r w:rsidRPr="0098189D">
        <w:t xml:space="preserve">to </w:t>
      </w:r>
      <w:r w:rsidR="00C52306">
        <w:t>l</w:t>
      </w:r>
      <w:r w:rsidR="00C52306" w:rsidRPr="0098189D">
        <w:t xml:space="preserve">ocal </w:t>
      </w:r>
      <w:r w:rsidR="00C52306">
        <w:t>g</w:t>
      </w:r>
      <w:r w:rsidR="00C52306" w:rsidRPr="0098189D">
        <w:t xml:space="preserve">overnment </w:t>
      </w:r>
      <w:r w:rsidRPr="0098189D">
        <w:t xml:space="preserve">has occurred in recent years. </w:t>
      </w:r>
      <w:r w:rsidRPr="00BE49FF">
        <w:t>Council’s submission</w:t>
      </w:r>
      <w:r w:rsidRPr="0098189D">
        <w:t xml:space="preserve"> to the Federal Inquiry</w:t>
      </w:r>
      <w:r w:rsidRPr="0098189D">
        <w:rPr>
          <w:vertAlign w:val="superscript"/>
        </w:rPr>
        <w:t>5</w:t>
      </w:r>
      <w:r w:rsidRPr="0098189D">
        <w:t xml:space="preserve"> estimated that costs upwards of $20 million per annum or some $220 p.a. per ratepayer has been “shifted” onto </w:t>
      </w:r>
      <w:r w:rsidR="00132FCB">
        <w:t>Council</w:t>
      </w:r>
      <w:r w:rsidR="00592012">
        <w:t xml:space="preserve"> </w:t>
      </w:r>
      <w:r w:rsidRPr="0098189D">
        <w:t>and in turn its ratepayers and clients using fee paying services.</w:t>
      </w:r>
    </w:p>
    <w:p w:rsidR="00F462EA" w:rsidRDefault="0075415F">
      <w:pPr>
        <w:pStyle w:val="BodyText"/>
      </w:pPr>
      <w:r w:rsidRPr="0098189D">
        <w:t>Council urged the State Government to increase the pension rebate to bring it more in line with increases in other states.   The State Budget in May 2004 provided for an increase to the pensioner concession rebate from $135 to $160 commencing 1</w:t>
      </w:r>
      <w:r w:rsidR="00880CCD">
        <w:t xml:space="preserve"> </w:t>
      </w:r>
      <w:r w:rsidRPr="0098189D">
        <w:t xml:space="preserve">July 2004 to be indexed annually. </w:t>
      </w:r>
    </w:p>
    <w:p w:rsidR="0075415F" w:rsidRPr="00BA4451" w:rsidRDefault="0075415F">
      <w:pPr>
        <w:pStyle w:val="Heading4A"/>
      </w:pPr>
      <w:bookmarkStart w:id="466" w:name="_Toc260749422"/>
      <w:bookmarkStart w:id="467" w:name="_Toc292369412"/>
      <w:bookmarkStart w:id="468" w:name="_Toc292369484"/>
      <w:bookmarkStart w:id="469" w:name="_Toc355947710"/>
      <w:bookmarkStart w:id="470" w:name="_Toc356202550"/>
      <w:bookmarkStart w:id="471" w:name="_Toc356202883"/>
      <w:r w:rsidRPr="00BA4451">
        <w:t>2004-</w:t>
      </w:r>
      <w:bookmarkEnd w:id="466"/>
      <w:bookmarkEnd w:id="467"/>
      <w:bookmarkEnd w:id="468"/>
      <w:bookmarkEnd w:id="469"/>
      <w:bookmarkEnd w:id="470"/>
      <w:bookmarkEnd w:id="471"/>
      <w:r w:rsidR="009B21E0">
        <w:t>05</w:t>
      </w:r>
    </w:p>
    <w:p w:rsidR="0075415F" w:rsidRPr="0098189D" w:rsidRDefault="0075415F">
      <w:pPr>
        <w:pStyle w:val="BodyText"/>
      </w:pPr>
      <w:r w:rsidRPr="0098189D">
        <w:t xml:space="preserve">As part of the administrative action plan, </w:t>
      </w:r>
      <w:r w:rsidR="00132FCB">
        <w:t>Council</w:t>
      </w:r>
      <w:r w:rsidR="007C6D8E" w:rsidRPr="0098189D">
        <w:t xml:space="preserve"> </w:t>
      </w:r>
      <w:r w:rsidRPr="0098189D">
        <w:t>worked in conjunction with ministerial officers to develop a comprehensive Rating Strategy for 2004</w:t>
      </w:r>
      <w:r w:rsidRPr="0098189D">
        <w:noBreakHyphen/>
      </w:r>
      <w:r w:rsidR="00AA06D8">
        <w:t>05</w:t>
      </w:r>
      <w:r w:rsidRPr="0098189D">
        <w:t xml:space="preserve">. The strategy included a number of key strategic issues considered with feedback via public submission and community forums. </w:t>
      </w:r>
    </w:p>
    <w:p w:rsidR="0075415F" w:rsidRPr="0098189D" w:rsidRDefault="0075415F">
      <w:pPr>
        <w:pStyle w:val="BodyText"/>
      </w:pPr>
      <w:r w:rsidRPr="0098189D">
        <w:t xml:space="preserve">The </w:t>
      </w:r>
      <w:r w:rsidR="007C6D8E">
        <w:t>s</w:t>
      </w:r>
      <w:r w:rsidR="007C6D8E" w:rsidRPr="0098189D">
        <w:t xml:space="preserve">trategy </w:t>
      </w:r>
      <w:r w:rsidRPr="0098189D">
        <w:t xml:space="preserve">provided for the continuation of the Rates Assistance Plan as a measure of “phasing in” of the 2004 Revaluations, subject to the hardship provisions of </w:t>
      </w:r>
      <w:r w:rsidR="00DA5DDD">
        <w:t>s</w:t>
      </w:r>
      <w:r w:rsidR="00DA5DDD" w:rsidRPr="0098189D">
        <w:t xml:space="preserve">ection </w:t>
      </w:r>
      <w:r w:rsidRPr="0098189D">
        <w:t>171A.</w:t>
      </w:r>
    </w:p>
    <w:p w:rsidR="00F462EA" w:rsidRDefault="0075415F">
      <w:pPr>
        <w:pStyle w:val="BodyText"/>
      </w:pPr>
      <w:r w:rsidRPr="0098189D">
        <w:t xml:space="preserve">The </w:t>
      </w:r>
      <w:r w:rsidR="00DA5DDD">
        <w:t>s</w:t>
      </w:r>
      <w:r w:rsidR="00DA5DDD" w:rsidRPr="0098189D">
        <w:t xml:space="preserve">trategy </w:t>
      </w:r>
      <w:r w:rsidRPr="0098189D">
        <w:t xml:space="preserve">outlined a change to rating of the Farm </w:t>
      </w:r>
      <w:r w:rsidR="00DA5DDD">
        <w:t>s</w:t>
      </w:r>
      <w:r w:rsidR="00DA5DDD" w:rsidRPr="0098189D">
        <w:t xml:space="preserve">ector </w:t>
      </w:r>
      <w:r w:rsidRPr="0098189D">
        <w:t>to introduce a “large holding rebate” with farm criteria eligibility expanded to include properties outside of the Valuation of Land Act definition for farms</w:t>
      </w:r>
      <w:r w:rsidR="00DA5DDD">
        <w:t>,</w:t>
      </w:r>
      <w:r w:rsidRPr="0098189D">
        <w:t xml:space="preserve"> but who provide evidence of </w:t>
      </w:r>
      <w:smartTag w:uri="urn:schemas-microsoft-com:office:smarttags" w:element="stockticker">
        <w:r w:rsidRPr="0098189D">
          <w:t>ATO</w:t>
        </w:r>
      </w:smartTag>
      <w:r w:rsidRPr="0098189D">
        <w:t xml:space="preserve"> primary producer status, or where the holding of large land parcels is of benefit to the community in terms of conservation, heritage or open space. The adoption of this component and the subsequent farm rebate had little overall financial impact on eligible ratepayers, but encourages the holding of land and more timely development of non-farm sub divisional land. </w:t>
      </w:r>
    </w:p>
    <w:p w:rsidR="00F462EA" w:rsidRDefault="0075415F">
      <w:pPr>
        <w:pStyle w:val="BodyText"/>
      </w:pPr>
      <w:r w:rsidRPr="0098189D">
        <w:t xml:space="preserve">During this wide ranging review, a number of other issues arose, however Council </w:t>
      </w:r>
      <w:r w:rsidRPr="0098189D">
        <w:lastRenderedPageBreak/>
        <w:t>concluded no change was required to current policy and practice.  Items included Heritage Assistance which was recommended to be decided on a case</w:t>
      </w:r>
      <w:r w:rsidRPr="0098189D">
        <w:noBreakHyphen/>
        <w:t>by</w:t>
      </w:r>
      <w:r w:rsidRPr="0098189D">
        <w:noBreakHyphen/>
        <w:t>case basis rather than any rebate methodology within the rating framework; that the</w:t>
      </w:r>
      <w:r w:rsidRPr="0098189D">
        <w:rPr>
          <w:lang w:val="en-AU"/>
        </w:rPr>
        <w:t xml:space="preserve"> instalment</w:t>
      </w:r>
      <w:r w:rsidRPr="0098189D">
        <w:t xml:space="preserve"> options only payment system as implemented by other </w:t>
      </w:r>
      <w:r w:rsidR="00DA5DDD">
        <w:t>c</w:t>
      </w:r>
      <w:r w:rsidR="00DA5DDD" w:rsidRPr="0098189D">
        <w:t xml:space="preserve">ouncils </w:t>
      </w:r>
      <w:r w:rsidRPr="0098189D">
        <w:t>not be introduced without significant customer support; that charitable and not</w:t>
      </w:r>
      <w:r w:rsidRPr="0098189D">
        <w:noBreakHyphen/>
        <w:t>for</w:t>
      </w:r>
      <w:r w:rsidRPr="0098189D">
        <w:noBreakHyphen/>
        <w:t>profit rating policy remain unchanged.</w:t>
      </w:r>
    </w:p>
    <w:p w:rsidR="00F462EA" w:rsidRDefault="0075415F">
      <w:pPr>
        <w:pStyle w:val="BodyText"/>
      </w:pPr>
      <w:r w:rsidRPr="0098189D">
        <w:t>The consultation process involved public submissions, community forums, direct discussions with local politicians and the Victorian Farmers Federation - Bellarine Branch.</w:t>
      </w:r>
    </w:p>
    <w:p w:rsidR="00F462EA" w:rsidRDefault="0075415F">
      <w:pPr>
        <w:pStyle w:val="BodyText"/>
      </w:pPr>
      <w:r w:rsidRPr="0098189D">
        <w:t xml:space="preserve">Following adoption by Council, the </w:t>
      </w:r>
      <w:r w:rsidR="00DA5DDD">
        <w:t>s</w:t>
      </w:r>
      <w:r w:rsidR="00DA5DDD" w:rsidRPr="0098189D">
        <w:t xml:space="preserve">trategy </w:t>
      </w:r>
      <w:r w:rsidRPr="0098189D">
        <w:t>was implemented for 2004</w:t>
      </w:r>
      <w:r w:rsidRPr="0098189D">
        <w:noBreakHyphen/>
      </w:r>
      <w:r w:rsidR="00AA06D8">
        <w:t>05</w:t>
      </w:r>
      <w:r w:rsidR="00AA06D8" w:rsidRPr="0098189D">
        <w:t xml:space="preserve"> </w:t>
      </w:r>
      <w:r w:rsidRPr="0098189D">
        <w:t xml:space="preserve">and became the base for future year’s discussion and review. </w:t>
      </w:r>
    </w:p>
    <w:p w:rsidR="00F462EA" w:rsidRPr="00B354EC" w:rsidRDefault="0075415F">
      <w:pPr>
        <w:pStyle w:val="BodyText"/>
      </w:pPr>
      <w:r w:rsidRPr="00B354EC">
        <w:t>Every two years Council is required, for rating purposes, to undertake a general revaluation of all properties within the municipality. The revaluation resulted in an average movement of 54%. Revaluations of this magnitude can result in major shifts to billing and are more likely to result in strategic decisions and policy change by Council in respect to rating structures. In the year 2004-</w:t>
      </w:r>
      <w:r w:rsidR="00AA06D8" w:rsidRPr="00B354EC">
        <w:t xml:space="preserve">05 </w:t>
      </w:r>
      <w:r w:rsidRPr="00B354EC">
        <w:t xml:space="preserve">Council gave consideration and implemented changes to its rating structures. </w:t>
      </w:r>
    </w:p>
    <w:p w:rsidR="00F462EA" w:rsidRDefault="0075415F">
      <w:pPr>
        <w:pStyle w:val="BodyText"/>
      </w:pPr>
      <w:r w:rsidRPr="00B354EC">
        <w:t>Changes were considered in the context of rising property values brought about by the diverse range of property and market forces within the municipality and particularly within the residential sector. Council only has limited scope to mitigate significant variations to rate accounts. While many respondents called</w:t>
      </w:r>
      <w:r w:rsidRPr="0098189D">
        <w:t xml:space="preserve"> for a general rate capping process to restrict rate rises on an individual account, there are practical and legal difficulties in introducing such change. Within the context of current legislation the most effective way of managing rate rises and use of a rate cap is to increase the municipal (or flat rate) charge component.</w:t>
      </w:r>
    </w:p>
    <w:p w:rsidR="0075415F" w:rsidRPr="0098189D" w:rsidRDefault="0075415F" w:rsidP="00D43F06">
      <w:pPr>
        <w:pStyle w:val="Heading5A"/>
      </w:pPr>
      <w:r w:rsidRPr="0098189D">
        <w:t xml:space="preserve">Raising the Municipal Charge </w:t>
      </w:r>
    </w:p>
    <w:p w:rsidR="0075415F" w:rsidRPr="0098189D" w:rsidRDefault="0075415F">
      <w:pPr>
        <w:pStyle w:val="BodyText"/>
      </w:pPr>
      <w:r w:rsidRPr="0098189D">
        <w:t xml:space="preserve">By definition, the municipal charge is a contribution to the fixed costs of governance (LGA </w:t>
      </w:r>
      <w:r w:rsidR="00DA5DDD">
        <w:t>s</w:t>
      </w:r>
      <w:r w:rsidR="00DA5DDD" w:rsidRPr="0098189D">
        <w:t xml:space="preserve">ection </w:t>
      </w:r>
      <w:r w:rsidRPr="0098189D">
        <w:t xml:space="preserve">159). While regressive in nature, an increase in the charge could be justified on the basis of the “common benefit principle”, ie. that all ratepayers benefit from </w:t>
      </w:r>
      <w:r w:rsidR="00DA5DDD">
        <w:t>c</w:t>
      </w:r>
      <w:r w:rsidR="00DA5DDD" w:rsidRPr="0098189D">
        <w:t xml:space="preserve">ouncil </w:t>
      </w:r>
      <w:r w:rsidRPr="0098189D">
        <w:t>services and should contribute a similar amount.  A 20% of total revenue ceiling is imposed by legislation, but in this context the municipal charge could be up to $148.00 - (2003-</w:t>
      </w:r>
      <w:r w:rsidR="00AA06D8">
        <w:t>04</w:t>
      </w:r>
      <w:r w:rsidR="00AA06D8" w:rsidRPr="0098189D">
        <w:t xml:space="preserve"> </w:t>
      </w:r>
      <w:r w:rsidRPr="0098189D">
        <w:t>at $36.40).  The effect of increasing the municipal charge would be to decrease the rate in the dollar value used to calculate rates. Before legislative changes and amalgamations in the mid nineties, many councils applied minimum rates with some former councils in the Geelong region having minimum rates ranging from $279 to $330.  The ability to declare a minimum rate was abolished in amendments to the Local Government Act in 1996.</w:t>
      </w:r>
    </w:p>
    <w:p w:rsidR="0075415F" w:rsidRPr="0098189D" w:rsidRDefault="0075415F">
      <w:pPr>
        <w:pStyle w:val="BodyText"/>
      </w:pPr>
      <w:r w:rsidRPr="0098189D">
        <w:t>An increase in the “minimum rate component” is an effective alternative to a non-</w:t>
      </w:r>
      <w:r w:rsidRPr="0098189D">
        <w:lastRenderedPageBreak/>
        <w:t>discretionary rate cap. It has the same effect in that it restricts the rate increase at the high end and redistributes across the rate base.</w:t>
      </w:r>
    </w:p>
    <w:p w:rsidR="00F462EA" w:rsidRDefault="0075415F">
      <w:pPr>
        <w:pStyle w:val="BodyText"/>
      </w:pPr>
      <w:r w:rsidRPr="0098189D">
        <w:t xml:space="preserve">The consultation process revealed some general support for a more significant increase to the municipal charge as a “rate cap” to mitigate the effect of significant rises in capital improved valuations. </w:t>
      </w:r>
    </w:p>
    <w:p w:rsidR="00F462EA" w:rsidRDefault="0075415F">
      <w:pPr>
        <w:pStyle w:val="BodyText"/>
      </w:pPr>
      <w:r w:rsidRPr="0098189D">
        <w:t xml:space="preserve">However, because of the significant variation in valuations within tariff groups and the limitations of the 'four times' rule in setting differential tariffs, it was not practical to </w:t>
      </w:r>
      <w:r w:rsidRPr="00C95673">
        <w:t>significantly increase the municipal charge for 2004-</w:t>
      </w:r>
      <w:r w:rsidR="00AA06D8">
        <w:t>05</w:t>
      </w:r>
      <w:r w:rsidRPr="00C95673">
        <w:t>. Council resolved to increase the municipal charge from $36.40 to $40.00 only for 2004-</w:t>
      </w:r>
      <w:r w:rsidR="00AA06D8">
        <w:t>05</w:t>
      </w:r>
      <w:r w:rsidRPr="00C95673">
        <w:t xml:space="preserve">. </w:t>
      </w:r>
    </w:p>
    <w:p w:rsidR="0075415F" w:rsidRPr="0098189D" w:rsidRDefault="0075415F" w:rsidP="00D43F06">
      <w:pPr>
        <w:pStyle w:val="Heading5A"/>
      </w:pPr>
      <w:r w:rsidRPr="0098189D">
        <w:t xml:space="preserve">Introduction of a Non-discretionary Waiver (Rate Capping) </w:t>
      </w:r>
    </w:p>
    <w:p w:rsidR="0075415F" w:rsidRPr="0098189D" w:rsidRDefault="0075415F">
      <w:pPr>
        <w:pStyle w:val="BodyText"/>
      </w:pPr>
      <w:r w:rsidRPr="0098189D">
        <w:t xml:space="preserve">Such a waiver could be introduced using the new hardship provisions (LGA </w:t>
      </w:r>
      <w:r w:rsidR="00B01D53">
        <w:t>s</w:t>
      </w:r>
      <w:r w:rsidR="00B01D53" w:rsidRPr="0098189D">
        <w:t xml:space="preserve">ection </w:t>
      </w:r>
      <w:r w:rsidRPr="0098189D">
        <w:t xml:space="preserve">171) related to classes of person to provide a general waiver. </w:t>
      </w:r>
    </w:p>
    <w:p w:rsidR="0075415F" w:rsidRPr="0098189D" w:rsidRDefault="0075415F">
      <w:pPr>
        <w:pStyle w:val="BodyText"/>
      </w:pPr>
      <w:r w:rsidRPr="0098189D">
        <w:t xml:space="preserve">Legal advice was obtained indicating that in order to comply with this hardship provision </w:t>
      </w:r>
      <w:r w:rsidR="00132FCB">
        <w:t>Council</w:t>
      </w:r>
      <w:r w:rsidR="00B01D53" w:rsidRPr="0098189D">
        <w:t xml:space="preserve"> </w:t>
      </w:r>
      <w:r w:rsidRPr="0098189D">
        <w:t xml:space="preserve">must link the class of persons to their financial (including asset base) characteristics. </w:t>
      </w:r>
    </w:p>
    <w:p w:rsidR="00F462EA" w:rsidRDefault="0075415F">
      <w:pPr>
        <w:pStyle w:val="BodyText"/>
      </w:pPr>
      <w:r w:rsidRPr="0098189D">
        <w:t xml:space="preserve">The purpose of the LGA </w:t>
      </w:r>
      <w:r w:rsidR="00B01D53">
        <w:t>s</w:t>
      </w:r>
      <w:r w:rsidR="00B01D53" w:rsidRPr="0098189D">
        <w:t xml:space="preserve">ection </w:t>
      </w:r>
      <w:r w:rsidRPr="0098189D">
        <w:t>171 amendment was to make it clear that a “council may decide to waive all or part of the rates for a category of people on the grounds of financial hardship”. This is in addition to rates waived in accordance with the States Concession Act 1983 (the Municipal Rates Concession Scheme). The amendment was primarily to give certainty to those councils providing an additional pensioner concession benefit directly funded by the council.</w:t>
      </w:r>
    </w:p>
    <w:p w:rsidR="00F462EA" w:rsidRDefault="0075415F">
      <w:pPr>
        <w:pStyle w:val="BodyText"/>
      </w:pPr>
      <w:r w:rsidRPr="0098189D">
        <w:t xml:space="preserve">Legal advice indicated that </w:t>
      </w:r>
      <w:r w:rsidR="00132FCB">
        <w:t>Council</w:t>
      </w:r>
      <w:r w:rsidR="00B01D53" w:rsidRPr="0098189D">
        <w:t xml:space="preserve"> </w:t>
      </w:r>
      <w:r w:rsidRPr="0098189D">
        <w:t>could not, for example, provide a non</w:t>
      </w:r>
      <w:r w:rsidRPr="0098189D">
        <w:noBreakHyphen/>
        <w:t xml:space="preserve">discretionary waiver to a class of persons defined </w:t>
      </w:r>
      <w:r w:rsidRPr="0098189D">
        <w:rPr>
          <w:i/>
        </w:rPr>
        <w:t xml:space="preserve">as any residential ratepayer </w:t>
      </w:r>
      <w:r w:rsidRPr="0098189D">
        <w:t xml:space="preserve">having an increase of greater than say 50% in dollar value (or x% of valuation) to their account as to do so may provide a benefit to persons not in hardship. </w:t>
      </w:r>
    </w:p>
    <w:p w:rsidR="00F462EA" w:rsidRDefault="0075415F">
      <w:pPr>
        <w:pStyle w:val="BodyText"/>
      </w:pPr>
      <w:r w:rsidRPr="0098189D">
        <w:t xml:space="preserve">This suggested that confining such a waiver to a pensioner group, health care card holders etc, would be permissible by resolution of Council defining such group as being eligible on the grounds of hardship, noting however, that LGA </w:t>
      </w:r>
      <w:r w:rsidR="00794E57">
        <w:t>s</w:t>
      </w:r>
      <w:r w:rsidR="00794E57" w:rsidRPr="0098189D">
        <w:t xml:space="preserve">ection </w:t>
      </w:r>
      <w:r w:rsidRPr="0098189D">
        <w:t xml:space="preserve">171 (4) does not in itself link pensioners to hardship merely a right to eligibility of a State funded concession. </w:t>
      </w:r>
    </w:p>
    <w:p w:rsidR="00F462EA" w:rsidRPr="00B354EC" w:rsidRDefault="0075415F">
      <w:pPr>
        <w:pStyle w:val="BodyText"/>
      </w:pPr>
      <w:r w:rsidRPr="00B354EC">
        <w:t xml:space="preserve">In </w:t>
      </w:r>
      <w:r w:rsidR="00B01D53" w:rsidRPr="00B354EC">
        <w:t>summary</w:t>
      </w:r>
      <w:r w:rsidRPr="00B354EC">
        <w:t xml:space="preserve">, the new LGA </w:t>
      </w:r>
      <w:r w:rsidR="00B01D53" w:rsidRPr="00B354EC">
        <w:t xml:space="preserve">section </w:t>
      </w:r>
      <w:r w:rsidRPr="00B354EC">
        <w:t>171, while providing for a “class of persons”, limits the ability of Council to offer relief from “rates shock” by imposing a financial hardship test upon that ‘class of persons”.  The two criteria go hand in hand and the final responsibility and risk lies with Council in any resolution as required by LGA section 171(2).</w:t>
      </w:r>
    </w:p>
    <w:p w:rsidR="00F462EA" w:rsidRPr="00B354EC" w:rsidRDefault="0075415F">
      <w:pPr>
        <w:pStyle w:val="BodyText"/>
      </w:pPr>
      <w:r w:rsidRPr="00B354EC">
        <w:t xml:space="preserve">Any proposal to expand the concessions to pensioner groups would have to be </w:t>
      </w:r>
      <w:r w:rsidRPr="00B354EC">
        <w:lastRenderedPageBreak/>
        <w:t>balanced by a higher dollar charge for those ratepayers below the percentage break point, effectively flattening the rate charges by providing a “tax break” for these increasing and higher valued properties. The effect would be to increase the “Rate in Dollar” for all properties in order to fund the benefit or concession.</w:t>
      </w:r>
    </w:p>
    <w:p w:rsidR="00F462EA" w:rsidRPr="00B354EC" w:rsidRDefault="0075415F">
      <w:pPr>
        <w:pStyle w:val="BodyText"/>
      </w:pPr>
      <w:r w:rsidRPr="00B354EC">
        <w:t>Council reviewed the non-discretionary provisions of the LGA and determined that a discretionary waiver was more appropriate in respect to rating for 2004</w:t>
      </w:r>
      <w:r w:rsidRPr="00B354EC">
        <w:noBreakHyphen/>
      </w:r>
      <w:r w:rsidR="00AA06D8" w:rsidRPr="00B354EC">
        <w:t>05</w:t>
      </w:r>
      <w:r w:rsidRPr="00B354EC">
        <w:t>.</w:t>
      </w:r>
    </w:p>
    <w:p w:rsidR="0075415F" w:rsidRPr="00B354EC" w:rsidRDefault="0075415F" w:rsidP="00D43F06">
      <w:pPr>
        <w:pStyle w:val="Heading5A"/>
      </w:pPr>
      <w:r w:rsidRPr="00B354EC">
        <w:t>Discretionary Waiver</w:t>
      </w:r>
    </w:p>
    <w:p w:rsidR="0075415F" w:rsidRPr="0098189D" w:rsidRDefault="0075415F">
      <w:pPr>
        <w:pStyle w:val="BodyText"/>
      </w:pPr>
      <w:r w:rsidRPr="00B354EC">
        <w:t xml:space="preserve">Council reviewed the discretionary waiver provisions of the LGA </w:t>
      </w:r>
      <w:r w:rsidR="00B01D53" w:rsidRPr="00B354EC">
        <w:t xml:space="preserve">cection </w:t>
      </w:r>
      <w:r w:rsidRPr="00B354EC">
        <w:t>171A (2) and  resolved to provide relief from significant increase to rates brought about by market only increments</w:t>
      </w:r>
      <w:r w:rsidRPr="0098189D">
        <w:t xml:space="preserve"> to residential property valuations. Requirements and restrictions were placed on the rebate, including an income test, excluding properties that had been subject to a supplementary valuation, and applicable only to the principal place of residence.  </w:t>
      </w:r>
    </w:p>
    <w:p w:rsidR="0075415F" w:rsidRPr="0098189D" w:rsidRDefault="0075415F">
      <w:pPr>
        <w:pStyle w:val="BodyText"/>
      </w:pPr>
      <w:r w:rsidRPr="0098189D">
        <w:t xml:space="preserve">Whilst more administrative effort is required, this discretionary waiver more effectively targets the group and persons most in need and worthy of assistance and complies with the LGA. The LGA </w:t>
      </w:r>
      <w:r w:rsidR="00B01D53">
        <w:t>s</w:t>
      </w:r>
      <w:r w:rsidR="00B01D53" w:rsidRPr="0098189D">
        <w:t xml:space="preserve">ection </w:t>
      </w:r>
      <w:r w:rsidRPr="0098189D">
        <w:t xml:space="preserve">171A procedure, where the individual makes the application to </w:t>
      </w:r>
      <w:r w:rsidR="00B01D53">
        <w:t>c</w:t>
      </w:r>
      <w:r w:rsidR="00B01D53" w:rsidRPr="0098189D">
        <w:t>ouncil</w:t>
      </w:r>
      <w:r w:rsidRPr="0098189D">
        <w:t xml:space="preserve">, has the benefit of the incorporation into the section of provisions which provide sanctions if any person provides false or misleading information in respect of the application or fails to notify the </w:t>
      </w:r>
      <w:r w:rsidR="00B01D53">
        <w:t>c</w:t>
      </w:r>
      <w:r w:rsidR="00B01D53" w:rsidRPr="0098189D">
        <w:t xml:space="preserve">ouncil </w:t>
      </w:r>
      <w:r w:rsidRPr="0098189D">
        <w:t xml:space="preserve">of a change of circumstance which is relevant to an application or to a waiver granted under </w:t>
      </w:r>
      <w:r w:rsidR="00B01D53">
        <w:t>s</w:t>
      </w:r>
      <w:r w:rsidR="00B01D53" w:rsidRPr="0098189D">
        <w:t xml:space="preserve">ection </w:t>
      </w:r>
      <w:r w:rsidRPr="0098189D">
        <w:t>171A.</w:t>
      </w:r>
    </w:p>
    <w:p w:rsidR="00F462EA" w:rsidRPr="00B354EC" w:rsidRDefault="0075415F">
      <w:pPr>
        <w:pStyle w:val="BodyText"/>
      </w:pPr>
      <w:r w:rsidRPr="00B354EC">
        <w:t>Legal advice received in respect to the above matters concluded that:</w:t>
      </w:r>
    </w:p>
    <w:p w:rsidR="00F462EA" w:rsidRPr="00B354EC" w:rsidRDefault="0075415F">
      <w:pPr>
        <w:pStyle w:val="BodyText"/>
      </w:pPr>
      <w:r w:rsidRPr="00B354EC">
        <w:t xml:space="preserve">“As any waiver of rates or charges will be likely to result in the Council having to raise replacement revenue through some other source, it is desirable that any formula adopted by Council to grant relief in appropriate circumstances is one that is as sound as possible.  This can, in our view, be best achieved by adopting the </w:t>
      </w:r>
      <w:r w:rsidR="00B01D53" w:rsidRPr="00B354EC">
        <w:t xml:space="preserve">section </w:t>
      </w:r>
      <w:r w:rsidRPr="00B354EC">
        <w:t xml:space="preserve">171A procedure notwithstanding that it would be administratively more burdensome on Council”. </w:t>
      </w:r>
    </w:p>
    <w:p w:rsidR="00F462EA" w:rsidRPr="00B354EC" w:rsidRDefault="0075415F">
      <w:pPr>
        <w:pStyle w:val="BodyText"/>
      </w:pPr>
      <w:r w:rsidRPr="00B354EC">
        <w:t xml:space="preserve">Generally, the effect of any additional benefit or concessions is to flatten the charges by raising rates at the low value end of the scale (tax burdening) and reducing rates (tax break) for higher valued properties either by a one-in all-in approach (blanket rate cap) without regard to capacity to pay or more selectively having regard to personal circumstance (discretionary benefit – point 3 above). </w:t>
      </w:r>
    </w:p>
    <w:p w:rsidR="00F462EA" w:rsidRDefault="0075415F">
      <w:pPr>
        <w:pStyle w:val="BodyText"/>
      </w:pPr>
      <w:r w:rsidRPr="00B354EC">
        <w:t xml:space="preserve">An estimate of the amount of waiver, (in effect </w:t>
      </w:r>
      <w:r w:rsidR="00132FCB">
        <w:t>C</w:t>
      </w:r>
      <w:r w:rsidR="00B01D53" w:rsidRPr="00B354EC">
        <w:t xml:space="preserve">ouncil </w:t>
      </w:r>
      <w:r w:rsidRPr="00B354EC">
        <w:t>foregoing the right to claim payment</w:t>
      </w:r>
      <w:r w:rsidRPr="0098189D">
        <w:t xml:space="preserve">) was determined including threshold limits to apply. </w:t>
      </w:r>
    </w:p>
    <w:p w:rsidR="0075415F" w:rsidRPr="0098189D" w:rsidRDefault="0075415F" w:rsidP="00D43F06">
      <w:pPr>
        <w:pStyle w:val="Heading5A"/>
      </w:pPr>
      <w:bookmarkStart w:id="472" w:name="_Toc229533828"/>
      <w:bookmarkStart w:id="473" w:name="_Toc260749424"/>
      <w:r w:rsidRPr="0098189D">
        <w:t>Rates Assistance Measure for 2004-2006</w:t>
      </w:r>
      <w:bookmarkEnd w:id="472"/>
      <w:bookmarkEnd w:id="473"/>
    </w:p>
    <w:p w:rsidR="0075415F" w:rsidRPr="0098189D" w:rsidRDefault="0075415F" w:rsidP="00D43F06">
      <w:pPr>
        <w:pStyle w:val="Heading5A"/>
      </w:pPr>
      <w:r w:rsidRPr="0098189D">
        <w:t>Upon application:</w:t>
      </w:r>
    </w:p>
    <w:p w:rsidR="0075415F" w:rsidRPr="0098189D" w:rsidRDefault="0075415F">
      <w:pPr>
        <w:pStyle w:val="BodyText"/>
      </w:pPr>
      <w:r w:rsidRPr="0098189D">
        <w:t xml:space="preserve">Provide a rebate to any ratepayer experiencing an increase in valuation of more than </w:t>
      </w:r>
      <w:r w:rsidRPr="0098189D">
        <w:lastRenderedPageBreak/>
        <w:t>100%* provided the following criteria is met:</w:t>
      </w:r>
    </w:p>
    <w:p w:rsidR="00A23966" w:rsidRPr="005A2AD5" w:rsidRDefault="0075415F" w:rsidP="005167B1">
      <w:pPr>
        <w:pStyle w:val="ListParagraph"/>
        <w:numPr>
          <w:ilvl w:val="0"/>
          <w:numId w:val="43"/>
        </w:numPr>
        <w:spacing w:after="80"/>
        <w:ind w:left="357" w:hanging="357"/>
        <w:jc w:val="both"/>
      </w:pPr>
      <w:r w:rsidRPr="00C05662">
        <w:rPr>
          <w:rFonts w:cs="Lucida Sans Unicode"/>
          <w:szCs w:val="22"/>
        </w:rPr>
        <w:t>the property is the principal place of residence;</w:t>
      </w:r>
    </w:p>
    <w:p w:rsidR="00A23966" w:rsidRPr="00132FCB" w:rsidRDefault="0075415F" w:rsidP="005167B1">
      <w:pPr>
        <w:pStyle w:val="ListParagraph"/>
        <w:numPr>
          <w:ilvl w:val="0"/>
          <w:numId w:val="43"/>
        </w:numPr>
        <w:spacing w:after="80"/>
        <w:ind w:left="357" w:hanging="357"/>
        <w:jc w:val="both"/>
      </w:pPr>
      <w:r w:rsidRPr="00132FCB">
        <w:rPr>
          <w:rFonts w:cs="Lucida Sans Unicode"/>
          <w:szCs w:val="22"/>
        </w:rPr>
        <w:t xml:space="preserve">the property is rated within the residential tariff group; </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 xml:space="preserve">and have not had an increase in valuation of the land for the assessment because of improvements made requiring a building permit; and </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can demonstrate financial hardship by way of:</w:t>
      </w:r>
    </w:p>
    <w:p w:rsidR="00F462EA" w:rsidRDefault="0075415F">
      <w:pPr>
        <w:pStyle w:val="BodyText"/>
      </w:pPr>
      <w:r w:rsidRPr="0098189D">
        <w:t xml:space="preserve">being currently eligible as a pensioner under the State Concession Act, (Centrelink Pensioner Concession, Department of Veterans Affairs Pension Concession, Gold Card - widow or TPI specific - </w:t>
      </w:r>
      <w:r w:rsidR="00B01D53">
        <w:t>c</w:t>
      </w:r>
      <w:r w:rsidR="00B01D53" w:rsidRPr="0098189D">
        <w:t>ards</w:t>
      </w:r>
      <w:r w:rsidRPr="0098189D">
        <w:t>)</w:t>
      </w:r>
    </w:p>
    <w:p w:rsidR="00F462EA" w:rsidRDefault="0075415F">
      <w:pPr>
        <w:pStyle w:val="BodyText"/>
      </w:pPr>
      <w:r w:rsidRPr="0098189D">
        <w:t xml:space="preserve">or </w:t>
      </w:r>
    </w:p>
    <w:p w:rsidR="00F462EA" w:rsidRPr="00564ED6" w:rsidRDefault="0075415F" w:rsidP="005167B1">
      <w:pPr>
        <w:pStyle w:val="BodyText1"/>
        <w:rPr>
          <w:rStyle w:val="BodyTextChar"/>
          <w:bCs/>
          <w:snapToGrid w:val="0"/>
          <w:lang w:eastAsia="en-US"/>
        </w:rPr>
      </w:pPr>
      <w:r w:rsidRPr="0098189D">
        <w:t xml:space="preserve">can demonstrate  that they are of low income status with  a maximum income </w:t>
      </w:r>
      <w:r w:rsidRPr="00564ED6">
        <w:rPr>
          <w:rStyle w:val="BodyTextChar"/>
        </w:rPr>
        <w:t xml:space="preserve">of $31,755 or less (Statement of Earnings </w:t>
      </w:r>
      <w:smartTag w:uri="urn:schemas-microsoft-com:office:smarttags" w:element="stockticker">
        <w:r w:rsidRPr="00564ED6">
          <w:rPr>
            <w:rStyle w:val="BodyTextChar"/>
          </w:rPr>
          <w:t>SOE</w:t>
        </w:r>
      </w:smartTag>
      <w:r w:rsidRPr="00564ED6">
        <w:rPr>
          <w:rStyle w:val="BodyTextChar"/>
        </w:rPr>
        <w:t xml:space="preserve"> - Centrelink or most recent tax assessment notice).</w:t>
      </w:r>
    </w:p>
    <w:p w:rsidR="0075415F" w:rsidRPr="0098189D" w:rsidRDefault="0075415F" w:rsidP="00D43F06">
      <w:pPr>
        <w:pStyle w:val="Heading5A"/>
      </w:pPr>
      <w:r w:rsidRPr="0098189D">
        <w:t xml:space="preserve">Amount of Waiver </w:t>
      </w:r>
    </w:p>
    <w:p w:rsidR="0075415F" w:rsidRPr="0098189D" w:rsidRDefault="0075415F">
      <w:pPr>
        <w:pStyle w:val="BodyText"/>
      </w:pPr>
      <w:r w:rsidRPr="0098189D">
        <w:t>The amount of the waiver shall be calculated to provide a maximum 50% rebate of the total increase on the previous year’s rates.  A phase</w:t>
      </w:r>
      <w:r w:rsidRPr="0098189D">
        <w:noBreakHyphen/>
        <w:t>in percentage based on increments to the property valuation shall apply viz:</w:t>
      </w:r>
    </w:p>
    <w:p w:rsidR="0075415F" w:rsidRPr="0098189D" w:rsidRDefault="0075415F">
      <w:pPr>
        <w:pStyle w:val="BodyText"/>
      </w:pPr>
      <w:r w:rsidRPr="0098189D">
        <w:t>Property valuation increased by:</w:t>
      </w:r>
    </w:p>
    <w:p w:rsidR="00F462EA" w:rsidRDefault="0075415F" w:rsidP="00D221C5">
      <w:pPr>
        <w:spacing w:after="40"/>
      </w:pPr>
      <w:r w:rsidRPr="0098189D">
        <w:t xml:space="preserve">100.1%  - 101.9% </w:t>
      </w:r>
      <w:r>
        <w:tab/>
      </w:r>
      <w:r w:rsidRPr="0098189D">
        <w:t xml:space="preserve">       Rebate at 25%</w:t>
      </w:r>
    </w:p>
    <w:p w:rsidR="00F462EA" w:rsidRDefault="0075415F" w:rsidP="00D221C5">
      <w:pPr>
        <w:spacing w:after="40"/>
      </w:pPr>
      <w:r w:rsidRPr="0098189D">
        <w:t>102%     - 103.9%</w:t>
      </w:r>
      <w:r w:rsidRPr="0098189D">
        <w:tab/>
        <w:t xml:space="preserve">       Rebate at 30%</w:t>
      </w:r>
    </w:p>
    <w:p w:rsidR="00F462EA" w:rsidRDefault="0075415F" w:rsidP="00D221C5">
      <w:pPr>
        <w:spacing w:after="40"/>
      </w:pPr>
      <w:r w:rsidRPr="0098189D">
        <w:t>104%     - 105.9%</w:t>
      </w:r>
      <w:r w:rsidRPr="0098189D">
        <w:tab/>
        <w:t xml:space="preserve">       Rebate at 35%</w:t>
      </w:r>
    </w:p>
    <w:p w:rsidR="00F462EA" w:rsidRDefault="0075415F" w:rsidP="00D221C5">
      <w:pPr>
        <w:spacing w:after="40"/>
      </w:pPr>
      <w:r w:rsidRPr="0098189D">
        <w:t>106%     - 107.9%</w:t>
      </w:r>
      <w:r w:rsidRPr="0098189D">
        <w:tab/>
        <w:t xml:space="preserve">       Rebate at 40%</w:t>
      </w:r>
    </w:p>
    <w:p w:rsidR="00F462EA" w:rsidRDefault="0075415F" w:rsidP="00D221C5">
      <w:pPr>
        <w:spacing w:after="40"/>
      </w:pPr>
      <w:r w:rsidRPr="0098189D">
        <w:t>108%     - 109.9%</w:t>
      </w:r>
      <w:r w:rsidRPr="0098189D">
        <w:tab/>
        <w:t xml:space="preserve">       Rebate at 45%</w:t>
      </w:r>
    </w:p>
    <w:p w:rsidR="00F462EA" w:rsidRDefault="0075415F" w:rsidP="00D221C5">
      <w:pPr>
        <w:spacing w:after="40"/>
      </w:pPr>
      <w:r w:rsidRPr="0098189D">
        <w:t xml:space="preserve">110%    or greater </w:t>
      </w:r>
      <w:r w:rsidRPr="0098189D">
        <w:tab/>
        <w:t xml:space="preserve">       Rebate at 50%</w:t>
      </w:r>
    </w:p>
    <w:p w:rsidR="00F462EA" w:rsidRDefault="0075415F">
      <w:pPr>
        <w:pStyle w:val="BodyText"/>
      </w:pPr>
      <w:r w:rsidRPr="0098189D">
        <w:t>No maximum rebate under this formula is to apply.</w:t>
      </w:r>
    </w:p>
    <w:p w:rsidR="00F462EA" w:rsidRDefault="0075415F">
      <w:pPr>
        <w:pStyle w:val="BodyText"/>
      </w:pPr>
      <w:r w:rsidRPr="0098189D">
        <w:t>The Recycle and Waste Services Charge and the Municipal Charge are excluded from the waiver.</w:t>
      </w:r>
    </w:p>
    <w:p w:rsidR="00F462EA" w:rsidRDefault="0075415F">
      <w:pPr>
        <w:pStyle w:val="BodyText"/>
      </w:pPr>
      <w:r w:rsidRPr="0098189D">
        <w:t xml:space="preserve">The cost to </w:t>
      </w:r>
      <w:r w:rsidR="00132FCB">
        <w:t>C</w:t>
      </w:r>
      <w:r w:rsidR="00B01D53" w:rsidRPr="0098189D">
        <w:t xml:space="preserve">ouncil </w:t>
      </w:r>
      <w:r w:rsidRPr="0098189D">
        <w:t xml:space="preserve">was estimated at $140,000. </w:t>
      </w:r>
    </w:p>
    <w:p w:rsidR="00F462EA" w:rsidRDefault="0075415F">
      <w:pPr>
        <w:pStyle w:val="BodyText"/>
      </w:pPr>
      <w:r w:rsidRPr="0098189D">
        <w:t xml:space="preserve">The City of Greater Geelong is the only known council to offer this extended waiver in Victoria. </w:t>
      </w:r>
    </w:p>
    <w:p w:rsidR="0075415F" w:rsidRPr="0098189D" w:rsidRDefault="0075415F" w:rsidP="00D43F06">
      <w:pPr>
        <w:pStyle w:val="Heading5A"/>
      </w:pPr>
      <w:r w:rsidRPr="0098189D">
        <w:t>Differential Farm Rate</w:t>
      </w:r>
    </w:p>
    <w:p w:rsidR="0075415F" w:rsidRPr="0098189D" w:rsidRDefault="0075415F">
      <w:pPr>
        <w:pStyle w:val="BodyText"/>
      </w:pPr>
      <w:r w:rsidRPr="0098189D">
        <w:t xml:space="preserve">The Differential Farm Rate was considered and Council resolved to retain the farm differential and set the rate at the same level as the residential rate. A ‘large holding rebate” set at 25% of the </w:t>
      </w:r>
      <w:smartTag w:uri="urn:schemas-microsoft-com:office:smarttags" w:element="stockticker">
        <w:r w:rsidRPr="0098189D">
          <w:t>CIV</w:t>
        </w:r>
      </w:smartTag>
      <w:r w:rsidRPr="0098189D">
        <w:t xml:space="preserve"> by rate in dollar component was made applicable to all </w:t>
      </w:r>
      <w:r w:rsidRPr="0098189D">
        <w:lastRenderedPageBreak/>
        <w:t xml:space="preserve">eligible properties under LGA </w:t>
      </w:r>
      <w:r w:rsidR="00B01D53">
        <w:t>s</w:t>
      </w:r>
      <w:r w:rsidR="00B01D53" w:rsidRPr="0098189D">
        <w:t xml:space="preserve">ection </w:t>
      </w:r>
      <w:r w:rsidRPr="0098189D">
        <w:t>169.</w:t>
      </w:r>
    </w:p>
    <w:p w:rsidR="0075415F" w:rsidRPr="0098189D" w:rsidRDefault="0075415F">
      <w:pPr>
        <w:pStyle w:val="BodyText"/>
      </w:pPr>
      <w:r w:rsidRPr="0098189D">
        <w:t xml:space="preserve">The eligible property criteria was expanded to include all properties meeting the Valuation of Lands Act farm definition plus other properties for which a current </w:t>
      </w:r>
      <w:smartTag w:uri="urn:schemas-microsoft-com:office:smarttags" w:element="stockticker">
        <w:r w:rsidRPr="0098189D">
          <w:t>ATO</w:t>
        </w:r>
      </w:smartTag>
      <w:r w:rsidRPr="0098189D">
        <w:t xml:space="preserve"> primary producers assessment can be provided.</w:t>
      </w:r>
    </w:p>
    <w:p w:rsidR="00F462EA" w:rsidRDefault="0075415F">
      <w:pPr>
        <w:pStyle w:val="BodyText"/>
      </w:pPr>
      <w:r w:rsidRPr="0098189D">
        <w:t xml:space="preserve">Criteria was further extended to enable </w:t>
      </w:r>
      <w:r w:rsidR="00132FCB">
        <w:t>C</w:t>
      </w:r>
      <w:r w:rsidR="00B01D53" w:rsidRPr="0098189D">
        <w:t xml:space="preserve">ouncil </w:t>
      </w:r>
      <w:r w:rsidRPr="0098189D">
        <w:t>to include any other non farm large holding of land, for example, conservation areas, native bush or grasslands, for which there is a benefit to the community to retain or develop as open space, to be rated in this category.</w:t>
      </w:r>
    </w:p>
    <w:p w:rsidR="00F462EA" w:rsidRDefault="0075415F">
      <w:pPr>
        <w:pStyle w:val="BodyText"/>
      </w:pPr>
      <w:r w:rsidRPr="0098189D">
        <w:t xml:space="preserve">Non farm subdivisional land continued to be rated as vacant land thereby encouraging timely development in accordance with planning requirements. </w:t>
      </w:r>
    </w:p>
    <w:p w:rsidR="00F462EA" w:rsidRDefault="0075415F">
      <w:pPr>
        <w:pStyle w:val="BodyText"/>
      </w:pPr>
      <w:r w:rsidRPr="0098189D">
        <w:t>An alternative “Environmental Rural Rebate” based on specific “on farm” environmental works was considered but not recommended for 2004</w:t>
      </w:r>
      <w:r w:rsidRPr="0098189D">
        <w:noBreakHyphen/>
      </w:r>
      <w:r w:rsidR="00AA06D8">
        <w:t>05</w:t>
      </w:r>
      <w:r w:rsidRPr="0098189D">
        <w:t>.</w:t>
      </w:r>
    </w:p>
    <w:p w:rsidR="0075415F" w:rsidRPr="0098189D" w:rsidRDefault="0075415F" w:rsidP="00D43F06">
      <w:pPr>
        <w:pStyle w:val="Heading5A"/>
      </w:pPr>
      <w:r w:rsidRPr="0098189D">
        <w:t>Heritage Assistance</w:t>
      </w:r>
    </w:p>
    <w:p w:rsidR="0075415F" w:rsidRPr="0098189D" w:rsidRDefault="0075415F">
      <w:pPr>
        <w:pStyle w:val="BodyText"/>
      </w:pPr>
      <w:r w:rsidRPr="0098189D">
        <w:t xml:space="preserve">Council has available heritage funding to assist the restoration, preservation and maintenance of buildings or places of historical or heritage importance to the municipality. Council could provide funds either by way of a rate rebate (usually a percentage of rates payable) under LGA </w:t>
      </w:r>
      <w:r w:rsidR="00B01D53">
        <w:t>s</w:t>
      </w:r>
      <w:r w:rsidR="00B01D53" w:rsidRPr="0098189D">
        <w:t xml:space="preserve">ection </w:t>
      </w:r>
      <w:r w:rsidRPr="0098189D">
        <w:t>169 or to simply provide a grant or donation for specific purpose. In either case, the identification of the building or site, the amount and duration of any assistance needs to be determined. A consistent approach is required with the preferred method being to continue to provide assistance to heritage properties via the minor grants scheme on a case by case basis by way of an allocation of grant or donation approved during budget deliberations.</w:t>
      </w:r>
    </w:p>
    <w:p w:rsidR="0075415F" w:rsidRPr="0098189D" w:rsidRDefault="0075415F" w:rsidP="00D43F06">
      <w:pPr>
        <w:pStyle w:val="Heading5A"/>
      </w:pPr>
      <w:r w:rsidRPr="0098189D">
        <w:t>Deferral of Rates</w:t>
      </w:r>
    </w:p>
    <w:p w:rsidR="0075415F" w:rsidRPr="0098189D" w:rsidRDefault="0075415F">
      <w:pPr>
        <w:pStyle w:val="BodyText"/>
      </w:pPr>
      <w:r w:rsidRPr="0098189D">
        <w:t xml:space="preserve">The deferral of rates is provided for by legislation LGA </w:t>
      </w:r>
      <w:r w:rsidR="00B01D53">
        <w:t>s</w:t>
      </w:r>
      <w:r w:rsidR="00B01D53" w:rsidRPr="0098189D">
        <w:t xml:space="preserve">ection </w:t>
      </w:r>
      <w:r w:rsidRPr="0098189D">
        <w:t>170.</w:t>
      </w:r>
    </w:p>
    <w:p w:rsidR="0075415F" w:rsidRPr="0098189D" w:rsidRDefault="0075415F">
      <w:pPr>
        <w:pStyle w:val="BodyText"/>
      </w:pPr>
      <w:r w:rsidRPr="0098189D">
        <w:t>An improved communication plan to promote the option to partially or fully defer rates was implemented for 2004-</w:t>
      </w:r>
      <w:r w:rsidR="00AA06D8">
        <w:t>05</w:t>
      </w:r>
      <w:r w:rsidRPr="0098189D">
        <w:t>. The deferral of rates was extended to include non-investment holders of vacant land. The interest rate on deferred rates was discounted at 8.25%  for the 2003</w:t>
      </w:r>
      <w:r w:rsidRPr="0098189D">
        <w:noBreakHyphen/>
      </w:r>
      <w:r w:rsidR="00AA06D8">
        <w:t>04</w:t>
      </w:r>
      <w:r w:rsidR="00AA06D8" w:rsidRPr="0098189D">
        <w:t xml:space="preserve"> </w:t>
      </w:r>
      <w:r w:rsidRPr="0098189D">
        <w:t>year.</w:t>
      </w:r>
    </w:p>
    <w:p w:rsidR="00F462EA" w:rsidRDefault="0075415F">
      <w:pPr>
        <w:pStyle w:val="BodyText"/>
      </w:pPr>
      <w:r w:rsidRPr="0098189D">
        <w:t>The development of the 2004-</w:t>
      </w:r>
      <w:r w:rsidR="00AA06D8">
        <w:t>05</w:t>
      </w:r>
      <w:r w:rsidR="00AA06D8" w:rsidRPr="0098189D">
        <w:t xml:space="preserve"> </w:t>
      </w:r>
      <w:r w:rsidRPr="0098189D">
        <w:t>Rates Strategy was a key commitment in conjunction with Department of Victorian Communities and the Minister for Local Government.</w:t>
      </w:r>
    </w:p>
    <w:p w:rsidR="0075415F" w:rsidRPr="00BA4451" w:rsidRDefault="0075415F">
      <w:pPr>
        <w:pStyle w:val="Heading4A"/>
      </w:pPr>
      <w:bookmarkStart w:id="474" w:name="_Toc260749425"/>
      <w:bookmarkStart w:id="475" w:name="_Toc292369414"/>
      <w:bookmarkStart w:id="476" w:name="_Toc292369486"/>
      <w:bookmarkStart w:id="477" w:name="_Toc355947712"/>
      <w:bookmarkStart w:id="478" w:name="_Toc356202552"/>
      <w:bookmarkStart w:id="479" w:name="_Toc356202885"/>
      <w:r w:rsidRPr="00BA4451">
        <w:t>2005-</w:t>
      </w:r>
      <w:bookmarkEnd w:id="474"/>
      <w:bookmarkEnd w:id="475"/>
      <w:bookmarkEnd w:id="476"/>
      <w:bookmarkEnd w:id="477"/>
      <w:bookmarkEnd w:id="478"/>
      <w:bookmarkEnd w:id="479"/>
      <w:r w:rsidR="009B21E0">
        <w:t>06</w:t>
      </w:r>
      <w:r w:rsidR="009B21E0" w:rsidRPr="00BA4451">
        <w:t xml:space="preserve">  </w:t>
      </w:r>
    </w:p>
    <w:p w:rsidR="0075415F" w:rsidRPr="0098189D" w:rsidRDefault="0075415F">
      <w:pPr>
        <w:pStyle w:val="BodyText"/>
      </w:pPr>
      <w:r w:rsidRPr="0098189D">
        <w:t xml:space="preserve">In this non-revaluation </w:t>
      </w:r>
      <w:r w:rsidRPr="00B354EC">
        <w:t xml:space="preserve">year, </w:t>
      </w:r>
      <w:r w:rsidR="00B354EC" w:rsidRPr="005167B1">
        <w:t>C</w:t>
      </w:r>
      <w:r w:rsidR="00B01D53" w:rsidRPr="00B354EC">
        <w:t xml:space="preserve">ouncil </w:t>
      </w:r>
      <w:r w:rsidRPr="00B354EC">
        <w:t>made no significant strategic decisions in respect to the structure of the differential</w:t>
      </w:r>
      <w:r w:rsidRPr="0098189D">
        <w:t xml:space="preserve"> rating system. Council resolved to increase the vacant land rate from 115% to 130% of the residential rate in dollar. This decision was to further encourage the development of existing vacant land and discourage future subdivisions ahead of market demands.</w:t>
      </w:r>
    </w:p>
    <w:p w:rsidR="0075415F" w:rsidRPr="0098189D" w:rsidRDefault="0075415F">
      <w:pPr>
        <w:pStyle w:val="BodyText"/>
      </w:pPr>
      <w:bookmarkStart w:id="480" w:name="OLE_LINK1"/>
      <w:r w:rsidRPr="0098189D">
        <w:lastRenderedPageBreak/>
        <w:t>Council endorsed:</w:t>
      </w:r>
    </w:p>
    <w:p w:rsidR="00A23966" w:rsidRPr="00132FCB" w:rsidRDefault="0075415F" w:rsidP="005167B1">
      <w:pPr>
        <w:pStyle w:val="ListParagraph"/>
        <w:numPr>
          <w:ilvl w:val="0"/>
          <w:numId w:val="43"/>
        </w:numPr>
        <w:spacing w:after="80"/>
        <w:ind w:left="357" w:hanging="357"/>
        <w:jc w:val="both"/>
      </w:pPr>
      <w:r w:rsidRPr="00C05662">
        <w:rPr>
          <w:rFonts w:cs="Lucida Sans Unicode"/>
          <w:szCs w:val="22"/>
        </w:rPr>
        <w:t>A gene</w:t>
      </w:r>
      <w:r w:rsidRPr="005A2AD5">
        <w:rPr>
          <w:rFonts w:cs="Lucida Sans Unicode"/>
          <w:szCs w:val="22"/>
        </w:rPr>
        <w:t>ral rate in dollar increase of 6%.</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An increase to the municipal charge from $40.00 to $62.40.</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An increase of 4% in the Recycling and Waste Collection Service Charge from $160.40 to $166.80.</w:t>
      </w:r>
    </w:p>
    <w:p w:rsidR="00F462EA" w:rsidRDefault="0075415F">
      <w:pPr>
        <w:pStyle w:val="BodyText"/>
      </w:pPr>
      <w:r w:rsidRPr="00C95673">
        <w:t>These increases were required in order to fund increases to recurrent expenditure, the</w:t>
      </w:r>
      <w:r w:rsidRPr="0098189D">
        <w:t xml:space="preserve"> </w:t>
      </w:r>
      <w:r w:rsidRPr="00C95673">
        <w:t xml:space="preserve">continuing capital works program and </w:t>
      </w:r>
      <w:r w:rsidR="00132FCB">
        <w:t>C</w:t>
      </w:r>
      <w:r w:rsidR="00B01D53" w:rsidRPr="00C95673">
        <w:t xml:space="preserve">ouncils </w:t>
      </w:r>
      <w:r w:rsidRPr="00C95673">
        <w:t>priorities within each ward. Rate</w:t>
      </w:r>
      <w:r w:rsidRPr="0098189D">
        <w:t xml:space="preserve"> increases provided for a significant and noticeable level of improved services within each ward and to community facilities in general across the municipality. </w:t>
      </w:r>
    </w:p>
    <w:p w:rsidR="00F462EA" w:rsidRDefault="0075415F">
      <w:pPr>
        <w:pStyle w:val="BodyText"/>
      </w:pPr>
      <w:r w:rsidRPr="0098189D">
        <w:t xml:space="preserve">The Rates Assistance Plan continued into its second year and the State Government announced an indexed increase to the pension concession amount from $160 to $163.50. </w:t>
      </w:r>
    </w:p>
    <w:p w:rsidR="0075415F" w:rsidRPr="00BA4451" w:rsidRDefault="0075415F">
      <w:pPr>
        <w:pStyle w:val="Heading4A"/>
      </w:pPr>
      <w:bookmarkStart w:id="481" w:name="_Toc260749426"/>
      <w:bookmarkStart w:id="482" w:name="_Toc292369415"/>
      <w:bookmarkStart w:id="483" w:name="_Toc292369487"/>
      <w:bookmarkStart w:id="484" w:name="_Toc355947713"/>
      <w:bookmarkStart w:id="485" w:name="_Toc356202553"/>
      <w:bookmarkStart w:id="486" w:name="_Toc356202886"/>
      <w:bookmarkEnd w:id="480"/>
      <w:r w:rsidRPr="00BA4451">
        <w:t>2006-</w:t>
      </w:r>
      <w:bookmarkEnd w:id="481"/>
      <w:bookmarkEnd w:id="482"/>
      <w:bookmarkEnd w:id="483"/>
      <w:bookmarkEnd w:id="484"/>
      <w:bookmarkEnd w:id="485"/>
      <w:bookmarkEnd w:id="486"/>
      <w:r w:rsidR="009B21E0">
        <w:t>07</w:t>
      </w:r>
    </w:p>
    <w:p w:rsidR="0075415F" w:rsidRPr="0098189D" w:rsidRDefault="0075415F">
      <w:pPr>
        <w:pStyle w:val="BodyText"/>
      </w:pPr>
      <w:r w:rsidRPr="0098189D">
        <w:t>Rates for  2006-</w:t>
      </w:r>
      <w:r w:rsidR="00AA06D8">
        <w:t>07</w:t>
      </w:r>
      <w:r w:rsidR="00AA06D8" w:rsidRPr="0098189D">
        <w:t xml:space="preserve"> </w:t>
      </w:r>
      <w:r w:rsidRPr="0098189D">
        <w:t xml:space="preserve">were based on new valuations made as at 1 January 2006 and effective for rating purposes from 1July 2006. As in previous years, valuation shifts occurred and varied according to property type, location and condition. The average residential property valuation movement was 14.1%, significantly less than previous valuations and more uniform across the municipality. This resulted in less volatility to rate accounts. The valuation generally reflects market value and becomes the basis for the property tax.  </w:t>
      </w:r>
    </w:p>
    <w:p w:rsidR="0075415F" w:rsidRPr="0098189D" w:rsidRDefault="0075415F">
      <w:pPr>
        <w:pStyle w:val="BodyText"/>
      </w:pPr>
      <w:r w:rsidRPr="0098189D">
        <w:t xml:space="preserve">Farm properties were significantly affected by the revaluation with average valuation movement of 28%. As a consequence, </w:t>
      </w:r>
      <w:r w:rsidR="00132FCB">
        <w:t>C</w:t>
      </w:r>
      <w:r w:rsidR="00B01D53" w:rsidRPr="0098189D">
        <w:t xml:space="preserve">ouncil </w:t>
      </w:r>
      <w:r w:rsidRPr="0098189D">
        <w:t xml:space="preserve">determined that the large holding rebate should be increased from 25% to 33% of the </w:t>
      </w:r>
      <w:smartTag w:uri="urn:schemas-microsoft-com:office:smarttags" w:element="stockticker">
        <w:r w:rsidRPr="0098189D">
          <w:t>CIV</w:t>
        </w:r>
      </w:smartTag>
      <w:r w:rsidRPr="0098189D">
        <w:t xml:space="preserve"> for all eligible properties.</w:t>
      </w:r>
    </w:p>
    <w:p w:rsidR="0075415F" w:rsidRPr="0098189D" w:rsidRDefault="0075415F">
      <w:pPr>
        <w:pStyle w:val="BodyText"/>
      </w:pPr>
      <w:r w:rsidRPr="0098189D">
        <w:t>For 2006-</w:t>
      </w:r>
      <w:r w:rsidR="00AA06D8">
        <w:t>07</w:t>
      </w:r>
      <w:r w:rsidR="00AA06D8" w:rsidRPr="0098189D">
        <w:t xml:space="preserve"> </w:t>
      </w:r>
      <w:r w:rsidR="00132FCB">
        <w:t>C</w:t>
      </w:r>
      <w:r w:rsidR="00B01D53" w:rsidRPr="0098189D">
        <w:t xml:space="preserve">ouncil </w:t>
      </w:r>
      <w:r w:rsidRPr="0098189D">
        <w:t>included rate relief for bushfire affected properties and amended the definition of Cultural and Recreational for not-for-profit Clubs and Associations and continuation of the 2006-2008 Rates Assistance Waiver and Farm Rebates.</w:t>
      </w:r>
    </w:p>
    <w:p w:rsidR="00F462EA" w:rsidRDefault="0075415F">
      <w:pPr>
        <w:pStyle w:val="BodyText"/>
      </w:pPr>
      <w:r w:rsidRPr="0098189D">
        <w:t>The Rate Assistance Plan continued with a 50% increase to Valuations set as the benchmark above which assistance could be applied for.</w:t>
      </w:r>
    </w:p>
    <w:p w:rsidR="00F462EA" w:rsidRDefault="0075415F">
      <w:pPr>
        <w:pStyle w:val="BodyText"/>
      </w:pPr>
      <w:r w:rsidRPr="0098189D">
        <w:t xml:space="preserve">The State Government Municipal Rates Concession amount rose to $168.00. </w:t>
      </w:r>
    </w:p>
    <w:p w:rsidR="0075415F" w:rsidRPr="00BA4451" w:rsidRDefault="0075415F">
      <w:pPr>
        <w:pStyle w:val="Heading4A"/>
      </w:pPr>
      <w:bookmarkStart w:id="487" w:name="_Toc260749427"/>
      <w:bookmarkStart w:id="488" w:name="_Toc292369416"/>
      <w:bookmarkStart w:id="489" w:name="_Toc292369488"/>
      <w:bookmarkStart w:id="490" w:name="_Toc355947714"/>
      <w:bookmarkStart w:id="491" w:name="_Toc356202554"/>
      <w:bookmarkStart w:id="492" w:name="_Toc356202887"/>
      <w:r w:rsidRPr="00BA4451">
        <w:t>2007-</w:t>
      </w:r>
      <w:bookmarkEnd w:id="487"/>
      <w:bookmarkEnd w:id="488"/>
      <w:bookmarkEnd w:id="489"/>
      <w:bookmarkEnd w:id="490"/>
      <w:bookmarkEnd w:id="491"/>
      <w:bookmarkEnd w:id="492"/>
      <w:r w:rsidR="009B21E0">
        <w:t>08</w:t>
      </w:r>
    </w:p>
    <w:p w:rsidR="0075415F" w:rsidRPr="0098189D" w:rsidRDefault="0075415F">
      <w:pPr>
        <w:pStyle w:val="BodyText"/>
      </w:pPr>
      <w:r w:rsidRPr="0098189D">
        <w:t>The 2007-</w:t>
      </w:r>
      <w:r w:rsidR="00AA06D8">
        <w:t>08</w:t>
      </w:r>
      <w:r w:rsidR="00AA06D8" w:rsidRPr="0098189D">
        <w:t xml:space="preserve"> </w:t>
      </w:r>
      <w:r w:rsidRPr="0098189D">
        <w:t>budget year was not a revaluation year and therefore full remodelling of the distributional effects of tariffs within each of the differential rate categories was not required. The current valuations subject only to supplementary valuations by reason of new subdivisions, new buildings, or improvements will apply in accordance with Valuation of Lands Act 1960.</w:t>
      </w:r>
    </w:p>
    <w:p w:rsidR="0075415F" w:rsidRPr="0098189D" w:rsidRDefault="0075415F">
      <w:pPr>
        <w:pStyle w:val="BodyText"/>
      </w:pPr>
      <w:r w:rsidRPr="0098189D">
        <w:lastRenderedPageBreak/>
        <w:t>Minor amendments occurred to individual properties as a result of the Mixed Use review. The policy change is that all Mixed Use properties must have a waste bin service, however the Mixed Use properties had an option to apply for a commercial service and not be subject to the standard residential waste services charge.</w:t>
      </w:r>
    </w:p>
    <w:p w:rsidR="00F462EA" w:rsidRDefault="0075415F">
      <w:pPr>
        <w:pStyle w:val="BodyText"/>
      </w:pPr>
      <w:r w:rsidRPr="0098189D">
        <w:t xml:space="preserve">The Geelong region continued to experience drought conditions (third consecutive year) and the Federal Government had put in place an Exceptional Circumstances assistance package. A total of 27 farmers applied for the 2006-07 assistance package for 47 property assessments.  Council agreed to further extend rate assistance for farmers by increasing the Farm rebate from 33% to 40%. </w:t>
      </w:r>
    </w:p>
    <w:p w:rsidR="00F462EA" w:rsidRDefault="0075415F">
      <w:pPr>
        <w:pStyle w:val="BodyText"/>
      </w:pPr>
      <w:r w:rsidRPr="0098189D">
        <w:t>Council endorsed:</w:t>
      </w:r>
    </w:p>
    <w:p w:rsidR="00A23966" w:rsidRPr="005A2AD5" w:rsidRDefault="0075415F" w:rsidP="005167B1">
      <w:pPr>
        <w:pStyle w:val="ListParagraph"/>
        <w:numPr>
          <w:ilvl w:val="0"/>
          <w:numId w:val="43"/>
        </w:numPr>
        <w:spacing w:after="80"/>
        <w:ind w:left="357" w:hanging="357"/>
        <w:jc w:val="both"/>
      </w:pPr>
      <w:r w:rsidRPr="00C05662">
        <w:rPr>
          <w:rFonts w:cs="Lucida Sans Unicode"/>
          <w:szCs w:val="22"/>
        </w:rPr>
        <w:t>A general rate in dollar increase of 6.9% for Residential, Industrial and Commercial tariffs.</w:t>
      </w:r>
    </w:p>
    <w:p w:rsidR="00A23966" w:rsidRPr="00132FCB" w:rsidRDefault="0075415F" w:rsidP="005167B1">
      <w:pPr>
        <w:pStyle w:val="ListParagraph"/>
        <w:numPr>
          <w:ilvl w:val="0"/>
          <w:numId w:val="43"/>
        </w:numPr>
        <w:spacing w:after="80"/>
        <w:ind w:left="357" w:hanging="357"/>
        <w:jc w:val="both"/>
      </w:pPr>
      <w:r w:rsidRPr="00132FCB">
        <w:rPr>
          <w:rFonts w:cs="Lucida Sans Unicode"/>
          <w:szCs w:val="22"/>
        </w:rPr>
        <w:t>Late License tariff to be reinstated at the equivalent highest differential rate.</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An increase to the municipal charge from $68.30 to $72.50.</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An increase of 4.5% in the Recycling and Waste Collection Service Charge from $173.50 to $181.30.</w:t>
      </w:r>
    </w:p>
    <w:p w:rsidR="00F462EA" w:rsidRDefault="0075415F">
      <w:pPr>
        <w:pStyle w:val="BodyText"/>
      </w:pPr>
      <w:r w:rsidRPr="0098189D">
        <w:t>These increases were required in order to fund increases to recurrent expenditure, the continuing capital works program and Councils priorities within each ward.</w:t>
      </w:r>
    </w:p>
    <w:p w:rsidR="00F462EA" w:rsidRDefault="0075415F">
      <w:pPr>
        <w:pStyle w:val="BodyText"/>
      </w:pPr>
      <w:r w:rsidRPr="0098189D">
        <w:t xml:space="preserve">The State Government announced an indexed increase to the pension concession amount from $168.00 to $172.90. </w:t>
      </w:r>
    </w:p>
    <w:p w:rsidR="0075415F" w:rsidRPr="00BA4451" w:rsidRDefault="0075415F">
      <w:pPr>
        <w:pStyle w:val="Heading4A"/>
      </w:pPr>
      <w:bookmarkStart w:id="493" w:name="_Toc260749428"/>
      <w:bookmarkStart w:id="494" w:name="_Toc292369417"/>
      <w:bookmarkStart w:id="495" w:name="_Toc292369489"/>
      <w:bookmarkStart w:id="496" w:name="_Toc355947715"/>
      <w:bookmarkStart w:id="497" w:name="_Toc356202555"/>
      <w:bookmarkStart w:id="498" w:name="_Toc356202888"/>
      <w:r w:rsidRPr="00BA4451">
        <w:t>2008-</w:t>
      </w:r>
      <w:bookmarkEnd w:id="493"/>
      <w:bookmarkEnd w:id="494"/>
      <w:bookmarkEnd w:id="495"/>
      <w:bookmarkEnd w:id="496"/>
      <w:bookmarkEnd w:id="497"/>
      <w:bookmarkEnd w:id="498"/>
      <w:r w:rsidR="009B21E0">
        <w:t>09</w:t>
      </w:r>
    </w:p>
    <w:p w:rsidR="0075415F" w:rsidRPr="0098189D" w:rsidRDefault="0075415F">
      <w:pPr>
        <w:pStyle w:val="BodyText"/>
      </w:pPr>
      <w:r w:rsidRPr="0098189D">
        <w:t>The basis for rates in 2008-</w:t>
      </w:r>
      <w:r w:rsidR="00AA06D8">
        <w:t>09</w:t>
      </w:r>
      <w:r w:rsidR="00AA06D8" w:rsidRPr="0098189D">
        <w:t xml:space="preserve"> </w:t>
      </w:r>
      <w:r w:rsidRPr="0098189D">
        <w:t xml:space="preserve">are the valuations prepared as at 1 January 2008 by Council’s contract valuers in accordance with </w:t>
      </w:r>
      <w:r w:rsidR="00132FCB">
        <w:t>C</w:t>
      </w:r>
      <w:r w:rsidR="00B01D53" w:rsidRPr="0098189D">
        <w:t xml:space="preserve">ouncil </w:t>
      </w:r>
      <w:r w:rsidRPr="0098189D">
        <w:t>obligations to revalue every property in the municipality under the Valuation of Land Act 1960. These valuations apply to all properties from 1 July 2008.</w:t>
      </w:r>
    </w:p>
    <w:p w:rsidR="0075415F" w:rsidRPr="0098189D" w:rsidRDefault="0075415F">
      <w:pPr>
        <w:pStyle w:val="BodyText"/>
      </w:pPr>
      <w:r w:rsidRPr="0098189D">
        <w:t xml:space="preserve">The table below indicates the general property valuation movement by tariff group, excluding growth. </w:t>
      </w:r>
    </w:p>
    <w:tbl>
      <w:tblPr>
        <w:tblW w:w="0" w:type="auto"/>
        <w:tblInd w:w="108" w:type="dxa"/>
        <w:tblLook w:val="01E0" w:firstRow="1" w:lastRow="1" w:firstColumn="1" w:lastColumn="1" w:noHBand="0" w:noVBand="0"/>
      </w:tblPr>
      <w:tblGrid>
        <w:gridCol w:w="2127"/>
        <w:gridCol w:w="3543"/>
        <w:gridCol w:w="2835"/>
      </w:tblGrid>
      <w:tr w:rsidR="0075415F" w:rsidRPr="00E60EA6" w:rsidTr="00E60EA6">
        <w:tc>
          <w:tcPr>
            <w:tcW w:w="2127" w:type="dxa"/>
            <w:tcBorders>
              <w:top w:val="single" w:sz="4" w:space="0" w:color="000000"/>
              <w:bottom w:val="single" w:sz="4" w:space="0" w:color="000000"/>
            </w:tcBorders>
            <w:shd w:val="clear" w:color="auto" w:fill="auto"/>
            <w:vAlign w:val="bottom"/>
          </w:tcPr>
          <w:p w:rsidR="0075415F" w:rsidRPr="001A5D13" w:rsidRDefault="0075415F" w:rsidP="001C6DDB">
            <w:pPr>
              <w:rPr>
                <w:rFonts w:ascii="News Gothic Std" w:hAnsi="News Gothic Std" w:cs="Arial"/>
                <w:color w:val="0070C0"/>
              </w:rPr>
            </w:pPr>
            <w:r w:rsidRPr="001A5D13">
              <w:rPr>
                <w:rFonts w:ascii="News Gothic Std" w:hAnsi="News Gothic Std" w:cs="Arial"/>
                <w:color w:val="0070C0"/>
              </w:rPr>
              <w:t>Property Group</w:t>
            </w:r>
          </w:p>
        </w:tc>
        <w:tc>
          <w:tcPr>
            <w:tcW w:w="3543" w:type="dxa"/>
            <w:tcBorders>
              <w:top w:val="single" w:sz="4" w:space="0" w:color="000000"/>
              <w:bottom w:val="single" w:sz="4" w:space="0" w:color="000000"/>
            </w:tcBorders>
            <w:shd w:val="clear" w:color="auto" w:fill="auto"/>
            <w:vAlign w:val="bottom"/>
          </w:tcPr>
          <w:p w:rsidR="0075415F" w:rsidRPr="001A5D13" w:rsidRDefault="0075415F" w:rsidP="001C6DDB">
            <w:pPr>
              <w:jc w:val="right"/>
              <w:rPr>
                <w:rFonts w:ascii="News Gothic Std" w:hAnsi="News Gothic Std" w:cs="Arial"/>
                <w:color w:val="0070C0"/>
              </w:rPr>
            </w:pPr>
            <w:r w:rsidRPr="001A5D13">
              <w:rPr>
                <w:rFonts w:ascii="News Gothic Std" w:hAnsi="News Gothic Std" w:cs="Arial"/>
                <w:color w:val="0070C0"/>
              </w:rPr>
              <w:t>2008 Average % Increase</w:t>
            </w:r>
          </w:p>
        </w:tc>
        <w:tc>
          <w:tcPr>
            <w:tcW w:w="2835" w:type="dxa"/>
            <w:tcBorders>
              <w:top w:val="single" w:sz="4" w:space="0" w:color="000000"/>
              <w:bottom w:val="single" w:sz="4" w:space="0" w:color="000000"/>
            </w:tcBorders>
            <w:shd w:val="clear" w:color="auto" w:fill="auto"/>
            <w:vAlign w:val="bottom"/>
          </w:tcPr>
          <w:p w:rsidR="0075415F" w:rsidRPr="001A5D13" w:rsidRDefault="0075415F" w:rsidP="001C6DDB">
            <w:pPr>
              <w:jc w:val="right"/>
              <w:rPr>
                <w:rFonts w:ascii="News Gothic Std" w:hAnsi="News Gothic Std" w:cs="Arial"/>
                <w:color w:val="0070C0"/>
              </w:rPr>
            </w:pPr>
            <w:r w:rsidRPr="001A5D13">
              <w:rPr>
                <w:rFonts w:ascii="News Gothic Std" w:hAnsi="News Gothic Std" w:cs="Arial"/>
                <w:color w:val="0070C0"/>
              </w:rPr>
              <w:t>2006 Average % Increase</w:t>
            </w:r>
          </w:p>
        </w:tc>
      </w:tr>
      <w:tr w:rsidR="0075415F" w:rsidRPr="00E60EA6" w:rsidTr="00E60EA6">
        <w:tc>
          <w:tcPr>
            <w:tcW w:w="2127" w:type="dxa"/>
            <w:tcBorders>
              <w:top w:val="single" w:sz="4" w:space="0" w:color="000000"/>
            </w:tcBorders>
            <w:shd w:val="clear" w:color="auto" w:fill="auto"/>
          </w:tcPr>
          <w:p w:rsidR="0075415F" w:rsidRPr="005167B1" w:rsidRDefault="0075415F" w:rsidP="001C6DDB">
            <w:pPr>
              <w:spacing w:before="20" w:after="20"/>
              <w:rPr>
                <w:rFonts w:cs="Lucida Sans Unicode"/>
                <w:color w:val="000000"/>
              </w:rPr>
            </w:pPr>
            <w:r w:rsidRPr="005167B1">
              <w:rPr>
                <w:rFonts w:cs="Lucida Sans Unicode"/>
                <w:color w:val="000000"/>
              </w:rPr>
              <w:t>Residential</w:t>
            </w:r>
          </w:p>
        </w:tc>
        <w:tc>
          <w:tcPr>
            <w:tcW w:w="3543" w:type="dxa"/>
            <w:tcBorders>
              <w:top w:val="single" w:sz="4" w:space="0" w:color="000000"/>
            </w:tcBorders>
            <w:shd w:val="clear" w:color="auto" w:fill="auto"/>
          </w:tcPr>
          <w:p w:rsidR="0075415F" w:rsidRPr="00E60EA6" w:rsidRDefault="0075415F" w:rsidP="001C6DDB">
            <w:pPr>
              <w:spacing w:before="20" w:after="20"/>
              <w:jc w:val="right"/>
              <w:rPr>
                <w:rFonts w:cs="Lucida Sans Unicode"/>
                <w:color w:val="000000"/>
              </w:rPr>
            </w:pPr>
            <w:r w:rsidRPr="00E60EA6">
              <w:rPr>
                <w:rFonts w:cs="Lucida Sans Unicode"/>
                <w:color w:val="000000"/>
              </w:rPr>
              <w:t>5.6%</w:t>
            </w:r>
          </w:p>
        </w:tc>
        <w:tc>
          <w:tcPr>
            <w:tcW w:w="2835" w:type="dxa"/>
            <w:tcBorders>
              <w:top w:val="single" w:sz="4" w:space="0" w:color="000000"/>
            </w:tcBorders>
            <w:shd w:val="clear" w:color="auto" w:fill="auto"/>
          </w:tcPr>
          <w:p w:rsidR="0075415F" w:rsidRPr="00E60EA6" w:rsidRDefault="0075415F" w:rsidP="001C6DDB">
            <w:pPr>
              <w:spacing w:before="20" w:after="20"/>
              <w:jc w:val="right"/>
              <w:rPr>
                <w:rFonts w:cs="Lucida Sans Unicode"/>
                <w:color w:val="000000"/>
              </w:rPr>
            </w:pPr>
            <w:r w:rsidRPr="00E60EA6">
              <w:rPr>
                <w:rFonts w:cs="Lucida Sans Unicode"/>
                <w:color w:val="000000"/>
              </w:rPr>
              <w:t>15.6%</w:t>
            </w:r>
          </w:p>
        </w:tc>
      </w:tr>
      <w:tr w:rsidR="0075415F" w:rsidRPr="00E60EA6" w:rsidTr="002876DA">
        <w:tc>
          <w:tcPr>
            <w:tcW w:w="2127" w:type="dxa"/>
            <w:shd w:val="clear" w:color="auto" w:fill="auto"/>
          </w:tcPr>
          <w:p w:rsidR="0075415F" w:rsidRPr="005167B1" w:rsidRDefault="0075415F" w:rsidP="001C6DDB">
            <w:pPr>
              <w:spacing w:before="20" w:after="20"/>
              <w:rPr>
                <w:rFonts w:cs="Lucida Sans Unicode"/>
                <w:color w:val="000000"/>
              </w:rPr>
            </w:pPr>
            <w:r w:rsidRPr="005167B1">
              <w:rPr>
                <w:rFonts w:cs="Lucida Sans Unicode"/>
                <w:color w:val="000000"/>
              </w:rPr>
              <w:t>Vacant Land</w:t>
            </w:r>
          </w:p>
        </w:tc>
        <w:tc>
          <w:tcPr>
            <w:tcW w:w="3543" w:type="dxa"/>
            <w:shd w:val="clear" w:color="auto" w:fill="auto"/>
          </w:tcPr>
          <w:p w:rsidR="0075415F" w:rsidRPr="00E60EA6" w:rsidRDefault="0075415F" w:rsidP="001C6DDB">
            <w:pPr>
              <w:spacing w:before="20" w:after="20"/>
              <w:jc w:val="right"/>
              <w:rPr>
                <w:rFonts w:cs="Lucida Sans Unicode"/>
                <w:color w:val="000000"/>
              </w:rPr>
            </w:pPr>
            <w:r w:rsidRPr="00E60EA6">
              <w:rPr>
                <w:rFonts w:cs="Lucida Sans Unicode"/>
                <w:color w:val="000000"/>
              </w:rPr>
              <w:t>12.7%</w:t>
            </w:r>
          </w:p>
        </w:tc>
        <w:tc>
          <w:tcPr>
            <w:tcW w:w="2835" w:type="dxa"/>
            <w:shd w:val="clear" w:color="auto" w:fill="auto"/>
          </w:tcPr>
          <w:p w:rsidR="0075415F" w:rsidRPr="00E60EA6" w:rsidRDefault="0075415F" w:rsidP="001C6DDB">
            <w:pPr>
              <w:spacing w:before="20" w:after="20"/>
              <w:jc w:val="right"/>
              <w:rPr>
                <w:rFonts w:cs="Lucida Sans Unicode"/>
                <w:color w:val="000000"/>
              </w:rPr>
            </w:pPr>
            <w:r w:rsidRPr="00E60EA6">
              <w:rPr>
                <w:rFonts w:cs="Lucida Sans Unicode"/>
                <w:color w:val="000000"/>
              </w:rPr>
              <w:t>36.7%</w:t>
            </w:r>
          </w:p>
        </w:tc>
      </w:tr>
      <w:tr w:rsidR="0075415F" w:rsidRPr="00E60EA6" w:rsidTr="002876DA">
        <w:tc>
          <w:tcPr>
            <w:tcW w:w="2127" w:type="dxa"/>
            <w:shd w:val="clear" w:color="auto" w:fill="auto"/>
          </w:tcPr>
          <w:p w:rsidR="0075415F" w:rsidRPr="005167B1" w:rsidRDefault="0075415F" w:rsidP="001C6DDB">
            <w:pPr>
              <w:spacing w:before="20" w:after="20"/>
              <w:rPr>
                <w:rFonts w:cs="Lucida Sans Unicode"/>
                <w:color w:val="000000"/>
              </w:rPr>
            </w:pPr>
            <w:r w:rsidRPr="005167B1">
              <w:rPr>
                <w:rFonts w:cs="Lucida Sans Unicode"/>
                <w:color w:val="000000"/>
              </w:rPr>
              <w:t>Commercial</w:t>
            </w:r>
          </w:p>
        </w:tc>
        <w:tc>
          <w:tcPr>
            <w:tcW w:w="3543" w:type="dxa"/>
            <w:shd w:val="clear" w:color="auto" w:fill="auto"/>
          </w:tcPr>
          <w:p w:rsidR="0075415F" w:rsidRPr="00E60EA6" w:rsidRDefault="0075415F" w:rsidP="001C6DDB">
            <w:pPr>
              <w:spacing w:before="20" w:after="20"/>
              <w:jc w:val="right"/>
              <w:rPr>
                <w:rFonts w:cs="Lucida Sans Unicode"/>
                <w:color w:val="000000"/>
              </w:rPr>
            </w:pPr>
            <w:r w:rsidRPr="00E60EA6">
              <w:rPr>
                <w:rFonts w:cs="Lucida Sans Unicode"/>
                <w:color w:val="000000"/>
              </w:rPr>
              <w:t>22.1%</w:t>
            </w:r>
          </w:p>
        </w:tc>
        <w:tc>
          <w:tcPr>
            <w:tcW w:w="2835" w:type="dxa"/>
            <w:shd w:val="clear" w:color="auto" w:fill="auto"/>
          </w:tcPr>
          <w:p w:rsidR="0075415F" w:rsidRPr="00E60EA6" w:rsidRDefault="0075415F" w:rsidP="001C6DDB">
            <w:pPr>
              <w:spacing w:before="20" w:after="20"/>
              <w:jc w:val="right"/>
              <w:rPr>
                <w:rFonts w:cs="Lucida Sans Unicode"/>
                <w:color w:val="000000"/>
              </w:rPr>
            </w:pPr>
            <w:r w:rsidRPr="00E60EA6">
              <w:rPr>
                <w:rFonts w:cs="Lucida Sans Unicode"/>
                <w:color w:val="000000"/>
              </w:rPr>
              <w:t>26.7%</w:t>
            </w:r>
          </w:p>
        </w:tc>
      </w:tr>
      <w:tr w:rsidR="0075415F" w:rsidRPr="00E60EA6" w:rsidTr="002876DA">
        <w:tc>
          <w:tcPr>
            <w:tcW w:w="2127" w:type="dxa"/>
            <w:shd w:val="clear" w:color="auto" w:fill="auto"/>
          </w:tcPr>
          <w:p w:rsidR="0075415F" w:rsidRPr="005167B1" w:rsidRDefault="0075415F" w:rsidP="001C6DDB">
            <w:pPr>
              <w:spacing w:before="20" w:after="20"/>
              <w:rPr>
                <w:rFonts w:cs="Lucida Sans Unicode"/>
                <w:color w:val="000000"/>
              </w:rPr>
            </w:pPr>
            <w:r w:rsidRPr="005167B1">
              <w:rPr>
                <w:rFonts w:cs="Lucida Sans Unicode"/>
                <w:color w:val="000000"/>
              </w:rPr>
              <w:t>Industrial</w:t>
            </w:r>
          </w:p>
        </w:tc>
        <w:tc>
          <w:tcPr>
            <w:tcW w:w="3543" w:type="dxa"/>
            <w:shd w:val="clear" w:color="auto" w:fill="auto"/>
          </w:tcPr>
          <w:p w:rsidR="0075415F" w:rsidRPr="00E60EA6" w:rsidRDefault="0075415F" w:rsidP="001C6DDB">
            <w:pPr>
              <w:spacing w:before="20" w:after="20"/>
              <w:jc w:val="right"/>
              <w:rPr>
                <w:rFonts w:cs="Lucida Sans Unicode"/>
                <w:color w:val="000000"/>
              </w:rPr>
            </w:pPr>
            <w:r w:rsidRPr="00E60EA6">
              <w:rPr>
                <w:rFonts w:cs="Lucida Sans Unicode"/>
                <w:color w:val="000000"/>
              </w:rPr>
              <w:t>27.2%</w:t>
            </w:r>
          </w:p>
        </w:tc>
        <w:tc>
          <w:tcPr>
            <w:tcW w:w="2835" w:type="dxa"/>
            <w:shd w:val="clear" w:color="auto" w:fill="auto"/>
          </w:tcPr>
          <w:p w:rsidR="0075415F" w:rsidRPr="00E60EA6" w:rsidRDefault="0075415F" w:rsidP="001C6DDB">
            <w:pPr>
              <w:spacing w:before="20" w:after="20"/>
              <w:jc w:val="right"/>
              <w:rPr>
                <w:rFonts w:cs="Lucida Sans Unicode"/>
                <w:color w:val="000000"/>
              </w:rPr>
            </w:pPr>
            <w:r w:rsidRPr="00E60EA6">
              <w:rPr>
                <w:rFonts w:cs="Lucida Sans Unicode"/>
                <w:color w:val="000000"/>
              </w:rPr>
              <w:t>24.1%</w:t>
            </w:r>
          </w:p>
        </w:tc>
      </w:tr>
      <w:tr w:rsidR="0075415F" w:rsidRPr="00E60EA6" w:rsidTr="00E60EA6">
        <w:tc>
          <w:tcPr>
            <w:tcW w:w="2127" w:type="dxa"/>
            <w:tcBorders>
              <w:bottom w:val="single" w:sz="4" w:space="0" w:color="000000"/>
            </w:tcBorders>
            <w:shd w:val="clear" w:color="auto" w:fill="auto"/>
          </w:tcPr>
          <w:p w:rsidR="0075415F" w:rsidRPr="005167B1" w:rsidRDefault="0075415F" w:rsidP="001C6DDB">
            <w:pPr>
              <w:spacing w:before="20" w:after="20"/>
              <w:rPr>
                <w:rFonts w:cs="Lucida Sans Unicode"/>
                <w:color w:val="000000"/>
              </w:rPr>
            </w:pPr>
            <w:r w:rsidRPr="005167B1">
              <w:rPr>
                <w:rFonts w:cs="Lucida Sans Unicode"/>
                <w:color w:val="000000"/>
              </w:rPr>
              <w:t>Farm</w:t>
            </w:r>
          </w:p>
        </w:tc>
        <w:tc>
          <w:tcPr>
            <w:tcW w:w="3543" w:type="dxa"/>
            <w:tcBorders>
              <w:bottom w:val="single" w:sz="4" w:space="0" w:color="000000"/>
            </w:tcBorders>
            <w:shd w:val="clear" w:color="auto" w:fill="auto"/>
          </w:tcPr>
          <w:p w:rsidR="0075415F" w:rsidRPr="00E60EA6" w:rsidRDefault="0075415F" w:rsidP="001C6DDB">
            <w:pPr>
              <w:spacing w:before="20" w:after="20"/>
              <w:jc w:val="right"/>
              <w:rPr>
                <w:rFonts w:cs="Lucida Sans Unicode"/>
                <w:color w:val="000000"/>
              </w:rPr>
            </w:pPr>
            <w:r w:rsidRPr="00E60EA6">
              <w:rPr>
                <w:rFonts w:cs="Lucida Sans Unicode"/>
                <w:color w:val="000000"/>
              </w:rPr>
              <w:t>15.2%</w:t>
            </w:r>
          </w:p>
        </w:tc>
        <w:tc>
          <w:tcPr>
            <w:tcW w:w="2835" w:type="dxa"/>
            <w:tcBorders>
              <w:bottom w:val="single" w:sz="4" w:space="0" w:color="000000"/>
            </w:tcBorders>
            <w:shd w:val="clear" w:color="auto" w:fill="auto"/>
          </w:tcPr>
          <w:p w:rsidR="0075415F" w:rsidRPr="00E60EA6" w:rsidRDefault="0075415F" w:rsidP="001C6DDB">
            <w:pPr>
              <w:spacing w:before="20" w:after="20"/>
              <w:jc w:val="right"/>
              <w:rPr>
                <w:rFonts w:cs="Lucida Sans Unicode"/>
                <w:color w:val="000000"/>
              </w:rPr>
            </w:pPr>
            <w:r w:rsidRPr="00E60EA6">
              <w:rPr>
                <w:rFonts w:cs="Lucida Sans Unicode"/>
                <w:color w:val="000000"/>
              </w:rPr>
              <w:t>48.4%</w:t>
            </w:r>
          </w:p>
        </w:tc>
      </w:tr>
    </w:tbl>
    <w:p w:rsidR="0075415F" w:rsidRPr="004567DE" w:rsidRDefault="0075415F">
      <w:pPr>
        <w:pStyle w:val="BodyText"/>
      </w:pPr>
      <w:r w:rsidRPr="004567DE">
        <w:t xml:space="preserve">The valuation increases for all categories except industrial properties have been less than previous revaluations. </w:t>
      </w:r>
    </w:p>
    <w:p w:rsidR="0075415F" w:rsidRPr="004567DE" w:rsidRDefault="0075415F">
      <w:pPr>
        <w:pStyle w:val="BodyText"/>
      </w:pPr>
      <w:r w:rsidRPr="004567DE">
        <w:lastRenderedPageBreak/>
        <w:t>Industrial property values have increased in line with a short supply of serviced industrial land and increased access from the ring road.</w:t>
      </w:r>
    </w:p>
    <w:p w:rsidR="00F462EA" w:rsidRDefault="0075415F">
      <w:pPr>
        <w:pStyle w:val="BodyText"/>
      </w:pPr>
      <w:r w:rsidRPr="0098189D">
        <w:t>Council endorsed the following changes:</w:t>
      </w:r>
    </w:p>
    <w:p w:rsidR="00A23966" w:rsidRPr="005A2AD5" w:rsidRDefault="0075415F" w:rsidP="005167B1">
      <w:pPr>
        <w:pStyle w:val="ListParagraph"/>
        <w:numPr>
          <w:ilvl w:val="0"/>
          <w:numId w:val="43"/>
        </w:numPr>
        <w:spacing w:after="80"/>
        <w:ind w:left="357" w:hanging="357"/>
        <w:jc w:val="both"/>
      </w:pPr>
      <w:r w:rsidRPr="00C05662">
        <w:rPr>
          <w:rFonts w:cs="Lucida Sans Unicode"/>
          <w:szCs w:val="22"/>
        </w:rPr>
        <w:t xml:space="preserve">The Vacant Land ratio to Residential has been increased to 135% in order to continue to encourage the development of Vacant Land. </w:t>
      </w:r>
    </w:p>
    <w:p w:rsidR="00A23966" w:rsidRPr="005167B1" w:rsidRDefault="0075415F" w:rsidP="005167B1">
      <w:pPr>
        <w:pStyle w:val="ListParagraph"/>
        <w:numPr>
          <w:ilvl w:val="0"/>
          <w:numId w:val="43"/>
        </w:numPr>
        <w:spacing w:after="80"/>
        <w:ind w:left="357" w:hanging="357"/>
        <w:jc w:val="both"/>
      </w:pPr>
      <w:r w:rsidRPr="00132FCB">
        <w:rPr>
          <w:rFonts w:cs="Lucida Sans Unicode"/>
          <w:szCs w:val="22"/>
        </w:rPr>
        <w:t>The Farm rebate increases to 45% in response to significant valuation movements and recognition of continuing drought circumstances.  This rebate provides significant ongoing r</w:t>
      </w:r>
      <w:r w:rsidRPr="005167B1">
        <w:rPr>
          <w:rFonts w:cs="Lucida Sans Unicode"/>
          <w:szCs w:val="22"/>
        </w:rPr>
        <w:t>ate relief to farmers (33% rebate 2006-</w:t>
      </w:r>
      <w:r w:rsidR="00AA06D8" w:rsidRPr="005167B1">
        <w:rPr>
          <w:rFonts w:cs="Lucida Sans Unicode"/>
          <w:szCs w:val="22"/>
        </w:rPr>
        <w:t>07</w:t>
      </w:r>
      <w:r w:rsidRPr="005167B1">
        <w:rPr>
          <w:rFonts w:cs="Lucida Sans Unicode"/>
          <w:szCs w:val="22"/>
        </w:rPr>
        <w:t>, 40% rebate 2007-</w:t>
      </w:r>
      <w:r w:rsidR="00AA06D8" w:rsidRPr="005167B1">
        <w:rPr>
          <w:rFonts w:cs="Lucida Sans Unicode"/>
          <w:szCs w:val="22"/>
        </w:rPr>
        <w:t>08</w:t>
      </w:r>
      <w:r w:rsidRPr="005167B1">
        <w:rPr>
          <w:rFonts w:cs="Lucida Sans Unicode"/>
          <w:szCs w:val="22"/>
        </w:rPr>
        <w:t>).</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 xml:space="preserve">Average residential rates and charges (including Municipal Charge and Waste Service Charge) will increase by 4.9%. </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 xml:space="preserve">The pensioner concession is $178.60, increasing from $172.90 or 3.3% which is the movement in </w:t>
      </w:r>
      <w:smartTag w:uri="urn:schemas-microsoft-com:office:smarttags" w:element="stockticker">
        <w:r w:rsidRPr="005167B1">
          <w:rPr>
            <w:rFonts w:cs="Lucida Sans Unicode"/>
            <w:szCs w:val="22"/>
          </w:rPr>
          <w:t>CPI</w:t>
        </w:r>
      </w:smartTag>
      <w:r w:rsidRPr="005167B1">
        <w:rPr>
          <w:rFonts w:cs="Lucida Sans Unicode"/>
          <w:szCs w:val="22"/>
        </w:rPr>
        <w:t>.</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The Waste Collection Service charge is calculated based on a fee for service, including direct, indirect and overhead costs.  The proposed garbage charge to 2008-</w:t>
      </w:r>
      <w:r w:rsidR="00AA06D8" w:rsidRPr="005167B1">
        <w:rPr>
          <w:rFonts w:cs="Lucida Sans Unicode"/>
          <w:szCs w:val="22"/>
        </w:rPr>
        <w:t xml:space="preserve">09 </w:t>
      </w:r>
      <w:r w:rsidRPr="005167B1">
        <w:rPr>
          <w:rFonts w:cs="Lucida Sans Unicode"/>
          <w:szCs w:val="22"/>
        </w:rPr>
        <w:t>is to increase from $181.30 to $183.50.</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The municipal charge represents a fee on all rateable assessments as a contribution to the fixed and unavoidable costs of governance. The municipal charge is increasing from $72.50 to $75.50.</w:t>
      </w:r>
    </w:p>
    <w:p w:rsidR="0075415F" w:rsidRPr="0098189D" w:rsidRDefault="0075415F" w:rsidP="00D43F06">
      <w:pPr>
        <w:pStyle w:val="Heading5A"/>
      </w:pPr>
      <w:r w:rsidRPr="0098189D">
        <w:t>Rate Waiver</w:t>
      </w:r>
    </w:p>
    <w:p w:rsidR="0075415F" w:rsidRPr="0098189D" w:rsidRDefault="0075415F">
      <w:pPr>
        <w:pStyle w:val="BodyText"/>
      </w:pPr>
      <w:r w:rsidRPr="0098189D">
        <w:t>Council proposes to continue the rate relief provisions to allow for the continuation of a one off waiver for residential properties where the valuation has exceeded reasonable expectations and is purely the result of market factors, not the result of improvements to property by the owner.</w:t>
      </w:r>
    </w:p>
    <w:p w:rsidR="0075415F" w:rsidRPr="0098189D" w:rsidRDefault="0075415F">
      <w:pPr>
        <w:pStyle w:val="BodyText"/>
      </w:pPr>
      <w:r w:rsidRPr="0098189D">
        <w:t>Modelling shows that if a 50% increase to residential valuation is considered the trigger point for rate relief, then 608 properties (0.7% of residential properties) may become eligible. Not all properties will be principal places of residence, nor will they meet the hardship income test. The income test is based on an income threshold of $41,318.</w:t>
      </w:r>
    </w:p>
    <w:p w:rsidR="00F462EA" w:rsidRDefault="0075415F">
      <w:pPr>
        <w:pStyle w:val="BodyText"/>
      </w:pPr>
      <w:r w:rsidRPr="0098189D">
        <w:t xml:space="preserve">In cases of proven hardship </w:t>
      </w:r>
      <w:r w:rsidR="00132FCB">
        <w:t>C</w:t>
      </w:r>
      <w:r w:rsidR="00284F98" w:rsidRPr="0098189D">
        <w:t xml:space="preserve">ouncil </w:t>
      </w:r>
      <w:r w:rsidRPr="0098189D">
        <w:t xml:space="preserve">also offers deferred rates for a period determined by Council. Deferred rates attract interest at </w:t>
      </w:r>
      <w:r w:rsidR="00132FCB">
        <w:t>C</w:t>
      </w:r>
      <w:r w:rsidR="00284F98" w:rsidRPr="0098189D">
        <w:t xml:space="preserve">ouncils </w:t>
      </w:r>
      <w:r w:rsidRPr="0098189D">
        <w:t>overdraft rate. For 2008-</w:t>
      </w:r>
      <w:r w:rsidR="00AA06D8">
        <w:t>09</w:t>
      </w:r>
      <w:r w:rsidR="00AA06D8" w:rsidRPr="0098189D">
        <w:t xml:space="preserve"> </w:t>
      </w:r>
      <w:r w:rsidRPr="0098189D">
        <w:t>the interest rate is determined at 10.85%.</w:t>
      </w:r>
    </w:p>
    <w:p w:rsidR="0075415F" w:rsidRPr="00BA4451" w:rsidRDefault="0075415F">
      <w:pPr>
        <w:pStyle w:val="Heading4A"/>
      </w:pPr>
      <w:bookmarkStart w:id="499" w:name="_Toc260749429"/>
      <w:bookmarkStart w:id="500" w:name="_Toc292369418"/>
      <w:bookmarkStart w:id="501" w:name="_Toc292369490"/>
      <w:bookmarkStart w:id="502" w:name="_Toc355947716"/>
      <w:bookmarkStart w:id="503" w:name="_Toc356202556"/>
      <w:bookmarkStart w:id="504" w:name="_Toc356202889"/>
      <w:r w:rsidRPr="00BA4451">
        <w:t>2009-</w:t>
      </w:r>
      <w:bookmarkEnd w:id="499"/>
      <w:bookmarkEnd w:id="500"/>
      <w:bookmarkEnd w:id="501"/>
      <w:bookmarkEnd w:id="502"/>
      <w:bookmarkEnd w:id="503"/>
      <w:bookmarkEnd w:id="504"/>
      <w:r w:rsidR="009B21E0">
        <w:t>10</w:t>
      </w:r>
    </w:p>
    <w:p w:rsidR="0075415F" w:rsidRPr="0098189D" w:rsidRDefault="0075415F">
      <w:pPr>
        <w:pStyle w:val="BodyText"/>
      </w:pPr>
      <w:r w:rsidRPr="0098189D">
        <w:t>Based on proposed increments to the draft operating budget, a target revenue of $130.</w:t>
      </w:r>
      <w:r w:rsidR="00284F98" w:rsidRPr="0098189D">
        <w:t>5</w:t>
      </w:r>
      <w:r w:rsidR="00284F98">
        <w:t>m</w:t>
      </w:r>
      <w:r w:rsidR="00284F98" w:rsidRPr="0098189D">
        <w:t xml:space="preserve"> </w:t>
      </w:r>
      <w:r w:rsidRPr="0098189D">
        <w:t xml:space="preserve">was required. To achieve this a 4.9% increase in the average residential rates was included in the Budget. </w:t>
      </w:r>
    </w:p>
    <w:p w:rsidR="0075415F" w:rsidRPr="0098189D" w:rsidRDefault="0075415F" w:rsidP="00D43F06">
      <w:pPr>
        <w:pStyle w:val="Heading5A"/>
      </w:pPr>
      <w:r w:rsidRPr="0098189D">
        <w:lastRenderedPageBreak/>
        <w:t>Rating Differentials</w:t>
      </w:r>
    </w:p>
    <w:p w:rsidR="0075415F" w:rsidRPr="0098189D" w:rsidRDefault="0075415F">
      <w:pPr>
        <w:pStyle w:val="BodyText"/>
      </w:pPr>
      <w:r w:rsidRPr="0098189D">
        <w:t>The relativity between differential rates is proposed to remain unchanged from 2008</w:t>
      </w:r>
      <w:r w:rsidRPr="0098189D">
        <w:noBreakHyphen/>
      </w:r>
      <w:r w:rsidR="00AA06D8">
        <w:t>09</w:t>
      </w:r>
      <w:r w:rsidRPr="0098189D">
        <w:t xml:space="preserve">. </w:t>
      </w:r>
    </w:p>
    <w:p w:rsidR="0075415F" w:rsidRPr="0098189D" w:rsidRDefault="0075415F">
      <w:pPr>
        <w:pStyle w:val="BodyText"/>
      </w:pPr>
      <w:r w:rsidRPr="0098189D">
        <w:t>Residential and Farm rate are the lowest differential tariff.</w:t>
      </w:r>
    </w:p>
    <w:p w:rsidR="00F462EA" w:rsidRDefault="0075415F">
      <w:pPr>
        <w:pStyle w:val="BodyText"/>
      </w:pPr>
      <w:r w:rsidRPr="0098189D">
        <w:t>Vacant land remains at 135% of residential rates to encourage the development of Vacant land.</w:t>
      </w:r>
    </w:p>
    <w:p w:rsidR="00F462EA" w:rsidRDefault="0075415F">
      <w:pPr>
        <w:pStyle w:val="BodyText"/>
      </w:pPr>
      <w:r w:rsidRPr="0098189D">
        <w:t>Aluminium, Automobile and Late License rates are four times residential rates. The rate set is the maximum in line with the four times rule where the highest differential must be no more than four times the lowest differential rate.</w:t>
      </w:r>
    </w:p>
    <w:p w:rsidR="0075415F" w:rsidRPr="0098189D" w:rsidRDefault="0075415F" w:rsidP="00D43F06">
      <w:pPr>
        <w:pStyle w:val="Heading5A"/>
      </w:pPr>
      <w:r w:rsidRPr="0098189D">
        <w:t>Farm Rebate</w:t>
      </w:r>
    </w:p>
    <w:p w:rsidR="0075415F" w:rsidRPr="0098189D" w:rsidRDefault="0075415F">
      <w:pPr>
        <w:pStyle w:val="BodyText"/>
      </w:pPr>
      <w:r w:rsidRPr="0098189D">
        <w:t>The retention of the 45% rebate for farm properties to provide ongoing rate relief to farmers. The farm rebate was introduced in 2004-</w:t>
      </w:r>
      <w:r w:rsidR="00AA06D8">
        <w:t>05</w:t>
      </w:r>
      <w:r w:rsidR="00AA06D8" w:rsidRPr="0098189D">
        <w:t xml:space="preserve"> </w:t>
      </w:r>
      <w:r w:rsidRPr="0098189D">
        <w:t>at 25% and was increased to 33% in 2006-</w:t>
      </w:r>
      <w:r w:rsidR="00AA06D8">
        <w:t>07</w:t>
      </w:r>
      <w:r w:rsidRPr="0098189D">
        <w:t>, 40% in 2007-</w:t>
      </w:r>
      <w:r w:rsidR="00AA06D8">
        <w:t>08</w:t>
      </w:r>
      <w:r w:rsidR="00AA06D8" w:rsidRPr="0098189D">
        <w:t xml:space="preserve"> </w:t>
      </w:r>
      <w:r w:rsidRPr="0098189D">
        <w:t>and 45% in 2008-</w:t>
      </w:r>
      <w:r w:rsidR="00AA06D8">
        <w:t>09</w:t>
      </w:r>
      <w:r w:rsidRPr="0098189D">
        <w:t xml:space="preserve">. </w:t>
      </w:r>
    </w:p>
    <w:p w:rsidR="000744A6" w:rsidRDefault="0075415F" w:rsidP="00D43F06">
      <w:pPr>
        <w:pStyle w:val="Heading5A"/>
      </w:pPr>
      <w:r w:rsidRPr="0098189D">
        <w:t>Municipal Charge</w:t>
      </w:r>
    </w:p>
    <w:p w:rsidR="0075415F" w:rsidRPr="004567DE" w:rsidRDefault="0075415F">
      <w:pPr>
        <w:pStyle w:val="BodyText"/>
      </w:pPr>
      <w:r w:rsidRPr="004567DE">
        <w:t xml:space="preserve">The municipal charge covers fixed administrative costs and must not exceed 20% of the revenue from rates and the municipal charge. The municipal charge increased to $78.50 and provided a rate income of $8,044,000 which was 7% of the rate and municipal charge revenue. </w:t>
      </w:r>
    </w:p>
    <w:p w:rsidR="0075415F" w:rsidRPr="0098189D" w:rsidRDefault="0075415F" w:rsidP="00D43F06">
      <w:pPr>
        <w:pStyle w:val="Heading5A"/>
      </w:pPr>
      <w:r w:rsidRPr="0098189D">
        <w:t>Waste &amp; Recycling Charge</w:t>
      </w:r>
    </w:p>
    <w:p w:rsidR="0075415F" w:rsidRPr="004567DE" w:rsidRDefault="0075415F">
      <w:pPr>
        <w:pStyle w:val="BodyText"/>
      </w:pPr>
      <w:r w:rsidRPr="004567DE">
        <w:t>The waste and recycling charge covers the cost for collection and disposal of waste. The charge increased from $183.50 to $190.80 per assessment. The criteria for charging the waste charge remained.</w:t>
      </w:r>
    </w:p>
    <w:p w:rsidR="0075415F" w:rsidRPr="004567DE" w:rsidRDefault="0075415F">
      <w:pPr>
        <w:pStyle w:val="BodyText"/>
      </w:pPr>
      <w:r w:rsidRPr="004567DE">
        <w:t xml:space="preserve">Geographic existence within those areas of the municipal district in which </w:t>
      </w:r>
      <w:r w:rsidR="00132FCB">
        <w:t>C</w:t>
      </w:r>
      <w:r w:rsidR="00284F98" w:rsidRPr="004567DE">
        <w:t xml:space="preserve">ouncil </w:t>
      </w:r>
      <w:r w:rsidRPr="004567DE">
        <w:t>provides a domestic refuse collection and disposal service.</w:t>
      </w:r>
    </w:p>
    <w:p w:rsidR="00F462EA" w:rsidRDefault="0075415F">
      <w:pPr>
        <w:pStyle w:val="BodyText"/>
      </w:pPr>
      <w:r w:rsidRPr="004567DE">
        <w:t>The charge will be raised irrespective of whether the service is used or not.</w:t>
      </w:r>
    </w:p>
    <w:p w:rsidR="0075415F" w:rsidRPr="0098189D" w:rsidRDefault="0075415F" w:rsidP="00D43F06">
      <w:pPr>
        <w:pStyle w:val="Heading5A"/>
      </w:pPr>
      <w:r w:rsidRPr="0098189D">
        <w:t>Pension Rebate</w:t>
      </w:r>
    </w:p>
    <w:p w:rsidR="0075415F" w:rsidRPr="0098189D" w:rsidRDefault="0075415F">
      <w:pPr>
        <w:pStyle w:val="BodyText"/>
      </w:pPr>
      <w:r w:rsidRPr="000F2A1D">
        <w:t>The pension rebate is provided by the State Government to assist pensioners. The</w:t>
      </w:r>
      <w:r w:rsidRPr="0098189D">
        <w:t xml:space="preserve"> rebate will increase from $178.60 to $184.30 in line with </w:t>
      </w:r>
      <w:smartTag w:uri="urn:schemas-microsoft-com:office:smarttags" w:element="stockticker">
        <w:r w:rsidRPr="0098189D">
          <w:t>CPI</w:t>
        </w:r>
      </w:smartTag>
      <w:r w:rsidRPr="0098189D">
        <w:t xml:space="preserve"> of 3.2%.</w:t>
      </w:r>
    </w:p>
    <w:p w:rsidR="0075415F" w:rsidRPr="0098189D" w:rsidRDefault="0075415F" w:rsidP="00D43F06">
      <w:pPr>
        <w:pStyle w:val="Heading5A"/>
      </w:pPr>
      <w:r w:rsidRPr="0098189D">
        <w:t>Exceptional Circumstances – Drought Assistance</w:t>
      </w:r>
    </w:p>
    <w:p w:rsidR="0075415F" w:rsidRPr="0098189D" w:rsidRDefault="0075415F">
      <w:pPr>
        <w:pStyle w:val="BodyText"/>
      </w:pPr>
      <w:r w:rsidRPr="0098189D">
        <w:t>The State Government’s municipal rate subsidy drought assistance scheme was introduced in July 2005. Effectively, farmers affected by drought and receiving emergency payments or exceptional circumstances payments from Centrelink are eligible for a 50% subsidy on their rates and charges funded by the State Government. At this stage the scheme has not been extended beyond June 2009.</w:t>
      </w:r>
    </w:p>
    <w:p w:rsidR="0075415F" w:rsidRPr="0098189D" w:rsidRDefault="0075415F" w:rsidP="00D43F06">
      <w:pPr>
        <w:pStyle w:val="Heading5A"/>
      </w:pPr>
      <w:r w:rsidRPr="0098189D">
        <w:lastRenderedPageBreak/>
        <w:t>Payment Assistance</w:t>
      </w:r>
    </w:p>
    <w:p w:rsidR="0075415F" w:rsidRPr="0098189D" w:rsidRDefault="0075415F">
      <w:pPr>
        <w:pStyle w:val="BodyText"/>
      </w:pPr>
      <w:r w:rsidRPr="0098189D">
        <w:t>Council offers a variety of assistance measures to help people pay their rates. The options include flexible payment methods such as quarterly, monthly or fortnightly Direct Debit, Centrepay deductions from Centrelink entitlements, and individual payment arrangements. The City will assist ratepayers who are experiencing hardship by creating individual payment plans which may include deferral of rate payments in full or part, depending on individual circumstances. The interest rate on deferred rates is declared at 7% for 2009-</w:t>
      </w:r>
      <w:r w:rsidR="00AA06D8">
        <w:t>10</w:t>
      </w:r>
      <w:r w:rsidRPr="0098189D">
        <w:t>.</w:t>
      </w:r>
    </w:p>
    <w:p w:rsidR="0075415F" w:rsidRPr="0098189D" w:rsidRDefault="0075415F" w:rsidP="00D43F06">
      <w:pPr>
        <w:pStyle w:val="Heading5A"/>
      </w:pPr>
      <w:r w:rsidRPr="0098189D">
        <w:t>Rates Waiver</w:t>
      </w:r>
    </w:p>
    <w:p w:rsidR="0075415F" w:rsidRPr="0098189D" w:rsidRDefault="0075415F">
      <w:pPr>
        <w:pStyle w:val="BodyText"/>
      </w:pPr>
      <w:r w:rsidRPr="0098189D">
        <w:t>Council also provide a one-off rates waiver for low income ratepayers whose property valuations increased by more than 50% in the last revaluation (the last revaluation was as at 1 January 2008). It is expected that most eligible ratepayers would have received the waiver in 2008-</w:t>
      </w:r>
      <w:r w:rsidR="00AA06D8">
        <w:t>09</w:t>
      </w:r>
      <w:r w:rsidRPr="0098189D">
        <w:t>, and there will be minimal claims in 2009-</w:t>
      </w:r>
      <w:r w:rsidR="00AA06D8">
        <w:t>10</w:t>
      </w:r>
      <w:r w:rsidRPr="0098189D">
        <w:t>.</w:t>
      </w:r>
    </w:p>
    <w:p w:rsidR="0075415F" w:rsidRPr="00BA4451" w:rsidRDefault="0075415F">
      <w:pPr>
        <w:pStyle w:val="Heading4A"/>
      </w:pPr>
      <w:bookmarkStart w:id="505" w:name="_Toc292369419"/>
      <w:bookmarkStart w:id="506" w:name="_Toc292369491"/>
      <w:bookmarkStart w:id="507" w:name="_Toc355947717"/>
      <w:bookmarkStart w:id="508" w:name="_Toc356202557"/>
      <w:bookmarkStart w:id="509" w:name="_Toc356202890"/>
      <w:r w:rsidRPr="00BA4451">
        <w:t>2010-</w:t>
      </w:r>
      <w:bookmarkEnd w:id="505"/>
      <w:bookmarkEnd w:id="506"/>
      <w:bookmarkEnd w:id="507"/>
      <w:bookmarkEnd w:id="508"/>
      <w:bookmarkEnd w:id="509"/>
      <w:r w:rsidR="009B21E0">
        <w:t>11</w:t>
      </w:r>
    </w:p>
    <w:p w:rsidR="0075415F" w:rsidRPr="0098189D" w:rsidRDefault="0075415F" w:rsidP="00D43F06">
      <w:pPr>
        <w:pStyle w:val="Heading5A"/>
      </w:pPr>
      <w:bookmarkStart w:id="510" w:name="_Toc260749415"/>
      <w:bookmarkStart w:id="511" w:name="_Toc290471820"/>
      <w:r w:rsidRPr="0098189D">
        <w:t>2010 Revaluation</w:t>
      </w:r>
      <w:bookmarkEnd w:id="510"/>
      <w:bookmarkEnd w:id="511"/>
    </w:p>
    <w:p w:rsidR="0075415F" w:rsidRPr="0098189D" w:rsidRDefault="0075415F">
      <w:pPr>
        <w:pStyle w:val="BodyText"/>
      </w:pPr>
      <w:r w:rsidRPr="0098189D">
        <w:t>The 2010-</w:t>
      </w:r>
      <w:r w:rsidR="00AA06D8">
        <w:t>11</w:t>
      </w:r>
      <w:r w:rsidR="00AA06D8" w:rsidRPr="0098189D">
        <w:t xml:space="preserve"> </w:t>
      </w:r>
      <w:r w:rsidRPr="0098189D">
        <w:t xml:space="preserve">rating strategy included valuations prepared as at 1 January 2010 by Council’s contract valuers in accordance with </w:t>
      </w:r>
      <w:r w:rsidR="00132FCB">
        <w:t>C</w:t>
      </w:r>
      <w:r w:rsidR="00284F98" w:rsidRPr="0098189D">
        <w:t xml:space="preserve">ouncil </w:t>
      </w:r>
      <w:r w:rsidRPr="0098189D">
        <w:t>obligations to revalue every property in the municipality under the Valuation of Land Act 1960. These valuations applied to all properties from 1 July 2010.</w:t>
      </w:r>
    </w:p>
    <w:p w:rsidR="001A5D13" w:rsidRPr="00E60EA6" w:rsidRDefault="0075415F" w:rsidP="005167B1">
      <w:pPr>
        <w:pStyle w:val="BodyText"/>
      </w:pPr>
      <w:r w:rsidRPr="0098189D">
        <w:t xml:space="preserve">The table below indicates the general property valuation movement by tariff group, excluding growth. </w:t>
      </w:r>
    </w:p>
    <w:tbl>
      <w:tblPr>
        <w:tblW w:w="0" w:type="auto"/>
        <w:tblInd w:w="108" w:type="dxa"/>
        <w:tblBorders>
          <w:top w:val="single" w:sz="4" w:space="0" w:color="000000"/>
          <w:bottom w:val="single" w:sz="4" w:space="0" w:color="000000"/>
        </w:tblBorders>
        <w:tblLook w:val="01E0" w:firstRow="1" w:lastRow="1" w:firstColumn="1" w:lastColumn="1" w:noHBand="0" w:noVBand="0"/>
      </w:tblPr>
      <w:tblGrid>
        <w:gridCol w:w="2528"/>
        <w:gridCol w:w="2934"/>
        <w:gridCol w:w="2934"/>
      </w:tblGrid>
      <w:tr w:rsidR="0075415F" w:rsidRPr="00E60EA6" w:rsidTr="00E60EA6">
        <w:tc>
          <w:tcPr>
            <w:tcW w:w="2528" w:type="dxa"/>
            <w:tcBorders>
              <w:top w:val="single" w:sz="4" w:space="0" w:color="000000"/>
              <w:bottom w:val="single" w:sz="4" w:space="0" w:color="000000"/>
            </w:tcBorders>
            <w:shd w:val="clear" w:color="auto" w:fill="auto"/>
            <w:vAlign w:val="bottom"/>
          </w:tcPr>
          <w:p w:rsidR="0075415F" w:rsidRPr="001A5D13" w:rsidRDefault="0075415F" w:rsidP="001C6DDB">
            <w:pPr>
              <w:rPr>
                <w:rFonts w:ascii="News Gothic Std" w:hAnsi="News Gothic Std" w:cs="Arial"/>
                <w:color w:val="0070C0"/>
              </w:rPr>
            </w:pPr>
            <w:r w:rsidRPr="001A5D13">
              <w:rPr>
                <w:rFonts w:ascii="News Gothic Std" w:hAnsi="News Gothic Std" w:cs="Arial"/>
                <w:color w:val="0070C0"/>
              </w:rPr>
              <w:t>Property Group</w:t>
            </w:r>
          </w:p>
        </w:tc>
        <w:tc>
          <w:tcPr>
            <w:tcW w:w="2934" w:type="dxa"/>
            <w:tcBorders>
              <w:top w:val="single" w:sz="4" w:space="0" w:color="000000"/>
              <w:bottom w:val="single" w:sz="4" w:space="0" w:color="000000"/>
            </w:tcBorders>
            <w:shd w:val="clear" w:color="auto" w:fill="auto"/>
            <w:vAlign w:val="bottom"/>
          </w:tcPr>
          <w:p w:rsidR="0075415F" w:rsidRPr="001A5D13" w:rsidRDefault="0075415F" w:rsidP="001C6DDB">
            <w:pPr>
              <w:jc w:val="right"/>
              <w:rPr>
                <w:rFonts w:ascii="News Gothic Std" w:hAnsi="News Gothic Std" w:cs="Arial"/>
                <w:color w:val="0070C0"/>
              </w:rPr>
            </w:pPr>
            <w:r w:rsidRPr="001A5D13">
              <w:rPr>
                <w:rFonts w:ascii="News Gothic Std" w:hAnsi="News Gothic Std" w:cs="Arial"/>
                <w:color w:val="0070C0"/>
              </w:rPr>
              <w:t>2008 Average % Increase</w:t>
            </w:r>
          </w:p>
        </w:tc>
        <w:tc>
          <w:tcPr>
            <w:tcW w:w="2934" w:type="dxa"/>
            <w:tcBorders>
              <w:top w:val="single" w:sz="4" w:space="0" w:color="000000"/>
              <w:bottom w:val="single" w:sz="4" w:space="0" w:color="000000"/>
            </w:tcBorders>
            <w:shd w:val="clear" w:color="auto" w:fill="auto"/>
            <w:vAlign w:val="bottom"/>
          </w:tcPr>
          <w:p w:rsidR="0075415F" w:rsidRPr="001A5D13" w:rsidRDefault="0075415F" w:rsidP="001C6DDB">
            <w:pPr>
              <w:jc w:val="right"/>
              <w:rPr>
                <w:rFonts w:ascii="News Gothic Std" w:hAnsi="News Gothic Std" w:cs="Arial"/>
                <w:color w:val="0070C0"/>
              </w:rPr>
            </w:pPr>
            <w:r w:rsidRPr="001A5D13">
              <w:rPr>
                <w:rFonts w:ascii="News Gothic Std" w:hAnsi="News Gothic Std" w:cs="Arial"/>
                <w:color w:val="0070C0"/>
              </w:rPr>
              <w:t>2010 Average % Increase</w:t>
            </w:r>
          </w:p>
        </w:tc>
      </w:tr>
      <w:tr w:rsidR="0075415F" w:rsidRPr="00E60EA6" w:rsidTr="00E60EA6">
        <w:tc>
          <w:tcPr>
            <w:tcW w:w="2528" w:type="dxa"/>
            <w:tcBorders>
              <w:top w:val="single" w:sz="4" w:space="0" w:color="000000"/>
            </w:tcBorders>
            <w:shd w:val="clear" w:color="auto" w:fill="auto"/>
          </w:tcPr>
          <w:p w:rsidR="0075415F" w:rsidRPr="005167B1" w:rsidRDefault="0075415F" w:rsidP="001C6DDB">
            <w:pPr>
              <w:spacing w:before="20" w:after="20"/>
              <w:rPr>
                <w:rFonts w:cs="Lucida Sans Unicode"/>
                <w:color w:val="000000"/>
              </w:rPr>
            </w:pPr>
            <w:r w:rsidRPr="005167B1">
              <w:rPr>
                <w:rFonts w:cs="Lucida Sans Unicode"/>
                <w:color w:val="000000"/>
              </w:rPr>
              <w:t>Residential</w:t>
            </w:r>
          </w:p>
        </w:tc>
        <w:tc>
          <w:tcPr>
            <w:tcW w:w="2934" w:type="dxa"/>
            <w:tcBorders>
              <w:top w:val="single" w:sz="4" w:space="0" w:color="000000"/>
            </w:tcBorders>
            <w:shd w:val="clear" w:color="auto" w:fill="auto"/>
          </w:tcPr>
          <w:p w:rsidR="0075415F" w:rsidRPr="00E60EA6" w:rsidRDefault="0075415F" w:rsidP="001C6DDB">
            <w:pPr>
              <w:spacing w:before="20" w:after="20"/>
              <w:jc w:val="right"/>
              <w:rPr>
                <w:rFonts w:cs="Lucida Sans Unicode"/>
                <w:color w:val="000000"/>
              </w:rPr>
            </w:pPr>
            <w:r w:rsidRPr="00E60EA6">
              <w:rPr>
                <w:rFonts w:cs="Lucida Sans Unicode"/>
                <w:color w:val="000000"/>
              </w:rPr>
              <w:t>5.6%</w:t>
            </w:r>
          </w:p>
        </w:tc>
        <w:tc>
          <w:tcPr>
            <w:tcW w:w="2934" w:type="dxa"/>
            <w:tcBorders>
              <w:top w:val="single" w:sz="4" w:space="0" w:color="000000"/>
            </w:tcBorders>
            <w:shd w:val="clear" w:color="auto" w:fill="auto"/>
          </w:tcPr>
          <w:p w:rsidR="0075415F" w:rsidRPr="00E60EA6" w:rsidRDefault="0075415F" w:rsidP="001C6DDB">
            <w:pPr>
              <w:spacing w:before="20" w:after="20"/>
              <w:jc w:val="right"/>
              <w:rPr>
                <w:rFonts w:cs="Lucida Sans Unicode"/>
                <w:color w:val="000000"/>
              </w:rPr>
            </w:pPr>
            <w:r w:rsidRPr="00E60EA6">
              <w:rPr>
                <w:rFonts w:cs="Lucida Sans Unicode"/>
                <w:color w:val="000000"/>
              </w:rPr>
              <w:t>11.1%</w:t>
            </w:r>
          </w:p>
        </w:tc>
      </w:tr>
      <w:tr w:rsidR="0075415F" w:rsidRPr="00E60EA6" w:rsidTr="00E60EA6">
        <w:tc>
          <w:tcPr>
            <w:tcW w:w="2528" w:type="dxa"/>
            <w:shd w:val="clear" w:color="auto" w:fill="auto"/>
          </w:tcPr>
          <w:p w:rsidR="0075415F" w:rsidRPr="005167B1" w:rsidRDefault="0075415F" w:rsidP="001C6DDB">
            <w:pPr>
              <w:spacing w:before="20" w:after="20"/>
              <w:rPr>
                <w:rFonts w:cs="Lucida Sans Unicode"/>
                <w:color w:val="000000"/>
              </w:rPr>
            </w:pPr>
            <w:r w:rsidRPr="005167B1">
              <w:rPr>
                <w:rFonts w:cs="Lucida Sans Unicode"/>
                <w:color w:val="000000"/>
              </w:rPr>
              <w:t>Vacant Land</w:t>
            </w:r>
          </w:p>
        </w:tc>
        <w:tc>
          <w:tcPr>
            <w:tcW w:w="2934" w:type="dxa"/>
            <w:shd w:val="clear" w:color="auto" w:fill="auto"/>
          </w:tcPr>
          <w:p w:rsidR="0075415F" w:rsidRPr="00E60EA6" w:rsidRDefault="0075415F" w:rsidP="001C6DDB">
            <w:pPr>
              <w:spacing w:before="20" w:after="20"/>
              <w:jc w:val="right"/>
              <w:rPr>
                <w:rFonts w:cs="Lucida Sans Unicode"/>
                <w:color w:val="000000"/>
              </w:rPr>
            </w:pPr>
            <w:r w:rsidRPr="00E60EA6">
              <w:rPr>
                <w:rFonts w:cs="Lucida Sans Unicode"/>
                <w:color w:val="000000"/>
              </w:rPr>
              <w:t>12.7%</w:t>
            </w:r>
          </w:p>
        </w:tc>
        <w:tc>
          <w:tcPr>
            <w:tcW w:w="2934" w:type="dxa"/>
            <w:shd w:val="clear" w:color="auto" w:fill="auto"/>
          </w:tcPr>
          <w:p w:rsidR="0075415F" w:rsidRPr="00E60EA6" w:rsidRDefault="0075415F" w:rsidP="001C6DDB">
            <w:pPr>
              <w:spacing w:before="20" w:after="20"/>
              <w:jc w:val="right"/>
              <w:rPr>
                <w:rFonts w:cs="Lucida Sans Unicode"/>
                <w:color w:val="000000"/>
              </w:rPr>
            </w:pPr>
            <w:r w:rsidRPr="00E60EA6">
              <w:rPr>
                <w:rFonts w:cs="Lucida Sans Unicode"/>
                <w:color w:val="000000"/>
              </w:rPr>
              <w:t>19.0%</w:t>
            </w:r>
          </w:p>
        </w:tc>
      </w:tr>
      <w:tr w:rsidR="0075415F" w:rsidRPr="00E60EA6" w:rsidTr="00E60EA6">
        <w:tc>
          <w:tcPr>
            <w:tcW w:w="2528" w:type="dxa"/>
            <w:shd w:val="clear" w:color="auto" w:fill="auto"/>
          </w:tcPr>
          <w:p w:rsidR="0075415F" w:rsidRPr="005167B1" w:rsidRDefault="0075415F" w:rsidP="001C6DDB">
            <w:pPr>
              <w:spacing w:before="20" w:after="20"/>
              <w:rPr>
                <w:rFonts w:cs="Lucida Sans Unicode"/>
                <w:color w:val="000000"/>
              </w:rPr>
            </w:pPr>
            <w:r w:rsidRPr="005167B1">
              <w:rPr>
                <w:rFonts w:cs="Lucida Sans Unicode"/>
                <w:color w:val="000000"/>
              </w:rPr>
              <w:t>Commercial</w:t>
            </w:r>
          </w:p>
        </w:tc>
        <w:tc>
          <w:tcPr>
            <w:tcW w:w="2934" w:type="dxa"/>
            <w:shd w:val="clear" w:color="auto" w:fill="auto"/>
          </w:tcPr>
          <w:p w:rsidR="0075415F" w:rsidRPr="00E60EA6" w:rsidRDefault="0075415F" w:rsidP="001C6DDB">
            <w:pPr>
              <w:spacing w:before="20" w:after="20"/>
              <w:jc w:val="right"/>
              <w:rPr>
                <w:rFonts w:cs="Lucida Sans Unicode"/>
                <w:color w:val="000000"/>
              </w:rPr>
            </w:pPr>
            <w:r w:rsidRPr="00E60EA6">
              <w:rPr>
                <w:rFonts w:cs="Lucida Sans Unicode"/>
                <w:color w:val="000000"/>
              </w:rPr>
              <w:t>22.1%</w:t>
            </w:r>
          </w:p>
        </w:tc>
        <w:tc>
          <w:tcPr>
            <w:tcW w:w="2934" w:type="dxa"/>
            <w:shd w:val="clear" w:color="auto" w:fill="auto"/>
          </w:tcPr>
          <w:p w:rsidR="0075415F" w:rsidRPr="00E60EA6" w:rsidRDefault="0075415F" w:rsidP="001C6DDB">
            <w:pPr>
              <w:spacing w:before="20" w:after="20"/>
              <w:jc w:val="right"/>
              <w:rPr>
                <w:rFonts w:cs="Lucida Sans Unicode"/>
                <w:color w:val="000000"/>
              </w:rPr>
            </w:pPr>
            <w:r w:rsidRPr="00E60EA6">
              <w:rPr>
                <w:rFonts w:cs="Lucida Sans Unicode"/>
                <w:color w:val="000000"/>
              </w:rPr>
              <w:t>8.2%</w:t>
            </w:r>
          </w:p>
        </w:tc>
      </w:tr>
      <w:tr w:rsidR="0075415F" w:rsidRPr="00E60EA6" w:rsidTr="00E60EA6">
        <w:tc>
          <w:tcPr>
            <w:tcW w:w="2528" w:type="dxa"/>
            <w:shd w:val="clear" w:color="auto" w:fill="auto"/>
          </w:tcPr>
          <w:p w:rsidR="0075415F" w:rsidRPr="005167B1" w:rsidRDefault="0075415F" w:rsidP="001C6DDB">
            <w:pPr>
              <w:spacing w:before="20" w:after="20"/>
              <w:rPr>
                <w:rFonts w:cs="Lucida Sans Unicode"/>
                <w:color w:val="000000"/>
              </w:rPr>
            </w:pPr>
            <w:r w:rsidRPr="005167B1">
              <w:rPr>
                <w:rFonts w:cs="Lucida Sans Unicode"/>
                <w:color w:val="000000"/>
              </w:rPr>
              <w:t>Industrial</w:t>
            </w:r>
          </w:p>
        </w:tc>
        <w:tc>
          <w:tcPr>
            <w:tcW w:w="2934" w:type="dxa"/>
            <w:shd w:val="clear" w:color="auto" w:fill="auto"/>
          </w:tcPr>
          <w:p w:rsidR="0075415F" w:rsidRPr="00E60EA6" w:rsidRDefault="0075415F" w:rsidP="001C6DDB">
            <w:pPr>
              <w:spacing w:before="20" w:after="20"/>
              <w:jc w:val="right"/>
              <w:rPr>
                <w:rFonts w:cs="Lucida Sans Unicode"/>
                <w:color w:val="000000"/>
              </w:rPr>
            </w:pPr>
            <w:r w:rsidRPr="00E60EA6">
              <w:rPr>
                <w:rFonts w:cs="Lucida Sans Unicode"/>
                <w:color w:val="000000"/>
              </w:rPr>
              <w:t>27.2%</w:t>
            </w:r>
          </w:p>
        </w:tc>
        <w:tc>
          <w:tcPr>
            <w:tcW w:w="2934" w:type="dxa"/>
            <w:shd w:val="clear" w:color="auto" w:fill="auto"/>
          </w:tcPr>
          <w:p w:rsidR="0075415F" w:rsidRPr="00E60EA6" w:rsidRDefault="0075415F" w:rsidP="001C6DDB">
            <w:pPr>
              <w:spacing w:before="20" w:after="20"/>
              <w:jc w:val="right"/>
              <w:rPr>
                <w:rFonts w:cs="Lucida Sans Unicode"/>
                <w:color w:val="000000"/>
              </w:rPr>
            </w:pPr>
            <w:r w:rsidRPr="00E60EA6">
              <w:rPr>
                <w:rFonts w:cs="Lucida Sans Unicode"/>
                <w:color w:val="000000"/>
              </w:rPr>
              <w:t>12.3%</w:t>
            </w:r>
          </w:p>
        </w:tc>
      </w:tr>
      <w:tr w:rsidR="0075415F" w:rsidRPr="00E60EA6" w:rsidTr="00E60EA6">
        <w:tc>
          <w:tcPr>
            <w:tcW w:w="2528" w:type="dxa"/>
            <w:shd w:val="clear" w:color="auto" w:fill="auto"/>
          </w:tcPr>
          <w:p w:rsidR="0075415F" w:rsidRPr="005167B1" w:rsidRDefault="0075415F" w:rsidP="001C6DDB">
            <w:pPr>
              <w:spacing w:before="20" w:after="20"/>
              <w:rPr>
                <w:rFonts w:cs="Lucida Sans Unicode"/>
                <w:color w:val="000000"/>
              </w:rPr>
            </w:pPr>
            <w:r w:rsidRPr="005167B1">
              <w:rPr>
                <w:rFonts w:cs="Lucida Sans Unicode"/>
                <w:color w:val="000000"/>
              </w:rPr>
              <w:t>Farm</w:t>
            </w:r>
          </w:p>
        </w:tc>
        <w:tc>
          <w:tcPr>
            <w:tcW w:w="2934" w:type="dxa"/>
            <w:shd w:val="clear" w:color="auto" w:fill="auto"/>
          </w:tcPr>
          <w:p w:rsidR="0075415F" w:rsidRPr="00E60EA6" w:rsidRDefault="0075415F" w:rsidP="001C6DDB">
            <w:pPr>
              <w:spacing w:before="20" w:after="20"/>
              <w:jc w:val="right"/>
              <w:rPr>
                <w:rFonts w:cs="Lucida Sans Unicode"/>
                <w:color w:val="000000"/>
              </w:rPr>
            </w:pPr>
            <w:r w:rsidRPr="00E60EA6">
              <w:rPr>
                <w:rFonts w:cs="Lucida Sans Unicode"/>
                <w:color w:val="000000"/>
              </w:rPr>
              <w:t>15.2%</w:t>
            </w:r>
          </w:p>
        </w:tc>
        <w:tc>
          <w:tcPr>
            <w:tcW w:w="2934" w:type="dxa"/>
            <w:shd w:val="clear" w:color="auto" w:fill="auto"/>
          </w:tcPr>
          <w:p w:rsidR="0075415F" w:rsidRPr="00E60EA6" w:rsidRDefault="0075415F" w:rsidP="001C6DDB">
            <w:pPr>
              <w:spacing w:before="20" w:after="20"/>
              <w:jc w:val="right"/>
              <w:rPr>
                <w:rFonts w:cs="Lucida Sans Unicode"/>
                <w:color w:val="000000"/>
              </w:rPr>
            </w:pPr>
            <w:r w:rsidRPr="00E60EA6">
              <w:rPr>
                <w:rFonts w:cs="Lucida Sans Unicode"/>
                <w:color w:val="000000"/>
              </w:rPr>
              <w:t>22.1%</w:t>
            </w:r>
          </w:p>
        </w:tc>
      </w:tr>
    </w:tbl>
    <w:p w:rsidR="0075415F" w:rsidRPr="00E60EA6" w:rsidRDefault="0075415F" w:rsidP="0075415F">
      <w:pPr>
        <w:spacing w:before="20" w:after="20"/>
        <w:rPr>
          <w:rFonts w:cs="Arial"/>
          <w:color w:val="000000"/>
        </w:rPr>
      </w:pPr>
    </w:p>
    <w:p w:rsidR="0075415F" w:rsidRPr="0098189D" w:rsidRDefault="0075415F" w:rsidP="00D43F06">
      <w:pPr>
        <w:pStyle w:val="Heading5A"/>
      </w:pPr>
      <w:bookmarkStart w:id="512" w:name="_Toc260749416"/>
      <w:bookmarkStart w:id="513" w:name="_Toc290471821"/>
      <w:r w:rsidRPr="0098189D">
        <w:t>Rating Reviews</w:t>
      </w:r>
      <w:bookmarkEnd w:id="512"/>
      <w:bookmarkEnd w:id="513"/>
    </w:p>
    <w:p w:rsidR="0075415F" w:rsidRPr="0098189D" w:rsidRDefault="0075415F">
      <w:pPr>
        <w:pStyle w:val="BodyText"/>
      </w:pPr>
      <w:r w:rsidRPr="0098189D">
        <w:t xml:space="preserve">During the year </w:t>
      </w:r>
      <w:r w:rsidR="00132FCB">
        <w:t>Council</w:t>
      </w:r>
      <w:r w:rsidR="00284F98" w:rsidRPr="0098189D">
        <w:t xml:space="preserve"> </w:t>
      </w:r>
      <w:r w:rsidRPr="0098189D">
        <w:t xml:space="preserve">reviewed all properties under the Mixed Use rating category to ensure that they complied with the definition by having the characteristics of both residential and commercial or industrial land use. </w:t>
      </w:r>
      <w:r w:rsidR="00132FCB">
        <w:t>Council</w:t>
      </w:r>
      <w:r w:rsidR="00284F98" w:rsidRPr="0098189D">
        <w:t xml:space="preserve"> </w:t>
      </w:r>
      <w:r w:rsidRPr="0098189D">
        <w:t xml:space="preserve">will extend the application of the Mixed Use rate where properties can be identified through referring to food and health permits for business applications and where properties provide short term accommodation. The Mixed Use differential allows </w:t>
      </w:r>
      <w:r w:rsidR="00132FCB">
        <w:t>Council</w:t>
      </w:r>
      <w:r w:rsidR="00284F98" w:rsidRPr="0098189D">
        <w:t xml:space="preserve"> </w:t>
      </w:r>
      <w:r w:rsidRPr="0098189D">
        <w:t xml:space="preserve">to provide a lower rate than commercial where there is residential use of a property with commercial activity. Where </w:t>
      </w:r>
      <w:r w:rsidRPr="0098189D">
        <w:lastRenderedPageBreak/>
        <w:t>the land use is predominantly commercial, a commercial rate differential will be applied.</w:t>
      </w:r>
    </w:p>
    <w:p w:rsidR="0075415F" w:rsidRPr="0098189D" w:rsidRDefault="0075415F">
      <w:pPr>
        <w:pStyle w:val="BodyText"/>
      </w:pPr>
      <w:r w:rsidRPr="0098189D">
        <w:t xml:space="preserve">To maintain consistency and comply with the Local Government Act all housing provided by Housing Associations, charitable or government organisations is rateable. </w:t>
      </w:r>
    </w:p>
    <w:p w:rsidR="00F462EA" w:rsidRDefault="0075415F">
      <w:pPr>
        <w:pStyle w:val="BodyText"/>
      </w:pPr>
      <w:r w:rsidRPr="0098189D">
        <w:t xml:space="preserve">During 2010 the Local Government Act was amended to allow rebates in support of affordable housing by registered agencies. </w:t>
      </w:r>
      <w:r w:rsidR="00132FCB">
        <w:t>Council</w:t>
      </w:r>
      <w:r w:rsidR="00284F98" w:rsidRPr="0098189D">
        <w:t xml:space="preserve"> </w:t>
      </w:r>
      <w:r w:rsidRPr="0098189D">
        <w:t xml:space="preserve">did not propose to grant any rebates to providers of affordable housing. </w:t>
      </w:r>
      <w:r w:rsidR="00132FCB">
        <w:t>Council</w:t>
      </w:r>
      <w:r w:rsidR="00284F98" w:rsidRPr="0098189D">
        <w:t xml:space="preserve"> </w:t>
      </w:r>
      <w:r w:rsidRPr="0098189D">
        <w:t xml:space="preserve">has over 3,380 houses provided by the Office of Housing and over 334 homes provided by registered Housing Associations. Assistance for low income households is already provided through the State Government pension rebate and the means tested rent provided by the Department of Housing and the Housing associations. </w:t>
      </w:r>
      <w:r w:rsidR="00132FCB">
        <w:t>Council</w:t>
      </w:r>
      <w:r w:rsidR="00284F98" w:rsidRPr="0098189D">
        <w:t xml:space="preserve"> </w:t>
      </w:r>
      <w:r w:rsidRPr="0098189D">
        <w:t>did not provide a further rebate for low income households.</w:t>
      </w:r>
    </w:p>
    <w:p w:rsidR="00F462EA" w:rsidRDefault="00132FCB">
      <w:pPr>
        <w:pStyle w:val="BodyText"/>
      </w:pPr>
      <w:r>
        <w:t>Council</w:t>
      </w:r>
      <w:r w:rsidR="00284F98" w:rsidRPr="0098189D">
        <w:t xml:space="preserve"> </w:t>
      </w:r>
      <w:r w:rsidR="0075415F" w:rsidRPr="0098189D">
        <w:t xml:space="preserve">reviewed the definition of Farm Land, removing the outdated reference to the </w:t>
      </w:r>
      <w:smartTag w:uri="urn:schemas-microsoft-com:office:smarttags" w:element="stockticker">
        <w:r w:rsidR="0075415F" w:rsidRPr="0098189D">
          <w:t>ATO</w:t>
        </w:r>
      </w:smartTag>
      <w:r w:rsidR="0075415F" w:rsidRPr="0098189D">
        <w:t xml:space="preserve"> certification, and including reference to a sustainable business to ensure that the Farm differential and Farm rebate are directed to encourage broad acre farming.</w:t>
      </w:r>
    </w:p>
    <w:p w:rsidR="00F462EA" w:rsidRDefault="0075415F">
      <w:pPr>
        <w:pStyle w:val="BodyText"/>
      </w:pPr>
      <w:r w:rsidRPr="0098189D">
        <w:t>Council endorsed the following changes:</w:t>
      </w:r>
    </w:p>
    <w:p w:rsidR="00F462EA" w:rsidRDefault="0075415F" w:rsidP="005167B1">
      <w:pPr>
        <w:pStyle w:val="Numbering"/>
      </w:pPr>
      <w:r w:rsidRPr="0098189D">
        <w:t>Average residential rates and charges (including Municipal Charge and Waste Service Charge) increased by 4.9%.</w:t>
      </w:r>
    </w:p>
    <w:p w:rsidR="00F462EA" w:rsidRDefault="0075415F">
      <w:pPr>
        <w:pStyle w:val="Numbering"/>
      </w:pPr>
      <w:r w:rsidRPr="0098189D">
        <w:t>The Waste Collection Service charge is calculated based on a fee for service, including direct, indirect and overhead costs. The charge is impacted by the increase in the EPA levy on waste to landfill. The charge for 2010-</w:t>
      </w:r>
      <w:r w:rsidR="00AA06D8">
        <w:t>11</w:t>
      </w:r>
      <w:r w:rsidR="00AA06D8" w:rsidRPr="0098189D">
        <w:t xml:space="preserve"> </w:t>
      </w:r>
      <w:r w:rsidRPr="0098189D">
        <w:t>increased from $190.80 to $199.00 or 4.3%.</w:t>
      </w:r>
    </w:p>
    <w:p w:rsidR="00F462EA" w:rsidRDefault="0075415F">
      <w:pPr>
        <w:pStyle w:val="Numbering"/>
      </w:pPr>
      <w:r w:rsidRPr="0098189D">
        <w:t>The municipal charge represents a fee on all rateable assessments as a contribution to the fixed and unavoidable costs of governance. The municipal charge increased from $78.50 to $82.30.</w:t>
      </w:r>
    </w:p>
    <w:p w:rsidR="00F462EA" w:rsidRDefault="0075415F">
      <w:pPr>
        <w:pStyle w:val="Numbering"/>
      </w:pPr>
      <w:r w:rsidRPr="0098189D">
        <w:t xml:space="preserve">The pensioner concession increased from $184.30 to $187.60 or 1.8% which is the movement in </w:t>
      </w:r>
      <w:smartTag w:uri="urn:schemas-microsoft-com:office:smarttags" w:element="stockticker">
        <w:r w:rsidRPr="0098189D">
          <w:t>CPI</w:t>
        </w:r>
      </w:smartTag>
      <w:r w:rsidRPr="0098189D">
        <w:t xml:space="preserve"> for Melbourne as advised by the Australian Bureau of Statistics. </w:t>
      </w:r>
    </w:p>
    <w:p w:rsidR="00F462EA" w:rsidRDefault="0075415F">
      <w:pPr>
        <w:pStyle w:val="Numbering"/>
      </w:pPr>
      <w:r w:rsidRPr="0098189D">
        <w:t>The Vacant Land ratio to Residential was increased from 135% to 138% to encourage the development of Vacant Land. With the growth in the number of vacant lots to 5,460, the average rate increase per lot was 4.7%.</w:t>
      </w:r>
    </w:p>
    <w:p w:rsidR="00F462EA" w:rsidRDefault="0075415F">
      <w:pPr>
        <w:pStyle w:val="Numbering"/>
      </w:pPr>
      <w:r w:rsidRPr="0098189D">
        <w:t>Automobile and Aluminium rate in dollar were retained as the highest rate or four times Residential Rate. The reduction in valuation resulted in a reduction in rates from these properties of ($11,965) and ($143,608) respectively.</w:t>
      </w:r>
    </w:p>
    <w:p w:rsidR="00F462EA" w:rsidRDefault="0075415F">
      <w:pPr>
        <w:pStyle w:val="Numbering"/>
      </w:pPr>
      <w:r w:rsidRPr="0098189D">
        <w:t xml:space="preserve">Petroleum rate was affected by a significant reduction in valuation of 29.4%. A reduction in rates of ($100,586) or 3.4% is a consequence of this valuation </w:t>
      </w:r>
      <w:r w:rsidRPr="0098189D">
        <w:lastRenderedPageBreak/>
        <w:t>movement.</w:t>
      </w:r>
    </w:p>
    <w:p w:rsidR="00F462EA" w:rsidRDefault="0075415F">
      <w:pPr>
        <w:pStyle w:val="Numbering"/>
      </w:pPr>
      <w:r w:rsidRPr="0098189D">
        <w:t xml:space="preserve">Farm rate was once again set as per the Residential rate. The Farm Rebate was applicable to all Farm land and was increased from 45% to 46.5% in response to the average 22.1% increase in Farm valuations. The farm rebate applied to encourage the retention of broad acre farming. Farm land use definition was updated to include a requirement to be a sustainable business to ensure the rebate was directed to operating farms. </w:t>
      </w:r>
    </w:p>
    <w:p w:rsidR="0075415F" w:rsidRPr="0098189D" w:rsidRDefault="0075415F" w:rsidP="00D43F06">
      <w:pPr>
        <w:pStyle w:val="Heading5A"/>
      </w:pPr>
      <w:bookmarkStart w:id="514" w:name="_Toc260749418"/>
      <w:bookmarkStart w:id="515" w:name="_Toc290471823"/>
      <w:r w:rsidRPr="0098189D">
        <w:t>Rates Assistance</w:t>
      </w:r>
      <w:bookmarkEnd w:id="514"/>
      <w:bookmarkEnd w:id="515"/>
    </w:p>
    <w:p w:rsidR="0075415F" w:rsidRPr="0098189D" w:rsidRDefault="0075415F">
      <w:pPr>
        <w:pStyle w:val="BodyText"/>
      </w:pPr>
      <w:r w:rsidRPr="0098189D">
        <w:t>The rate relief provisions will continue to allow for the continuation of a one</w:t>
      </w:r>
      <w:r w:rsidRPr="0098189D">
        <w:noBreakHyphen/>
        <w:t>off waiver for residential and farm properties where the valuation has exceeded reasonable expectations and is purely the result of market factors, not the result of improvements to property by the owner.</w:t>
      </w:r>
    </w:p>
    <w:p w:rsidR="0075415F" w:rsidRPr="0098189D" w:rsidRDefault="0075415F">
      <w:pPr>
        <w:pStyle w:val="BodyText"/>
      </w:pPr>
      <w:r w:rsidRPr="0098189D">
        <w:t>Based on current valuations, there are a possible 1,621 residential properties where there has been an increase of over 50% in valuation. A 50% waiver on all these properties would equate to $369,000 in waiver. The criteria for the waiver includes an income level test and a requirement that there has been no building works or other alterations to the property requiring a building permit in the past two years. There is a phase-in of the waiver between 50% and 60% valuation increase.</w:t>
      </w:r>
    </w:p>
    <w:p w:rsidR="00F462EA" w:rsidRDefault="0075415F">
      <w:pPr>
        <w:pStyle w:val="BodyText"/>
      </w:pPr>
      <w:r w:rsidRPr="0098189D">
        <w:t xml:space="preserve">The MAV Report on Capacity of Residential Households to Pay Rates identifies that the average Victorian household spends 2.25% of their expenditure on </w:t>
      </w:r>
      <w:r w:rsidR="00132FCB">
        <w:t>C</w:t>
      </w:r>
      <w:r w:rsidR="00284F98" w:rsidRPr="0098189D">
        <w:t xml:space="preserve">ouncil </w:t>
      </w:r>
      <w:r w:rsidRPr="0098189D">
        <w:t xml:space="preserve">rates. The report also profiles the type of households likely to suffer a higher than average rate burden, confirming old age pensioners as where </w:t>
      </w:r>
      <w:r w:rsidR="00132FCB">
        <w:t xml:space="preserve">Council </w:t>
      </w:r>
      <w:r w:rsidRPr="0098189D">
        <w:t>must continue to provide rates assistance measures.</w:t>
      </w:r>
    </w:p>
    <w:p w:rsidR="0075415F" w:rsidRPr="00BA4451" w:rsidRDefault="0075415F">
      <w:pPr>
        <w:pStyle w:val="Heading4A"/>
      </w:pPr>
      <w:bookmarkStart w:id="516" w:name="_Toc355947718"/>
      <w:bookmarkStart w:id="517" w:name="_Toc356202558"/>
      <w:bookmarkStart w:id="518" w:name="_Toc356202891"/>
      <w:r w:rsidRPr="00BA4451">
        <w:t>2011-</w:t>
      </w:r>
      <w:bookmarkEnd w:id="516"/>
      <w:bookmarkEnd w:id="517"/>
      <w:bookmarkEnd w:id="518"/>
      <w:r w:rsidR="009B21E0">
        <w:t>12</w:t>
      </w:r>
    </w:p>
    <w:p w:rsidR="0075415F" w:rsidRPr="000D3DC8" w:rsidRDefault="0075415F" w:rsidP="001A1FFB">
      <w:pPr>
        <w:pStyle w:val="Heading5A"/>
      </w:pPr>
      <w:r w:rsidRPr="000D3DC8">
        <w:t>Rate Structure</w:t>
      </w:r>
    </w:p>
    <w:p w:rsidR="0075415F" w:rsidRPr="0098189D" w:rsidRDefault="0075415F">
      <w:pPr>
        <w:pStyle w:val="BodyText"/>
      </w:pPr>
      <w:r w:rsidRPr="0098189D">
        <w:t>In 2011-</w:t>
      </w:r>
      <w:r w:rsidR="00AA06D8">
        <w:t>12</w:t>
      </w:r>
      <w:r w:rsidR="00AA06D8" w:rsidRPr="0098189D">
        <w:t xml:space="preserve"> </w:t>
      </w:r>
      <w:r w:rsidRPr="0098189D">
        <w:t>Council decided to introduce three new differentials for the unique environmentally sensitive urban development land at “The Point”, Point Lonsdale. These rates were set at the same level as the similar land use for 2011-</w:t>
      </w:r>
      <w:r w:rsidR="00AA06D8">
        <w:t>12</w:t>
      </w:r>
      <w:r w:rsidRPr="0098189D">
        <w:t>, however in future years will contribute to the costs of managing the environmentally sensitive land.</w:t>
      </w:r>
    </w:p>
    <w:p w:rsidR="0075415F" w:rsidRPr="0098189D" w:rsidRDefault="0075415F">
      <w:pPr>
        <w:pStyle w:val="BodyText"/>
      </w:pPr>
      <w:r w:rsidRPr="0098189D">
        <w:t>A review of the rating status of housing provided for social, community or charitable purposes highlighted some inconsistencies. In 2011-</w:t>
      </w:r>
      <w:r w:rsidR="00AA06D8">
        <w:t>12</w:t>
      </w:r>
      <w:r w:rsidR="00AA06D8" w:rsidRPr="0098189D">
        <w:t xml:space="preserve"> </w:t>
      </w:r>
      <w:r w:rsidRPr="0098189D">
        <w:t xml:space="preserve">all housing provided by Housing Associations, charitable or government organisations was rated in accordance with legal precedent and the Local Government Act. </w:t>
      </w:r>
    </w:p>
    <w:p w:rsidR="00F462EA" w:rsidRDefault="0075415F">
      <w:pPr>
        <w:pStyle w:val="BodyText"/>
      </w:pPr>
      <w:r w:rsidRPr="0098189D">
        <w:t xml:space="preserve">A Housing Support rebate was provided on application for Transitional, Crisis or Emergency housing provided by charitable organisations. The rebate was also provided on application for housing provided by Geelong Legacy Club or the RSL and housing provided by charitable organisations to support disabled people. Rebates were for </w:t>
      </w:r>
      <w:r w:rsidRPr="0098189D">
        <w:lastRenderedPageBreak/>
        <w:t xml:space="preserve">100% of general rates and the municipal charge. </w:t>
      </w:r>
    </w:p>
    <w:p w:rsidR="00F462EA" w:rsidRDefault="0075415F">
      <w:pPr>
        <w:pStyle w:val="BodyText"/>
      </w:pPr>
      <w:r w:rsidRPr="0098189D">
        <w:t>A Transitional rebate of 100% of general rates and municipal charges was provided in 2011-</w:t>
      </w:r>
      <w:r w:rsidR="00AA06D8">
        <w:t>12</w:t>
      </w:r>
      <w:r w:rsidR="00AA06D8" w:rsidRPr="0098189D">
        <w:t xml:space="preserve"> </w:t>
      </w:r>
      <w:r w:rsidRPr="0098189D">
        <w:t xml:space="preserve">for nominated charitable housing properties that have previously not been rated to allow for a consultation period and transition plan to be developed (refer page </w:t>
      </w:r>
      <w:r w:rsidR="00CA263C">
        <w:fldChar w:fldCharType="begin"/>
      </w:r>
      <w:r>
        <w:instrText xml:space="preserve"> PAGEREF RatesAssistanceMeasures \h </w:instrText>
      </w:r>
      <w:r w:rsidR="00CA263C">
        <w:fldChar w:fldCharType="separate"/>
      </w:r>
      <w:r w:rsidR="00A35936">
        <w:t>56</w:t>
      </w:r>
      <w:r w:rsidR="00CA263C">
        <w:fldChar w:fldCharType="end"/>
      </w:r>
      <w:r w:rsidRPr="0098189D">
        <w:t>). This rebate benefits the community by allowing a smooth transition in the rating of these properties.</w:t>
      </w:r>
    </w:p>
    <w:p w:rsidR="00F462EA" w:rsidRDefault="0075415F">
      <w:pPr>
        <w:pStyle w:val="BodyText"/>
      </w:pPr>
      <w:r w:rsidRPr="0098189D">
        <w:t>Assistance for low income households is already provided through the State Government pension rebate and the means tested rent provided by the Department of Housing and the Housing Associations.</w:t>
      </w:r>
    </w:p>
    <w:p w:rsidR="00F462EA" w:rsidRDefault="0075415F">
      <w:pPr>
        <w:pStyle w:val="BodyText"/>
      </w:pPr>
      <w:r w:rsidRPr="0098189D">
        <w:t>Other changes proposed for 2011-</w:t>
      </w:r>
      <w:r w:rsidR="00AA06D8">
        <w:t>12</w:t>
      </w:r>
      <w:r w:rsidR="00AA06D8" w:rsidRPr="0098189D">
        <w:t xml:space="preserve"> </w:t>
      </w:r>
      <w:r w:rsidRPr="0098189D">
        <w:t>were:</w:t>
      </w:r>
    </w:p>
    <w:p w:rsidR="00A23966" w:rsidRPr="00132FCB" w:rsidRDefault="0075415F" w:rsidP="005167B1">
      <w:pPr>
        <w:pStyle w:val="ListParagraph"/>
        <w:numPr>
          <w:ilvl w:val="0"/>
          <w:numId w:val="43"/>
        </w:numPr>
        <w:spacing w:after="80"/>
        <w:ind w:left="357" w:hanging="357"/>
        <w:jc w:val="both"/>
      </w:pPr>
      <w:r w:rsidRPr="005A2AD5">
        <w:rPr>
          <w:rFonts w:cs="Lucida Sans Unicode"/>
          <w:szCs w:val="22"/>
        </w:rPr>
        <w:t xml:space="preserve">Rates and charges for an average residential property (including Municipal Charge and Waste Service Charge) increased by 4.9%. </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The rates in the dollar for Vacant Land, Commercial, Industrial, Farm, Mixed Use and Late Licence rate types were increased by 4.9%.</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Petroleum rate has was increased by 4.9%.</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Automobile and Aluminium rate in dollar were reduced to the same rate in the dollar as Petroleum rate reflecting a reduction from the highest rate and recognising some similarities with other major industrial facilities. This resulted in a 0.4% increase in rates for these properties.</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The Waste Collection Service charge was impacted by the increase in the EPA levy of $44 per tonne on waste going to landfill, and the provision of a new unwanted household goods projects and information service. The charge for 2011-</w:t>
      </w:r>
      <w:r w:rsidR="00AA06D8" w:rsidRPr="005167B1">
        <w:rPr>
          <w:rFonts w:cs="Lucida Sans Unicode"/>
          <w:szCs w:val="22"/>
        </w:rPr>
        <w:t xml:space="preserve">12 </w:t>
      </w:r>
      <w:r w:rsidRPr="005167B1">
        <w:rPr>
          <w:rFonts w:cs="Lucida Sans Unicode"/>
          <w:szCs w:val="22"/>
        </w:rPr>
        <w:t>increased from $199.00 to $213.20 or 7.1%.</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The municipal charge was held at $82.30, the same level as 2010-</w:t>
      </w:r>
      <w:r w:rsidR="00AA06D8" w:rsidRPr="005167B1">
        <w:rPr>
          <w:rFonts w:cs="Lucida Sans Unicode"/>
          <w:szCs w:val="22"/>
        </w:rPr>
        <w:t>11</w:t>
      </w:r>
      <w:r w:rsidRPr="005167B1">
        <w:rPr>
          <w:rFonts w:cs="Lucida Sans Unicode"/>
          <w:szCs w:val="22"/>
        </w:rPr>
        <w:t>.</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The Farm rebate remained at 46.5%.  This rebate provides ongoing rate relief to farmers (33% rebate 2006-</w:t>
      </w:r>
      <w:r w:rsidR="00AA06D8" w:rsidRPr="005167B1">
        <w:rPr>
          <w:rFonts w:cs="Lucida Sans Unicode"/>
          <w:szCs w:val="22"/>
        </w:rPr>
        <w:t>07</w:t>
      </w:r>
      <w:r w:rsidRPr="005167B1">
        <w:rPr>
          <w:rFonts w:cs="Lucida Sans Unicode"/>
          <w:szCs w:val="22"/>
        </w:rPr>
        <w:t>, 40% rebate 2007-</w:t>
      </w:r>
      <w:r w:rsidR="00AA06D8" w:rsidRPr="005167B1">
        <w:rPr>
          <w:rFonts w:cs="Lucida Sans Unicode"/>
          <w:szCs w:val="22"/>
        </w:rPr>
        <w:t>08</w:t>
      </w:r>
      <w:r w:rsidRPr="005167B1">
        <w:rPr>
          <w:rFonts w:cs="Lucida Sans Unicode"/>
          <w:szCs w:val="22"/>
        </w:rPr>
        <w:t>, 45% for 2008-</w:t>
      </w:r>
      <w:r w:rsidR="00AA06D8" w:rsidRPr="005167B1">
        <w:rPr>
          <w:rFonts w:cs="Lucida Sans Unicode"/>
          <w:szCs w:val="22"/>
        </w:rPr>
        <w:t>09</w:t>
      </w:r>
      <w:r w:rsidRPr="005167B1">
        <w:rPr>
          <w:rFonts w:cs="Lucida Sans Unicode"/>
          <w:szCs w:val="22"/>
        </w:rPr>
        <w:t>, 45% for 2009-</w:t>
      </w:r>
      <w:r w:rsidR="00AA06D8" w:rsidRPr="005167B1">
        <w:rPr>
          <w:rFonts w:cs="Lucida Sans Unicode"/>
          <w:szCs w:val="22"/>
        </w:rPr>
        <w:t>10</w:t>
      </w:r>
      <w:r w:rsidRPr="005167B1">
        <w:rPr>
          <w:rFonts w:cs="Lucida Sans Unicode"/>
          <w:szCs w:val="22"/>
        </w:rPr>
        <w:t>, 46.5% for 2010-</w:t>
      </w:r>
      <w:r w:rsidR="00AA06D8" w:rsidRPr="005167B1">
        <w:rPr>
          <w:rFonts w:cs="Lucida Sans Unicode"/>
          <w:szCs w:val="22"/>
        </w:rPr>
        <w:t>11</w:t>
      </w:r>
      <w:r w:rsidRPr="005167B1">
        <w:rPr>
          <w:rFonts w:cs="Lucida Sans Unicode"/>
          <w:szCs w:val="22"/>
        </w:rPr>
        <w:t>). In 2011</w:t>
      </w:r>
      <w:r w:rsidRPr="005167B1">
        <w:rPr>
          <w:rFonts w:cs="Lucida Sans Unicode"/>
          <w:szCs w:val="22"/>
        </w:rPr>
        <w:noBreakHyphen/>
      </w:r>
      <w:r w:rsidR="00AA06D8" w:rsidRPr="005167B1">
        <w:rPr>
          <w:rFonts w:cs="Lucida Sans Unicode"/>
          <w:szCs w:val="22"/>
        </w:rPr>
        <w:t xml:space="preserve">12 </w:t>
      </w:r>
      <w:r w:rsidRPr="005167B1">
        <w:rPr>
          <w:rFonts w:cs="Lucida Sans Unicode"/>
          <w:szCs w:val="22"/>
        </w:rPr>
        <w:t>a 46.5% rebate represented $2.3M.</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 xml:space="preserve">The pensioner concession increased from $187.60 to $193.40 which is the movement in </w:t>
      </w:r>
      <w:smartTag w:uri="urn:schemas-microsoft-com:office:smarttags" w:element="stockticker">
        <w:r w:rsidRPr="005167B1">
          <w:rPr>
            <w:rFonts w:cs="Lucida Sans Unicode"/>
            <w:szCs w:val="22"/>
          </w:rPr>
          <w:t>CPI</w:t>
        </w:r>
      </w:smartTag>
      <w:r w:rsidRPr="005167B1">
        <w:rPr>
          <w:rFonts w:cs="Lucida Sans Unicode"/>
          <w:szCs w:val="22"/>
        </w:rPr>
        <w:t xml:space="preserve"> for Melbourne as advised by the Australian Bureau of Statistics.</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The rate waiver provisions are retained for year 2 of 2010 valuation.</w:t>
      </w:r>
    </w:p>
    <w:p w:rsidR="00054725" w:rsidRDefault="00054725">
      <w:pPr>
        <w:spacing w:after="0"/>
        <w:rPr>
          <w:rFonts w:ascii="News Gothic Std" w:hAnsi="News Gothic Std"/>
          <w:lang w:val="en-US"/>
        </w:rPr>
      </w:pPr>
    </w:p>
    <w:p w:rsidR="0075415F" w:rsidRPr="0098189D" w:rsidRDefault="0075415F" w:rsidP="00D43F06">
      <w:pPr>
        <w:pStyle w:val="Heading5A"/>
      </w:pPr>
      <w:r w:rsidRPr="0098189D">
        <w:t>Residential Rates Increases</w:t>
      </w:r>
    </w:p>
    <w:p w:rsidR="0075415F" w:rsidRPr="0098189D" w:rsidRDefault="0075415F">
      <w:pPr>
        <w:pStyle w:val="BodyText"/>
      </w:pPr>
      <w:r w:rsidRPr="0098189D">
        <w:t>The total increase in rates and charges for a property with the average capital improved value of $328,762 was $55.40 or 4.9%. This increase was made up of $41.20 for General Rates, and $14.20 for the Waste Collection service.</w:t>
      </w:r>
    </w:p>
    <w:tbl>
      <w:tblPr>
        <w:tblW w:w="0" w:type="auto"/>
        <w:tblLook w:val="01E0" w:firstRow="1" w:lastRow="1" w:firstColumn="1" w:lastColumn="1" w:noHBand="0" w:noVBand="0"/>
      </w:tblPr>
      <w:tblGrid>
        <w:gridCol w:w="3537"/>
        <w:gridCol w:w="2838"/>
        <w:gridCol w:w="2839"/>
      </w:tblGrid>
      <w:tr w:rsidR="0075415F" w:rsidRPr="00E60EA6" w:rsidTr="00E60EA6">
        <w:tc>
          <w:tcPr>
            <w:tcW w:w="3794" w:type="dxa"/>
            <w:tcBorders>
              <w:top w:val="single" w:sz="4" w:space="0" w:color="000000"/>
              <w:bottom w:val="single" w:sz="4" w:space="0" w:color="000000"/>
            </w:tcBorders>
            <w:shd w:val="clear" w:color="auto" w:fill="auto"/>
            <w:vAlign w:val="bottom"/>
          </w:tcPr>
          <w:p w:rsidR="0075415F" w:rsidRPr="001A5D13" w:rsidRDefault="0075415F" w:rsidP="001C2457">
            <w:pPr>
              <w:spacing w:before="0" w:after="0"/>
              <w:rPr>
                <w:rFonts w:ascii="News Gothic Std" w:hAnsi="News Gothic Std" w:cs="Arial"/>
                <w:color w:val="0070C0"/>
                <w:sz w:val="18"/>
                <w:szCs w:val="18"/>
              </w:rPr>
            </w:pPr>
            <w:r w:rsidRPr="001A5D13">
              <w:rPr>
                <w:rFonts w:ascii="News Gothic Std" w:hAnsi="News Gothic Std" w:cs="Arial"/>
                <w:color w:val="0070C0"/>
                <w:sz w:val="18"/>
                <w:szCs w:val="18"/>
              </w:rPr>
              <w:lastRenderedPageBreak/>
              <w:t>Residential Properties</w:t>
            </w:r>
          </w:p>
        </w:tc>
        <w:tc>
          <w:tcPr>
            <w:tcW w:w="3030" w:type="dxa"/>
            <w:tcBorders>
              <w:top w:val="single" w:sz="4" w:space="0" w:color="000000"/>
              <w:bottom w:val="single" w:sz="4" w:space="0" w:color="000000"/>
            </w:tcBorders>
            <w:shd w:val="clear" w:color="auto" w:fill="auto"/>
            <w:vAlign w:val="bottom"/>
          </w:tcPr>
          <w:p w:rsidR="00624E87" w:rsidRPr="001A5D13" w:rsidRDefault="0075415F">
            <w:pPr>
              <w:spacing w:before="0" w:after="0"/>
              <w:jc w:val="right"/>
              <w:rPr>
                <w:rFonts w:ascii="News Gothic Std" w:hAnsi="News Gothic Std" w:cs="Arial"/>
                <w:color w:val="0070C0"/>
                <w:sz w:val="18"/>
                <w:szCs w:val="18"/>
              </w:rPr>
            </w:pPr>
            <w:r w:rsidRPr="001A5D13">
              <w:rPr>
                <w:rFonts w:ascii="News Gothic Std" w:hAnsi="News Gothic Std" w:cs="Arial"/>
                <w:color w:val="0070C0"/>
                <w:sz w:val="18"/>
                <w:szCs w:val="18"/>
              </w:rPr>
              <w:t xml:space="preserve">2010-11 </w:t>
            </w:r>
            <w:r w:rsidRPr="001A5D13">
              <w:rPr>
                <w:rFonts w:ascii="News Gothic Std" w:hAnsi="News Gothic Std" w:cs="Arial"/>
                <w:color w:val="0070C0"/>
                <w:sz w:val="18"/>
                <w:szCs w:val="18"/>
              </w:rPr>
              <w:br/>
              <w:t>Rates on Av CIV $</w:t>
            </w:r>
          </w:p>
        </w:tc>
        <w:tc>
          <w:tcPr>
            <w:tcW w:w="3031" w:type="dxa"/>
            <w:tcBorders>
              <w:top w:val="single" w:sz="4" w:space="0" w:color="000000"/>
              <w:bottom w:val="single" w:sz="4" w:space="0" w:color="000000"/>
            </w:tcBorders>
            <w:shd w:val="clear" w:color="auto" w:fill="auto"/>
            <w:vAlign w:val="bottom"/>
          </w:tcPr>
          <w:p w:rsidR="00624E87" w:rsidRPr="001A5D13" w:rsidRDefault="0075415F">
            <w:pPr>
              <w:spacing w:before="0" w:after="0"/>
              <w:jc w:val="right"/>
              <w:rPr>
                <w:rFonts w:ascii="News Gothic Std" w:hAnsi="News Gothic Std" w:cs="Arial"/>
                <w:color w:val="0070C0"/>
                <w:sz w:val="18"/>
                <w:szCs w:val="18"/>
              </w:rPr>
            </w:pPr>
            <w:r w:rsidRPr="001A5D13">
              <w:rPr>
                <w:rFonts w:ascii="News Gothic Std" w:hAnsi="News Gothic Std" w:cs="Arial"/>
                <w:color w:val="0070C0"/>
                <w:sz w:val="18"/>
                <w:szCs w:val="18"/>
              </w:rPr>
              <w:t xml:space="preserve">2011-12 </w:t>
            </w:r>
            <w:r w:rsidRPr="001A5D13">
              <w:rPr>
                <w:rFonts w:ascii="News Gothic Std" w:hAnsi="News Gothic Std" w:cs="Arial"/>
                <w:color w:val="0070C0"/>
                <w:sz w:val="18"/>
                <w:szCs w:val="18"/>
              </w:rPr>
              <w:br/>
              <w:t>Rates on Av CIV $</w:t>
            </w:r>
          </w:p>
        </w:tc>
      </w:tr>
      <w:tr w:rsidR="0075415F" w:rsidRPr="00E60EA6" w:rsidTr="00E60EA6">
        <w:tc>
          <w:tcPr>
            <w:tcW w:w="3794" w:type="dxa"/>
            <w:tcBorders>
              <w:top w:val="single" w:sz="4" w:space="0" w:color="000000"/>
            </w:tcBorders>
            <w:shd w:val="clear" w:color="auto" w:fill="auto"/>
          </w:tcPr>
          <w:p w:rsidR="0075415F" w:rsidRPr="00E60EA6" w:rsidRDefault="0075415F" w:rsidP="001C2457">
            <w:pPr>
              <w:spacing w:before="0" w:after="0"/>
              <w:jc w:val="both"/>
              <w:rPr>
                <w:rFonts w:cs="Lucida Sans Unicode"/>
                <w:color w:val="000000"/>
                <w:sz w:val="18"/>
                <w:szCs w:val="18"/>
              </w:rPr>
            </w:pPr>
            <w:r w:rsidRPr="00E60EA6">
              <w:rPr>
                <w:rFonts w:cs="Lucida Sans Unicode"/>
                <w:color w:val="000000"/>
                <w:sz w:val="18"/>
                <w:szCs w:val="18"/>
              </w:rPr>
              <w:t>General Rates CIV x Rate in $</w:t>
            </w:r>
          </w:p>
        </w:tc>
        <w:tc>
          <w:tcPr>
            <w:tcW w:w="3030" w:type="dxa"/>
            <w:tcBorders>
              <w:top w:val="single" w:sz="4" w:space="0" w:color="000000"/>
            </w:tcBorders>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841.09</w:t>
            </w:r>
          </w:p>
        </w:tc>
        <w:tc>
          <w:tcPr>
            <w:tcW w:w="3031" w:type="dxa"/>
            <w:tcBorders>
              <w:top w:val="single" w:sz="4" w:space="0" w:color="000000"/>
            </w:tcBorders>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882.29</w:t>
            </w:r>
          </w:p>
        </w:tc>
      </w:tr>
      <w:tr w:rsidR="0075415F" w:rsidRPr="00E60EA6" w:rsidTr="000F2A1D">
        <w:tc>
          <w:tcPr>
            <w:tcW w:w="3794" w:type="dxa"/>
            <w:shd w:val="clear" w:color="auto" w:fill="auto"/>
          </w:tcPr>
          <w:p w:rsidR="0075415F" w:rsidRPr="00E60EA6" w:rsidRDefault="0075415F" w:rsidP="001C2457">
            <w:pPr>
              <w:spacing w:before="0" w:after="0"/>
              <w:jc w:val="both"/>
              <w:rPr>
                <w:rFonts w:cs="Lucida Sans Unicode"/>
                <w:color w:val="000000"/>
                <w:sz w:val="18"/>
                <w:szCs w:val="18"/>
              </w:rPr>
            </w:pPr>
            <w:r w:rsidRPr="00E60EA6">
              <w:rPr>
                <w:rFonts w:cs="Lucida Sans Unicode"/>
                <w:color w:val="000000"/>
                <w:sz w:val="18"/>
                <w:szCs w:val="18"/>
              </w:rPr>
              <w:t>Municipal Charge</w:t>
            </w:r>
          </w:p>
        </w:tc>
        <w:tc>
          <w:tcPr>
            <w:tcW w:w="3030" w:type="dxa"/>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82.30</w:t>
            </w:r>
          </w:p>
        </w:tc>
        <w:tc>
          <w:tcPr>
            <w:tcW w:w="3031" w:type="dxa"/>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82.30</w:t>
            </w:r>
          </w:p>
        </w:tc>
      </w:tr>
      <w:tr w:rsidR="0075415F" w:rsidRPr="00E60EA6" w:rsidTr="000F2A1D">
        <w:tc>
          <w:tcPr>
            <w:tcW w:w="3794" w:type="dxa"/>
            <w:shd w:val="clear" w:color="auto" w:fill="auto"/>
          </w:tcPr>
          <w:p w:rsidR="0075415F" w:rsidRPr="00E60EA6" w:rsidRDefault="0075415F" w:rsidP="001C2457">
            <w:pPr>
              <w:spacing w:before="0" w:after="0"/>
              <w:jc w:val="both"/>
              <w:rPr>
                <w:rFonts w:cs="Lucida Sans Unicode"/>
                <w:color w:val="000000"/>
                <w:sz w:val="18"/>
                <w:szCs w:val="18"/>
              </w:rPr>
            </w:pPr>
            <w:r w:rsidRPr="00E60EA6">
              <w:rPr>
                <w:rFonts w:cs="Lucida Sans Unicode"/>
                <w:color w:val="000000"/>
                <w:sz w:val="18"/>
                <w:szCs w:val="18"/>
              </w:rPr>
              <w:t>Waste Collection Service</w:t>
            </w:r>
          </w:p>
        </w:tc>
        <w:tc>
          <w:tcPr>
            <w:tcW w:w="3030" w:type="dxa"/>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199.00</w:t>
            </w:r>
          </w:p>
        </w:tc>
        <w:tc>
          <w:tcPr>
            <w:tcW w:w="3031" w:type="dxa"/>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213.20</w:t>
            </w:r>
          </w:p>
        </w:tc>
      </w:tr>
      <w:tr w:rsidR="0075415F" w:rsidRPr="00E60EA6" w:rsidTr="00E60EA6">
        <w:tc>
          <w:tcPr>
            <w:tcW w:w="3794" w:type="dxa"/>
            <w:tcBorders>
              <w:bottom w:val="single" w:sz="4" w:space="0" w:color="000000"/>
            </w:tcBorders>
            <w:shd w:val="clear" w:color="auto" w:fill="auto"/>
          </w:tcPr>
          <w:p w:rsidR="0075415F" w:rsidRPr="00E60EA6" w:rsidRDefault="0075415F" w:rsidP="001C2457">
            <w:pPr>
              <w:spacing w:before="0" w:after="0"/>
              <w:jc w:val="both"/>
              <w:rPr>
                <w:rFonts w:cs="Lucida Sans Unicode"/>
                <w:b/>
                <w:bCs/>
                <w:color w:val="000000"/>
                <w:sz w:val="18"/>
                <w:szCs w:val="18"/>
              </w:rPr>
            </w:pPr>
            <w:r w:rsidRPr="00E60EA6">
              <w:rPr>
                <w:rFonts w:cs="Lucida Sans Unicode"/>
                <w:b/>
                <w:bCs/>
                <w:color w:val="000000"/>
                <w:sz w:val="18"/>
                <w:szCs w:val="18"/>
              </w:rPr>
              <w:t>Total Rates and Charges</w:t>
            </w:r>
          </w:p>
        </w:tc>
        <w:tc>
          <w:tcPr>
            <w:tcW w:w="3030" w:type="dxa"/>
            <w:tcBorders>
              <w:bottom w:val="single" w:sz="4" w:space="0" w:color="000000"/>
            </w:tcBorders>
            <w:shd w:val="clear" w:color="auto" w:fill="auto"/>
          </w:tcPr>
          <w:p w:rsidR="0075415F" w:rsidRPr="00E60EA6" w:rsidRDefault="0075415F" w:rsidP="001C2457">
            <w:pPr>
              <w:spacing w:before="0" w:after="0"/>
              <w:jc w:val="right"/>
              <w:rPr>
                <w:rFonts w:cs="Lucida Sans Unicode"/>
                <w:b/>
                <w:bCs/>
                <w:color w:val="000000"/>
                <w:sz w:val="18"/>
                <w:szCs w:val="18"/>
              </w:rPr>
            </w:pPr>
            <w:r w:rsidRPr="00E60EA6">
              <w:rPr>
                <w:rFonts w:cs="Lucida Sans Unicode"/>
                <w:b/>
                <w:bCs/>
                <w:color w:val="000000"/>
                <w:sz w:val="18"/>
                <w:szCs w:val="18"/>
              </w:rPr>
              <w:t>1,122.39</w:t>
            </w:r>
          </w:p>
        </w:tc>
        <w:tc>
          <w:tcPr>
            <w:tcW w:w="3031" w:type="dxa"/>
            <w:tcBorders>
              <w:bottom w:val="single" w:sz="4" w:space="0" w:color="000000"/>
            </w:tcBorders>
            <w:shd w:val="clear" w:color="auto" w:fill="auto"/>
          </w:tcPr>
          <w:p w:rsidR="0075415F" w:rsidRPr="00E60EA6" w:rsidRDefault="0075415F" w:rsidP="001C2457">
            <w:pPr>
              <w:spacing w:before="0" w:after="0"/>
              <w:jc w:val="right"/>
              <w:rPr>
                <w:rFonts w:cs="Lucida Sans Unicode"/>
                <w:b/>
                <w:bCs/>
                <w:color w:val="000000"/>
                <w:sz w:val="18"/>
                <w:szCs w:val="18"/>
              </w:rPr>
            </w:pPr>
            <w:r w:rsidRPr="00E60EA6">
              <w:rPr>
                <w:rFonts w:cs="Lucida Sans Unicode"/>
                <w:b/>
                <w:bCs/>
                <w:color w:val="000000"/>
                <w:sz w:val="18"/>
                <w:szCs w:val="18"/>
              </w:rPr>
              <w:t>1,177.79</w:t>
            </w:r>
          </w:p>
        </w:tc>
      </w:tr>
    </w:tbl>
    <w:p w:rsidR="001C2457" w:rsidRPr="00E60EA6" w:rsidRDefault="001C2457">
      <w:pPr>
        <w:spacing w:before="0" w:after="0"/>
        <w:rPr>
          <w:rFonts w:ascii="News Gothic Std" w:hAnsi="News Gothic Std" w:cs="Lucida Sans Unicode"/>
          <w:noProof/>
          <w:color w:val="0070C0"/>
          <w:sz w:val="24"/>
          <w:szCs w:val="24"/>
          <w:lang w:val="en-US"/>
        </w:rPr>
      </w:pPr>
      <w:bookmarkStart w:id="519" w:name="_Toc355947719"/>
      <w:bookmarkStart w:id="520" w:name="_Toc356202559"/>
      <w:bookmarkStart w:id="521" w:name="_Toc356202892"/>
      <w:bookmarkStart w:id="522" w:name="_Toc64258343"/>
      <w:bookmarkStart w:id="523" w:name="_Toc64276806"/>
    </w:p>
    <w:p w:rsidR="0075415F" w:rsidRPr="00BA4451" w:rsidRDefault="0075415F">
      <w:pPr>
        <w:pStyle w:val="Heading4A"/>
      </w:pPr>
      <w:r w:rsidRPr="00BA4451">
        <w:t>2012-</w:t>
      </w:r>
      <w:bookmarkEnd w:id="519"/>
      <w:bookmarkEnd w:id="520"/>
      <w:bookmarkEnd w:id="521"/>
      <w:r w:rsidR="009B21E0">
        <w:t>13</w:t>
      </w:r>
    </w:p>
    <w:p w:rsidR="0075415F" w:rsidRPr="00BA4451" w:rsidRDefault="0075415F" w:rsidP="00D43F06">
      <w:pPr>
        <w:pStyle w:val="Heading5A"/>
      </w:pPr>
      <w:bookmarkStart w:id="524" w:name="_Toc355947720"/>
      <w:bookmarkStart w:id="525" w:name="_Toc356202560"/>
      <w:bookmarkStart w:id="526" w:name="_Toc356202893"/>
      <w:r w:rsidRPr="00BA4451">
        <w:t>2012 Revaluation</w:t>
      </w:r>
      <w:bookmarkEnd w:id="524"/>
      <w:bookmarkEnd w:id="525"/>
      <w:bookmarkEnd w:id="526"/>
    </w:p>
    <w:p w:rsidR="0075415F" w:rsidRPr="0098189D" w:rsidRDefault="0075415F" w:rsidP="00D43F06">
      <w:pPr>
        <w:pStyle w:val="Heading5A"/>
      </w:pPr>
      <w:r w:rsidRPr="0098189D">
        <w:t>Summary by Differential</w:t>
      </w:r>
    </w:p>
    <w:tbl>
      <w:tblPr>
        <w:tblW w:w="8656" w:type="dxa"/>
        <w:tblInd w:w="99" w:type="dxa"/>
        <w:tblLayout w:type="fixed"/>
        <w:tblLook w:val="04A0" w:firstRow="1" w:lastRow="0" w:firstColumn="1" w:lastColumn="0" w:noHBand="0" w:noVBand="1"/>
      </w:tblPr>
      <w:tblGrid>
        <w:gridCol w:w="3695"/>
        <w:gridCol w:w="2480"/>
        <w:gridCol w:w="2481"/>
      </w:tblGrid>
      <w:tr w:rsidR="0075415F" w:rsidRPr="00E60EA6" w:rsidTr="00E60EA6">
        <w:trPr>
          <w:trHeight w:val="269"/>
        </w:trPr>
        <w:tc>
          <w:tcPr>
            <w:tcW w:w="3695" w:type="dxa"/>
            <w:tcBorders>
              <w:top w:val="single" w:sz="4" w:space="0" w:color="000000"/>
            </w:tcBorders>
            <w:shd w:val="clear" w:color="auto" w:fill="auto"/>
            <w:vAlign w:val="bottom"/>
            <w:hideMark/>
          </w:tcPr>
          <w:p w:rsidR="0075415F" w:rsidRPr="001A5D13" w:rsidRDefault="0075415F" w:rsidP="001C2457">
            <w:pPr>
              <w:spacing w:before="0" w:after="0"/>
              <w:rPr>
                <w:rFonts w:ascii="News Gothic Std" w:hAnsi="News Gothic Std" w:cs="Arial"/>
                <w:bCs/>
                <w:color w:val="0070C0"/>
                <w:sz w:val="18"/>
                <w:szCs w:val="18"/>
                <w:lang w:eastAsia="en-AU"/>
              </w:rPr>
            </w:pPr>
          </w:p>
        </w:tc>
        <w:tc>
          <w:tcPr>
            <w:tcW w:w="2480" w:type="dxa"/>
            <w:tcBorders>
              <w:top w:val="single" w:sz="4" w:space="0" w:color="000000"/>
            </w:tcBorders>
            <w:shd w:val="clear" w:color="auto" w:fill="auto"/>
            <w:vAlign w:val="bottom"/>
            <w:hideMark/>
          </w:tcPr>
          <w:p w:rsidR="0075415F" w:rsidRPr="001A5D13" w:rsidRDefault="0075415F" w:rsidP="001C2457">
            <w:pPr>
              <w:spacing w:before="0" w:after="0"/>
              <w:jc w:val="right"/>
              <w:rPr>
                <w:rFonts w:ascii="News Gothic Std" w:hAnsi="News Gothic Std" w:cs="Arial"/>
                <w:bCs/>
                <w:color w:val="0070C0"/>
                <w:sz w:val="18"/>
                <w:szCs w:val="18"/>
                <w:lang w:eastAsia="en-AU"/>
              </w:rPr>
            </w:pPr>
          </w:p>
        </w:tc>
        <w:tc>
          <w:tcPr>
            <w:tcW w:w="2481" w:type="dxa"/>
            <w:tcBorders>
              <w:top w:val="single" w:sz="4" w:space="0" w:color="000000"/>
            </w:tcBorders>
            <w:shd w:val="clear" w:color="auto" w:fill="auto"/>
            <w:vAlign w:val="bottom"/>
            <w:hideMark/>
          </w:tcPr>
          <w:p w:rsidR="0075415F" w:rsidRPr="001A5D13" w:rsidRDefault="0075415F" w:rsidP="001C2457">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 xml:space="preserve">Final Budget </w:t>
            </w:r>
          </w:p>
        </w:tc>
      </w:tr>
      <w:tr w:rsidR="0075415F" w:rsidRPr="00E60EA6" w:rsidTr="00E60EA6">
        <w:trPr>
          <w:trHeight w:val="876"/>
        </w:trPr>
        <w:tc>
          <w:tcPr>
            <w:tcW w:w="3695" w:type="dxa"/>
            <w:tcBorders>
              <w:bottom w:val="single" w:sz="4" w:space="0" w:color="000000"/>
            </w:tcBorders>
            <w:shd w:val="clear" w:color="auto" w:fill="auto"/>
            <w:vAlign w:val="bottom"/>
            <w:hideMark/>
          </w:tcPr>
          <w:p w:rsidR="0075415F" w:rsidRPr="001A5D13" w:rsidRDefault="0075415F" w:rsidP="001C2457">
            <w:pPr>
              <w:spacing w:before="0" w:after="0"/>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Differentials</w:t>
            </w:r>
          </w:p>
        </w:tc>
        <w:tc>
          <w:tcPr>
            <w:tcW w:w="2480" w:type="dxa"/>
            <w:tcBorders>
              <w:bottom w:val="single" w:sz="4" w:space="0" w:color="000000"/>
            </w:tcBorders>
            <w:shd w:val="clear" w:color="auto" w:fill="auto"/>
            <w:vAlign w:val="bottom"/>
            <w:hideMark/>
          </w:tcPr>
          <w:p w:rsidR="0075415F" w:rsidRPr="001A5D13" w:rsidRDefault="0075415F" w:rsidP="001C2457">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Number of Assessments</w:t>
            </w:r>
          </w:p>
        </w:tc>
        <w:tc>
          <w:tcPr>
            <w:tcW w:w="2481" w:type="dxa"/>
            <w:tcBorders>
              <w:bottom w:val="single" w:sz="4" w:space="0" w:color="000000"/>
            </w:tcBorders>
            <w:shd w:val="clear" w:color="auto" w:fill="auto"/>
            <w:vAlign w:val="bottom"/>
            <w:hideMark/>
          </w:tcPr>
          <w:p w:rsidR="0075415F" w:rsidRPr="001A5D13" w:rsidRDefault="0075415F" w:rsidP="001C2457">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 xml:space="preserve">% Change </w:t>
            </w:r>
            <w:r w:rsidRPr="001A5D13">
              <w:rPr>
                <w:rFonts w:ascii="News Gothic Std" w:hAnsi="News Gothic Std" w:cs="Arial"/>
                <w:bCs/>
                <w:color w:val="0070C0"/>
                <w:sz w:val="18"/>
                <w:szCs w:val="18"/>
                <w:lang w:eastAsia="en-AU"/>
              </w:rPr>
              <w:br/>
              <w:t xml:space="preserve">2012 Reval CIV to </w:t>
            </w:r>
            <w:r w:rsidRPr="001A5D13">
              <w:rPr>
                <w:rFonts w:ascii="News Gothic Std" w:hAnsi="News Gothic Std" w:cs="Arial"/>
                <w:bCs/>
                <w:color w:val="0070C0"/>
                <w:sz w:val="18"/>
                <w:szCs w:val="18"/>
                <w:lang w:eastAsia="en-AU"/>
              </w:rPr>
              <w:br/>
              <w:t>2010 Reval CIV</w:t>
            </w:r>
          </w:p>
        </w:tc>
      </w:tr>
      <w:tr w:rsidR="0075415F" w:rsidRPr="00E60EA6" w:rsidTr="00E60EA6">
        <w:trPr>
          <w:trHeight w:val="255"/>
        </w:trPr>
        <w:tc>
          <w:tcPr>
            <w:tcW w:w="3695" w:type="dxa"/>
            <w:tcBorders>
              <w:top w:val="single" w:sz="4" w:space="0" w:color="000000"/>
            </w:tcBorders>
            <w:shd w:val="clear" w:color="auto" w:fill="auto"/>
            <w:noWrap/>
            <w:vAlign w:val="center"/>
            <w:hideMark/>
          </w:tcPr>
          <w:p w:rsidR="0075415F" w:rsidRPr="00E60EA6" w:rsidRDefault="0075415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General Rates</w:t>
            </w:r>
          </w:p>
        </w:tc>
        <w:tc>
          <w:tcPr>
            <w:tcW w:w="2480" w:type="dxa"/>
            <w:tcBorders>
              <w:top w:val="single" w:sz="4" w:space="0" w:color="000000"/>
            </w:tcBorders>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94,809</w:t>
            </w:r>
          </w:p>
        </w:tc>
        <w:tc>
          <w:tcPr>
            <w:tcW w:w="2481" w:type="dxa"/>
            <w:tcBorders>
              <w:top w:val="single" w:sz="4" w:space="0" w:color="000000"/>
            </w:tcBorders>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10.2%</w:t>
            </w:r>
          </w:p>
        </w:tc>
      </w:tr>
      <w:tr w:rsidR="0075415F" w:rsidRPr="00E60EA6" w:rsidTr="000F2A1D">
        <w:trPr>
          <w:trHeight w:val="255"/>
        </w:trPr>
        <w:tc>
          <w:tcPr>
            <w:tcW w:w="3695" w:type="dxa"/>
            <w:shd w:val="clear" w:color="auto" w:fill="auto"/>
            <w:noWrap/>
            <w:vAlign w:val="center"/>
            <w:hideMark/>
          </w:tcPr>
          <w:p w:rsidR="0075415F" w:rsidRPr="00E60EA6" w:rsidRDefault="0075415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Vacant Land</w:t>
            </w:r>
          </w:p>
        </w:tc>
        <w:tc>
          <w:tcPr>
            <w:tcW w:w="2480" w:type="dxa"/>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5,097</w:t>
            </w:r>
          </w:p>
        </w:tc>
        <w:tc>
          <w:tcPr>
            <w:tcW w:w="2481" w:type="dxa"/>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14.2%</w:t>
            </w:r>
          </w:p>
        </w:tc>
      </w:tr>
      <w:tr w:rsidR="0075415F" w:rsidRPr="00E60EA6" w:rsidTr="000F2A1D">
        <w:trPr>
          <w:trHeight w:val="255"/>
        </w:trPr>
        <w:tc>
          <w:tcPr>
            <w:tcW w:w="3695" w:type="dxa"/>
            <w:shd w:val="clear" w:color="auto" w:fill="auto"/>
            <w:noWrap/>
            <w:vAlign w:val="center"/>
            <w:hideMark/>
          </w:tcPr>
          <w:p w:rsidR="0075415F" w:rsidRPr="00E60EA6" w:rsidRDefault="0075415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Commercial Rate</w:t>
            </w:r>
          </w:p>
        </w:tc>
        <w:tc>
          <w:tcPr>
            <w:tcW w:w="2480" w:type="dxa"/>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5,068</w:t>
            </w:r>
          </w:p>
        </w:tc>
        <w:tc>
          <w:tcPr>
            <w:tcW w:w="2481" w:type="dxa"/>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3.9%</w:t>
            </w:r>
          </w:p>
        </w:tc>
      </w:tr>
      <w:tr w:rsidR="0075415F" w:rsidRPr="00E60EA6" w:rsidTr="000F2A1D">
        <w:trPr>
          <w:trHeight w:val="255"/>
        </w:trPr>
        <w:tc>
          <w:tcPr>
            <w:tcW w:w="3695" w:type="dxa"/>
            <w:shd w:val="clear" w:color="auto" w:fill="auto"/>
            <w:noWrap/>
            <w:vAlign w:val="center"/>
            <w:hideMark/>
          </w:tcPr>
          <w:p w:rsidR="0075415F" w:rsidRPr="00E60EA6" w:rsidRDefault="0075415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The Point - Vacant Land</w:t>
            </w:r>
          </w:p>
        </w:tc>
        <w:tc>
          <w:tcPr>
            <w:tcW w:w="2480" w:type="dxa"/>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w:t>
            </w:r>
          </w:p>
        </w:tc>
        <w:tc>
          <w:tcPr>
            <w:tcW w:w="2481" w:type="dxa"/>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(0.3%)</w:t>
            </w:r>
          </w:p>
        </w:tc>
      </w:tr>
      <w:tr w:rsidR="0075415F" w:rsidRPr="00E60EA6" w:rsidTr="000F2A1D">
        <w:trPr>
          <w:trHeight w:val="255"/>
        </w:trPr>
        <w:tc>
          <w:tcPr>
            <w:tcW w:w="3695" w:type="dxa"/>
            <w:shd w:val="clear" w:color="auto" w:fill="auto"/>
            <w:noWrap/>
            <w:vAlign w:val="center"/>
            <w:hideMark/>
          </w:tcPr>
          <w:p w:rsidR="0075415F" w:rsidRPr="00E60EA6" w:rsidRDefault="0075415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Late Licence Premises Rate</w:t>
            </w:r>
          </w:p>
        </w:tc>
        <w:tc>
          <w:tcPr>
            <w:tcW w:w="2480" w:type="dxa"/>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28</w:t>
            </w:r>
          </w:p>
        </w:tc>
        <w:tc>
          <w:tcPr>
            <w:tcW w:w="2481" w:type="dxa"/>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6.1%</w:t>
            </w:r>
          </w:p>
        </w:tc>
      </w:tr>
      <w:tr w:rsidR="0075415F" w:rsidRPr="00E60EA6" w:rsidTr="000F2A1D">
        <w:trPr>
          <w:trHeight w:val="255"/>
        </w:trPr>
        <w:tc>
          <w:tcPr>
            <w:tcW w:w="3695" w:type="dxa"/>
            <w:shd w:val="clear" w:color="auto" w:fill="auto"/>
            <w:noWrap/>
            <w:vAlign w:val="center"/>
            <w:hideMark/>
          </w:tcPr>
          <w:p w:rsidR="0075415F" w:rsidRPr="00E60EA6" w:rsidRDefault="0075415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Industrial Rate</w:t>
            </w:r>
          </w:p>
        </w:tc>
        <w:tc>
          <w:tcPr>
            <w:tcW w:w="2480" w:type="dxa"/>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1,746</w:t>
            </w:r>
          </w:p>
        </w:tc>
        <w:tc>
          <w:tcPr>
            <w:tcW w:w="2481" w:type="dxa"/>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(1.2%)</w:t>
            </w:r>
          </w:p>
        </w:tc>
      </w:tr>
      <w:tr w:rsidR="0075415F" w:rsidRPr="00E60EA6" w:rsidTr="000F2A1D">
        <w:trPr>
          <w:trHeight w:val="255"/>
        </w:trPr>
        <w:tc>
          <w:tcPr>
            <w:tcW w:w="3695" w:type="dxa"/>
            <w:shd w:val="clear" w:color="auto" w:fill="auto"/>
            <w:noWrap/>
            <w:vAlign w:val="center"/>
            <w:hideMark/>
          </w:tcPr>
          <w:p w:rsidR="0075415F" w:rsidRPr="00E60EA6" w:rsidRDefault="0075415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Mixed Use</w:t>
            </w:r>
          </w:p>
        </w:tc>
        <w:tc>
          <w:tcPr>
            <w:tcW w:w="2480" w:type="dxa"/>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238</w:t>
            </w:r>
          </w:p>
        </w:tc>
        <w:tc>
          <w:tcPr>
            <w:tcW w:w="2481" w:type="dxa"/>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0.8%</w:t>
            </w:r>
          </w:p>
        </w:tc>
      </w:tr>
      <w:tr w:rsidR="0075415F" w:rsidRPr="00E60EA6" w:rsidTr="000F2A1D">
        <w:trPr>
          <w:trHeight w:val="255"/>
        </w:trPr>
        <w:tc>
          <w:tcPr>
            <w:tcW w:w="3695" w:type="dxa"/>
            <w:shd w:val="clear" w:color="auto" w:fill="auto"/>
            <w:noWrap/>
            <w:vAlign w:val="center"/>
            <w:hideMark/>
          </w:tcPr>
          <w:p w:rsidR="0075415F" w:rsidRPr="00E60EA6" w:rsidRDefault="0075415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Farm Rate</w:t>
            </w:r>
          </w:p>
        </w:tc>
        <w:tc>
          <w:tcPr>
            <w:tcW w:w="2480" w:type="dxa"/>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1,087</w:t>
            </w:r>
          </w:p>
        </w:tc>
        <w:tc>
          <w:tcPr>
            <w:tcW w:w="2481" w:type="dxa"/>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(1.3%)</w:t>
            </w:r>
          </w:p>
        </w:tc>
      </w:tr>
      <w:tr w:rsidR="0075415F" w:rsidRPr="00E60EA6" w:rsidTr="000F2A1D">
        <w:trPr>
          <w:trHeight w:val="255"/>
        </w:trPr>
        <w:tc>
          <w:tcPr>
            <w:tcW w:w="3695" w:type="dxa"/>
            <w:shd w:val="clear" w:color="auto" w:fill="auto"/>
            <w:noWrap/>
            <w:vAlign w:val="center"/>
            <w:hideMark/>
          </w:tcPr>
          <w:p w:rsidR="0075415F" w:rsidRPr="00E60EA6" w:rsidRDefault="0075415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Recreation</w:t>
            </w:r>
          </w:p>
        </w:tc>
        <w:tc>
          <w:tcPr>
            <w:tcW w:w="2480" w:type="dxa"/>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59</w:t>
            </w:r>
          </w:p>
        </w:tc>
        <w:tc>
          <w:tcPr>
            <w:tcW w:w="2481" w:type="dxa"/>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20.2%</w:t>
            </w:r>
          </w:p>
        </w:tc>
      </w:tr>
      <w:tr w:rsidR="0075415F" w:rsidRPr="00E60EA6" w:rsidTr="000F2A1D">
        <w:trPr>
          <w:trHeight w:val="255"/>
        </w:trPr>
        <w:tc>
          <w:tcPr>
            <w:tcW w:w="3695" w:type="dxa"/>
            <w:shd w:val="clear" w:color="auto" w:fill="auto"/>
            <w:noWrap/>
            <w:vAlign w:val="center"/>
            <w:hideMark/>
          </w:tcPr>
          <w:p w:rsidR="0075415F" w:rsidRPr="00E60EA6" w:rsidRDefault="0075415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Automotive</w:t>
            </w:r>
          </w:p>
        </w:tc>
        <w:tc>
          <w:tcPr>
            <w:tcW w:w="2480" w:type="dxa"/>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w:t>
            </w:r>
          </w:p>
        </w:tc>
        <w:tc>
          <w:tcPr>
            <w:tcW w:w="2481" w:type="dxa"/>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14.5%</w:t>
            </w:r>
          </w:p>
        </w:tc>
      </w:tr>
      <w:tr w:rsidR="0075415F" w:rsidRPr="00E60EA6" w:rsidTr="000F2A1D">
        <w:trPr>
          <w:trHeight w:val="255"/>
        </w:trPr>
        <w:tc>
          <w:tcPr>
            <w:tcW w:w="3695" w:type="dxa"/>
            <w:shd w:val="clear" w:color="auto" w:fill="auto"/>
            <w:noWrap/>
            <w:vAlign w:val="center"/>
            <w:hideMark/>
          </w:tcPr>
          <w:p w:rsidR="0075415F" w:rsidRPr="00E60EA6" w:rsidRDefault="0075415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Petroleum</w:t>
            </w:r>
          </w:p>
        </w:tc>
        <w:tc>
          <w:tcPr>
            <w:tcW w:w="2480" w:type="dxa"/>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w:t>
            </w:r>
          </w:p>
        </w:tc>
        <w:tc>
          <w:tcPr>
            <w:tcW w:w="2481" w:type="dxa"/>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(4.1%)</w:t>
            </w:r>
          </w:p>
        </w:tc>
      </w:tr>
      <w:tr w:rsidR="0075415F" w:rsidRPr="00E60EA6" w:rsidTr="00E60EA6">
        <w:trPr>
          <w:trHeight w:val="255"/>
        </w:trPr>
        <w:tc>
          <w:tcPr>
            <w:tcW w:w="3695" w:type="dxa"/>
            <w:tcBorders>
              <w:bottom w:val="single" w:sz="4" w:space="0" w:color="000000"/>
            </w:tcBorders>
            <w:shd w:val="clear" w:color="auto" w:fill="auto"/>
            <w:noWrap/>
            <w:vAlign w:val="center"/>
            <w:hideMark/>
          </w:tcPr>
          <w:p w:rsidR="0075415F" w:rsidRPr="00E60EA6" w:rsidRDefault="0075415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Aluminium</w:t>
            </w:r>
          </w:p>
        </w:tc>
        <w:tc>
          <w:tcPr>
            <w:tcW w:w="2480" w:type="dxa"/>
            <w:tcBorders>
              <w:bottom w:val="single" w:sz="4" w:space="0" w:color="000000"/>
            </w:tcBorders>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w:t>
            </w:r>
          </w:p>
        </w:tc>
        <w:tc>
          <w:tcPr>
            <w:tcW w:w="2481" w:type="dxa"/>
            <w:tcBorders>
              <w:bottom w:val="single" w:sz="4" w:space="0" w:color="000000"/>
            </w:tcBorders>
            <w:shd w:val="clear" w:color="auto" w:fill="auto"/>
            <w:noWrap/>
            <w:vAlign w:val="center"/>
            <w:hideMark/>
          </w:tcPr>
          <w:p w:rsidR="0075415F" w:rsidRPr="00E60EA6" w:rsidRDefault="0075415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0.0%</w:t>
            </w:r>
          </w:p>
        </w:tc>
      </w:tr>
      <w:tr w:rsidR="0075415F" w:rsidRPr="00E60EA6" w:rsidTr="00E60EA6">
        <w:trPr>
          <w:trHeight w:val="255"/>
        </w:trPr>
        <w:tc>
          <w:tcPr>
            <w:tcW w:w="3695" w:type="dxa"/>
            <w:tcBorders>
              <w:top w:val="single" w:sz="4" w:space="0" w:color="000000"/>
              <w:bottom w:val="single" w:sz="4" w:space="0" w:color="000000"/>
            </w:tcBorders>
            <w:shd w:val="clear" w:color="auto" w:fill="auto"/>
            <w:noWrap/>
            <w:vAlign w:val="center"/>
            <w:hideMark/>
          </w:tcPr>
          <w:p w:rsidR="0075415F" w:rsidRPr="00E60EA6" w:rsidRDefault="0075415F" w:rsidP="001C2457">
            <w:pPr>
              <w:spacing w:before="0" w:after="0"/>
              <w:rPr>
                <w:rFonts w:cs="Lucida Sans Unicode"/>
                <w:b/>
                <w:bCs/>
                <w:color w:val="000000"/>
                <w:sz w:val="18"/>
                <w:szCs w:val="18"/>
                <w:lang w:eastAsia="en-AU"/>
              </w:rPr>
            </w:pPr>
            <w:r w:rsidRPr="00E60EA6">
              <w:rPr>
                <w:rFonts w:cs="Lucida Sans Unicode"/>
                <w:b/>
                <w:bCs/>
                <w:color w:val="000000"/>
                <w:sz w:val="18"/>
                <w:szCs w:val="18"/>
                <w:lang w:eastAsia="en-AU"/>
              </w:rPr>
              <w:t>Grand Total</w:t>
            </w:r>
          </w:p>
        </w:tc>
        <w:tc>
          <w:tcPr>
            <w:tcW w:w="2480" w:type="dxa"/>
            <w:tcBorders>
              <w:top w:val="single" w:sz="4" w:space="0" w:color="000000"/>
              <w:bottom w:val="single" w:sz="4" w:space="0" w:color="000000"/>
            </w:tcBorders>
            <w:shd w:val="clear" w:color="auto" w:fill="auto"/>
            <w:noWrap/>
            <w:vAlign w:val="center"/>
            <w:hideMark/>
          </w:tcPr>
          <w:p w:rsidR="0075415F" w:rsidRPr="00E60EA6" w:rsidRDefault="0075415F" w:rsidP="001C2457">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108,137</w:t>
            </w:r>
          </w:p>
        </w:tc>
        <w:tc>
          <w:tcPr>
            <w:tcW w:w="2481" w:type="dxa"/>
            <w:tcBorders>
              <w:top w:val="single" w:sz="4" w:space="0" w:color="000000"/>
              <w:bottom w:val="single" w:sz="4" w:space="0" w:color="000000"/>
            </w:tcBorders>
            <w:shd w:val="clear" w:color="auto" w:fill="auto"/>
            <w:noWrap/>
            <w:vAlign w:val="center"/>
            <w:hideMark/>
          </w:tcPr>
          <w:p w:rsidR="0075415F" w:rsidRPr="00E60EA6" w:rsidRDefault="0075415F" w:rsidP="001C2457">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8.9%</w:t>
            </w:r>
          </w:p>
        </w:tc>
      </w:tr>
    </w:tbl>
    <w:p w:rsidR="0075415F" w:rsidRPr="0098189D" w:rsidRDefault="0075415F" w:rsidP="00D43F06">
      <w:pPr>
        <w:pStyle w:val="Heading5A"/>
      </w:pPr>
      <w:r w:rsidRPr="0098189D">
        <w:t>Overall</w:t>
      </w:r>
    </w:p>
    <w:p w:rsidR="0075415F" w:rsidRPr="0098189D" w:rsidRDefault="0075415F">
      <w:pPr>
        <w:pStyle w:val="BodyText"/>
      </w:pPr>
      <w:r w:rsidRPr="0098189D">
        <w:t>The revaluation date was 1 January 2012 and took effect from 1 July 2012.</w:t>
      </w:r>
    </w:p>
    <w:p w:rsidR="0075415F" w:rsidRPr="0098189D" w:rsidRDefault="0075415F">
      <w:pPr>
        <w:pStyle w:val="BodyText"/>
      </w:pPr>
      <w:r w:rsidRPr="0098189D">
        <w:t>The summary results were:</w:t>
      </w:r>
    </w:p>
    <w:p w:rsidR="00A23966" w:rsidRPr="00132FCB" w:rsidRDefault="0075415F" w:rsidP="005167B1">
      <w:pPr>
        <w:pStyle w:val="ListParagraph"/>
        <w:numPr>
          <w:ilvl w:val="0"/>
          <w:numId w:val="43"/>
        </w:numPr>
        <w:spacing w:after="80"/>
        <w:ind w:left="357" w:hanging="357"/>
        <w:jc w:val="both"/>
      </w:pPr>
      <w:r w:rsidRPr="005A2AD5">
        <w:rPr>
          <w:rFonts w:cs="Lucida Sans Unicode"/>
          <w:szCs w:val="22"/>
        </w:rPr>
        <w:t>Average increase in residential 10.2% compared to 11.1% in 2010.</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The average decrease in farm valuations was (1.3%) compared with an increase of 22.1% in 2010, with the main decreases occurring on the Bellarine Peninsula.</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Commercial properties increased by 3.9% with increases in shopping centres averaging 11.7%, being offset by reductions elsewhere.</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 xml:space="preserve">Industrial properties decreased on average at (1.2%) compared to an increase of 12.3% in 2010. </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Late Licence valuations increased 6.1% on average for 28 properties.</w:t>
      </w:r>
    </w:p>
    <w:p w:rsidR="00F462EA" w:rsidRDefault="0075415F" w:rsidP="005167B1">
      <w:pPr>
        <w:pStyle w:val="BodyText1"/>
      </w:pPr>
      <w:r w:rsidRPr="0098189D">
        <w:t xml:space="preserve">Key features of the rating model were: </w:t>
      </w:r>
    </w:p>
    <w:p w:rsidR="00A23966" w:rsidRPr="005167B1" w:rsidRDefault="0075415F" w:rsidP="005167B1">
      <w:pPr>
        <w:pStyle w:val="ListParagraph"/>
        <w:numPr>
          <w:ilvl w:val="0"/>
          <w:numId w:val="43"/>
        </w:numPr>
        <w:spacing w:after="80"/>
        <w:ind w:left="357" w:hanging="357"/>
        <w:jc w:val="both"/>
      </w:pPr>
      <w:r w:rsidRPr="005A2AD5">
        <w:rPr>
          <w:rFonts w:cs="Lucida Sans Unicode"/>
          <w:szCs w:val="22"/>
        </w:rPr>
        <w:t xml:space="preserve">The Residential </w:t>
      </w:r>
      <w:r w:rsidR="00284F98" w:rsidRPr="00132FCB">
        <w:rPr>
          <w:rFonts w:cs="Lucida Sans Unicode"/>
          <w:szCs w:val="22"/>
        </w:rPr>
        <w:t xml:space="preserve">rate </w:t>
      </w:r>
      <w:r w:rsidRPr="005167B1">
        <w:rPr>
          <w:rFonts w:cs="Lucida Sans Unicode"/>
          <w:szCs w:val="22"/>
        </w:rPr>
        <w:t xml:space="preserve">has been set at $0.002544 per $ of </w:t>
      </w:r>
      <w:smartTag w:uri="urn:schemas-microsoft-com:office:smarttags" w:element="stockticker">
        <w:r w:rsidRPr="005167B1">
          <w:rPr>
            <w:rFonts w:cs="Lucida Sans Unicode"/>
            <w:szCs w:val="22"/>
          </w:rPr>
          <w:t>CIV</w:t>
        </w:r>
      </w:smartTag>
      <w:r w:rsidRPr="005167B1">
        <w:rPr>
          <w:rFonts w:cs="Lucida Sans Unicode"/>
          <w:szCs w:val="22"/>
        </w:rPr>
        <w:t xml:space="preserve"> valuation </w:t>
      </w:r>
      <w:r w:rsidR="00B347F4" w:rsidRPr="005167B1">
        <w:rPr>
          <w:rFonts w:cs="Lucida Sans Unicode"/>
          <w:szCs w:val="22"/>
        </w:rPr>
        <w:t>or 4.9</w:t>
      </w:r>
      <w:r w:rsidRPr="005167B1">
        <w:rPr>
          <w:rFonts w:cs="Lucida Sans Unicode"/>
          <w:szCs w:val="22"/>
        </w:rPr>
        <w:t>% average increase.</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lastRenderedPageBreak/>
        <w:t>Vacant land rates will increase on average 4.9% and the rate in $ relativity to residential has reduced from 137.9% to 133.7%.</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Commercial rates will increase on average 4.09% and Industrial rates on average 3.8%.</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Automobile rate increase to average 3.9% consistent with Industrial increase.</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 xml:space="preserve">Petroleum and Aluminium rate in $ has been set at the maximum 4 times the lowest rate. </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 xml:space="preserve">Farm rate has once again been set as per the Residential rate. The Farm Rebate is applicable to all Farm land and has been reduced to 36.2% from 46.5%. The farm rebate applies to encourage the retention of broad acre farming. Farm land use requires land to be used as a sustainable business to ensure the rebate is directed to operating farms. </w:t>
      </w:r>
    </w:p>
    <w:p w:rsidR="0075415F" w:rsidRPr="00BA4451" w:rsidRDefault="0075415F" w:rsidP="00D43F06">
      <w:pPr>
        <w:pStyle w:val="Heading5A"/>
      </w:pPr>
      <w:bookmarkStart w:id="527" w:name="_Toc355947721"/>
      <w:bookmarkStart w:id="528" w:name="_Toc356202561"/>
      <w:bookmarkStart w:id="529" w:name="_Toc356202894"/>
      <w:r w:rsidRPr="00BA4451">
        <w:t>Charitable Housing</w:t>
      </w:r>
      <w:bookmarkEnd w:id="527"/>
      <w:bookmarkEnd w:id="528"/>
      <w:bookmarkEnd w:id="529"/>
    </w:p>
    <w:p w:rsidR="0075415F" w:rsidRPr="00D576C5" w:rsidRDefault="0075415F">
      <w:pPr>
        <w:pStyle w:val="BodyText"/>
      </w:pPr>
      <w:r w:rsidRPr="00D576C5">
        <w:t>Prior to the 2011-12 budget a review was conducted of housing provided for social, community or charitable purposes. Commencing from 2011-</w:t>
      </w:r>
      <w:r w:rsidR="00AA06D8">
        <w:t>12</w:t>
      </w:r>
      <w:r w:rsidR="00AA06D8" w:rsidRPr="00D576C5">
        <w:t xml:space="preserve"> </w:t>
      </w:r>
      <w:r w:rsidRPr="00D576C5">
        <w:t xml:space="preserve">all housing provided by Housing Associations, charitable or government organisations </w:t>
      </w:r>
      <w:r>
        <w:t xml:space="preserve">were </w:t>
      </w:r>
      <w:r w:rsidRPr="00D576C5">
        <w:t xml:space="preserve">rated in accordance with legal precedent and the Local Government Act. </w:t>
      </w:r>
    </w:p>
    <w:p w:rsidR="0075415F" w:rsidRPr="00D576C5" w:rsidRDefault="0075415F">
      <w:pPr>
        <w:pStyle w:val="BodyText"/>
      </w:pPr>
      <w:r w:rsidRPr="00D576C5">
        <w:t xml:space="preserve">A Housing Support rebate </w:t>
      </w:r>
      <w:r>
        <w:t>was</w:t>
      </w:r>
      <w:r w:rsidRPr="00D576C5">
        <w:t xml:space="preserve"> provided </w:t>
      </w:r>
      <w:r>
        <w:t xml:space="preserve">again </w:t>
      </w:r>
      <w:r w:rsidRPr="00D576C5">
        <w:t xml:space="preserve">on application for Transitional, Crisis or Emergency housing provided by charitable organisations. The rebate </w:t>
      </w:r>
      <w:r>
        <w:t xml:space="preserve">was </w:t>
      </w:r>
      <w:r w:rsidRPr="00D576C5">
        <w:t xml:space="preserve">also provided on application for housing provided by Geelong Legacy Club or the RSL and housing provided by charitable organisations to support disabled people. Rebates </w:t>
      </w:r>
      <w:r>
        <w:t xml:space="preserve">were </w:t>
      </w:r>
      <w:r w:rsidRPr="00D576C5">
        <w:t xml:space="preserve">for 100% of general rates and the municipal charge. </w:t>
      </w:r>
    </w:p>
    <w:p w:rsidR="00F462EA" w:rsidRDefault="0075415F">
      <w:pPr>
        <w:pStyle w:val="BodyText"/>
      </w:pPr>
      <w:r w:rsidRPr="00D576C5">
        <w:t xml:space="preserve">A Transitional rebate of 50% of general rates and municipal charges </w:t>
      </w:r>
      <w:r>
        <w:t xml:space="preserve">was </w:t>
      </w:r>
      <w:r w:rsidRPr="00D576C5">
        <w:t>provided in 2012-</w:t>
      </w:r>
      <w:r w:rsidR="00AA06D8">
        <w:t>13</w:t>
      </w:r>
      <w:r w:rsidR="00AA06D8" w:rsidRPr="00D576C5">
        <w:t xml:space="preserve"> </w:t>
      </w:r>
      <w:r w:rsidRPr="00D576C5">
        <w:t xml:space="preserve">for nominated charitable housing properties that </w:t>
      </w:r>
      <w:r>
        <w:t xml:space="preserve">had </w:t>
      </w:r>
      <w:r w:rsidRPr="00D576C5">
        <w:t>previously not been rated</w:t>
      </w:r>
      <w:r>
        <w:t>,</w:t>
      </w:r>
      <w:r w:rsidRPr="00D576C5">
        <w:t xml:space="preserve"> to allow for a smooth transition in the rateable status of these properties. </w:t>
      </w:r>
    </w:p>
    <w:p w:rsidR="00F462EA" w:rsidRDefault="0075415F">
      <w:pPr>
        <w:pStyle w:val="BodyText"/>
      </w:pPr>
      <w:r w:rsidRPr="00D576C5">
        <w:t xml:space="preserve">Assistance for low income households is already provided through the State Government pension rebate and the means tested rent provided by the Department of Housing and the Housing Associations. </w:t>
      </w:r>
    </w:p>
    <w:p w:rsidR="0075415F" w:rsidRPr="00BA4451" w:rsidRDefault="0075415F" w:rsidP="00D43F06">
      <w:pPr>
        <w:pStyle w:val="Heading5A"/>
      </w:pPr>
      <w:bookmarkStart w:id="530" w:name="_Toc355947722"/>
      <w:bookmarkStart w:id="531" w:name="_Toc356202562"/>
      <w:bookmarkStart w:id="532" w:name="_Toc356202895"/>
      <w:r w:rsidRPr="00BA4451">
        <w:t>Rates Assistance</w:t>
      </w:r>
      <w:bookmarkEnd w:id="530"/>
      <w:bookmarkEnd w:id="531"/>
      <w:bookmarkEnd w:id="532"/>
      <w:r w:rsidRPr="00BA4451">
        <w:t xml:space="preserve"> </w:t>
      </w:r>
    </w:p>
    <w:p w:rsidR="0075415F" w:rsidRDefault="0075415F">
      <w:pPr>
        <w:pStyle w:val="BodyText"/>
      </w:pPr>
      <w:r>
        <w:t>T</w:t>
      </w:r>
      <w:r w:rsidRPr="00D576C5">
        <w:t xml:space="preserve">he rate relief provisions </w:t>
      </w:r>
      <w:r>
        <w:t xml:space="preserve">continued, </w:t>
      </w:r>
      <w:r w:rsidRPr="00D576C5">
        <w:t>to allow for the continuation of a one</w:t>
      </w:r>
      <w:r w:rsidRPr="00D576C5">
        <w:noBreakHyphen/>
        <w:t xml:space="preserve">off waiver for residential and farm properties where the valuation </w:t>
      </w:r>
      <w:r>
        <w:t xml:space="preserve">increased greater than 50% </w:t>
      </w:r>
      <w:r w:rsidRPr="00D576C5">
        <w:t xml:space="preserve">and </w:t>
      </w:r>
      <w:r>
        <w:t xml:space="preserve">was </w:t>
      </w:r>
      <w:r w:rsidRPr="00D576C5">
        <w:t xml:space="preserve">purely the result of market factors, not the result of improvements to property by the owner. </w:t>
      </w:r>
    </w:p>
    <w:p w:rsidR="0075415F" w:rsidRPr="00D576C5" w:rsidRDefault="0075415F">
      <w:pPr>
        <w:pStyle w:val="BodyText"/>
      </w:pPr>
      <w:r>
        <w:t xml:space="preserve">The amount of the waiver was set, commencing at 25% rebate for valuation increases at 50% and up to 50% rebate for valuation increases at 60% or greater. </w:t>
      </w:r>
      <w:r w:rsidRPr="00D576C5">
        <w:t>The waiver is designed to mitigate the rates shock of a valuation increase and is only claimable once in a two year valuation period.</w:t>
      </w:r>
    </w:p>
    <w:p w:rsidR="00F462EA" w:rsidRDefault="00132FCB">
      <w:pPr>
        <w:pStyle w:val="BodyText"/>
      </w:pPr>
      <w:r>
        <w:lastRenderedPageBreak/>
        <w:t xml:space="preserve">Council </w:t>
      </w:r>
      <w:r w:rsidR="0075415F">
        <w:t>also provided</w:t>
      </w:r>
      <w:r w:rsidR="0075415F" w:rsidRPr="00D576C5">
        <w:t xml:space="preserve"> a range of assistance measures to suit individual needs including pension rebates, farm rebates, rates deferral, and payment options such as regular Direct Debit, and Centrepay.</w:t>
      </w:r>
    </w:p>
    <w:p w:rsidR="0075415F" w:rsidRPr="00BA4451" w:rsidRDefault="0075415F" w:rsidP="00D43F06">
      <w:pPr>
        <w:pStyle w:val="Heading5A"/>
      </w:pPr>
      <w:bookmarkStart w:id="533" w:name="_Toc355947723"/>
      <w:bookmarkStart w:id="534" w:name="_Toc356202563"/>
      <w:bookmarkStart w:id="535" w:name="_Toc356202896"/>
      <w:r w:rsidRPr="00BA4451">
        <w:t>Municipal Charge</w:t>
      </w:r>
      <w:bookmarkEnd w:id="533"/>
      <w:bookmarkEnd w:id="534"/>
      <w:bookmarkEnd w:id="535"/>
    </w:p>
    <w:p w:rsidR="0075415F" w:rsidRPr="00D576C5" w:rsidRDefault="0075415F">
      <w:pPr>
        <w:pStyle w:val="BodyText"/>
      </w:pPr>
      <w:r w:rsidRPr="00D576C5">
        <w:t xml:space="preserve">The purpose of the municipal charge is to recover some of the administrative costs of the </w:t>
      </w:r>
      <w:r w:rsidR="00132FCB">
        <w:t>Council</w:t>
      </w:r>
      <w:r w:rsidRPr="00D576C5">
        <w:t>. The charge is applied to all rateable properties and increased from $82.30 to $86.33.</w:t>
      </w:r>
    </w:p>
    <w:p w:rsidR="0075415F" w:rsidRPr="00D576C5" w:rsidRDefault="0075415F">
      <w:pPr>
        <w:pStyle w:val="BodyText"/>
      </w:pPr>
      <w:r w:rsidRPr="00D576C5">
        <w:t xml:space="preserve">Where rates are a variable charge levied on </w:t>
      </w:r>
      <w:smartTag w:uri="urn:schemas-microsoft-com:office:smarttags" w:element="stockticker">
        <w:r w:rsidRPr="00D576C5">
          <w:t>CIV</w:t>
        </w:r>
      </w:smartTag>
      <w:r w:rsidRPr="00D576C5">
        <w:t xml:space="preserve"> at a rate in the dollar, the municipal charge is a fixed contribution on all ratepayers. </w:t>
      </w:r>
    </w:p>
    <w:p w:rsidR="0075415F" w:rsidRPr="00BA4451" w:rsidRDefault="0075415F" w:rsidP="00D43F06">
      <w:pPr>
        <w:pStyle w:val="Heading5A"/>
      </w:pPr>
      <w:bookmarkStart w:id="536" w:name="_Toc355947724"/>
      <w:bookmarkStart w:id="537" w:name="_Toc356202897"/>
      <w:r w:rsidRPr="00BA4451">
        <w:t>Recycling and Waste Collection Service Charge</w:t>
      </w:r>
      <w:bookmarkEnd w:id="536"/>
      <w:bookmarkEnd w:id="537"/>
    </w:p>
    <w:p w:rsidR="0075415F" w:rsidRPr="00D576C5" w:rsidRDefault="0075415F">
      <w:pPr>
        <w:pStyle w:val="BodyText"/>
        <w:rPr>
          <w:lang w:val="en-US"/>
        </w:rPr>
      </w:pPr>
      <w:r w:rsidRPr="00D576C5">
        <w:t xml:space="preserve">The Annual Service Charge </w:t>
      </w:r>
      <w:r>
        <w:t xml:space="preserve">was </w:t>
      </w:r>
      <w:r w:rsidRPr="00D576C5">
        <w:t xml:space="preserve">$226.00 for each rateable land and non-rateable land. The charge </w:t>
      </w:r>
      <w:r>
        <w:t xml:space="preserve">was </w:t>
      </w:r>
      <w:r w:rsidRPr="00D576C5">
        <w:t>levied on the following criteria:</w:t>
      </w:r>
    </w:p>
    <w:p w:rsidR="00A23966" w:rsidRPr="00132FCB" w:rsidRDefault="0075415F" w:rsidP="005167B1">
      <w:pPr>
        <w:pStyle w:val="ListParagraph"/>
        <w:numPr>
          <w:ilvl w:val="0"/>
          <w:numId w:val="43"/>
        </w:numPr>
        <w:spacing w:after="80"/>
        <w:ind w:left="357" w:hanging="357"/>
        <w:jc w:val="both"/>
      </w:pPr>
      <w:r w:rsidRPr="005A2AD5">
        <w:rPr>
          <w:rFonts w:cs="Lucida Sans Unicode"/>
          <w:szCs w:val="22"/>
        </w:rPr>
        <w:t xml:space="preserve">Geographic existence within those areas of the municipal district in which </w:t>
      </w:r>
      <w:r w:rsidR="00132FCB">
        <w:rPr>
          <w:rFonts w:cs="Lucida Sans Unicode"/>
          <w:szCs w:val="22"/>
        </w:rPr>
        <w:t xml:space="preserve">Council </w:t>
      </w:r>
      <w:r w:rsidRPr="00132FCB">
        <w:rPr>
          <w:rFonts w:cs="Lucida Sans Unicode"/>
          <w:szCs w:val="22"/>
        </w:rPr>
        <w:t xml:space="preserve">provides a domestic refuse collection and disposal service. </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The charge was raised irrespective of whether the service were used or not.</w:t>
      </w:r>
    </w:p>
    <w:p w:rsidR="00F462EA" w:rsidRDefault="0075415F">
      <w:pPr>
        <w:pStyle w:val="BodyText"/>
      </w:pPr>
      <w:r w:rsidRPr="006C2980">
        <w:t>The Waste Collection Service charge is calculated based on a fee for service, including direct, indirect and overhead costs. The charge is impacted by the closure of Corio Landfill, cost estimates for the introduction of Carbon Tax and the increase in the EPA levy of $4 per tonne on waste going to landfill. The charge for 2012</w:t>
      </w:r>
      <w:r w:rsidRPr="006C2980">
        <w:noBreakHyphen/>
      </w:r>
      <w:r w:rsidR="00AA06D8">
        <w:t>13</w:t>
      </w:r>
      <w:r w:rsidR="00AA06D8" w:rsidRPr="006C2980">
        <w:t xml:space="preserve"> </w:t>
      </w:r>
      <w:r w:rsidRPr="006C2980">
        <w:t>increase</w:t>
      </w:r>
      <w:r>
        <w:t>d</w:t>
      </w:r>
      <w:r w:rsidRPr="006C2980">
        <w:t xml:space="preserve"> from $213.20 to $226.00 or 6.0%.</w:t>
      </w:r>
    </w:p>
    <w:p w:rsidR="0075415F" w:rsidRPr="00BA4451" w:rsidRDefault="0075415F" w:rsidP="00D43F06">
      <w:pPr>
        <w:pStyle w:val="Heading5A"/>
      </w:pPr>
      <w:bookmarkStart w:id="538" w:name="_Toc355947725"/>
      <w:bookmarkStart w:id="539" w:name="_Toc356202564"/>
      <w:bookmarkStart w:id="540" w:name="_Toc356202898"/>
      <w:r w:rsidRPr="00BA4451">
        <w:t>Farm Rebate</w:t>
      </w:r>
      <w:bookmarkEnd w:id="538"/>
      <w:bookmarkEnd w:id="539"/>
      <w:bookmarkEnd w:id="540"/>
    </w:p>
    <w:p w:rsidR="0075415F" w:rsidRPr="00D576C5" w:rsidRDefault="0075415F">
      <w:pPr>
        <w:pStyle w:val="BodyText"/>
        <w:rPr>
          <w:b/>
        </w:rPr>
      </w:pPr>
      <w:r w:rsidRPr="00D576C5">
        <w:t xml:space="preserve">The Farm rebate </w:t>
      </w:r>
      <w:r>
        <w:t>was</w:t>
      </w:r>
      <w:r w:rsidRPr="00D576C5">
        <w:t xml:space="preserve"> reduce to 36.2% with average rates increasing by 4.9%.  This rebate provides ongoing rate relief to farmers (33% rebate 2006</w:t>
      </w:r>
      <w:r w:rsidRPr="00D576C5">
        <w:noBreakHyphen/>
      </w:r>
      <w:r w:rsidR="00AA06D8">
        <w:t>07</w:t>
      </w:r>
      <w:r w:rsidRPr="00D576C5">
        <w:t>, 40% rebate 2007-</w:t>
      </w:r>
      <w:r w:rsidR="00AA06D8">
        <w:t>08</w:t>
      </w:r>
      <w:r w:rsidRPr="00D576C5">
        <w:t>, 45% 2008-</w:t>
      </w:r>
      <w:r w:rsidR="00AA06D8">
        <w:t>09</w:t>
      </w:r>
      <w:r w:rsidRPr="00D576C5">
        <w:t>, 45% for 2009-</w:t>
      </w:r>
      <w:r w:rsidR="00AA06D8">
        <w:t>10</w:t>
      </w:r>
      <w:r w:rsidRPr="00D576C5">
        <w:t>, 46.5% for 2010-</w:t>
      </w:r>
      <w:r w:rsidR="00AA06D8">
        <w:t>11</w:t>
      </w:r>
      <w:r w:rsidRPr="00D576C5">
        <w:t>, 46.5% for 2011-</w:t>
      </w:r>
      <w:r w:rsidR="00AA06D8">
        <w:t>12</w:t>
      </w:r>
      <w:r w:rsidRPr="00D576C5">
        <w:t>). In 2012</w:t>
      </w:r>
      <w:r w:rsidRPr="00D576C5">
        <w:noBreakHyphen/>
      </w:r>
      <w:r w:rsidR="00AA06D8">
        <w:t>13</w:t>
      </w:r>
      <w:r w:rsidR="00AA06D8" w:rsidRPr="00D576C5">
        <w:t xml:space="preserve"> </w:t>
      </w:r>
      <w:r w:rsidRPr="00D576C5">
        <w:t>a 36.2% rebate represents a cost to Council of $1.</w:t>
      </w:r>
      <w:r w:rsidR="00284F98" w:rsidRPr="00D576C5">
        <w:t>3</w:t>
      </w:r>
      <w:r w:rsidR="00284F98">
        <w:t>m</w:t>
      </w:r>
      <w:r w:rsidRPr="00D576C5">
        <w:t>.</w:t>
      </w:r>
    </w:p>
    <w:p w:rsidR="0075415F" w:rsidRPr="00BA4451" w:rsidRDefault="0075415F" w:rsidP="00D43F06">
      <w:pPr>
        <w:pStyle w:val="Heading5A"/>
      </w:pPr>
      <w:bookmarkStart w:id="541" w:name="_Toc355947726"/>
      <w:bookmarkStart w:id="542" w:name="_Toc356202565"/>
      <w:bookmarkStart w:id="543" w:name="_Toc356202899"/>
      <w:r w:rsidRPr="00BA4451">
        <w:t>Pensioner Concession</w:t>
      </w:r>
      <w:bookmarkEnd w:id="541"/>
      <w:bookmarkEnd w:id="542"/>
      <w:bookmarkEnd w:id="543"/>
    </w:p>
    <w:p w:rsidR="0075415F" w:rsidRPr="00D576C5" w:rsidRDefault="0075415F">
      <w:pPr>
        <w:pStyle w:val="BodyText"/>
        <w:rPr>
          <w:b/>
        </w:rPr>
      </w:pPr>
      <w:r w:rsidRPr="00D576C5">
        <w:t>The pensioner concession increase</w:t>
      </w:r>
      <w:r>
        <w:t>d</w:t>
      </w:r>
      <w:r w:rsidRPr="00D576C5">
        <w:t xml:space="preserve"> from $193.40</w:t>
      </w:r>
      <w:r>
        <w:t xml:space="preserve"> to $198.20 representing a 2.5% increase.</w:t>
      </w:r>
    </w:p>
    <w:p w:rsidR="0075415F" w:rsidRPr="00BA4451" w:rsidRDefault="0075415F" w:rsidP="00D43F06">
      <w:pPr>
        <w:pStyle w:val="Heading5A"/>
      </w:pPr>
      <w:bookmarkStart w:id="544" w:name="_Toc355947727"/>
      <w:bookmarkStart w:id="545" w:name="_Toc356202566"/>
      <w:bookmarkStart w:id="546" w:name="_Toc356202900"/>
      <w:r w:rsidRPr="00BA4451">
        <w:t>Residential Rates and Charges</w:t>
      </w:r>
      <w:bookmarkEnd w:id="544"/>
      <w:bookmarkEnd w:id="545"/>
      <w:bookmarkEnd w:id="546"/>
    </w:p>
    <w:p w:rsidR="0075415F" w:rsidRPr="00D576C5" w:rsidRDefault="0075415F">
      <w:pPr>
        <w:pStyle w:val="BodyText"/>
      </w:pPr>
      <w:r w:rsidRPr="00D576C5">
        <w:t>The general revaluation movement of 10.2% together with growth from increase in property numbers due to new assessments and building improvements have increased the average Capital Improved Value of residential properties within the municipality from $328,762 to $363,800.</w:t>
      </w:r>
    </w:p>
    <w:p w:rsidR="0075415F" w:rsidRDefault="0075415F">
      <w:pPr>
        <w:pStyle w:val="BodyText"/>
      </w:pPr>
      <w:r w:rsidRPr="00D576C5">
        <w:t>The total increase in rates and charges for the average property with a capital improved value of $363,800 is $60.06 or 5.1%. This increase is made up of $43.23 for General Rates, $4.03 for Municipal Charge and $12.80 for the Waste Collection service.</w:t>
      </w:r>
    </w:p>
    <w:tbl>
      <w:tblPr>
        <w:tblW w:w="0" w:type="auto"/>
        <w:tblLook w:val="01E0" w:firstRow="1" w:lastRow="1" w:firstColumn="1" w:lastColumn="1" w:noHBand="0" w:noVBand="0"/>
      </w:tblPr>
      <w:tblGrid>
        <w:gridCol w:w="3402"/>
        <w:gridCol w:w="1737"/>
        <w:gridCol w:w="1737"/>
        <w:gridCol w:w="1737"/>
      </w:tblGrid>
      <w:tr w:rsidR="0075415F" w:rsidRPr="00E60EA6" w:rsidTr="00E60EA6">
        <w:tc>
          <w:tcPr>
            <w:tcW w:w="3402" w:type="dxa"/>
            <w:tcBorders>
              <w:top w:val="single" w:sz="4" w:space="0" w:color="000000"/>
              <w:bottom w:val="single" w:sz="4" w:space="0" w:color="000000"/>
            </w:tcBorders>
            <w:shd w:val="clear" w:color="auto" w:fill="auto"/>
            <w:vAlign w:val="bottom"/>
          </w:tcPr>
          <w:p w:rsidR="0075415F" w:rsidRPr="001A5D13" w:rsidRDefault="0075415F" w:rsidP="001C2457">
            <w:pPr>
              <w:spacing w:before="0" w:after="0"/>
              <w:rPr>
                <w:rFonts w:ascii="News Gothic Std" w:hAnsi="News Gothic Std" w:cs="Arial"/>
                <w:color w:val="0070C0"/>
                <w:sz w:val="18"/>
                <w:szCs w:val="18"/>
              </w:rPr>
            </w:pPr>
            <w:r w:rsidRPr="001A5D13">
              <w:rPr>
                <w:rFonts w:ascii="News Gothic Std" w:hAnsi="News Gothic Std" w:cs="Arial"/>
                <w:color w:val="0070C0"/>
                <w:sz w:val="18"/>
                <w:szCs w:val="18"/>
              </w:rPr>
              <w:lastRenderedPageBreak/>
              <w:t>Residential Properties</w:t>
            </w:r>
          </w:p>
        </w:tc>
        <w:tc>
          <w:tcPr>
            <w:tcW w:w="1737" w:type="dxa"/>
            <w:tcBorders>
              <w:top w:val="single" w:sz="4" w:space="0" w:color="000000"/>
              <w:bottom w:val="single" w:sz="4" w:space="0" w:color="000000"/>
            </w:tcBorders>
            <w:shd w:val="clear" w:color="auto" w:fill="auto"/>
            <w:vAlign w:val="bottom"/>
          </w:tcPr>
          <w:p w:rsidR="00624E87" w:rsidRPr="001A5D13" w:rsidRDefault="0075415F">
            <w:pPr>
              <w:spacing w:before="0" w:after="0"/>
              <w:jc w:val="right"/>
              <w:rPr>
                <w:rFonts w:ascii="News Gothic Std" w:hAnsi="News Gothic Std" w:cs="Arial"/>
                <w:color w:val="0070C0"/>
                <w:sz w:val="18"/>
                <w:szCs w:val="18"/>
              </w:rPr>
            </w:pPr>
            <w:r w:rsidRPr="001A5D13">
              <w:rPr>
                <w:rFonts w:ascii="News Gothic Std" w:hAnsi="News Gothic Std" w:cs="Arial"/>
                <w:color w:val="0070C0"/>
                <w:sz w:val="18"/>
                <w:szCs w:val="18"/>
              </w:rPr>
              <w:t>2011-12</w:t>
            </w:r>
            <w:r w:rsidRPr="001A5D13">
              <w:rPr>
                <w:rFonts w:ascii="News Gothic Std" w:hAnsi="News Gothic Std" w:cs="Arial"/>
                <w:color w:val="0070C0"/>
                <w:sz w:val="18"/>
                <w:szCs w:val="18"/>
              </w:rPr>
              <w:br/>
              <w:t>Rates on Av CIV $</w:t>
            </w:r>
          </w:p>
        </w:tc>
        <w:tc>
          <w:tcPr>
            <w:tcW w:w="1737" w:type="dxa"/>
            <w:tcBorders>
              <w:top w:val="single" w:sz="4" w:space="0" w:color="000000"/>
              <w:bottom w:val="single" w:sz="4" w:space="0" w:color="000000"/>
            </w:tcBorders>
            <w:shd w:val="clear" w:color="auto" w:fill="auto"/>
          </w:tcPr>
          <w:p w:rsidR="00624E87" w:rsidRPr="001A5D13" w:rsidRDefault="0075415F">
            <w:pPr>
              <w:spacing w:before="0" w:after="0"/>
              <w:jc w:val="right"/>
              <w:rPr>
                <w:rFonts w:ascii="News Gothic Std" w:hAnsi="News Gothic Std" w:cs="Arial"/>
                <w:color w:val="0070C0"/>
                <w:sz w:val="18"/>
                <w:szCs w:val="18"/>
              </w:rPr>
            </w:pPr>
            <w:r w:rsidRPr="001A5D13">
              <w:rPr>
                <w:rFonts w:ascii="News Gothic Std" w:hAnsi="News Gothic Std" w:cs="Arial"/>
                <w:color w:val="0070C0"/>
                <w:sz w:val="18"/>
                <w:szCs w:val="18"/>
              </w:rPr>
              <w:t>2012-13</w:t>
            </w:r>
            <w:r w:rsidRPr="001A5D13">
              <w:rPr>
                <w:rFonts w:ascii="News Gothic Std" w:hAnsi="News Gothic Std" w:cs="Arial"/>
                <w:color w:val="0070C0"/>
                <w:sz w:val="18"/>
                <w:szCs w:val="18"/>
              </w:rPr>
              <w:br/>
              <w:t>Average</w:t>
            </w:r>
            <w:r w:rsidRPr="001A5D13">
              <w:rPr>
                <w:rFonts w:ascii="News Gothic Std" w:hAnsi="News Gothic Std" w:cs="Arial"/>
                <w:color w:val="0070C0"/>
                <w:sz w:val="18"/>
                <w:szCs w:val="18"/>
              </w:rPr>
              <w:br/>
              <w:t>Rates $</w:t>
            </w:r>
          </w:p>
        </w:tc>
        <w:tc>
          <w:tcPr>
            <w:tcW w:w="1737" w:type="dxa"/>
            <w:tcBorders>
              <w:top w:val="single" w:sz="4" w:space="0" w:color="000000"/>
              <w:bottom w:val="single" w:sz="4" w:space="0" w:color="000000"/>
            </w:tcBorders>
            <w:shd w:val="clear" w:color="auto" w:fill="auto"/>
            <w:vAlign w:val="bottom"/>
          </w:tcPr>
          <w:p w:rsidR="0075415F" w:rsidRPr="001A5D13" w:rsidRDefault="0075415F" w:rsidP="001C2457">
            <w:pPr>
              <w:spacing w:before="0" w:after="0"/>
              <w:jc w:val="right"/>
              <w:rPr>
                <w:rFonts w:ascii="News Gothic Std" w:hAnsi="News Gothic Std" w:cs="Arial"/>
                <w:color w:val="0070C0"/>
                <w:sz w:val="18"/>
                <w:szCs w:val="18"/>
              </w:rPr>
            </w:pPr>
            <w:r w:rsidRPr="001A5D13">
              <w:rPr>
                <w:rFonts w:ascii="News Gothic Std" w:hAnsi="News Gothic Std" w:cs="Arial"/>
                <w:color w:val="0070C0"/>
                <w:sz w:val="18"/>
                <w:szCs w:val="18"/>
              </w:rPr>
              <w:t>Increase %</w:t>
            </w:r>
          </w:p>
        </w:tc>
      </w:tr>
      <w:tr w:rsidR="0075415F" w:rsidRPr="00E60EA6" w:rsidTr="00E60EA6">
        <w:tc>
          <w:tcPr>
            <w:tcW w:w="3402" w:type="dxa"/>
            <w:tcBorders>
              <w:top w:val="single" w:sz="4" w:space="0" w:color="000000"/>
            </w:tcBorders>
            <w:shd w:val="clear" w:color="auto" w:fill="auto"/>
          </w:tcPr>
          <w:p w:rsidR="0075415F" w:rsidRPr="00E60EA6" w:rsidRDefault="0075415F" w:rsidP="001C2457">
            <w:pPr>
              <w:spacing w:before="0" w:after="0"/>
              <w:jc w:val="both"/>
              <w:rPr>
                <w:rFonts w:cs="Lucida Sans Unicode"/>
                <w:color w:val="000000"/>
                <w:sz w:val="18"/>
                <w:szCs w:val="18"/>
                <w:lang w:val="en-US"/>
              </w:rPr>
            </w:pPr>
            <w:r w:rsidRPr="00E60EA6">
              <w:rPr>
                <w:rFonts w:cs="Lucida Sans Unicode"/>
                <w:color w:val="000000"/>
                <w:sz w:val="18"/>
                <w:szCs w:val="18"/>
              </w:rPr>
              <w:t xml:space="preserve">General Rates </w:t>
            </w:r>
            <w:smartTag w:uri="urn:schemas-microsoft-com:office:smarttags" w:element="stockticker">
              <w:r w:rsidRPr="00E60EA6">
                <w:rPr>
                  <w:rFonts w:cs="Lucida Sans Unicode"/>
                  <w:color w:val="000000"/>
                  <w:sz w:val="18"/>
                  <w:szCs w:val="18"/>
                </w:rPr>
                <w:t>CIV</w:t>
              </w:r>
            </w:smartTag>
            <w:r w:rsidRPr="00E60EA6">
              <w:rPr>
                <w:rFonts w:cs="Lucida Sans Unicode"/>
                <w:color w:val="000000"/>
                <w:sz w:val="18"/>
                <w:szCs w:val="18"/>
              </w:rPr>
              <w:t xml:space="preserve"> x Rate in $</w:t>
            </w:r>
          </w:p>
        </w:tc>
        <w:tc>
          <w:tcPr>
            <w:tcW w:w="1737" w:type="dxa"/>
            <w:tcBorders>
              <w:top w:val="single" w:sz="4" w:space="0" w:color="000000"/>
            </w:tcBorders>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882.28</w:t>
            </w:r>
          </w:p>
        </w:tc>
        <w:tc>
          <w:tcPr>
            <w:tcW w:w="1737" w:type="dxa"/>
            <w:tcBorders>
              <w:top w:val="single" w:sz="4" w:space="0" w:color="000000"/>
            </w:tcBorders>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925.51</w:t>
            </w:r>
          </w:p>
        </w:tc>
        <w:tc>
          <w:tcPr>
            <w:tcW w:w="1737" w:type="dxa"/>
            <w:tcBorders>
              <w:top w:val="single" w:sz="4" w:space="0" w:color="000000"/>
            </w:tcBorders>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4.9%</w:t>
            </w:r>
          </w:p>
        </w:tc>
      </w:tr>
      <w:tr w:rsidR="0075415F" w:rsidRPr="00E60EA6" w:rsidTr="000F2A1D">
        <w:tc>
          <w:tcPr>
            <w:tcW w:w="3402" w:type="dxa"/>
            <w:shd w:val="clear" w:color="auto" w:fill="auto"/>
          </w:tcPr>
          <w:p w:rsidR="0075415F" w:rsidRPr="00E60EA6" w:rsidRDefault="0075415F" w:rsidP="001C2457">
            <w:pPr>
              <w:spacing w:before="0" w:after="0"/>
              <w:jc w:val="both"/>
              <w:rPr>
                <w:rFonts w:cs="Lucida Sans Unicode"/>
                <w:color w:val="000000"/>
                <w:sz w:val="18"/>
                <w:szCs w:val="18"/>
              </w:rPr>
            </w:pPr>
            <w:r w:rsidRPr="00E60EA6">
              <w:rPr>
                <w:rFonts w:cs="Lucida Sans Unicode"/>
                <w:color w:val="000000"/>
                <w:sz w:val="18"/>
                <w:szCs w:val="18"/>
              </w:rPr>
              <w:t>Municipal Charge</w:t>
            </w:r>
          </w:p>
        </w:tc>
        <w:tc>
          <w:tcPr>
            <w:tcW w:w="1737" w:type="dxa"/>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82.30</w:t>
            </w:r>
          </w:p>
        </w:tc>
        <w:tc>
          <w:tcPr>
            <w:tcW w:w="1737" w:type="dxa"/>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86.33</w:t>
            </w:r>
          </w:p>
        </w:tc>
        <w:tc>
          <w:tcPr>
            <w:tcW w:w="1737" w:type="dxa"/>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4.9%</w:t>
            </w:r>
          </w:p>
        </w:tc>
      </w:tr>
      <w:tr w:rsidR="0075415F" w:rsidRPr="00E60EA6" w:rsidTr="00E60EA6">
        <w:tc>
          <w:tcPr>
            <w:tcW w:w="3402" w:type="dxa"/>
            <w:tcBorders>
              <w:bottom w:val="single" w:sz="4" w:space="0" w:color="000000"/>
            </w:tcBorders>
            <w:shd w:val="clear" w:color="auto" w:fill="auto"/>
          </w:tcPr>
          <w:p w:rsidR="0075415F" w:rsidRPr="00E60EA6" w:rsidRDefault="0075415F" w:rsidP="001C2457">
            <w:pPr>
              <w:spacing w:before="0" w:after="0"/>
              <w:jc w:val="both"/>
              <w:rPr>
                <w:rFonts w:cs="Lucida Sans Unicode"/>
                <w:color w:val="000000"/>
                <w:sz w:val="18"/>
                <w:szCs w:val="18"/>
              </w:rPr>
            </w:pPr>
            <w:r w:rsidRPr="00E60EA6">
              <w:rPr>
                <w:rFonts w:cs="Lucida Sans Unicode"/>
                <w:color w:val="000000"/>
                <w:sz w:val="18"/>
                <w:szCs w:val="18"/>
              </w:rPr>
              <w:t>Waste Collection Service</w:t>
            </w:r>
          </w:p>
        </w:tc>
        <w:tc>
          <w:tcPr>
            <w:tcW w:w="1737" w:type="dxa"/>
            <w:tcBorders>
              <w:bottom w:val="single" w:sz="4" w:space="0" w:color="000000"/>
            </w:tcBorders>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213.20</w:t>
            </w:r>
          </w:p>
        </w:tc>
        <w:tc>
          <w:tcPr>
            <w:tcW w:w="1737" w:type="dxa"/>
            <w:tcBorders>
              <w:bottom w:val="single" w:sz="4" w:space="0" w:color="000000"/>
            </w:tcBorders>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226.00</w:t>
            </w:r>
          </w:p>
        </w:tc>
        <w:tc>
          <w:tcPr>
            <w:tcW w:w="1737" w:type="dxa"/>
            <w:tcBorders>
              <w:bottom w:val="single" w:sz="4" w:space="0" w:color="000000"/>
            </w:tcBorders>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6.0%</w:t>
            </w:r>
          </w:p>
        </w:tc>
      </w:tr>
      <w:tr w:rsidR="0075415F" w:rsidRPr="00E60EA6" w:rsidTr="00E60EA6">
        <w:tc>
          <w:tcPr>
            <w:tcW w:w="3402" w:type="dxa"/>
            <w:tcBorders>
              <w:top w:val="single" w:sz="4" w:space="0" w:color="000000"/>
              <w:bottom w:val="single" w:sz="4" w:space="0" w:color="000000"/>
            </w:tcBorders>
            <w:shd w:val="clear" w:color="auto" w:fill="auto"/>
          </w:tcPr>
          <w:p w:rsidR="0075415F" w:rsidRPr="00E60EA6" w:rsidRDefault="0075415F" w:rsidP="001C2457">
            <w:pPr>
              <w:spacing w:before="0" w:after="0"/>
              <w:jc w:val="both"/>
              <w:rPr>
                <w:rFonts w:cs="Lucida Sans Unicode"/>
                <w:b/>
                <w:color w:val="000000"/>
                <w:sz w:val="18"/>
                <w:szCs w:val="18"/>
              </w:rPr>
            </w:pPr>
            <w:r w:rsidRPr="00E60EA6">
              <w:rPr>
                <w:rFonts w:cs="Lucida Sans Unicode"/>
                <w:b/>
                <w:color w:val="000000"/>
                <w:sz w:val="18"/>
                <w:szCs w:val="18"/>
              </w:rPr>
              <w:t>Total Rates and Charges</w:t>
            </w:r>
          </w:p>
        </w:tc>
        <w:tc>
          <w:tcPr>
            <w:tcW w:w="1737" w:type="dxa"/>
            <w:tcBorders>
              <w:top w:val="single" w:sz="4" w:space="0" w:color="000000"/>
              <w:bottom w:val="single" w:sz="4" w:space="0" w:color="000000"/>
            </w:tcBorders>
            <w:shd w:val="clear" w:color="auto" w:fill="auto"/>
          </w:tcPr>
          <w:p w:rsidR="0075415F" w:rsidRPr="00E60EA6" w:rsidRDefault="0075415F" w:rsidP="001C2457">
            <w:pPr>
              <w:spacing w:before="0" w:after="0"/>
              <w:jc w:val="right"/>
              <w:rPr>
                <w:rFonts w:cs="Lucida Sans Unicode"/>
                <w:b/>
                <w:color w:val="000000"/>
                <w:sz w:val="18"/>
                <w:szCs w:val="18"/>
              </w:rPr>
            </w:pPr>
            <w:r w:rsidRPr="00E60EA6">
              <w:rPr>
                <w:rFonts w:cs="Lucida Sans Unicode"/>
                <w:b/>
                <w:color w:val="000000"/>
                <w:sz w:val="18"/>
                <w:szCs w:val="18"/>
              </w:rPr>
              <w:t>1,177.78</w:t>
            </w:r>
          </w:p>
        </w:tc>
        <w:tc>
          <w:tcPr>
            <w:tcW w:w="1737" w:type="dxa"/>
            <w:tcBorders>
              <w:top w:val="single" w:sz="4" w:space="0" w:color="000000"/>
              <w:bottom w:val="single" w:sz="4" w:space="0" w:color="000000"/>
            </w:tcBorders>
            <w:shd w:val="clear" w:color="auto" w:fill="auto"/>
          </w:tcPr>
          <w:p w:rsidR="0075415F" w:rsidRPr="00E60EA6" w:rsidRDefault="0075415F" w:rsidP="001C2457">
            <w:pPr>
              <w:spacing w:before="0" w:after="0"/>
              <w:jc w:val="right"/>
              <w:rPr>
                <w:rFonts w:cs="Lucida Sans Unicode"/>
                <w:b/>
                <w:color w:val="000000"/>
                <w:sz w:val="18"/>
                <w:szCs w:val="18"/>
              </w:rPr>
            </w:pPr>
            <w:r w:rsidRPr="00E60EA6">
              <w:rPr>
                <w:rFonts w:cs="Lucida Sans Unicode"/>
                <w:b/>
                <w:color w:val="000000"/>
                <w:sz w:val="18"/>
                <w:szCs w:val="18"/>
              </w:rPr>
              <w:t>1,237.84</w:t>
            </w:r>
          </w:p>
        </w:tc>
        <w:tc>
          <w:tcPr>
            <w:tcW w:w="1737" w:type="dxa"/>
            <w:tcBorders>
              <w:top w:val="single" w:sz="4" w:space="0" w:color="000000"/>
              <w:bottom w:val="single" w:sz="4" w:space="0" w:color="000000"/>
            </w:tcBorders>
            <w:shd w:val="clear" w:color="auto" w:fill="auto"/>
          </w:tcPr>
          <w:p w:rsidR="0075415F" w:rsidRPr="00E60EA6" w:rsidRDefault="0075415F" w:rsidP="001C2457">
            <w:pPr>
              <w:spacing w:before="0" w:after="0"/>
              <w:jc w:val="right"/>
              <w:rPr>
                <w:rFonts w:cs="Lucida Sans Unicode"/>
                <w:b/>
                <w:color w:val="000000"/>
                <w:sz w:val="18"/>
                <w:szCs w:val="18"/>
              </w:rPr>
            </w:pPr>
            <w:r w:rsidRPr="00E60EA6">
              <w:rPr>
                <w:rFonts w:cs="Lucida Sans Unicode"/>
                <w:b/>
                <w:color w:val="000000"/>
                <w:sz w:val="18"/>
                <w:szCs w:val="18"/>
              </w:rPr>
              <w:t>5.1%</w:t>
            </w:r>
          </w:p>
        </w:tc>
      </w:tr>
    </w:tbl>
    <w:p w:rsidR="0075415F" w:rsidRDefault="0075415F">
      <w:pPr>
        <w:pStyle w:val="Heading4A"/>
      </w:pPr>
      <w:r>
        <w:t>2013-</w:t>
      </w:r>
      <w:r w:rsidR="009B21E0">
        <w:t>14</w:t>
      </w:r>
    </w:p>
    <w:p w:rsidR="0075415F" w:rsidRPr="00BA4451" w:rsidRDefault="0075415F" w:rsidP="00D43F06">
      <w:pPr>
        <w:pStyle w:val="Heading5A"/>
      </w:pPr>
      <w:r w:rsidRPr="00BA4451">
        <w:t>Rate Structure</w:t>
      </w:r>
    </w:p>
    <w:p w:rsidR="0075415F" w:rsidRDefault="0075415F">
      <w:pPr>
        <w:pStyle w:val="BodyText"/>
      </w:pPr>
      <w:r>
        <w:t>The 2013-</w:t>
      </w:r>
      <w:r w:rsidR="00AA06D8">
        <w:t xml:space="preserve">14 </w:t>
      </w:r>
      <w:r>
        <w:t>Rating Strategy included a number of significant changes in response to Ministerial Guidelines for Differential rating and Council considerations.</w:t>
      </w:r>
      <w:r w:rsidRPr="00D576C5">
        <w:t xml:space="preserve"> </w:t>
      </w:r>
      <w:r>
        <w:t xml:space="preserve">The finalised Ministerial Guidelines for Differential Rating were gazetted on 26 April 2013 and came into effect from 1 July 2013. </w:t>
      </w:r>
    </w:p>
    <w:p w:rsidR="0075415F" w:rsidRDefault="0075415F">
      <w:pPr>
        <w:pStyle w:val="BodyText"/>
      </w:pPr>
      <w:r>
        <w:t xml:space="preserve">A detailed review of existing objectives for each of the 13 differential tariffs was undertaken. New objectives were developed for some of the existing differentials to provide additional clarity where required. </w:t>
      </w:r>
    </w:p>
    <w:p w:rsidR="00F462EA" w:rsidRDefault="0075415F">
      <w:pPr>
        <w:pStyle w:val="BodyText"/>
      </w:pPr>
      <w:r>
        <w:t>The Late Licence differential rate was discontinued from 2013-</w:t>
      </w:r>
      <w:r w:rsidR="00AA06D8">
        <w:t>14</w:t>
      </w:r>
      <w:r>
        <w:t>. The Late Licence differential rate was introduced in 2000-</w:t>
      </w:r>
      <w:r w:rsidR="00AA06D8">
        <w:t xml:space="preserve">01 </w:t>
      </w:r>
      <w:r>
        <w:t>in recognition of the cost associated with this activity. This differential is now seen as inappropriate. The properties that were categorised under this differential are now categorised under the commercial differential rate to offset a reduction in revenue of $0.</w:t>
      </w:r>
      <w:r w:rsidR="00284F98">
        <w:t>34m</w:t>
      </w:r>
      <w:r>
        <w:t>.</w:t>
      </w:r>
    </w:p>
    <w:p w:rsidR="00F462EA" w:rsidRDefault="0075415F">
      <w:pPr>
        <w:pStyle w:val="BodyText"/>
      </w:pPr>
      <w:r w:rsidRPr="00D576C5">
        <w:t>The purpose of the various rating groups is to ensure that each group makes a fair and equitable contribution to rates. Full disclosure of the rating groups, number of properties, valuations and revenue is shown in the Statutory Information on Rates.</w:t>
      </w:r>
    </w:p>
    <w:p w:rsidR="0075415F" w:rsidRPr="00BA4451" w:rsidRDefault="0075415F" w:rsidP="00D43F06">
      <w:pPr>
        <w:pStyle w:val="Heading5A"/>
      </w:pPr>
      <w:r w:rsidRPr="00BA4451">
        <w:t>Fire Services Property Levy</w:t>
      </w:r>
    </w:p>
    <w:p w:rsidR="000744A6" w:rsidRDefault="0075415F">
      <w:pPr>
        <w:pStyle w:val="BodyText"/>
      </w:pPr>
      <w:r w:rsidRPr="00595ADB">
        <w:t xml:space="preserve">The </w:t>
      </w:r>
      <w:r w:rsidRPr="005167B1">
        <w:rPr>
          <w:i/>
        </w:rPr>
        <w:t>Fire Services Property Levy Act 2012</w:t>
      </w:r>
      <w:r w:rsidRPr="00595ADB">
        <w:t xml:space="preserve"> (FSPL) </w:t>
      </w:r>
      <w:r>
        <w:t xml:space="preserve">came </w:t>
      </w:r>
      <w:r w:rsidRPr="00595ADB">
        <w:t>into effect from 1 July 2013 and require</w:t>
      </w:r>
      <w:r>
        <w:t>s</w:t>
      </w:r>
      <w:r w:rsidRPr="00595ADB">
        <w:t xml:space="preserve"> </w:t>
      </w:r>
      <w:r w:rsidR="00C52306">
        <w:t>l</w:t>
      </w:r>
      <w:r w:rsidR="00C52306" w:rsidRPr="00595ADB">
        <w:t xml:space="preserve">ocal </w:t>
      </w:r>
      <w:r w:rsidR="00C52306">
        <w:t>g</w:t>
      </w:r>
      <w:r w:rsidR="00C52306" w:rsidRPr="00595ADB">
        <w:t xml:space="preserve">overnment </w:t>
      </w:r>
      <w:r w:rsidRPr="00595ADB">
        <w:t xml:space="preserve">to bill, receipt and collect FSPL on rateable and non-rateable properties. It is estimated that </w:t>
      </w:r>
      <w:r w:rsidR="00132FCB">
        <w:t xml:space="preserve">Council </w:t>
      </w:r>
      <w:r w:rsidRPr="00595ADB">
        <w:t>will levy $</w:t>
      </w:r>
      <w:r w:rsidR="00284F98" w:rsidRPr="00595ADB">
        <w:t>23</w:t>
      </w:r>
      <w:r w:rsidR="00284F98">
        <w:t>m</w:t>
      </w:r>
      <w:r w:rsidR="00284F98" w:rsidRPr="00595ADB">
        <w:t xml:space="preserve"> </w:t>
      </w:r>
      <w:r w:rsidRPr="00595ADB">
        <w:t>in 2013-</w:t>
      </w:r>
      <w:r w:rsidR="00AA06D8">
        <w:t>14</w:t>
      </w:r>
      <w:r w:rsidR="00AA06D8" w:rsidRPr="00595ADB">
        <w:t xml:space="preserve"> </w:t>
      </w:r>
      <w:r>
        <w:t>and remit</w:t>
      </w:r>
      <w:r w:rsidRPr="00595ADB">
        <w:t xml:space="preserve"> to the State Revenue Office.</w:t>
      </w:r>
    </w:p>
    <w:p w:rsidR="0075415F" w:rsidRPr="00BA4451" w:rsidRDefault="0075415F" w:rsidP="00D43F06">
      <w:pPr>
        <w:pStyle w:val="Heading5A"/>
      </w:pPr>
      <w:r>
        <w:t xml:space="preserve">Rebates - </w:t>
      </w:r>
      <w:r w:rsidR="00284F98">
        <w:t>s</w:t>
      </w:r>
      <w:r w:rsidR="00284F98" w:rsidRPr="00BA4451">
        <w:t xml:space="preserve">ection </w:t>
      </w:r>
      <w:r w:rsidRPr="00BA4451">
        <w:t>169 of the LGA Rebates</w:t>
      </w:r>
    </w:p>
    <w:p w:rsidR="0075415F" w:rsidRDefault="0075415F">
      <w:pPr>
        <w:pStyle w:val="BodyText"/>
      </w:pPr>
      <w:r>
        <w:t>For 2013-</w:t>
      </w:r>
      <w:r w:rsidR="00AA06D8">
        <w:t xml:space="preserve">14 </w:t>
      </w:r>
      <w:r>
        <w:t>the following rebates applied:</w:t>
      </w:r>
    </w:p>
    <w:p w:rsidR="00A23966" w:rsidRPr="00132FCB" w:rsidRDefault="0075415F" w:rsidP="005167B1">
      <w:pPr>
        <w:pStyle w:val="ListParagraph"/>
        <w:numPr>
          <w:ilvl w:val="0"/>
          <w:numId w:val="43"/>
        </w:numPr>
        <w:spacing w:after="80"/>
        <w:ind w:left="357" w:hanging="357"/>
        <w:jc w:val="both"/>
      </w:pPr>
      <w:r w:rsidRPr="005A2AD5">
        <w:rPr>
          <w:rFonts w:cs="Lucida Sans Unicode"/>
          <w:szCs w:val="22"/>
        </w:rPr>
        <w:t>Farm Rebate.</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Transitional Housing Rebate.</w:t>
      </w:r>
    </w:p>
    <w:p w:rsidR="00054725" w:rsidRDefault="00054725">
      <w:pPr>
        <w:spacing w:after="0"/>
        <w:rPr>
          <w:rFonts w:ascii="News Gothic Std" w:hAnsi="News Gothic Std"/>
          <w:lang w:val="en-US"/>
        </w:rPr>
      </w:pPr>
    </w:p>
    <w:p w:rsidR="0075415F" w:rsidRPr="00BA4451" w:rsidRDefault="0075415F" w:rsidP="00D43F06">
      <w:pPr>
        <w:pStyle w:val="Heading5A"/>
      </w:pPr>
      <w:r>
        <w:t xml:space="preserve">Waivers - </w:t>
      </w:r>
      <w:r w:rsidR="00284F98">
        <w:t>s</w:t>
      </w:r>
      <w:r w:rsidR="00284F98" w:rsidRPr="00BA4451">
        <w:t xml:space="preserve">ection </w:t>
      </w:r>
      <w:r w:rsidRPr="00BA4451">
        <w:t>171 of the LGA Waivers</w:t>
      </w:r>
    </w:p>
    <w:p w:rsidR="0075415F" w:rsidRDefault="0075415F">
      <w:pPr>
        <w:pStyle w:val="BodyText"/>
      </w:pPr>
      <w:r>
        <w:t>For 2013-</w:t>
      </w:r>
      <w:r w:rsidR="00AA06D8">
        <w:t xml:space="preserve">14 </w:t>
      </w:r>
      <w:r>
        <w:t>the following waivers applied:</w:t>
      </w:r>
    </w:p>
    <w:p w:rsidR="00A23966" w:rsidRPr="00132FCB" w:rsidRDefault="0075415F" w:rsidP="005167B1">
      <w:pPr>
        <w:pStyle w:val="ListParagraph"/>
        <w:numPr>
          <w:ilvl w:val="0"/>
          <w:numId w:val="43"/>
        </w:numPr>
        <w:spacing w:after="80"/>
        <w:ind w:left="357" w:hanging="357"/>
        <w:jc w:val="both"/>
      </w:pPr>
      <w:r w:rsidRPr="005A2AD5">
        <w:rPr>
          <w:rFonts w:cs="Lucida Sans Unicode"/>
          <w:szCs w:val="22"/>
        </w:rPr>
        <w:t>Rates Assistance Waiver (Valuation increase over 50%).</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lastRenderedPageBreak/>
        <w:t>Housing Support Waiver.</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New Corio Estate (Inappropriate Subdivision).</w:t>
      </w:r>
    </w:p>
    <w:p w:rsidR="0075415F" w:rsidRPr="00BA4451" w:rsidRDefault="0075415F" w:rsidP="00D43F06">
      <w:pPr>
        <w:pStyle w:val="Heading5A"/>
      </w:pPr>
      <w:r w:rsidRPr="00BA4451">
        <w:t>Rating Model</w:t>
      </w:r>
    </w:p>
    <w:p w:rsidR="0075415F" w:rsidRPr="001848C2" w:rsidRDefault="0075415F">
      <w:pPr>
        <w:pStyle w:val="BodyText"/>
      </w:pPr>
      <w:r w:rsidRPr="001848C2">
        <w:t xml:space="preserve">Key features of the Rating Model </w:t>
      </w:r>
      <w:r>
        <w:t>were</w:t>
      </w:r>
      <w:r w:rsidRPr="001848C2">
        <w:t>:</w:t>
      </w:r>
    </w:p>
    <w:p w:rsidR="00A23966" w:rsidRPr="00132FCB" w:rsidRDefault="0075415F" w:rsidP="005167B1">
      <w:pPr>
        <w:pStyle w:val="ListParagraph"/>
        <w:numPr>
          <w:ilvl w:val="0"/>
          <w:numId w:val="43"/>
        </w:numPr>
        <w:spacing w:after="80"/>
        <w:ind w:left="357" w:hanging="357"/>
        <w:jc w:val="both"/>
      </w:pPr>
      <w:r w:rsidRPr="005A2AD5">
        <w:rPr>
          <w:rFonts w:cs="Lucida Sans Unicode"/>
          <w:szCs w:val="22"/>
        </w:rPr>
        <w:t xml:space="preserve">Rates and charges on a residential property increased overall by 4.45%, including rate in $ movement 4.7%, Municipal Charge movement 3%, and Waste Collection Service Charge 3.8%. The residential rate was set at </w:t>
      </w:r>
      <w:r w:rsidRPr="00132FCB">
        <w:rPr>
          <w:rFonts w:cs="Lucida Sans Unicode"/>
          <w:szCs w:val="22"/>
        </w:rPr>
        <w:t>$0.002665 per $ of CIV valuation.</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Vacant Land rate in the dollar increased to 140% of residential in order to encourage building activity and development.</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The Late Licence differential was discontinued in response to the Ministerial guidelines. The Commercial rate in $ therefore increased by 7%.</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 xml:space="preserve">Automobile, Petroleum and Aluminium differentials were aligned to the same rate in the $. </w:t>
      </w:r>
      <w:r w:rsidR="00132FCB">
        <w:rPr>
          <w:rFonts w:cs="Lucida Sans Unicode"/>
          <w:szCs w:val="22"/>
        </w:rPr>
        <w:t>Council</w:t>
      </w:r>
      <w:r w:rsidR="00DF673F" w:rsidRPr="00132FCB">
        <w:rPr>
          <w:rFonts w:cs="Lucida Sans Unicode"/>
          <w:szCs w:val="22"/>
        </w:rPr>
        <w:t xml:space="preserve"> </w:t>
      </w:r>
      <w:r w:rsidRPr="00132FCB">
        <w:rPr>
          <w:rFonts w:cs="Lucida Sans Unicode"/>
          <w:szCs w:val="22"/>
        </w:rPr>
        <w:t>objective was to reduce the gap between the rate in $ for those differentials and the Industrial differential. The Industrial rate increased by 7.7%.</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The Waste Collection Service charge was impacted by cost estimates of EPA levy $24.55 and Carbon Tax of $2.23 per tenement. The charge for 2013</w:t>
      </w:r>
      <w:r w:rsidRPr="005167B1">
        <w:rPr>
          <w:rFonts w:cs="Lucida Sans Unicode"/>
          <w:szCs w:val="22"/>
        </w:rPr>
        <w:noBreakHyphen/>
      </w:r>
      <w:r w:rsidR="00AA06D8" w:rsidRPr="005167B1">
        <w:rPr>
          <w:rFonts w:cs="Lucida Sans Unicode"/>
          <w:szCs w:val="22"/>
        </w:rPr>
        <w:t xml:space="preserve">14 </w:t>
      </w:r>
      <w:r w:rsidRPr="005167B1">
        <w:rPr>
          <w:rFonts w:cs="Lucida Sans Unicode"/>
          <w:szCs w:val="22"/>
        </w:rPr>
        <w:t>increased from $226.00 to $234.50 or 3.8%.</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The Municipal Charge represented a fee on all rateable assessments as a contribution to the fixed and unavoidable costs of governance. The Municipal Charge increased from $86.33 to $88.90 or 3%.</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The Farm rebate remained at 36.2% with average rates increasing by 4.45% (as per residential). This rebate provides ongoing rate relief to farmers (33% rebate 2006</w:t>
      </w:r>
      <w:r w:rsidRPr="005167B1">
        <w:rPr>
          <w:rFonts w:cs="Lucida Sans Unicode"/>
          <w:szCs w:val="22"/>
        </w:rPr>
        <w:noBreakHyphen/>
      </w:r>
      <w:r w:rsidR="00AA06D8" w:rsidRPr="005167B1">
        <w:rPr>
          <w:rFonts w:cs="Lucida Sans Unicode"/>
          <w:szCs w:val="22"/>
        </w:rPr>
        <w:t>07</w:t>
      </w:r>
      <w:r w:rsidRPr="005167B1">
        <w:rPr>
          <w:rFonts w:cs="Lucida Sans Unicode"/>
          <w:szCs w:val="22"/>
        </w:rPr>
        <w:t>, 40% rebate 2007-</w:t>
      </w:r>
      <w:r w:rsidR="00AA06D8" w:rsidRPr="005167B1">
        <w:rPr>
          <w:rFonts w:cs="Lucida Sans Unicode"/>
          <w:szCs w:val="22"/>
        </w:rPr>
        <w:t>08</w:t>
      </w:r>
      <w:r w:rsidRPr="005167B1">
        <w:rPr>
          <w:rFonts w:cs="Lucida Sans Unicode"/>
          <w:szCs w:val="22"/>
        </w:rPr>
        <w:t>, 45% 2008-</w:t>
      </w:r>
      <w:r w:rsidR="00AA06D8" w:rsidRPr="005167B1">
        <w:rPr>
          <w:rFonts w:cs="Lucida Sans Unicode"/>
          <w:szCs w:val="22"/>
        </w:rPr>
        <w:t>09</w:t>
      </w:r>
      <w:r w:rsidRPr="005167B1">
        <w:rPr>
          <w:rFonts w:cs="Lucida Sans Unicode"/>
          <w:szCs w:val="22"/>
        </w:rPr>
        <w:t>, 45% for 2009-</w:t>
      </w:r>
      <w:r w:rsidR="00AA06D8" w:rsidRPr="005167B1">
        <w:rPr>
          <w:rFonts w:cs="Lucida Sans Unicode"/>
          <w:szCs w:val="22"/>
        </w:rPr>
        <w:t>10</w:t>
      </w:r>
      <w:r w:rsidRPr="005167B1">
        <w:rPr>
          <w:rFonts w:cs="Lucida Sans Unicode"/>
          <w:szCs w:val="22"/>
        </w:rPr>
        <w:t>, 46.5% for 2010-</w:t>
      </w:r>
      <w:r w:rsidR="00AA06D8" w:rsidRPr="005167B1">
        <w:rPr>
          <w:rFonts w:cs="Lucida Sans Unicode"/>
          <w:szCs w:val="22"/>
        </w:rPr>
        <w:t>11</w:t>
      </w:r>
      <w:r w:rsidRPr="005167B1">
        <w:rPr>
          <w:rFonts w:cs="Lucida Sans Unicode"/>
          <w:szCs w:val="22"/>
        </w:rPr>
        <w:t>, 46.5% for 2011-</w:t>
      </w:r>
      <w:r w:rsidR="00AA06D8" w:rsidRPr="005167B1">
        <w:rPr>
          <w:rFonts w:cs="Lucida Sans Unicode"/>
          <w:szCs w:val="22"/>
        </w:rPr>
        <w:t>12</w:t>
      </w:r>
      <w:r w:rsidRPr="005167B1">
        <w:rPr>
          <w:rFonts w:cs="Lucida Sans Unicode"/>
          <w:szCs w:val="22"/>
        </w:rPr>
        <w:t>, 36.2% for 2012-</w:t>
      </w:r>
      <w:r w:rsidR="00AA06D8" w:rsidRPr="005167B1">
        <w:rPr>
          <w:rFonts w:cs="Lucida Sans Unicode"/>
          <w:szCs w:val="22"/>
        </w:rPr>
        <w:t>13</w:t>
      </w:r>
      <w:r w:rsidRPr="005167B1">
        <w:rPr>
          <w:rFonts w:cs="Lucida Sans Unicode"/>
          <w:szCs w:val="22"/>
        </w:rPr>
        <w:t>). In 2013</w:t>
      </w:r>
      <w:r w:rsidRPr="005167B1">
        <w:rPr>
          <w:rFonts w:cs="Lucida Sans Unicode"/>
          <w:szCs w:val="22"/>
        </w:rPr>
        <w:noBreakHyphen/>
        <w:t>2014 a 36.2% rebate represented a cost to Council of $1.</w:t>
      </w:r>
      <w:r w:rsidR="00DF673F" w:rsidRPr="005167B1">
        <w:rPr>
          <w:rFonts w:cs="Lucida Sans Unicode"/>
          <w:szCs w:val="22"/>
        </w:rPr>
        <w:t>384m</w:t>
      </w:r>
      <w:r w:rsidRPr="005167B1">
        <w:rPr>
          <w:rFonts w:cs="Lucida Sans Unicode"/>
          <w:szCs w:val="22"/>
        </w:rPr>
        <w:t>.</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The Housing Support Rebate for eligible Charitable Housing was replaced with a Rates Waiver for 2013-</w:t>
      </w:r>
      <w:r w:rsidR="00AA06D8" w:rsidRPr="005167B1">
        <w:rPr>
          <w:rFonts w:cs="Lucida Sans Unicode"/>
          <w:szCs w:val="22"/>
        </w:rPr>
        <w:t>14</w:t>
      </w:r>
      <w:r w:rsidRPr="005167B1">
        <w:rPr>
          <w:rFonts w:cs="Lucida Sans Unicode"/>
          <w:szCs w:val="22"/>
        </w:rPr>
        <w:t>.</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The transitional rebate introduced in 2010-</w:t>
      </w:r>
      <w:r w:rsidR="00AA06D8" w:rsidRPr="005167B1">
        <w:rPr>
          <w:rFonts w:cs="Lucida Sans Unicode"/>
          <w:szCs w:val="22"/>
        </w:rPr>
        <w:t xml:space="preserve">11 </w:t>
      </w:r>
      <w:r w:rsidRPr="005167B1">
        <w:rPr>
          <w:rFonts w:cs="Lucida Sans Unicode"/>
          <w:szCs w:val="22"/>
        </w:rPr>
        <w:t>for nominated charitable housing properties remained at a 50% rebate in 2013-</w:t>
      </w:r>
      <w:r w:rsidR="00AA06D8" w:rsidRPr="005167B1">
        <w:rPr>
          <w:rFonts w:cs="Lucida Sans Unicode"/>
          <w:szCs w:val="22"/>
        </w:rPr>
        <w:t>14</w:t>
      </w:r>
      <w:r w:rsidRPr="005167B1">
        <w:rPr>
          <w:rFonts w:cs="Lucida Sans Unicode"/>
          <w:szCs w:val="22"/>
        </w:rPr>
        <w:t>.</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A Rates Waiver was introduced for the New Corio Estate from 2013-</w:t>
      </w:r>
      <w:r w:rsidR="00AA06D8" w:rsidRPr="005167B1">
        <w:rPr>
          <w:rFonts w:cs="Lucida Sans Unicode"/>
          <w:szCs w:val="22"/>
        </w:rPr>
        <w:t xml:space="preserve">14 </w:t>
      </w:r>
      <w:r w:rsidRPr="005167B1">
        <w:rPr>
          <w:rFonts w:cs="Lucida Sans Unicode"/>
          <w:szCs w:val="22"/>
        </w:rPr>
        <w:t>recognising this inappropriate subdivision and Planning Scheme Amendment C243.</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 xml:space="preserve">The pensioner concession increased from $198.00 in accordance with movement in </w:t>
      </w:r>
      <w:smartTag w:uri="urn:schemas-microsoft-com:office:smarttags" w:element="stockticker">
        <w:r w:rsidRPr="005167B1">
          <w:rPr>
            <w:rFonts w:cs="Lucida Sans Unicode"/>
            <w:szCs w:val="22"/>
          </w:rPr>
          <w:t>CPI</w:t>
        </w:r>
      </w:smartTag>
      <w:r w:rsidRPr="005167B1">
        <w:rPr>
          <w:rFonts w:cs="Lucida Sans Unicode"/>
          <w:szCs w:val="22"/>
        </w:rPr>
        <w:t xml:space="preserve"> for Melbourne as advised by the Australian Bureau of Statistics to $202.90.</w:t>
      </w:r>
    </w:p>
    <w:p w:rsidR="0075415F" w:rsidRPr="00BA4451" w:rsidRDefault="0075415F" w:rsidP="00D43F06">
      <w:pPr>
        <w:pStyle w:val="Heading5A"/>
      </w:pPr>
      <w:r w:rsidRPr="00BA4451">
        <w:t>Recycling and Waste Collection Service Charge</w:t>
      </w:r>
    </w:p>
    <w:p w:rsidR="0075415F" w:rsidRPr="00D576C5" w:rsidRDefault="0075415F">
      <w:pPr>
        <w:pStyle w:val="BodyText"/>
        <w:rPr>
          <w:lang w:val="en-US"/>
        </w:rPr>
      </w:pPr>
      <w:r w:rsidRPr="00D576C5">
        <w:t xml:space="preserve">The Annual Service Charge </w:t>
      </w:r>
      <w:r>
        <w:t>was</w:t>
      </w:r>
      <w:r w:rsidRPr="00D576C5">
        <w:t xml:space="preserve"> $</w:t>
      </w:r>
      <w:r>
        <w:t>234.50</w:t>
      </w:r>
      <w:r w:rsidRPr="00D576C5">
        <w:t xml:space="preserve"> for each rateable land and non-rateable land. The charge </w:t>
      </w:r>
      <w:r>
        <w:t>was</w:t>
      </w:r>
      <w:r w:rsidRPr="00D576C5">
        <w:t xml:space="preserve"> levied on the following criteria:</w:t>
      </w:r>
    </w:p>
    <w:p w:rsidR="00A23966" w:rsidRPr="00132FCB" w:rsidRDefault="0075415F" w:rsidP="005167B1">
      <w:pPr>
        <w:pStyle w:val="ListParagraph"/>
        <w:numPr>
          <w:ilvl w:val="0"/>
          <w:numId w:val="43"/>
        </w:numPr>
        <w:spacing w:after="80"/>
        <w:ind w:left="357" w:hanging="357"/>
        <w:jc w:val="both"/>
      </w:pPr>
      <w:r w:rsidRPr="005A2AD5">
        <w:rPr>
          <w:rFonts w:cs="Lucida Sans Unicode"/>
          <w:szCs w:val="22"/>
        </w:rPr>
        <w:lastRenderedPageBreak/>
        <w:t xml:space="preserve">Geographic existence within those areas of the municipal district in which </w:t>
      </w:r>
      <w:r w:rsidR="00132FCB">
        <w:rPr>
          <w:rFonts w:cs="Lucida Sans Unicode"/>
          <w:szCs w:val="22"/>
        </w:rPr>
        <w:t>Council</w:t>
      </w:r>
      <w:r w:rsidR="00DF673F" w:rsidRPr="00132FCB">
        <w:rPr>
          <w:rFonts w:cs="Lucida Sans Unicode"/>
          <w:szCs w:val="22"/>
        </w:rPr>
        <w:t xml:space="preserve"> </w:t>
      </w:r>
      <w:r w:rsidRPr="00132FCB">
        <w:rPr>
          <w:rFonts w:cs="Lucida Sans Unicode"/>
          <w:szCs w:val="22"/>
        </w:rPr>
        <w:t xml:space="preserve">provides a domestic refuse collection and disposal service. </w:t>
      </w:r>
    </w:p>
    <w:p w:rsidR="00A23966" w:rsidRPr="005167B1" w:rsidRDefault="0075415F" w:rsidP="005167B1">
      <w:pPr>
        <w:pStyle w:val="ListParagraph"/>
        <w:numPr>
          <w:ilvl w:val="0"/>
          <w:numId w:val="43"/>
        </w:numPr>
        <w:spacing w:after="80"/>
        <w:ind w:left="357" w:hanging="357"/>
        <w:jc w:val="both"/>
      </w:pPr>
      <w:r w:rsidRPr="005167B1">
        <w:rPr>
          <w:rFonts w:cs="Lucida Sans Unicode"/>
          <w:szCs w:val="22"/>
        </w:rPr>
        <w:t>The charge was raised irrespective of whether the service was used or not.</w:t>
      </w:r>
    </w:p>
    <w:p w:rsidR="00F462EA" w:rsidRDefault="0075415F">
      <w:pPr>
        <w:pStyle w:val="BodyText"/>
      </w:pPr>
      <w:r>
        <w:t>Part of the standard service was altered as part of the new waste collection contract for 2013-</w:t>
      </w:r>
      <w:r w:rsidR="00AA06D8">
        <w:t>14</w:t>
      </w:r>
      <w:r>
        <w:t>. There was a provision for a 660 litre bin for multi unit premises where presentation and storage was an issue. This bin was available for general, recycling and green waste. The default collection was fortnightly for recycling and green waste and weekly for garbage. Each unit within the complex was charged the residential waste charge.</w:t>
      </w:r>
    </w:p>
    <w:p w:rsidR="00F462EA" w:rsidRDefault="0075415F">
      <w:pPr>
        <w:pStyle w:val="BodyText"/>
      </w:pPr>
      <w:r>
        <w:t>Larger 140 litre general waste bins were introduced in 2013-</w:t>
      </w:r>
      <w:r w:rsidR="00AA06D8">
        <w:t>14</w:t>
      </w:r>
      <w:r>
        <w:t>. These bins replace damaged or stolen 120 litre bins. There was no additional charge to the ratepayer for this increased service.</w:t>
      </w:r>
    </w:p>
    <w:p w:rsidR="00F462EA" w:rsidRDefault="0075415F">
      <w:pPr>
        <w:pStyle w:val="BodyText"/>
      </w:pPr>
      <w:r>
        <w:t>The Waste Voucher system continued in 2013-</w:t>
      </w:r>
      <w:r w:rsidR="00AA06D8">
        <w:t xml:space="preserve">14 </w:t>
      </w:r>
      <w:r>
        <w:t>either as a boot load or half a trailer and was issued to the occupier instead of the ratepayer. Each voucher had a value of $18.50 compared to $17.00 for 2012</w:t>
      </w:r>
      <w:r>
        <w:noBreakHyphen/>
      </w:r>
      <w:r w:rsidR="00AA06D8">
        <w:t>13</w:t>
      </w:r>
      <w:r>
        <w:t>.</w:t>
      </w:r>
    </w:p>
    <w:p w:rsidR="00F462EA" w:rsidRDefault="0075415F">
      <w:pPr>
        <w:pStyle w:val="BodyText"/>
      </w:pPr>
      <w:r>
        <w:t>Provision was made for a HACC support program for residents requiring assistance with waste removal.</w:t>
      </w:r>
    </w:p>
    <w:p w:rsidR="0075415F" w:rsidRPr="00BA4451" w:rsidRDefault="0075415F" w:rsidP="00D43F06">
      <w:pPr>
        <w:pStyle w:val="Heading5A"/>
      </w:pPr>
      <w:r w:rsidRPr="00BA4451">
        <w:t>Residential Rates and Charges</w:t>
      </w:r>
    </w:p>
    <w:p w:rsidR="0075415F" w:rsidRPr="00D576C5" w:rsidRDefault="0075415F">
      <w:pPr>
        <w:pStyle w:val="BodyText"/>
      </w:pPr>
      <w:r>
        <w:t>T</w:t>
      </w:r>
      <w:r w:rsidRPr="00D576C5">
        <w:t xml:space="preserve">he average Capital Improved Value of residential properties within the municipality </w:t>
      </w:r>
      <w:r>
        <w:t xml:space="preserve">increased </w:t>
      </w:r>
      <w:r w:rsidRPr="00D576C5">
        <w:t>from $</w:t>
      </w:r>
      <w:r>
        <w:t>363,800</w:t>
      </w:r>
      <w:r w:rsidRPr="00D576C5">
        <w:t xml:space="preserve"> to $</w:t>
      </w:r>
      <w:r>
        <w:t>365,610</w:t>
      </w:r>
      <w:r w:rsidRPr="00D576C5">
        <w:t>.</w:t>
      </w:r>
    </w:p>
    <w:p w:rsidR="00D221C5" w:rsidRDefault="0075415F">
      <w:pPr>
        <w:pStyle w:val="BodyText"/>
      </w:pPr>
      <w:r w:rsidRPr="00D576C5">
        <w:t>The total increase in rates and charges for the average property with a capital improved value of $</w:t>
      </w:r>
      <w:r>
        <w:t>365,610</w:t>
      </w:r>
      <w:r w:rsidRPr="00D576C5">
        <w:t xml:space="preserve"> </w:t>
      </w:r>
      <w:r>
        <w:t>wa</w:t>
      </w:r>
      <w:r w:rsidRPr="00D576C5">
        <w:t>s $</w:t>
      </w:r>
      <w:r>
        <w:t>55.24</w:t>
      </w:r>
      <w:r w:rsidRPr="00D576C5">
        <w:t xml:space="preserve"> or </w:t>
      </w:r>
      <w:r>
        <w:t>4.45</w:t>
      </w:r>
      <w:r w:rsidRPr="00D576C5">
        <w:t>%. Th</w:t>
      </w:r>
      <w:r>
        <w:t>e</w:t>
      </w:r>
      <w:r w:rsidRPr="00D576C5">
        <w:t xml:space="preserve"> increase </w:t>
      </w:r>
      <w:r>
        <w:t xml:space="preserve">was </w:t>
      </w:r>
      <w:r w:rsidRPr="00D576C5">
        <w:t>made up of $</w:t>
      </w:r>
      <w:r>
        <w:t>44.17</w:t>
      </w:r>
      <w:r w:rsidRPr="00D576C5">
        <w:t xml:space="preserve"> for General Rates, $</w:t>
      </w:r>
      <w:r>
        <w:t>2.57</w:t>
      </w:r>
      <w:r w:rsidRPr="00D576C5">
        <w:t xml:space="preserve"> for Municipal Charge and $</w:t>
      </w:r>
      <w:r>
        <w:t>8.50</w:t>
      </w:r>
      <w:r w:rsidRPr="00D576C5">
        <w:t xml:space="preserve"> for the Waste Collection service.</w:t>
      </w:r>
    </w:p>
    <w:p w:rsidR="00D221C5" w:rsidRPr="00E60EA6" w:rsidRDefault="00D221C5">
      <w:pPr>
        <w:spacing w:before="0" w:after="0"/>
        <w:rPr>
          <w:rFonts w:cs="Lucida Sans Unicode"/>
          <w:bCs/>
          <w:noProof/>
          <w:color w:val="000000"/>
          <w:szCs w:val="22"/>
          <w:lang w:val="en-GB" w:eastAsia="en-AU"/>
        </w:rPr>
      </w:pPr>
    </w:p>
    <w:tbl>
      <w:tblPr>
        <w:tblW w:w="0" w:type="auto"/>
        <w:tblLook w:val="01E0" w:firstRow="1" w:lastRow="1" w:firstColumn="1" w:lastColumn="1" w:noHBand="0" w:noVBand="0"/>
      </w:tblPr>
      <w:tblGrid>
        <w:gridCol w:w="3402"/>
        <w:gridCol w:w="1737"/>
        <w:gridCol w:w="1737"/>
        <w:gridCol w:w="1737"/>
      </w:tblGrid>
      <w:tr w:rsidR="0075415F" w:rsidRPr="00E60EA6" w:rsidTr="00E60EA6">
        <w:tc>
          <w:tcPr>
            <w:tcW w:w="3402" w:type="dxa"/>
            <w:tcBorders>
              <w:top w:val="single" w:sz="4" w:space="0" w:color="000000"/>
              <w:bottom w:val="single" w:sz="4" w:space="0" w:color="000000"/>
            </w:tcBorders>
            <w:shd w:val="clear" w:color="auto" w:fill="auto"/>
            <w:vAlign w:val="bottom"/>
          </w:tcPr>
          <w:p w:rsidR="0075415F" w:rsidRPr="001A5D13" w:rsidRDefault="0075415F" w:rsidP="001C2457">
            <w:pPr>
              <w:spacing w:before="0" w:after="0"/>
              <w:rPr>
                <w:rFonts w:ascii="News Gothic Std" w:hAnsi="News Gothic Std" w:cs="Arial"/>
                <w:color w:val="0070C0"/>
                <w:sz w:val="18"/>
                <w:szCs w:val="18"/>
              </w:rPr>
            </w:pPr>
            <w:r w:rsidRPr="001A5D13">
              <w:rPr>
                <w:rFonts w:ascii="News Gothic Std" w:hAnsi="News Gothic Std" w:cs="Arial"/>
                <w:color w:val="0070C0"/>
                <w:sz w:val="18"/>
                <w:szCs w:val="18"/>
              </w:rPr>
              <w:t>Residential Properties</w:t>
            </w:r>
          </w:p>
        </w:tc>
        <w:tc>
          <w:tcPr>
            <w:tcW w:w="1737" w:type="dxa"/>
            <w:tcBorders>
              <w:top w:val="single" w:sz="4" w:space="0" w:color="000000"/>
              <w:bottom w:val="single" w:sz="4" w:space="0" w:color="000000"/>
            </w:tcBorders>
            <w:shd w:val="clear" w:color="auto" w:fill="auto"/>
            <w:vAlign w:val="bottom"/>
          </w:tcPr>
          <w:p w:rsidR="0075415F" w:rsidRPr="001A5D13" w:rsidRDefault="0075415F" w:rsidP="00AA06D8">
            <w:pPr>
              <w:spacing w:before="0" w:after="0"/>
              <w:jc w:val="right"/>
              <w:rPr>
                <w:rFonts w:ascii="News Gothic Std" w:hAnsi="News Gothic Std" w:cs="Arial"/>
                <w:color w:val="0070C0"/>
                <w:sz w:val="18"/>
                <w:szCs w:val="18"/>
              </w:rPr>
            </w:pPr>
            <w:r w:rsidRPr="001A5D13">
              <w:rPr>
                <w:rFonts w:ascii="News Gothic Std" w:hAnsi="News Gothic Std" w:cs="Arial"/>
                <w:color w:val="0070C0"/>
                <w:sz w:val="18"/>
                <w:szCs w:val="18"/>
              </w:rPr>
              <w:t>2012-</w:t>
            </w:r>
            <w:r w:rsidR="00AA06D8" w:rsidRPr="001A5D13">
              <w:rPr>
                <w:rFonts w:ascii="News Gothic Std" w:hAnsi="News Gothic Std" w:cs="Arial"/>
                <w:color w:val="0070C0"/>
                <w:sz w:val="18"/>
                <w:szCs w:val="18"/>
              </w:rPr>
              <w:t>13</w:t>
            </w:r>
            <w:r w:rsidRPr="001A5D13">
              <w:rPr>
                <w:rFonts w:ascii="News Gothic Std" w:hAnsi="News Gothic Std" w:cs="Arial"/>
                <w:color w:val="0070C0"/>
                <w:sz w:val="18"/>
                <w:szCs w:val="18"/>
              </w:rPr>
              <w:br/>
              <w:t>Rates on Average CIV $</w:t>
            </w:r>
          </w:p>
        </w:tc>
        <w:tc>
          <w:tcPr>
            <w:tcW w:w="1737" w:type="dxa"/>
            <w:tcBorders>
              <w:top w:val="single" w:sz="4" w:space="0" w:color="000000"/>
              <w:bottom w:val="single" w:sz="4" w:space="0" w:color="000000"/>
            </w:tcBorders>
            <w:shd w:val="clear" w:color="auto" w:fill="auto"/>
          </w:tcPr>
          <w:p w:rsidR="0075415F" w:rsidRPr="001A5D13" w:rsidRDefault="0075415F" w:rsidP="00AA06D8">
            <w:pPr>
              <w:spacing w:before="0" w:after="0"/>
              <w:jc w:val="right"/>
              <w:rPr>
                <w:rFonts w:ascii="News Gothic Std" w:hAnsi="News Gothic Std" w:cs="Arial"/>
                <w:color w:val="0070C0"/>
                <w:sz w:val="18"/>
                <w:szCs w:val="18"/>
              </w:rPr>
            </w:pPr>
            <w:r w:rsidRPr="001A5D13">
              <w:rPr>
                <w:rFonts w:ascii="News Gothic Std" w:hAnsi="News Gothic Std" w:cs="Arial"/>
                <w:color w:val="0070C0"/>
                <w:sz w:val="18"/>
                <w:szCs w:val="18"/>
              </w:rPr>
              <w:t>2013-</w:t>
            </w:r>
            <w:r w:rsidR="00AA06D8" w:rsidRPr="001A5D13">
              <w:rPr>
                <w:rFonts w:ascii="News Gothic Std" w:hAnsi="News Gothic Std" w:cs="Arial"/>
                <w:color w:val="0070C0"/>
                <w:sz w:val="18"/>
                <w:szCs w:val="18"/>
              </w:rPr>
              <w:t>14</w:t>
            </w:r>
            <w:r w:rsidRPr="001A5D13">
              <w:rPr>
                <w:rFonts w:ascii="News Gothic Std" w:hAnsi="News Gothic Std" w:cs="Arial"/>
                <w:color w:val="0070C0"/>
                <w:sz w:val="18"/>
                <w:szCs w:val="18"/>
              </w:rPr>
              <w:br/>
              <w:t>Budget Rates on Average</w:t>
            </w:r>
            <w:r w:rsidRPr="001A5D13">
              <w:rPr>
                <w:rFonts w:ascii="News Gothic Std" w:hAnsi="News Gothic Std" w:cs="Arial"/>
                <w:color w:val="0070C0"/>
                <w:sz w:val="18"/>
                <w:szCs w:val="18"/>
              </w:rPr>
              <w:br/>
              <w:t>CIV</w:t>
            </w:r>
          </w:p>
        </w:tc>
        <w:tc>
          <w:tcPr>
            <w:tcW w:w="1737" w:type="dxa"/>
            <w:tcBorders>
              <w:top w:val="single" w:sz="4" w:space="0" w:color="000000"/>
              <w:bottom w:val="single" w:sz="4" w:space="0" w:color="000000"/>
            </w:tcBorders>
            <w:shd w:val="clear" w:color="auto" w:fill="auto"/>
            <w:vAlign w:val="bottom"/>
          </w:tcPr>
          <w:p w:rsidR="0075415F" w:rsidRPr="001A5D13" w:rsidRDefault="0075415F" w:rsidP="001C2457">
            <w:pPr>
              <w:spacing w:before="0" w:after="0"/>
              <w:jc w:val="right"/>
              <w:rPr>
                <w:rFonts w:ascii="News Gothic Std" w:hAnsi="News Gothic Std" w:cs="Arial"/>
                <w:color w:val="0070C0"/>
                <w:sz w:val="18"/>
                <w:szCs w:val="18"/>
              </w:rPr>
            </w:pPr>
            <w:r w:rsidRPr="001A5D13">
              <w:rPr>
                <w:rFonts w:ascii="News Gothic Std" w:hAnsi="News Gothic Std" w:cs="Arial"/>
                <w:color w:val="0070C0"/>
                <w:sz w:val="18"/>
                <w:szCs w:val="18"/>
              </w:rPr>
              <w:t>Increase %</w:t>
            </w:r>
          </w:p>
        </w:tc>
      </w:tr>
      <w:tr w:rsidR="0075415F" w:rsidRPr="00E60EA6" w:rsidTr="00E60EA6">
        <w:tc>
          <w:tcPr>
            <w:tcW w:w="3402" w:type="dxa"/>
            <w:tcBorders>
              <w:top w:val="single" w:sz="4" w:space="0" w:color="000000"/>
            </w:tcBorders>
            <w:shd w:val="clear" w:color="auto" w:fill="auto"/>
          </w:tcPr>
          <w:p w:rsidR="0075415F" w:rsidRPr="00E60EA6" w:rsidRDefault="0075415F" w:rsidP="001C2457">
            <w:pPr>
              <w:spacing w:before="0" w:after="0"/>
              <w:jc w:val="both"/>
              <w:rPr>
                <w:rFonts w:cs="Lucida Sans Unicode"/>
                <w:color w:val="000000"/>
                <w:sz w:val="18"/>
                <w:szCs w:val="18"/>
                <w:lang w:val="en-US"/>
              </w:rPr>
            </w:pPr>
            <w:r w:rsidRPr="00E60EA6">
              <w:rPr>
                <w:rFonts w:cs="Lucida Sans Unicode"/>
                <w:color w:val="000000"/>
                <w:sz w:val="18"/>
                <w:szCs w:val="18"/>
              </w:rPr>
              <w:t xml:space="preserve">General Rates </w:t>
            </w:r>
            <w:smartTag w:uri="urn:schemas-microsoft-com:office:smarttags" w:element="stockticker">
              <w:r w:rsidRPr="00E60EA6">
                <w:rPr>
                  <w:rFonts w:cs="Lucida Sans Unicode"/>
                  <w:color w:val="000000"/>
                  <w:sz w:val="18"/>
                  <w:szCs w:val="18"/>
                </w:rPr>
                <w:t>CIV</w:t>
              </w:r>
            </w:smartTag>
            <w:r w:rsidRPr="00E60EA6">
              <w:rPr>
                <w:rFonts w:cs="Lucida Sans Unicode"/>
                <w:color w:val="000000"/>
                <w:sz w:val="18"/>
                <w:szCs w:val="18"/>
              </w:rPr>
              <w:t xml:space="preserve"> x Rate in $</w:t>
            </w:r>
          </w:p>
        </w:tc>
        <w:tc>
          <w:tcPr>
            <w:tcW w:w="1737" w:type="dxa"/>
            <w:tcBorders>
              <w:top w:val="single" w:sz="4" w:space="0" w:color="000000"/>
            </w:tcBorders>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930.11</w:t>
            </w:r>
          </w:p>
        </w:tc>
        <w:tc>
          <w:tcPr>
            <w:tcW w:w="1737" w:type="dxa"/>
            <w:tcBorders>
              <w:top w:val="single" w:sz="4" w:space="0" w:color="000000"/>
            </w:tcBorders>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974.28</w:t>
            </w:r>
          </w:p>
        </w:tc>
        <w:tc>
          <w:tcPr>
            <w:tcW w:w="1737" w:type="dxa"/>
            <w:tcBorders>
              <w:top w:val="single" w:sz="4" w:space="0" w:color="000000"/>
            </w:tcBorders>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4.75%</w:t>
            </w:r>
          </w:p>
        </w:tc>
      </w:tr>
      <w:tr w:rsidR="0075415F" w:rsidRPr="00E60EA6" w:rsidTr="000F2A1D">
        <w:tc>
          <w:tcPr>
            <w:tcW w:w="3402" w:type="dxa"/>
            <w:shd w:val="clear" w:color="auto" w:fill="auto"/>
          </w:tcPr>
          <w:p w:rsidR="0075415F" w:rsidRPr="00E60EA6" w:rsidRDefault="0075415F" w:rsidP="001C2457">
            <w:pPr>
              <w:spacing w:before="0" w:after="0"/>
              <w:jc w:val="both"/>
              <w:rPr>
                <w:rFonts w:cs="Lucida Sans Unicode"/>
                <w:color w:val="000000"/>
                <w:sz w:val="18"/>
                <w:szCs w:val="18"/>
              </w:rPr>
            </w:pPr>
            <w:r w:rsidRPr="00E60EA6">
              <w:rPr>
                <w:rFonts w:cs="Lucida Sans Unicode"/>
                <w:color w:val="000000"/>
                <w:sz w:val="18"/>
                <w:szCs w:val="18"/>
              </w:rPr>
              <w:t>Municipal Charge</w:t>
            </w:r>
          </w:p>
        </w:tc>
        <w:tc>
          <w:tcPr>
            <w:tcW w:w="1737" w:type="dxa"/>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86.33</w:t>
            </w:r>
          </w:p>
        </w:tc>
        <w:tc>
          <w:tcPr>
            <w:tcW w:w="1737" w:type="dxa"/>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88.90</w:t>
            </w:r>
          </w:p>
        </w:tc>
        <w:tc>
          <w:tcPr>
            <w:tcW w:w="1737" w:type="dxa"/>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2.98%</w:t>
            </w:r>
          </w:p>
        </w:tc>
      </w:tr>
      <w:tr w:rsidR="0075415F" w:rsidRPr="00E60EA6" w:rsidTr="00E60EA6">
        <w:tc>
          <w:tcPr>
            <w:tcW w:w="3402" w:type="dxa"/>
            <w:tcBorders>
              <w:bottom w:val="single" w:sz="4" w:space="0" w:color="000000"/>
            </w:tcBorders>
            <w:shd w:val="clear" w:color="auto" w:fill="auto"/>
          </w:tcPr>
          <w:p w:rsidR="0075415F" w:rsidRPr="00E60EA6" w:rsidRDefault="0075415F" w:rsidP="001C2457">
            <w:pPr>
              <w:spacing w:before="0" w:after="0"/>
              <w:jc w:val="both"/>
              <w:rPr>
                <w:rFonts w:cs="Lucida Sans Unicode"/>
                <w:color w:val="000000"/>
                <w:sz w:val="18"/>
                <w:szCs w:val="18"/>
              </w:rPr>
            </w:pPr>
            <w:r w:rsidRPr="00E60EA6">
              <w:rPr>
                <w:rFonts w:cs="Lucida Sans Unicode"/>
                <w:color w:val="000000"/>
                <w:sz w:val="18"/>
                <w:szCs w:val="18"/>
              </w:rPr>
              <w:t>Waste Collection Service</w:t>
            </w:r>
          </w:p>
        </w:tc>
        <w:tc>
          <w:tcPr>
            <w:tcW w:w="1737" w:type="dxa"/>
            <w:tcBorders>
              <w:bottom w:val="single" w:sz="4" w:space="0" w:color="000000"/>
            </w:tcBorders>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226.00</w:t>
            </w:r>
          </w:p>
        </w:tc>
        <w:tc>
          <w:tcPr>
            <w:tcW w:w="1737" w:type="dxa"/>
            <w:tcBorders>
              <w:bottom w:val="single" w:sz="4" w:space="0" w:color="000000"/>
            </w:tcBorders>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234.50</w:t>
            </w:r>
          </w:p>
        </w:tc>
        <w:tc>
          <w:tcPr>
            <w:tcW w:w="1737" w:type="dxa"/>
            <w:tcBorders>
              <w:bottom w:val="single" w:sz="4" w:space="0" w:color="000000"/>
            </w:tcBorders>
            <w:shd w:val="clear" w:color="auto" w:fill="auto"/>
          </w:tcPr>
          <w:p w:rsidR="0075415F" w:rsidRPr="00E60EA6" w:rsidRDefault="0075415F" w:rsidP="001C2457">
            <w:pPr>
              <w:spacing w:before="0" w:after="0"/>
              <w:jc w:val="right"/>
              <w:rPr>
                <w:rFonts w:cs="Lucida Sans Unicode"/>
                <w:color w:val="000000"/>
                <w:sz w:val="18"/>
                <w:szCs w:val="18"/>
              </w:rPr>
            </w:pPr>
            <w:r w:rsidRPr="00E60EA6">
              <w:rPr>
                <w:rFonts w:cs="Lucida Sans Unicode"/>
                <w:color w:val="000000"/>
                <w:sz w:val="18"/>
                <w:szCs w:val="18"/>
              </w:rPr>
              <w:t>3.76%</w:t>
            </w:r>
          </w:p>
        </w:tc>
      </w:tr>
      <w:tr w:rsidR="0075415F" w:rsidRPr="00E60EA6" w:rsidTr="00E60EA6">
        <w:tc>
          <w:tcPr>
            <w:tcW w:w="3402" w:type="dxa"/>
            <w:tcBorders>
              <w:top w:val="single" w:sz="4" w:space="0" w:color="000000"/>
              <w:bottom w:val="single" w:sz="4" w:space="0" w:color="000000"/>
            </w:tcBorders>
            <w:shd w:val="clear" w:color="auto" w:fill="auto"/>
          </w:tcPr>
          <w:p w:rsidR="0075415F" w:rsidRPr="00E60EA6" w:rsidRDefault="0075415F" w:rsidP="001C2457">
            <w:pPr>
              <w:spacing w:before="0" w:after="0"/>
              <w:jc w:val="both"/>
              <w:rPr>
                <w:rFonts w:cs="Lucida Sans Unicode"/>
                <w:b/>
                <w:color w:val="000000"/>
                <w:sz w:val="18"/>
                <w:szCs w:val="18"/>
              </w:rPr>
            </w:pPr>
            <w:r w:rsidRPr="00E60EA6">
              <w:rPr>
                <w:rFonts w:cs="Lucida Sans Unicode"/>
                <w:b/>
                <w:color w:val="000000"/>
                <w:sz w:val="18"/>
                <w:szCs w:val="18"/>
              </w:rPr>
              <w:t>Total Rates and Charges</w:t>
            </w:r>
          </w:p>
        </w:tc>
        <w:tc>
          <w:tcPr>
            <w:tcW w:w="1737" w:type="dxa"/>
            <w:tcBorders>
              <w:top w:val="single" w:sz="4" w:space="0" w:color="000000"/>
              <w:bottom w:val="single" w:sz="4" w:space="0" w:color="000000"/>
            </w:tcBorders>
            <w:shd w:val="clear" w:color="auto" w:fill="auto"/>
          </w:tcPr>
          <w:p w:rsidR="0075415F" w:rsidRPr="00E60EA6" w:rsidRDefault="0075415F" w:rsidP="001C2457">
            <w:pPr>
              <w:spacing w:before="0" w:after="0"/>
              <w:jc w:val="right"/>
              <w:rPr>
                <w:rFonts w:cs="Lucida Sans Unicode"/>
                <w:b/>
                <w:color w:val="000000"/>
                <w:sz w:val="18"/>
                <w:szCs w:val="18"/>
              </w:rPr>
            </w:pPr>
            <w:r w:rsidRPr="00E60EA6">
              <w:rPr>
                <w:rFonts w:cs="Lucida Sans Unicode"/>
                <w:b/>
                <w:color w:val="000000"/>
                <w:sz w:val="18"/>
                <w:szCs w:val="18"/>
              </w:rPr>
              <w:t>1,242.44</w:t>
            </w:r>
          </w:p>
        </w:tc>
        <w:tc>
          <w:tcPr>
            <w:tcW w:w="1737" w:type="dxa"/>
            <w:tcBorders>
              <w:top w:val="single" w:sz="4" w:space="0" w:color="000000"/>
              <w:bottom w:val="single" w:sz="4" w:space="0" w:color="000000"/>
            </w:tcBorders>
            <w:shd w:val="clear" w:color="auto" w:fill="auto"/>
          </w:tcPr>
          <w:p w:rsidR="0075415F" w:rsidRPr="00E60EA6" w:rsidRDefault="0075415F" w:rsidP="001C2457">
            <w:pPr>
              <w:spacing w:before="0" w:after="0"/>
              <w:jc w:val="right"/>
              <w:rPr>
                <w:rFonts w:cs="Lucida Sans Unicode"/>
                <w:b/>
                <w:color w:val="000000"/>
                <w:sz w:val="18"/>
                <w:szCs w:val="18"/>
              </w:rPr>
            </w:pPr>
            <w:r w:rsidRPr="00E60EA6">
              <w:rPr>
                <w:rFonts w:cs="Lucida Sans Unicode"/>
                <w:b/>
                <w:color w:val="000000"/>
                <w:sz w:val="18"/>
                <w:szCs w:val="18"/>
              </w:rPr>
              <w:t>1,297.68</w:t>
            </w:r>
          </w:p>
        </w:tc>
        <w:tc>
          <w:tcPr>
            <w:tcW w:w="1737" w:type="dxa"/>
            <w:tcBorders>
              <w:top w:val="single" w:sz="4" w:space="0" w:color="000000"/>
              <w:bottom w:val="single" w:sz="4" w:space="0" w:color="000000"/>
            </w:tcBorders>
            <w:shd w:val="clear" w:color="auto" w:fill="auto"/>
          </w:tcPr>
          <w:p w:rsidR="0075415F" w:rsidRPr="00E60EA6" w:rsidRDefault="0075415F" w:rsidP="001C2457">
            <w:pPr>
              <w:spacing w:before="0" w:after="0"/>
              <w:jc w:val="right"/>
              <w:rPr>
                <w:rFonts w:cs="Lucida Sans Unicode"/>
                <w:b/>
                <w:color w:val="000000"/>
                <w:sz w:val="18"/>
                <w:szCs w:val="18"/>
              </w:rPr>
            </w:pPr>
            <w:r w:rsidRPr="00E60EA6">
              <w:rPr>
                <w:rFonts w:cs="Lucida Sans Unicode"/>
                <w:b/>
                <w:color w:val="000000"/>
                <w:sz w:val="18"/>
                <w:szCs w:val="18"/>
              </w:rPr>
              <w:t>4.45%</w:t>
            </w:r>
          </w:p>
        </w:tc>
      </w:tr>
    </w:tbl>
    <w:p w:rsidR="0075415F" w:rsidRPr="00AB07CF" w:rsidRDefault="00C23256">
      <w:pPr>
        <w:pStyle w:val="Heading4A"/>
      </w:pPr>
      <w:r w:rsidRPr="00AB07CF">
        <w:t>2014-</w:t>
      </w:r>
      <w:r w:rsidR="009B21E0">
        <w:t>15</w:t>
      </w:r>
    </w:p>
    <w:bookmarkEnd w:id="522"/>
    <w:bookmarkEnd w:id="523"/>
    <w:p w:rsidR="00AB07CF" w:rsidRDefault="00AB07CF" w:rsidP="00D43F06">
      <w:pPr>
        <w:pStyle w:val="Heading5A"/>
      </w:pPr>
      <w:r>
        <w:t>2014 Revaluation</w:t>
      </w:r>
    </w:p>
    <w:p w:rsidR="00EE7E48" w:rsidRPr="00DC7325" w:rsidRDefault="00EE7E48">
      <w:pPr>
        <w:pStyle w:val="BodyText"/>
      </w:pPr>
      <w:r w:rsidRPr="00C378D8">
        <w:t xml:space="preserve">Westlink Consulting (Contract Valuers) </w:t>
      </w:r>
      <w:r>
        <w:t>finalised</w:t>
      </w:r>
      <w:r w:rsidRPr="00C378D8">
        <w:t xml:space="preserve"> the 201</w:t>
      </w:r>
      <w:r>
        <w:t>4</w:t>
      </w:r>
      <w:r w:rsidRPr="00C378D8">
        <w:t xml:space="preserve"> revaluation of all properties within the City of Greater Geelong.</w:t>
      </w:r>
      <w:r w:rsidRPr="00DC7325">
        <w:t xml:space="preserve">The revaluation date </w:t>
      </w:r>
      <w:r>
        <w:t xml:space="preserve">was </w:t>
      </w:r>
      <w:r w:rsidRPr="00DC7325">
        <w:t>1 January 201</w:t>
      </w:r>
      <w:r>
        <w:t>4</w:t>
      </w:r>
      <w:r w:rsidRPr="00DC7325">
        <w:t xml:space="preserve"> and </w:t>
      </w:r>
      <w:r>
        <w:t xml:space="preserve">took </w:t>
      </w:r>
      <w:r w:rsidRPr="00DC7325">
        <w:t>effect from 1 July 201</w:t>
      </w:r>
      <w:r>
        <w:t>4</w:t>
      </w:r>
      <w:r w:rsidRPr="00DC7325">
        <w:t>.</w:t>
      </w:r>
    </w:p>
    <w:p w:rsidR="00EE7E48" w:rsidRPr="00DC7325" w:rsidRDefault="00EE7E48">
      <w:pPr>
        <w:pStyle w:val="BodyText"/>
      </w:pPr>
      <w:r w:rsidRPr="00DC7325">
        <w:t xml:space="preserve">The summary results </w:t>
      </w:r>
      <w:r>
        <w:t>taken from the extract on 19 March 2014 were</w:t>
      </w:r>
      <w:r w:rsidRPr="00DC7325">
        <w:t>:</w:t>
      </w:r>
    </w:p>
    <w:p w:rsidR="00A23966" w:rsidRPr="00132FCB" w:rsidRDefault="00EE7E48" w:rsidP="005167B1">
      <w:pPr>
        <w:pStyle w:val="ListParagraph"/>
        <w:numPr>
          <w:ilvl w:val="0"/>
          <w:numId w:val="43"/>
        </w:numPr>
        <w:spacing w:after="80"/>
        <w:ind w:left="357" w:hanging="357"/>
        <w:jc w:val="both"/>
      </w:pPr>
      <w:r w:rsidRPr="005A2AD5">
        <w:rPr>
          <w:rFonts w:cs="Lucida Sans Unicode"/>
          <w:szCs w:val="22"/>
        </w:rPr>
        <w:lastRenderedPageBreak/>
        <w:t>Average increase in residential was 2.16% compared</w:t>
      </w:r>
      <w:r w:rsidRPr="00132FCB">
        <w:rPr>
          <w:rFonts w:cs="Lucida Sans Unicode"/>
          <w:szCs w:val="22"/>
        </w:rPr>
        <w:t xml:space="preserve"> to 10.2% in 2012.</w:t>
      </w:r>
    </w:p>
    <w:p w:rsidR="00A23966" w:rsidRPr="005167B1" w:rsidRDefault="00EE7E48" w:rsidP="005167B1">
      <w:pPr>
        <w:pStyle w:val="ListParagraph"/>
        <w:numPr>
          <w:ilvl w:val="0"/>
          <w:numId w:val="43"/>
        </w:numPr>
        <w:spacing w:after="80"/>
        <w:ind w:left="357" w:hanging="357"/>
        <w:jc w:val="both"/>
      </w:pPr>
      <w:r w:rsidRPr="005167B1">
        <w:rPr>
          <w:rFonts w:cs="Lucida Sans Unicode"/>
          <w:szCs w:val="22"/>
        </w:rPr>
        <w:t>The average decrease in farm valuations was (0.67%) compared with (1.3%) in 2012.</w:t>
      </w:r>
    </w:p>
    <w:p w:rsidR="00A23966" w:rsidRPr="005167B1" w:rsidRDefault="00EE7E48" w:rsidP="005167B1">
      <w:pPr>
        <w:pStyle w:val="ListParagraph"/>
        <w:numPr>
          <w:ilvl w:val="0"/>
          <w:numId w:val="43"/>
        </w:numPr>
        <w:spacing w:after="80"/>
        <w:ind w:left="357" w:hanging="357"/>
        <w:jc w:val="both"/>
      </w:pPr>
      <w:r w:rsidRPr="005167B1">
        <w:rPr>
          <w:rFonts w:cs="Lucida Sans Unicode"/>
          <w:szCs w:val="22"/>
        </w:rPr>
        <w:t>Commercial properties increased by 2.49% with the increase for the CBD at 0.16%.</w:t>
      </w:r>
    </w:p>
    <w:p w:rsidR="00A23966" w:rsidRPr="005167B1" w:rsidRDefault="00EE7E48" w:rsidP="005167B1">
      <w:pPr>
        <w:pStyle w:val="ListParagraph"/>
        <w:numPr>
          <w:ilvl w:val="0"/>
          <w:numId w:val="43"/>
        </w:numPr>
        <w:spacing w:after="80"/>
        <w:ind w:left="357" w:hanging="357"/>
        <w:jc w:val="both"/>
      </w:pPr>
      <w:r w:rsidRPr="005167B1">
        <w:rPr>
          <w:rFonts w:cs="Lucida Sans Unicode"/>
          <w:szCs w:val="22"/>
        </w:rPr>
        <w:t xml:space="preserve">Industrial properties increased on average at 2.32% compared to a decrease of (1.2%) in 2012. </w:t>
      </w:r>
    </w:p>
    <w:p w:rsidR="00A23966" w:rsidRPr="005167B1" w:rsidRDefault="00EE7E48" w:rsidP="005167B1">
      <w:pPr>
        <w:pStyle w:val="ListParagraph"/>
        <w:numPr>
          <w:ilvl w:val="0"/>
          <w:numId w:val="43"/>
        </w:numPr>
        <w:spacing w:after="80"/>
        <w:ind w:left="357" w:hanging="357"/>
        <w:jc w:val="both"/>
      </w:pPr>
      <w:r w:rsidRPr="005167B1">
        <w:rPr>
          <w:rFonts w:cs="Lucida Sans Unicode"/>
          <w:szCs w:val="22"/>
        </w:rPr>
        <w:t xml:space="preserve">Average increase in vacant land was 4.11% compared with an increase of 14.2% in 2012. </w:t>
      </w:r>
    </w:p>
    <w:p w:rsidR="00774B3A" w:rsidRDefault="00774B3A" w:rsidP="00D43F06">
      <w:pPr>
        <w:pStyle w:val="Heading5A"/>
      </w:pPr>
    </w:p>
    <w:p w:rsidR="00AB07CF" w:rsidRPr="00C366A4" w:rsidRDefault="00AB07CF" w:rsidP="00D43F06">
      <w:pPr>
        <w:pStyle w:val="Heading5A"/>
      </w:pPr>
      <w:r w:rsidRPr="00C366A4">
        <w:t>Summary by Differential</w:t>
      </w:r>
    </w:p>
    <w:tbl>
      <w:tblPr>
        <w:tblW w:w="8514" w:type="dxa"/>
        <w:tblInd w:w="99" w:type="dxa"/>
        <w:tblLayout w:type="fixed"/>
        <w:tblLook w:val="04A0" w:firstRow="1" w:lastRow="0" w:firstColumn="1" w:lastColumn="0" w:noHBand="0" w:noVBand="1"/>
      </w:tblPr>
      <w:tblGrid>
        <w:gridCol w:w="3837"/>
        <w:gridCol w:w="2268"/>
        <w:gridCol w:w="2409"/>
      </w:tblGrid>
      <w:tr w:rsidR="00AB07CF" w:rsidRPr="00E60EA6" w:rsidTr="00E60EA6">
        <w:trPr>
          <w:trHeight w:val="694"/>
        </w:trPr>
        <w:tc>
          <w:tcPr>
            <w:tcW w:w="3837" w:type="dxa"/>
            <w:tcBorders>
              <w:top w:val="single" w:sz="4" w:space="0" w:color="000000"/>
              <w:bottom w:val="single" w:sz="4" w:space="0" w:color="000000"/>
            </w:tcBorders>
            <w:shd w:val="clear" w:color="auto" w:fill="auto"/>
            <w:noWrap/>
            <w:vAlign w:val="bottom"/>
            <w:hideMark/>
          </w:tcPr>
          <w:p w:rsidR="00AB07CF" w:rsidRPr="00683CDE" w:rsidRDefault="00EE7E48" w:rsidP="001C2457">
            <w:pPr>
              <w:spacing w:before="0" w:after="0"/>
              <w:rPr>
                <w:rFonts w:ascii="News Gothic Std" w:hAnsi="News Gothic Std" w:cs="Arial"/>
                <w:bCs/>
                <w:color w:val="0070C0"/>
                <w:sz w:val="18"/>
                <w:szCs w:val="18"/>
                <w:lang w:eastAsia="en-AU"/>
              </w:rPr>
            </w:pPr>
            <w:r w:rsidRPr="00683CDE">
              <w:rPr>
                <w:rFonts w:ascii="News Gothic Std" w:hAnsi="News Gothic Std" w:cs="Arial"/>
                <w:bCs/>
                <w:color w:val="0070C0"/>
                <w:sz w:val="18"/>
                <w:szCs w:val="18"/>
                <w:lang w:eastAsia="en-AU"/>
              </w:rPr>
              <w:t>Differential Rates</w:t>
            </w:r>
          </w:p>
        </w:tc>
        <w:tc>
          <w:tcPr>
            <w:tcW w:w="2268" w:type="dxa"/>
            <w:tcBorders>
              <w:top w:val="single" w:sz="4" w:space="0" w:color="000000"/>
              <w:bottom w:val="single" w:sz="4" w:space="0" w:color="000000"/>
            </w:tcBorders>
            <w:shd w:val="clear" w:color="auto" w:fill="auto"/>
            <w:noWrap/>
            <w:vAlign w:val="bottom"/>
            <w:hideMark/>
          </w:tcPr>
          <w:p w:rsidR="00AB07CF" w:rsidRPr="00683CDE" w:rsidRDefault="00AB07CF" w:rsidP="001C2457">
            <w:pPr>
              <w:spacing w:before="0" w:after="0"/>
              <w:jc w:val="right"/>
              <w:rPr>
                <w:rFonts w:ascii="News Gothic Std" w:hAnsi="News Gothic Std" w:cs="Arial"/>
                <w:bCs/>
                <w:color w:val="0070C0"/>
                <w:sz w:val="18"/>
                <w:szCs w:val="18"/>
                <w:lang w:eastAsia="en-AU"/>
              </w:rPr>
            </w:pPr>
            <w:r w:rsidRPr="00683CDE">
              <w:rPr>
                <w:rFonts w:ascii="News Gothic Std" w:hAnsi="News Gothic Std" w:cs="Arial"/>
                <w:bCs/>
                <w:color w:val="0070C0"/>
                <w:sz w:val="18"/>
                <w:szCs w:val="18"/>
                <w:lang w:eastAsia="en-AU"/>
              </w:rPr>
              <w:t>Count of</w:t>
            </w:r>
            <w:r w:rsidRPr="00683CDE">
              <w:rPr>
                <w:rFonts w:ascii="News Gothic Std" w:hAnsi="News Gothic Std" w:cs="Arial"/>
                <w:bCs/>
                <w:color w:val="0070C0"/>
                <w:sz w:val="18"/>
                <w:szCs w:val="18"/>
                <w:lang w:eastAsia="en-AU"/>
              </w:rPr>
              <w:br/>
              <w:t>Assessment Number</w:t>
            </w:r>
          </w:p>
        </w:tc>
        <w:tc>
          <w:tcPr>
            <w:tcW w:w="2409" w:type="dxa"/>
            <w:tcBorders>
              <w:top w:val="single" w:sz="4" w:space="0" w:color="000000"/>
              <w:bottom w:val="single" w:sz="4" w:space="0" w:color="000000"/>
            </w:tcBorders>
            <w:shd w:val="clear" w:color="auto" w:fill="auto"/>
            <w:vAlign w:val="bottom"/>
            <w:hideMark/>
          </w:tcPr>
          <w:p w:rsidR="00AB07CF" w:rsidRPr="00683CDE" w:rsidRDefault="00AB07CF" w:rsidP="001C2457">
            <w:pPr>
              <w:spacing w:before="0" w:after="0"/>
              <w:jc w:val="right"/>
              <w:rPr>
                <w:rFonts w:ascii="News Gothic Std" w:hAnsi="News Gothic Std" w:cs="Arial"/>
                <w:bCs/>
                <w:color w:val="0070C0"/>
                <w:sz w:val="18"/>
                <w:szCs w:val="18"/>
                <w:lang w:eastAsia="en-AU"/>
              </w:rPr>
            </w:pPr>
            <w:r w:rsidRPr="00683CDE">
              <w:rPr>
                <w:rFonts w:ascii="News Gothic Std" w:hAnsi="News Gothic Std" w:cs="Arial"/>
                <w:bCs/>
                <w:color w:val="0070C0"/>
                <w:sz w:val="18"/>
                <w:szCs w:val="18"/>
                <w:lang w:eastAsia="en-AU"/>
              </w:rPr>
              <w:t>% Change</w:t>
            </w:r>
            <w:r w:rsidRPr="00683CDE">
              <w:rPr>
                <w:rFonts w:ascii="News Gothic Std" w:hAnsi="News Gothic Std" w:cs="Arial"/>
                <w:bCs/>
                <w:color w:val="0070C0"/>
                <w:sz w:val="18"/>
                <w:szCs w:val="18"/>
                <w:lang w:eastAsia="en-AU"/>
              </w:rPr>
              <w:br/>
              <w:t xml:space="preserve">2014 Reval CIV </w:t>
            </w:r>
            <w:r w:rsidRPr="00683CDE">
              <w:rPr>
                <w:rFonts w:ascii="News Gothic Std" w:hAnsi="News Gothic Std" w:cs="Arial"/>
                <w:bCs/>
                <w:color w:val="0070C0"/>
                <w:sz w:val="18"/>
                <w:szCs w:val="18"/>
                <w:lang w:eastAsia="en-AU"/>
              </w:rPr>
              <w:br/>
              <w:t>to 2012 Reval CIV</w:t>
            </w:r>
          </w:p>
        </w:tc>
      </w:tr>
      <w:tr w:rsidR="00AB07CF" w:rsidRPr="00E60EA6" w:rsidTr="00E60EA6">
        <w:trPr>
          <w:trHeight w:val="255"/>
        </w:trPr>
        <w:tc>
          <w:tcPr>
            <w:tcW w:w="3837" w:type="dxa"/>
            <w:tcBorders>
              <w:top w:val="single" w:sz="4" w:space="0" w:color="000000"/>
            </w:tcBorders>
            <w:shd w:val="clear" w:color="auto" w:fill="auto"/>
            <w:noWrap/>
            <w:vAlign w:val="center"/>
            <w:hideMark/>
          </w:tcPr>
          <w:p w:rsidR="00AB07CF" w:rsidRPr="00E60EA6" w:rsidRDefault="00AB07C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General Rates</w:t>
            </w:r>
          </w:p>
        </w:tc>
        <w:tc>
          <w:tcPr>
            <w:tcW w:w="2268" w:type="dxa"/>
            <w:tcBorders>
              <w:top w:val="single" w:sz="4" w:space="0" w:color="000000"/>
            </w:tcBorders>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98,460</w:t>
            </w:r>
          </w:p>
        </w:tc>
        <w:tc>
          <w:tcPr>
            <w:tcW w:w="2409" w:type="dxa"/>
            <w:tcBorders>
              <w:top w:val="single" w:sz="4" w:space="0" w:color="000000"/>
            </w:tcBorders>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2.16%</w:t>
            </w:r>
          </w:p>
        </w:tc>
      </w:tr>
      <w:tr w:rsidR="00AB07CF" w:rsidRPr="00E60EA6" w:rsidTr="00AB07CF">
        <w:trPr>
          <w:trHeight w:val="255"/>
        </w:trPr>
        <w:tc>
          <w:tcPr>
            <w:tcW w:w="3837" w:type="dxa"/>
            <w:shd w:val="clear" w:color="auto" w:fill="auto"/>
            <w:noWrap/>
            <w:vAlign w:val="center"/>
            <w:hideMark/>
          </w:tcPr>
          <w:p w:rsidR="00AB07CF" w:rsidRPr="00E60EA6" w:rsidRDefault="00AB07C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Vacant Land</w:t>
            </w:r>
          </w:p>
        </w:tc>
        <w:tc>
          <w:tcPr>
            <w:tcW w:w="2268"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5,004</w:t>
            </w:r>
          </w:p>
        </w:tc>
        <w:tc>
          <w:tcPr>
            <w:tcW w:w="2409"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4.11%</w:t>
            </w:r>
          </w:p>
        </w:tc>
      </w:tr>
      <w:tr w:rsidR="00AB07CF" w:rsidRPr="00E60EA6" w:rsidTr="00AB07CF">
        <w:trPr>
          <w:trHeight w:val="255"/>
        </w:trPr>
        <w:tc>
          <w:tcPr>
            <w:tcW w:w="3837" w:type="dxa"/>
            <w:shd w:val="clear" w:color="auto" w:fill="auto"/>
            <w:noWrap/>
            <w:vAlign w:val="center"/>
            <w:hideMark/>
          </w:tcPr>
          <w:p w:rsidR="00AB07CF" w:rsidRPr="00E60EA6" w:rsidRDefault="00AB07C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Commercial Rate</w:t>
            </w:r>
          </w:p>
        </w:tc>
        <w:tc>
          <w:tcPr>
            <w:tcW w:w="2268"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5,309</w:t>
            </w:r>
          </w:p>
        </w:tc>
        <w:tc>
          <w:tcPr>
            <w:tcW w:w="2409"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2.49%</w:t>
            </w:r>
          </w:p>
        </w:tc>
      </w:tr>
      <w:tr w:rsidR="00AB07CF" w:rsidRPr="00E60EA6" w:rsidTr="00AB07CF">
        <w:trPr>
          <w:trHeight w:val="255"/>
        </w:trPr>
        <w:tc>
          <w:tcPr>
            <w:tcW w:w="3837" w:type="dxa"/>
            <w:shd w:val="clear" w:color="auto" w:fill="auto"/>
            <w:noWrap/>
            <w:vAlign w:val="center"/>
            <w:hideMark/>
          </w:tcPr>
          <w:p w:rsidR="00AB07CF" w:rsidRPr="00E60EA6" w:rsidRDefault="00AB07C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The Point – Residential</w:t>
            </w:r>
          </w:p>
        </w:tc>
        <w:tc>
          <w:tcPr>
            <w:tcW w:w="2268"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15</w:t>
            </w:r>
          </w:p>
        </w:tc>
        <w:tc>
          <w:tcPr>
            <w:tcW w:w="2409" w:type="dxa"/>
            <w:shd w:val="clear" w:color="auto" w:fill="auto"/>
            <w:noWrap/>
            <w:vAlign w:val="center"/>
            <w:hideMark/>
          </w:tcPr>
          <w:p w:rsidR="00AB07CF" w:rsidRPr="00E60EA6" w:rsidRDefault="00AB07CF" w:rsidP="001C2457">
            <w:pPr>
              <w:spacing w:before="0" w:after="0"/>
              <w:jc w:val="right"/>
              <w:rPr>
                <w:rFonts w:cs="Lucida Sans Unicode"/>
                <w:color w:val="FF0000"/>
                <w:sz w:val="18"/>
                <w:szCs w:val="18"/>
                <w:lang w:eastAsia="en-AU"/>
              </w:rPr>
            </w:pPr>
            <w:r w:rsidRPr="00E60EA6">
              <w:rPr>
                <w:rFonts w:cs="Lucida Sans Unicode"/>
                <w:color w:val="FF0000"/>
                <w:sz w:val="18"/>
                <w:szCs w:val="18"/>
                <w:lang w:eastAsia="en-AU"/>
              </w:rPr>
              <w:t>(5.76%)</w:t>
            </w:r>
          </w:p>
        </w:tc>
      </w:tr>
      <w:tr w:rsidR="00AB07CF" w:rsidRPr="00E60EA6" w:rsidTr="00AB07CF">
        <w:trPr>
          <w:trHeight w:val="255"/>
        </w:trPr>
        <w:tc>
          <w:tcPr>
            <w:tcW w:w="3837" w:type="dxa"/>
            <w:shd w:val="clear" w:color="auto" w:fill="auto"/>
            <w:noWrap/>
            <w:vAlign w:val="center"/>
            <w:hideMark/>
          </w:tcPr>
          <w:p w:rsidR="00AB07CF" w:rsidRPr="00E60EA6" w:rsidRDefault="00AB07C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The Point – Vacant</w:t>
            </w:r>
          </w:p>
        </w:tc>
        <w:tc>
          <w:tcPr>
            <w:tcW w:w="2268"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24</w:t>
            </w:r>
          </w:p>
        </w:tc>
        <w:tc>
          <w:tcPr>
            <w:tcW w:w="2409" w:type="dxa"/>
            <w:shd w:val="clear" w:color="auto" w:fill="auto"/>
            <w:noWrap/>
            <w:vAlign w:val="center"/>
            <w:hideMark/>
          </w:tcPr>
          <w:p w:rsidR="00AB07CF" w:rsidRPr="00E60EA6" w:rsidRDefault="00AB07CF" w:rsidP="001C2457">
            <w:pPr>
              <w:spacing w:before="0" w:after="0"/>
              <w:jc w:val="right"/>
              <w:rPr>
                <w:rFonts w:cs="Lucida Sans Unicode"/>
                <w:color w:val="FF0000"/>
                <w:sz w:val="18"/>
                <w:szCs w:val="18"/>
                <w:lang w:eastAsia="en-AU"/>
              </w:rPr>
            </w:pPr>
            <w:r w:rsidRPr="00E60EA6">
              <w:rPr>
                <w:rFonts w:cs="Lucida Sans Unicode"/>
                <w:color w:val="FF0000"/>
                <w:sz w:val="18"/>
                <w:szCs w:val="18"/>
                <w:lang w:eastAsia="en-AU"/>
              </w:rPr>
              <w:t>(14.57%)</w:t>
            </w:r>
          </w:p>
        </w:tc>
      </w:tr>
      <w:tr w:rsidR="00AB07CF" w:rsidRPr="00E60EA6" w:rsidTr="00AB07CF">
        <w:trPr>
          <w:trHeight w:val="255"/>
        </w:trPr>
        <w:tc>
          <w:tcPr>
            <w:tcW w:w="3837" w:type="dxa"/>
            <w:shd w:val="clear" w:color="auto" w:fill="auto"/>
            <w:noWrap/>
            <w:vAlign w:val="center"/>
            <w:hideMark/>
          </w:tcPr>
          <w:p w:rsidR="00AB07CF" w:rsidRPr="00E60EA6" w:rsidRDefault="00AB07C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The Point – Commercial</w:t>
            </w:r>
          </w:p>
        </w:tc>
        <w:tc>
          <w:tcPr>
            <w:tcW w:w="2268"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w:t>
            </w:r>
          </w:p>
        </w:tc>
        <w:tc>
          <w:tcPr>
            <w:tcW w:w="2409" w:type="dxa"/>
            <w:shd w:val="clear" w:color="auto" w:fill="auto"/>
            <w:noWrap/>
            <w:vAlign w:val="center"/>
            <w:hideMark/>
          </w:tcPr>
          <w:p w:rsidR="00AB07CF" w:rsidRPr="00E60EA6" w:rsidRDefault="00AB07CF" w:rsidP="001C2457">
            <w:pPr>
              <w:spacing w:before="0" w:after="0"/>
              <w:jc w:val="right"/>
              <w:rPr>
                <w:rFonts w:cs="Lucida Sans Unicode"/>
                <w:color w:val="FF0000"/>
                <w:sz w:val="18"/>
                <w:szCs w:val="18"/>
                <w:lang w:eastAsia="en-AU"/>
              </w:rPr>
            </w:pPr>
            <w:r w:rsidRPr="00E60EA6">
              <w:rPr>
                <w:rFonts w:cs="Lucida Sans Unicode"/>
                <w:color w:val="FF0000"/>
                <w:sz w:val="18"/>
                <w:szCs w:val="18"/>
                <w:lang w:eastAsia="en-AU"/>
              </w:rPr>
              <w:t>(73.26%)</w:t>
            </w:r>
          </w:p>
        </w:tc>
      </w:tr>
      <w:tr w:rsidR="00AB07CF" w:rsidRPr="00E60EA6" w:rsidTr="00AB07CF">
        <w:trPr>
          <w:trHeight w:val="255"/>
        </w:trPr>
        <w:tc>
          <w:tcPr>
            <w:tcW w:w="3837" w:type="dxa"/>
            <w:shd w:val="clear" w:color="auto" w:fill="auto"/>
            <w:noWrap/>
            <w:vAlign w:val="center"/>
            <w:hideMark/>
          </w:tcPr>
          <w:p w:rsidR="00AB07CF" w:rsidRPr="00E60EA6" w:rsidRDefault="00AB07C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Industrial Rate</w:t>
            </w:r>
          </w:p>
        </w:tc>
        <w:tc>
          <w:tcPr>
            <w:tcW w:w="2268"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1,851</w:t>
            </w:r>
          </w:p>
        </w:tc>
        <w:tc>
          <w:tcPr>
            <w:tcW w:w="2409"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2.32%</w:t>
            </w:r>
          </w:p>
        </w:tc>
      </w:tr>
      <w:tr w:rsidR="00AB07CF" w:rsidRPr="00E60EA6" w:rsidTr="00AB07CF">
        <w:trPr>
          <w:trHeight w:val="255"/>
        </w:trPr>
        <w:tc>
          <w:tcPr>
            <w:tcW w:w="3837" w:type="dxa"/>
            <w:shd w:val="clear" w:color="auto" w:fill="auto"/>
            <w:noWrap/>
            <w:vAlign w:val="center"/>
            <w:hideMark/>
          </w:tcPr>
          <w:p w:rsidR="00AB07CF" w:rsidRPr="00E60EA6" w:rsidRDefault="00AB07C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Mixed Use</w:t>
            </w:r>
          </w:p>
        </w:tc>
        <w:tc>
          <w:tcPr>
            <w:tcW w:w="2268"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255</w:t>
            </w:r>
          </w:p>
        </w:tc>
        <w:tc>
          <w:tcPr>
            <w:tcW w:w="2409"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3.76%</w:t>
            </w:r>
          </w:p>
        </w:tc>
      </w:tr>
      <w:tr w:rsidR="00AB07CF" w:rsidRPr="00E60EA6" w:rsidTr="00AB07CF">
        <w:trPr>
          <w:trHeight w:val="255"/>
        </w:trPr>
        <w:tc>
          <w:tcPr>
            <w:tcW w:w="3837" w:type="dxa"/>
            <w:shd w:val="clear" w:color="auto" w:fill="auto"/>
            <w:noWrap/>
            <w:vAlign w:val="center"/>
            <w:hideMark/>
          </w:tcPr>
          <w:p w:rsidR="00AB07CF" w:rsidRPr="00E60EA6" w:rsidRDefault="00AB07C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Farm Rate</w:t>
            </w:r>
          </w:p>
        </w:tc>
        <w:tc>
          <w:tcPr>
            <w:tcW w:w="2268"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1,075</w:t>
            </w:r>
          </w:p>
        </w:tc>
        <w:tc>
          <w:tcPr>
            <w:tcW w:w="2409" w:type="dxa"/>
            <w:shd w:val="clear" w:color="auto" w:fill="auto"/>
            <w:noWrap/>
            <w:vAlign w:val="center"/>
            <w:hideMark/>
          </w:tcPr>
          <w:p w:rsidR="00AB07CF" w:rsidRPr="00E60EA6" w:rsidRDefault="00AB07CF" w:rsidP="001C2457">
            <w:pPr>
              <w:spacing w:before="0" w:after="0"/>
              <w:jc w:val="right"/>
              <w:rPr>
                <w:rFonts w:cs="Lucida Sans Unicode"/>
                <w:color w:val="FF0000"/>
                <w:sz w:val="18"/>
                <w:szCs w:val="18"/>
                <w:lang w:eastAsia="en-AU"/>
              </w:rPr>
            </w:pPr>
            <w:r w:rsidRPr="00E60EA6">
              <w:rPr>
                <w:rFonts w:cs="Lucida Sans Unicode"/>
                <w:color w:val="FF0000"/>
                <w:sz w:val="18"/>
                <w:szCs w:val="18"/>
                <w:lang w:eastAsia="en-AU"/>
              </w:rPr>
              <w:t>(0.67%)</w:t>
            </w:r>
          </w:p>
        </w:tc>
      </w:tr>
      <w:tr w:rsidR="00AB07CF" w:rsidRPr="00E60EA6" w:rsidTr="00AB07CF">
        <w:trPr>
          <w:trHeight w:val="255"/>
        </w:trPr>
        <w:tc>
          <w:tcPr>
            <w:tcW w:w="3837" w:type="dxa"/>
            <w:shd w:val="clear" w:color="auto" w:fill="auto"/>
            <w:noWrap/>
            <w:vAlign w:val="center"/>
            <w:hideMark/>
          </w:tcPr>
          <w:p w:rsidR="00AB07CF" w:rsidRPr="00E60EA6" w:rsidRDefault="00AB07C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Recreation</w:t>
            </w:r>
          </w:p>
        </w:tc>
        <w:tc>
          <w:tcPr>
            <w:tcW w:w="2268"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58</w:t>
            </w:r>
          </w:p>
        </w:tc>
        <w:tc>
          <w:tcPr>
            <w:tcW w:w="2409"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2.52%</w:t>
            </w:r>
          </w:p>
        </w:tc>
      </w:tr>
      <w:tr w:rsidR="00AB07CF" w:rsidRPr="00E60EA6" w:rsidTr="00AB07CF">
        <w:trPr>
          <w:trHeight w:val="255"/>
        </w:trPr>
        <w:tc>
          <w:tcPr>
            <w:tcW w:w="3837" w:type="dxa"/>
            <w:shd w:val="clear" w:color="auto" w:fill="auto"/>
            <w:noWrap/>
            <w:vAlign w:val="center"/>
            <w:hideMark/>
          </w:tcPr>
          <w:p w:rsidR="00AB07CF" w:rsidRPr="00E60EA6" w:rsidRDefault="00AB07C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Automotive</w:t>
            </w:r>
          </w:p>
        </w:tc>
        <w:tc>
          <w:tcPr>
            <w:tcW w:w="2268"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w:t>
            </w:r>
          </w:p>
        </w:tc>
        <w:tc>
          <w:tcPr>
            <w:tcW w:w="2409" w:type="dxa"/>
            <w:shd w:val="clear" w:color="auto" w:fill="auto"/>
            <w:noWrap/>
            <w:vAlign w:val="center"/>
            <w:hideMark/>
          </w:tcPr>
          <w:p w:rsidR="00AB07CF" w:rsidRPr="00E60EA6" w:rsidRDefault="00AB07CF" w:rsidP="001C2457">
            <w:pPr>
              <w:spacing w:before="0" w:after="0"/>
              <w:jc w:val="right"/>
              <w:rPr>
                <w:rFonts w:cs="Lucida Sans Unicode"/>
                <w:color w:val="FF0000"/>
                <w:sz w:val="18"/>
                <w:szCs w:val="18"/>
                <w:lang w:eastAsia="en-AU"/>
              </w:rPr>
            </w:pPr>
            <w:r w:rsidRPr="00E60EA6">
              <w:rPr>
                <w:rFonts w:cs="Lucida Sans Unicode"/>
                <w:color w:val="FF0000"/>
                <w:sz w:val="18"/>
                <w:szCs w:val="18"/>
                <w:lang w:eastAsia="en-AU"/>
              </w:rPr>
              <w:t>(20.12%)</w:t>
            </w:r>
          </w:p>
        </w:tc>
      </w:tr>
      <w:tr w:rsidR="00AB07CF" w:rsidRPr="00E60EA6" w:rsidTr="00AB07CF">
        <w:trPr>
          <w:trHeight w:val="255"/>
        </w:trPr>
        <w:tc>
          <w:tcPr>
            <w:tcW w:w="3837" w:type="dxa"/>
            <w:shd w:val="clear" w:color="auto" w:fill="auto"/>
            <w:noWrap/>
            <w:vAlign w:val="center"/>
            <w:hideMark/>
          </w:tcPr>
          <w:p w:rsidR="00AB07CF" w:rsidRPr="00E60EA6" w:rsidRDefault="00AB07C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Petroleum</w:t>
            </w:r>
          </w:p>
        </w:tc>
        <w:tc>
          <w:tcPr>
            <w:tcW w:w="2268"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w:t>
            </w:r>
          </w:p>
        </w:tc>
        <w:tc>
          <w:tcPr>
            <w:tcW w:w="2409"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0.00%</w:t>
            </w:r>
          </w:p>
        </w:tc>
      </w:tr>
      <w:tr w:rsidR="00AB07CF" w:rsidRPr="00E60EA6" w:rsidTr="00E60EA6">
        <w:trPr>
          <w:trHeight w:val="255"/>
        </w:trPr>
        <w:tc>
          <w:tcPr>
            <w:tcW w:w="3837" w:type="dxa"/>
            <w:tcBorders>
              <w:bottom w:val="single" w:sz="4" w:space="0" w:color="000000"/>
            </w:tcBorders>
            <w:shd w:val="clear" w:color="auto" w:fill="auto"/>
            <w:noWrap/>
            <w:vAlign w:val="center"/>
            <w:hideMark/>
          </w:tcPr>
          <w:p w:rsidR="00AB07CF" w:rsidRPr="00E60EA6" w:rsidRDefault="00AB07CF" w:rsidP="001C2457">
            <w:pPr>
              <w:spacing w:before="0" w:after="0"/>
              <w:rPr>
                <w:rFonts w:cs="Lucida Sans Unicode"/>
                <w:color w:val="000000"/>
                <w:sz w:val="18"/>
                <w:szCs w:val="18"/>
                <w:lang w:eastAsia="en-AU"/>
              </w:rPr>
            </w:pPr>
            <w:r w:rsidRPr="00E60EA6">
              <w:rPr>
                <w:rFonts w:cs="Lucida Sans Unicode"/>
                <w:color w:val="000000"/>
                <w:sz w:val="18"/>
                <w:szCs w:val="18"/>
                <w:lang w:eastAsia="en-AU"/>
              </w:rPr>
              <w:t>Aluminium</w:t>
            </w:r>
          </w:p>
        </w:tc>
        <w:tc>
          <w:tcPr>
            <w:tcW w:w="2268" w:type="dxa"/>
            <w:tcBorders>
              <w:bottom w:val="single" w:sz="4" w:space="0" w:color="000000"/>
            </w:tcBorders>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w:t>
            </w:r>
          </w:p>
        </w:tc>
        <w:tc>
          <w:tcPr>
            <w:tcW w:w="2409" w:type="dxa"/>
            <w:tcBorders>
              <w:bottom w:val="single" w:sz="4" w:space="0" w:color="000000"/>
            </w:tcBorders>
            <w:shd w:val="clear" w:color="auto" w:fill="auto"/>
            <w:noWrap/>
            <w:vAlign w:val="center"/>
            <w:hideMark/>
          </w:tcPr>
          <w:p w:rsidR="00AB07CF" w:rsidRPr="00E60EA6" w:rsidRDefault="00AB07CF" w:rsidP="001C2457">
            <w:pPr>
              <w:spacing w:before="0" w:after="0"/>
              <w:jc w:val="right"/>
              <w:rPr>
                <w:rFonts w:cs="Lucida Sans Unicode"/>
                <w:color w:val="FF0000"/>
                <w:sz w:val="18"/>
                <w:szCs w:val="18"/>
                <w:lang w:eastAsia="en-AU"/>
              </w:rPr>
            </w:pPr>
            <w:r w:rsidRPr="00E60EA6">
              <w:rPr>
                <w:rFonts w:cs="Lucida Sans Unicode"/>
                <w:color w:val="FF0000"/>
                <w:sz w:val="18"/>
                <w:szCs w:val="18"/>
                <w:lang w:eastAsia="en-AU"/>
              </w:rPr>
              <w:t>(24.10%)</w:t>
            </w:r>
          </w:p>
        </w:tc>
      </w:tr>
      <w:tr w:rsidR="00AB07CF" w:rsidRPr="00E60EA6" w:rsidTr="00E60EA6">
        <w:trPr>
          <w:trHeight w:val="255"/>
        </w:trPr>
        <w:tc>
          <w:tcPr>
            <w:tcW w:w="3837" w:type="dxa"/>
            <w:tcBorders>
              <w:top w:val="single" w:sz="4" w:space="0" w:color="000000"/>
              <w:bottom w:val="single" w:sz="4" w:space="0" w:color="000000"/>
            </w:tcBorders>
            <w:shd w:val="clear" w:color="auto" w:fill="auto"/>
            <w:noWrap/>
            <w:vAlign w:val="center"/>
            <w:hideMark/>
          </w:tcPr>
          <w:p w:rsidR="00AB07CF" w:rsidRPr="00E60EA6" w:rsidRDefault="00AB07CF" w:rsidP="001C2457">
            <w:pPr>
              <w:spacing w:before="0" w:after="0"/>
              <w:rPr>
                <w:rFonts w:cs="Lucida Sans Unicode"/>
                <w:b/>
                <w:bCs/>
                <w:color w:val="000000"/>
                <w:sz w:val="18"/>
                <w:szCs w:val="18"/>
                <w:lang w:eastAsia="en-AU"/>
              </w:rPr>
            </w:pPr>
            <w:r w:rsidRPr="00E60EA6">
              <w:rPr>
                <w:rFonts w:cs="Lucida Sans Unicode"/>
                <w:b/>
                <w:bCs/>
                <w:color w:val="000000"/>
                <w:sz w:val="18"/>
                <w:szCs w:val="18"/>
                <w:lang w:eastAsia="en-AU"/>
              </w:rPr>
              <w:t>Grand Total</w:t>
            </w:r>
          </w:p>
        </w:tc>
        <w:tc>
          <w:tcPr>
            <w:tcW w:w="2268" w:type="dxa"/>
            <w:tcBorders>
              <w:top w:val="single" w:sz="4" w:space="0" w:color="000000"/>
              <w:bottom w:val="single" w:sz="4" w:space="0" w:color="000000"/>
            </w:tcBorders>
            <w:shd w:val="clear" w:color="auto" w:fill="auto"/>
            <w:noWrap/>
            <w:vAlign w:val="center"/>
            <w:hideMark/>
          </w:tcPr>
          <w:p w:rsidR="00AB07CF" w:rsidRPr="00E60EA6" w:rsidRDefault="00AB07CF" w:rsidP="001C2457">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112,057</w:t>
            </w:r>
          </w:p>
        </w:tc>
        <w:tc>
          <w:tcPr>
            <w:tcW w:w="2409" w:type="dxa"/>
            <w:tcBorders>
              <w:top w:val="single" w:sz="4" w:space="0" w:color="000000"/>
              <w:bottom w:val="single" w:sz="4" w:space="0" w:color="000000"/>
            </w:tcBorders>
            <w:shd w:val="clear" w:color="auto" w:fill="auto"/>
            <w:noWrap/>
            <w:vAlign w:val="center"/>
            <w:hideMark/>
          </w:tcPr>
          <w:p w:rsidR="00AB07CF" w:rsidRPr="00E60EA6" w:rsidRDefault="00AB07CF" w:rsidP="001C2457">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2.08%</w:t>
            </w:r>
          </w:p>
        </w:tc>
      </w:tr>
    </w:tbl>
    <w:p w:rsidR="00AB07CF" w:rsidRDefault="00AB07CF" w:rsidP="00AB07CF">
      <w:pPr>
        <w:rPr>
          <w:rFonts w:cs="Arial"/>
          <w:lang w:val="en-US"/>
        </w:rPr>
      </w:pPr>
    </w:p>
    <w:p w:rsidR="00AB07CF" w:rsidRPr="00DC7325" w:rsidRDefault="00AB07CF" w:rsidP="00D43F06">
      <w:pPr>
        <w:pStyle w:val="Heading5A"/>
      </w:pPr>
      <w:r w:rsidRPr="00DC7325">
        <w:t xml:space="preserve">Residential </w:t>
      </w:r>
    </w:p>
    <w:p w:rsidR="00AB07CF" w:rsidRPr="00F57EFC" w:rsidRDefault="00AB07CF">
      <w:pPr>
        <w:pStyle w:val="BodyText"/>
      </w:pPr>
      <w:r w:rsidRPr="00F57EFC">
        <w:t>Overall 98,460 residential properties increased by an average of 2.16%, compared to an average increase of 10.2% at the 2012 revaluation. The average residential capital improved value moved from $365,610 to $375,674.</w:t>
      </w:r>
    </w:p>
    <w:p w:rsidR="00AB07CF" w:rsidRPr="00F57EFC" w:rsidRDefault="00AB07CF">
      <w:pPr>
        <w:pStyle w:val="BodyText"/>
      </w:pPr>
      <w:r w:rsidRPr="00F57EFC">
        <w:t>Of the total 98,460 residences, 126 increased in value over 50% (compared to 525 which increased over 50% for the 2012 revaluation).</w:t>
      </w:r>
    </w:p>
    <w:p w:rsidR="00AB07CF" w:rsidRPr="00990AA2" w:rsidRDefault="00AB07CF">
      <w:pPr>
        <w:pStyle w:val="Heading4A"/>
      </w:pPr>
      <w:r w:rsidRPr="00990AA2">
        <w:t>Impacts on Residential Areas</w:t>
      </w:r>
    </w:p>
    <w:p w:rsidR="00AB07CF" w:rsidRPr="00990AA2" w:rsidRDefault="00AB07CF">
      <w:pPr>
        <w:pStyle w:val="BodyText"/>
      </w:pPr>
      <w:r>
        <w:t>Just over</w:t>
      </w:r>
      <w:r w:rsidRPr="00990AA2">
        <w:t xml:space="preserve"> half of Geelong’s residential population </w:t>
      </w:r>
      <w:r>
        <w:t>was</w:t>
      </w:r>
      <w:r w:rsidRPr="00990AA2">
        <w:t xml:space="preserve"> in nine suburbs. Of the </w:t>
      </w:r>
      <w:r>
        <w:t>98,460</w:t>
      </w:r>
      <w:r w:rsidRPr="00990AA2">
        <w:t xml:space="preserve"> residences, </w:t>
      </w:r>
      <w:r>
        <w:t>50,655</w:t>
      </w:r>
      <w:r w:rsidRPr="00990AA2">
        <w:t xml:space="preserve"> </w:t>
      </w:r>
      <w:r>
        <w:t>were</w:t>
      </w:r>
      <w:r w:rsidRPr="00990AA2">
        <w:t xml:space="preserve"> affected by the following suburb revaluation movements:</w:t>
      </w:r>
    </w:p>
    <w:tbl>
      <w:tblPr>
        <w:tblW w:w="8659" w:type="dxa"/>
        <w:tblInd w:w="96" w:type="dxa"/>
        <w:tblLayout w:type="fixed"/>
        <w:tblLook w:val="04A0" w:firstRow="1" w:lastRow="0" w:firstColumn="1" w:lastColumn="0" w:noHBand="0" w:noVBand="1"/>
      </w:tblPr>
      <w:tblGrid>
        <w:gridCol w:w="1929"/>
        <w:gridCol w:w="1377"/>
        <w:gridCol w:w="1376"/>
        <w:gridCol w:w="1376"/>
        <w:gridCol w:w="1376"/>
        <w:gridCol w:w="1225"/>
      </w:tblGrid>
      <w:tr w:rsidR="00AB07CF" w:rsidRPr="00E60EA6" w:rsidTr="00E60EA6">
        <w:trPr>
          <w:trHeight w:val="925"/>
          <w:tblHeader/>
        </w:trPr>
        <w:tc>
          <w:tcPr>
            <w:tcW w:w="1929" w:type="dxa"/>
            <w:tcBorders>
              <w:top w:val="single" w:sz="4" w:space="0" w:color="000000"/>
              <w:bottom w:val="single" w:sz="4" w:space="0" w:color="auto"/>
            </w:tcBorders>
            <w:shd w:val="clear" w:color="auto" w:fill="auto"/>
            <w:noWrap/>
            <w:vAlign w:val="bottom"/>
            <w:hideMark/>
          </w:tcPr>
          <w:p w:rsidR="00AB07CF" w:rsidRPr="00683CDE" w:rsidRDefault="00AB07CF" w:rsidP="001C2457">
            <w:pPr>
              <w:spacing w:before="0" w:after="0"/>
              <w:rPr>
                <w:rFonts w:ascii="News Gothic Std" w:hAnsi="News Gothic Std" w:cs="Arial"/>
                <w:bCs/>
                <w:color w:val="0070C0"/>
                <w:sz w:val="18"/>
                <w:szCs w:val="18"/>
                <w:lang w:eastAsia="en-AU"/>
              </w:rPr>
            </w:pPr>
            <w:r w:rsidRPr="00683CDE">
              <w:rPr>
                <w:rFonts w:ascii="News Gothic Std" w:hAnsi="News Gothic Std" w:cs="Arial"/>
                <w:bCs/>
                <w:color w:val="0070C0"/>
                <w:sz w:val="18"/>
                <w:szCs w:val="18"/>
                <w:lang w:val="en-US" w:eastAsia="en-AU"/>
              </w:rPr>
              <w:t>Suburb</w:t>
            </w:r>
          </w:p>
        </w:tc>
        <w:tc>
          <w:tcPr>
            <w:tcW w:w="1377" w:type="dxa"/>
            <w:tcBorders>
              <w:top w:val="single" w:sz="4" w:space="0" w:color="000000"/>
              <w:bottom w:val="single" w:sz="4" w:space="0" w:color="auto"/>
            </w:tcBorders>
            <w:shd w:val="clear" w:color="auto" w:fill="auto"/>
            <w:vAlign w:val="bottom"/>
            <w:hideMark/>
          </w:tcPr>
          <w:p w:rsidR="00AB07CF" w:rsidRPr="00683CDE" w:rsidRDefault="00AB07CF" w:rsidP="001C2457">
            <w:pPr>
              <w:spacing w:before="0" w:after="0"/>
              <w:jc w:val="right"/>
              <w:rPr>
                <w:rFonts w:ascii="News Gothic Std" w:hAnsi="News Gothic Std" w:cs="Arial"/>
                <w:bCs/>
                <w:color w:val="0070C0"/>
                <w:sz w:val="18"/>
                <w:szCs w:val="18"/>
                <w:lang w:eastAsia="en-AU"/>
              </w:rPr>
            </w:pPr>
            <w:r w:rsidRPr="00683CDE">
              <w:rPr>
                <w:rFonts w:ascii="News Gothic Std" w:hAnsi="News Gothic Std" w:cs="Arial"/>
                <w:bCs/>
                <w:color w:val="0070C0"/>
                <w:sz w:val="18"/>
                <w:szCs w:val="18"/>
                <w:lang w:val="en-US" w:eastAsia="en-AU"/>
              </w:rPr>
              <w:t>No. of Residences 2014</w:t>
            </w:r>
          </w:p>
        </w:tc>
        <w:tc>
          <w:tcPr>
            <w:tcW w:w="1376" w:type="dxa"/>
            <w:tcBorders>
              <w:top w:val="single" w:sz="4" w:space="0" w:color="000000"/>
              <w:bottom w:val="single" w:sz="4" w:space="0" w:color="auto"/>
            </w:tcBorders>
            <w:shd w:val="clear" w:color="auto" w:fill="auto"/>
            <w:vAlign w:val="bottom"/>
            <w:hideMark/>
          </w:tcPr>
          <w:p w:rsidR="00AB07CF" w:rsidRPr="00683CDE" w:rsidRDefault="00AB07CF" w:rsidP="001C2457">
            <w:pPr>
              <w:spacing w:before="0" w:after="0"/>
              <w:jc w:val="right"/>
              <w:rPr>
                <w:rFonts w:ascii="News Gothic Std" w:hAnsi="News Gothic Std" w:cs="Arial"/>
                <w:bCs/>
                <w:color w:val="0070C0"/>
                <w:sz w:val="18"/>
                <w:szCs w:val="18"/>
                <w:lang w:val="en-US" w:eastAsia="en-AU"/>
              </w:rPr>
            </w:pPr>
            <w:r w:rsidRPr="00683CDE">
              <w:rPr>
                <w:rFonts w:ascii="News Gothic Std" w:hAnsi="News Gothic Std" w:cs="Arial"/>
                <w:bCs/>
                <w:color w:val="0070C0"/>
                <w:sz w:val="18"/>
                <w:szCs w:val="18"/>
                <w:lang w:val="en-US" w:eastAsia="en-AU"/>
              </w:rPr>
              <w:t>2010 Revaluation Increase</w:t>
            </w:r>
          </w:p>
          <w:p w:rsidR="00AB07CF" w:rsidRPr="00683CDE" w:rsidRDefault="00AB07CF" w:rsidP="001C2457">
            <w:pPr>
              <w:spacing w:before="0" w:after="0"/>
              <w:jc w:val="right"/>
              <w:rPr>
                <w:rFonts w:ascii="News Gothic Std" w:hAnsi="News Gothic Std" w:cs="Arial"/>
                <w:bCs/>
                <w:color w:val="0070C0"/>
                <w:sz w:val="18"/>
                <w:szCs w:val="18"/>
                <w:lang w:eastAsia="en-AU"/>
              </w:rPr>
            </w:pPr>
            <w:r w:rsidRPr="00683CDE">
              <w:rPr>
                <w:rFonts w:ascii="News Gothic Std" w:hAnsi="News Gothic Std" w:cs="Arial"/>
                <w:bCs/>
                <w:color w:val="0070C0"/>
                <w:sz w:val="18"/>
                <w:szCs w:val="18"/>
                <w:lang w:val="en-US" w:eastAsia="en-AU"/>
              </w:rPr>
              <w:t>Av 11.1%</w:t>
            </w:r>
          </w:p>
        </w:tc>
        <w:tc>
          <w:tcPr>
            <w:tcW w:w="1376" w:type="dxa"/>
            <w:tcBorders>
              <w:top w:val="single" w:sz="4" w:space="0" w:color="000000"/>
              <w:bottom w:val="single" w:sz="4" w:space="0" w:color="auto"/>
            </w:tcBorders>
            <w:shd w:val="clear" w:color="auto" w:fill="auto"/>
            <w:vAlign w:val="bottom"/>
            <w:hideMark/>
          </w:tcPr>
          <w:p w:rsidR="00AB07CF" w:rsidRPr="00683CDE" w:rsidRDefault="00AB07CF" w:rsidP="001C2457">
            <w:pPr>
              <w:spacing w:before="0" w:after="0"/>
              <w:jc w:val="right"/>
              <w:rPr>
                <w:rFonts w:ascii="News Gothic Std" w:hAnsi="News Gothic Std" w:cs="Arial"/>
                <w:bCs/>
                <w:color w:val="0070C0"/>
                <w:sz w:val="18"/>
                <w:szCs w:val="18"/>
                <w:lang w:val="en-US" w:eastAsia="en-AU"/>
              </w:rPr>
            </w:pPr>
            <w:r w:rsidRPr="00683CDE">
              <w:rPr>
                <w:rFonts w:ascii="News Gothic Std" w:hAnsi="News Gothic Std" w:cs="Arial"/>
                <w:bCs/>
                <w:color w:val="0070C0"/>
                <w:sz w:val="18"/>
                <w:szCs w:val="18"/>
                <w:lang w:val="en-US" w:eastAsia="en-AU"/>
              </w:rPr>
              <w:t>2012 Revaluation Increase</w:t>
            </w:r>
          </w:p>
          <w:p w:rsidR="00AB07CF" w:rsidRPr="00683CDE" w:rsidRDefault="00AB07CF" w:rsidP="001C2457">
            <w:pPr>
              <w:spacing w:before="0" w:after="0"/>
              <w:jc w:val="right"/>
              <w:rPr>
                <w:rFonts w:ascii="News Gothic Std" w:hAnsi="News Gothic Std" w:cs="Arial"/>
                <w:bCs/>
                <w:color w:val="0070C0"/>
                <w:sz w:val="18"/>
                <w:szCs w:val="18"/>
                <w:lang w:eastAsia="en-AU"/>
              </w:rPr>
            </w:pPr>
            <w:r w:rsidRPr="00683CDE">
              <w:rPr>
                <w:rFonts w:ascii="News Gothic Std" w:hAnsi="News Gothic Std" w:cs="Arial"/>
                <w:bCs/>
                <w:color w:val="0070C0"/>
                <w:sz w:val="18"/>
                <w:szCs w:val="18"/>
                <w:lang w:val="en-US" w:eastAsia="en-AU"/>
              </w:rPr>
              <w:t>Av 10.2%</w:t>
            </w:r>
          </w:p>
        </w:tc>
        <w:tc>
          <w:tcPr>
            <w:tcW w:w="1376" w:type="dxa"/>
            <w:tcBorders>
              <w:top w:val="single" w:sz="4" w:space="0" w:color="000000"/>
              <w:bottom w:val="single" w:sz="4" w:space="0" w:color="auto"/>
            </w:tcBorders>
            <w:shd w:val="clear" w:color="auto" w:fill="auto"/>
            <w:vAlign w:val="bottom"/>
            <w:hideMark/>
          </w:tcPr>
          <w:p w:rsidR="00AB07CF" w:rsidRPr="00683CDE" w:rsidRDefault="00AB07CF" w:rsidP="001C2457">
            <w:pPr>
              <w:spacing w:before="0" w:after="0"/>
              <w:jc w:val="right"/>
              <w:rPr>
                <w:rFonts w:ascii="News Gothic Std" w:hAnsi="News Gothic Std" w:cs="Arial"/>
                <w:bCs/>
                <w:color w:val="0070C0"/>
                <w:sz w:val="18"/>
                <w:szCs w:val="18"/>
                <w:lang w:val="en-US" w:eastAsia="en-AU"/>
              </w:rPr>
            </w:pPr>
            <w:r w:rsidRPr="00683CDE">
              <w:rPr>
                <w:rFonts w:ascii="News Gothic Std" w:hAnsi="News Gothic Std" w:cs="Arial"/>
                <w:bCs/>
                <w:color w:val="0070C0"/>
                <w:sz w:val="18"/>
                <w:szCs w:val="18"/>
                <w:lang w:val="en-US" w:eastAsia="en-AU"/>
              </w:rPr>
              <w:t>2014 Revaluation Increase</w:t>
            </w:r>
          </w:p>
          <w:p w:rsidR="00AB07CF" w:rsidRPr="00683CDE" w:rsidRDefault="00AB07CF" w:rsidP="001C2457">
            <w:pPr>
              <w:spacing w:before="0" w:after="0"/>
              <w:jc w:val="right"/>
              <w:rPr>
                <w:rFonts w:ascii="News Gothic Std" w:hAnsi="News Gothic Std" w:cs="Arial"/>
                <w:bCs/>
                <w:color w:val="0070C0"/>
                <w:sz w:val="18"/>
                <w:szCs w:val="18"/>
                <w:lang w:eastAsia="en-AU"/>
              </w:rPr>
            </w:pPr>
            <w:r w:rsidRPr="00683CDE">
              <w:rPr>
                <w:rFonts w:ascii="News Gothic Std" w:hAnsi="News Gothic Std" w:cs="Arial"/>
                <w:bCs/>
                <w:color w:val="0070C0"/>
                <w:sz w:val="18"/>
                <w:szCs w:val="18"/>
                <w:lang w:val="en-US" w:eastAsia="en-AU"/>
              </w:rPr>
              <w:t>Av 2.16%</w:t>
            </w:r>
          </w:p>
        </w:tc>
        <w:tc>
          <w:tcPr>
            <w:tcW w:w="1225" w:type="dxa"/>
            <w:tcBorders>
              <w:top w:val="single" w:sz="4" w:space="0" w:color="000000"/>
              <w:bottom w:val="single" w:sz="4" w:space="0" w:color="auto"/>
            </w:tcBorders>
            <w:shd w:val="clear" w:color="auto" w:fill="auto"/>
            <w:noWrap/>
            <w:vAlign w:val="bottom"/>
            <w:hideMark/>
          </w:tcPr>
          <w:p w:rsidR="00AB07CF" w:rsidRPr="00683CDE" w:rsidRDefault="00AB07CF" w:rsidP="001C2457">
            <w:pPr>
              <w:spacing w:before="0" w:after="0"/>
              <w:rPr>
                <w:rFonts w:ascii="News Gothic Std" w:hAnsi="News Gothic Std" w:cs="Arial"/>
                <w:color w:val="0070C0"/>
                <w:sz w:val="18"/>
                <w:szCs w:val="18"/>
                <w:lang w:eastAsia="en-AU"/>
              </w:rPr>
            </w:pPr>
          </w:p>
        </w:tc>
      </w:tr>
      <w:tr w:rsidR="00AB07CF" w:rsidRPr="00E60EA6" w:rsidTr="00AB07CF">
        <w:trPr>
          <w:trHeight w:val="300"/>
        </w:trPr>
        <w:tc>
          <w:tcPr>
            <w:tcW w:w="1929" w:type="dxa"/>
            <w:tcBorders>
              <w:top w:val="single" w:sz="4" w:space="0" w:color="auto"/>
            </w:tcBorders>
            <w:shd w:val="clear" w:color="auto" w:fill="auto"/>
            <w:noWrap/>
            <w:vAlign w:val="center"/>
            <w:hideMark/>
          </w:tcPr>
          <w:p w:rsidR="00AB07CF" w:rsidRPr="00E60EA6" w:rsidRDefault="00AB07CF" w:rsidP="001C2457">
            <w:pPr>
              <w:spacing w:before="0" w:after="0"/>
              <w:rPr>
                <w:rFonts w:cs="Lucida Sans Unicode"/>
                <w:bCs/>
                <w:color w:val="000000"/>
                <w:sz w:val="18"/>
                <w:szCs w:val="18"/>
                <w:lang w:eastAsia="en-AU"/>
              </w:rPr>
            </w:pPr>
            <w:r w:rsidRPr="00E60EA6">
              <w:rPr>
                <w:rFonts w:cs="Lucida Sans Unicode"/>
                <w:bCs/>
                <w:color w:val="000000"/>
                <w:sz w:val="18"/>
                <w:szCs w:val="18"/>
                <w:lang w:val="en-US" w:eastAsia="en-AU"/>
              </w:rPr>
              <w:t>Belmont</w:t>
            </w:r>
          </w:p>
        </w:tc>
        <w:tc>
          <w:tcPr>
            <w:tcW w:w="1377" w:type="dxa"/>
            <w:tcBorders>
              <w:top w:val="single" w:sz="4" w:space="0" w:color="auto"/>
            </w:tcBorders>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6,338</w:t>
            </w:r>
          </w:p>
        </w:tc>
        <w:tc>
          <w:tcPr>
            <w:tcW w:w="1376" w:type="dxa"/>
            <w:tcBorders>
              <w:top w:val="single" w:sz="4" w:space="0" w:color="auto"/>
            </w:tcBorders>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12.92%</w:t>
            </w:r>
          </w:p>
        </w:tc>
        <w:tc>
          <w:tcPr>
            <w:tcW w:w="1376" w:type="dxa"/>
            <w:tcBorders>
              <w:top w:val="single" w:sz="4" w:space="0" w:color="auto"/>
            </w:tcBorders>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10.10%</w:t>
            </w:r>
          </w:p>
        </w:tc>
        <w:tc>
          <w:tcPr>
            <w:tcW w:w="1376" w:type="dxa"/>
            <w:tcBorders>
              <w:top w:val="single" w:sz="4" w:space="0" w:color="auto"/>
            </w:tcBorders>
            <w:shd w:val="clear" w:color="auto" w:fill="auto"/>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noProof/>
                <w:color w:val="000000"/>
                <w:sz w:val="18"/>
                <w:szCs w:val="18"/>
                <w:lang w:eastAsia="en-AU"/>
              </w:rPr>
              <w:t>4.39%</w:t>
            </w:r>
          </w:p>
        </w:tc>
        <w:tc>
          <w:tcPr>
            <w:tcW w:w="1225" w:type="dxa"/>
            <w:vMerge w:val="restart"/>
            <w:tcBorders>
              <w:top w:val="single" w:sz="4" w:space="0" w:color="auto"/>
            </w:tcBorders>
            <w:shd w:val="clear" w:color="auto" w:fill="auto"/>
            <w:vAlign w:val="center"/>
            <w:hideMark/>
          </w:tcPr>
          <w:p w:rsidR="00AB07CF" w:rsidRPr="00E60EA6" w:rsidRDefault="00AB07CF" w:rsidP="001C2457">
            <w:pPr>
              <w:spacing w:before="0" w:after="0"/>
              <w:jc w:val="center"/>
              <w:rPr>
                <w:rFonts w:cs="Lucida Sans Unicode"/>
                <w:color w:val="000000"/>
                <w:sz w:val="18"/>
                <w:szCs w:val="18"/>
                <w:lang w:eastAsia="en-AU"/>
              </w:rPr>
            </w:pPr>
            <w:r w:rsidRPr="00E60EA6">
              <w:rPr>
                <w:rFonts w:cs="Lucida Sans Unicode"/>
                <w:color w:val="000000"/>
                <w:sz w:val="18"/>
                <w:szCs w:val="18"/>
                <w:lang w:eastAsia="en-AU"/>
              </w:rPr>
              <w:t>Above Average</w:t>
            </w:r>
          </w:p>
        </w:tc>
      </w:tr>
      <w:tr w:rsidR="00AB07CF" w:rsidRPr="00E60EA6" w:rsidTr="00AB07CF">
        <w:trPr>
          <w:trHeight w:val="300"/>
        </w:trPr>
        <w:tc>
          <w:tcPr>
            <w:tcW w:w="1929" w:type="dxa"/>
            <w:shd w:val="clear" w:color="auto" w:fill="auto"/>
            <w:noWrap/>
            <w:vAlign w:val="center"/>
            <w:hideMark/>
          </w:tcPr>
          <w:p w:rsidR="00AB07CF" w:rsidRPr="00E60EA6" w:rsidRDefault="00AB07CF" w:rsidP="001C2457">
            <w:pPr>
              <w:spacing w:before="0" w:after="0"/>
              <w:rPr>
                <w:rFonts w:cs="Lucida Sans Unicode"/>
                <w:bCs/>
                <w:color w:val="000000"/>
                <w:sz w:val="18"/>
                <w:szCs w:val="18"/>
                <w:lang w:eastAsia="en-AU"/>
              </w:rPr>
            </w:pPr>
            <w:r w:rsidRPr="00E60EA6">
              <w:rPr>
                <w:rFonts w:cs="Lucida Sans Unicode"/>
                <w:bCs/>
                <w:color w:val="000000"/>
                <w:sz w:val="18"/>
                <w:szCs w:val="18"/>
                <w:lang w:val="en-US" w:eastAsia="en-AU"/>
              </w:rPr>
              <w:lastRenderedPageBreak/>
              <w:t>Norlane</w:t>
            </w:r>
          </w:p>
        </w:tc>
        <w:tc>
          <w:tcPr>
            <w:tcW w:w="1377"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3,877</w:t>
            </w:r>
          </w:p>
        </w:tc>
        <w:tc>
          <w:tcPr>
            <w:tcW w:w="1376"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10.19%</w:t>
            </w:r>
          </w:p>
        </w:tc>
        <w:tc>
          <w:tcPr>
            <w:tcW w:w="1376"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10.40%</w:t>
            </w:r>
          </w:p>
        </w:tc>
        <w:tc>
          <w:tcPr>
            <w:tcW w:w="1376" w:type="dxa"/>
            <w:shd w:val="clear" w:color="auto" w:fill="auto"/>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4.09%</w:t>
            </w:r>
          </w:p>
        </w:tc>
        <w:tc>
          <w:tcPr>
            <w:tcW w:w="1225" w:type="dxa"/>
            <w:vMerge/>
            <w:shd w:val="clear" w:color="auto" w:fill="auto"/>
            <w:vAlign w:val="center"/>
            <w:hideMark/>
          </w:tcPr>
          <w:p w:rsidR="00AB07CF" w:rsidRPr="00E60EA6" w:rsidRDefault="00AB07CF" w:rsidP="001C2457">
            <w:pPr>
              <w:spacing w:before="0" w:after="0"/>
              <w:jc w:val="center"/>
              <w:rPr>
                <w:rFonts w:cs="Lucida Sans Unicode"/>
                <w:color w:val="000000"/>
                <w:sz w:val="18"/>
                <w:szCs w:val="18"/>
                <w:lang w:eastAsia="en-AU"/>
              </w:rPr>
            </w:pPr>
          </w:p>
        </w:tc>
      </w:tr>
      <w:tr w:rsidR="00AB07CF" w:rsidRPr="00E60EA6" w:rsidTr="00AB07CF">
        <w:trPr>
          <w:trHeight w:val="300"/>
        </w:trPr>
        <w:tc>
          <w:tcPr>
            <w:tcW w:w="1929" w:type="dxa"/>
            <w:shd w:val="clear" w:color="auto" w:fill="auto"/>
            <w:noWrap/>
            <w:vAlign w:val="center"/>
            <w:hideMark/>
          </w:tcPr>
          <w:p w:rsidR="00AB07CF" w:rsidRPr="00E60EA6" w:rsidRDefault="00AB07CF" w:rsidP="001C2457">
            <w:pPr>
              <w:spacing w:before="0" w:after="0"/>
              <w:rPr>
                <w:rFonts w:cs="Lucida Sans Unicode"/>
                <w:bCs/>
                <w:color w:val="000000"/>
                <w:sz w:val="18"/>
                <w:szCs w:val="18"/>
                <w:lang w:eastAsia="en-AU"/>
              </w:rPr>
            </w:pPr>
            <w:r w:rsidRPr="00E60EA6">
              <w:rPr>
                <w:rFonts w:cs="Lucida Sans Unicode"/>
                <w:bCs/>
                <w:color w:val="000000"/>
                <w:sz w:val="18"/>
                <w:szCs w:val="18"/>
                <w:lang w:val="en-US" w:eastAsia="en-AU"/>
              </w:rPr>
              <w:t>Lara</w:t>
            </w:r>
          </w:p>
        </w:tc>
        <w:tc>
          <w:tcPr>
            <w:tcW w:w="1377"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5,420</w:t>
            </w:r>
          </w:p>
        </w:tc>
        <w:tc>
          <w:tcPr>
            <w:tcW w:w="1376"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2.50%</w:t>
            </w:r>
          </w:p>
        </w:tc>
        <w:tc>
          <w:tcPr>
            <w:tcW w:w="1376"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10.30%</w:t>
            </w:r>
          </w:p>
        </w:tc>
        <w:tc>
          <w:tcPr>
            <w:tcW w:w="1376" w:type="dxa"/>
            <w:shd w:val="clear" w:color="auto" w:fill="auto"/>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3.60%</w:t>
            </w:r>
          </w:p>
        </w:tc>
        <w:tc>
          <w:tcPr>
            <w:tcW w:w="1225" w:type="dxa"/>
            <w:vMerge/>
            <w:shd w:val="clear" w:color="auto" w:fill="auto"/>
            <w:vAlign w:val="center"/>
            <w:hideMark/>
          </w:tcPr>
          <w:p w:rsidR="00AB07CF" w:rsidRPr="00E60EA6" w:rsidRDefault="00AB07CF" w:rsidP="001C2457">
            <w:pPr>
              <w:spacing w:before="0" w:after="0"/>
              <w:jc w:val="center"/>
              <w:rPr>
                <w:rFonts w:cs="Lucida Sans Unicode"/>
                <w:color w:val="000000"/>
                <w:sz w:val="18"/>
                <w:szCs w:val="18"/>
                <w:lang w:eastAsia="en-AU"/>
              </w:rPr>
            </w:pPr>
          </w:p>
        </w:tc>
      </w:tr>
      <w:tr w:rsidR="00AB07CF" w:rsidRPr="00E60EA6" w:rsidTr="00AB07CF">
        <w:trPr>
          <w:trHeight w:val="300"/>
        </w:trPr>
        <w:tc>
          <w:tcPr>
            <w:tcW w:w="1929" w:type="dxa"/>
            <w:shd w:val="clear" w:color="auto" w:fill="auto"/>
            <w:noWrap/>
            <w:vAlign w:val="center"/>
            <w:hideMark/>
          </w:tcPr>
          <w:p w:rsidR="00AB07CF" w:rsidRPr="00E60EA6" w:rsidRDefault="00AB07CF" w:rsidP="001C2457">
            <w:pPr>
              <w:spacing w:before="0" w:after="0"/>
              <w:rPr>
                <w:rFonts w:cs="Lucida Sans Unicode"/>
                <w:bCs/>
                <w:color w:val="000000"/>
                <w:sz w:val="18"/>
                <w:szCs w:val="18"/>
                <w:lang w:eastAsia="en-AU"/>
              </w:rPr>
            </w:pPr>
            <w:r w:rsidRPr="00E60EA6">
              <w:rPr>
                <w:rFonts w:cs="Lucida Sans Unicode"/>
                <w:bCs/>
                <w:color w:val="000000"/>
                <w:sz w:val="18"/>
                <w:szCs w:val="18"/>
                <w:lang w:val="en-US" w:eastAsia="en-AU"/>
              </w:rPr>
              <w:t>Corio</w:t>
            </w:r>
          </w:p>
        </w:tc>
        <w:tc>
          <w:tcPr>
            <w:tcW w:w="1377"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6,103</w:t>
            </w:r>
          </w:p>
        </w:tc>
        <w:tc>
          <w:tcPr>
            <w:tcW w:w="1376"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5.67%</w:t>
            </w:r>
          </w:p>
        </w:tc>
        <w:tc>
          <w:tcPr>
            <w:tcW w:w="1376"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10.30%</w:t>
            </w:r>
          </w:p>
        </w:tc>
        <w:tc>
          <w:tcPr>
            <w:tcW w:w="1376" w:type="dxa"/>
            <w:shd w:val="clear" w:color="auto" w:fill="auto"/>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3.46%</w:t>
            </w:r>
          </w:p>
        </w:tc>
        <w:tc>
          <w:tcPr>
            <w:tcW w:w="1225" w:type="dxa"/>
            <w:vMerge/>
            <w:shd w:val="clear" w:color="auto" w:fill="auto"/>
            <w:vAlign w:val="center"/>
            <w:hideMark/>
          </w:tcPr>
          <w:p w:rsidR="00AB07CF" w:rsidRPr="00E60EA6" w:rsidRDefault="00AB07CF" w:rsidP="001C2457">
            <w:pPr>
              <w:spacing w:before="0" w:after="0"/>
              <w:jc w:val="center"/>
              <w:rPr>
                <w:rFonts w:cs="Lucida Sans Unicode"/>
                <w:color w:val="000000"/>
                <w:sz w:val="18"/>
                <w:szCs w:val="18"/>
                <w:lang w:eastAsia="en-AU"/>
              </w:rPr>
            </w:pPr>
          </w:p>
        </w:tc>
      </w:tr>
      <w:tr w:rsidR="00AB07CF" w:rsidRPr="00E60EA6" w:rsidTr="00AB07CF">
        <w:trPr>
          <w:trHeight w:val="300"/>
        </w:trPr>
        <w:tc>
          <w:tcPr>
            <w:tcW w:w="1929" w:type="dxa"/>
            <w:shd w:val="clear" w:color="auto" w:fill="auto"/>
            <w:noWrap/>
            <w:vAlign w:val="center"/>
            <w:hideMark/>
          </w:tcPr>
          <w:p w:rsidR="00AB07CF" w:rsidRPr="00E60EA6" w:rsidRDefault="00AB07CF" w:rsidP="001C2457">
            <w:pPr>
              <w:spacing w:before="0" w:after="0"/>
              <w:rPr>
                <w:rFonts w:cs="Lucida Sans Unicode"/>
                <w:bCs/>
                <w:color w:val="000000"/>
                <w:sz w:val="18"/>
                <w:szCs w:val="18"/>
                <w:lang w:eastAsia="en-AU"/>
              </w:rPr>
            </w:pPr>
            <w:r w:rsidRPr="00E60EA6">
              <w:rPr>
                <w:rFonts w:cs="Lucida Sans Unicode"/>
                <w:bCs/>
                <w:color w:val="000000"/>
                <w:sz w:val="18"/>
                <w:szCs w:val="18"/>
                <w:lang w:val="en-US" w:eastAsia="en-AU"/>
              </w:rPr>
              <w:t>Grovedale</w:t>
            </w:r>
          </w:p>
        </w:tc>
        <w:tc>
          <w:tcPr>
            <w:tcW w:w="1377"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5,905</w:t>
            </w:r>
          </w:p>
        </w:tc>
        <w:tc>
          <w:tcPr>
            <w:tcW w:w="1376"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11.99%</w:t>
            </w:r>
          </w:p>
        </w:tc>
        <w:tc>
          <w:tcPr>
            <w:tcW w:w="1376"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8.40%</w:t>
            </w:r>
          </w:p>
        </w:tc>
        <w:tc>
          <w:tcPr>
            <w:tcW w:w="1376" w:type="dxa"/>
            <w:shd w:val="clear" w:color="auto" w:fill="auto"/>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2.89%</w:t>
            </w:r>
          </w:p>
        </w:tc>
        <w:tc>
          <w:tcPr>
            <w:tcW w:w="1225" w:type="dxa"/>
            <w:vMerge/>
            <w:shd w:val="clear" w:color="auto" w:fill="auto"/>
            <w:vAlign w:val="center"/>
            <w:hideMark/>
          </w:tcPr>
          <w:p w:rsidR="00AB07CF" w:rsidRPr="00E60EA6" w:rsidRDefault="00AB07CF" w:rsidP="001C2457">
            <w:pPr>
              <w:spacing w:before="0" w:after="0"/>
              <w:jc w:val="center"/>
              <w:rPr>
                <w:rFonts w:cs="Lucida Sans Unicode"/>
                <w:color w:val="000000"/>
                <w:sz w:val="18"/>
                <w:szCs w:val="18"/>
                <w:lang w:eastAsia="en-AU"/>
              </w:rPr>
            </w:pPr>
          </w:p>
        </w:tc>
      </w:tr>
      <w:tr w:rsidR="00AB07CF" w:rsidRPr="00E60EA6" w:rsidTr="00AB07CF">
        <w:trPr>
          <w:trHeight w:val="300"/>
        </w:trPr>
        <w:tc>
          <w:tcPr>
            <w:tcW w:w="1929" w:type="dxa"/>
            <w:shd w:val="clear" w:color="auto" w:fill="auto"/>
            <w:noWrap/>
            <w:vAlign w:val="center"/>
            <w:hideMark/>
          </w:tcPr>
          <w:p w:rsidR="00AB07CF" w:rsidRPr="00E60EA6" w:rsidRDefault="00AB07CF" w:rsidP="001C2457">
            <w:pPr>
              <w:spacing w:before="0" w:after="0"/>
              <w:rPr>
                <w:rFonts w:cs="Lucida Sans Unicode"/>
                <w:bCs/>
                <w:color w:val="000000"/>
                <w:sz w:val="18"/>
                <w:szCs w:val="18"/>
                <w:lang w:eastAsia="en-AU"/>
              </w:rPr>
            </w:pPr>
            <w:r w:rsidRPr="00E60EA6">
              <w:rPr>
                <w:rFonts w:cs="Lucida Sans Unicode"/>
                <w:bCs/>
                <w:color w:val="000000"/>
                <w:sz w:val="18"/>
                <w:szCs w:val="18"/>
                <w:lang w:val="en-US" w:eastAsia="en-AU"/>
              </w:rPr>
              <w:t>Newtown</w:t>
            </w:r>
          </w:p>
        </w:tc>
        <w:tc>
          <w:tcPr>
            <w:tcW w:w="1377"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4,382</w:t>
            </w:r>
          </w:p>
        </w:tc>
        <w:tc>
          <w:tcPr>
            <w:tcW w:w="1376"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8.57%</w:t>
            </w:r>
          </w:p>
        </w:tc>
        <w:tc>
          <w:tcPr>
            <w:tcW w:w="1376" w:type="dxa"/>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10.10%</w:t>
            </w:r>
          </w:p>
        </w:tc>
        <w:tc>
          <w:tcPr>
            <w:tcW w:w="1376" w:type="dxa"/>
            <w:shd w:val="clear" w:color="auto" w:fill="auto"/>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2.67%</w:t>
            </w:r>
          </w:p>
        </w:tc>
        <w:tc>
          <w:tcPr>
            <w:tcW w:w="1225" w:type="dxa"/>
            <w:vMerge/>
            <w:shd w:val="clear" w:color="auto" w:fill="auto"/>
            <w:vAlign w:val="center"/>
            <w:hideMark/>
          </w:tcPr>
          <w:p w:rsidR="00AB07CF" w:rsidRPr="00E60EA6" w:rsidRDefault="00AB07CF" w:rsidP="001C2457">
            <w:pPr>
              <w:spacing w:before="0" w:after="0"/>
              <w:jc w:val="center"/>
              <w:rPr>
                <w:rFonts w:cs="Lucida Sans Unicode"/>
                <w:color w:val="000000"/>
                <w:sz w:val="18"/>
                <w:szCs w:val="18"/>
                <w:lang w:eastAsia="en-AU"/>
              </w:rPr>
            </w:pPr>
          </w:p>
        </w:tc>
      </w:tr>
      <w:tr w:rsidR="00AB07CF" w:rsidRPr="00E60EA6" w:rsidTr="00AB07CF">
        <w:trPr>
          <w:trHeight w:val="300"/>
        </w:trPr>
        <w:tc>
          <w:tcPr>
            <w:tcW w:w="1929" w:type="dxa"/>
            <w:tcBorders>
              <w:bottom w:val="single" w:sz="4" w:space="0" w:color="auto"/>
            </w:tcBorders>
            <w:shd w:val="clear" w:color="auto" w:fill="auto"/>
            <w:noWrap/>
            <w:vAlign w:val="center"/>
            <w:hideMark/>
          </w:tcPr>
          <w:p w:rsidR="00AB07CF" w:rsidRPr="00E60EA6" w:rsidRDefault="00AB07CF" w:rsidP="001C2457">
            <w:pPr>
              <w:spacing w:before="0" w:after="0"/>
              <w:rPr>
                <w:rFonts w:cs="Lucida Sans Unicode"/>
                <w:bCs/>
                <w:color w:val="000000"/>
                <w:sz w:val="18"/>
                <w:szCs w:val="18"/>
                <w:lang w:eastAsia="en-AU"/>
              </w:rPr>
            </w:pPr>
            <w:r w:rsidRPr="00E60EA6">
              <w:rPr>
                <w:rFonts w:cs="Lucida Sans Unicode"/>
                <w:bCs/>
                <w:color w:val="000000"/>
                <w:sz w:val="18"/>
                <w:szCs w:val="18"/>
                <w:lang w:val="en-US" w:eastAsia="en-AU"/>
              </w:rPr>
              <w:t>Leopold</w:t>
            </w:r>
          </w:p>
        </w:tc>
        <w:tc>
          <w:tcPr>
            <w:tcW w:w="1377" w:type="dxa"/>
            <w:tcBorders>
              <w:bottom w:val="single" w:sz="4" w:space="0" w:color="auto"/>
            </w:tcBorders>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4,549</w:t>
            </w:r>
          </w:p>
        </w:tc>
        <w:tc>
          <w:tcPr>
            <w:tcW w:w="1376" w:type="dxa"/>
            <w:tcBorders>
              <w:bottom w:val="single" w:sz="4" w:space="0" w:color="auto"/>
            </w:tcBorders>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8.18%</w:t>
            </w:r>
          </w:p>
        </w:tc>
        <w:tc>
          <w:tcPr>
            <w:tcW w:w="1376" w:type="dxa"/>
            <w:tcBorders>
              <w:bottom w:val="single" w:sz="4" w:space="0" w:color="auto"/>
            </w:tcBorders>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7.50%</w:t>
            </w:r>
          </w:p>
        </w:tc>
        <w:tc>
          <w:tcPr>
            <w:tcW w:w="1376" w:type="dxa"/>
            <w:tcBorders>
              <w:bottom w:val="single" w:sz="4" w:space="0" w:color="auto"/>
            </w:tcBorders>
            <w:shd w:val="clear" w:color="auto" w:fill="auto"/>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2.60%</w:t>
            </w:r>
          </w:p>
        </w:tc>
        <w:tc>
          <w:tcPr>
            <w:tcW w:w="1225" w:type="dxa"/>
            <w:vMerge/>
            <w:tcBorders>
              <w:bottom w:val="single" w:sz="4" w:space="0" w:color="auto"/>
            </w:tcBorders>
            <w:shd w:val="clear" w:color="auto" w:fill="auto"/>
            <w:vAlign w:val="center"/>
            <w:hideMark/>
          </w:tcPr>
          <w:p w:rsidR="00AB07CF" w:rsidRPr="00E60EA6" w:rsidRDefault="00AB07CF" w:rsidP="001C2457">
            <w:pPr>
              <w:spacing w:before="0" w:after="0"/>
              <w:jc w:val="center"/>
              <w:rPr>
                <w:rFonts w:cs="Lucida Sans Unicode"/>
                <w:color w:val="000000"/>
                <w:sz w:val="18"/>
                <w:szCs w:val="18"/>
                <w:lang w:eastAsia="en-AU"/>
              </w:rPr>
            </w:pPr>
          </w:p>
        </w:tc>
      </w:tr>
      <w:tr w:rsidR="00AB07CF" w:rsidRPr="00E60EA6" w:rsidTr="00AB07CF">
        <w:trPr>
          <w:trHeight w:val="300"/>
        </w:trPr>
        <w:tc>
          <w:tcPr>
            <w:tcW w:w="1929" w:type="dxa"/>
            <w:tcBorders>
              <w:top w:val="single" w:sz="4" w:space="0" w:color="auto"/>
            </w:tcBorders>
            <w:shd w:val="clear" w:color="auto" w:fill="auto"/>
            <w:noWrap/>
            <w:vAlign w:val="center"/>
            <w:hideMark/>
          </w:tcPr>
          <w:p w:rsidR="00AB07CF" w:rsidRPr="00E60EA6" w:rsidRDefault="00AB07CF" w:rsidP="001C2457">
            <w:pPr>
              <w:spacing w:before="0" w:after="0"/>
              <w:rPr>
                <w:rFonts w:cs="Lucida Sans Unicode"/>
                <w:bCs/>
                <w:color w:val="000000"/>
                <w:sz w:val="18"/>
                <w:szCs w:val="18"/>
                <w:lang w:eastAsia="en-AU"/>
              </w:rPr>
            </w:pPr>
            <w:r w:rsidRPr="00E60EA6">
              <w:rPr>
                <w:rFonts w:cs="Lucida Sans Unicode"/>
                <w:bCs/>
                <w:color w:val="000000"/>
                <w:sz w:val="18"/>
                <w:szCs w:val="18"/>
                <w:lang w:val="en-US" w:eastAsia="en-AU"/>
              </w:rPr>
              <w:t>Highton</w:t>
            </w:r>
          </w:p>
        </w:tc>
        <w:tc>
          <w:tcPr>
            <w:tcW w:w="1377" w:type="dxa"/>
            <w:tcBorders>
              <w:top w:val="single" w:sz="4" w:space="0" w:color="auto"/>
            </w:tcBorders>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7,241</w:t>
            </w:r>
          </w:p>
        </w:tc>
        <w:tc>
          <w:tcPr>
            <w:tcW w:w="1376" w:type="dxa"/>
            <w:tcBorders>
              <w:top w:val="single" w:sz="4" w:space="0" w:color="auto"/>
            </w:tcBorders>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8.45%</w:t>
            </w:r>
          </w:p>
        </w:tc>
        <w:tc>
          <w:tcPr>
            <w:tcW w:w="1376" w:type="dxa"/>
            <w:tcBorders>
              <w:top w:val="single" w:sz="4" w:space="0" w:color="auto"/>
            </w:tcBorders>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9.60%</w:t>
            </w:r>
          </w:p>
        </w:tc>
        <w:tc>
          <w:tcPr>
            <w:tcW w:w="1376" w:type="dxa"/>
            <w:tcBorders>
              <w:top w:val="single" w:sz="4" w:space="0" w:color="auto"/>
            </w:tcBorders>
            <w:shd w:val="clear" w:color="auto" w:fill="auto"/>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1.55%</w:t>
            </w:r>
          </w:p>
        </w:tc>
        <w:tc>
          <w:tcPr>
            <w:tcW w:w="1225" w:type="dxa"/>
            <w:vMerge w:val="restart"/>
            <w:tcBorders>
              <w:top w:val="single" w:sz="4" w:space="0" w:color="auto"/>
            </w:tcBorders>
            <w:shd w:val="clear" w:color="auto" w:fill="auto"/>
            <w:vAlign w:val="center"/>
            <w:hideMark/>
          </w:tcPr>
          <w:p w:rsidR="00AB07CF" w:rsidRPr="00E60EA6" w:rsidRDefault="00AB07CF" w:rsidP="001C2457">
            <w:pPr>
              <w:spacing w:before="0" w:after="0"/>
              <w:jc w:val="center"/>
              <w:rPr>
                <w:rFonts w:cs="Lucida Sans Unicode"/>
                <w:color w:val="000000"/>
                <w:sz w:val="18"/>
                <w:szCs w:val="18"/>
                <w:lang w:eastAsia="en-AU"/>
              </w:rPr>
            </w:pPr>
            <w:r w:rsidRPr="00E60EA6">
              <w:rPr>
                <w:rFonts w:cs="Lucida Sans Unicode"/>
                <w:color w:val="000000"/>
                <w:sz w:val="18"/>
                <w:szCs w:val="18"/>
                <w:lang w:eastAsia="en-AU"/>
              </w:rPr>
              <w:t>Below Average</w:t>
            </w:r>
          </w:p>
        </w:tc>
      </w:tr>
      <w:tr w:rsidR="00AB07CF" w:rsidRPr="00E60EA6" w:rsidTr="00E60EA6">
        <w:trPr>
          <w:trHeight w:val="300"/>
        </w:trPr>
        <w:tc>
          <w:tcPr>
            <w:tcW w:w="1929" w:type="dxa"/>
            <w:tcBorders>
              <w:bottom w:val="single" w:sz="4" w:space="0" w:color="000000"/>
            </w:tcBorders>
            <w:shd w:val="clear" w:color="auto" w:fill="auto"/>
            <w:noWrap/>
            <w:vAlign w:val="center"/>
            <w:hideMark/>
          </w:tcPr>
          <w:p w:rsidR="00AB07CF" w:rsidRPr="00E60EA6" w:rsidRDefault="00AB07CF" w:rsidP="001C2457">
            <w:pPr>
              <w:spacing w:before="0" w:after="0"/>
              <w:rPr>
                <w:rFonts w:cs="Lucida Sans Unicode"/>
                <w:bCs/>
                <w:color w:val="000000"/>
                <w:sz w:val="18"/>
                <w:szCs w:val="18"/>
                <w:lang w:eastAsia="en-AU"/>
              </w:rPr>
            </w:pPr>
            <w:r w:rsidRPr="00E60EA6">
              <w:rPr>
                <w:rFonts w:cs="Lucida Sans Unicode"/>
                <w:bCs/>
                <w:color w:val="000000"/>
                <w:sz w:val="18"/>
                <w:szCs w:val="18"/>
                <w:lang w:val="en-US" w:eastAsia="en-AU"/>
              </w:rPr>
              <w:t>Ocean Grove</w:t>
            </w:r>
          </w:p>
        </w:tc>
        <w:tc>
          <w:tcPr>
            <w:tcW w:w="1377" w:type="dxa"/>
            <w:tcBorders>
              <w:bottom w:val="single" w:sz="4" w:space="0" w:color="000000"/>
            </w:tcBorders>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6,840</w:t>
            </w:r>
          </w:p>
        </w:tc>
        <w:tc>
          <w:tcPr>
            <w:tcW w:w="1376" w:type="dxa"/>
            <w:tcBorders>
              <w:bottom w:val="single" w:sz="4" w:space="0" w:color="000000"/>
            </w:tcBorders>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10.52%</w:t>
            </w:r>
          </w:p>
        </w:tc>
        <w:tc>
          <w:tcPr>
            <w:tcW w:w="1376" w:type="dxa"/>
            <w:tcBorders>
              <w:bottom w:val="single" w:sz="4" w:space="0" w:color="000000"/>
            </w:tcBorders>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9.30%</w:t>
            </w:r>
          </w:p>
        </w:tc>
        <w:tc>
          <w:tcPr>
            <w:tcW w:w="1376" w:type="dxa"/>
            <w:tcBorders>
              <w:bottom w:val="single" w:sz="4" w:space="0" w:color="000000"/>
            </w:tcBorders>
            <w:shd w:val="clear" w:color="auto" w:fill="auto"/>
            <w:vAlign w:val="center"/>
            <w:hideMark/>
          </w:tcPr>
          <w:p w:rsidR="00AB07CF" w:rsidRPr="00E60EA6" w:rsidRDefault="00AB07CF" w:rsidP="001C2457">
            <w:pPr>
              <w:spacing w:before="0" w:after="0"/>
              <w:jc w:val="right"/>
              <w:rPr>
                <w:rFonts w:cs="Lucida Sans Unicode"/>
                <w:color w:val="000000"/>
                <w:sz w:val="18"/>
                <w:szCs w:val="18"/>
                <w:lang w:eastAsia="en-AU"/>
              </w:rPr>
            </w:pPr>
            <w:r w:rsidRPr="00E60EA6">
              <w:rPr>
                <w:rFonts w:cs="Lucida Sans Unicode"/>
                <w:color w:val="000000"/>
                <w:sz w:val="18"/>
                <w:szCs w:val="18"/>
                <w:lang w:val="en-US" w:eastAsia="en-AU"/>
              </w:rPr>
              <w:t>0.70%</w:t>
            </w:r>
          </w:p>
        </w:tc>
        <w:tc>
          <w:tcPr>
            <w:tcW w:w="1225" w:type="dxa"/>
            <w:vMerge/>
            <w:tcBorders>
              <w:bottom w:val="single" w:sz="4" w:space="0" w:color="000000"/>
            </w:tcBorders>
            <w:shd w:val="clear" w:color="auto" w:fill="auto"/>
            <w:vAlign w:val="center"/>
            <w:hideMark/>
          </w:tcPr>
          <w:p w:rsidR="00AB07CF" w:rsidRPr="00E60EA6" w:rsidRDefault="00AB07CF" w:rsidP="001C2457">
            <w:pPr>
              <w:spacing w:before="0" w:after="0"/>
              <w:rPr>
                <w:rFonts w:cs="Lucida Sans Unicode"/>
                <w:color w:val="000000"/>
                <w:sz w:val="18"/>
                <w:szCs w:val="18"/>
                <w:lang w:eastAsia="en-AU"/>
              </w:rPr>
            </w:pPr>
          </w:p>
        </w:tc>
      </w:tr>
      <w:tr w:rsidR="00AB07CF" w:rsidRPr="00E60EA6" w:rsidTr="00E60EA6">
        <w:trPr>
          <w:trHeight w:val="300"/>
        </w:trPr>
        <w:tc>
          <w:tcPr>
            <w:tcW w:w="1929" w:type="dxa"/>
            <w:tcBorders>
              <w:top w:val="single" w:sz="4" w:space="0" w:color="000000"/>
              <w:bottom w:val="single" w:sz="4" w:space="0" w:color="000000"/>
            </w:tcBorders>
            <w:shd w:val="clear" w:color="auto" w:fill="auto"/>
            <w:noWrap/>
            <w:vAlign w:val="center"/>
            <w:hideMark/>
          </w:tcPr>
          <w:p w:rsidR="00AB07CF" w:rsidRPr="00E60EA6" w:rsidRDefault="00AB07CF" w:rsidP="001C2457">
            <w:pPr>
              <w:spacing w:before="0" w:after="0"/>
              <w:rPr>
                <w:rFonts w:cs="Lucida Sans Unicode"/>
                <w:b/>
                <w:bCs/>
                <w:color w:val="000000"/>
                <w:sz w:val="18"/>
                <w:szCs w:val="18"/>
                <w:lang w:eastAsia="en-AU"/>
              </w:rPr>
            </w:pPr>
            <w:r w:rsidRPr="00E60EA6">
              <w:rPr>
                <w:rFonts w:cs="Lucida Sans Unicode"/>
                <w:b/>
                <w:bCs/>
                <w:color w:val="000000"/>
                <w:sz w:val="18"/>
                <w:szCs w:val="18"/>
                <w:lang w:val="en-US" w:eastAsia="en-AU"/>
              </w:rPr>
              <w:t>Total</w:t>
            </w:r>
          </w:p>
        </w:tc>
        <w:tc>
          <w:tcPr>
            <w:tcW w:w="1377" w:type="dxa"/>
            <w:tcBorders>
              <w:top w:val="single" w:sz="4" w:space="0" w:color="000000"/>
              <w:bottom w:val="single" w:sz="4" w:space="0" w:color="000000"/>
            </w:tcBorders>
            <w:shd w:val="clear" w:color="auto" w:fill="auto"/>
            <w:noWrap/>
            <w:vAlign w:val="center"/>
            <w:hideMark/>
          </w:tcPr>
          <w:p w:rsidR="00AB07CF" w:rsidRPr="00E60EA6" w:rsidRDefault="00AB07CF" w:rsidP="001C2457">
            <w:pPr>
              <w:spacing w:before="0" w:after="0"/>
              <w:jc w:val="right"/>
              <w:rPr>
                <w:rFonts w:cs="Lucida Sans Unicode"/>
                <w:b/>
                <w:bCs/>
                <w:color w:val="000000"/>
                <w:sz w:val="18"/>
                <w:szCs w:val="18"/>
                <w:lang w:eastAsia="en-AU"/>
              </w:rPr>
            </w:pPr>
            <w:r w:rsidRPr="00E60EA6">
              <w:rPr>
                <w:rFonts w:cs="Lucida Sans Unicode"/>
                <w:b/>
                <w:bCs/>
                <w:color w:val="000000"/>
                <w:sz w:val="18"/>
                <w:szCs w:val="18"/>
                <w:lang w:val="en-US" w:eastAsia="en-AU"/>
              </w:rPr>
              <w:t>50,655</w:t>
            </w:r>
          </w:p>
        </w:tc>
        <w:tc>
          <w:tcPr>
            <w:tcW w:w="1376" w:type="dxa"/>
            <w:tcBorders>
              <w:top w:val="single" w:sz="4" w:space="0" w:color="000000"/>
              <w:bottom w:val="single" w:sz="4" w:space="0" w:color="000000"/>
            </w:tcBorders>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p>
        </w:tc>
        <w:tc>
          <w:tcPr>
            <w:tcW w:w="1376" w:type="dxa"/>
            <w:tcBorders>
              <w:top w:val="single" w:sz="4" w:space="0" w:color="000000"/>
              <w:bottom w:val="single" w:sz="4" w:space="0" w:color="000000"/>
            </w:tcBorders>
            <w:shd w:val="clear" w:color="auto" w:fill="auto"/>
            <w:noWrap/>
            <w:vAlign w:val="center"/>
            <w:hideMark/>
          </w:tcPr>
          <w:p w:rsidR="00AB07CF" w:rsidRPr="00E60EA6" w:rsidRDefault="00AB07CF" w:rsidP="001C2457">
            <w:pPr>
              <w:spacing w:before="0" w:after="0"/>
              <w:jc w:val="right"/>
              <w:rPr>
                <w:rFonts w:cs="Lucida Sans Unicode"/>
                <w:color w:val="000000"/>
                <w:sz w:val="18"/>
                <w:szCs w:val="18"/>
                <w:lang w:eastAsia="en-AU"/>
              </w:rPr>
            </w:pPr>
          </w:p>
        </w:tc>
        <w:tc>
          <w:tcPr>
            <w:tcW w:w="1376" w:type="dxa"/>
            <w:tcBorders>
              <w:top w:val="single" w:sz="4" w:space="0" w:color="000000"/>
              <w:bottom w:val="single" w:sz="4" w:space="0" w:color="000000"/>
            </w:tcBorders>
            <w:shd w:val="clear" w:color="auto" w:fill="auto"/>
            <w:vAlign w:val="center"/>
            <w:hideMark/>
          </w:tcPr>
          <w:p w:rsidR="00AB07CF" w:rsidRPr="00E60EA6" w:rsidRDefault="00AB07CF" w:rsidP="001C2457">
            <w:pPr>
              <w:spacing w:before="0" w:after="0"/>
              <w:jc w:val="right"/>
              <w:rPr>
                <w:rFonts w:cs="Lucida Sans Unicode"/>
                <w:color w:val="000000"/>
                <w:sz w:val="18"/>
                <w:szCs w:val="18"/>
                <w:lang w:eastAsia="en-AU"/>
              </w:rPr>
            </w:pPr>
          </w:p>
        </w:tc>
        <w:tc>
          <w:tcPr>
            <w:tcW w:w="1225" w:type="dxa"/>
            <w:tcBorders>
              <w:top w:val="single" w:sz="4" w:space="0" w:color="000000"/>
              <w:bottom w:val="single" w:sz="4" w:space="0" w:color="000000"/>
            </w:tcBorders>
            <w:shd w:val="clear" w:color="auto" w:fill="auto"/>
            <w:noWrap/>
            <w:vAlign w:val="center"/>
            <w:hideMark/>
          </w:tcPr>
          <w:p w:rsidR="00AB07CF" w:rsidRPr="00E60EA6" w:rsidRDefault="00AB07CF" w:rsidP="001C2457">
            <w:pPr>
              <w:spacing w:before="0" w:after="0"/>
              <w:rPr>
                <w:rFonts w:cs="Lucida Sans Unicode"/>
                <w:color w:val="000000"/>
                <w:sz w:val="18"/>
                <w:szCs w:val="18"/>
                <w:lang w:eastAsia="en-AU"/>
              </w:rPr>
            </w:pPr>
          </w:p>
        </w:tc>
      </w:tr>
    </w:tbl>
    <w:p w:rsidR="00AB07CF" w:rsidRPr="00C95673" w:rsidRDefault="00AB07CF">
      <w:pPr>
        <w:pStyle w:val="BodyText"/>
      </w:pPr>
      <w:r w:rsidRPr="00C95673">
        <w:t xml:space="preserve">Higher valuation increases were achieved in suburbs of lower numbers of residences – South Geelong 6.36%, East Geelong 6.45%, North Shore 6.64%, Barwon Heads 6.71%, Staughton Vale 7.28% and Balliang 10.29%. </w:t>
      </w:r>
    </w:p>
    <w:p w:rsidR="00AB07CF" w:rsidRPr="005C77F5" w:rsidRDefault="00AB07CF" w:rsidP="00D43F06">
      <w:pPr>
        <w:pStyle w:val="Heading5A"/>
      </w:pPr>
      <w:r w:rsidRPr="005C77F5">
        <w:t>Bellarine Peninsula</w:t>
      </w:r>
    </w:p>
    <w:p w:rsidR="00AB07CF" w:rsidRDefault="00AB07CF">
      <w:pPr>
        <w:pStyle w:val="BodyText"/>
      </w:pPr>
      <w:r>
        <w:t>Residential property on t</w:t>
      </w:r>
      <w:r w:rsidRPr="00B8093A">
        <w:t xml:space="preserve">he </w:t>
      </w:r>
      <w:r>
        <w:t xml:space="preserve">Bellarine Peninsula represented 22% of the municipality and the average increase was 0.003%. The </w:t>
      </w:r>
      <w:r w:rsidRPr="00B8093A">
        <w:t xml:space="preserve">following table </w:t>
      </w:r>
      <w:r>
        <w:t>provides a comparison by suburb for the 2010, 2012 and 2014 revaluations.</w:t>
      </w:r>
    </w:p>
    <w:tbl>
      <w:tblPr>
        <w:tblW w:w="8659" w:type="dxa"/>
        <w:tblInd w:w="96" w:type="dxa"/>
        <w:tblLayout w:type="fixed"/>
        <w:tblLook w:val="04A0" w:firstRow="1" w:lastRow="0" w:firstColumn="1" w:lastColumn="0" w:noHBand="0" w:noVBand="1"/>
      </w:tblPr>
      <w:tblGrid>
        <w:gridCol w:w="1713"/>
        <w:gridCol w:w="1311"/>
        <w:gridCol w:w="1311"/>
        <w:gridCol w:w="1311"/>
        <w:gridCol w:w="1312"/>
        <w:gridCol w:w="1701"/>
      </w:tblGrid>
      <w:tr w:rsidR="00AB07CF" w:rsidRPr="00E60EA6" w:rsidTr="004A446B">
        <w:trPr>
          <w:trHeight w:val="20"/>
          <w:tblHeader/>
        </w:trPr>
        <w:tc>
          <w:tcPr>
            <w:tcW w:w="1713" w:type="dxa"/>
            <w:tcBorders>
              <w:top w:val="single" w:sz="4" w:space="0" w:color="auto"/>
              <w:bottom w:val="single" w:sz="4" w:space="0" w:color="auto"/>
            </w:tcBorders>
            <w:shd w:val="clear" w:color="auto" w:fill="auto"/>
            <w:noWrap/>
            <w:vAlign w:val="bottom"/>
            <w:hideMark/>
          </w:tcPr>
          <w:p w:rsidR="00AB07CF" w:rsidRPr="001A5D13" w:rsidRDefault="00AB07CF" w:rsidP="004A446B">
            <w:pPr>
              <w:spacing w:before="0" w:after="0"/>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Suburb</w:t>
            </w:r>
          </w:p>
        </w:tc>
        <w:tc>
          <w:tcPr>
            <w:tcW w:w="1311" w:type="dxa"/>
            <w:tcBorders>
              <w:top w:val="single" w:sz="4" w:space="0" w:color="auto"/>
              <w:bottom w:val="single" w:sz="4" w:space="0" w:color="auto"/>
            </w:tcBorders>
            <w:shd w:val="clear" w:color="auto" w:fill="auto"/>
            <w:vAlign w:val="bottom"/>
            <w:hideMark/>
          </w:tcPr>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No. of Residences 2014</w:t>
            </w:r>
          </w:p>
        </w:tc>
        <w:tc>
          <w:tcPr>
            <w:tcW w:w="1311" w:type="dxa"/>
            <w:tcBorders>
              <w:top w:val="single" w:sz="4" w:space="0" w:color="auto"/>
              <w:bottom w:val="single" w:sz="4" w:space="0" w:color="auto"/>
            </w:tcBorders>
            <w:shd w:val="clear" w:color="auto" w:fill="auto"/>
            <w:vAlign w:val="bottom"/>
            <w:hideMark/>
          </w:tcPr>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2010 Revaluation Increase</w:t>
            </w:r>
          </w:p>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Av 11.1%</w:t>
            </w:r>
          </w:p>
        </w:tc>
        <w:tc>
          <w:tcPr>
            <w:tcW w:w="1311" w:type="dxa"/>
            <w:tcBorders>
              <w:top w:val="single" w:sz="4" w:space="0" w:color="auto"/>
              <w:bottom w:val="single" w:sz="4" w:space="0" w:color="auto"/>
            </w:tcBorders>
            <w:shd w:val="clear" w:color="auto" w:fill="auto"/>
            <w:vAlign w:val="bottom"/>
            <w:hideMark/>
          </w:tcPr>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2012 Revaluation Increase</w:t>
            </w:r>
          </w:p>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Av 10.2%</w:t>
            </w:r>
          </w:p>
        </w:tc>
        <w:tc>
          <w:tcPr>
            <w:tcW w:w="1312" w:type="dxa"/>
            <w:tcBorders>
              <w:top w:val="single" w:sz="4" w:space="0" w:color="auto"/>
              <w:bottom w:val="single" w:sz="4" w:space="0" w:color="auto"/>
            </w:tcBorders>
            <w:shd w:val="clear" w:color="auto" w:fill="auto"/>
            <w:vAlign w:val="bottom"/>
            <w:hideMark/>
          </w:tcPr>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2014 Revaluation Increase</w:t>
            </w:r>
          </w:p>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Av 2.16%</w:t>
            </w:r>
          </w:p>
        </w:tc>
        <w:tc>
          <w:tcPr>
            <w:tcW w:w="1701" w:type="dxa"/>
            <w:tcBorders>
              <w:top w:val="single" w:sz="4" w:space="0" w:color="auto"/>
              <w:bottom w:val="single" w:sz="4" w:space="0" w:color="auto"/>
            </w:tcBorders>
            <w:shd w:val="clear" w:color="auto" w:fill="auto"/>
            <w:noWrap/>
            <w:vAlign w:val="bottom"/>
            <w:hideMark/>
          </w:tcPr>
          <w:p w:rsidR="00AB07CF" w:rsidRPr="00E60EA6" w:rsidRDefault="00AB07CF" w:rsidP="004A446B">
            <w:pPr>
              <w:spacing w:before="0" w:after="0"/>
              <w:rPr>
                <w:rFonts w:cs="Lucida Sans Unicode"/>
                <w:color w:val="0070C0"/>
                <w:sz w:val="18"/>
                <w:szCs w:val="18"/>
                <w:lang w:eastAsia="en-AU"/>
              </w:rPr>
            </w:pPr>
          </w:p>
        </w:tc>
      </w:tr>
      <w:tr w:rsidR="00AB07CF" w:rsidRPr="00E60EA6" w:rsidTr="004A446B">
        <w:trPr>
          <w:trHeight w:val="20"/>
        </w:trPr>
        <w:tc>
          <w:tcPr>
            <w:tcW w:w="1713" w:type="dxa"/>
            <w:tcBorders>
              <w:top w:val="single" w:sz="4" w:space="0" w:color="auto"/>
            </w:tcBorders>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Barwon Heads</w:t>
            </w:r>
          </w:p>
        </w:tc>
        <w:tc>
          <w:tcPr>
            <w:tcW w:w="1311"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2,116</w:t>
            </w:r>
          </w:p>
        </w:tc>
        <w:tc>
          <w:tcPr>
            <w:tcW w:w="1311"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8.60%</w:t>
            </w:r>
          </w:p>
        </w:tc>
        <w:tc>
          <w:tcPr>
            <w:tcW w:w="1311"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13.30%</w:t>
            </w:r>
          </w:p>
        </w:tc>
        <w:tc>
          <w:tcPr>
            <w:tcW w:w="1312" w:type="dxa"/>
            <w:tcBorders>
              <w:top w:val="single" w:sz="4" w:space="0" w:color="auto"/>
            </w:tcBorders>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6.71%</w:t>
            </w:r>
          </w:p>
        </w:tc>
        <w:tc>
          <w:tcPr>
            <w:tcW w:w="1701" w:type="dxa"/>
            <w:vMerge w:val="restart"/>
            <w:tcBorders>
              <w:top w:val="single" w:sz="4" w:space="0" w:color="auto"/>
            </w:tcBorders>
            <w:shd w:val="clear" w:color="auto" w:fill="auto"/>
            <w:vAlign w:val="center"/>
            <w:hideMark/>
          </w:tcPr>
          <w:p w:rsidR="00AB07CF" w:rsidRPr="00E60EA6" w:rsidRDefault="00AB07CF" w:rsidP="004A446B">
            <w:pPr>
              <w:spacing w:before="0" w:after="0"/>
              <w:jc w:val="center"/>
              <w:rPr>
                <w:rFonts w:cs="Lucida Sans Unicode"/>
                <w:color w:val="000000"/>
                <w:sz w:val="18"/>
                <w:szCs w:val="18"/>
                <w:lang w:eastAsia="en-AU"/>
              </w:rPr>
            </w:pPr>
            <w:r w:rsidRPr="00E60EA6">
              <w:rPr>
                <w:rFonts w:cs="Lucida Sans Unicode"/>
                <w:color w:val="000000"/>
                <w:sz w:val="18"/>
                <w:szCs w:val="18"/>
                <w:lang w:eastAsia="en-AU"/>
              </w:rPr>
              <w:t xml:space="preserve">Above Average </w:t>
            </w:r>
          </w:p>
          <w:p w:rsidR="00AB07CF" w:rsidRPr="00E60EA6" w:rsidRDefault="00AB07CF" w:rsidP="004A446B">
            <w:pPr>
              <w:spacing w:before="0" w:after="0"/>
              <w:jc w:val="center"/>
              <w:rPr>
                <w:rFonts w:cs="Lucida Sans Unicode"/>
                <w:color w:val="000000"/>
                <w:sz w:val="18"/>
                <w:szCs w:val="18"/>
                <w:lang w:eastAsia="en-AU"/>
              </w:rPr>
            </w:pPr>
            <w:r w:rsidRPr="00E60EA6">
              <w:rPr>
                <w:rFonts w:cs="Lucida Sans Unicode"/>
                <w:color w:val="000000"/>
                <w:sz w:val="18"/>
                <w:szCs w:val="18"/>
                <w:lang w:eastAsia="en-AU"/>
              </w:rPr>
              <w:t>(of Residential Valuation increase)</w:t>
            </w:r>
          </w:p>
        </w:tc>
      </w:tr>
      <w:tr w:rsidR="00AB07CF" w:rsidRPr="00E60EA6" w:rsidTr="004A446B">
        <w:trPr>
          <w:trHeight w:val="20"/>
        </w:trPr>
        <w:tc>
          <w:tcPr>
            <w:tcW w:w="1713"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Swan Bay</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15</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-0.70%</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5.20%</w:t>
            </w:r>
          </w:p>
        </w:tc>
        <w:tc>
          <w:tcPr>
            <w:tcW w:w="1312" w:type="dxa"/>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4.13%</w:t>
            </w:r>
          </w:p>
        </w:tc>
        <w:tc>
          <w:tcPr>
            <w:tcW w:w="1701" w:type="dxa"/>
            <w:vMerge/>
            <w:shd w:val="clear" w:color="auto" w:fill="auto"/>
            <w:vAlign w:val="center"/>
            <w:hideMark/>
          </w:tcPr>
          <w:p w:rsidR="00AB07CF" w:rsidRPr="00E60EA6" w:rsidRDefault="00AB07CF" w:rsidP="004A446B">
            <w:pPr>
              <w:spacing w:before="0" w:after="0"/>
              <w:jc w:val="center"/>
              <w:rPr>
                <w:rFonts w:cs="Lucida Sans Unicode"/>
                <w:color w:val="000000"/>
                <w:sz w:val="18"/>
                <w:szCs w:val="18"/>
                <w:lang w:eastAsia="en-AU"/>
              </w:rPr>
            </w:pPr>
          </w:p>
        </w:tc>
      </w:tr>
      <w:tr w:rsidR="00AB07CF" w:rsidRPr="00E60EA6" w:rsidTr="004A446B">
        <w:trPr>
          <w:trHeight w:val="20"/>
        </w:trPr>
        <w:tc>
          <w:tcPr>
            <w:tcW w:w="1713" w:type="dxa"/>
            <w:tcBorders>
              <w:bottom w:val="single" w:sz="4" w:space="0" w:color="auto"/>
            </w:tcBorders>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Mannerim</w:t>
            </w:r>
          </w:p>
        </w:tc>
        <w:tc>
          <w:tcPr>
            <w:tcW w:w="1311"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16</w:t>
            </w:r>
          </w:p>
        </w:tc>
        <w:tc>
          <w:tcPr>
            <w:tcW w:w="1311"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-0.20%</w:t>
            </w:r>
          </w:p>
        </w:tc>
        <w:tc>
          <w:tcPr>
            <w:tcW w:w="1311"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8.70%</w:t>
            </w:r>
          </w:p>
        </w:tc>
        <w:tc>
          <w:tcPr>
            <w:tcW w:w="1312" w:type="dxa"/>
            <w:tcBorders>
              <w:bottom w:val="single" w:sz="4" w:space="0" w:color="auto"/>
            </w:tcBorders>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3.85%</w:t>
            </w:r>
          </w:p>
        </w:tc>
        <w:tc>
          <w:tcPr>
            <w:tcW w:w="1701" w:type="dxa"/>
            <w:vMerge/>
            <w:tcBorders>
              <w:bottom w:val="single" w:sz="4" w:space="0" w:color="auto"/>
            </w:tcBorders>
            <w:shd w:val="clear" w:color="auto" w:fill="auto"/>
            <w:vAlign w:val="center"/>
            <w:hideMark/>
          </w:tcPr>
          <w:p w:rsidR="00AB07CF" w:rsidRPr="00E60EA6" w:rsidRDefault="00AB07CF" w:rsidP="004A446B">
            <w:pPr>
              <w:spacing w:before="0" w:after="0"/>
              <w:jc w:val="center"/>
              <w:rPr>
                <w:rFonts w:cs="Lucida Sans Unicode"/>
                <w:color w:val="000000"/>
                <w:sz w:val="18"/>
                <w:szCs w:val="18"/>
                <w:lang w:eastAsia="en-AU"/>
              </w:rPr>
            </w:pPr>
          </w:p>
        </w:tc>
      </w:tr>
      <w:tr w:rsidR="00AB07CF" w:rsidRPr="00E60EA6" w:rsidTr="004A446B">
        <w:trPr>
          <w:trHeight w:val="20"/>
        </w:trPr>
        <w:tc>
          <w:tcPr>
            <w:tcW w:w="1713" w:type="dxa"/>
            <w:tcBorders>
              <w:top w:val="single" w:sz="4" w:space="0" w:color="auto"/>
            </w:tcBorders>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Wallington</w:t>
            </w:r>
          </w:p>
        </w:tc>
        <w:tc>
          <w:tcPr>
            <w:tcW w:w="1311"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397</w:t>
            </w:r>
          </w:p>
        </w:tc>
        <w:tc>
          <w:tcPr>
            <w:tcW w:w="1311"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11.70%</w:t>
            </w:r>
          </w:p>
        </w:tc>
        <w:tc>
          <w:tcPr>
            <w:tcW w:w="1311"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8.20%</w:t>
            </w:r>
          </w:p>
        </w:tc>
        <w:tc>
          <w:tcPr>
            <w:tcW w:w="1312" w:type="dxa"/>
            <w:tcBorders>
              <w:top w:val="single" w:sz="4" w:space="0" w:color="auto"/>
            </w:tcBorders>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1.99%</w:t>
            </w:r>
          </w:p>
        </w:tc>
        <w:tc>
          <w:tcPr>
            <w:tcW w:w="1701" w:type="dxa"/>
            <w:vMerge w:val="restart"/>
            <w:tcBorders>
              <w:top w:val="single" w:sz="4" w:space="0" w:color="auto"/>
            </w:tcBorders>
            <w:shd w:val="clear" w:color="auto" w:fill="auto"/>
            <w:vAlign w:val="center"/>
            <w:hideMark/>
          </w:tcPr>
          <w:p w:rsidR="00AB07CF" w:rsidRPr="00E60EA6" w:rsidRDefault="00AB07CF" w:rsidP="004A446B">
            <w:pPr>
              <w:spacing w:before="0" w:after="0"/>
              <w:jc w:val="center"/>
              <w:rPr>
                <w:rFonts w:cs="Lucida Sans Unicode"/>
                <w:color w:val="000000"/>
                <w:sz w:val="18"/>
                <w:szCs w:val="18"/>
                <w:lang w:eastAsia="en-AU"/>
              </w:rPr>
            </w:pPr>
            <w:r w:rsidRPr="00E60EA6">
              <w:rPr>
                <w:rFonts w:cs="Lucida Sans Unicode"/>
                <w:color w:val="000000"/>
                <w:sz w:val="18"/>
                <w:szCs w:val="18"/>
                <w:lang w:eastAsia="en-AU"/>
              </w:rPr>
              <w:t xml:space="preserve">Below Average </w:t>
            </w:r>
          </w:p>
          <w:p w:rsidR="00AB07CF" w:rsidRPr="00E60EA6" w:rsidRDefault="00AB07CF" w:rsidP="004A446B">
            <w:pPr>
              <w:spacing w:before="0" w:after="0"/>
              <w:jc w:val="center"/>
              <w:rPr>
                <w:rFonts w:cs="Lucida Sans Unicode"/>
                <w:color w:val="000000"/>
                <w:sz w:val="18"/>
                <w:szCs w:val="18"/>
                <w:lang w:eastAsia="en-AU"/>
              </w:rPr>
            </w:pPr>
            <w:r w:rsidRPr="00E60EA6">
              <w:rPr>
                <w:rFonts w:cs="Lucida Sans Unicode"/>
                <w:color w:val="000000"/>
                <w:sz w:val="18"/>
                <w:szCs w:val="18"/>
                <w:lang w:eastAsia="en-AU"/>
              </w:rPr>
              <w:t>(of Residential Valuation increase)</w:t>
            </w:r>
          </w:p>
        </w:tc>
      </w:tr>
      <w:tr w:rsidR="00AB07CF" w:rsidRPr="00E60EA6" w:rsidTr="004A446B">
        <w:trPr>
          <w:trHeight w:val="20"/>
        </w:trPr>
        <w:tc>
          <w:tcPr>
            <w:tcW w:w="1713"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Marcus Hill</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36</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-1.90%</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4.10%</w:t>
            </w:r>
          </w:p>
        </w:tc>
        <w:tc>
          <w:tcPr>
            <w:tcW w:w="1312" w:type="dxa"/>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1.61%</w:t>
            </w:r>
          </w:p>
        </w:tc>
        <w:tc>
          <w:tcPr>
            <w:tcW w:w="1701" w:type="dxa"/>
            <w:vMerge/>
            <w:shd w:val="clear" w:color="auto" w:fill="auto"/>
            <w:vAlign w:val="center"/>
            <w:hideMark/>
          </w:tcPr>
          <w:p w:rsidR="00AB07CF" w:rsidRPr="00E60EA6" w:rsidRDefault="00AB07CF" w:rsidP="004A446B">
            <w:pPr>
              <w:spacing w:before="0" w:after="0"/>
              <w:rPr>
                <w:rFonts w:cs="Lucida Sans Unicode"/>
                <w:color w:val="000000"/>
                <w:sz w:val="18"/>
                <w:szCs w:val="18"/>
                <w:lang w:eastAsia="en-AU"/>
              </w:rPr>
            </w:pPr>
          </w:p>
        </w:tc>
      </w:tr>
      <w:tr w:rsidR="00AB07CF" w:rsidRPr="00E60EA6" w:rsidTr="004A446B">
        <w:trPr>
          <w:trHeight w:val="20"/>
        </w:trPr>
        <w:tc>
          <w:tcPr>
            <w:tcW w:w="1713"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Ocean Grove</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6,840</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10.50%</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9.30%</w:t>
            </w:r>
          </w:p>
        </w:tc>
        <w:tc>
          <w:tcPr>
            <w:tcW w:w="1312" w:type="dxa"/>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0.70%</w:t>
            </w:r>
          </w:p>
        </w:tc>
        <w:tc>
          <w:tcPr>
            <w:tcW w:w="1701" w:type="dxa"/>
            <w:vMerge/>
            <w:shd w:val="clear" w:color="auto" w:fill="auto"/>
            <w:vAlign w:val="center"/>
            <w:hideMark/>
          </w:tcPr>
          <w:p w:rsidR="00AB07CF" w:rsidRPr="00E60EA6" w:rsidRDefault="00AB07CF" w:rsidP="004A446B">
            <w:pPr>
              <w:spacing w:before="0" w:after="0"/>
              <w:rPr>
                <w:rFonts w:cs="Lucida Sans Unicode"/>
                <w:color w:val="000000"/>
                <w:sz w:val="18"/>
                <w:szCs w:val="18"/>
                <w:lang w:eastAsia="en-AU"/>
              </w:rPr>
            </w:pPr>
          </w:p>
        </w:tc>
      </w:tr>
      <w:tr w:rsidR="00AB07CF" w:rsidRPr="00E60EA6" w:rsidTr="004A446B">
        <w:trPr>
          <w:trHeight w:val="20"/>
        </w:trPr>
        <w:tc>
          <w:tcPr>
            <w:tcW w:w="1713"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St Leonards</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2,290</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17.40%</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10.90%</w:t>
            </w:r>
          </w:p>
        </w:tc>
        <w:tc>
          <w:tcPr>
            <w:tcW w:w="1312" w:type="dxa"/>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(0.09%)</w:t>
            </w:r>
          </w:p>
        </w:tc>
        <w:tc>
          <w:tcPr>
            <w:tcW w:w="1701" w:type="dxa"/>
            <w:vMerge/>
            <w:shd w:val="clear" w:color="auto" w:fill="auto"/>
            <w:vAlign w:val="center"/>
            <w:hideMark/>
          </w:tcPr>
          <w:p w:rsidR="00AB07CF" w:rsidRPr="00E60EA6" w:rsidRDefault="00AB07CF" w:rsidP="004A446B">
            <w:pPr>
              <w:spacing w:before="0" w:after="0"/>
              <w:rPr>
                <w:rFonts w:cs="Lucida Sans Unicode"/>
                <w:color w:val="000000"/>
                <w:sz w:val="18"/>
                <w:szCs w:val="18"/>
                <w:lang w:eastAsia="en-AU"/>
              </w:rPr>
            </w:pPr>
          </w:p>
        </w:tc>
      </w:tr>
      <w:tr w:rsidR="00AB07CF" w:rsidRPr="00E60EA6" w:rsidTr="004A446B">
        <w:trPr>
          <w:trHeight w:val="20"/>
        </w:trPr>
        <w:tc>
          <w:tcPr>
            <w:tcW w:w="1713"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Clifton Springs</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3,307</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6.50%</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14.50%</w:t>
            </w:r>
          </w:p>
        </w:tc>
        <w:tc>
          <w:tcPr>
            <w:tcW w:w="1312" w:type="dxa"/>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(0.53%)</w:t>
            </w:r>
          </w:p>
        </w:tc>
        <w:tc>
          <w:tcPr>
            <w:tcW w:w="1701" w:type="dxa"/>
            <w:vMerge/>
            <w:shd w:val="clear" w:color="auto" w:fill="auto"/>
            <w:vAlign w:val="center"/>
            <w:hideMark/>
          </w:tcPr>
          <w:p w:rsidR="00AB07CF" w:rsidRPr="00E60EA6" w:rsidRDefault="00AB07CF" w:rsidP="004A446B">
            <w:pPr>
              <w:spacing w:before="0" w:after="0"/>
              <w:rPr>
                <w:rFonts w:cs="Lucida Sans Unicode"/>
                <w:color w:val="000000"/>
                <w:sz w:val="18"/>
                <w:szCs w:val="18"/>
                <w:lang w:eastAsia="en-AU"/>
              </w:rPr>
            </w:pPr>
          </w:p>
        </w:tc>
      </w:tr>
      <w:tr w:rsidR="00AB07CF" w:rsidRPr="00E60EA6" w:rsidTr="004A446B">
        <w:trPr>
          <w:trHeight w:val="20"/>
        </w:trPr>
        <w:tc>
          <w:tcPr>
            <w:tcW w:w="1713"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Drysdale</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1,655</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7.70%</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10.90%</w:t>
            </w:r>
          </w:p>
        </w:tc>
        <w:tc>
          <w:tcPr>
            <w:tcW w:w="1312" w:type="dxa"/>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(0.76%)</w:t>
            </w:r>
          </w:p>
        </w:tc>
        <w:tc>
          <w:tcPr>
            <w:tcW w:w="1701" w:type="dxa"/>
            <w:vMerge/>
            <w:shd w:val="clear" w:color="auto" w:fill="auto"/>
            <w:vAlign w:val="center"/>
            <w:hideMark/>
          </w:tcPr>
          <w:p w:rsidR="00AB07CF" w:rsidRPr="00E60EA6" w:rsidRDefault="00AB07CF" w:rsidP="004A446B">
            <w:pPr>
              <w:spacing w:before="0" w:after="0"/>
              <w:rPr>
                <w:rFonts w:cs="Lucida Sans Unicode"/>
                <w:color w:val="000000"/>
                <w:sz w:val="18"/>
                <w:szCs w:val="18"/>
                <w:lang w:eastAsia="en-AU"/>
              </w:rPr>
            </w:pPr>
          </w:p>
        </w:tc>
      </w:tr>
      <w:tr w:rsidR="00AB07CF" w:rsidRPr="00E60EA6" w:rsidTr="004A446B">
        <w:trPr>
          <w:trHeight w:val="20"/>
        </w:trPr>
        <w:tc>
          <w:tcPr>
            <w:tcW w:w="1713"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Curlewis</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318</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1.60%</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8.30%</w:t>
            </w:r>
          </w:p>
        </w:tc>
        <w:tc>
          <w:tcPr>
            <w:tcW w:w="1312" w:type="dxa"/>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(1.65%)</w:t>
            </w:r>
          </w:p>
        </w:tc>
        <w:tc>
          <w:tcPr>
            <w:tcW w:w="1701" w:type="dxa"/>
            <w:vMerge/>
            <w:shd w:val="clear" w:color="auto" w:fill="auto"/>
            <w:vAlign w:val="center"/>
            <w:hideMark/>
          </w:tcPr>
          <w:p w:rsidR="00AB07CF" w:rsidRPr="00E60EA6" w:rsidRDefault="00AB07CF" w:rsidP="004A446B">
            <w:pPr>
              <w:spacing w:before="0" w:after="0"/>
              <w:rPr>
                <w:rFonts w:cs="Lucida Sans Unicode"/>
                <w:color w:val="000000"/>
                <w:sz w:val="18"/>
                <w:szCs w:val="18"/>
                <w:lang w:eastAsia="en-AU"/>
              </w:rPr>
            </w:pPr>
          </w:p>
        </w:tc>
      </w:tr>
      <w:tr w:rsidR="00AB07CF" w:rsidRPr="00E60EA6" w:rsidTr="004A446B">
        <w:trPr>
          <w:trHeight w:val="20"/>
        </w:trPr>
        <w:tc>
          <w:tcPr>
            <w:tcW w:w="1713"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Breamlea</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107</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29.90%</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9.20%</w:t>
            </w:r>
          </w:p>
        </w:tc>
        <w:tc>
          <w:tcPr>
            <w:tcW w:w="1312" w:type="dxa"/>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(2.37%)</w:t>
            </w:r>
          </w:p>
        </w:tc>
        <w:tc>
          <w:tcPr>
            <w:tcW w:w="1701" w:type="dxa"/>
            <w:vMerge/>
            <w:shd w:val="clear" w:color="auto" w:fill="auto"/>
            <w:vAlign w:val="center"/>
            <w:hideMark/>
          </w:tcPr>
          <w:p w:rsidR="00AB07CF" w:rsidRPr="00E60EA6" w:rsidRDefault="00AB07CF" w:rsidP="004A446B">
            <w:pPr>
              <w:spacing w:before="0" w:after="0"/>
              <w:rPr>
                <w:rFonts w:cs="Lucida Sans Unicode"/>
                <w:color w:val="000000"/>
                <w:sz w:val="18"/>
                <w:szCs w:val="18"/>
                <w:lang w:eastAsia="en-AU"/>
              </w:rPr>
            </w:pPr>
          </w:p>
        </w:tc>
      </w:tr>
      <w:tr w:rsidR="00AB07CF" w:rsidRPr="00E60EA6" w:rsidTr="004A446B">
        <w:trPr>
          <w:trHeight w:val="20"/>
        </w:trPr>
        <w:tc>
          <w:tcPr>
            <w:tcW w:w="1713"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Portarlington</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2,646</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11.80%</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11.90%</w:t>
            </w:r>
          </w:p>
        </w:tc>
        <w:tc>
          <w:tcPr>
            <w:tcW w:w="1312" w:type="dxa"/>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(2.50%)</w:t>
            </w:r>
          </w:p>
        </w:tc>
        <w:tc>
          <w:tcPr>
            <w:tcW w:w="1701" w:type="dxa"/>
            <w:vMerge/>
            <w:shd w:val="clear" w:color="auto" w:fill="auto"/>
            <w:vAlign w:val="center"/>
            <w:hideMark/>
          </w:tcPr>
          <w:p w:rsidR="00AB07CF" w:rsidRPr="00E60EA6" w:rsidRDefault="00AB07CF" w:rsidP="004A446B">
            <w:pPr>
              <w:spacing w:before="0" w:after="0"/>
              <w:rPr>
                <w:rFonts w:cs="Lucida Sans Unicode"/>
                <w:color w:val="000000"/>
                <w:sz w:val="18"/>
                <w:szCs w:val="18"/>
                <w:lang w:eastAsia="en-AU"/>
              </w:rPr>
            </w:pPr>
          </w:p>
        </w:tc>
      </w:tr>
      <w:tr w:rsidR="00AB07CF" w:rsidRPr="00E60EA6" w:rsidTr="004A446B">
        <w:trPr>
          <w:trHeight w:val="20"/>
        </w:trPr>
        <w:tc>
          <w:tcPr>
            <w:tcW w:w="1713"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Bellarine</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43</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8.00%</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13.50%</w:t>
            </w:r>
          </w:p>
        </w:tc>
        <w:tc>
          <w:tcPr>
            <w:tcW w:w="1312" w:type="dxa"/>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(2.51%)</w:t>
            </w:r>
          </w:p>
        </w:tc>
        <w:tc>
          <w:tcPr>
            <w:tcW w:w="1701" w:type="dxa"/>
            <w:vMerge/>
            <w:shd w:val="clear" w:color="auto" w:fill="auto"/>
            <w:vAlign w:val="center"/>
            <w:hideMark/>
          </w:tcPr>
          <w:p w:rsidR="00AB07CF" w:rsidRPr="00E60EA6" w:rsidRDefault="00AB07CF" w:rsidP="004A446B">
            <w:pPr>
              <w:spacing w:before="0" w:after="0"/>
              <w:rPr>
                <w:rFonts w:cs="Lucida Sans Unicode"/>
                <w:color w:val="000000"/>
                <w:sz w:val="18"/>
                <w:szCs w:val="18"/>
                <w:lang w:eastAsia="en-AU"/>
              </w:rPr>
            </w:pPr>
          </w:p>
        </w:tc>
      </w:tr>
      <w:tr w:rsidR="00AB07CF" w:rsidRPr="00E60EA6" w:rsidTr="004A446B">
        <w:trPr>
          <w:trHeight w:val="20"/>
        </w:trPr>
        <w:tc>
          <w:tcPr>
            <w:tcW w:w="1713"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Point Lonsdale</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645</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12.20%</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17.40%</w:t>
            </w:r>
          </w:p>
        </w:tc>
        <w:tc>
          <w:tcPr>
            <w:tcW w:w="1312" w:type="dxa"/>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(3.20%)</w:t>
            </w:r>
          </w:p>
        </w:tc>
        <w:tc>
          <w:tcPr>
            <w:tcW w:w="1701" w:type="dxa"/>
            <w:vMerge/>
            <w:shd w:val="clear" w:color="auto" w:fill="auto"/>
            <w:vAlign w:val="center"/>
            <w:hideMark/>
          </w:tcPr>
          <w:p w:rsidR="00AB07CF" w:rsidRPr="00E60EA6" w:rsidRDefault="00AB07CF" w:rsidP="004A446B">
            <w:pPr>
              <w:spacing w:before="0" w:after="0"/>
              <w:rPr>
                <w:rFonts w:cs="Lucida Sans Unicode"/>
                <w:color w:val="000000"/>
                <w:sz w:val="18"/>
                <w:szCs w:val="18"/>
                <w:lang w:eastAsia="en-AU"/>
              </w:rPr>
            </w:pPr>
          </w:p>
        </w:tc>
      </w:tr>
      <w:tr w:rsidR="00AB07CF" w:rsidRPr="00E60EA6" w:rsidTr="004A446B">
        <w:trPr>
          <w:trHeight w:val="20"/>
        </w:trPr>
        <w:tc>
          <w:tcPr>
            <w:tcW w:w="1713"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Connewarre</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222</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11.30%</w:t>
            </w:r>
          </w:p>
        </w:tc>
        <w:tc>
          <w:tcPr>
            <w:tcW w:w="1311"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20.30%</w:t>
            </w:r>
          </w:p>
        </w:tc>
        <w:tc>
          <w:tcPr>
            <w:tcW w:w="1312" w:type="dxa"/>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(6.19%)</w:t>
            </w:r>
          </w:p>
        </w:tc>
        <w:tc>
          <w:tcPr>
            <w:tcW w:w="1701" w:type="dxa"/>
            <w:vMerge/>
            <w:shd w:val="clear" w:color="auto" w:fill="auto"/>
            <w:vAlign w:val="center"/>
            <w:hideMark/>
          </w:tcPr>
          <w:p w:rsidR="00AB07CF" w:rsidRPr="00E60EA6" w:rsidRDefault="00AB07CF" w:rsidP="004A446B">
            <w:pPr>
              <w:spacing w:before="0" w:after="0"/>
              <w:rPr>
                <w:rFonts w:cs="Lucida Sans Unicode"/>
                <w:color w:val="000000"/>
                <w:sz w:val="18"/>
                <w:szCs w:val="18"/>
                <w:lang w:eastAsia="en-AU"/>
              </w:rPr>
            </w:pPr>
          </w:p>
        </w:tc>
      </w:tr>
      <w:tr w:rsidR="00AB07CF" w:rsidRPr="00E60EA6" w:rsidTr="004A446B">
        <w:trPr>
          <w:trHeight w:val="20"/>
        </w:trPr>
        <w:tc>
          <w:tcPr>
            <w:tcW w:w="1713" w:type="dxa"/>
            <w:tcBorders>
              <w:bottom w:val="single" w:sz="4" w:space="0" w:color="auto"/>
            </w:tcBorders>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Indented Head</w:t>
            </w:r>
          </w:p>
        </w:tc>
        <w:tc>
          <w:tcPr>
            <w:tcW w:w="1311"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1,095</w:t>
            </w:r>
          </w:p>
        </w:tc>
        <w:tc>
          <w:tcPr>
            <w:tcW w:w="1311"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19.70%</w:t>
            </w:r>
          </w:p>
        </w:tc>
        <w:tc>
          <w:tcPr>
            <w:tcW w:w="1311"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9.50%</w:t>
            </w:r>
          </w:p>
        </w:tc>
        <w:tc>
          <w:tcPr>
            <w:tcW w:w="1312" w:type="dxa"/>
            <w:tcBorders>
              <w:bottom w:val="single" w:sz="4" w:space="0" w:color="auto"/>
            </w:tcBorders>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(6.28%)</w:t>
            </w:r>
          </w:p>
        </w:tc>
        <w:tc>
          <w:tcPr>
            <w:tcW w:w="1701" w:type="dxa"/>
            <w:vMerge/>
            <w:tcBorders>
              <w:bottom w:val="single" w:sz="4" w:space="0" w:color="auto"/>
            </w:tcBorders>
            <w:shd w:val="clear" w:color="auto" w:fill="auto"/>
            <w:vAlign w:val="center"/>
            <w:hideMark/>
          </w:tcPr>
          <w:p w:rsidR="00AB07CF" w:rsidRPr="00E60EA6" w:rsidRDefault="00AB07CF" w:rsidP="004A446B">
            <w:pPr>
              <w:spacing w:before="0" w:after="0"/>
              <w:rPr>
                <w:rFonts w:cs="Lucida Sans Unicode"/>
                <w:color w:val="000000"/>
                <w:sz w:val="18"/>
                <w:szCs w:val="18"/>
                <w:lang w:eastAsia="en-AU"/>
              </w:rPr>
            </w:pPr>
          </w:p>
        </w:tc>
      </w:tr>
      <w:tr w:rsidR="00AB07CF" w:rsidRPr="00E60EA6" w:rsidTr="004A446B">
        <w:trPr>
          <w:trHeight w:val="20"/>
        </w:trPr>
        <w:tc>
          <w:tcPr>
            <w:tcW w:w="1713"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rPr>
                <w:rFonts w:cs="Lucida Sans Unicode"/>
                <w:b/>
                <w:bCs/>
                <w:color w:val="000000"/>
                <w:sz w:val="18"/>
                <w:szCs w:val="18"/>
                <w:lang w:eastAsia="en-AU"/>
              </w:rPr>
            </w:pPr>
            <w:r w:rsidRPr="00E60EA6">
              <w:rPr>
                <w:rFonts w:cs="Lucida Sans Unicode"/>
                <w:b/>
                <w:bCs/>
                <w:color w:val="000000"/>
                <w:sz w:val="18"/>
                <w:szCs w:val="18"/>
                <w:lang w:eastAsia="en-AU"/>
              </w:rPr>
              <w:t>Total</w:t>
            </w:r>
          </w:p>
        </w:tc>
        <w:tc>
          <w:tcPr>
            <w:tcW w:w="1311"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21,748</w:t>
            </w:r>
          </w:p>
        </w:tc>
        <w:tc>
          <w:tcPr>
            <w:tcW w:w="1311"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 </w:t>
            </w:r>
          </w:p>
        </w:tc>
        <w:tc>
          <w:tcPr>
            <w:tcW w:w="1311"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 </w:t>
            </w:r>
          </w:p>
        </w:tc>
        <w:tc>
          <w:tcPr>
            <w:tcW w:w="1312" w:type="dxa"/>
            <w:tcBorders>
              <w:top w:val="single" w:sz="4" w:space="0" w:color="auto"/>
              <w:bottom w:val="single" w:sz="4" w:space="0" w:color="auto"/>
            </w:tcBorders>
            <w:shd w:val="clear" w:color="auto" w:fill="auto"/>
            <w:vAlign w:val="center"/>
            <w:hideMark/>
          </w:tcPr>
          <w:p w:rsidR="00AB07CF" w:rsidRPr="00E60EA6" w:rsidRDefault="00AB07CF" w:rsidP="004A446B">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 </w:t>
            </w:r>
          </w:p>
        </w:tc>
        <w:tc>
          <w:tcPr>
            <w:tcW w:w="1701"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p>
        </w:tc>
      </w:tr>
    </w:tbl>
    <w:p w:rsidR="00AB07CF" w:rsidRPr="005C1E6A" w:rsidRDefault="00AB07CF" w:rsidP="00D43F06">
      <w:pPr>
        <w:pStyle w:val="Heading5A"/>
      </w:pPr>
      <w:r w:rsidRPr="005C1E6A">
        <w:t xml:space="preserve">Farms </w:t>
      </w:r>
    </w:p>
    <w:p w:rsidR="00AB07CF" w:rsidRDefault="00AB07CF">
      <w:pPr>
        <w:pStyle w:val="BodyText"/>
      </w:pPr>
      <w:r w:rsidRPr="005C1E6A">
        <w:t>Overall 1,0</w:t>
      </w:r>
      <w:r>
        <w:t>7</w:t>
      </w:r>
      <w:r w:rsidRPr="005C1E6A">
        <w:t>5 Farm valuations record</w:t>
      </w:r>
      <w:r>
        <w:t>ed</w:t>
      </w:r>
      <w:r w:rsidRPr="005C1E6A">
        <w:t xml:space="preserve"> an average </w:t>
      </w:r>
      <w:r>
        <w:t>de</w:t>
      </w:r>
      <w:r w:rsidRPr="005C1E6A">
        <w:t xml:space="preserve">crease of </w:t>
      </w:r>
      <w:r>
        <w:t>(0.67</w:t>
      </w:r>
      <w:r w:rsidRPr="005C1E6A">
        <w:t>%</w:t>
      </w:r>
      <w:r>
        <w:t>)</w:t>
      </w:r>
      <w:r w:rsidRPr="005C1E6A">
        <w:t xml:space="preserve"> compared to</w:t>
      </w:r>
      <w:r>
        <w:t xml:space="preserve"> a decrease of (1.3%)</w:t>
      </w:r>
      <w:r w:rsidRPr="005C1E6A">
        <w:t xml:space="preserve"> in 201</w:t>
      </w:r>
      <w:r>
        <w:t>2</w:t>
      </w:r>
      <w:r w:rsidRPr="005C1E6A">
        <w:t>.</w:t>
      </w:r>
      <w:r>
        <w:t xml:space="preserve"> </w:t>
      </w:r>
    </w:p>
    <w:p w:rsidR="00AB07CF" w:rsidRPr="00F57EFC" w:rsidRDefault="00AB07CF">
      <w:pPr>
        <w:pStyle w:val="BodyText"/>
      </w:pPr>
      <w:r w:rsidRPr="00F57EFC">
        <w:lastRenderedPageBreak/>
        <w:t xml:space="preserve">Farms on the Bellarine Peninsula </w:t>
      </w:r>
      <w:r>
        <w:t>made</w:t>
      </w:r>
      <w:r w:rsidRPr="00F57EFC">
        <w:t xml:space="preserve"> up 42.42% of farming properties. These properties recorded an overall decrease of (0.015%) with St Leonards (33 properties) having the largest decrease of (7.78%) and Swan Bay (13 properties) having the largest increase of 10.82%.</w:t>
      </w:r>
    </w:p>
    <w:p w:rsidR="00F462EA" w:rsidRDefault="00AB07CF">
      <w:pPr>
        <w:pStyle w:val="BodyText"/>
      </w:pPr>
      <w:r>
        <w:t>A total of 87 farms in Anakie increased by an average of 11.21%, 54 farms in Balliang increased by 11.38% and 28 farms in Moorabool decreased by (8.55%).</w:t>
      </w:r>
    </w:p>
    <w:p w:rsidR="00AB07CF" w:rsidRPr="005C1E6A" w:rsidRDefault="00AB07CF" w:rsidP="00D43F06">
      <w:pPr>
        <w:pStyle w:val="Heading5A"/>
      </w:pPr>
      <w:r w:rsidRPr="005C1E6A">
        <w:t>Commercial</w:t>
      </w:r>
    </w:p>
    <w:p w:rsidR="00AB07CF" w:rsidRPr="00EB6DE9" w:rsidRDefault="00AB07CF">
      <w:pPr>
        <w:pStyle w:val="BodyText"/>
      </w:pPr>
      <w:r w:rsidRPr="00EB6DE9">
        <w:t>A total of 5,309 commercial properties increased on average 2.49% compared to 3.9% in 2012.</w:t>
      </w:r>
      <w:r w:rsidR="00054725">
        <w:t xml:space="preserve"> </w:t>
      </w:r>
      <w:r w:rsidRPr="00EB6DE9">
        <w:t xml:space="preserve">The main area of commercial activity (1,671 properties) in Central Geelong increased </w:t>
      </w:r>
      <w:r>
        <w:t>a</w:t>
      </w:r>
      <w:r w:rsidRPr="00EB6DE9">
        <w:t xml:space="preserve">n average valuation by 0.16%. </w:t>
      </w:r>
    </w:p>
    <w:p w:rsidR="00AB07CF" w:rsidRPr="00EB6DE9" w:rsidRDefault="00AB07CF">
      <w:pPr>
        <w:pStyle w:val="BodyText"/>
      </w:pPr>
      <w:r w:rsidRPr="00EB6DE9">
        <w:t>The following table provides a comparison of the suburbs with the highest number of properties for the 2010, 2012 and 2014 revaluations.</w:t>
      </w:r>
    </w:p>
    <w:tbl>
      <w:tblPr>
        <w:tblW w:w="8659" w:type="dxa"/>
        <w:tblInd w:w="96" w:type="dxa"/>
        <w:tblLayout w:type="fixed"/>
        <w:tblLook w:val="04A0" w:firstRow="1" w:lastRow="0" w:firstColumn="1" w:lastColumn="0" w:noHBand="0" w:noVBand="1"/>
      </w:tblPr>
      <w:tblGrid>
        <w:gridCol w:w="1855"/>
        <w:gridCol w:w="1418"/>
        <w:gridCol w:w="1417"/>
        <w:gridCol w:w="1418"/>
        <w:gridCol w:w="1417"/>
        <w:gridCol w:w="1134"/>
      </w:tblGrid>
      <w:tr w:rsidR="00AB07CF" w:rsidRPr="00E60EA6" w:rsidTr="004A446B">
        <w:trPr>
          <w:trHeight w:val="20"/>
        </w:trPr>
        <w:tc>
          <w:tcPr>
            <w:tcW w:w="1855" w:type="dxa"/>
            <w:tcBorders>
              <w:top w:val="single" w:sz="4" w:space="0" w:color="auto"/>
              <w:bottom w:val="single" w:sz="4" w:space="0" w:color="auto"/>
            </w:tcBorders>
            <w:shd w:val="clear" w:color="auto" w:fill="auto"/>
            <w:noWrap/>
            <w:vAlign w:val="bottom"/>
            <w:hideMark/>
          </w:tcPr>
          <w:p w:rsidR="00AB07CF" w:rsidRPr="001A5D13" w:rsidRDefault="00AB07CF" w:rsidP="004A446B">
            <w:pPr>
              <w:spacing w:before="0" w:after="0"/>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val="en-US" w:eastAsia="en-AU"/>
              </w:rPr>
              <w:t>Suburb</w:t>
            </w:r>
          </w:p>
        </w:tc>
        <w:tc>
          <w:tcPr>
            <w:tcW w:w="1418" w:type="dxa"/>
            <w:tcBorders>
              <w:top w:val="single" w:sz="4" w:space="0" w:color="auto"/>
              <w:bottom w:val="single" w:sz="4" w:space="0" w:color="auto"/>
            </w:tcBorders>
            <w:shd w:val="clear" w:color="auto" w:fill="auto"/>
            <w:vAlign w:val="bottom"/>
            <w:hideMark/>
          </w:tcPr>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val="en-US" w:eastAsia="en-AU"/>
              </w:rPr>
              <w:t>No. of Properties 2014</w:t>
            </w:r>
          </w:p>
        </w:tc>
        <w:tc>
          <w:tcPr>
            <w:tcW w:w="1417" w:type="dxa"/>
            <w:tcBorders>
              <w:top w:val="single" w:sz="4" w:space="0" w:color="auto"/>
              <w:bottom w:val="single" w:sz="4" w:space="0" w:color="auto"/>
            </w:tcBorders>
            <w:shd w:val="clear" w:color="auto" w:fill="auto"/>
            <w:vAlign w:val="bottom"/>
            <w:hideMark/>
          </w:tcPr>
          <w:p w:rsidR="00AB07CF" w:rsidRPr="001A5D13" w:rsidRDefault="00AB07CF" w:rsidP="004A446B">
            <w:pPr>
              <w:spacing w:before="0" w:after="0"/>
              <w:jc w:val="right"/>
              <w:rPr>
                <w:rFonts w:ascii="News Gothic Std" w:hAnsi="News Gothic Std" w:cs="Arial"/>
                <w:bCs/>
                <w:color w:val="0070C0"/>
                <w:sz w:val="18"/>
                <w:szCs w:val="18"/>
                <w:lang w:val="en-US" w:eastAsia="en-AU"/>
              </w:rPr>
            </w:pPr>
            <w:r w:rsidRPr="001A5D13">
              <w:rPr>
                <w:rFonts w:ascii="News Gothic Std" w:hAnsi="News Gothic Std" w:cs="Arial"/>
                <w:bCs/>
                <w:color w:val="0070C0"/>
                <w:sz w:val="18"/>
                <w:szCs w:val="18"/>
                <w:lang w:val="en-US" w:eastAsia="en-AU"/>
              </w:rPr>
              <w:t>2010 Revaluation Increase</w:t>
            </w:r>
          </w:p>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val="en-US" w:eastAsia="en-AU"/>
              </w:rPr>
              <w:t>Av 8.2%</w:t>
            </w:r>
          </w:p>
        </w:tc>
        <w:tc>
          <w:tcPr>
            <w:tcW w:w="1418" w:type="dxa"/>
            <w:tcBorders>
              <w:top w:val="single" w:sz="4" w:space="0" w:color="auto"/>
              <w:bottom w:val="single" w:sz="4" w:space="0" w:color="auto"/>
            </w:tcBorders>
            <w:shd w:val="clear" w:color="auto" w:fill="auto"/>
            <w:vAlign w:val="bottom"/>
            <w:hideMark/>
          </w:tcPr>
          <w:p w:rsidR="00AB07CF" w:rsidRPr="001A5D13" w:rsidRDefault="00AB07CF" w:rsidP="004A446B">
            <w:pPr>
              <w:spacing w:before="0" w:after="0"/>
              <w:jc w:val="right"/>
              <w:rPr>
                <w:rFonts w:ascii="News Gothic Std" w:hAnsi="News Gothic Std" w:cs="Arial"/>
                <w:bCs/>
                <w:color w:val="0070C0"/>
                <w:sz w:val="18"/>
                <w:szCs w:val="18"/>
                <w:lang w:val="en-US" w:eastAsia="en-AU"/>
              </w:rPr>
            </w:pPr>
            <w:r w:rsidRPr="001A5D13">
              <w:rPr>
                <w:rFonts w:ascii="News Gothic Std" w:hAnsi="News Gothic Std" w:cs="Arial"/>
                <w:bCs/>
                <w:color w:val="0070C0"/>
                <w:sz w:val="18"/>
                <w:szCs w:val="18"/>
                <w:lang w:val="en-US" w:eastAsia="en-AU"/>
              </w:rPr>
              <w:t>2012 Revaluation Increase</w:t>
            </w:r>
          </w:p>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val="en-US" w:eastAsia="en-AU"/>
              </w:rPr>
              <w:t>Av 3.9%</w:t>
            </w:r>
          </w:p>
        </w:tc>
        <w:tc>
          <w:tcPr>
            <w:tcW w:w="1417" w:type="dxa"/>
            <w:tcBorders>
              <w:top w:val="single" w:sz="4" w:space="0" w:color="auto"/>
              <w:bottom w:val="single" w:sz="4" w:space="0" w:color="auto"/>
            </w:tcBorders>
            <w:shd w:val="clear" w:color="auto" w:fill="auto"/>
            <w:vAlign w:val="bottom"/>
            <w:hideMark/>
          </w:tcPr>
          <w:p w:rsidR="00AB07CF" w:rsidRPr="001A5D13" w:rsidRDefault="00AB07CF" w:rsidP="004A446B">
            <w:pPr>
              <w:spacing w:before="0" w:after="0"/>
              <w:jc w:val="right"/>
              <w:rPr>
                <w:rFonts w:ascii="News Gothic Std" w:hAnsi="News Gothic Std" w:cs="Arial"/>
                <w:bCs/>
                <w:color w:val="0070C0"/>
                <w:sz w:val="18"/>
                <w:szCs w:val="18"/>
                <w:lang w:val="en-US" w:eastAsia="en-AU"/>
              </w:rPr>
            </w:pPr>
            <w:r w:rsidRPr="001A5D13">
              <w:rPr>
                <w:rFonts w:ascii="News Gothic Std" w:hAnsi="News Gothic Std" w:cs="Arial"/>
                <w:bCs/>
                <w:color w:val="0070C0"/>
                <w:sz w:val="18"/>
                <w:szCs w:val="18"/>
                <w:lang w:val="en-US" w:eastAsia="en-AU"/>
              </w:rPr>
              <w:t>2014 Revaluation Increase</w:t>
            </w:r>
          </w:p>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val="en-US" w:eastAsia="en-AU"/>
              </w:rPr>
              <w:t>Av 2.49%</w:t>
            </w:r>
          </w:p>
        </w:tc>
        <w:tc>
          <w:tcPr>
            <w:tcW w:w="1134" w:type="dxa"/>
            <w:tcBorders>
              <w:top w:val="single" w:sz="4" w:space="0" w:color="auto"/>
              <w:bottom w:val="single" w:sz="4" w:space="0" w:color="auto"/>
            </w:tcBorders>
            <w:shd w:val="clear" w:color="auto" w:fill="auto"/>
          </w:tcPr>
          <w:p w:rsidR="00AB07CF" w:rsidRPr="001A5D13" w:rsidRDefault="00AB07CF" w:rsidP="004A446B">
            <w:pPr>
              <w:spacing w:before="0" w:after="0"/>
              <w:rPr>
                <w:rFonts w:ascii="News Gothic Std" w:hAnsi="News Gothic Std" w:cs="Arial"/>
                <w:color w:val="0070C0"/>
                <w:sz w:val="18"/>
                <w:szCs w:val="18"/>
                <w:lang w:eastAsia="en-AU"/>
              </w:rPr>
            </w:pPr>
          </w:p>
        </w:tc>
      </w:tr>
      <w:tr w:rsidR="00AB07CF" w:rsidRPr="00E60EA6" w:rsidTr="004A446B">
        <w:trPr>
          <w:trHeight w:val="20"/>
        </w:trPr>
        <w:tc>
          <w:tcPr>
            <w:tcW w:w="1855" w:type="dxa"/>
            <w:tcBorders>
              <w:top w:val="single" w:sz="4" w:space="0" w:color="auto"/>
            </w:tcBorders>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Hamlyn Heights</w:t>
            </w:r>
          </w:p>
        </w:tc>
        <w:tc>
          <w:tcPr>
            <w:tcW w:w="1418"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33 </w:t>
            </w:r>
          </w:p>
        </w:tc>
        <w:tc>
          <w:tcPr>
            <w:tcW w:w="1417"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1.45%</w:t>
            </w:r>
          </w:p>
        </w:tc>
        <w:tc>
          <w:tcPr>
            <w:tcW w:w="1418"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27.00%</w:t>
            </w:r>
          </w:p>
        </w:tc>
        <w:tc>
          <w:tcPr>
            <w:tcW w:w="1417"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14.44%</w:t>
            </w:r>
          </w:p>
        </w:tc>
        <w:tc>
          <w:tcPr>
            <w:tcW w:w="1134" w:type="dxa"/>
            <w:vMerge w:val="restart"/>
            <w:tcBorders>
              <w:top w:val="single" w:sz="4" w:space="0" w:color="auto"/>
            </w:tcBorders>
            <w:shd w:val="clear" w:color="auto" w:fill="auto"/>
            <w:vAlign w:val="center"/>
          </w:tcPr>
          <w:p w:rsidR="00AB07CF" w:rsidRPr="00E60EA6" w:rsidRDefault="00AB07CF" w:rsidP="004A446B">
            <w:pPr>
              <w:spacing w:before="0" w:after="0"/>
              <w:jc w:val="center"/>
              <w:rPr>
                <w:rFonts w:cs="Arial"/>
                <w:color w:val="000000"/>
                <w:sz w:val="18"/>
                <w:szCs w:val="18"/>
                <w:lang w:eastAsia="en-AU"/>
              </w:rPr>
            </w:pPr>
            <w:r w:rsidRPr="00E60EA6">
              <w:rPr>
                <w:rFonts w:cs="Arial"/>
                <w:color w:val="000000"/>
                <w:sz w:val="18"/>
                <w:szCs w:val="18"/>
                <w:lang w:eastAsia="en-AU"/>
              </w:rPr>
              <w:t>Above Average</w:t>
            </w:r>
          </w:p>
        </w:tc>
      </w:tr>
      <w:tr w:rsidR="00AB07CF" w:rsidRPr="00E60EA6" w:rsidTr="004A446B">
        <w:trPr>
          <w:trHeight w:val="20"/>
        </w:trPr>
        <w:tc>
          <w:tcPr>
            <w:tcW w:w="1855"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Ocean Grove</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267 </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14.07%</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3.20%</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9.62%</w:t>
            </w:r>
          </w:p>
        </w:tc>
        <w:tc>
          <w:tcPr>
            <w:tcW w:w="1134" w:type="dxa"/>
            <w:vMerge/>
            <w:shd w:val="clear" w:color="auto" w:fill="auto"/>
          </w:tcPr>
          <w:p w:rsidR="00AB07CF" w:rsidRPr="00E60EA6" w:rsidRDefault="00AB07CF" w:rsidP="004A446B">
            <w:pPr>
              <w:spacing w:before="0" w:after="0"/>
              <w:jc w:val="center"/>
              <w:rPr>
                <w:rFonts w:cs="Arial"/>
                <w:color w:val="000000"/>
                <w:sz w:val="18"/>
                <w:szCs w:val="18"/>
                <w:lang w:eastAsia="en-AU"/>
              </w:rPr>
            </w:pPr>
          </w:p>
        </w:tc>
      </w:tr>
      <w:tr w:rsidR="00AB07CF" w:rsidRPr="00E60EA6" w:rsidTr="004A446B">
        <w:trPr>
          <w:trHeight w:val="20"/>
        </w:trPr>
        <w:tc>
          <w:tcPr>
            <w:tcW w:w="1855"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Grovedale</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277 </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9.86%</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9.60%</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7.54%</w:t>
            </w:r>
          </w:p>
        </w:tc>
        <w:tc>
          <w:tcPr>
            <w:tcW w:w="1134" w:type="dxa"/>
            <w:vMerge/>
            <w:shd w:val="clear" w:color="auto" w:fill="auto"/>
          </w:tcPr>
          <w:p w:rsidR="00AB07CF" w:rsidRPr="00E60EA6" w:rsidRDefault="00AB07CF" w:rsidP="004A446B">
            <w:pPr>
              <w:spacing w:before="0" w:after="0"/>
              <w:jc w:val="center"/>
              <w:rPr>
                <w:rFonts w:cs="Arial"/>
                <w:color w:val="000000"/>
                <w:sz w:val="18"/>
                <w:szCs w:val="18"/>
                <w:lang w:eastAsia="en-AU"/>
              </w:rPr>
            </w:pPr>
          </w:p>
        </w:tc>
      </w:tr>
      <w:tr w:rsidR="00AB07CF" w:rsidRPr="00E60EA6" w:rsidTr="004A446B">
        <w:trPr>
          <w:trHeight w:val="20"/>
        </w:trPr>
        <w:tc>
          <w:tcPr>
            <w:tcW w:w="1855"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North Shore</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(5.29%)</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161.70%</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5.44%</w:t>
            </w:r>
          </w:p>
        </w:tc>
        <w:tc>
          <w:tcPr>
            <w:tcW w:w="1134" w:type="dxa"/>
            <w:vMerge/>
            <w:shd w:val="clear" w:color="auto" w:fill="auto"/>
          </w:tcPr>
          <w:p w:rsidR="00AB07CF" w:rsidRPr="00E60EA6" w:rsidRDefault="00AB07CF" w:rsidP="004A446B">
            <w:pPr>
              <w:spacing w:before="0" w:after="0"/>
              <w:jc w:val="center"/>
              <w:rPr>
                <w:rFonts w:cs="Arial"/>
                <w:color w:val="000000"/>
                <w:sz w:val="18"/>
                <w:szCs w:val="18"/>
                <w:lang w:eastAsia="en-AU"/>
              </w:rPr>
            </w:pPr>
          </w:p>
        </w:tc>
      </w:tr>
      <w:tr w:rsidR="00AB07CF" w:rsidRPr="00E60EA6" w:rsidTr="004A446B">
        <w:trPr>
          <w:trHeight w:val="20"/>
        </w:trPr>
        <w:tc>
          <w:tcPr>
            <w:tcW w:w="1855"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Geelong West</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434 </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8.08%</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430.00%</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2.84%</w:t>
            </w:r>
          </w:p>
        </w:tc>
        <w:tc>
          <w:tcPr>
            <w:tcW w:w="1134" w:type="dxa"/>
            <w:vMerge/>
            <w:shd w:val="clear" w:color="auto" w:fill="auto"/>
          </w:tcPr>
          <w:p w:rsidR="00AB07CF" w:rsidRPr="00E60EA6" w:rsidRDefault="00AB07CF" w:rsidP="004A446B">
            <w:pPr>
              <w:spacing w:before="0" w:after="0"/>
              <w:jc w:val="center"/>
              <w:rPr>
                <w:rFonts w:cs="Arial"/>
                <w:color w:val="000000"/>
                <w:sz w:val="18"/>
                <w:szCs w:val="18"/>
                <w:lang w:eastAsia="en-AU"/>
              </w:rPr>
            </w:pPr>
          </w:p>
        </w:tc>
      </w:tr>
      <w:tr w:rsidR="00AB07CF" w:rsidRPr="00E60EA6" w:rsidTr="004A446B">
        <w:trPr>
          <w:trHeight w:val="20"/>
        </w:trPr>
        <w:tc>
          <w:tcPr>
            <w:tcW w:w="1855" w:type="dxa"/>
            <w:tcBorders>
              <w:bottom w:val="single" w:sz="4" w:space="0" w:color="auto"/>
            </w:tcBorders>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Newtown</w:t>
            </w:r>
          </w:p>
        </w:tc>
        <w:tc>
          <w:tcPr>
            <w:tcW w:w="1418"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258 </w:t>
            </w:r>
          </w:p>
        </w:tc>
        <w:tc>
          <w:tcPr>
            <w:tcW w:w="1417"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8.20%</w:t>
            </w:r>
          </w:p>
        </w:tc>
        <w:tc>
          <w:tcPr>
            <w:tcW w:w="1418"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6.90%</w:t>
            </w:r>
          </w:p>
        </w:tc>
        <w:tc>
          <w:tcPr>
            <w:tcW w:w="1417"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2.82%</w:t>
            </w:r>
          </w:p>
        </w:tc>
        <w:tc>
          <w:tcPr>
            <w:tcW w:w="1134" w:type="dxa"/>
            <w:vMerge/>
            <w:tcBorders>
              <w:bottom w:val="single" w:sz="4" w:space="0" w:color="auto"/>
            </w:tcBorders>
            <w:shd w:val="clear" w:color="auto" w:fill="auto"/>
          </w:tcPr>
          <w:p w:rsidR="00AB07CF" w:rsidRPr="00E60EA6" w:rsidRDefault="00AB07CF" w:rsidP="004A446B">
            <w:pPr>
              <w:spacing w:before="0" w:after="0"/>
              <w:jc w:val="center"/>
              <w:rPr>
                <w:rFonts w:cs="Arial"/>
                <w:color w:val="000000"/>
                <w:sz w:val="18"/>
                <w:szCs w:val="18"/>
                <w:lang w:eastAsia="en-AU"/>
              </w:rPr>
            </w:pPr>
          </w:p>
        </w:tc>
      </w:tr>
      <w:tr w:rsidR="00AB07CF" w:rsidRPr="00E60EA6" w:rsidTr="004A446B">
        <w:trPr>
          <w:trHeight w:val="20"/>
        </w:trPr>
        <w:tc>
          <w:tcPr>
            <w:tcW w:w="1855" w:type="dxa"/>
            <w:tcBorders>
              <w:top w:val="single" w:sz="4" w:space="0" w:color="auto"/>
            </w:tcBorders>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Belmont</w:t>
            </w:r>
          </w:p>
        </w:tc>
        <w:tc>
          <w:tcPr>
            <w:tcW w:w="1418"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322 </w:t>
            </w:r>
          </w:p>
        </w:tc>
        <w:tc>
          <w:tcPr>
            <w:tcW w:w="1417"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14.51%</w:t>
            </w:r>
          </w:p>
        </w:tc>
        <w:tc>
          <w:tcPr>
            <w:tcW w:w="1418"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6.90%</w:t>
            </w:r>
          </w:p>
        </w:tc>
        <w:tc>
          <w:tcPr>
            <w:tcW w:w="1417"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(0.02%)</w:t>
            </w:r>
          </w:p>
        </w:tc>
        <w:tc>
          <w:tcPr>
            <w:tcW w:w="1134" w:type="dxa"/>
            <w:vMerge w:val="restart"/>
            <w:tcBorders>
              <w:top w:val="single" w:sz="4" w:space="0" w:color="auto"/>
            </w:tcBorders>
            <w:shd w:val="clear" w:color="auto" w:fill="auto"/>
            <w:vAlign w:val="center"/>
          </w:tcPr>
          <w:p w:rsidR="00AB07CF" w:rsidRPr="00E60EA6" w:rsidRDefault="00AB07CF" w:rsidP="004A446B">
            <w:pPr>
              <w:spacing w:before="0" w:after="0"/>
              <w:jc w:val="center"/>
              <w:rPr>
                <w:rFonts w:cs="Arial"/>
                <w:color w:val="000000"/>
                <w:sz w:val="18"/>
                <w:szCs w:val="18"/>
                <w:lang w:eastAsia="en-AU"/>
              </w:rPr>
            </w:pPr>
            <w:r w:rsidRPr="00E60EA6">
              <w:rPr>
                <w:rFonts w:cs="Arial"/>
                <w:color w:val="000000"/>
                <w:sz w:val="18"/>
                <w:szCs w:val="18"/>
                <w:lang w:eastAsia="en-AU"/>
              </w:rPr>
              <w:t>Below Average</w:t>
            </w:r>
          </w:p>
        </w:tc>
      </w:tr>
      <w:tr w:rsidR="00AB07CF" w:rsidRPr="00E60EA6" w:rsidTr="004A446B">
        <w:trPr>
          <w:trHeight w:val="20"/>
        </w:trPr>
        <w:tc>
          <w:tcPr>
            <w:tcW w:w="1855"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Lovely Banks</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13 </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(15.91%)</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36.40%</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(1.08%)</w:t>
            </w:r>
          </w:p>
        </w:tc>
        <w:tc>
          <w:tcPr>
            <w:tcW w:w="1134" w:type="dxa"/>
            <w:vMerge/>
            <w:shd w:val="clear" w:color="auto" w:fill="auto"/>
          </w:tcPr>
          <w:p w:rsidR="00AB07CF" w:rsidRPr="00E60EA6" w:rsidRDefault="00AB07CF" w:rsidP="004A446B">
            <w:pPr>
              <w:spacing w:before="0" w:after="0"/>
              <w:rPr>
                <w:rFonts w:cs="Arial"/>
                <w:color w:val="000000"/>
                <w:sz w:val="18"/>
                <w:szCs w:val="18"/>
                <w:lang w:eastAsia="en-AU"/>
              </w:rPr>
            </w:pPr>
          </w:p>
        </w:tc>
      </w:tr>
      <w:tr w:rsidR="00AB07CF" w:rsidRPr="00E60EA6" w:rsidTr="004A446B">
        <w:trPr>
          <w:trHeight w:val="20"/>
        </w:trPr>
        <w:tc>
          <w:tcPr>
            <w:tcW w:w="1855"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Moolap</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105 </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18.70%</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2.40%</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(2.61%)</w:t>
            </w:r>
          </w:p>
        </w:tc>
        <w:tc>
          <w:tcPr>
            <w:tcW w:w="1134" w:type="dxa"/>
            <w:vMerge/>
            <w:shd w:val="clear" w:color="auto" w:fill="auto"/>
          </w:tcPr>
          <w:p w:rsidR="00AB07CF" w:rsidRPr="00E60EA6" w:rsidRDefault="00AB07CF" w:rsidP="004A446B">
            <w:pPr>
              <w:spacing w:before="0" w:after="0"/>
              <w:rPr>
                <w:rFonts w:cs="Arial"/>
                <w:color w:val="000000"/>
                <w:sz w:val="18"/>
                <w:szCs w:val="18"/>
                <w:lang w:eastAsia="en-AU"/>
              </w:rPr>
            </w:pPr>
          </w:p>
        </w:tc>
      </w:tr>
      <w:tr w:rsidR="00AB07CF" w:rsidRPr="00E60EA6" w:rsidTr="004A446B">
        <w:trPr>
          <w:trHeight w:val="20"/>
        </w:trPr>
        <w:tc>
          <w:tcPr>
            <w:tcW w:w="1855" w:type="dxa"/>
            <w:tcBorders>
              <w:bottom w:val="single" w:sz="4" w:space="0" w:color="auto"/>
            </w:tcBorders>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South Geelong</w:t>
            </w:r>
          </w:p>
        </w:tc>
        <w:tc>
          <w:tcPr>
            <w:tcW w:w="1418"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139 </w:t>
            </w:r>
          </w:p>
        </w:tc>
        <w:tc>
          <w:tcPr>
            <w:tcW w:w="1417"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20.12%</w:t>
            </w:r>
          </w:p>
        </w:tc>
        <w:tc>
          <w:tcPr>
            <w:tcW w:w="1418"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(0.80%)</w:t>
            </w:r>
          </w:p>
        </w:tc>
        <w:tc>
          <w:tcPr>
            <w:tcW w:w="1417"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(2.99%)</w:t>
            </w:r>
          </w:p>
        </w:tc>
        <w:tc>
          <w:tcPr>
            <w:tcW w:w="1134" w:type="dxa"/>
            <w:vMerge/>
            <w:tcBorders>
              <w:bottom w:val="single" w:sz="4" w:space="0" w:color="auto"/>
            </w:tcBorders>
            <w:shd w:val="clear" w:color="auto" w:fill="auto"/>
          </w:tcPr>
          <w:p w:rsidR="00AB07CF" w:rsidRPr="00E60EA6" w:rsidRDefault="00AB07CF" w:rsidP="004A446B">
            <w:pPr>
              <w:spacing w:before="0" w:after="0"/>
              <w:rPr>
                <w:rFonts w:cs="Arial"/>
                <w:color w:val="000000"/>
                <w:sz w:val="18"/>
                <w:szCs w:val="18"/>
                <w:lang w:eastAsia="en-AU"/>
              </w:rPr>
            </w:pPr>
          </w:p>
        </w:tc>
      </w:tr>
      <w:tr w:rsidR="00AB07CF" w:rsidRPr="00E60EA6" w:rsidTr="004A446B">
        <w:trPr>
          <w:trHeight w:val="20"/>
        </w:trPr>
        <w:tc>
          <w:tcPr>
            <w:tcW w:w="1855"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rPr>
                <w:rFonts w:cs="Lucida Sans Unicode"/>
                <w:b/>
                <w:bCs/>
                <w:color w:val="000000"/>
                <w:sz w:val="18"/>
                <w:szCs w:val="18"/>
                <w:lang w:eastAsia="en-AU"/>
              </w:rPr>
            </w:pPr>
            <w:r w:rsidRPr="00E60EA6">
              <w:rPr>
                <w:rFonts w:cs="Lucida Sans Unicode"/>
                <w:b/>
                <w:bCs/>
                <w:color w:val="000000"/>
                <w:sz w:val="18"/>
                <w:szCs w:val="18"/>
                <w:lang w:eastAsia="en-AU"/>
              </w:rPr>
              <w:t>Total</w:t>
            </w:r>
          </w:p>
        </w:tc>
        <w:tc>
          <w:tcPr>
            <w:tcW w:w="1418"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 xml:space="preserve">1,857 </w:t>
            </w:r>
          </w:p>
        </w:tc>
        <w:tc>
          <w:tcPr>
            <w:tcW w:w="1417"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w:t>
            </w:r>
          </w:p>
        </w:tc>
        <w:tc>
          <w:tcPr>
            <w:tcW w:w="1418"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w:t>
            </w:r>
          </w:p>
        </w:tc>
        <w:tc>
          <w:tcPr>
            <w:tcW w:w="1417"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w:t>
            </w:r>
          </w:p>
        </w:tc>
        <w:tc>
          <w:tcPr>
            <w:tcW w:w="1134" w:type="dxa"/>
            <w:tcBorders>
              <w:top w:val="single" w:sz="4" w:space="0" w:color="auto"/>
              <w:bottom w:val="single" w:sz="4" w:space="0" w:color="auto"/>
            </w:tcBorders>
            <w:shd w:val="clear" w:color="auto" w:fill="auto"/>
          </w:tcPr>
          <w:p w:rsidR="00AB07CF" w:rsidRPr="00E60EA6" w:rsidRDefault="00AB07CF" w:rsidP="004A446B">
            <w:pPr>
              <w:spacing w:before="0" w:after="0"/>
              <w:rPr>
                <w:rFonts w:cs="Arial"/>
                <w:color w:val="000000"/>
                <w:sz w:val="18"/>
                <w:szCs w:val="18"/>
                <w:lang w:eastAsia="en-AU"/>
              </w:rPr>
            </w:pPr>
          </w:p>
        </w:tc>
      </w:tr>
    </w:tbl>
    <w:p w:rsidR="00AB07CF" w:rsidRPr="0060559C" w:rsidRDefault="00AB07CF" w:rsidP="00D43F06">
      <w:pPr>
        <w:pStyle w:val="Heading5A"/>
      </w:pPr>
      <w:r w:rsidRPr="0060559C">
        <w:t>Industrial</w:t>
      </w:r>
    </w:p>
    <w:p w:rsidR="004A446B" w:rsidRPr="00D221C5" w:rsidRDefault="00AB07CF">
      <w:pPr>
        <w:pStyle w:val="BodyText"/>
      </w:pPr>
      <w:r>
        <w:t>A total of 1,851 i</w:t>
      </w:r>
      <w:r w:rsidRPr="0060559C">
        <w:t xml:space="preserve">ndustrial properties </w:t>
      </w:r>
      <w:r>
        <w:t>in</w:t>
      </w:r>
      <w:r w:rsidRPr="0060559C">
        <w:t xml:space="preserve">creased on average </w:t>
      </w:r>
      <w:r>
        <w:t>2.32%.</w:t>
      </w:r>
      <w:r w:rsidRPr="00266091">
        <w:t xml:space="preserve"> The majority of industrial properties </w:t>
      </w:r>
      <w:r>
        <w:t>were</w:t>
      </w:r>
      <w:r w:rsidRPr="00266091">
        <w:t xml:space="preserve"> in the following five areas which </w:t>
      </w:r>
      <w:r>
        <w:t>in</w:t>
      </w:r>
      <w:r w:rsidRPr="00266091">
        <w:t xml:space="preserve">creased between </w:t>
      </w:r>
      <w:r>
        <w:t>2.31%</w:t>
      </w:r>
      <w:r w:rsidRPr="00266091">
        <w:t xml:space="preserve"> and </w:t>
      </w:r>
      <w:r>
        <w:t>5.18</w:t>
      </w:r>
      <w:r w:rsidRPr="00266091">
        <w:t xml:space="preserve">%. </w:t>
      </w:r>
    </w:p>
    <w:tbl>
      <w:tblPr>
        <w:tblW w:w="8659" w:type="dxa"/>
        <w:tblInd w:w="96" w:type="dxa"/>
        <w:tblLayout w:type="fixed"/>
        <w:tblLook w:val="04A0" w:firstRow="1" w:lastRow="0" w:firstColumn="1" w:lastColumn="0" w:noHBand="0" w:noVBand="1"/>
      </w:tblPr>
      <w:tblGrid>
        <w:gridCol w:w="1855"/>
        <w:gridCol w:w="1418"/>
        <w:gridCol w:w="1423"/>
        <w:gridCol w:w="1412"/>
        <w:gridCol w:w="1417"/>
        <w:gridCol w:w="1134"/>
      </w:tblGrid>
      <w:tr w:rsidR="00AB07CF" w:rsidRPr="00E60EA6" w:rsidTr="004A446B">
        <w:trPr>
          <w:trHeight w:val="20"/>
        </w:trPr>
        <w:tc>
          <w:tcPr>
            <w:tcW w:w="1855" w:type="dxa"/>
            <w:tcBorders>
              <w:top w:val="single" w:sz="4" w:space="0" w:color="auto"/>
              <w:bottom w:val="single" w:sz="4" w:space="0" w:color="auto"/>
            </w:tcBorders>
            <w:shd w:val="clear" w:color="auto" w:fill="auto"/>
            <w:noWrap/>
            <w:vAlign w:val="bottom"/>
            <w:hideMark/>
          </w:tcPr>
          <w:p w:rsidR="00AB07CF" w:rsidRPr="001A5D13" w:rsidRDefault="00AB07CF" w:rsidP="004A446B">
            <w:pPr>
              <w:spacing w:before="0" w:after="0"/>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Suburbs</w:t>
            </w:r>
          </w:p>
        </w:tc>
        <w:tc>
          <w:tcPr>
            <w:tcW w:w="1418" w:type="dxa"/>
            <w:tcBorders>
              <w:top w:val="single" w:sz="4" w:space="0" w:color="auto"/>
              <w:bottom w:val="single" w:sz="4" w:space="0" w:color="auto"/>
            </w:tcBorders>
            <w:shd w:val="clear" w:color="auto" w:fill="auto"/>
            <w:vAlign w:val="bottom"/>
            <w:hideMark/>
          </w:tcPr>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No. of Properties (2014)</w:t>
            </w:r>
          </w:p>
        </w:tc>
        <w:tc>
          <w:tcPr>
            <w:tcW w:w="1423" w:type="dxa"/>
            <w:tcBorders>
              <w:top w:val="single" w:sz="4" w:space="0" w:color="auto"/>
              <w:bottom w:val="single" w:sz="4" w:space="0" w:color="auto"/>
            </w:tcBorders>
            <w:shd w:val="clear" w:color="auto" w:fill="auto"/>
            <w:vAlign w:val="bottom"/>
            <w:hideMark/>
          </w:tcPr>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2010 Revaluation Increase</w:t>
            </w:r>
          </w:p>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Av 12.3%</w:t>
            </w:r>
          </w:p>
        </w:tc>
        <w:tc>
          <w:tcPr>
            <w:tcW w:w="1412" w:type="dxa"/>
            <w:tcBorders>
              <w:top w:val="single" w:sz="4" w:space="0" w:color="auto"/>
              <w:bottom w:val="single" w:sz="4" w:space="0" w:color="auto"/>
            </w:tcBorders>
            <w:shd w:val="clear" w:color="auto" w:fill="auto"/>
            <w:vAlign w:val="bottom"/>
            <w:hideMark/>
          </w:tcPr>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2012 Revaluation Increase</w:t>
            </w:r>
          </w:p>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Av (1.2%)</w:t>
            </w:r>
          </w:p>
        </w:tc>
        <w:tc>
          <w:tcPr>
            <w:tcW w:w="1417" w:type="dxa"/>
            <w:tcBorders>
              <w:top w:val="single" w:sz="4" w:space="0" w:color="auto"/>
              <w:bottom w:val="single" w:sz="4" w:space="0" w:color="auto"/>
            </w:tcBorders>
            <w:shd w:val="clear" w:color="auto" w:fill="auto"/>
            <w:vAlign w:val="bottom"/>
            <w:hideMark/>
          </w:tcPr>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2014 Revaluation Increase</w:t>
            </w:r>
          </w:p>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Av 2.32%</w:t>
            </w:r>
          </w:p>
        </w:tc>
        <w:tc>
          <w:tcPr>
            <w:tcW w:w="1134" w:type="dxa"/>
            <w:tcBorders>
              <w:top w:val="single" w:sz="4" w:space="0" w:color="auto"/>
              <w:bottom w:val="single" w:sz="4" w:space="0" w:color="auto"/>
            </w:tcBorders>
          </w:tcPr>
          <w:p w:rsidR="00AB07CF" w:rsidRPr="001A5D13" w:rsidRDefault="00AB07CF" w:rsidP="004A446B">
            <w:pPr>
              <w:spacing w:before="0" w:after="0"/>
              <w:jc w:val="right"/>
              <w:rPr>
                <w:rFonts w:ascii="News Gothic Std" w:hAnsi="News Gothic Std" w:cs="Arial"/>
                <w:bCs/>
                <w:color w:val="0070C0"/>
                <w:sz w:val="18"/>
                <w:szCs w:val="18"/>
                <w:lang w:eastAsia="en-AU"/>
              </w:rPr>
            </w:pPr>
          </w:p>
        </w:tc>
      </w:tr>
      <w:tr w:rsidR="00AB07CF" w:rsidRPr="00E60EA6" w:rsidTr="004A446B">
        <w:trPr>
          <w:trHeight w:val="20"/>
        </w:trPr>
        <w:tc>
          <w:tcPr>
            <w:tcW w:w="1855" w:type="dxa"/>
            <w:tcBorders>
              <w:top w:val="single" w:sz="4" w:space="0" w:color="auto"/>
            </w:tcBorders>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North Shore</w:t>
            </w:r>
          </w:p>
        </w:tc>
        <w:tc>
          <w:tcPr>
            <w:tcW w:w="1418"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118</w:t>
            </w:r>
          </w:p>
        </w:tc>
        <w:tc>
          <w:tcPr>
            <w:tcW w:w="1423"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18.80%</w:t>
            </w:r>
          </w:p>
        </w:tc>
        <w:tc>
          <w:tcPr>
            <w:tcW w:w="1412" w:type="dxa"/>
            <w:tcBorders>
              <w:top w:val="single" w:sz="4" w:space="0" w:color="auto"/>
            </w:tcBorders>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(9.60%)</w:t>
            </w:r>
          </w:p>
        </w:tc>
        <w:tc>
          <w:tcPr>
            <w:tcW w:w="1417"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5.18%</w:t>
            </w:r>
          </w:p>
        </w:tc>
        <w:tc>
          <w:tcPr>
            <w:tcW w:w="1134" w:type="dxa"/>
            <w:vMerge w:val="restart"/>
            <w:tcBorders>
              <w:top w:val="single" w:sz="4" w:space="0" w:color="auto"/>
            </w:tcBorders>
            <w:vAlign w:val="center"/>
          </w:tcPr>
          <w:p w:rsidR="00AB07CF" w:rsidRPr="00E60EA6" w:rsidRDefault="00AB07CF" w:rsidP="004A446B">
            <w:pPr>
              <w:spacing w:before="0" w:after="0"/>
              <w:jc w:val="center"/>
              <w:rPr>
                <w:rFonts w:cs="Lucida Sans Unicode"/>
                <w:color w:val="000000"/>
                <w:sz w:val="18"/>
                <w:szCs w:val="18"/>
                <w:lang w:eastAsia="en-AU"/>
              </w:rPr>
            </w:pPr>
            <w:r w:rsidRPr="00E60EA6">
              <w:rPr>
                <w:rFonts w:cs="Arial"/>
                <w:color w:val="000000"/>
                <w:sz w:val="18"/>
                <w:szCs w:val="18"/>
                <w:lang w:eastAsia="en-AU"/>
              </w:rPr>
              <w:t>Above Average</w:t>
            </w:r>
          </w:p>
        </w:tc>
      </w:tr>
      <w:tr w:rsidR="00AB07CF" w:rsidRPr="00E60EA6" w:rsidTr="004A446B">
        <w:trPr>
          <w:trHeight w:val="20"/>
        </w:trPr>
        <w:tc>
          <w:tcPr>
            <w:tcW w:w="1855"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Breakwater</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141</w:t>
            </w:r>
          </w:p>
        </w:tc>
        <w:tc>
          <w:tcPr>
            <w:tcW w:w="1423"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16.10%</w:t>
            </w:r>
          </w:p>
        </w:tc>
        <w:tc>
          <w:tcPr>
            <w:tcW w:w="1412" w:type="dxa"/>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(8.60%)</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3.59%</w:t>
            </w:r>
          </w:p>
        </w:tc>
        <w:tc>
          <w:tcPr>
            <w:tcW w:w="1134" w:type="dxa"/>
            <w:vMerge/>
          </w:tcPr>
          <w:p w:rsidR="00AB07CF" w:rsidRPr="00E60EA6" w:rsidRDefault="00AB07CF" w:rsidP="004A446B">
            <w:pPr>
              <w:spacing w:before="0" w:after="0"/>
              <w:jc w:val="right"/>
              <w:rPr>
                <w:rFonts w:cs="Lucida Sans Unicode"/>
                <w:color w:val="000000"/>
                <w:sz w:val="18"/>
                <w:szCs w:val="18"/>
                <w:lang w:eastAsia="en-AU"/>
              </w:rPr>
            </w:pPr>
          </w:p>
        </w:tc>
      </w:tr>
      <w:tr w:rsidR="00AB07CF" w:rsidRPr="00E60EA6" w:rsidTr="004A446B">
        <w:trPr>
          <w:trHeight w:val="20"/>
        </w:trPr>
        <w:tc>
          <w:tcPr>
            <w:tcW w:w="1855"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North Geelong</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436</w:t>
            </w:r>
          </w:p>
        </w:tc>
        <w:tc>
          <w:tcPr>
            <w:tcW w:w="1423"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9.80%</w:t>
            </w:r>
          </w:p>
        </w:tc>
        <w:tc>
          <w:tcPr>
            <w:tcW w:w="1412" w:type="dxa"/>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(8.00%)</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3.16%</w:t>
            </w:r>
          </w:p>
        </w:tc>
        <w:tc>
          <w:tcPr>
            <w:tcW w:w="1134" w:type="dxa"/>
            <w:vMerge/>
          </w:tcPr>
          <w:p w:rsidR="00AB07CF" w:rsidRPr="00E60EA6" w:rsidRDefault="00AB07CF" w:rsidP="004A446B">
            <w:pPr>
              <w:spacing w:before="0" w:after="0"/>
              <w:jc w:val="right"/>
              <w:rPr>
                <w:rFonts w:cs="Lucida Sans Unicode"/>
                <w:color w:val="000000"/>
                <w:sz w:val="18"/>
                <w:szCs w:val="18"/>
                <w:lang w:eastAsia="en-AU"/>
              </w:rPr>
            </w:pPr>
          </w:p>
        </w:tc>
      </w:tr>
      <w:tr w:rsidR="00AB07CF" w:rsidRPr="00E60EA6" w:rsidTr="004A446B">
        <w:trPr>
          <w:trHeight w:val="20"/>
        </w:trPr>
        <w:tc>
          <w:tcPr>
            <w:tcW w:w="1855" w:type="dxa"/>
            <w:tcBorders>
              <w:bottom w:val="single" w:sz="4" w:space="0" w:color="auto"/>
            </w:tcBorders>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South Geelong</w:t>
            </w:r>
          </w:p>
        </w:tc>
        <w:tc>
          <w:tcPr>
            <w:tcW w:w="1418"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180</w:t>
            </w:r>
          </w:p>
        </w:tc>
        <w:tc>
          <w:tcPr>
            <w:tcW w:w="1423"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7.30%</w:t>
            </w:r>
          </w:p>
        </w:tc>
        <w:tc>
          <w:tcPr>
            <w:tcW w:w="1412" w:type="dxa"/>
            <w:tcBorders>
              <w:bottom w:val="single" w:sz="4" w:space="0" w:color="auto"/>
            </w:tcBorders>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(0.20%)</w:t>
            </w:r>
          </w:p>
        </w:tc>
        <w:tc>
          <w:tcPr>
            <w:tcW w:w="1417"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2.78%</w:t>
            </w:r>
          </w:p>
        </w:tc>
        <w:tc>
          <w:tcPr>
            <w:tcW w:w="1134" w:type="dxa"/>
            <w:vMerge/>
            <w:tcBorders>
              <w:bottom w:val="single" w:sz="4" w:space="0" w:color="auto"/>
            </w:tcBorders>
          </w:tcPr>
          <w:p w:rsidR="00AB07CF" w:rsidRPr="00E60EA6" w:rsidRDefault="00AB07CF" w:rsidP="004A446B">
            <w:pPr>
              <w:spacing w:before="0" w:after="0"/>
              <w:jc w:val="right"/>
              <w:rPr>
                <w:rFonts w:cs="Lucida Sans Unicode"/>
                <w:color w:val="000000"/>
                <w:sz w:val="18"/>
                <w:szCs w:val="18"/>
                <w:lang w:eastAsia="en-AU"/>
              </w:rPr>
            </w:pPr>
          </w:p>
        </w:tc>
      </w:tr>
      <w:tr w:rsidR="00AB07CF" w:rsidRPr="00E60EA6" w:rsidTr="004A446B">
        <w:trPr>
          <w:trHeight w:val="20"/>
        </w:trPr>
        <w:tc>
          <w:tcPr>
            <w:tcW w:w="1855"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Moolap</w:t>
            </w:r>
          </w:p>
        </w:tc>
        <w:tc>
          <w:tcPr>
            <w:tcW w:w="1418"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314</w:t>
            </w:r>
          </w:p>
        </w:tc>
        <w:tc>
          <w:tcPr>
            <w:tcW w:w="1423"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7.90%</w:t>
            </w:r>
          </w:p>
        </w:tc>
        <w:tc>
          <w:tcPr>
            <w:tcW w:w="1412" w:type="dxa"/>
            <w:tcBorders>
              <w:top w:val="single" w:sz="4" w:space="0" w:color="auto"/>
              <w:bottom w:val="single" w:sz="4" w:space="0" w:color="auto"/>
            </w:tcBorders>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(0.20%)</w:t>
            </w:r>
          </w:p>
        </w:tc>
        <w:tc>
          <w:tcPr>
            <w:tcW w:w="1417"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2.31%</w:t>
            </w:r>
          </w:p>
        </w:tc>
        <w:tc>
          <w:tcPr>
            <w:tcW w:w="1134" w:type="dxa"/>
            <w:tcBorders>
              <w:top w:val="single" w:sz="4" w:space="0" w:color="auto"/>
              <w:bottom w:val="single" w:sz="4" w:space="0" w:color="auto"/>
            </w:tcBorders>
            <w:vAlign w:val="center"/>
          </w:tcPr>
          <w:p w:rsidR="00AB07CF" w:rsidRPr="00E60EA6" w:rsidRDefault="00AB07CF" w:rsidP="004A446B">
            <w:pPr>
              <w:spacing w:before="0" w:after="0"/>
              <w:jc w:val="center"/>
              <w:rPr>
                <w:rFonts w:cs="Lucida Sans Unicode"/>
                <w:color w:val="000000"/>
                <w:sz w:val="18"/>
                <w:szCs w:val="18"/>
                <w:lang w:eastAsia="en-AU"/>
              </w:rPr>
            </w:pPr>
            <w:r w:rsidRPr="00E60EA6">
              <w:rPr>
                <w:rFonts w:cs="Arial"/>
                <w:color w:val="000000"/>
                <w:sz w:val="18"/>
                <w:szCs w:val="18"/>
                <w:lang w:eastAsia="en-AU"/>
              </w:rPr>
              <w:t>Below Average</w:t>
            </w:r>
          </w:p>
        </w:tc>
      </w:tr>
      <w:tr w:rsidR="00AB07CF" w:rsidRPr="00E60EA6" w:rsidTr="004A446B">
        <w:trPr>
          <w:trHeight w:val="20"/>
        </w:trPr>
        <w:tc>
          <w:tcPr>
            <w:tcW w:w="1855"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rPr>
                <w:rFonts w:cs="Lucida Sans Unicode"/>
                <w:b/>
                <w:bCs/>
                <w:color w:val="000000"/>
                <w:sz w:val="18"/>
                <w:szCs w:val="18"/>
                <w:lang w:eastAsia="en-AU"/>
              </w:rPr>
            </w:pPr>
            <w:r w:rsidRPr="00E60EA6">
              <w:rPr>
                <w:rFonts w:cs="Lucida Sans Unicode"/>
                <w:b/>
                <w:bCs/>
                <w:color w:val="000000"/>
                <w:sz w:val="18"/>
                <w:szCs w:val="18"/>
                <w:lang w:eastAsia="en-AU"/>
              </w:rPr>
              <w:t>Total</w:t>
            </w:r>
          </w:p>
        </w:tc>
        <w:tc>
          <w:tcPr>
            <w:tcW w:w="1418"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1,189</w:t>
            </w:r>
          </w:p>
        </w:tc>
        <w:tc>
          <w:tcPr>
            <w:tcW w:w="1423"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w:t>
            </w:r>
          </w:p>
        </w:tc>
        <w:tc>
          <w:tcPr>
            <w:tcW w:w="1412" w:type="dxa"/>
            <w:tcBorders>
              <w:top w:val="single" w:sz="4" w:space="0" w:color="auto"/>
              <w:bottom w:val="single" w:sz="4" w:space="0" w:color="auto"/>
            </w:tcBorders>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w:t>
            </w:r>
          </w:p>
        </w:tc>
        <w:tc>
          <w:tcPr>
            <w:tcW w:w="1417"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w:t>
            </w:r>
          </w:p>
        </w:tc>
        <w:tc>
          <w:tcPr>
            <w:tcW w:w="1134" w:type="dxa"/>
            <w:tcBorders>
              <w:top w:val="single" w:sz="4" w:space="0" w:color="auto"/>
              <w:bottom w:val="single" w:sz="4" w:space="0" w:color="auto"/>
            </w:tcBorders>
          </w:tcPr>
          <w:p w:rsidR="00AB07CF" w:rsidRPr="00E60EA6" w:rsidRDefault="00AB07CF" w:rsidP="004A446B">
            <w:pPr>
              <w:spacing w:before="0" w:after="0"/>
              <w:jc w:val="right"/>
              <w:rPr>
                <w:rFonts w:cs="Lucida Sans Unicode"/>
                <w:color w:val="000000"/>
                <w:sz w:val="18"/>
                <w:szCs w:val="18"/>
                <w:lang w:eastAsia="en-AU"/>
              </w:rPr>
            </w:pPr>
          </w:p>
        </w:tc>
      </w:tr>
    </w:tbl>
    <w:p w:rsidR="00DC4385" w:rsidRDefault="00DC4385">
      <w:pPr>
        <w:pStyle w:val="BodyText"/>
      </w:pPr>
    </w:p>
    <w:p w:rsidR="00AB07CF" w:rsidRDefault="00AB07CF">
      <w:pPr>
        <w:pStyle w:val="BodyText"/>
        <w:rPr>
          <w:b/>
          <w:sz w:val="24"/>
          <w:szCs w:val="24"/>
          <w:lang w:val="en-US"/>
        </w:rPr>
      </w:pPr>
      <w:r>
        <w:lastRenderedPageBreak/>
        <w:t>A total of 86 properties in Newtown decreased by (0.99%) and 65 properties in Ocean Grove decreased by (6.72%).</w:t>
      </w:r>
    </w:p>
    <w:p w:rsidR="00AB07CF" w:rsidRPr="005C1E6A" w:rsidRDefault="00AB07CF" w:rsidP="00D43F06">
      <w:pPr>
        <w:pStyle w:val="Heading5A"/>
      </w:pPr>
      <w:r>
        <w:t>Vacant</w:t>
      </w:r>
    </w:p>
    <w:p w:rsidR="00AB07CF" w:rsidRDefault="00AB07CF">
      <w:pPr>
        <w:pStyle w:val="BodyText"/>
      </w:pPr>
      <w:r w:rsidRPr="005C1E6A">
        <w:t xml:space="preserve">Overall </w:t>
      </w:r>
      <w:r>
        <w:t>5,004</w:t>
      </w:r>
      <w:r w:rsidRPr="005C1E6A">
        <w:t xml:space="preserve"> </w:t>
      </w:r>
      <w:r>
        <w:t>vacant land</w:t>
      </w:r>
      <w:r w:rsidRPr="005C1E6A">
        <w:t xml:space="preserve"> valuations record</w:t>
      </w:r>
      <w:r>
        <w:t>ed</w:t>
      </w:r>
      <w:r w:rsidRPr="005C1E6A">
        <w:t xml:space="preserve"> an average </w:t>
      </w:r>
      <w:r>
        <w:t>in</w:t>
      </w:r>
      <w:r w:rsidRPr="005C1E6A">
        <w:t xml:space="preserve">crease of </w:t>
      </w:r>
      <w:r>
        <w:t>4.11%</w:t>
      </w:r>
      <w:r w:rsidRPr="005C1E6A">
        <w:t xml:space="preserve"> compared to</w:t>
      </w:r>
      <w:r>
        <w:t xml:space="preserve"> an increase of 14.2%</w:t>
      </w:r>
      <w:r w:rsidRPr="005C1E6A">
        <w:t xml:space="preserve"> in 201</w:t>
      </w:r>
      <w:r>
        <w:t>2</w:t>
      </w:r>
      <w:r w:rsidRPr="005C1E6A">
        <w:t>.</w:t>
      </w:r>
      <w:r>
        <w:t xml:space="preserve"> </w:t>
      </w:r>
    </w:p>
    <w:p w:rsidR="00AB07CF" w:rsidRDefault="00AB07CF">
      <w:pPr>
        <w:pStyle w:val="BodyText"/>
      </w:pPr>
      <w:r>
        <w:t xml:space="preserve">The </w:t>
      </w:r>
      <w:r w:rsidRPr="00B8093A">
        <w:t xml:space="preserve">following table </w:t>
      </w:r>
      <w:r>
        <w:t>provides a comparison of the suburbs with the highest number of properties for the 2010, 2012 and 2014 revaluations.</w:t>
      </w:r>
    </w:p>
    <w:tbl>
      <w:tblPr>
        <w:tblW w:w="8659" w:type="dxa"/>
        <w:tblInd w:w="96" w:type="dxa"/>
        <w:tblLook w:val="04A0" w:firstRow="1" w:lastRow="0" w:firstColumn="1" w:lastColumn="0" w:noHBand="0" w:noVBand="1"/>
      </w:tblPr>
      <w:tblGrid>
        <w:gridCol w:w="1855"/>
        <w:gridCol w:w="1418"/>
        <w:gridCol w:w="1417"/>
        <w:gridCol w:w="1418"/>
        <w:gridCol w:w="1417"/>
        <w:gridCol w:w="1134"/>
      </w:tblGrid>
      <w:tr w:rsidR="00AB07CF" w:rsidRPr="00E60EA6" w:rsidTr="004A446B">
        <w:trPr>
          <w:trHeight w:val="20"/>
        </w:trPr>
        <w:tc>
          <w:tcPr>
            <w:tcW w:w="1855" w:type="dxa"/>
            <w:tcBorders>
              <w:top w:val="single" w:sz="4" w:space="0" w:color="auto"/>
              <w:bottom w:val="single" w:sz="4" w:space="0" w:color="auto"/>
            </w:tcBorders>
            <w:shd w:val="clear" w:color="auto" w:fill="auto"/>
            <w:noWrap/>
            <w:vAlign w:val="bottom"/>
            <w:hideMark/>
          </w:tcPr>
          <w:p w:rsidR="00AB07CF" w:rsidRPr="001A5D13" w:rsidRDefault="00AB07CF" w:rsidP="004A446B">
            <w:pPr>
              <w:spacing w:before="0" w:after="0"/>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val="en-US" w:eastAsia="en-AU"/>
              </w:rPr>
              <w:t>Suburbs</w:t>
            </w:r>
          </w:p>
        </w:tc>
        <w:tc>
          <w:tcPr>
            <w:tcW w:w="1418" w:type="dxa"/>
            <w:tcBorders>
              <w:top w:val="single" w:sz="4" w:space="0" w:color="auto"/>
              <w:bottom w:val="single" w:sz="4" w:space="0" w:color="auto"/>
            </w:tcBorders>
            <w:shd w:val="clear" w:color="auto" w:fill="auto"/>
            <w:vAlign w:val="bottom"/>
            <w:hideMark/>
          </w:tcPr>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val="en-US" w:eastAsia="en-AU"/>
              </w:rPr>
              <w:t>No. of Properties 2014</w:t>
            </w:r>
          </w:p>
        </w:tc>
        <w:tc>
          <w:tcPr>
            <w:tcW w:w="1417" w:type="dxa"/>
            <w:tcBorders>
              <w:top w:val="single" w:sz="4" w:space="0" w:color="auto"/>
              <w:bottom w:val="single" w:sz="4" w:space="0" w:color="auto"/>
            </w:tcBorders>
            <w:shd w:val="clear" w:color="auto" w:fill="auto"/>
            <w:vAlign w:val="bottom"/>
            <w:hideMark/>
          </w:tcPr>
          <w:p w:rsidR="00AB07CF" w:rsidRPr="001A5D13" w:rsidRDefault="00AB07CF" w:rsidP="004A446B">
            <w:pPr>
              <w:spacing w:before="0" w:after="0"/>
              <w:jc w:val="right"/>
              <w:rPr>
                <w:rFonts w:ascii="News Gothic Std" w:hAnsi="News Gothic Std" w:cs="Arial"/>
                <w:bCs/>
                <w:color w:val="0070C0"/>
                <w:sz w:val="18"/>
                <w:szCs w:val="18"/>
                <w:lang w:val="en-US" w:eastAsia="en-AU"/>
              </w:rPr>
            </w:pPr>
            <w:r w:rsidRPr="001A5D13">
              <w:rPr>
                <w:rFonts w:ascii="News Gothic Std" w:hAnsi="News Gothic Std" w:cs="Arial"/>
                <w:bCs/>
                <w:color w:val="0070C0"/>
                <w:sz w:val="18"/>
                <w:szCs w:val="18"/>
                <w:lang w:val="en-US" w:eastAsia="en-AU"/>
              </w:rPr>
              <w:t>2010 Revaluation Increase</w:t>
            </w:r>
          </w:p>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val="en-US" w:eastAsia="en-AU"/>
              </w:rPr>
              <w:t>Av 19.0%</w:t>
            </w:r>
          </w:p>
        </w:tc>
        <w:tc>
          <w:tcPr>
            <w:tcW w:w="1418" w:type="dxa"/>
            <w:tcBorders>
              <w:top w:val="single" w:sz="4" w:space="0" w:color="auto"/>
              <w:bottom w:val="single" w:sz="4" w:space="0" w:color="auto"/>
            </w:tcBorders>
            <w:shd w:val="clear" w:color="auto" w:fill="auto"/>
            <w:vAlign w:val="bottom"/>
            <w:hideMark/>
          </w:tcPr>
          <w:p w:rsidR="00AB07CF" w:rsidRPr="001A5D13" w:rsidRDefault="00AB07CF" w:rsidP="004A446B">
            <w:pPr>
              <w:spacing w:before="0" w:after="0"/>
              <w:jc w:val="right"/>
              <w:rPr>
                <w:rFonts w:ascii="News Gothic Std" w:hAnsi="News Gothic Std" w:cs="Arial"/>
                <w:bCs/>
                <w:color w:val="0070C0"/>
                <w:sz w:val="18"/>
                <w:szCs w:val="18"/>
                <w:lang w:val="en-US" w:eastAsia="en-AU"/>
              </w:rPr>
            </w:pPr>
            <w:r w:rsidRPr="001A5D13">
              <w:rPr>
                <w:rFonts w:ascii="News Gothic Std" w:hAnsi="News Gothic Std" w:cs="Arial"/>
                <w:bCs/>
                <w:color w:val="0070C0"/>
                <w:sz w:val="18"/>
                <w:szCs w:val="18"/>
                <w:lang w:val="en-US" w:eastAsia="en-AU"/>
              </w:rPr>
              <w:t>2012 Revaluation Increase</w:t>
            </w:r>
          </w:p>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val="en-US" w:eastAsia="en-AU"/>
              </w:rPr>
              <w:t>Av 14.2%</w:t>
            </w:r>
          </w:p>
        </w:tc>
        <w:tc>
          <w:tcPr>
            <w:tcW w:w="1417" w:type="dxa"/>
            <w:tcBorders>
              <w:top w:val="single" w:sz="4" w:space="0" w:color="auto"/>
              <w:bottom w:val="single" w:sz="4" w:space="0" w:color="auto"/>
            </w:tcBorders>
            <w:shd w:val="clear" w:color="auto" w:fill="auto"/>
            <w:vAlign w:val="bottom"/>
            <w:hideMark/>
          </w:tcPr>
          <w:p w:rsidR="00AB07CF" w:rsidRPr="001A5D13" w:rsidRDefault="00AB07CF" w:rsidP="004A446B">
            <w:pPr>
              <w:spacing w:before="0" w:after="0"/>
              <w:jc w:val="right"/>
              <w:rPr>
                <w:rFonts w:ascii="News Gothic Std" w:hAnsi="News Gothic Std" w:cs="Arial"/>
                <w:bCs/>
                <w:color w:val="0070C0"/>
                <w:sz w:val="18"/>
                <w:szCs w:val="18"/>
                <w:lang w:val="en-US" w:eastAsia="en-AU"/>
              </w:rPr>
            </w:pPr>
            <w:r w:rsidRPr="001A5D13">
              <w:rPr>
                <w:rFonts w:ascii="News Gothic Std" w:hAnsi="News Gothic Std" w:cs="Arial"/>
                <w:bCs/>
                <w:color w:val="0070C0"/>
                <w:sz w:val="18"/>
                <w:szCs w:val="18"/>
                <w:lang w:val="en-US" w:eastAsia="en-AU"/>
              </w:rPr>
              <w:t>2014 Revaluation Increase</w:t>
            </w:r>
          </w:p>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val="en-US" w:eastAsia="en-AU"/>
              </w:rPr>
              <w:t>Av 4.11%</w:t>
            </w:r>
          </w:p>
        </w:tc>
        <w:tc>
          <w:tcPr>
            <w:tcW w:w="1134" w:type="dxa"/>
            <w:tcBorders>
              <w:top w:val="single" w:sz="4" w:space="0" w:color="auto"/>
              <w:bottom w:val="single" w:sz="4" w:space="0" w:color="auto"/>
            </w:tcBorders>
            <w:shd w:val="clear" w:color="auto" w:fill="auto"/>
            <w:noWrap/>
            <w:vAlign w:val="bottom"/>
            <w:hideMark/>
          </w:tcPr>
          <w:p w:rsidR="00AB07CF" w:rsidRPr="001A5D13" w:rsidRDefault="00AB07CF" w:rsidP="004A446B">
            <w:pPr>
              <w:spacing w:before="0" w:after="0"/>
              <w:rPr>
                <w:rFonts w:ascii="News Gothic Std" w:hAnsi="News Gothic Std" w:cs="Arial"/>
                <w:color w:val="0070C0"/>
                <w:sz w:val="18"/>
                <w:szCs w:val="18"/>
                <w:lang w:eastAsia="en-AU"/>
              </w:rPr>
            </w:pPr>
          </w:p>
        </w:tc>
      </w:tr>
      <w:tr w:rsidR="00AB07CF" w:rsidRPr="00E60EA6" w:rsidTr="004A446B">
        <w:trPr>
          <w:trHeight w:val="20"/>
        </w:trPr>
        <w:tc>
          <w:tcPr>
            <w:tcW w:w="1855" w:type="dxa"/>
            <w:tcBorders>
              <w:top w:val="single" w:sz="4" w:space="0" w:color="auto"/>
            </w:tcBorders>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Portarlington</w:t>
            </w:r>
          </w:p>
        </w:tc>
        <w:tc>
          <w:tcPr>
            <w:tcW w:w="1418"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342</w:t>
            </w:r>
          </w:p>
        </w:tc>
        <w:tc>
          <w:tcPr>
            <w:tcW w:w="1417"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17.63%</w:t>
            </w:r>
          </w:p>
        </w:tc>
        <w:tc>
          <w:tcPr>
            <w:tcW w:w="1418"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21.50%</w:t>
            </w:r>
          </w:p>
        </w:tc>
        <w:tc>
          <w:tcPr>
            <w:tcW w:w="1417"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(5.19%)</w:t>
            </w:r>
          </w:p>
        </w:tc>
        <w:tc>
          <w:tcPr>
            <w:tcW w:w="1134" w:type="dxa"/>
            <w:vMerge w:val="restart"/>
            <w:tcBorders>
              <w:top w:val="single" w:sz="4" w:space="0" w:color="auto"/>
            </w:tcBorders>
            <w:shd w:val="clear" w:color="auto" w:fill="auto"/>
            <w:vAlign w:val="center"/>
            <w:hideMark/>
          </w:tcPr>
          <w:p w:rsidR="00AB07CF" w:rsidRPr="00E60EA6" w:rsidRDefault="00AB07CF" w:rsidP="004A446B">
            <w:pPr>
              <w:spacing w:before="0" w:after="0"/>
              <w:jc w:val="center"/>
              <w:rPr>
                <w:rFonts w:cs="Lucida Sans Unicode"/>
                <w:color w:val="000000"/>
                <w:sz w:val="18"/>
                <w:szCs w:val="18"/>
                <w:lang w:eastAsia="en-AU"/>
              </w:rPr>
            </w:pPr>
            <w:r w:rsidRPr="00E60EA6">
              <w:rPr>
                <w:rFonts w:cs="Lucida Sans Unicode"/>
                <w:color w:val="000000"/>
                <w:sz w:val="18"/>
                <w:szCs w:val="18"/>
                <w:lang w:eastAsia="en-AU"/>
              </w:rPr>
              <w:t>Below Average</w:t>
            </w:r>
          </w:p>
        </w:tc>
      </w:tr>
      <w:tr w:rsidR="00AB07CF" w:rsidRPr="00E60EA6" w:rsidTr="004A446B">
        <w:trPr>
          <w:trHeight w:val="20"/>
        </w:trPr>
        <w:tc>
          <w:tcPr>
            <w:tcW w:w="1855"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Indented Head</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214</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13.62%</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22.10%</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(1.89%)</w:t>
            </w:r>
          </w:p>
        </w:tc>
        <w:tc>
          <w:tcPr>
            <w:tcW w:w="1134" w:type="dxa"/>
            <w:vMerge/>
            <w:shd w:val="clear" w:color="auto" w:fill="auto"/>
            <w:vAlign w:val="center"/>
            <w:hideMark/>
          </w:tcPr>
          <w:p w:rsidR="00AB07CF" w:rsidRPr="00E60EA6" w:rsidRDefault="00AB07CF" w:rsidP="004A446B">
            <w:pPr>
              <w:spacing w:before="0" w:after="0"/>
              <w:jc w:val="center"/>
              <w:rPr>
                <w:rFonts w:cs="Lucida Sans Unicode"/>
                <w:color w:val="000000"/>
                <w:sz w:val="18"/>
                <w:szCs w:val="18"/>
                <w:lang w:eastAsia="en-AU"/>
              </w:rPr>
            </w:pPr>
          </w:p>
        </w:tc>
      </w:tr>
      <w:tr w:rsidR="00AB07CF" w:rsidRPr="00E60EA6" w:rsidTr="004A446B">
        <w:trPr>
          <w:trHeight w:val="20"/>
        </w:trPr>
        <w:tc>
          <w:tcPr>
            <w:tcW w:w="1855"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St Leonards</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343</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15.06%</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23.10%</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0.91%</w:t>
            </w:r>
          </w:p>
        </w:tc>
        <w:tc>
          <w:tcPr>
            <w:tcW w:w="1134" w:type="dxa"/>
            <w:vMerge/>
            <w:shd w:val="clear" w:color="auto" w:fill="auto"/>
            <w:vAlign w:val="center"/>
            <w:hideMark/>
          </w:tcPr>
          <w:p w:rsidR="00AB07CF" w:rsidRPr="00E60EA6" w:rsidRDefault="00AB07CF" w:rsidP="004A446B">
            <w:pPr>
              <w:spacing w:before="0" w:after="0"/>
              <w:jc w:val="center"/>
              <w:rPr>
                <w:rFonts w:cs="Lucida Sans Unicode"/>
                <w:color w:val="000000"/>
                <w:sz w:val="18"/>
                <w:szCs w:val="18"/>
                <w:lang w:eastAsia="en-AU"/>
              </w:rPr>
            </w:pPr>
          </w:p>
        </w:tc>
      </w:tr>
      <w:tr w:rsidR="00AB07CF" w:rsidRPr="00E60EA6" w:rsidTr="004A446B">
        <w:trPr>
          <w:trHeight w:val="20"/>
        </w:trPr>
        <w:tc>
          <w:tcPr>
            <w:tcW w:w="1855"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Clifton Springs</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306</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23.02%</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14.80%</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1.08%</w:t>
            </w:r>
          </w:p>
        </w:tc>
        <w:tc>
          <w:tcPr>
            <w:tcW w:w="1134" w:type="dxa"/>
            <w:vMerge/>
            <w:shd w:val="clear" w:color="auto" w:fill="auto"/>
            <w:vAlign w:val="center"/>
            <w:hideMark/>
          </w:tcPr>
          <w:p w:rsidR="00AB07CF" w:rsidRPr="00E60EA6" w:rsidRDefault="00AB07CF" w:rsidP="004A446B">
            <w:pPr>
              <w:spacing w:before="0" w:after="0"/>
              <w:jc w:val="center"/>
              <w:rPr>
                <w:rFonts w:cs="Lucida Sans Unicode"/>
                <w:color w:val="000000"/>
                <w:sz w:val="18"/>
                <w:szCs w:val="18"/>
                <w:lang w:eastAsia="en-AU"/>
              </w:rPr>
            </w:pPr>
          </w:p>
        </w:tc>
      </w:tr>
      <w:tr w:rsidR="00AB07CF" w:rsidRPr="00E60EA6" w:rsidTr="004A446B">
        <w:trPr>
          <w:trHeight w:val="20"/>
        </w:trPr>
        <w:tc>
          <w:tcPr>
            <w:tcW w:w="1855" w:type="dxa"/>
            <w:tcBorders>
              <w:bottom w:val="single" w:sz="4" w:space="0" w:color="auto"/>
            </w:tcBorders>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Ocean Grove</w:t>
            </w:r>
          </w:p>
        </w:tc>
        <w:tc>
          <w:tcPr>
            <w:tcW w:w="1418"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372</w:t>
            </w:r>
          </w:p>
        </w:tc>
        <w:tc>
          <w:tcPr>
            <w:tcW w:w="1417"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29.62%</w:t>
            </w:r>
          </w:p>
        </w:tc>
        <w:tc>
          <w:tcPr>
            <w:tcW w:w="1418"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10.80%</w:t>
            </w:r>
          </w:p>
        </w:tc>
        <w:tc>
          <w:tcPr>
            <w:tcW w:w="1417"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1.45%</w:t>
            </w:r>
          </w:p>
        </w:tc>
        <w:tc>
          <w:tcPr>
            <w:tcW w:w="1134" w:type="dxa"/>
            <w:vMerge/>
            <w:tcBorders>
              <w:bottom w:val="single" w:sz="4" w:space="0" w:color="auto"/>
            </w:tcBorders>
            <w:shd w:val="clear" w:color="auto" w:fill="auto"/>
            <w:vAlign w:val="center"/>
            <w:hideMark/>
          </w:tcPr>
          <w:p w:rsidR="00AB07CF" w:rsidRPr="00E60EA6" w:rsidRDefault="00AB07CF" w:rsidP="004A446B">
            <w:pPr>
              <w:spacing w:before="0" w:after="0"/>
              <w:jc w:val="center"/>
              <w:rPr>
                <w:rFonts w:cs="Lucida Sans Unicode"/>
                <w:color w:val="000000"/>
                <w:sz w:val="18"/>
                <w:szCs w:val="18"/>
                <w:lang w:eastAsia="en-AU"/>
              </w:rPr>
            </w:pPr>
          </w:p>
        </w:tc>
      </w:tr>
      <w:tr w:rsidR="00AB07CF" w:rsidRPr="00E60EA6" w:rsidTr="004A446B">
        <w:trPr>
          <w:trHeight w:val="20"/>
        </w:trPr>
        <w:tc>
          <w:tcPr>
            <w:tcW w:w="1855" w:type="dxa"/>
            <w:tcBorders>
              <w:top w:val="single" w:sz="4" w:space="0" w:color="auto"/>
            </w:tcBorders>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Leopold</w:t>
            </w:r>
          </w:p>
        </w:tc>
        <w:tc>
          <w:tcPr>
            <w:tcW w:w="1418"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272</w:t>
            </w:r>
          </w:p>
        </w:tc>
        <w:tc>
          <w:tcPr>
            <w:tcW w:w="1417"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13.49%</w:t>
            </w:r>
          </w:p>
        </w:tc>
        <w:tc>
          <w:tcPr>
            <w:tcW w:w="1418"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13.30%</w:t>
            </w:r>
          </w:p>
        </w:tc>
        <w:tc>
          <w:tcPr>
            <w:tcW w:w="1417" w:type="dxa"/>
            <w:tcBorders>
              <w:top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6.30%</w:t>
            </w:r>
          </w:p>
        </w:tc>
        <w:tc>
          <w:tcPr>
            <w:tcW w:w="1134" w:type="dxa"/>
            <w:vMerge w:val="restart"/>
            <w:tcBorders>
              <w:top w:val="single" w:sz="4" w:space="0" w:color="auto"/>
            </w:tcBorders>
            <w:shd w:val="clear" w:color="auto" w:fill="auto"/>
            <w:vAlign w:val="center"/>
            <w:hideMark/>
          </w:tcPr>
          <w:p w:rsidR="00AB07CF" w:rsidRPr="00E60EA6" w:rsidRDefault="00AB07CF" w:rsidP="004A446B">
            <w:pPr>
              <w:spacing w:before="0" w:after="0"/>
              <w:jc w:val="center"/>
              <w:rPr>
                <w:rFonts w:cs="Lucida Sans Unicode"/>
                <w:color w:val="000000"/>
                <w:sz w:val="18"/>
                <w:szCs w:val="18"/>
                <w:lang w:eastAsia="en-AU"/>
              </w:rPr>
            </w:pPr>
            <w:r w:rsidRPr="00E60EA6">
              <w:rPr>
                <w:rFonts w:cs="Lucida Sans Unicode"/>
                <w:color w:val="000000"/>
                <w:sz w:val="18"/>
                <w:szCs w:val="18"/>
                <w:lang w:eastAsia="en-AU"/>
              </w:rPr>
              <w:t>Above Average</w:t>
            </w:r>
          </w:p>
        </w:tc>
      </w:tr>
      <w:tr w:rsidR="00AB07CF" w:rsidRPr="00E60EA6" w:rsidTr="004A446B">
        <w:trPr>
          <w:trHeight w:val="20"/>
        </w:trPr>
        <w:tc>
          <w:tcPr>
            <w:tcW w:w="1855"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North Geelong</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249</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35.78%</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7.40%</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8.52%</w:t>
            </w:r>
          </w:p>
        </w:tc>
        <w:tc>
          <w:tcPr>
            <w:tcW w:w="1134" w:type="dxa"/>
            <w:vMerge/>
            <w:shd w:val="clear" w:color="auto" w:fill="auto"/>
            <w:vAlign w:val="center"/>
            <w:hideMark/>
          </w:tcPr>
          <w:p w:rsidR="00AB07CF" w:rsidRPr="00E60EA6" w:rsidRDefault="00AB07CF" w:rsidP="004A446B">
            <w:pPr>
              <w:spacing w:before="0" w:after="0"/>
              <w:rPr>
                <w:rFonts w:cs="Lucida Sans Unicode"/>
                <w:color w:val="000000"/>
                <w:sz w:val="18"/>
                <w:szCs w:val="18"/>
                <w:lang w:eastAsia="en-AU"/>
              </w:rPr>
            </w:pPr>
          </w:p>
        </w:tc>
      </w:tr>
      <w:tr w:rsidR="00AB07CF" w:rsidRPr="00E60EA6" w:rsidTr="004A446B">
        <w:trPr>
          <w:trHeight w:val="20"/>
        </w:trPr>
        <w:tc>
          <w:tcPr>
            <w:tcW w:w="1855"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Highton</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434</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8.00%</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13.70%</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11.22%</w:t>
            </w:r>
          </w:p>
        </w:tc>
        <w:tc>
          <w:tcPr>
            <w:tcW w:w="1134" w:type="dxa"/>
            <w:vMerge/>
            <w:shd w:val="clear" w:color="auto" w:fill="auto"/>
            <w:vAlign w:val="center"/>
            <w:hideMark/>
          </w:tcPr>
          <w:p w:rsidR="00AB07CF" w:rsidRPr="00E60EA6" w:rsidRDefault="00AB07CF" w:rsidP="004A446B">
            <w:pPr>
              <w:spacing w:before="0" w:after="0"/>
              <w:rPr>
                <w:rFonts w:cs="Lucida Sans Unicode"/>
                <w:color w:val="000000"/>
                <w:sz w:val="18"/>
                <w:szCs w:val="18"/>
                <w:lang w:eastAsia="en-AU"/>
              </w:rPr>
            </w:pPr>
          </w:p>
        </w:tc>
      </w:tr>
      <w:tr w:rsidR="00AB07CF" w:rsidRPr="00E60EA6" w:rsidTr="004A446B">
        <w:trPr>
          <w:trHeight w:val="20"/>
        </w:trPr>
        <w:tc>
          <w:tcPr>
            <w:tcW w:w="1855" w:type="dxa"/>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Armstrong Creek</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221</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New suburb</w:t>
            </w:r>
          </w:p>
        </w:tc>
        <w:tc>
          <w:tcPr>
            <w:tcW w:w="1418"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59.20%</w:t>
            </w:r>
          </w:p>
        </w:tc>
        <w:tc>
          <w:tcPr>
            <w:tcW w:w="1417" w:type="dxa"/>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14.97%</w:t>
            </w:r>
          </w:p>
        </w:tc>
        <w:tc>
          <w:tcPr>
            <w:tcW w:w="1134" w:type="dxa"/>
            <w:vMerge/>
            <w:shd w:val="clear" w:color="auto" w:fill="auto"/>
            <w:vAlign w:val="center"/>
            <w:hideMark/>
          </w:tcPr>
          <w:p w:rsidR="00AB07CF" w:rsidRPr="00E60EA6" w:rsidRDefault="00AB07CF" w:rsidP="004A446B">
            <w:pPr>
              <w:spacing w:before="0" w:after="0"/>
              <w:rPr>
                <w:rFonts w:cs="Lucida Sans Unicode"/>
                <w:color w:val="000000"/>
                <w:sz w:val="18"/>
                <w:szCs w:val="18"/>
                <w:lang w:eastAsia="en-AU"/>
              </w:rPr>
            </w:pPr>
          </w:p>
        </w:tc>
      </w:tr>
      <w:tr w:rsidR="00AB07CF" w:rsidRPr="00E60EA6" w:rsidTr="004A446B">
        <w:trPr>
          <w:trHeight w:val="20"/>
        </w:trPr>
        <w:tc>
          <w:tcPr>
            <w:tcW w:w="1855" w:type="dxa"/>
            <w:tcBorders>
              <w:bottom w:val="single" w:sz="4" w:space="0" w:color="auto"/>
            </w:tcBorders>
            <w:shd w:val="clear" w:color="auto" w:fill="auto"/>
            <w:noWrap/>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Corio</w:t>
            </w:r>
          </w:p>
        </w:tc>
        <w:tc>
          <w:tcPr>
            <w:tcW w:w="1418"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278</w:t>
            </w:r>
          </w:p>
        </w:tc>
        <w:tc>
          <w:tcPr>
            <w:tcW w:w="1417"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20.85%</w:t>
            </w:r>
          </w:p>
        </w:tc>
        <w:tc>
          <w:tcPr>
            <w:tcW w:w="1418"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0.20%</w:t>
            </w:r>
          </w:p>
        </w:tc>
        <w:tc>
          <w:tcPr>
            <w:tcW w:w="1417" w:type="dxa"/>
            <w:tcBorders>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15.29%</w:t>
            </w:r>
          </w:p>
        </w:tc>
        <w:tc>
          <w:tcPr>
            <w:tcW w:w="1134" w:type="dxa"/>
            <w:vMerge/>
            <w:tcBorders>
              <w:bottom w:val="single" w:sz="4" w:space="0" w:color="auto"/>
            </w:tcBorders>
            <w:shd w:val="clear" w:color="auto" w:fill="auto"/>
            <w:vAlign w:val="center"/>
            <w:hideMark/>
          </w:tcPr>
          <w:p w:rsidR="00AB07CF" w:rsidRPr="00E60EA6" w:rsidRDefault="00AB07CF" w:rsidP="004A446B">
            <w:pPr>
              <w:spacing w:before="0" w:after="0"/>
              <w:rPr>
                <w:rFonts w:cs="Lucida Sans Unicode"/>
                <w:color w:val="000000"/>
                <w:sz w:val="18"/>
                <w:szCs w:val="18"/>
                <w:lang w:eastAsia="en-AU"/>
              </w:rPr>
            </w:pPr>
          </w:p>
        </w:tc>
      </w:tr>
      <w:tr w:rsidR="00AB07CF" w:rsidRPr="00E60EA6" w:rsidTr="004A446B">
        <w:trPr>
          <w:trHeight w:val="20"/>
        </w:trPr>
        <w:tc>
          <w:tcPr>
            <w:tcW w:w="1855"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rPr>
                <w:rFonts w:cs="Lucida Sans Unicode"/>
                <w:b/>
                <w:bCs/>
                <w:color w:val="000000"/>
                <w:sz w:val="18"/>
                <w:szCs w:val="18"/>
                <w:lang w:eastAsia="en-AU"/>
              </w:rPr>
            </w:pPr>
            <w:r w:rsidRPr="00E60EA6">
              <w:rPr>
                <w:rFonts w:cs="Lucida Sans Unicode"/>
                <w:b/>
                <w:bCs/>
                <w:color w:val="000000"/>
                <w:sz w:val="18"/>
                <w:szCs w:val="18"/>
                <w:lang w:eastAsia="en-AU"/>
              </w:rPr>
              <w:t>Total</w:t>
            </w:r>
          </w:p>
        </w:tc>
        <w:tc>
          <w:tcPr>
            <w:tcW w:w="1418"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3,031</w:t>
            </w:r>
          </w:p>
        </w:tc>
        <w:tc>
          <w:tcPr>
            <w:tcW w:w="1417"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w:t>
            </w:r>
          </w:p>
        </w:tc>
        <w:tc>
          <w:tcPr>
            <w:tcW w:w="1418"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w:t>
            </w:r>
          </w:p>
        </w:tc>
        <w:tc>
          <w:tcPr>
            <w:tcW w:w="1417" w:type="dxa"/>
            <w:tcBorders>
              <w:top w:val="single" w:sz="4" w:space="0" w:color="auto"/>
              <w:bottom w:val="single" w:sz="4" w:space="0" w:color="auto"/>
            </w:tcBorders>
            <w:shd w:val="clear" w:color="auto" w:fill="auto"/>
            <w:noWrap/>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w:t>
            </w:r>
          </w:p>
        </w:tc>
        <w:tc>
          <w:tcPr>
            <w:tcW w:w="1134" w:type="dxa"/>
            <w:tcBorders>
              <w:top w:val="single" w:sz="4" w:space="0" w:color="auto"/>
              <w:bottom w:val="single" w:sz="4" w:space="0" w:color="auto"/>
            </w:tcBorders>
            <w:shd w:val="clear" w:color="auto" w:fill="auto"/>
            <w:noWrap/>
            <w:vAlign w:val="bottom"/>
            <w:hideMark/>
          </w:tcPr>
          <w:p w:rsidR="00AB07CF" w:rsidRPr="00E60EA6" w:rsidRDefault="00AB07CF" w:rsidP="004A446B">
            <w:pPr>
              <w:spacing w:before="0" w:after="0"/>
              <w:rPr>
                <w:rFonts w:cs="Lucida Sans Unicode"/>
                <w:color w:val="000000"/>
                <w:sz w:val="18"/>
                <w:szCs w:val="18"/>
                <w:lang w:eastAsia="en-AU"/>
              </w:rPr>
            </w:pPr>
          </w:p>
        </w:tc>
      </w:tr>
    </w:tbl>
    <w:p w:rsidR="00AB07CF" w:rsidRDefault="00AB07CF">
      <w:pPr>
        <w:pStyle w:val="BodyText"/>
      </w:pPr>
      <w:r>
        <w:t>A total of 103 properties at Drysdale increased by 0.43%, 135 properties in Newtown increased by 1.11% and 53 properties at Connewarre decreased by (9.01%).</w:t>
      </w:r>
    </w:p>
    <w:p w:rsidR="00AB07CF" w:rsidRPr="005C1E6A" w:rsidRDefault="00AB07CF" w:rsidP="00D43F06">
      <w:pPr>
        <w:pStyle w:val="Heading5A"/>
      </w:pPr>
      <w:r>
        <w:t>Mixed Use</w:t>
      </w:r>
    </w:p>
    <w:p w:rsidR="004A446B" w:rsidRDefault="00AB07CF">
      <w:pPr>
        <w:pStyle w:val="BodyText"/>
      </w:pPr>
      <w:r w:rsidRPr="005C1E6A">
        <w:t xml:space="preserve">Overall </w:t>
      </w:r>
      <w:r>
        <w:t>255</w:t>
      </w:r>
      <w:r w:rsidRPr="005C1E6A">
        <w:t xml:space="preserve"> </w:t>
      </w:r>
      <w:r>
        <w:t>mixed use land</w:t>
      </w:r>
      <w:r w:rsidRPr="005C1E6A">
        <w:t xml:space="preserve"> valuations record</w:t>
      </w:r>
      <w:r>
        <w:t>ed</w:t>
      </w:r>
      <w:r w:rsidRPr="005C1E6A">
        <w:t xml:space="preserve"> an average </w:t>
      </w:r>
      <w:r>
        <w:t>in</w:t>
      </w:r>
      <w:r w:rsidRPr="005C1E6A">
        <w:t xml:space="preserve">crease of </w:t>
      </w:r>
      <w:r>
        <w:t>3.76%</w:t>
      </w:r>
      <w:r w:rsidRPr="005C1E6A">
        <w:t xml:space="preserve"> compared to</w:t>
      </w:r>
      <w:r>
        <w:t xml:space="preserve"> an increase of 0.8%</w:t>
      </w:r>
      <w:r w:rsidRPr="005C1E6A">
        <w:t xml:space="preserve"> in 201</w:t>
      </w:r>
      <w:r>
        <w:t>2</w:t>
      </w:r>
      <w:r w:rsidRPr="005C1E6A">
        <w:t>.</w:t>
      </w:r>
      <w:r>
        <w:t xml:space="preserve"> The </w:t>
      </w:r>
      <w:r w:rsidRPr="00B8093A">
        <w:t xml:space="preserve">following table </w:t>
      </w:r>
      <w:r>
        <w:t>provides a comparison of the suburbs with the highest number of properties for the 2010, 2012 and 2014 revaluations.</w:t>
      </w:r>
    </w:p>
    <w:tbl>
      <w:tblPr>
        <w:tblW w:w="8659" w:type="dxa"/>
        <w:tblInd w:w="96" w:type="dxa"/>
        <w:tblLayout w:type="fixed"/>
        <w:tblLook w:val="04A0" w:firstRow="1" w:lastRow="0" w:firstColumn="1" w:lastColumn="0" w:noHBand="0" w:noVBand="1"/>
      </w:tblPr>
      <w:tblGrid>
        <w:gridCol w:w="1855"/>
        <w:gridCol w:w="1418"/>
        <w:gridCol w:w="1417"/>
        <w:gridCol w:w="1418"/>
        <w:gridCol w:w="1417"/>
        <w:gridCol w:w="1134"/>
      </w:tblGrid>
      <w:tr w:rsidR="00AB07CF" w:rsidRPr="00E60EA6" w:rsidTr="004A446B">
        <w:trPr>
          <w:trHeight w:val="20"/>
        </w:trPr>
        <w:tc>
          <w:tcPr>
            <w:tcW w:w="1855" w:type="dxa"/>
            <w:tcBorders>
              <w:top w:val="single" w:sz="4" w:space="0" w:color="auto"/>
              <w:bottom w:val="single" w:sz="4" w:space="0" w:color="auto"/>
            </w:tcBorders>
            <w:shd w:val="clear" w:color="auto" w:fill="auto"/>
            <w:noWrap/>
            <w:vAlign w:val="bottom"/>
            <w:hideMark/>
          </w:tcPr>
          <w:p w:rsidR="00AB07CF" w:rsidRPr="001A5D13" w:rsidRDefault="00AB07CF" w:rsidP="004A446B">
            <w:pPr>
              <w:spacing w:before="0" w:after="0"/>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Suburbs</w:t>
            </w:r>
          </w:p>
        </w:tc>
        <w:tc>
          <w:tcPr>
            <w:tcW w:w="1418" w:type="dxa"/>
            <w:tcBorders>
              <w:top w:val="single" w:sz="4" w:space="0" w:color="auto"/>
              <w:bottom w:val="single" w:sz="4" w:space="0" w:color="auto"/>
            </w:tcBorders>
            <w:shd w:val="clear" w:color="auto" w:fill="auto"/>
            <w:vAlign w:val="bottom"/>
            <w:hideMark/>
          </w:tcPr>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No. of Properties 2014</w:t>
            </w:r>
          </w:p>
        </w:tc>
        <w:tc>
          <w:tcPr>
            <w:tcW w:w="1417" w:type="dxa"/>
            <w:tcBorders>
              <w:top w:val="single" w:sz="4" w:space="0" w:color="auto"/>
              <w:bottom w:val="single" w:sz="4" w:space="0" w:color="auto"/>
            </w:tcBorders>
            <w:shd w:val="clear" w:color="auto" w:fill="auto"/>
            <w:vAlign w:val="bottom"/>
            <w:hideMark/>
          </w:tcPr>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2010 Revaluation Increase</w:t>
            </w:r>
          </w:p>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Av 9.1%</w:t>
            </w:r>
          </w:p>
        </w:tc>
        <w:tc>
          <w:tcPr>
            <w:tcW w:w="1418" w:type="dxa"/>
            <w:tcBorders>
              <w:top w:val="single" w:sz="4" w:space="0" w:color="auto"/>
              <w:bottom w:val="single" w:sz="4" w:space="0" w:color="auto"/>
            </w:tcBorders>
            <w:shd w:val="clear" w:color="auto" w:fill="auto"/>
            <w:vAlign w:val="bottom"/>
            <w:hideMark/>
          </w:tcPr>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2012 Revaluation Increase</w:t>
            </w:r>
          </w:p>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Av 0.8%</w:t>
            </w:r>
          </w:p>
        </w:tc>
        <w:tc>
          <w:tcPr>
            <w:tcW w:w="1417" w:type="dxa"/>
            <w:tcBorders>
              <w:top w:val="single" w:sz="4" w:space="0" w:color="auto"/>
              <w:bottom w:val="single" w:sz="4" w:space="0" w:color="auto"/>
            </w:tcBorders>
            <w:shd w:val="clear" w:color="auto" w:fill="auto"/>
            <w:vAlign w:val="bottom"/>
            <w:hideMark/>
          </w:tcPr>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2014 Revaluation Increase</w:t>
            </w:r>
          </w:p>
          <w:p w:rsidR="00AB07CF" w:rsidRPr="001A5D13" w:rsidRDefault="00AB07CF" w:rsidP="004A446B">
            <w:pPr>
              <w:spacing w:before="0" w:after="0"/>
              <w:jc w:val="right"/>
              <w:rPr>
                <w:rFonts w:ascii="News Gothic Std" w:hAnsi="News Gothic Std" w:cs="Arial"/>
                <w:bCs/>
                <w:color w:val="0070C0"/>
                <w:sz w:val="18"/>
                <w:szCs w:val="18"/>
                <w:lang w:eastAsia="en-AU"/>
              </w:rPr>
            </w:pPr>
            <w:r w:rsidRPr="001A5D13">
              <w:rPr>
                <w:rFonts w:ascii="News Gothic Std" w:hAnsi="News Gothic Std" w:cs="Arial"/>
                <w:bCs/>
                <w:color w:val="0070C0"/>
                <w:sz w:val="18"/>
                <w:szCs w:val="18"/>
                <w:lang w:eastAsia="en-AU"/>
              </w:rPr>
              <w:t>Av 3.76%</w:t>
            </w:r>
          </w:p>
        </w:tc>
        <w:tc>
          <w:tcPr>
            <w:tcW w:w="1134" w:type="dxa"/>
            <w:tcBorders>
              <w:top w:val="single" w:sz="4" w:space="0" w:color="auto"/>
              <w:bottom w:val="single" w:sz="4" w:space="0" w:color="auto"/>
            </w:tcBorders>
            <w:shd w:val="clear" w:color="auto" w:fill="auto"/>
            <w:noWrap/>
            <w:vAlign w:val="bottom"/>
            <w:hideMark/>
          </w:tcPr>
          <w:p w:rsidR="00AB07CF" w:rsidRPr="001A5D13" w:rsidRDefault="00AB07CF" w:rsidP="004A446B">
            <w:pPr>
              <w:spacing w:before="0" w:after="0"/>
              <w:rPr>
                <w:rFonts w:ascii="News Gothic Std" w:hAnsi="News Gothic Std" w:cs="Arial"/>
                <w:color w:val="0070C0"/>
                <w:sz w:val="18"/>
                <w:szCs w:val="18"/>
                <w:lang w:eastAsia="en-AU"/>
              </w:rPr>
            </w:pPr>
          </w:p>
        </w:tc>
      </w:tr>
      <w:tr w:rsidR="00AB07CF" w:rsidRPr="00E60EA6" w:rsidTr="004A446B">
        <w:trPr>
          <w:trHeight w:val="20"/>
        </w:trPr>
        <w:tc>
          <w:tcPr>
            <w:tcW w:w="1855" w:type="dxa"/>
            <w:tcBorders>
              <w:top w:val="single" w:sz="4" w:space="0" w:color="auto"/>
            </w:tcBorders>
            <w:shd w:val="clear" w:color="auto" w:fill="auto"/>
            <w:noWrap/>
            <w:vAlign w:val="bottom"/>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Barwon Heads</w:t>
            </w:r>
          </w:p>
        </w:tc>
        <w:tc>
          <w:tcPr>
            <w:tcW w:w="1418" w:type="dxa"/>
            <w:tcBorders>
              <w:top w:val="single" w:sz="4" w:space="0" w:color="auto"/>
            </w:tcBorders>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11</w:t>
            </w:r>
          </w:p>
        </w:tc>
        <w:tc>
          <w:tcPr>
            <w:tcW w:w="1417" w:type="dxa"/>
            <w:tcBorders>
              <w:top w:val="single" w:sz="4" w:space="0" w:color="auto"/>
            </w:tcBorders>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31.88%</w:t>
            </w:r>
          </w:p>
        </w:tc>
        <w:tc>
          <w:tcPr>
            <w:tcW w:w="1418" w:type="dxa"/>
            <w:tcBorders>
              <w:top w:val="single" w:sz="4" w:space="0" w:color="auto"/>
            </w:tcBorders>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8.90%</w:t>
            </w:r>
          </w:p>
        </w:tc>
        <w:tc>
          <w:tcPr>
            <w:tcW w:w="1417" w:type="dxa"/>
            <w:tcBorders>
              <w:top w:val="single" w:sz="4" w:space="0" w:color="auto"/>
            </w:tcBorders>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17.84%</w:t>
            </w:r>
          </w:p>
        </w:tc>
        <w:tc>
          <w:tcPr>
            <w:tcW w:w="1134" w:type="dxa"/>
            <w:vMerge w:val="restart"/>
            <w:tcBorders>
              <w:top w:val="single" w:sz="4" w:space="0" w:color="auto"/>
            </w:tcBorders>
            <w:shd w:val="clear" w:color="auto" w:fill="auto"/>
            <w:vAlign w:val="center"/>
            <w:hideMark/>
          </w:tcPr>
          <w:p w:rsidR="00AB07CF" w:rsidRPr="00E60EA6" w:rsidRDefault="00AB07CF" w:rsidP="004A446B">
            <w:pPr>
              <w:spacing w:before="0" w:after="0"/>
              <w:jc w:val="center"/>
              <w:rPr>
                <w:rFonts w:cs="Arial"/>
                <w:color w:val="000000"/>
                <w:sz w:val="18"/>
                <w:szCs w:val="18"/>
                <w:lang w:eastAsia="en-AU"/>
              </w:rPr>
            </w:pPr>
            <w:r w:rsidRPr="00E60EA6">
              <w:rPr>
                <w:rFonts w:cs="Arial"/>
                <w:color w:val="000000"/>
                <w:sz w:val="18"/>
                <w:szCs w:val="18"/>
                <w:lang w:eastAsia="en-AU"/>
              </w:rPr>
              <w:t>Above Average</w:t>
            </w:r>
          </w:p>
        </w:tc>
      </w:tr>
      <w:tr w:rsidR="00AB07CF" w:rsidRPr="00E60EA6" w:rsidTr="004A446B">
        <w:trPr>
          <w:trHeight w:val="20"/>
        </w:trPr>
        <w:tc>
          <w:tcPr>
            <w:tcW w:w="1855" w:type="dxa"/>
            <w:shd w:val="clear" w:color="auto" w:fill="auto"/>
            <w:noWrap/>
            <w:vAlign w:val="bottom"/>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Belmont</w:t>
            </w:r>
          </w:p>
        </w:tc>
        <w:tc>
          <w:tcPr>
            <w:tcW w:w="1418"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16</w:t>
            </w:r>
          </w:p>
        </w:tc>
        <w:tc>
          <w:tcPr>
            <w:tcW w:w="1417"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13.37%</w:t>
            </w:r>
          </w:p>
        </w:tc>
        <w:tc>
          <w:tcPr>
            <w:tcW w:w="1418"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0.10%</w:t>
            </w:r>
          </w:p>
        </w:tc>
        <w:tc>
          <w:tcPr>
            <w:tcW w:w="1417"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9.48%</w:t>
            </w:r>
          </w:p>
        </w:tc>
        <w:tc>
          <w:tcPr>
            <w:tcW w:w="1134" w:type="dxa"/>
            <w:vMerge/>
            <w:shd w:val="clear" w:color="auto" w:fill="auto"/>
            <w:vAlign w:val="center"/>
            <w:hideMark/>
          </w:tcPr>
          <w:p w:rsidR="00AB07CF" w:rsidRPr="00E60EA6" w:rsidRDefault="00AB07CF" w:rsidP="004A446B">
            <w:pPr>
              <w:spacing w:before="0" w:after="0"/>
              <w:jc w:val="center"/>
              <w:rPr>
                <w:rFonts w:cs="Arial"/>
                <w:color w:val="000000"/>
                <w:sz w:val="18"/>
                <w:szCs w:val="18"/>
                <w:lang w:eastAsia="en-AU"/>
              </w:rPr>
            </w:pPr>
          </w:p>
        </w:tc>
      </w:tr>
      <w:tr w:rsidR="00AB07CF" w:rsidRPr="00E60EA6" w:rsidTr="004A446B">
        <w:trPr>
          <w:trHeight w:val="20"/>
        </w:trPr>
        <w:tc>
          <w:tcPr>
            <w:tcW w:w="1855" w:type="dxa"/>
            <w:shd w:val="clear" w:color="auto" w:fill="auto"/>
            <w:noWrap/>
            <w:vAlign w:val="bottom"/>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Geelong West</w:t>
            </w:r>
          </w:p>
        </w:tc>
        <w:tc>
          <w:tcPr>
            <w:tcW w:w="1418"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20</w:t>
            </w:r>
          </w:p>
        </w:tc>
        <w:tc>
          <w:tcPr>
            <w:tcW w:w="1417"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5.84%</w:t>
            </w:r>
          </w:p>
        </w:tc>
        <w:tc>
          <w:tcPr>
            <w:tcW w:w="1418"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0.30%</w:t>
            </w:r>
          </w:p>
        </w:tc>
        <w:tc>
          <w:tcPr>
            <w:tcW w:w="1417"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6.69%</w:t>
            </w:r>
          </w:p>
        </w:tc>
        <w:tc>
          <w:tcPr>
            <w:tcW w:w="1134" w:type="dxa"/>
            <w:vMerge/>
            <w:shd w:val="clear" w:color="auto" w:fill="auto"/>
            <w:vAlign w:val="center"/>
            <w:hideMark/>
          </w:tcPr>
          <w:p w:rsidR="00AB07CF" w:rsidRPr="00E60EA6" w:rsidRDefault="00AB07CF" w:rsidP="004A446B">
            <w:pPr>
              <w:spacing w:before="0" w:after="0"/>
              <w:jc w:val="center"/>
              <w:rPr>
                <w:rFonts w:cs="Arial"/>
                <w:color w:val="000000"/>
                <w:sz w:val="18"/>
                <w:szCs w:val="18"/>
                <w:lang w:eastAsia="en-AU"/>
              </w:rPr>
            </w:pPr>
          </w:p>
        </w:tc>
      </w:tr>
      <w:tr w:rsidR="00AB07CF" w:rsidRPr="00E60EA6" w:rsidTr="004A446B">
        <w:trPr>
          <w:trHeight w:val="20"/>
        </w:trPr>
        <w:tc>
          <w:tcPr>
            <w:tcW w:w="1855" w:type="dxa"/>
            <w:shd w:val="clear" w:color="auto" w:fill="auto"/>
            <w:noWrap/>
            <w:vAlign w:val="bottom"/>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 xml:space="preserve">Geelong   </w:t>
            </w:r>
          </w:p>
        </w:tc>
        <w:tc>
          <w:tcPr>
            <w:tcW w:w="1418"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25</w:t>
            </w:r>
          </w:p>
        </w:tc>
        <w:tc>
          <w:tcPr>
            <w:tcW w:w="1417"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6.76%</w:t>
            </w:r>
          </w:p>
        </w:tc>
        <w:tc>
          <w:tcPr>
            <w:tcW w:w="1418"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7.60%</w:t>
            </w:r>
          </w:p>
        </w:tc>
        <w:tc>
          <w:tcPr>
            <w:tcW w:w="1417"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4.86%</w:t>
            </w:r>
          </w:p>
        </w:tc>
        <w:tc>
          <w:tcPr>
            <w:tcW w:w="1134" w:type="dxa"/>
            <w:vMerge/>
            <w:shd w:val="clear" w:color="auto" w:fill="auto"/>
            <w:vAlign w:val="center"/>
            <w:hideMark/>
          </w:tcPr>
          <w:p w:rsidR="00AB07CF" w:rsidRPr="00E60EA6" w:rsidRDefault="00AB07CF" w:rsidP="004A446B">
            <w:pPr>
              <w:spacing w:before="0" w:after="0"/>
              <w:jc w:val="center"/>
              <w:rPr>
                <w:rFonts w:cs="Arial"/>
                <w:color w:val="000000"/>
                <w:sz w:val="18"/>
                <w:szCs w:val="18"/>
                <w:lang w:eastAsia="en-AU"/>
              </w:rPr>
            </w:pPr>
          </w:p>
        </w:tc>
      </w:tr>
      <w:tr w:rsidR="00AB07CF" w:rsidRPr="00E60EA6" w:rsidTr="004A446B">
        <w:trPr>
          <w:trHeight w:val="20"/>
        </w:trPr>
        <w:tc>
          <w:tcPr>
            <w:tcW w:w="1855" w:type="dxa"/>
            <w:shd w:val="clear" w:color="auto" w:fill="auto"/>
            <w:noWrap/>
            <w:vAlign w:val="bottom"/>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Portarlington</w:t>
            </w:r>
          </w:p>
        </w:tc>
        <w:tc>
          <w:tcPr>
            <w:tcW w:w="1418"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12</w:t>
            </w:r>
          </w:p>
        </w:tc>
        <w:tc>
          <w:tcPr>
            <w:tcW w:w="1417"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6.13%</w:t>
            </w:r>
          </w:p>
        </w:tc>
        <w:tc>
          <w:tcPr>
            <w:tcW w:w="1418"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4.80%</w:t>
            </w:r>
          </w:p>
        </w:tc>
        <w:tc>
          <w:tcPr>
            <w:tcW w:w="1417"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4.67%</w:t>
            </w:r>
          </w:p>
        </w:tc>
        <w:tc>
          <w:tcPr>
            <w:tcW w:w="1134" w:type="dxa"/>
            <w:vMerge/>
            <w:shd w:val="clear" w:color="auto" w:fill="auto"/>
            <w:vAlign w:val="center"/>
            <w:hideMark/>
          </w:tcPr>
          <w:p w:rsidR="00AB07CF" w:rsidRPr="00E60EA6" w:rsidRDefault="00AB07CF" w:rsidP="004A446B">
            <w:pPr>
              <w:spacing w:before="0" w:after="0"/>
              <w:jc w:val="center"/>
              <w:rPr>
                <w:rFonts w:cs="Arial"/>
                <w:color w:val="000000"/>
                <w:sz w:val="18"/>
                <w:szCs w:val="18"/>
                <w:lang w:eastAsia="en-AU"/>
              </w:rPr>
            </w:pPr>
          </w:p>
        </w:tc>
      </w:tr>
      <w:tr w:rsidR="00AB07CF" w:rsidRPr="00E60EA6" w:rsidTr="004A446B">
        <w:trPr>
          <w:trHeight w:val="20"/>
        </w:trPr>
        <w:tc>
          <w:tcPr>
            <w:tcW w:w="1855" w:type="dxa"/>
            <w:shd w:val="clear" w:color="auto" w:fill="auto"/>
            <w:noWrap/>
            <w:vAlign w:val="bottom"/>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Newtown</w:t>
            </w:r>
          </w:p>
        </w:tc>
        <w:tc>
          <w:tcPr>
            <w:tcW w:w="1418"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15</w:t>
            </w:r>
          </w:p>
        </w:tc>
        <w:tc>
          <w:tcPr>
            <w:tcW w:w="1417"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-0.82%</w:t>
            </w:r>
          </w:p>
        </w:tc>
        <w:tc>
          <w:tcPr>
            <w:tcW w:w="1418"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11.40%</w:t>
            </w:r>
          </w:p>
        </w:tc>
        <w:tc>
          <w:tcPr>
            <w:tcW w:w="1417"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3.94%</w:t>
            </w:r>
          </w:p>
        </w:tc>
        <w:tc>
          <w:tcPr>
            <w:tcW w:w="1134" w:type="dxa"/>
            <w:vMerge/>
            <w:shd w:val="clear" w:color="auto" w:fill="auto"/>
            <w:vAlign w:val="center"/>
            <w:hideMark/>
          </w:tcPr>
          <w:p w:rsidR="00AB07CF" w:rsidRPr="00E60EA6" w:rsidRDefault="00AB07CF" w:rsidP="004A446B">
            <w:pPr>
              <w:spacing w:before="0" w:after="0"/>
              <w:jc w:val="center"/>
              <w:rPr>
                <w:rFonts w:cs="Arial"/>
                <w:color w:val="000000"/>
                <w:sz w:val="18"/>
                <w:szCs w:val="18"/>
                <w:lang w:eastAsia="en-AU"/>
              </w:rPr>
            </w:pPr>
          </w:p>
        </w:tc>
      </w:tr>
      <w:tr w:rsidR="00AB07CF" w:rsidRPr="00E60EA6" w:rsidTr="004A446B">
        <w:trPr>
          <w:trHeight w:val="20"/>
        </w:trPr>
        <w:tc>
          <w:tcPr>
            <w:tcW w:w="1855" w:type="dxa"/>
            <w:shd w:val="clear" w:color="auto" w:fill="auto"/>
            <w:noWrap/>
            <w:vAlign w:val="bottom"/>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Ocean Grove</w:t>
            </w:r>
          </w:p>
        </w:tc>
        <w:tc>
          <w:tcPr>
            <w:tcW w:w="1418"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18</w:t>
            </w:r>
          </w:p>
        </w:tc>
        <w:tc>
          <w:tcPr>
            <w:tcW w:w="1417"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-0.85%</w:t>
            </w:r>
          </w:p>
        </w:tc>
        <w:tc>
          <w:tcPr>
            <w:tcW w:w="1418"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2.40%</w:t>
            </w:r>
          </w:p>
        </w:tc>
        <w:tc>
          <w:tcPr>
            <w:tcW w:w="1417" w:type="dxa"/>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0.42%</w:t>
            </w:r>
          </w:p>
        </w:tc>
        <w:tc>
          <w:tcPr>
            <w:tcW w:w="1134" w:type="dxa"/>
            <w:vMerge w:val="restart"/>
            <w:shd w:val="clear" w:color="auto" w:fill="auto"/>
            <w:vAlign w:val="center"/>
            <w:hideMark/>
          </w:tcPr>
          <w:p w:rsidR="00AB07CF" w:rsidRPr="00E60EA6" w:rsidRDefault="00AB07CF" w:rsidP="004A446B">
            <w:pPr>
              <w:spacing w:before="0" w:after="0"/>
              <w:jc w:val="center"/>
              <w:rPr>
                <w:rFonts w:cs="Arial"/>
                <w:color w:val="000000"/>
                <w:sz w:val="18"/>
                <w:szCs w:val="18"/>
                <w:lang w:eastAsia="en-AU"/>
              </w:rPr>
            </w:pPr>
            <w:r w:rsidRPr="00E60EA6">
              <w:rPr>
                <w:rFonts w:cs="Arial"/>
                <w:color w:val="000000"/>
                <w:sz w:val="18"/>
                <w:szCs w:val="18"/>
                <w:lang w:eastAsia="en-AU"/>
              </w:rPr>
              <w:t>Below Average</w:t>
            </w:r>
          </w:p>
        </w:tc>
      </w:tr>
      <w:tr w:rsidR="00AB07CF" w:rsidRPr="00E60EA6" w:rsidTr="004A446B">
        <w:trPr>
          <w:trHeight w:val="20"/>
        </w:trPr>
        <w:tc>
          <w:tcPr>
            <w:tcW w:w="1855" w:type="dxa"/>
            <w:tcBorders>
              <w:bottom w:val="single" w:sz="4" w:space="0" w:color="auto"/>
            </w:tcBorders>
            <w:shd w:val="clear" w:color="auto" w:fill="auto"/>
            <w:noWrap/>
            <w:vAlign w:val="bottom"/>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Lara</w:t>
            </w:r>
          </w:p>
        </w:tc>
        <w:tc>
          <w:tcPr>
            <w:tcW w:w="1418" w:type="dxa"/>
            <w:tcBorders>
              <w:bottom w:val="single" w:sz="4" w:space="0" w:color="auto"/>
            </w:tcBorders>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13</w:t>
            </w:r>
          </w:p>
        </w:tc>
        <w:tc>
          <w:tcPr>
            <w:tcW w:w="1417" w:type="dxa"/>
            <w:tcBorders>
              <w:bottom w:val="single" w:sz="4" w:space="0" w:color="auto"/>
            </w:tcBorders>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6.60%</w:t>
            </w:r>
          </w:p>
        </w:tc>
        <w:tc>
          <w:tcPr>
            <w:tcW w:w="1418" w:type="dxa"/>
            <w:tcBorders>
              <w:bottom w:val="single" w:sz="4" w:space="0" w:color="auto"/>
            </w:tcBorders>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5.30%</w:t>
            </w:r>
          </w:p>
        </w:tc>
        <w:tc>
          <w:tcPr>
            <w:tcW w:w="1417" w:type="dxa"/>
            <w:tcBorders>
              <w:bottom w:val="single" w:sz="4" w:space="0" w:color="auto"/>
            </w:tcBorders>
            <w:shd w:val="clear" w:color="auto" w:fill="auto"/>
            <w:noWrap/>
            <w:vAlign w:val="bottom"/>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0.12%</w:t>
            </w:r>
          </w:p>
        </w:tc>
        <w:tc>
          <w:tcPr>
            <w:tcW w:w="1134" w:type="dxa"/>
            <w:vMerge/>
            <w:tcBorders>
              <w:bottom w:val="single" w:sz="4" w:space="0" w:color="auto"/>
            </w:tcBorders>
            <w:shd w:val="clear" w:color="auto" w:fill="auto"/>
            <w:vAlign w:val="center"/>
            <w:hideMark/>
          </w:tcPr>
          <w:p w:rsidR="00AB07CF" w:rsidRPr="00E60EA6" w:rsidRDefault="00AB07CF" w:rsidP="004A446B">
            <w:pPr>
              <w:spacing w:before="0" w:after="0"/>
              <w:rPr>
                <w:rFonts w:cs="Arial"/>
                <w:color w:val="000000"/>
                <w:sz w:val="18"/>
                <w:szCs w:val="18"/>
                <w:lang w:eastAsia="en-AU"/>
              </w:rPr>
            </w:pPr>
          </w:p>
        </w:tc>
      </w:tr>
      <w:tr w:rsidR="00AB07CF" w:rsidRPr="00E60EA6" w:rsidTr="004A446B">
        <w:trPr>
          <w:trHeight w:val="20"/>
        </w:trPr>
        <w:tc>
          <w:tcPr>
            <w:tcW w:w="1855" w:type="dxa"/>
            <w:tcBorders>
              <w:top w:val="single" w:sz="4" w:space="0" w:color="auto"/>
              <w:bottom w:val="single" w:sz="4" w:space="0" w:color="auto"/>
            </w:tcBorders>
            <w:shd w:val="clear" w:color="auto" w:fill="auto"/>
            <w:noWrap/>
            <w:vAlign w:val="bottom"/>
            <w:hideMark/>
          </w:tcPr>
          <w:p w:rsidR="00AB07CF" w:rsidRPr="00E60EA6" w:rsidRDefault="00AB07CF" w:rsidP="004A446B">
            <w:pPr>
              <w:spacing w:before="0" w:after="0"/>
              <w:rPr>
                <w:rFonts w:cs="Lucida Sans Unicode"/>
                <w:b/>
                <w:bCs/>
                <w:color w:val="000000"/>
                <w:sz w:val="18"/>
                <w:szCs w:val="18"/>
                <w:lang w:eastAsia="en-AU"/>
              </w:rPr>
            </w:pPr>
            <w:r w:rsidRPr="00E60EA6">
              <w:rPr>
                <w:rFonts w:cs="Lucida Sans Unicode"/>
                <w:b/>
                <w:bCs/>
                <w:color w:val="000000"/>
                <w:sz w:val="18"/>
                <w:szCs w:val="18"/>
                <w:lang w:eastAsia="en-AU"/>
              </w:rPr>
              <w:t>Total</w:t>
            </w:r>
          </w:p>
        </w:tc>
        <w:tc>
          <w:tcPr>
            <w:tcW w:w="1418" w:type="dxa"/>
            <w:tcBorders>
              <w:top w:val="single" w:sz="4" w:space="0" w:color="auto"/>
              <w:bottom w:val="single" w:sz="4" w:space="0" w:color="auto"/>
            </w:tcBorders>
            <w:shd w:val="clear" w:color="auto" w:fill="auto"/>
            <w:noWrap/>
            <w:vAlign w:val="bottom"/>
            <w:hideMark/>
          </w:tcPr>
          <w:p w:rsidR="00AB07CF" w:rsidRPr="00E60EA6" w:rsidRDefault="00AB07CF" w:rsidP="004A446B">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130</w:t>
            </w:r>
          </w:p>
        </w:tc>
        <w:tc>
          <w:tcPr>
            <w:tcW w:w="1417" w:type="dxa"/>
            <w:tcBorders>
              <w:top w:val="single" w:sz="4" w:space="0" w:color="auto"/>
              <w:bottom w:val="single" w:sz="4" w:space="0" w:color="auto"/>
            </w:tcBorders>
            <w:shd w:val="clear" w:color="auto" w:fill="auto"/>
            <w:noWrap/>
            <w:vAlign w:val="bottom"/>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 </w:t>
            </w:r>
          </w:p>
        </w:tc>
        <w:tc>
          <w:tcPr>
            <w:tcW w:w="1418" w:type="dxa"/>
            <w:tcBorders>
              <w:top w:val="single" w:sz="4" w:space="0" w:color="auto"/>
              <w:bottom w:val="single" w:sz="4" w:space="0" w:color="auto"/>
            </w:tcBorders>
            <w:shd w:val="clear" w:color="auto" w:fill="auto"/>
            <w:noWrap/>
            <w:vAlign w:val="bottom"/>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 </w:t>
            </w:r>
          </w:p>
        </w:tc>
        <w:tc>
          <w:tcPr>
            <w:tcW w:w="1417" w:type="dxa"/>
            <w:tcBorders>
              <w:top w:val="single" w:sz="4" w:space="0" w:color="auto"/>
              <w:bottom w:val="single" w:sz="4" w:space="0" w:color="auto"/>
            </w:tcBorders>
            <w:shd w:val="clear" w:color="auto" w:fill="auto"/>
            <w:noWrap/>
            <w:vAlign w:val="bottom"/>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 </w:t>
            </w:r>
          </w:p>
        </w:tc>
        <w:tc>
          <w:tcPr>
            <w:tcW w:w="1134" w:type="dxa"/>
            <w:tcBorders>
              <w:top w:val="single" w:sz="4" w:space="0" w:color="auto"/>
              <w:bottom w:val="single" w:sz="4" w:space="0" w:color="auto"/>
            </w:tcBorders>
            <w:shd w:val="clear" w:color="auto" w:fill="auto"/>
            <w:noWrap/>
            <w:vAlign w:val="bottom"/>
            <w:hideMark/>
          </w:tcPr>
          <w:p w:rsidR="00AB07CF" w:rsidRPr="00E60EA6" w:rsidRDefault="00AB07CF" w:rsidP="004A446B">
            <w:pPr>
              <w:spacing w:before="0" w:after="0"/>
              <w:rPr>
                <w:rFonts w:cs="Arial"/>
                <w:color w:val="000000"/>
                <w:sz w:val="18"/>
                <w:szCs w:val="18"/>
                <w:lang w:eastAsia="en-AU"/>
              </w:rPr>
            </w:pPr>
            <w:r w:rsidRPr="00E60EA6">
              <w:rPr>
                <w:rFonts w:cs="Arial"/>
                <w:color w:val="000000"/>
                <w:sz w:val="18"/>
                <w:szCs w:val="18"/>
                <w:lang w:eastAsia="en-AU"/>
              </w:rPr>
              <w:t> </w:t>
            </w:r>
          </w:p>
        </w:tc>
      </w:tr>
    </w:tbl>
    <w:p w:rsidR="00AB07CF" w:rsidRDefault="00AB07CF">
      <w:pPr>
        <w:pStyle w:val="BodyText"/>
      </w:pPr>
      <w:r>
        <w:t>A total of 9 properties at Corio increased by 5.43% and 4 properties at Newcomb decreased by (6.44%).</w:t>
      </w:r>
    </w:p>
    <w:p w:rsidR="00AB07CF" w:rsidRPr="009241AF" w:rsidRDefault="00AB07CF" w:rsidP="00D43F06">
      <w:pPr>
        <w:pStyle w:val="Heading5A"/>
      </w:pPr>
      <w:r w:rsidRPr="009241AF">
        <w:lastRenderedPageBreak/>
        <w:t>Major Industrials</w:t>
      </w:r>
    </w:p>
    <w:p w:rsidR="00AB07CF" w:rsidRPr="00596143" w:rsidRDefault="00AB07CF">
      <w:pPr>
        <w:pStyle w:val="BodyText"/>
      </w:pPr>
      <w:r w:rsidRPr="00596143">
        <w:t xml:space="preserve">Finalisation of valuations for the major industrials </w:t>
      </w:r>
      <w:r>
        <w:t>were influenced as follows:</w:t>
      </w:r>
    </w:p>
    <w:p w:rsidR="00A23966" w:rsidRPr="00132FCB" w:rsidRDefault="00AB07CF" w:rsidP="005167B1">
      <w:pPr>
        <w:pStyle w:val="ListParagraph"/>
        <w:numPr>
          <w:ilvl w:val="0"/>
          <w:numId w:val="43"/>
        </w:numPr>
        <w:spacing w:after="80"/>
        <w:ind w:left="357" w:hanging="357"/>
        <w:jc w:val="both"/>
      </w:pPr>
      <w:r w:rsidRPr="005A2AD5">
        <w:rPr>
          <w:rFonts w:cs="Lucida Sans Unicode"/>
          <w:szCs w:val="22"/>
        </w:rPr>
        <w:t>Shell disputed the 2012 CIV and SV and the matter went before VCAT for determination.</w:t>
      </w:r>
    </w:p>
    <w:p w:rsidR="00A23966" w:rsidRPr="005167B1" w:rsidRDefault="00AB07CF" w:rsidP="005167B1">
      <w:pPr>
        <w:pStyle w:val="ListParagraph"/>
        <w:numPr>
          <w:ilvl w:val="0"/>
          <w:numId w:val="43"/>
        </w:numPr>
        <w:spacing w:after="80"/>
        <w:ind w:left="357" w:hanging="357"/>
        <w:jc w:val="both"/>
      </w:pPr>
      <w:r w:rsidRPr="005167B1">
        <w:rPr>
          <w:rFonts w:cs="Lucida Sans Unicode"/>
          <w:szCs w:val="22"/>
        </w:rPr>
        <w:t>The CIV for Ford was reduced in recognition of the environmental footprint Ford has on the land.</w:t>
      </w:r>
    </w:p>
    <w:p w:rsidR="00A23966" w:rsidRPr="005167B1" w:rsidRDefault="00AB07CF" w:rsidP="005167B1">
      <w:pPr>
        <w:pStyle w:val="ListParagraph"/>
        <w:numPr>
          <w:ilvl w:val="0"/>
          <w:numId w:val="43"/>
        </w:numPr>
        <w:spacing w:after="80"/>
        <w:ind w:left="357" w:hanging="357"/>
        <w:jc w:val="both"/>
      </w:pPr>
      <w:r w:rsidRPr="005167B1">
        <w:rPr>
          <w:rFonts w:cs="Lucida Sans Unicode"/>
          <w:szCs w:val="22"/>
        </w:rPr>
        <w:t xml:space="preserve">The CIV for Alcoa </w:t>
      </w:r>
      <w:r w:rsidR="009411F1" w:rsidRPr="005167B1">
        <w:rPr>
          <w:rFonts w:cs="Lucida Sans Unicode"/>
          <w:szCs w:val="22"/>
        </w:rPr>
        <w:t>was</w:t>
      </w:r>
      <w:r w:rsidRPr="005167B1">
        <w:rPr>
          <w:rFonts w:cs="Lucida Sans Unicode"/>
          <w:szCs w:val="22"/>
        </w:rPr>
        <w:t xml:space="preserve"> reduced in recognition of the plant closing during 2014</w:t>
      </w:r>
      <w:r w:rsidRPr="005167B1">
        <w:rPr>
          <w:rFonts w:cs="Lucida Sans Unicode"/>
          <w:szCs w:val="22"/>
        </w:rPr>
        <w:noBreakHyphen/>
      </w:r>
      <w:r w:rsidR="00AB3A50" w:rsidRPr="005167B1">
        <w:rPr>
          <w:rFonts w:cs="Lucida Sans Unicode"/>
          <w:szCs w:val="22"/>
        </w:rPr>
        <w:t>15</w:t>
      </w:r>
      <w:r w:rsidRPr="005167B1">
        <w:rPr>
          <w:rFonts w:cs="Lucida Sans Unicode"/>
          <w:szCs w:val="22"/>
        </w:rPr>
        <w:t>.</w:t>
      </w:r>
    </w:p>
    <w:p w:rsidR="000744A6" w:rsidRDefault="00AB07CF" w:rsidP="0027081E">
      <w:pPr>
        <w:pStyle w:val="Heading5A"/>
        <w:jc w:val="both"/>
      </w:pPr>
      <w:r w:rsidRPr="00B41589">
        <w:t xml:space="preserve">Rebates - </w:t>
      </w:r>
      <w:r w:rsidR="00DF673F">
        <w:t>s</w:t>
      </w:r>
      <w:r w:rsidR="00DF673F" w:rsidRPr="00B41589">
        <w:t xml:space="preserve">ection </w:t>
      </w:r>
      <w:r w:rsidRPr="00B41589">
        <w:t>169 of the LGA Rebates</w:t>
      </w:r>
    </w:p>
    <w:p w:rsidR="00AB07CF" w:rsidRDefault="00AB07CF">
      <w:pPr>
        <w:pStyle w:val="BodyText"/>
      </w:pPr>
      <w:r>
        <w:t>For 2014-</w:t>
      </w:r>
      <w:r w:rsidR="00AB3A50">
        <w:t xml:space="preserve">15 </w:t>
      </w:r>
      <w:r>
        <w:t xml:space="preserve">the following rebates </w:t>
      </w:r>
      <w:r w:rsidR="009411F1">
        <w:t>applied</w:t>
      </w:r>
      <w:r>
        <w:t>:</w:t>
      </w:r>
    </w:p>
    <w:p w:rsidR="00A23966" w:rsidRPr="00132FCB" w:rsidRDefault="00AB07CF" w:rsidP="005167B1">
      <w:pPr>
        <w:pStyle w:val="ListParagraph"/>
        <w:numPr>
          <w:ilvl w:val="0"/>
          <w:numId w:val="43"/>
        </w:numPr>
        <w:spacing w:after="80"/>
        <w:ind w:left="357" w:hanging="357"/>
        <w:jc w:val="both"/>
      </w:pPr>
      <w:r w:rsidRPr="005A2AD5">
        <w:rPr>
          <w:rFonts w:cs="Lucida Sans Unicode"/>
          <w:szCs w:val="22"/>
        </w:rPr>
        <w:t>Farm Rebate.</w:t>
      </w:r>
    </w:p>
    <w:p w:rsidR="00A23966" w:rsidRPr="005167B1" w:rsidRDefault="00AB07CF" w:rsidP="005167B1">
      <w:pPr>
        <w:pStyle w:val="ListParagraph"/>
        <w:numPr>
          <w:ilvl w:val="0"/>
          <w:numId w:val="43"/>
        </w:numPr>
        <w:spacing w:after="80"/>
        <w:ind w:left="357" w:hanging="357"/>
        <w:jc w:val="both"/>
      </w:pPr>
      <w:r w:rsidRPr="005167B1">
        <w:rPr>
          <w:rFonts w:cs="Lucida Sans Unicode"/>
          <w:szCs w:val="22"/>
        </w:rPr>
        <w:t>Transitional Housing Rebate.</w:t>
      </w:r>
    </w:p>
    <w:p w:rsidR="00AB07CF" w:rsidRPr="00B41589" w:rsidRDefault="00AB07CF" w:rsidP="0027081E">
      <w:pPr>
        <w:pStyle w:val="Heading5A"/>
        <w:jc w:val="both"/>
      </w:pPr>
      <w:r w:rsidRPr="00B41589">
        <w:t xml:space="preserve">Waivers - </w:t>
      </w:r>
      <w:r w:rsidR="00DF673F">
        <w:t>s</w:t>
      </w:r>
      <w:r w:rsidR="00DF673F" w:rsidRPr="00B41589">
        <w:t xml:space="preserve">ection </w:t>
      </w:r>
      <w:r w:rsidRPr="00B41589">
        <w:t>171 of the LGA Waivers</w:t>
      </w:r>
    </w:p>
    <w:p w:rsidR="00AB07CF" w:rsidRDefault="00AB07CF">
      <w:pPr>
        <w:pStyle w:val="BodyText"/>
      </w:pPr>
      <w:r>
        <w:t>For 2014-</w:t>
      </w:r>
      <w:r w:rsidR="00AB3A50">
        <w:t xml:space="preserve">15 </w:t>
      </w:r>
      <w:r>
        <w:t xml:space="preserve">the following waivers </w:t>
      </w:r>
      <w:r w:rsidR="009411F1">
        <w:t>applied</w:t>
      </w:r>
      <w:r>
        <w:t>:</w:t>
      </w:r>
    </w:p>
    <w:p w:rsidR="00A23966" w:rsidRPr="00132FCB" w:rsidRDefault="00AB07CF" w:rsidP="005167B1">
      <w:pPr>
        <w:pStyle w:val="ListParagraph"/>
        <w:numPr>
          <w:ilvl w:val="0"/>
          <w:numId w:val="43"/>
        </w:numPr>
        <w:spacing w:after="80"/>
        <w:ind w:left="357" w:hanging="357"/>
        <w:jc w:val="both"/>
      </w:pPr>
      <w:r w:rsidRPr="005A2AD5">
        <w:rPr>
          <w:rFonts w:cs="Lucida Sans Unicode"/>
          <w:szCs w:val="22"/>
        </w:rPr>
        <w:t>Rates Assistance Waiver (Valuation increase over 50%).</w:t>
      </w:r>
    </w:p>
    <w:p w:rsidR="00A23966" w:rsidRPr="005167B1" w:rsidRDefault="00AB07CF" w:rsidP="005167B1">
      <w:pPr>
        <w:pStyle w:val="ListParagraph"/>
        <w:numPr>
          <w:ilvl w:val="0"/>
          <w:numId w:val="43"/>
        </w:numPr>
        <w:spacing w:after="80"/>
        <w:ind w:left="357" w:hanging="357"/>
        <w:jc w:val="both"/>
      </w:pPr>
      <w:r w:rsidRPr="005167B1">
        <w:rPr>
          <w:rFonts w:cs="Lucida Sans Unicode"/>
          <w:szCs w:val="22"/>
        </w:rPr>
        <w:t>Housing Support Waiver.</w:t>
      </w:r>
    </w:p>
    <w:p w:rsidR="00A23966" w:rsidRPr="005167B1" w:rsidRDefault="00AB07CF" w:rsidP="005167B1">
      <w:pPr>
        <w:pStyle w:val="ListParagraph"/>
        <w:numPr>
          <w:ilvl w:val="0"/>
          <w:numId w:val="43"/>
        </w:numPr>
        <w:spacing w:after="80"/>
        <w:ind w:left="357" w:hanging="357"/>
        <w:jc w:val="both"/>
      </w:pPr>
      <w:r w:rsidRPr="005167B1">
        <w:rPr>
          <w:rFonts w:cs="Lucida Sans Unicode"/>
          <w:szCs w:val="22"/>
        </w:rPr>
        <w:t>New Corio Estate (Inappropriate Subdivision).</w:t>
      </w:r>
    </w:p>
    <w:p w:rsidR="00AB07CF" w:rsidRPr="00BA4451" w:rsidRDefault="00AB07CF" w:rsidP="00D43F06">
      <w:pPr>
        <w:pStyle w:val="Heading5A"/>
      </w:pPr>
      <w:r w:rsidRPr="00BA4451">
        <w:t>Rating Model</w:t>
      </w:r>
    </w:p>
    <w:p w:rsidR="00AB07CF" w:rsidRPr="001848C2" w:rsidRDefault="00AB07CF">
      <w:pPr>
        <w:pStyle w:val="BodyText"/>
      </w:pPr>
      <w:r w:rsidRPr="001848C2">
        <w:t xml:space="preserve">Key features of the Rating Model </w:t>
      </w:r>
      <w:r w:rsidR="009411F1">
        <w:t>were</w:t>
      </w:r>
      <w:r w:rsidRPr="001848C2">
        <w:t>:</w:t>
      </w:r>
    </w:p>
    <w:p w:rsidR="00A23966" w:rsidRPr="005167B1" w:rsidRDefault="00AB07CF" w:rsidP="005167B1">
      <w:pPr>
        <w:pStyle w:val="ListParagraph"/>
        <w:numPr>
          <w:ilvl w:val="0"/>
          <w:numId w:val="43"/>
        </w:numPr>
        <w:spacing w:after="80"/>
        <w:ind w:left="357" w:hanging="357"/>
        <w:jc w:val="both"/>
      </w:pPr>
      <w:r w:rsidRPr="005A2AD5">
        <w:rPr>
          <w:rFonts w:cs="Lucida Sans Unicode"/>
          <w:szCs w:val="22"/>
        </w:rPr>
        <w:t>Rates and charges on a residential property increase</w:t>
      </w:r>
      <w:r w:rsidR="009411F1" w:rsidRPr="00132FCB">
        <w:rPr>
          <w:rFonts w:cs="Lucida Sans Unicode"/>
          <w:szCs w:val="22"/>
        </w:rPr>
        <w:t>d</w:t>
      </w:r>
      <w:r w:rsidRPr="00132FCB">
        <w:rPr>
          <w:rFonts w:cs="Lucida Sans Unicode"/>
          <w:szCs w:val="22"/>
        </w:rPr>
        <w:t xml:space="preserve"> overall by 4.51%, M</w:t>
      </w:r>
      <w:r w:rsidRPr="005167B1">
        <w:rPr>
          <w:rFonts w:cs="Lucida Sans Unicode"/>
          <w:szCs w:val="22"/>
        </w:rPr>
        <w:t xml:space="preserve">unicipal Charge movement 3%, and Waste Collection Service Charge 5.12%. The residential rate </w:t>
      </w:r>
      <w:r w:rsidR="009411F1" w:rsidRPr="005167B1">
        <w:rPr>
          <w:rFonts w:cs="Lucida Sans Unicode"/>
          <w:szCs w:val="22"/>
        </w:rPr>
        <w:t>w</w:t>
      </w:r>
      <w:r w:rsidRPr="005167B1">
        <w:rPr>
          <w:rFonts w:cs="Lucida Sans Unicode"/>
          <w:szCs w:val="22"/>
        </w:rPr>
        <w:t>as set at $0.002710 per $ of CIV valuation.</w:t>
      </w:r>
    </w:p>
    <w:p w:rsidR="00A23966" w:rsidRPr="005167B1" w:rsidRDefault="00AB07CF" w:rsidP="005167B1">
      <w:pPr>
        <w:pStyle w:val="ListParagraph"/>
        <w:numPr>
          <w:ilvl w:val="0"/>
          <w:numId w:val="43"/>
        </w:numPr>
        <w:spacing w:after="80"/>
        <w:ind w:left="357" w:hanging="357"/>
        <w:jc w:val="both"/>
      </w:pPr>
      <w:r w:rsidRPr="005167B1">
        <w:rPr>
          <w:rFonts w:cs="Lucida Sans Unicode"/>
          <w:szCs w:val="22"/>
        </w:rPr>
        <w:t>Vacant Land rate in the dollar increase</w:t>
      </w:r>
      <w:r w:rsidR="009411F1" w:rsidRPr="005167B1">
        <w:rPr>
          <w:rFonts w:cs="Lucida Sans Unicode"/>
          <w:szCs w:val="22"/>
        </w:rPr>
        <w:t>d</w:t>
      </w:r>
      <w:r w:rsidRPr="005167B1">
        <w:rPr>
          <w:rFonts w:cs="Lucida Sans Unicode"/>
          <w:szCs w:val="22"/>
        </w:rPr>
        <w:t xml:space="preserve"> to 145% of residential in order to encourage building activity and development.</w:t>
      </w:r>
    </w:p>
    <w:p w:rsidR="00A23966" w:rsidRPr="005167B1" w:rsidRDefault="00AB07CF" w:rsidP="005167B1">
      <w:pPr>
        <w:pStyle w:val="ListParagraph"/>
        <w:numPr>
          <w:ilvl w:val="0"/>
          <w:numId w:val="43"/>
        </w:numPr>
        <w:spacing w:after="80"/>
        <w:ind w:left="357" w:hanging="357"/>
        <w:jc w:val="both"/>
      </w:pPr>
      <w:r w:rsidRPr="005167B1">
        <w:rPr>
          <w:rFonts w:cs="Lucida Sans Unicode"/>
          <w:szCs w:val="22"/>
        </w:rPr>
        <w:t xml:space="preserve">Automobile, Petroleum and Aluminium differentials </w:t>
      </w:r>
      <w:r w:rsidR="009411F1" w:rsidRPr="005167B1">
        <w:rPr>
          <w:rFonts w:cs="Lucida Sans Unicode"/>
          <w:szCs w:val="22"/>
        </w:rPr>
        <w:t xml:space="preserve">were </w:t>
      </w:r>
      <w:r w:rsidRPr="005167B1">
        <w:rPr>
          <w:rFonts w:cs="Lucida Sans Unicode"/>
          <w:szCs w:val="22"/>
        </w:rPr>
        <w:t xml:space="preserve">aligned to the same rate in the $. Council’s objective is to reduce the gap between the rate in $ for these differentials and the Industrial differential. </w:t>
      </w:r>
    </w:p>
    <w:p w:rsidR="00A23966" w:rsidRPr="005167B1" w:rsidRDefault="00AB07CF" w:rsidP="005167B1">
      <w:pPr>
        <w:pStyle w:val="ListParagraph"/>
        <w:numPr>
          <w:ilvl w:val="0"/>
          <w:numId w:val="43"/>
        </w:numPr>
        <w:spacing w:after="80"/>
        <w:ind w:left="357" w:hanging="357"/>
        <w:jc w:val="both"/>
      </w:pPr>
      <w:r w:rsidRPr="005167B1">
        <w:rPr>
          <w:rFonts w:cs="Lucida Sans Unicode"/>
          <w:szCs w:val="22"/>
        </w:rPr>
        <w:t xml:space="preserve">The Waste Collection Service charge </w:t>
      </w:r>
      <w:r w:rsidR="009411F1" w:rsidRPr="005167B1">
        <w:rPr>
          <w:rFonts w:cs="Lucida Sans Unicode"/>
          <w:szCs w:val="22"/>
        </w:rPr>
        <w:t>wa</w:t>
      </w:r>
      <w:r w:rsidRPr="005167B1">
        <w:rPr>
          <w:rFonts w:cs="Lucida Sans Unicode"/>
          <w:szCs w:val="22"/>
        </w:rPr>
        <w:t xml:space="preserve">s calculated based on a fee for service, including direct, indirect and overhead costs. The charge is impacted by cost estimates of EPA levy $27.70 per tenement. The Carbon Tax has not been costed into the 2014-15 waste model. </w:t>
      </w:r>
      <w:r w:rsidRPr="005A2AD5">
        <w:rPr>
          <w:rFonts w:cs="Lucida Sans Unicode"/>
          <w:szCs w:val="22"/>
        </w:rPr>
        <w:t>The charge for 2014</w:t>
      </w:r>
      <w:r w:rsidRPr="005A2AD5">
        <w:rPr>
          <w:rFonts w:cs="Lucida Sans Unicode"/>
          <w:szCs w:val="22"/>
        </w:rPr>
        <w:noBreakHyphen/>
      </w:r>
      <w:r w:rsidR="00AB3A50" w:rsidRPr="00132FCB">
        <w:rPr>
          <w:rFonts w:cs="Lucida Sans Unicode"/>
          <w:szCs w:val="22"/>
        </w:rPr>
        <w:t xml:space="preserve">15 </w:t>
      </w:r>
      <w:r w:rsidRPr="00132FCB">
        <w:rPr>
          <w:rFonts w:cs="Lucida Sans Unicode"/>
          <w:szCs w:val="22"/>
        </w:rPr>
        <w:t>increase</w:t>
      </w:r>
      <w:r w:rsidR="009411F1" w:rsidRPr="005167B1">
        <w:rPr>
          <w:rFonts w:cs="Lucida Sans Unicode"/>
          <w:szCs w:val="22"/>
        </w:rPr>
        <w:t>d</w:t>
      </w:r>
      <w:r w:rsidRPr="005167B1">
        <w:rPr>
          <w:rFonts w:cs="Lucida Sans Unicode"/>
          <w:szCs w:val="22"/>
        </w:rPr>
        <w:t xml:space="preserve"> from $234.50 to $246.50 or 5.12%.</w:t>
      </w:r>
    </w:p>
    <w:p w:rsidR="00A23966" w:rsidRPr="005167B1" w:rsidRDefault="00AB07CF" w:rsidP="005167B1">
      <w:pPr>
        <w:pStyle w:val="ListParagraph"/>
        <w:numPr>
          <w:ilvl w:val="0"/>
          <w:numId w:val="43"/>
        </w:numPr>
        <w:spacing w:after="80"/>
        <w:ind w:left="357" w:hanging="357"/>
        <w:jc w:val="both"/>
      </w:pPr>
      <w:r w:rsidRPr="005167B1">
        <w:rPr>
          <w:rFonts w:cs="Lucida Sans Unicode"/>
          <w:szCs w:val="22"/>
        </w:rPr>
        <w:t>The Municipal Charge represent</w:t>
      </w:r>
      <w:r w:rsidR="009411F1" w:rsidRPr="005167B1">
        <w:rPr>
          <w:rFonts w:cs="Lucida Sans Unicode"/>
          <w:szCs w:val="22"/>
        </w:rPr>
        <w:t>ed</w:t>
      </w:r>
      <w:r w:rsidRPr="005167B1">
        <w:rPr>
          <w:rFonts w:cs="Lucida Sans Unicode"/>
          <w:szCs w:val="22"/>
        </w:rPr>
        <w:t xml:space="preserve"> a fee on all rateable assessments as a contribution to the fixed and unavoidable costs of governance. The municipal charge increase</w:t>
      </w:r>
      <w:r w:rsidR="009411F1" w:rsidRPr="005167B1">
        <w:rPr>
          <w:rFonts w:cs="Lucida Sans Unicode"/>
          <w:szCs w:val="22"/>
        </w:rPr>
        <w:t>d</w:t>
      </w:r>
      <w:r w:rsidRPr="005167B1">
        <w:rPr>
          <w:rFonts w:cs="Lucida Sans Unicode"/>
          <w:szCs w:val="22"/>
        </w:rPr>
        <w:t xml:space="preserve"> from $88.90 to $91.55 or 3%.</w:t>
      </w:r>
    </w:p>
    <w:p w:rsidR="00A23966" w:rsidRPr="005167B1" w:rsidRDefault="00AB07CF" w:rsidP="005167B1">
      <w:pPr>
        <w:pStyle w:val="ListParagraph"/>
        <w:numPr>
          <w:ilvl w:val="0"/>
          <w:numId w:val="43"/>
        </w:numPr>
        <w:spacing w:after="80"/>
        <w:ind w:left="357" w:hanging="357"/>
        <w:jc w:val="both"/>
      </w:pPr>
      <w:r w:rsidRPr="005167B1">
        <w:rPr>
          <w:rFonts w:cs="Lucida Sans Unicode"/>
          <w:szCs w:val="22"/>
        </w:rPr>
        <w:lastRenderedPageBreak/>
        <w:t xml:space="preserve">The Farm rebate </w:t>
      </w:r>
      <w:r w:rsidR="009411F1" w:rsidRPr="005167B1">
        <w:rPr>
          <w:rFonts w:cs="Lucida Sans Unicode"/>
          <w:szCs w:val="22"/>
        </w:rPr>
        <w:t xml:space="preserve">was </w:t>
      </w:r>
      <w:r w:rsidRPr="005167B1">
        <w:rPr>
          <w:rFonts w:cs="Lucida Sans Unicode"/>
          <w:szCs w:val="22"/>
        </w:rPr>
        <w:t>reduced to 34% with average rates increasing by 4.44% (lower than residential). This rebate provides ongoing rate relief to farmers. In 2014</w:t>
      </w:r>
      <w:r w:rsidRPr="005167B1">
        <w:rPr>
          <w:rFonts w:cs="Lucida Sans Unicode"/>
          <w:szCs w:val="22"/>
        </w:rPr>
        <w:noBreakHyphen/>
      </w:r>
      <w:r w:rsidR="00AB3A50" w:rsidRPr="005167B1">
        <w:rPr>
          <w:rFonts w:cs="Lucida Sans Unicode"/>
          <w:szCs w:val="22"/>
        </w:rPr>
        <w:t xml:space="preserve">15 </w:t>
      </w:r>
      <w:r w:rsidRPr="005167B1">
        <w:rPr>
          <w:rFonts w:cs="Lucida Sans Unicode"/>
          <w:szCs w:val="22"/>
        </w:rPr>
        <w:t>a 34% rebate represents a cost to Council of $1.308M.</w:t>
      </w:r>
    </w:p>
    <w:p w:rsidR="00A23966" w:rsidRPr="005167B1" w:rsidRDefault="00AB07CF" w:rsidP="005167B1">
      <w:pPr>
        <w:pStyle w:val="ListParagraph"/>
        <w:numPr>
          <w:ilvl w:val="0"/>
          <w:numId w:val="43"/>
        </w:numPr>
        <w:spacing w:after="80"/>
        <w:ind w:left="357" w:hanging="357"/>
        <w:jc w:val="both"/>
      </w:pPr>
      <w:r w:rsidRPr="005167B1">
        <w:rPr>
          <w:rFonts w:cs="Lucida Sans Unicode"/>
          <w:szCs w:val="22"/>
        </w:rPr>
        <w:t xml:space="preserve">The Housing Support Waiver for eligible Charitable Housing </w:t>
      </w:r>
      <w:r w:rsidR="009411F1" w:rsidRPr="005167B1">
        <w:rPr>
          <w:rFonts w:cs="Lucida Sans Unicode"/>
          <w:szCs w:val="22"/>
        </w:rPr>
        <w:t>was</w:t>
      </w:r>
      <w:r w:rsidRPr="005167B1">
        <w:rPr>
          <w:rFonts w:cs="Lucida Sans Unicode"/>
          <w:szCs w:val="22"/>
        </w:rPr>
        <w:t xml:space="preserve"> maintained for 2014-</w:t>
      </w:r>
      <w:r w:rsidR="00AB3A50" w:rsidRPr="005167B1">
        <w:rPr>
          <w:rFonts w:cs="Lucida Sans Unicode"/>
          <w:szCs w:val="22"/>
        </w:rPr>
        <w:t>15</w:t>
      </w:r>
      <w:r w:rsidRPr="005167B1">
        <w:rPr>
          <w:rFonts w:cs="Lucida Sans Unicode"/>
          <w:szCs w:val="22"/>
        </w:rPr>
        <w:t>.</w:t>
      </w:r>
    </w:p>
    <w:p w:rsidR="00A23966" w:rsidRPr="005167B1" w:rsidRDefault="00AB07CF" w:rsidP="005167B1">
      <w:pPr>
        <w:pStyle w:val="ListParagraph"/>
        <w:numPr>
          <w:ilvl w:val="0"/>
          <w:numId w:val="43"/>
        </w:numPr>
        <w:spacing w:after="80"/>
        <w:ind w:left="357" w:hanging="357"/>
        <w:jc w:val="both"/>
      </w:pPr>
      <w:r w:rsidRPr="005167B1">
        <w:rPr>
          <w:rFonts w:cs="Lucida Sans Unicode"/>
          <w:szCs w:val="22"/>
        </w:rPr>
        <w:t>The transitional rebate introduced in 2010-</w:t>
      </w:r>
      <w:r w:rsidR="00AB3A50" w:rsidRPr="005167B1">
        <w:rPr>
          <w:rFonts w:cs="Lucida Sans Unicode"/>
          <w:szCs w:val="22"/>
        </w:rPr>
        <w:t xml:space="preserve">11 </w:t>
      </w:r>
      <w:r w:rsidRPr="005167B1">
        <w:rPr>
          <w:rFonts w:cs="Lucida Sans Unicode"/>
          <w:szCs w:val="22"/>
        </w:rPr>
        <w:t xml:space="preserve">for nominated charitable housing properties </w:t>
      </w:r>
      <w:r w:rsidR="009411F1" w:rsidRPr="005167B1">
        <w:rPr>
          <w:rFonts w:cs="Lucida Sans Unicode"/>
          <w:szCs w:val="22"/>
        </w:rPr>
        <w:t>was</w:t>
      </w:r>
      <w:r w:rsidRPr="005167B1">
        <w:rPr>
          <w:rFonts w:cs="Lucida Sans Unicode"/>
          <w:szCs w:val="22"/>
        </w:rPr>
        <w:t xml:space="preserve"> reduced to a 25% rebate in 2014-</w:t>
      </w:r>
      <w:r w:rsidR="00AB3A50" w:rsidRPr="005167B1">
        <w:rPr>
          <w:rFonts w:cs="Lucida Sans Unicode"/>
          <w:szCs w:val="22"/>
        </w:rPr>
        <w:t>15</w:t>
      </w:r>
      <w:r w:rsidRPr="005167B1">
        <w:rPr>
          <w:rFonts w:cs="Lucida Sans Unicode"/>
          <w:szCs w:val="22"/>
        </w:rPr>
        <w:t>.</w:t>
      </w:r>
    </w:p>
    <w:p w:rsidR="00A23966" w:rsidRPr="005167B1" w:rsidRDefault="00AB07CF" w:rsidP="005167B1">
      <w:pPr>
        <w:pStyle w:val="ListParagraph"/>
        <w:numPr>
          <w:ilvl w:val="0"/>
          <w:numId w:val="43"/>
        </w:numPr>
        <w:spacing w:after="80"/>
        <w:ind w:left="357" w:hanging="357"/>
        <w:jc w:val="both"/>
      </w:pPr>
      <w:r w:rsidRPr="005167B1">
        <w:rPr>
          <w:rFonts w:cs="Lucida Sans Unicode"/>
          <w:szCs w:val="22"/>
        </w:rPr>
        <w:t>A rates waiver introduced for the New Corio Estate from 2013-</w:t>
      </w:r>
      <w:r w:rsidR="00AB3A50" w:rsidRPr="005167B1">
        <w:rPr>
          <w:rFonts w:cs="Lucida Sans Unicode"/>
          <w:szCs w:val="22"/>
        </w:rPr>
        <w:t xml:space="preserve">14 </w:t>
      </w:r>
      <w:r w:rsidRPr="005167B1">
        <w:rPr>
          <w:rFonts w:cs="Lucida Sans Unicode"/>
          <w:szCs w:val="22"/>
        </w:rPr>
        <w:t xml:space="preserve">recognising this inappropriate subdivision and Planning Scheme Amendment C243 </w:t>
      </w:r>
      <w:r w:rsidR="009411F1" w:rsidRPr="005167B1">
        <w:rPr>
          <w:rFonts w:cs="Lucida Sans Unicode"/>
          <w:szCs w:val="22"/>
        </w:rPr>
        <w:t>was</w:t>
      </w:r>
      <w:r w:rsidRPr="005167B1">
        <w:rPr>
          <w:rFonts w:cs="Lucida Sans Unicode"/>
          <w:szCs w:val="22"/>
        </w:rPr>
        <w:t xml:space="preserve"> maintained.</w:t>
      </w:r>
    </w:p>
    <w:p w:rsidR="00A23966" w:rsidRPr="005167B1" w:rsidRDefault="00AB07CF" w:rsidP="005167B1">
      <w:pPr>
        <w:pStyle w:val="ListParagraph"/>
        <w:numPr>
          <w:ilvl w:val="0"/>
          <w:numId w:val="43"/>
        </w:numPr>
        <w:spacing w:after="80"/>
        <w:ind w:left="357" w:hanging="357"/>
        <w:jc w:val="both"/>
      </w:pPr>
      <w:r w:rsidRPr="005167B1">
        <w:rPr>
          <w:rFonts w:cs="Lucida Sans Unicode"/>
          <w:szCs w:val="22"/>
        </w:rPr>
        <w:t>The pensioner concession increase</w:t>
      </w:r>
      <w:r w:rsidR="009411F1" w:rsidRPr="005167B1">
        <w:rPr>
          <w:rFonts w:cs="Lucida Sans Unicode"/>
          <w:szCs w:val="22"/>
        </w:rPr>
        <w:t>d</w:t>
      </w:r>
      <w:r w:rsidRPr="005167B1">
        <w:rPr>
          <w:rFonts w:cs="Lucida Sans Unicode"/>
          <w:szCs w:val="22"/>
        </w:rPr>
        <w:t xml:space="preserve"> from $202.90 in accordance with movement in </w:t>
      </w:r>
      <w:smartTag w:uri="urn:schemas-microsoft-com:office:smarttags" w:element="stockticker">
        <w:r w:rsidRPr="005167B1">
          <w:rPr>
            <w:rFonts w:cs="Lucida Sans Unicode"/>
            <w:szCs w:val="22"/>
          </w:rPr>
          <w:t>CPI</w:t>
        </w:r>
      </w:smartTag>
      <w:r w:rsidRPr="005167B1">
        <w:rPr>
          <w:rFonts w:cs="Lucida Sans Unicode"/>
          <w:szCs w:val="22"/>
        </w:rPr>
        <w:t xml:space="preserve"> for Melbourne as advised by the Australian Bureau of Statistics to $208.00.</w:t>
      </w:r>
    </w:p>
    <w:p w:rsidR="00DC4385" w:rsidRDefault="00DC4385" w:rsidP="00D43F06">
      <w:pPr>
        <w:pStyle w:val="Heading5A"/>
      </w:pPr>
    </w:p>
    <w:p w:rsidR="00AB07CF" w:rsidRPr="00BA4451" w:rsidRDefault="00AB07CF" w:rsidP="00D43F06">
      <w:pPr>
        <w:pStyle w:val="Heading5A"/>
      </w:pPr>
      <w:r w:rsidRPr="00BA4451">
        <w:t>Recycling and Waste Collection Service Charge</w:t>
      </w:r>
    </w:p>
    <w:p w:rsidR="00AB07CF" w:rsidRPr="00D576C5" w:rsidRDefault="00AB07CF">
      <w:pPr>
        <w:pStyle w:val="BodyText"/>
        <w:rPr>
          <w:lang w:val="en-US"/>
        </w:rPr>
      </w:pPr>
      <w:r w:rsidRPr="00D576C5">
        <w:t xml:space="preserve">The Annual Service Charge </w:t>
      </w:r>
      <w:r w:rsidR="009411F1">
        <w:t>was</w:t>
      </w:r>
      <w:r w:rsidRPr="00D576C5">
        <w:t xml:space="preserve"> $</w:t>
      </w:r>
      <w:r>
        <w:t>246.50</w:t>
      </w:r>
      <w:r w:rsidRPr="00D576C5">
        <w:t xml:space="preserve"> for each rateable land and non-rateable land. The charge </w:t>
      </w:r>
      <w:r w:rsidR="009411F1">
        <w:t>was</w:t>
      </w:r>
      <w:r w:rsidRPr="00D576C5">
        <w:t xml:space="preserve"> levied on the following criteria:</w:t>
      </w:r>
    </w:p>
    <w:p w:rsidR="00A23966" w:rsidRPr="005167B1" w:rsidRDefault="00AB07CF" w:rsidP="005167B1">
      <w:pPr>
        <w:pStyle w:val="ListParagraph"/>
        <w:numPr>
          <w:ilvl w:val="0"/>
          <w:numId w:val="43"/>
        </w:numPr>
        <w:spacing w:after="80"/>
        <w:ind w:left="357" w:hanging="357"/>
        <w:jc w:val="both"/>
      </w:pPr>
      <w:r w:rsidRPr="005A2AD5">
        <w:rPr>
          <w:rFonts w:cs="Lucida Sans Unicode"/>
          <w:szCs w:val="22"/>
        </w:rPr>
        <w:t xml:space="preserve">Geographic existence within those areas of the municipal district in which </w:t>
      </w:r>
      <w:r w:rsidR="00DF673F" w:rsidRPr="005167B1">
        <w:rPr>
          <w:rFonts w:cs="Lucida Sans Unicode"/>
          <w:szCs w:val="22"/>
        </w:rPr>
        <w:t xml:space="preserve">the City </w:t>
      </w:r>
      <w:r w:rsidRPr="005167B1">
        <w:rPr>
          <w:rFonts w:cs="Lucida Sans Unicode"/>
          <w:szCs w:val="22"/>
        </w:rPr>
        <w:t xml:space="preserve">provides a domestic refuse collection and disposal service. </w:t>
      </w:r>
    </w:p>
    <w:p w:rsidR="00A23966" w:rsidRPr="005167B1" w:rsidRDefault="00AB07CF" w:rsidP="005167B1">
      <w:pPr>
        <w:pStyle w:val="ListParagraph"/>
        <w:numPr>
          <w:ilvl w:val="0"/>
          <w:numId w:val="43"/>
        </w:numPr>
        <w:spacing w:after="80"/>
        <w:ind w:left="357" w:hanging="357"/>
        <w:jc w:val="both"/>
      </w:pPr>
      <w:r w:rsidRPr="005167B1">
        <w:rPr>
          <w:rFonts w:cs="Lucida Sans Unicode"/>
          <w:szCs w:val="22"/>
        </w:rPr>
        <w:t xml:space="preserve">The charge </w:t>
      </w:r>
      <w:r w:rsidR="009411F1" w:rsidRPr="005167B1">
        <w:rPr>
          <w:rFonts w:cs="Lucida Sans Unicode"/>
          <w:szCs w:val="22"/>
        </w:rPr>
        <w:t>was</w:t>
      </w:r>
      <w:r w:rsidRPr="005167B1">
        <w:rPr>
          <w:rFonts w:cs="Lucida Sans Unicode"/>
          <w:szCs w:val="22"/>
        </w:rPr>
        <w:t xml:space="preserve"> raised irrespective of whether the service </w:t>
      </w:r>
      <w:r w:rsidR="009411F1" w:rsidRPr="005167B1">
        <w:rPr>
          <w:rFonts w:cs="Lucida Sans Unicode"/>
          <w:szCs w:val="22"/>
        </w:rPr>
        <w:t>was</w:t>
      </w:r>
      <w:r w:rsidRPr="005167B1">
        <w:rPr>
          <w:rFonts w:cs="Lucida Sans Unicode"/>
          <w:szCs w:val="22"/>
        </w:rPr>
        <w:t xml:space="preserve"> used or not.</w:t>
      </w:r>
    </w:p>
    <w:p w:rsidR="00F462EA" w:rsidRDefault="00AB07CF">
      <w:pPr>
        <w:pStyle w:val="BodyText"/>
      </w:pPr>
      <w:r w:rsidRPr="00B0096F">
        <w:t xml:space="preserve">The Waste Collection Service charge is calculated based on a fee for service, including direct, indirect </w:t>
      </w:r>
      <w:r>
        <w:t>and o</w:t>
      </w:r>
      <w:r w:rsidRPr="00B0096F">
        <w:t>verhead costs.  The charge for 201</w:t>
      </w:r>
      <w:r>
        <w:t>4</w:t>
      </w:r>
      <w:r w:rsidRPr="00B0096F">
        <w:noBreakHyphen/>
      </w:r>
      <w:r w:rsidR="00AB3A50">
        <w:t>15</w:t>
      </w:r>
      <w:r w:rsidR="00AB3A50" w:rsidRPr="00B0096F">
        <w:t xml:space="preserve"> </w:t>
      </w:r>
      <w:r w:rsidRPr="00B0096F">
        <w:t>increase</w:t>
      </w:r>
      <w:r w:rsidR="009411F1">
        <w:t>d</w:t>
      </w:r>
      <w:r w:rsidRPr="00B0096F">
        <w:t xml:space="preserve"> from $</w:t>
      </w:r>
      <w:r>
        <w:t>234.50</w:t>
      </w:r>
      <w:r w:rsidRPr="00B0096F">
        <w:t xml:space="preserve"> to $2</w:t>
      </w:r>
      <w:r>
        <w:t>46</w:t>
      </w:r>
      <w:r w:rsidRPr="00B0096F">
        <w:t xml:space="preserve">.50 or </w:t>
      </w:r>
      <w:r>
        <w:t>5.1</w:t>
      </w:r>
      <w:r w:rsidRPr="00B0096F">
        <w:t>%.</w:t>
      </w:r>
      <w:r w:rsidR="00684E2B">
        <w:t xml:space="preserve"> </w:t>
      </w:r>
      <w:r>
        <w:t xml:space="preserve">Larger 140 litre general waste bins </w:t>
      </w:r>
      <w:r w:rsidR="009411F1">
        <w:t>was</w:t>
      </w:r>
      <w:r>
        <w:t xml:space="preserve"> introduced in 2013-</w:t>
      </w:r>
      <w:r w:rsidR="00AB3A50">
        <w:t>14</w:t>
      </w:r>
      <w:r>
        <w:t xml:space="preserve">. These bins replace damaged or stolen 120 litre bins. There </w:t>
      </w:r>
      <w:r w:rsidR="009411F1">
        <w:t>was</w:t>
      </w:r>
      <w:r>
        <w:t xml:space="preserve"> no additional charge to the ratepayer for this increased service.</w:t>
      </w:r>
      <w:r w:rsidR="00684E2B">
        <w:t xml:space="preserve"> </w:t>
      </w:r>
      <w:r w:rsidRPr="001D7C3A">
        <w:t xml:space="preserve">The Waste Voucher system </w:t>
      </w:r>
      <w:r>
        <w:t xml:space="preserve">for residential properties </w:t>
      </w:r>
      <w:r w:rsidR="009411F1">
        <w:t>did</w:t>
      </w:r>
      <w:r w:rsidRPr="001D7C3A">
        <w:t xml:space="preserve"> not continue in 2014-</w:t>
      </w:r>
      <w:r w:rsidR="00AB3A50">
        <w:t>15</w:t>
      </w:r>
      <w:r w:rsidRPr="001D7C3A">
        <w:t>.</w:t>
      </w:r>
    </w:p>
    <w:p w:rsidR="00F462EA" w:rsidRDefault="00AB07CF">
      <w:pPr>
        <w:pStyle w:val="BodyText"/>
      </w:pPr>
      <w:r w:rsidRPr="00E74929">
        <w:t xml:space="preserve">Provision </w:t>
      </w:r>
      <w:r w:rsidR="009411F1">
        <w:t>was</w:t>
      </w:r>
      <w:r w:rsidRPr="00E74929">
        <w:t xml:space="preserve"> </w:t>
      </w:r>
      <w:r>
        <w:t>retained</w:t>
      </w:r>
      <w:r w:rsidRPr="00E74929">
        <w:t xml:space="preserve"> for a HACC support program for</w:t>
      </w:r>
      <w:r>
        <w:t xml:space="preserve"> aged and disadvantaged</w:t>
      </w:r>
      <w:r w:rsidRPr="00E74929">
        <w:t xml:space="preserve"> residents requiring assistance with waste removal.</w:t>
      </w:r>
    </w:p>
    <w:p w:rsidR="00AB07CF" w:rsidRPr="00BA4451" w:rsidRDefault="00AB07CF" w:rsidP="00D43F06">
      <w:pPr>
        <w:pStyle w:val="Heading5A"/>
      </w:pPr>
      <w:r w:rsidRPr="00BA4451">
        <w:t>Residential Rates and Charges</w:t>
      </w:r>
    </w:p>
    <w:p w:rsidR="00AB07CF" w:rsidRPr="00D576C5" w:rsidRDefault="00AB07CF">
      <w:pPr>
        <w:pStyle w:val="BodyText"/>
      </w:pPr>
      <w:r>
        <w:t>T</w:t>
      </w:r>
      <w:r w:rsidRPr="00D576C5">
        <w:t xml:space="preserve">he average Capital Improved Value of residential properties within the municipality </w:t>
      </w:r>
      <w:r>
        <w:t xml:space="preserve">increased </w:t>
      </w:r>
      <w:r w:rsidRPr="00D576C5">
        <w:t>from $</w:t>
      </w:r>
      <w:r>
        <w:t>365,610</w:t>
      </w:r>
      <w:r w:rsidRPr="00D576C5">
        <w:t xml:space="preserve"> to $</w:t>
      </w:r>
      <w:r>
        <w:t>375,674</w:t>
      </w:r>
      <w:r w:rsidRPr="00D576C5">
        <w:t>.</w:t>
      </w:r>
      <w:r>
        <w:t xml:space="preserve"> This reflect</w:t>
      </w:r>
      <w:r w:rsidR="00684E2B">
        <w:t>ed</w:t>
      </w:r>
      <w:r>
        <w:t xml:space="preserve"> a 1.9% growth in the number of residential properties together with growth of 2.16% in Residential Capital Improved Value.</w:t>
      </w:r>
    </w:p>
    <w:p w:rsidR="00683CDE" w:rsidRDefault="00AB07CF">
      <w:pPr>
        <w:pStyle w:val="BodyText"/>
      </w:pPr>
      <w:r w:rsidRPr="00D576C5">
        <w:t>The total increase in rates and charges for the average property with a capital improved value of $</w:t>
      </w:r>
      <w:r>
        <w:t>375,674</w:t>
      </w:r>
      <w:r w:rsidRPr="00D576C5">
        <w:t xml:space="preserve"> </w:t>
      </w:r>
      <w:r w:rsidR="00684E2B">
        <w:t>wa</w:t>
      </w:r>
      <w:r w:rsidRPr="00D576C5">
        <w:t>s $</w:t>
      </w:r>
      <w:r>
        <w:t>58.50</w:t>
      </w:r>
      <w:r w:rsidRPr="00D576C5">
        <w:t xml:space="preserve"> or </w:t>
      </w:r>
      <w:r>
        <w:t>4.51</w:t>
      </w:r>
      <w:r w:rsidRPr="00D576C5">
        <w:t xml:space="preserve">%. This increase </w:t>
      </w:r>
      <w:r w:rsidR="00684E2B">
        <w:t>wa</w:t>
      </w:r>
      <w:r w:rsidRPr="00D576C5">
        <w:t>s made up of $</w:t>
      </w:r>
      <w:r>
        <w:t>43.85</w:t>
      </w:r>
      <w:r w:rsidRPr="00D576C5">
        <w:t xml:space="preserve"> for General Rates, $</w:t>
      </w:r>
      <w:r>
        <w:t>2.65</w:t>
      </w:r>
      <w:r w:rsidRPr="00D576C5">
        <w:t xml:space="preserve"> for Municipal Charge and $</w:t>
      </w:r>
      <w:r>
        <w:t>12.00</w:t>
      </w:r>
      <w:r w:rsidRPr="00D576C5">
        <w:t xml:space="preserve"> for the Waste Collection </w:t>
      </w:r>
      <w:r>
        <w:t>S</w:t>
      </w:r>
      <w:r w:rsidRPr="00D576C5">
        <w:t>ervice.</w:t>
      </w:r>
    </w:p>
    <w:p w:rsidR="00683CDE" w:rsidRPr="00E60EA6" w:rsidRDefault="00683CDE">
      <w:pPr>
        <w:spacing w:before="0" w:after="0"/>
        <w:rPr>
          <w:rFonts w:cs="Lucida Sans Unicode"/>
          <w:bCs/>
          <w:noProof/>
          <w:snapToGrid w:val="0"/>
          <w:szCs w:val="22"/>
          <w:lang w:val="en-GB" w:eastAsia="en-AU"/>
        </w:rPr>
      </w:pPr>
      <w:r>
        <w:br w:type="page"/>
      </w:r>
    </w:p>
    <w:tbl>
      <w:tblPr>
        <w:tblW w:w="8376" w:type="dxa"/>
        <w:tblInd w:w="95" w:type="dxa"/>
        <w:tblLook w:val="01E0" w:firstRow="1" w:lastRow="1" w:firstColumn="1" w:lastColumn="1" w:noHBand="0" w:noVBand="0"/>
      </w:tblPr>
      <w:tblGrid>
        <w:gridCol w:w="3699"/>
        <w:gridCol w:w="1559"/>
        <w:gridCol w:w="1559"/>
        <w:gridCol w:w="1559"/>
      </w:tblGrid>
      <w:tr w:rsidR="00AB07CF" w:rsidRPr="00E60EA6" w:rsidTr="004A446B">
        <w:trPr>
          <w:trHeight w:val="20"/>
        </w:trPr>
        <w:tc>
          <w:tcPr>
            <w:tcW w:w="3699" w:type="dxa"/>
            <w:tcBorders>
              <w:top w:val="single" w:sz="4" w:space="0" w:color="auto"/>
              <w:bottom w:val="single" w:sz="4" w:space="0" w:color="auto"/>
            </w:tcBorders>
            <w:shd w:val="clear" w:color="auto" w:fill="auto"/>
            <w:vAlign w:val="bottom"/>
            <w:hideMark/>
          </w:tcPr>
          <w:p w:rsidR="00AB07CF" w:rsidRPr="00683CDE" w:rsidRDefault="00AB07CF" w:rsidP="004A446B">
            <w:pPr>
              <w:spacing w:before="0" w:after="0"/>
              <w:rPr>
                <w:rFonts w:ascii="News Gothic Std" w:hAnsi="News Gothic Std" w:cs="Arial"/>
                <w:bCs/>
                <w:color w:val="0070C0"/>
                <w:sz w:val="18"/>
                <w:szCs w:val="18"/>
                <w:lang w:eastAsia="en-AU"/>
              </w:rPr>
            </w:pPr>
            <w:r w:rsidRPr="00683CDE">
              <w:rPr>
                <w:rFonts w:ascii="News Gothic Std" w:hAnsi="News Gothic Std" w:cs="Arial"/>
                <w:bCs/>
                <w:color w:val="0070C0"/>
                <w:sz w:val="18"/>
                <w:szCs w:val="18"/>
                <w:lang w:eastAsia="en-AU"/>
              </w:rPr>
              <w:lastRenderedPageBreak/>
              <w:t>Residential Properties</w:t>
            </w:r>
          </w:p>
        </w:tc>
        <w:tc>
          <w:tcPr>
            <w:tcW w:w="1559" w:type="dxa"/>
            <w:tcBorders>
              <w:top w:val="single" w:sz="4" w:space="0" w:color="auto"/>
              <w:bottom w:val="single" w:sz="4" w:space="0" w:color="auto"/>
            </w:tcBorders>
            <w:shd w:val="clear" w:color="auto" w:fill="auto"/>
            <w:vAlign w:val="bottom"/>
            <w:hideMark/>
          </w:tcPr>
          <w:p w:rsidR="00AB07CF" w:rsidRPr="00683CDE" w:rsidRDefault="00AB07CF" w:rsidP="004A446B">
            <w:pPr>
              <w:spacing w:before="0" w:after="0"/>
              <w:jc w:val="right"/>
              <w:rPr>
                <w:rFonts w:ascii="News Gothic Std" w:hAnsi="News Gothic Std" w:cs="Arial"/>
                <w:bCs/>
                <w:color w:val="0070C0"/>
                <w:sz w:val="18"/>
                <w:szCs w:val="18"/>
                <w:lang w:eastAsia="en-AU"/>
              </w:rPr>
            </w:pPr>
            <w:r w:rsidRPr="00683CDE">
              <w:rPr>
                <w:rFonts w:ascii="News Gothic Std" w:hAnsi="News Gothic Std" w:cs="Arial"/>
                <w:bCs/>
                <w:color w:val="0070C0"/>
                <w:sz w:val="18"/>
                <w:szCs w:val="18"/>
                <w:lang w:eastAsia="en-AU"/>
              </w:rPr>
              <w:t>2013-</w:t>
            </w:r>
            <w:r w:rsidR="00AB3A50" w:rsidRPr="00683CDE">
              <w:rPr>
                <w:rFonts w:ascii="News Gothic Std" w:hAnsi="News Gothic Std" w:cs="Arial"/>
                <w:bCs/>
                <w:color w:val="0070C0"/>
                <w:sz w:val="18"/>
                <w:szCs w:val="18"/>
                <w:lang w:eastAsia="en-AU"/>
              </w:rPr>
              <w:t>14</w:t>
            </w:r>
          </w:p>
          <w:p w:rsidR="00AB07CF" w:rsidRPr="00683CDE" w:rsidRDefault="00AB07CF" w:rsidP="004A446B">
            <w:pPr>
              <w:spacing w:before="0" w:after="0"/>
              <w:jc w:val="right"/>
              <w:rPr>
                <w:rFonts w:ascii="News Gothic Std" w:hAnsi="News Gothic Std" w:cs="Arial"/>
                <w:bCs/>
                <w:color w:val="0070C0"/>
                <w:sz w:val="18"/>
                <w:szCs w:val="18"/>
                <w:lang w:eastAsia="en-AU"/>
              </w:rPr>
            </w:pPr>
            <w:r w:rsidRPr="00683CDE">
              <w:rPr>
                <w:rFonts w:ascii="News Gothic Std" w:hAnsi="News Gothic Std" w:cs="Arial"/>
                <w:bCs/>
                <w:color w:val="0070C0"/>
                <w:sz w:val="18"/>
                <w:szCs w:val="18"/>
                <w:lang w:eastAsia="en-AU"/>
              </w:rPr>
              <w:t xml:space="preserve">Rates on Average </w:t>
            </w:r>
          </w:p>
          <w:p w:rsidR="00AB07CF" w:rsidRPr="00683CDE" w:rsidRDefault="00AB07CF" w:rsidP="004A446B">
            <w:pPr>
              <w:spacing w:before="0" w:after="0"/>
              <w:jc w:val="right"/>
              <w:rPr>
                <w:rFonts w:ascii="News Gothic Std" w:hAnsi="News Gothic Std" w:cs="Arial"/>
                <w:bCs/>
                <w:color w:val="0070C0"/>
                <w:sz w:val="18"/>
                <w:szCs w:val="18"/>
                <w:lang w:eastAsia="en-AU"/>
              </w:rPr>
            </w:pPr>
            <w:r w:rsidRPr="00683CDE">
              <w:rPr>
                <w:rFonts w:ascii="News Gothic Std" w:hAnsi="News Gothic Std" w:cs="Arial"/>
                <w:bCs/>
                <w:color w:val="0070C0"/>
                <w:sz w:val="18"/>
                <w:szCs w:val="18"/>
                <w:lang w:eastAsia="en-AU"/>
              </w:rPr>
              <w:t>CIV $</w:t>
            </w:r>
          </w:p>
        </w:tc>
        <w:tc>
          <w:tcPr>
            <w:tcW w:w="1559" w:type="dxa"/>
            <w:tcBorders>
              <w:top w:val="single" w:sz="4" w:space="0" w:color="auto"/>
              <w:bottom w:val="single" w:sz="4" w:space="0" w:color="auto"/>
            </w:tcBorders>
            <w:shd w:val="clear" w:color="auto" w:fill="auto"/>
            <w:vAlign w:val="bottom"/>
            <w:hideMark/>
          </w:tcPr>
          <w:p w:rsidR="00AB07CF" w:rsidRPr="00683CDE" w:rsidRDefault="00AB07CF" w:rsidP="004A446B">
            <w:pPr>
              <w:spacing w:before="0" w:after="0"/>
              <w:jc w:val="right"/>
              <w:rPr>
                <w:rFonts w:ascii="News Gothic Std" w:hAnsi="News Gothic Std" w:cs="Arial"/>
                <w:bCs/>
                <w:color w:val="0070C0"/>
                <w:sz w:val="18"/>
                <w:szCs w:val="18"/>
                <w:lang w:eastAsia="en-AU"/>
              </w:rPr>
            </w:pPr>
            <w:r w:rsidRPr="00683CDE">
              <w:rPr>
                <w:rFonts w:ascii="News Gothic Std" w:hAnsi="News Gothic Std" w:cs="Arial"/>
                <w:bCs/>
                <w:color w:val="0070C0"/>
                <w:sz w:val="18"/>
                <w:szCs w:val="18"/>
                <w:lang w:eastAsia="en-AU"/>
              </w:rPr>
              <w:t>2014-</w:t>
            </w:r>
            <w:r w:rsidR="00AB3A50" w:rsidRPr="00683CDE">
              <w:rPr>
                <w:rFonts w:ascii="News Gothic Std" w:hAnsi="News Gothic Std" w:cs="Arial"/>
                <w:bCs/>
                <w:color w:val="0070C0"/>
                <w:sz w:val="18"/>
                <w:szCs w:val="18"/>
                <w:lang w:eastAsia="en-AU"/>
              </w:rPr>
              <w:t>15</w:t>
            </w:r>
          </w:p>
          <w:p w:rsidR="00AB07CF" w:rsidRPr="00683CDE" w:rsidRDefault="00AB07CF" w:rsidP="004A446B">
            <w:pPr>
              <w:spacing w:before="0" w:after="0"/>
              <w:jc w:val="right"/>
              <w:rPr>
                <w:rFonts w:ascii="News Gothic Std" w:hAnsi="News Gothic Std" w:cs="Arial"/>
                <w:bCs/>
                <w:color w:val="0070C0"/>
                <w:sz w:val="18"/>
                <w:szCs w:val="18"/>
                <w:lang w:eastAsia="en-AU"/>
              </w:rPr>
            </w:pPr>
            <w:r w:rsidRPr="00683CDE">
              <w:rPr>
                <w:rFonts w:ascii="News Gothic Std" w:hAnsi="News Gothic Std" w:cs="Arial"/>
                <w:bCs/>
                <w:color w:val="0070C0"/>
                <w:sz w:val="18"/>
                <w:szCs w:val="18"/>
                <w:lang w:eastAsia="en-AU"/>
              </w:rPr>
              <w:t>Budget Rates on Average CIV $</w:t>
            </w:r>
          </w:p>
        </w:tc>
        <w:tc>
          <w:tcPr>
            <w:tcW w:w="1559" w:type="dxa"/>
            <w:tcBorders>
              <w:top w:val="single" w:sz="4" w:space="0" w:color="auto"/>
              <w:bottom w:val="single" w:sz="4" w:space="0" w:color="auto"/>
            </w:tcBorders>
            <w:shd w:val="clear" w:color="auto" w:fill="auto"/>
            <w:vAlign w:val="bottom"/>
            <w:hideMark/>
          </w:tcPr>
          <w:p w:rsidR="00AB07CF" w:rsidRPr="00683CDE" w:rsidRDefault="00AB07CF" w:rsidP="004A446B">
            <w:pPr>
              <w:spacing w:before="0" w:after="0"/>
              <w:jc w:val="right"/>
              <w:rPr>
                <w:rFonts w:ascii="News Gothic Std" w:hAnsi="News Gothic Std" w:cs="Arial"/>
                <w:bCs/>
                <w:color w:val="0070C0"/>
                <w:sz w:val="18"/>
                <w:szCs w:val="18"/>
                <w:lang w:eastAsia="en-AU"/>
              </w:rPr>
            </w:pPr>
            <w:r w:rsidRPr="00683CDE">
              <w:rPr>
                <w:rFonts w:ascii="News Gothic Std" w:hAnsi="News Gothic Std" w:cs="Arial"/>
                <w:bCs/>
                <w:color w:val="0070C0"/>
                <w:sz w:val="18"/>
                <w:szCs w:val="18"/>
                <w:lang w:eastAsia="en-AU"/>
              </w:rPr>
              <w:t>Increase %</w:t>
            </w:r>
          </w:p>
        </w:tc>
      </w:tr>
      <w:tr w:rsidR="00AB07CF" w:rsidRPr="00E60EA6" w:rsidTr="004A446B">
        <w:trPr>
          <w:trHeight w:val="20"/>
        </w:trPr>
        <w:tc>
          <w:tcPr>
            <w:tcW w:w="3699" w:type="dxa"/>
            <w:tcBorders>
              <w:top w:val="single" w:sz="4" w:space="0" w:color="auto"/>
            </w:tcBorders>
            <w:shd w:val="clear" w:color="auto" w:fill="auto"/>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General Rates CIV x Rate in $</w:t>
            </w:r>
          </w:p>
        </w:tc>
        <w:tc>
          <w:tcPr>
            <w:tcW w:w="1559" w:type="dxa"/>
            <w:tcBorders>
              <w:top w:val="single" w:sz="4" w:space="0" w:color="auto"/>
            </w:tcBorders>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974.25 </w:t>
            </w:r>
          </w:p>
        </w:tc>
        <w:tc>
          <w:tcPr>
            <w:tcW w:w="1559" w:type="dxa"/>
            <w:tcBorders>
              <w:top w:val="single" w:sz="4" w:space="0" w:color="auto"/>
            </w:tcBorders>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1,018.10 </w:t>
            </w:r>
          </w:p>
        </w:tc>
        <w:tc>
          <w:tcPr>
            <w:tcW w:w="1559" w:type="dxa"/>
            <w:tcBorders>
              <w:top w:val="single" w:sz="4" w:space="0" w:color="auto"/>
            </w:tcBorders>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4.50%</w:t>
            </w:r>
          </w:p>
        </w:tc>
      </w:tr>
      <w:tr w:rsidR="00AB07CF" w:rsidRPr="00E60EA6" w:rsidTr="004A446B">
        <w:trPr>
          <w:trHeight w:val="20"/>
        </w:trPr>
        <w:tc>
          <w:tcPr>
            <w:tcW w:w="3699" w:type="dxa"/>
            <w:shd w:val="clear" w:color="auto" w:fill="auto"/>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Municipal Charge</w:t>
            </w:r>
          </w:p>
        </w:tc>
        <w:tc>
          <w:tcPr>
            <w:tcW w:w="1559" w:type="dxa"/>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88.90 </w:t>
            </w:r>
          </w:p>
        </w:tc>
        <w:tc>
          <w:tcPr>
            <w:tcW w:w="1559" w:type="dxa"/>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91.55 </w:t>
            </w:r>
          </w:p>
        </w:tc>
        <w:tc>
          <w:tcPr>
            <w:tcW w:w="1559" w:type="dxa"/>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2.98%</w:t>
            </w:r>
          </w:p>
        </w:tc>
      </w:tr>
      <w:tr w:rsidR="00AB07CF" w:rsidRPr="00E60EA6" w:rsidTr="004A446B">
        <w:trPr>
          <w:trHeight w:val="20"/>
        </w:trPr>
        <w:tc>
          <w:tcPr>
            <w:tcW w:w="3699" w:type="dxa"/>
            <w:tcBorders>
              <w:bottom w:val="single" w:sz="4" w:space="0" w:color="auto"/>
            </w:tcBorders>
            <w:shd w:val="clear" w:color="auto" w:fill="auto"/>
            <w:vAlign w:val="center"/>
            <w:hideMark/>
          </w:tcPr>
          <w:p w:rsidR="00AB07CF" w:rsidRPr="00E60EA6" w:rsidRDefault="00AB07CF" w:rsidP="004A446B">
            <w:pPr>
              <w:spacing w:before="0" w:after="0"/>
              <w:rPr>
                <w:rFonts w:cs="Lucida Sans Unicode"/>
                <w:color w:val="000000"/>
                <w:sz w:val="18"/>
                <w:szCs w:val="18"/>
                <w:lang w:eastAsia="en-AU"/>
              </w:rPr>
            </w:pPr>
            <w:r w:rsidRPr="00E60EA6">
              <w:rPr>
                <w:rFonts w:cs="Lucida Sans Unicode"/>
                <w:color w:val="000000"/>
                <w:sz w:val="18"/>
                <w:szCs w:val="18"/>
                <w:lang w:eastAsia="en-AU"/>
              </w:rPr>
              <w:t>Waste Collection Service</w:t>
            </w:r>
          </w:p>
        </w:tc>
        <w:tc>
          <w:tcPr>
            <w:tcW w:w="1559" w:type="dxa"/>
            <w:tcBorders>
              <w:bottom w:val="single" w:sz="4" w:space="0" w:color="auto"/>
            </w:tcBorders>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234.50 </w:t>
            </w:r>
          </w:p>
        </w:tc>
        <w:tc>
          <w:tcPr>
            <w:tcW w:w="1559" w:type="dxa"/>
            <w:tcBorders>
              <w:bottom w:val="single" w:sz="4" w:space="0" w:color="auto"/>
            </w:tcBorders>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246.50 </w:t>
            </w:r>
          </w:p>
        </w:tc>
        <w:tc>
          <w:tcPr>
            <w:tcW w:w="1559" w:type="dxa"/>
            <w:tcBorders>
              <w:bottom w:val="single" w:sz="4" w:space="0" w:color="auto"/>
            </w:tcBorders>
            <w:shd w:val="clear" w:color="auto" w:fill="auto"/>
            <w:vAlign w:val="center"/>
            <w:hideMark/>
          </w:tcPr>
          <w:p w:rsidR="00AB07CF" w:rsidRPr="00E60EA6" w:rsidRDefault="00AB07CF" w:rsidP="004A446B">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5.12%</w:t>
            </w:r>
          </w:p>
        </w:tc>
      </w:tr>
      <w:tr w:rsidR="00AB07CF" w:rsidRPr="00E60EA6" w:rsidTr="004A446B">
        <w:trPr>
          <w:trHeight w:val="20"/>
        </w:trPr>
        <w:tc>
          <w:tcPr>
            <w:tcW w:w="3699" w:type="dxa"/>
            <w:tcBorders>
              <w:top w:val="single" w:sz="4" w:space="0" w:color="auto"/>
              <w:bottom w:val="single" w:sz="4" w:space="0" w:color="auto"/>
            </w:tcBorders>
            <w:shd w:val="clear" w:color="auto" w:fill="auto"/>
            <w:vAlign w:val="center"/>
            <w:hideMark/>
          </w:tcPr>
          <w:p w:rsidR="00AB07CF" w:rsidRPr="00E60EA6" w:rsidRDefault="00AB07CF" w:rsidP="004A446B">
            <w:pPr>
              <w:spacing w:before="0" w:after="0"/>
              <w:rPr>
                <w:rFonts w:cs="Lucida Sans Unicode"/>
                <w:b/>
                <w:bCs/>
                <w:color w:val="000000"/>
                <w:sz w:val="18"/>
                <w:szCs w:val="18"/>
                <w:lang w:eastAsia="en-AU"/>
              </w:rPr>
            </w:pPr>
            <w:r w:rsidRPr="00E60EA6">
              <w:rPr>
                <w:rFonts w:cs="Lucida Sans Unicode"/>
                <w:b/>
                <w:bCs/>
                <w:color w:val="000000"/>
                <w:sz w:val="18"/>
                <w:szCs w:val="18"/>
                <w:lang w:eastAsia="en-AU"/>
              </w:rPr>
              <w:t>Total Rates and Charges</w:t>
            </w:r>
          </w:p>
        </w:tc>
        <w:tc>
          <w:tcPr>
            <w:tcW w:w="1559" w:type="dxa"/>
            <w:tcBorders>
              <w:top w:val="single" w:sz="4" w:space="0" w:color="auto"/>
              <w:bottom w:val="single" w:sz="4" w:space="0" w:color="auto"/>
            </w:tcBorders>
            <w:shd w:val="clear" w:color="auto" w:fill="auto"/>
            <w:vAlign w:val="center"/>
            <w:hideMark/>
          </w:tcPr>
          <w:p w:rsidR="00AB07CF" w:rsidRPr="00E60EA6" w:rsidRDefault="00AB07CF" w:rsidP="004A446B">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 xml:space="preserve">1,297.65 </w:t>
            </w:r>
          </w:p>
        </w:tc>
        <w:tc>
          <w:tcPr>
            <w:tcW w:w="1559" w:type="dxa"/>
            <w:tcBorders>
              <w:top w:val="single" w:sz="4" w:space="0" w:color="auto"/>
              <w:bottom w:val="single" w:sz="4" w:space="0" w:color="auto"/>
            </w:tcBorders>
            <w:shd w:val="clear" w:color="auto" w:fill="auto"/>
            <w:vAlign w:val="center"/>
            <w:hideMark/>
          </w:tcPr>
          <w:p w:rsidR="00AB07CF" w:rsidRPr="00E60EA6" w:rsidRDefault="00AB07CF" w:rsidP="004A446B">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 xml:space="preserve">1,356.15 </w:t>
            </w:r>
          </w:p>
        </w:tc>
        <w:tc>
          <w:tcPr>
            <w:tcW w:w="1559" w:type="dxa"/>
            <w:tcBorders>
              <w:top w:val="single" w:sz="4" w:space="0" w:color="auto"/>
              <w:bottom w:val="single" w:sz="4" w:space="0" w:color="auto"/>
            </w:tcBorders>
            <w:shd w:val="clear" w:color="auto" w:fill="auto"/>
            <w:vAlign w:val="center"/>
            <w:hideMark/>
          </w:tcPr>
          <w:p w:rsidR="00AB07CF" w:rsidRPr="00E60EA6" w:rsidRDefault="00AB07CF" w:rsidP="004A446B">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4.51%</w:t>
            </w:r>
          </w:p>
        </w:tc>
      </w:tr>
    </w:tbl>
    <w:p w:rsidR="00633DF8" w:rsidRDefault="008E66EE">
      <w:pPr>
        <w:pStyle w:val="BodyText"/>
      </w:pPr>
      <w:r w:rsidRPr="00E02BE6">
        <w:t>Investigation into the introduction of new differentials for 2014-</w:t>
      </w:r>
      <w:r w:rsidR="00AB3A50">
        <w:t>15</w:t>
      </w:r>
      <w:r w:rsidR="007E2AC5">
        <w:t>.</w:t>
      </w:r>
    </w:p>
    <w:p w:rsidR="00F462EA" w:rsidRDefault="008E66EE">
      <w:pPr>
        <w:pStyle w:val="BodyText"/>
      </w:pPr>
      <w:r w:rsidRPr="00452130">
        <w:t>In preparing the 2014-</w:t>
      </w:r>
      <w:r w:rsidR="00AB3A50">
        <w:t>15</w:t>
      </w:r>
      <w:r w:rsidR="00AB3A50" w:rsidRPr="00452130">
        <w:t xml:space="preserve"> </w:t>
      </w:r>
      <w:r w:rsidRPr="00452130">
        <w:t>Budget</w:t>
      </w:r>
      <w:r w:rsidR="00DF673F">
        <w:t>,</w:t>
      </w:r>
      <w:r w:rsidRPr="00452130">
        <w:t xml:space="preserve"> </w:t>
      </w:r>
      <w:r w:rsidR="00132FCB">
        <w:t>Council</w:t>
      </w:r>
      <w:r w:rsidRPr="00452130">
        <w:t xml:space="preserve"> investigated the introduction of a </w:t>
      </w:r>
      <w:r>
        <w:t>D</w:t>
      </w:r>
      <w:r w:rsidRPr="00452130">
        <w:t xml:space="preserve">erelict, </w:t>
      </w:r>
      <w:r>
        <w:t>R</w:t>
      </w:r>
      <w:r w:rsidRPr="00452130">
        <w:t xml:space="preserve">esidential </w:t>
      </w:r>
      <w:r>
        <w:t>I</w:t>
      </w:r>
      <w:r w:rsidRPr="00452130">
        <w:t xml:space="preserve">nvestment and </w:t>
      </w:r>
      <w:r>
        <w:t>R</w:t>
      </w:r>
      <w:r w:rsidRPr="00452130">
        <w:t xml:space="preserve">etirement </w:t>
      </w:r>
      <w:r>
        <w:t>V</w:t>
      </w:r>
      <w:r w:rsidRPr="00452130">
        <w:t xml:space="preserve">illage </w:t>
      </w:r>
      <w:r>
        <w:t>R</w:t>
      </w:r>
      <w:r w:rsidRPr="00452130">
        <w:t xml:space="preserve">ating differential in response to requests from </w:t>
      </w:r>
      <w:r w:rsidR="00132FCB">
        <w:t>Council</w:t>
      </w:r>
      <w:r w:rsidRPr="00452130">
        <w:t xml:space="preserve">ratepayers. Before declaring a differential rate for any land, </w:t>
      </w:r>
      <w:r w:rsidR="00132FCB">
        <w:t>Council</w:t>
      </w:r>
      <w:r w:rsidR="00DF673F" w:rsidRPr="00452130">
        <w:t xml:space="preserve"> </w:t>
      </w:r>
      <w:r w:rsidRPr="00452130">
        <w:t xml:space="preserve">must have regard to the Ministerial Guidelines for Differential Rating and the differential rate terminology must unambiguously correspond with clearly identified </w:t>
      </w:r>
      <w:r w:rsidRPr="0066426E">
        <w:t>uses, geographic location, planning scheme zoning of the land and types of buildings situated on it. As part of the consideration a thorough review of all issues was undertaken. Council supported officer recommendations not to proceed with these differentials.</w:t>
      </w:r>
    </w:p>
    <w:p w:rsidR="000744A6" w:rsidRDefault="008E66EE">
      <w:pPr>
        <w:pStyle w:val="Heading4A"/>
      </w:pPr>
      <w:r>
        <w:t>Derelict Differential</w:t>
      </w:r>
    </w:p>
    <w:p w:rsidR="008E66EE" w:rsidRPr="00D84722" w:rsidRDefault="008E66EE">
      <w:pPr>
        <w:pStyle w:val="BodyText"/>
      </w:pPr>
      <w:r>
        <w:t>Investigations into the possibility of introducing a Derelict differential were undertaken during 2013-</w:t>
      </w:r>
      <w:r w:rsidR="00AB3A50">
        <w:t xml:space="preserve">14 </w:t>
      </w:r>
      <w:r>
        <w:t>and a briefing provided to Council as part of the 2014-</w:t>
      </w:r>
      <w:r w:rsidR="00AB3A50">
        <w:t xml:space="preserve">15 </w:t>
      </w:r>
      <w:r>
        <w:t>Budget.</w:t>
      </w:r>
    </w:p>
    <w:p w:rsidR="008E66EE" w:rsidRDefault="008E66EE">
      <w:pPr>
        <w:pStyle w:val="BodyText"/>
      </w:pPr>
      <w:r w:rsidRPr="004523AD">
        <w:t>A property could be considered to be derelict if it has been deserted or abandoned by an owner or occupant. In addition</w:t>
      </w:r>
      <w:r>
        <w:t>,</w:t>
      </w:r>
      <w:r w:rsidRPr="004523AD">
        <w:t xml:space="preserve"> if the property is allowed to fall into ruins, or is neglected or dilapidated, it may be described as  derelict.</w:t>
      </w:r>
    </w:p>
    <w:p w:rsidR="00F462EA" w:rsidRDefault="00316155">
      <w:pPr>
        <w:pStyle w:val="BodyText"/>
      </w:pPr>
      <w:r>
        <w:t>Council</w:t>
      </w:r>
      <w:r w:rsidR="00DF673F" w:rsidRPr="004523AD">
        <w:t xml:space="preserve"> </w:t>
      </w:r>
      <w:r w:rsidR="008E66EE" w:rsidRPr="004523AD">
        <w:t xml:space="preserve">often receives complaints about abandoned and/or dilapidated buildings, particularly residential buildings that either present a safety hazard or detrimentally affect the amenity of the neighbourhood. </w:t>
      </w:r>
    </w:p>
    <w:p w:rsidR="00F462EA" w:rsidRDefault="00316155">
      <w:pPr>
        <w:pStyle w:val="BodyText"/>
      </w:pPr>
      <w:r>
        <w:t>Council</w:t>
      </w:r>
      <w:r w:rsidR="00DF673F" w:rsidRPr="004523AD">
        <w:t xml:space="preserve"> </w:t>
      </w:r>
      <w:r w:rsidR="008E66EE" w:rsidRPr="004523AD">
        <w:t>can only require property owners to secure the building (or materials thereon) to a level where a safety hazard no longer exists.</w:t>
      </w:r>
    </w:p>
    <w:p w:rsidR="00F462EA" w:rsidRDefault="008E66EE">
      <w:pPr>
        <w:pStyle w:val="BodyText"/>
      </w:pPr>
      <w:r w:rsidRPr="004523AD">
        <w:t xml:space="preserve">The </w:t>
      </w:r>
      <w:r w:rsidR="00C52306">
        <w:t>l</w:t>
      </w:r>
      <w:r w:rsidR="00C52306" w:rsidRPr="004523AD">
        <w:t xml:space="preserve">ocal </w:t>
      </w:r>
      <w:r w:rsidR="00C52306">
        <w:t>l</w:t>
      </w:r>
      <w:r w:rsidR="00C52306" w:rsidRPr="004523AD">
        <w:t xml:space="preserve">aws </w:t>
      </w:r>
      <w:r w:rsidRPr="004523AD">
        <w:t xml:space="preserve">department have investigated the introduction of a new local law in relation to dilapidated buildings. </w:t>
      </w:r>
      <w:r w:rsidR="00316155">
        <w:t>Council</w:t>
      </w:r>
      <w:r w:rsidR="00DF673F" w:rsidRPr="004523AD">
        <w:t xml:space="preserve"> </w:t>
      </w:r>
      <w:r w:rsidRPr="004523AD">
        <w:t>does not have the authority to introduce such a local law. The building regulations have been reviewed to see if any regulation relates to dilapidated or derelict buildings. Currently, there are no building regulations that can be utilised.</w:t>
      </w:r>
    </w:p>
    <w:p w:rsidR="00F462EA" w:rsidRDefault="008E66EE">
      <w:pPr>
        <w:pStyle w:val="BodyText"/>
      </w:pPr>
      <w:r w:rsidRPr="004523AD">
        <w:t>There are 110,000 properties in the municipality, therefore identification of derelict properties will be problematic.</w:t>
      </w:r>
    </w:p>
    <w:p w:rsidR="00F462EA" w:rsidRDefault="008E66EE">
      <w:pPr>
        <w:pStyle w:val="BodyText"/>
      </w:pPr>
      <w:r w:rsidRPr="004523AD">
        <w:t>There are no existing processes in place for the identification of derelict properties that would be fair and equitable to all ratepayers.</w:t>
      </w:r>
    </w:p>
    <w:p w:rsidR="00F462EA" w:rsidRDefault="008E66EE">
      <w:pPr>
        <w:pStyle w:val="BodyText"/>
      </w:pPr>
      <w:r w:rsidRPr="004523AD">
        <w:lastRenderedPageBreak/>
        <w:t>The following steps were undertaken as part of the investigation:</w:t>
      </w:r>
    </w:p>
    <w:p w:rsidR="00F462EA" w:rsidRDefault="008E66EE">
      <w:pPr>
        <w:pStyle w:val="BodyText"/>
      </w:pPr>
      <w:r w:rsidRPr="009E1ACE">
        <w:t xml:space="preserve">Discussions were held with </w:t>
      </w:r>
      <w:r w:rsidR="00C52306">
        <w:t>l</w:t>
      </w:r>
      <w:r w:rsidR="00C52306" w:rsidRPr="009E1ACE">
        <w:t xml:space="preserve">ocal </w:t>
      </w:r>
      <w:r w:rsidR="00C52306">
        <w:t>l</w:t>
      </w:r>
      <w:r w:rsidR="00C52306" w:rsidRPr="009E1ACE">
        <w:t>aws</w:t>
      </w:r>
      <w:r w:rsidRPr="009E1ACE">
        <w:t xml:space="preserve">, </w:t>
      </w:r>
      <w:r w:rsidR="00C52306">
        <w:t>p</w:t>
      </w:r>
      <w:r w:rsidR="00C52306" w:rsidRPr="009E1ACE">
        <w:t xml:space="preserve">lanning </w:t>
      </w:r>
      <w:r w:rsidRPr="009E1ACE">
        <w:t xml:space="preserve">and </w:t>
      </w:r>
      <w:r w:rsidR="00C52306">
        <w:t>b</w:t>
      </w:r>
      <w:r w:rsidR="00C52306" w:rsidRPr="009E1ACE">
        <w:t xml:space="preserve">uilding </w:t>
      </w:r>
      <w:r w:rsidRPr="009E1ACE">
        <w:t>departments. No department has a listing of derelict properties or criteria that may be considered to be derelict. The Building department were able to provide a report for buildings with a Building Notice Order (BNO). Analysis of this list resulted in five properties that may fit the classification of derelict.</w:t>
      </w:r>
    </w:p>
    <w:p w:rsidR="00F462EA" w:rsidRDefault="00316155">
      <w:pPr>
        <w:pStyle w:val="BodyText"/>
      </w:pPr>
      <w:r>
        <w:t>Council’s</w:t>
      </w:r>
      <w:r w:rsidR="00DF673F" w:rsidRPr="009E1ACE">
        <w:t xml:space="preserve"> </w:t>
      </w:r>
      <w:r w:rsidR="008E66EE" w:rsidRPr="009E1ACE">
        <w:t>database (110,000 records) was reviewed to compare the Site Value (SV) against the Capital Improved Value (CIV).</w:t>
      </w:r>
    </w:p>
    <w:p w:rsidR="00F462EA" w:rsidRDefault="008E66EE">
      <w:pPr>
        <w:pStyle w:val="BodyText"/>
      </w:pPr>
      <w:r w:rsidRPr="004523AD">
        <w:t>The listing was broken down into Council’s rate differentials.</w:t>
      </w:r>
    </w:p>
    <w:p w:rsidR="00F462EA" w:rsidRDefault="008E66EE">
      <w:pPr>
        <w:pStyle w:val="BodyText"/>
      </w:pPr>
      <w:r w:rsidRPr="004523AD">
        <w:t xml:space="preserve">The vast majority of residential properties have a higher CIV than SV since buildings add value to the overall property valuation. There were 1,847 properties where the SV matched the CIV. These properties were analysed as to why SV matched CIV. </w:t>
      </w:r>
    </w:p>
    <w:p w:rsidR="00F462EA" w:rsidRDefault="008E66EE">
      <w:pPr>
        <w:pStyle w:val="BodyText"/>
      </w:pPr>
      <w:r w:rsidRPr="004523AD">
        <w:t>In some instances the value of the land exceeded the value of the building. However, this did not mean that the property was derelict. No derelict properties were identified.</w:t>
      </w:r>
    </w:p>
    <w:p w:rsidR="00F462EA" w:rsidRDefault="008E66EE">
      <w:pPr>
        <w:pStyle w:val="BodyText"/>
      </w:pPr>
      <w:r w:rsidRPr="004523AD">
        <w:t xml:space="preserve">In summary, </w:t>
      </w:r>
      <w:r w:rsidR="00316155">
        <w:t>Council</w:t>
      </w:r>
      <w:r w:rsidR="00DF673F" w:rsidRPr="004523AD">
        <w:t xml:space="preserve"> </w:t>
      </w:r>
      <w:r w:rsidRPr="004523AD">
        <w:t xml:space="preserve">does not have a reliable means to identify buildings that are deemed derelict. Any attempt to investigate properties that may be derelict will only represent a snapshot at any point in time. This would have to be an ongoing manual process that would require additional resources to continually manage. </w:t>
      </w:r>
    </w:p>
    <w:p w:rsidR="00F462EA" w:rsidRDefault="008E66EE">
      <w:pPr>
        <w:pStyle w:val="BodyText"/>
      </w:pPr>
      <w:r>
        <w:t>Policy: A Derelict differential is not supported as it would not be simple or efficient to administer.</w:t>
      </w:r>
    </w:p>
    <w:p w:rsidR="000744A6" w:rsidRDefault="008E66EE">
      <w:pPr>
        <w:pStyle w:val="Heading4A"/>
        <w:rPr>
          <w:color w:val="FF0000"/>
        </w:rPr>
      </w:pPr>
      <w:r>
        <w:t>Residential Investment Differential</w:t>
      </w:r>
    </w:p>
    <w:p w:rsidR="008E66EE" w:rsidRPr="00895035" w:rsidRDefault="008E66EE">
      <w:pPr>
        <w:pStyle w:val="BodyText"/>
      </w:pPr>
      <w:r w:rsidRPr="00163C41">
        <w:t xml:space="preserve">An investigation was undertaken into the possibility of a Residential Investment differential. </w:t>
      </w:r>
      <w:r w:rsidRPr="008976AA">
        <w:t xml:space="preserve">The Ministerial Guidelines do not list residential investment properties in any category within the hierarchy. The closest differential would be holiday rental which is listed in the “require careful consideration” category. </w:t>
      </w:r>
    </w:p>
    <w:p w:rsidR="008E66EE" w:rsidRPr="00895035" w:rsidRDefault="008E66EE">
      <w:pPr>
        <w:pStyle w:val="BodyText"/>
      </w:pPr>
      <w:r w:rsidRPr="008976AA">
        <w:t>Criteria needs to be consistently applied to properties to identify whether a property is a residential investment property. A clear definition of what constitutes a “residential investment property” would need to be determined. This would exclude properties that are advertised on the internet or in holiday accommodation guides for short term accommodation.</w:t>
      </w:r>
    </w:p>
    <w:p w:rsidR="00F462EA" w:rsidRDefault="008E66EE">
      <w:pPr>
        <w:pStyle w:val="BodyText"/>
      </w:pPr>
      <w:r w:rsidRPr="008976AA">
        <w:t>Identifying residential investment properties is not a simple exercise for the following reasons:</w:t>
      </w:r>
    </w:p>
    <w:p w:rsidR="00A23966" w:rsidRPr="005167B1" w:rsidRDefault="008E66EE" w:rsidP="005167B1">
      <w:pPr>
        <w:pStyle w:val="ListParagraph"/>
        <w:numPr>
          <w:ilvl w:val="0"/>
          <w:numId w:val="43"/>
        </w:numPr>
        <w:spacing w:after="80"/>
        <w:ind w:left="357" w:hanging="357"/>
        <w:jc w:val="both"/>
      </w:pPr>
      <w:r w:rsidRPr="00132FCB">
        <w:rPr>
          <w:rFonts w:cs="Lucida Sans Unicode"/>
          <w:szCs w:val="22"/>
        </w:rPr>
        <w:t xml:space="preserve">Ratepayers may own more than one property. This could be for a variety of reasons, such as serving as a family holiday home that does not generate income. Tenants </w:t>
      </w:r>
      <w:r w:rsidRPr="00132FCB">
        <w:rPr>
          <w:rFonts w:cs="Lucida Sans Unicode"/>
          <w:szCs w:val="22"/>
        </w:rPr>
        <w:lastRenderedPageBreak/>
        <w:t>may be family, children or elderly relatives that make no financial contribution to the property.</w:t>
      </w:r>
    </w:p>
    <w:p w:rsidR="00A23966" w:rsidRPr="005167B1" w:rsidRDefault="00316155" w:rsidP="005167B1">
      <w:pPr>
        <w:pStyle w:val="ListParagraph"/>
        <w:numPr>
          <w:ilvl w:val="0"/>
          <w:numId w:val="43"/>
        </w:numPr>
        <w:spacing w:after="80"/>
        <w:ind w:left="357" w:hanging="357"/>
        <w:jc w:val="both"/>
      </w:pPr>
      <w:r>
        <w:rPr>
          <w:rFonts w:cs="Lucida Sans Unicode"/>
          <w:szCs w:val="22"/>
        </w:rPr>
        <w:t>Council’s</w:t>
      </w:r>
      <w:r w:rsidR="00DF673F" w:rsidRPr="00316155">
        <w:rPr>
          <w:rFonts w:cs="Lucida Sans Unicode"/>
          <w:szCs w:val="22"/>
        </w:rPr>
        <w:t xml:space="preserve"> </w:t>
      </w:r>
      <w:r w:rsidR="008E66EE" w:rsidRPr="00316155">
        <w:rPr>
          <w:rFonts w:cs="Lucida Sans Unicode"/>
          <w:szCs w:val="22"/>
        </w:rPr>
        <w:t>corporate property database system does not record whether a property is a residential investment property compared to an owner/occupier property.</w:t>
      </w:r>
    </w:p>
    <w:p w:rsidR="00F462EA" w:rsidRDefault="008E66EE">
      <w:pPr>
        <w:pStyle w:val="BodyText"/>
      </w:pPr>
      <w:r w:rsidRPr="008976AA">
        <w:t>It cannot be assumed that because the mailing address does not match the property address that it is a residential investment property.</w:t>
      </w:r>
    </w:p>
    <w:p w:rsidR="00F462EA" w:rsidRDefault="008E66EE">
      <w:pPr>
        <w:pStyle w:val="BodyText"/>
      </w:pPr>
      <w:r w:rsidRPr="008976AA">
        <w:t xml:space="preserve">The Minister will have close regard to the proposed differential rates of </w:t>
      </w:r>
      <w:r w:rsidR="00DF673F">
        <w:t>c</w:t>
      </w:r>
      <w:r w:rsidR="00DF673F" w:rsidRPr="008976AA">
        <w:t xml:space="preserve">ouncils </w:t>
      </w:r>
      <w:r w:rsidRPr="008976AA">
        <w:t>during the 28 day statutory draft budget public notice and consultation period in advance of Councils adopting their annual budgets. The Minister has the power to prohibit any proposed differential rate that is deemed not appropriate.</w:t>
      </w:r>
    </w:p>
    <w:p w:rsidR="00F462EA" w:rsidRDefault="008E66EE">
      <w:pPr>
        <w:pStyle w:val="BodyText"/>
      </w:pPr>
      <w:r w:rsidRPr="008976AA">
        <w:t>There are no reliable means of identifying residential investment properties. It would be a manual system which would be time consuming and may not be fair and equitable to all residential investment property owners.</w:t>
      </w:r>
    </w:p>
    <w:p w:rsidR="00F462EA" w:rsidRDefault="00316155">
      <w:pPr>
        <w:pStyle w:val="BodyText"/>
      </w:pPr>
      <w:r>
        <w:t>Council</w:t>
      </w:r>
      <w:r w:rsidR="00DF673F" w:rsidRPr="008976AA">
        <w:t xml:space="preserve"> </w:t>
      </w:r>
      <w:r w:rsidR="008E66EE" w:rsidRPr="008976AA">
        <w:t>currently use the commercial rate or the mixed use rate on residential properties that are run for profit and can be clearly identified by the AVPCC used.</w:t>
      </w:r>
    </w:p>
    <w:p w:rsidR="00F462EA" w:rsidRDefault="008E66EE">
      <w:pPr>
        <w:pStyle w:val="BodyText"/>
      </w:pPr>
      <w:r>
        <w:t xml:space="preserve">Policy: A Residential </w:t>
      </w:r>
      <w:r w:rsidR="00DF673F">
        <w:t xml:space="preserve">Investment </w:t>
      </w:r>
      <w:r>
        <w:t>differential is not supported as it would not be simple or efficient to administer.</w:t>
      </w:r>
    </w:p>
    <w:p w:rsidR="000744A6" w:rsidRDefault="008E66EE">
      <w:pPr>
        <w:pStyle w:val="Heading4A"/>
      </w:pPr>
      <w:r>
        <w:t>Retirement Village Differential</w:t>
      </w:r>
    </w:p>
    <w:p w:rsidR="008E66EE" w:rsidRPr="0093485A" w:rsidRDefault="008E66EE">
      <w:pPr>
        <w:pStyle w:val="BodyText"/>
      </w:pPr>
      <w:r>
        <w:t xml:space="preserve">Under the Ministerial Guidelines Retirement Village Land is considered appropriate as a type and category for which a differential rate may be considered. Retirement Village </w:t>
      </w:r>
      <w:r w:rsidR="00DF673F">
        <w:t xml:space="preserve">land </w:t>
      </w:r>
      <w:r>
        <w:t>is defined by the Retirement Villages Act 1986.</w:t>
      </w:r>
    </w:p>
    <w:p w:rsidR="008E66EE" w:rsidRDefault="008E66EE">
      <w:pPr>
        <w:pStyle w:val="BodyText"/>
      </w:pPr>
      <w:r>
        <w:t xml:space="preserve">A number of retirement villages </w:t>
      </w:r>
      <w:r w:rsidR="006273CA">
        <w:t>wrote</w:t>
      </w:r>
      <w:r>
        <w:t xml:space="preserve"> </w:t>
      </w:r>
      <w:r w:rsidRPr="00B354EC">
        <w:t xml:space="preserve">to </w:t>
      </w:r>
      <w:r w:rsidR="00B354EC" w:rsidRPr="005167B1">
        <w:t>C</w:t>
      </w:r>
      <w:r w:rsidR="00DF673F" w:rsidRPr="00B354EC">
        <w:t xml:space="preserve">ouncil </w:t>
      </w:r>
      <w:r w:rsidRPr="00B354EC">
        <w:t xml:space="preserve">requesting the introduction of a retirement land differential. The main contention being that retirement villages are less of a burden on </w:t>
      </w:r>
      <w:r w:rsidR="00316155">
        <w:t>Council</w:t>
      </w:r>
      <w:r w:rsidR="00DF673F" w:rsidRPr="00B354EC">
        <w:t xml:space="preserve"> </w:t>
      </w:r>
      <w:r w:rsidRPr="00B354EC">
        <w:t>services and infrastructure</w:t>
      </w:r>
      <w:r>
        <w:t xml:space="preserve"> as these are provided for within the village and as such Retirement Village </w:t>
      </w:r>
      <w:r w:rsidR="00DF673F">
        <w:t xml:space="preserve">land </w:t>
      </w:r>
      <w:r>
        <w:t>should be rated at a lower differential.</w:t>
      </w:r>
    </w:p>
    <w:p w:rsidR="00F462EA" w:rsidRDefault="00316155">
      <w:pPr>
        <w:pStyle w:val="BodyText"/>
      </w:pPr>
      <w:r>
        <w:t>Council</w:t>
      </w:r>
      <w:r w:rsidR="00DF673F">
        <w:t xml:space="preserve"> </w:t>
      </w:r>
      <w:r w:rsidR="008E66EE" w:rsidRPr="004523AD">
        <w:t xml:space="preserve">has a diverse mix of geographically located land use property types. Differential rates apply to land use to ensure that all rateable land makes an equitable and efficient financial contribution to the cost of carrying out the functions of </w:t>
      </w:r>
      <w:r>
        <w:t>Council</w:t>
      </w:r>
      <w:r w:rsidR="008E66EE" w:rsidRPr="004523AD">
        <w:t>. The Residential differential covers all land which is used exclusively for residential purposes, and is set as the lowest differential rate in the dollar. The State Government  provides a concession for eligible Centrelink or Veterans Affairs Pension concession card holders, currently $202.90.</w:t>
      </w:r>
    </w:p>
    <w:p w:rsidR="00F462EA" w:rsidRDefault="008E66EE">
      <w:pPr>
        <w:pStyle w:val="BodyText"/>
      </w:pPr>
      <w:r w:rsidRPr="004523AD">
        <w:t>In considering a Retirement Village Land differential the Ministerial Guidelines specify that eligible land has to meet the definition provided under the Retirement Villages Act 1986. Section 3 of the Act specifies the following:</w:t>
      </w:r>
    </w:p>
    <w:p w:rsidR="00A23966" w:rsidRPr="00316155" w:rsidRDefault="00A35936" w:rsidP="005167B1">
      <w:pPr>
        <w:pStyle w:val="ListParagraph"/>
        <w:numPr>
          <w:ilvl w:val="0"/>
          <w:numId w:val="43"/>
        </w:numPr>
        <w:spacing w:after="80"/>
        <w:ind w:left="357" w:hanging="357"/>
        <w:jc w:val="both"/>
      </w:pPr>
      <w:hyperlink r:id="rId39" w:anchor="retirement_village_land" w:history="1">
        <w:r w:rsidR="008E66EE" w:rsidRPr="005167B1">
          <w:t>Retirement Village Land</w:t>
        </w:r>
      </w:hyperlink>
      <w:r w:rsidR="008E66EE" w:rsidRPr="00132FCB">
        <w:rPr>
          <w:rFonts w:cs="Lucida Sans Unicode"/>
          <w:szCs w:val="22"/>
        </w:rPr>
        <w:t xml:space="preserve"> </w:t>
      </w:r>
      <w:r w:rsidR="008E66EE" w:rsidRPr="00316155">
        <w:rPr>
          <w:rFonts w:cs="Lucida Sans Unicode"/>
          <w:szCs w:val="22"/>
        </w:rPr>
        <w:t xml:space="preserve">means land used or to be used for the purposes of a retirement village, other than any part of any such land on which a </w:t>
      </w:r>
      <w:hyperlink r:id="rId40" w:anchor="residential_care_facility" w:history="1">
        <w:r w:rsidR="008E66EE" w:rsidRPr="005167B1">
          <w:t>residential care facility</w:t>
        </w:r>
      </w:hyperlink>
      <w:r w:rsidR="008E66EE" w:rsidRPr="00132FCB">
        <w:rPr>
          <w:rFonts w:cs="Lucida Sans Unicode"/>
          <w:szCs w:val="22"/>
        </w:rPr>
        <w:t xml:space="preserve"> is situated; and</w:t>
      </w:r>
    </w:p>
    <w:p w:rsidR="00A23966" w:rsidRPr="005167B1" w:rsidRDefault="008E66EE" w:rsidP="005167B1">
      <w:pPr>
        <w:pStyle w:val="ListParagraph"/>
        <w:numPr>
          <w:ilvl w:val="0"/>
          <w:numId w:val="43"/>
        </w:numPr>
        <w:spacing w:after="80"/>
        <w:ind w:left="357" w:hanging="357"/>
        <w:jc w:val="both"/>
      </w:pPr>
      <w:r w:rsidRPr="005167B1">
        <w:rPr>
          <w:rFonts w:cs="Lucida Sans Unicode"/>
          <w:szCs w:val="22"/>
        </w:rPr>
        <w:t>a community where —</w:t>
      </w:r>
    </w:p>
    <w:p w:rsidR="00A23966" w:rsidRPr="00316155" w:rsidRDefault="008E66EE" w:rsidP="005167B1">
      <w:pPr>
        <w:pStyle w:val="ListParagraph"/>
        <w:numPr>
          <w:ilvl w:val="0"/>
          <w:numId w:val="43"/>
        </w:numPr>
        <w:spacing w:after="80"/>
        <w:ind w:left="357" w:hanging="357"/>
        <w:jc w:val="both"/>
      </w:pPr>
      <w:r w:rsidRPr="005167B1">
        <w:rPr>
          <w:rFonts w:cs="Lucida Sans Unicode"/>
          <w:szCs w:val="22"/>
        </w:rPr>
        <w:t xml:space="preserve">the majority of which is </w:t>
      </w:r>
      <w:hyperlink r:id="rId41" w:anchor="retired_person" w:history="1">
        <w:r w:rsidRPr="005167B1">
          <w:t>retired persons</w:t>
        </w:r>
      </w:hyperlink>
      <w:r w:rsidRPr="00132FCB">
        <w:rPr>
          <w:rFonts w:cs="Lucida Sans Unicode"/>
          <w:szCs w:val="22"/>
        </w:rPr>
        <w:t xml:space="preserve"> who are provided with accommodation and </w:t>
      </w:r>
      <w:hyperlink r:id="rId42" w:anchor="services" w:history="1">
        <w:r w:rsidRPr="005167B1">
          <w:t>services</w:t>
        </w:r>
      </w:hyperlink>
      <w:r w:rsidRPr="00132FCB">
        <w:rPr>
          <w:rFonts w:cs="Lucida Sans Unicode"/>
          <w:szCs w:val="22"/>
        </w:rPr>
        <w:t xml:space="preserve"> other than </w:t>
      </w:r>
      <w:hyperlink r:id="rId43" w:anchor="services" w:history="1">
        <w:r w:rsidRPr="005167B1">
          <w:t>services</w:t>
        </w:r>
      </w:hyperlink>
      <w:r w:rsidRPr="00132FCB">
        <w:rPr>
          <w:rFonts w:cs="Lucida Sans Unicode"/>
          <w:szCs w:val="22"/>
        </w:rPr>
        <w:t xml:space="preserve"> that are provided in a </w:t>
      </w:r>
      <w:hyperlink r:id="rId44" w:anchor="residential_care_facility" w:history="1">
        <w:r w:rsidRPr="005167B1">
          <w:t>residential care facility</w:t>
        </w:r>
      </w:hyperlink>
      <w:r w:rsidRPr="00132FCB">
        <w:rPr>
          <w:rFonts w:cs="Lucida Sans Unicode"/>
          <w:szCs w:val="22"/>
        </w:rPr>
        <w:t>; and</w:t>
      </w:r>
    </w:p>
    <w:p w:rsidR="00A23966" w:rsidRPr="00316155" w:rsidRDefault="008E66EE" w:rsidP="005167B1">
      <w:pPr>
        <w:pStyle w:val="ListParagraph"/>
        <w:numPr>
          <w:ilvl w:val="0"/>
          <w:numId w:val="43"/>
        </w:numPr>
        <w:spacing w:after="80"/>
        <w:ind w:left="357" w:hanging="357"/>
        <w:jc w:val="both"/>
      </w:pPr>
      <w:r w:rsidRPr="005167B1">
        <w:rPr>
          <w:rFonts w:cs="Lucida Sans Unicode"/>
          <w:szCs w:val="22"/>
        </w:rPr>
        <w:t xml:space="preserve">at least one of whom, before or upon becoming a member of the community, pays or is required to pay an </w:t>
      </w:r>
      <w:hyperlink r:id="rId45" w:anchor="in-going_contribution" w:history="1">
        <w:r w:rsidRPr="005167B1">
          <w:t>in-going contribution</w:t>
        </w:r>
      </w:hyperlink>
      <w:r w:rsidRPr="00132FCB">
        <w:rPr>
          <w:rFonts w:cs="Lucida Sans Unicode"/>
          <w:szCs w:val="22"/>
        </w:rPr>
        <w:t>.</w:t>
      </w:r>
    </w:p>
    <w:p w:rsidR="00F462EA" w:rsidRDefault="008E66EE">
      <w:pPr>
        <w:pStyle w:val="BodyText"/>
      </w:pPr>
      <w:r w:rsidRPr="004523AD">
        <w:t xml:space="preserve">In consideration of a retirement village differential and the requirement for such a differential, based on the contentions of retirement villages, a comparison has been undertaken between residential property and Retirement Village </w:t>
      </w:r>
      <w:r w:rsidR="00DF673F">
        <w:t>l</w:t>
      </w:r>
      <w:r w:rsidR="00DF673F" w:rsidRPr="004523AD">
        <w:t>and</w:t>
      </w:r>
      <w:r w:rsidRPr="004523AD">
        <w:t>.</w:t>
      </w:r>
    </w:p>
    <w:p w:rsidR="00F462EA" w:rsidRDefault="008E66EE">
      <w:pPr>
        <w:pStyle w:val="BodyText"/>
      </w:pPr>
      <w:r w:rsidRPr="004523AD">
        <w:t>Residential property is valued using two methods, direct comparison and summation. Retirement Villages are valued on the direct comparison basis using ‘all in rates’ analysed from sales that occur within the Retirement Villages.</w:t>
      </w:r>
    </w:p>
    <w:p w:rsidR="00F462EA" w:rsidRDefault="00316155">
      <w:pPr>
        <w:pStyle w:val="BodyText"/>
      </w:pPr>
      <w:r>
        <w:t>Council</w:t>
      </w:r>
      <w:r w:rsidR="00DF673F" w:rsidRPr="00CB664C">
        <w:t xml:space="preserve"> </w:t>
      </w:r>
      <w:r w:rsidR="008E66EE" w:rsidRPr="00CB664C">
        <w:t>contract valuer has advised that it is difficult to compare the sale price within a village as the owners are reluctant to disclose this information. No acquisition/disposition is completed as the owner has not changed, only the ratepayer. Retirement villages are generally under valued as a result of this. Thus, compared to residential properties Retirement Village Land is generally valued in a conservative manner and therefore occupiers pay a lower rate to a comparable property outside of the retirement village.</w:t>
      </w:r>
    </w:p>
    <w:p w:rsidR="00F462EA" w:rsidRDefault="008E66EE">
      <w:pPr>
        <w:pStyle w:val="BodyText"/>
      </w:pPr>
      <w:r w:rsidRPr="0093485A">
        <w:t xml:space="preserve">A comparison of residential versus retirement village change in valuation </w:t>
      </w:r>
      <w:r w:rsidRPr="004523AD">
        <w:t>for 2012 and 2014 is provided in the table below:</w:t>
      </w:r>
    </w:p>
    <w:tbl>
      <w:tblPr>
        <w:tblW w:w="0" w:type="auto"/>
        <w:tblLook w:val="04A0" w:firstRow="1" w:lastRow="0" w:firstColumn="1" w:lastColumn="0" w:noHBand="0" w:noVBand="1"/>
      </w:tblPr>
      <w:tblGrid>
        <w:gridCol w:w="3227"/>
        <w:gridCol w:w="2835"/>
        <w:gridCol w:w="2551"/>
      </w:tblGrid>
      <w:tr w:rsidR="008E66EE" w:rsidRPr="00E60EA6" w:rsidTr="00E60EA6">
        <w:tc>
          <w:tcPr>
            <w:tcW w:w="3227" w:type="dxa"/>
            <w:tcBorders>
              <w:top w:val="single" w:sz="4" w:space="0" w:color="000000"/>
            </w:tcBorders>
            <w:shd w:val="clear" w:color="auto" w:fill="auto"/>
          </w:tcPr>
          <w:p w:rsidR="008E66EE" w:rsidRPr="00E60EA6" w:rsidRDefault="008E66EE" w:rsidP="00E60EA6">
            <w:pPr>
              <w:spacing w:before="0" w:after="0"/>
              <w:jc w:val="center"/>
              <w:rPr>
                <w:rFonts w:ascii="News Gothic Std" w:hAnsi="News Gothic Std"/>
                <w:color w:val="0070C0"/>
                <w:sz w:val="18"/>
                <w:szCs w:val="18"/>
              </w:rPr>
            </w:pPr>
          </w:p>
        </w:tc>
        <w:tc>
          <w:tcPr>
            <w:tcW w:w="5386" w:type="dxa"/>
            <w:gridSpan w:val="2"/>
            <w:tcBorders>
              <w:top w:val="single" w:sz="4" w:space="0" w:color="000000"/>
            </w:tcBorders>
            <w:shd w:val="clear" w:color="auto" w:fill="auto"/>
          </w:tcPr>
          <w:p w:rsidR="008E66EE" w:rsidRPr="00E60EA6" w:rsidRDefault="008E66EE" w:rsidP="00E60EA6">
            <w:pPr>
              <w:spacing w:before="0" w:after="0"/>
              <w:jc w:val="center"/>
              <w:rPr>
                <w:rFonts w:ascii="News Gothic Std" w:hAnsi="News Gothic Std"/>
                <w:color w:val="0070C0"/>
                <w:sz w:val="18"/>
                <w:szCs w:val="18"/>
              </w:rPr>
            </w:pPr>
            <w:r w:rsidRPr="00E60EA6">
              <w:rPr>
                <w:rFonts w:ascii="News Gothic Std" w:hAnsi="News Gothic Std"/>
                <w:color w:val="0070C0"/>
                <w:sz w:val="18"/>
                <w:szCs w:val="18"/>
              </w:rPr>
              <w:t>Average change in valuation (%)</w:t>
            </w:r>
          </w:p>
        </w:tc>
      </w:tr>
      <w:tr w:rsidR="008E66EE" w:rsidRPr="00E60EA6" w:rsidTr="00E60EA6">
        <w:tc>
          <w:tcPr>
            <w:tcW w:w="3227" w:type="dxa"/>
            <w:tcBorders>
              <w:bottom w:val="single" w:sz="4" w:space="0" w:color="000000"/>
            </w:tcBorders>
            <w:shd w:val="clear" w:color="auto" w:fill="auto"/>
          </w:tcPr>
          <w:p w:rsidR="008E66EE" w:rsidRPr="00E60EA6" w:rsidRDefault="008E66EE" w:rsidP="00E60EA6">
            <w:pPr>
              <w:spacing w:before="0" w:after="0"/>
              <w:jc w:val="center"/>
              <w:rPr>
                <w:rFonts w:ascii="News Gothic Std" w:hAnsi="News Gothic Std"/>
                <w:color w:val="0070C0"/>
                <w:sz w:val="18"/>
                <w:szCs w:val="18"/>
              </w:rPr>
            </w:pPr>
            <w:r w:rsidRPr="00E60EA6">
              <w:rPr>
                <w:rFonts w:ascii="News Gothic Std" w:hAnsi="News Gothic Std"/>
                <w:color w:val="0070C0"/>
                <w:sz w:val="18"/>
                <w:szCs w:val="18"/>
              </w:rPr>
              <w:t>Year of Valuation</w:t>
            </w:r>
          </w:p>
        </w:tc>
        <w:tc>
          <w:tcPr>
            <w:tcW w:w="2835" w:type="dxa"/>
            <w:tcBorders>
              <w:bottom w:val="single" w:sz="4" w:space="0" w:color="000000"/>
            </w:tcBorders>
            <w:shd w:val="clear" w:color="auto" w:fill="auto"/>
          </w:tcPr>
          <w:p w:rsidR="008E66EE" w:rsidRPr="00E60EA6" w:rsidRDefault="008E66EE" w:rsidP="00E60EA6">
            <w:pPr>
              <w:spacing w:before="0" w:after="0"/>
              <w:jc w:val="center"/>
              <w:rPr>
                <w:rFonts w:ascii="News Gothic Std" w:hAnsi="News Gothic Std"/>
                <w:color w:val="0070C0"/>
                <w:sz w:val="18"/>
                <w:szCs w:val="18"/>
              </w:rPr>
            </w:pPr>
            <w:r w:rsidRPr="00E60EA6">
              <w:rPr>
                <w:rFonts w:ascii="News Gothic Std" w:hAnsi="News Gothic Std"/>
                <w:color w:val="0070C0"/>
                <w:sz w:val="18"/>
                <w:szCs w:val="18"/>
              </w:rPr>
              <w:t>Residential</w:t>
            </w:r>
          </w:p>
        </w:tc>
        <w:tc>
          <w:tcPr>
            <w:tcW w:w="2551" w:type="dxa"/>
            <w:tcBorders>
              <w:bottom w:val="single" w:sz="4" w:space="0" w:color="000000"/>
            </w:tcBorders>
            <w:shd w:val="clear" w:color="auto" w:fill="auto"/>
          </w:tcPr>
          <w:p w:rsidR="008E66EE" w:rsidRPr="00E60EA6" w:rsidRDefault="008E66EE" w:rsidP="00E60EA6">
            <w:pPr>
              <w:spacing w:before="0" w:after="0"/>
              <w:jc w:val="center"/>
              <w:rPr>
                <w:rFonts w:ascii="News Gothic Std" w:hAnsi="News Gothic Std"/>
                <w:color w:val="0070C0"/>
                <w:sz w:val="18"/>
                <w:szCs w:val="18"/>
              </w:rPr>
            </w:pPr>
            <w:r w:rsidRPr="00E60EA6">
              <w:rPr>
                <w:rFonts w:ascii="News Gothic Std" w:hAnsi="News Gothic Std"/>
                <w:color w:val="0070C0"/>
                <w:sz w:val="18"/>
                <w:szCs w:val="18"/>
              </w:rPr>
              <w:t>Retirement Village</w:t>
            </w:r>
          </w:p>
        </w:tc>
      </w:tr>
      <w:tr w:rsidR="008E66EE" w:rsidRPr="00E60EA6" w:rsidTr="00E60EA6">
        <w:tc>
          <w:tcPr>
            <w:tcW w:w="3227" w:type="dxa"/>
            <w:tcBorders>
              <w:top w:val="single" w:sz="4" w:space="0" w:color="000000"/>
            </w:tcBorders>
            <w:shd w:val="clear" w:color="auto" w:fill="auto"/>
          </w:tcPr>
          <w:p w:rsidR="008E66EE" w:rsidRPr="00E60EA6" w:rsidRDefault="008E66EE" w:rsidP="00E60EA6">
            <w:pPr>
              <w:spacing w:before="0" w:after="0"/>
              <w:jc w:val="center"/>
              <w:rPr>
                <w:rFonts w:cs="Lucida Sans Unicode"/>
                <w:sz w:val="18"/>
                <w:szCs w:val="18"/>
              </w:rPr>
            </w:pPr>
            <w:r w:rsidRPr="00E60EA6">
              <w:rPr>
                <w:rFonts w:cs="Lucida Sans Unicode"/>
                <w:sz w:val="18"/>
                <w:szCs w:val="18"/>
              </w:rPr>
              <w:t>2012</w:t>
            </w:r>
          </w:p>
        </w:tc>
        <w:tc>
          <w:tcPr>
            <w:tcW w:w="2835" w:type="dxa"/>
            <w:tcBorders>
              <w:top w:val="single" w:sz="4" w:space="0" w:color="000000"/>
            </w:tcBorders>
            <w:shd w:val="clear" w:color="auto" w:fill="auto"/>
          </w:tcPr>
          <w:p w:rsidR="008E66EE" w:rsidRPr="00E60EA6" w:rsidRDefault="008E66EE" w:rsidP="00E60EA6">
            <w:pPr>
              <w:spacing w:before="0" w:after="0"/>
              <w:jc w:val="center"/>
              <w:rPr>
                <w:rFonts w:cs="Lucida Sans Unicode"/>
                <w:sz w:val="18"/>
                <w:szCs w:val="18"/>
              </w:rPr>
            </w:pPr>
            <w:r w:rsidRPr="00E60EA6">
              <w:rPr>
                <w:rFonts w:cs="Lucida Sans Unicode"/>
                <w:sz w:val="18"/>
                <w:szCs w:val="18"/>
              </w:rPr>
              <w:t>11.5</w:t>
            </w:r>
          </w:p>
        </w:tc>
        <w:tc>
          <w:tcPr>
            <w:tcW w:w="2551" w:type="dxa"/>
            <w:tcBorders>
              <w:top w:val="single" w:sz="4" w:space="0" w:color="000000"/>
            </w:tcBorders>
            <w:shd w:val="clear" w:color="auto" w:fill="auto"/>
          </w:tcPr>
          <w:p w:rsidR="008E66EE" w:rsidRPr="00E60EA6" w:rsidRDefault="008E66EE" w:rsidP="00E60EA6">
            <w:pPr>
              <w:spacing w:before="0" w:after="0"/>
              <w:jc w:val="center"/>
              <w:rPr>
                <w:rFonts w:cs="Lucida Sans Unicode"/>
                <w:sz w:val="18"/>
                <w:szCs w:val="18"/>
              </w:rPr>
            </w:pPr>
            <w:r w:rsidRPr="00E60EA6">
              <w:rPr>
                <w:rFonts w:cs="Lucida Sans Unicode"/>
                <w:sz w:val="18"/>
                <w:szCs w:val="18"/>
              </w:rPr>
              <w:t>8.65</w:t>
            </w:r>
          </w:p>
        </w:tc>
      </w:tr>
      <w:tr w:rsidR="008E66EE" w:rsidRPr="00E60EA6" w:rsidTr="00E60EA6">
        <w:tc>
          <w:tcPr>
            <w:tcW w:w="3227" w:type="dxa"/>
            <w:tcBorders>
              <w:bottom w:val="single" w:sz="4" w:space="0" w:color="000000"/>
            </w:tcBorders>
            <w:shd w:val="clear" w:color="auto" w:fill="auto"/>
          </w:tcPr>
          <w:p w:rsidR="008E66EE" w:rsidRPr="00E60EA6" w:rsidRDefault="008E66EE" w:rsidP="00E60EA6">
            <w:pPr>
              <w:spacing w:before="0" w:after="0"/>
              <w:jc w:val="center"/>
              <w:rPr>
                <w:rFonts w:cs="Lucida Sans Unicode"/>
                <w:sz w:val="18"/>
                <w:szCs w:val="18"/>
              </w:rPr>
            </w:pPr>
            <w:r w:rsidRPr="00E60EA6">
              <w:rPr>
                <w:rFonts w:cs="Lucida Sans Unicode"/>
                <w:sz w:val="18"/>
                <w:szCs w:val="18"/>
              </w:rPr>
              <w:t>2014</w:t>
            </w:r>
          </w:p>
        </w:tc>
        <w:tc>
          <w:tcPr>
            <w:tcW w:w="2835" w:type="dxa"/>
            <w:tcBorders>
              <w:bottom w:val="single" w:sz="4" w:space="0" w:color="000000"/>
            </w:tcBorders>
            <w:shd w:val="clear" w:color="auto" w:fill="auto"/>
          </w:tcPr>
          <w:p w:rsidR="008E66EE" w:rsidRPr="00E60EA6" w:rsidRDefault="008E66EE" w:rsidP="00E60EA6">
            <w:pPr>
              <w:spacing w:before="0" w:after="0"/>
              <w:jc w:val="center"/>
              <w:rPr>
                <w:rFonts w:cs="Lucida Sans Unicode"/>
                <w:sz w:val="18"/>
                <w:szCs w:val="18"/>
              </w:rPr>
            </w:pPr>
            <w:r w:rsidRPr="00E60EA6">
              <w:rPr>
                <w:rFonts w:cs="Lucida Sans Unicode"/>
                <w:sz w:val="18"/>
                <w:szCs w:val="18"/>
              </w:rPr>
              <w:t>2.12</w:t>
            </w:r>
          </w:p>
        </w:tc>
        <w:tc>
          <w:tcPr>
            <w:tcW w:w="2551" w:type="dxa"/>
            <w:tcBorders>
              <w:bottom w:val="single" w:sz="4" w:space="0" w:color="000000"/>
            </w:tcBorders>
            <w:shd w:val="clear" w:color="auto" w:fill="auto"/>
          </w:tcPr>
          <w:p w:rsidR="008E66EE" w:rsidRPr="00E60EA6" w:rsidRDefault="008E66EE" w:rsidP="00E60EA6">
            <w:pPr>
              <w:spacing w:before="0" w:after="0"/>
              <w:jc w:val="center"/>
              <w:rPr>
                <w:rFonts w:cs="Lucida Sans Unicode"/>
                <w:sz w:val="18"/>
                <w:szCs w:val="18"/>
              </w:rPr>
            </w:pPr>
            <w:r w:rsidRPr="00E60EA6">
              <w:rPr>
                <w:rFonts w:cs="Lucida Sans Unicode"/>
                <w:sz w:val="18"/>
                <w:szCs w:val="18"/>
              </w:rPr>
              <w:t>0.13</w:t>
            </w:r>
          </w:p>
        </w:tc>
      </w:tr>
    </w:tbl>
    <w:p w:rsidR="008E66EE" w:rsidRDefault="008E66EE">
      <w:pPr>
        <w:pStyle w:val="BodyText"/>
      </w:pPr>
      <w:r w:rsidRPr="004523AD">
        <w:t>Retirement villages contend</w:t>
      </w:r>
      <w:r w:rsidR="006273CA">
        <w:t>ed</w:t>
      </w:r>
      <w:r w:rsidRPr="004523AD">
        <w:t xml:space="preserve"> that a separate rating differential </w:t>
      </w:r>
      <w:r w:rsidR="006273CA">
        <w:t>was</w:t>
      </w:r>
      <w:r w:rsidRPr="004523AD">
        <w:t xml:space="preserve"> required, not for purposes of unique property taxing but rather, to recognise that retirement village occupiers do not utilise some </w:t>
      </w:r>
      <w:r w:rsidR="00DF673F">
        <w:t>c</w:t>
      </w:r>
      <w:r w:rsidR="00DF673F" w:rsidRPr="004523AD">
        <w:t xml:space="preserve">ouncil </w:t>
      </w:r>
      <w:r w:rsidRPr="004523AD">
        <w:t>services and/or infrastructure.</w:t>
      </w:r>
    </w:p>
    <w:p w:rsidR="008E66EE" w:rsidRDefault="008E66EE">
      <w:pPr>
        <w:pStyle w:val="BodyText"/>
      </w:pPr>
      <w:r w:rsidRPr="004523AD">
        <w:t xml:space="preserve">Rates are a property tax in the form of a general purpose levy to all property owners and the benefits that a ratepayer may receive will not necessarily be to the extent of the tax (rates) paid.  Council’s </w:t>
      </w:r>
      <w:r>
        <w:t>R</w:t>
      </w:r>
      <w:r w:rsidRPr="004523AD">
        <w:t xml:space="preserve">ating </w:t>
      </w:r>
      <w:r>
        <w:t>S</w:t>
      </w:r>
      <w:r w:rsidRPr="004523AD">
        <w:t xml:space="preserve">trategy has been devised to ensure that all rateable land makes an equitable financial contribution to the cost of carrying out the functions of </w:t>
      </w:r>
      <w:r w:rsidR="008C478E">
        <w:t>c</w:t>
      </w:r>
      <w:r w:rsidR="008C478E" w:rsidRPr="004523AD">
        <w:t>ouncil</w:t>
      </w:r>
      <w:r w:rsidRPr="004523AD">
        <w:t xml:space="preserve">. </w:t>
      </w:r>
    </w:p>
    <w:p w:rsidR="00A23966" w:rsidRPr="00316155" w:rsidRDefault="008E66EE" w:rsidP="005167B1">
      <w:pPr>
        <w:pStyle w:val="ListParagraph"/>
        <w:numPr>
          <w:ilvl w:val="0"/>
          <w:numId w:val="43"/>
        </w:numPr>
        <w:spacing w:after="80"/>
        <w:ind w:left="357" w:hanging="357"/>
        <w:jc w:val="both"/>
      </w:pPr>
      <w:r w:rsidRPr="00132FCB">
        <w:rPr>
          <w:rFonts w:cs="Lucida Sans Unicode"/>
          <w:szCs w:val="22"/>
        </w:rPr>
        <w:t>Rates are a property tax, not a user pays system.</w:t>
      </w:r>
    </w:p>
    <w:p w:rsidR="00A23966" w:rsidRPr="005167B1" w:rsidRDefault="008E66EE" w:rsidP="005167B1">
      <w:pPr>
        <w:pStyle w:val="ListParagraph"/>
        <w:numPr>
          <w:ilvl w:val="0"/>
          <w:numId w:val="43"/>
        </w:numPr>
        <w:spacing w:after="80"/>
        <w:ind w:left="357" w:hanging="357"/>
        <w:jc w:val="both"/>
      </w:pPr>
      <w:r w:rsidRPr="00316155">
        <w:rPr>
          <w:rFonts w:cs="Lucida Sans Unicode"/>
          <w:szCs w:val="22"/>
        </w:rPr>
        <w:lastRenderedPageBreak/>
        <w:t xml:space="preserve">Council rates are a life time cycle, pending what stage in life you are at, sometimes you rely heavily on </w:t>
      </w:r>
      <w:r w:rsidR="008C478E" w:rsidRPr="005167B1">
        <w:rPr>
          <w:rFonts w:cs="Lucida Sans Unicode"/>
          <w:szCs w:val="22"/>
        </w:rPr>
        <w:t>council</w:t>
      </w:r>
      <w:r w:rsidRPr="005167B1">
        <w:rPr>
          <w:rFonts w:cs="Lucida Sans Unicode"/>
          <w:szCs w:val="22"/>
        </w:rPr>
        <w:t>, other times you don’t need the services.</w:t>
      </w:r>
    </w:p>
    <w:p w:rsidR="00A23966" w:rsidRPr="00316155" w:rsidRDefault="008E66EE" w:rsidP="005167B1">
      <w:pPr>
        <w:pStyle w:val="ListParagraph"/>
        <w:numPr>
          <w:ilvl w:val="0"/>
          <w:numId w:val="43"/>
        </w:numPr>
        <w:spacing w:after="80"/>
        <w:ind w:left="357" w:hanging="357"/>
        <w:jc w:val="both"/>
      </w:pPr>
      <w:r w:rsidRPr="005167B1">
        <w:rPr>
          <w:rFonts w:cs="Lucida Sans Unicode"/>
          <w:szCs w:val="22"/>
        </w:rPr>
        <w:t xml:space="preserve">Residents of </w:t>
      </w:r>
      <w:r w:rsidR="008C478E" w:rsidRPr="005167B1">
        <w:rPr>
          <w:rFonts w:cs="Lucida Sans Unicode"/>
          <w:szCs w:val="22"/>
        </w:rPr>
        <w:t xml:space="preserve">retirement villages </w:t>
      </w:r>
      <w:r w:rsidRPr="005167B1">
        <w:rPr>
          <w:rFonts w:cs="Lucida Sans Unicode"/>
          <w:szCs w:val="22"/>
        </w:rPr>
        <w:t xml:space="preserve">still utilise services and infrastructure provided by </w:t>
      </w:r>
      <w:r w:rsidR="00316155">
        <w:rPr>
          <w:rFonts w:cs="Lucida Sans Unicode"/>
          <w:szCs w:val="22"/>
        </w:rPr>
        <w:t>Council</w:t>
      </w:r>
      <w:r w:rsidR="008C478E" w:rsidRPr="00316155">
        <w:rPr>
          <w:rFonts w:cs="Lucida Sans Unicode"/>
          <w:szCs w:val="22"/>
        </w:rPr>
        <w:t xml:space="preserve"> </w:t>
      </w:r>
      <w:r w:rsidRPr="00316155">
        <w:rPr>
          <w:rFonts w:cs="Lucida Sans Unicode"/>
          <w:szCs w:val="22"/>
        </w:rPr>
        <w:t>and they are not excluded from using any such services or infrastructure.</w:t>
      </w:r>
    </w:p>
    <w:p w:rsidR="00A23966" w:rsidRPr="005167B1" w:rsidRDefault="008E66EE" w:rsidP="005167B1">
      <w:pPr>
        <w:pStyle w:val="ListParagraph"/>
        <w:numPr>
          <w:ilvl w:val="0"/>
          <w:numId w:val="43"/>
        </w:numPr>
        <w:spacing w:after="80"/>
        <w:ind w:left="357" w:hanging="357"/>
        <w:jc w:val="both"/>
      </w:pPr>
      <w:r w:rsidRPr="005167B1">
        <w:rPr>
          <w:rFonts w:cs="Lucida Sans Unicode"/>
          <w:szCs w:val="22"/>
        </w:rPr>
        <w:t>Property values are generally lower than other similar residential properties because they are contained in a village environment.</w:t>
      </w:r>
    </w:p>
    <w:p w:rsidR="00A23966" w:rsidRPr="00316155" w:rsidRDefault="00316155" w:rsidP="005167B1">
      <w:pPr>
        <w:pStyle w:val="ListParagraph"/>
        <w:numPr>
          <w:ilvl w:val="0"/>
          <w:numId w:val="43"/>
        </w:numPr>
        <w:spacing w:after="80"/>
        <w:ind w:left="357" w:hanging="357"/>
        <w:jc w:val="both"/>
      </w:pPr>
      <w:r>
        <w:rPr>
          <w:rFonts w:cs="Lucida Sans Unicode"/>
          <w:szCs w:val="22"/>
        </w:rPr>
        <w:t>Council</w:t>
      </w:r>
      <w:r w:rsidR="008C478E" w:rsidRPr="00316155">
        <w:rPr>
          <w:rFonts w:cs="Lucida Sans Unicode"/>
          <w:szCs w:val="22"/>
        </w:rPr>
        <w:t xml:space="preserve"> </w:t>
      </w:r>
      <w:r w:rsidR="008E66EE" w:rsidRPr="00316155">
        <w:rPr>
          <w:rFonts w:cs="Lucida Sans Unicode"/>
          <w:szCs w:val="22"/>
        </w:rPr>
        <w:t>believes that the perceived issues of fairness and equity are adequately addressed under the current rating structure.</w:t>
      </w:r>
    </w:p>
    <w:p w:rsidR="00A23966" w:rsidRPr="005167B1" w:rsidRDefault="008E66EE" w:rsidP="005167B1">
      <w:pPr>
        <w:pStyle w:val="ListParagraph"/>
        <w:numPr>
          <w:ilvl w:val="0"/>
          <w:numId w:val="43"/>
        </w:numPr>
        <w:spacing w:after="80"/>
        <w:ind w:left="357" w:hanging="357"/>
        <w:jc w:val="both"/>
      </w:pPr>
      <w:r w:rsidRPr="005167B1">
        <w:rPr>
          <w:rFonts w:cs="Lucida Sans Unicode"/>
          <w:szCs w:val="22"/>
        </w:rPr>
        <w:t xml:space="preserve">Providing </w:t>
      </w:r>
      <w:r w:rsidR="008C478E" w:rsidRPr="005167B1">
        <w:rPr>
          <w:rFonts w:cs="Lucida Sans Unicode"/>
          <w:szCs w:val="22"/>
        </w:rPr>
        <w:t xml:space="preserve">retirement villages </w:t>
      </w:r>
      <w:r w:rsidRPr="005167B1">
        <w:rPr>
          <w:rFonts w:cs="Lucida Sans Unicode"/>
          <w:szCs w:val="22"/>
        </w:rPr>
        <w:t xml:space="preserve">with a lower differential rate would create issues of inequity for any residents who have their own private facilities (e.g.; pools, tennis courts, </w:t>
      </w:r>
      <w:r w:rsidR="00962F20" w:rsidRPr="005167B1">
        <w:rPr>
          <w:rFonts w:cs="Lucida Sans Unicode"/>
          <w:szCs w:val="22"/>
        </w:rPr>
        <w:t>etc.</w:t>
      </w:r>
      <w:r w:rsidRPr="005167B1">
        <w:rPr>
          <w:rFonts w:cs="Lucida Sans Unicode"/>
          <w:szCs w:val="22"/>
        </w:rPr>
        <w:t xml:space="preserve">) and/or choose not to use </w:t>
      </w:r>
      <w:r w:rsidR="00316155">
        <w:rPr>
          <w:rFonts w:cs="Lucida Sans Unicode"/>
          <w:szCs w:val="22"/>
        </w:rPr>
        <w:t>C</w:t>
      </w:r>
      <w:r w:rsidR="008C478E" w:rsidRPr="00316155">
        <w:rPr>
          <w:rFonts w:cs="Lucida Sans Unicode"/>
          <w:szCs w:val="22"/>
        </w:rPr>
        <w:t xml:space="preserve">ouncil </w:t>
      </w:r>
      <w:r w:rsidRPr="00316155">
        <w:rPr>
          <w:rFonts w:cs="Lucida Sans Unicode"/>
          <w:szCs w:val="22"/>
        </w:rPr>
        <w:t>provided facilities.</w:t>
      </w:r>
    </w:p>
    <w:p w:rsidR="00A23966" w:rsidRPr="005167B1" w:rsidRDefault="008E66EE" w:rsidP="005167B1">
      <w:pPr>
        <w:pStyle w:val="ListParagraph"/>
        <w:numPr>
          <w:ilvl w:val="0"/>
          <w:numId w:val="43"/>
        </w:numPr>
        <w:spacing w:after="80"/>
        <w:ind w:left="357" w:hanging="357"/>
        <w:jc w:val="both"/>
      </w:pPr>
      <w:r w:rsidRPr="005167B1">
        <w:rPr>
          <w:rFonts w:cs="Lucida Sans Unicode"/>
          <w:szCs w:val="22"/>
        </w:rPr>
        <w:t xml:space="preserve">Potentially the beneficiary of a </w:t>
      </w:r>
      <w:r w:rsidR="008C478E" w:rsidRPr="005167B1">
        <w:rPr>
          <w:rFonts w:cs="Lucida Sans Unicode"/>
          <w:szCs w:val="22"/>
        </w:rPr>
        <w:t xml:space="preserve">retirement village </w:t>
      </w:r>
      <w:r w:rsidRPr="005167B1">
        <w:rPr>
          <w:rFonts w:cs="Lucida Sans Unicode"/>
          <w:szCs w:val="22"/>
        </w:rPr>
        <w:t xml:space="preserve">differential may be the owner of the </w:t>
      </w:r>
      <w:r w:rsidR="008C478E" w:rsidRPr="005167B1">
        <w:rPr>
          <w:rFonts w:cs="Lucida Sans Unicode"/>
          <w:szCs w:val="22"/>
        </w:rPr>
        <w:t xml:space="preserve">retirement village </w:t>
      </w:r>
      <w:r w:rsidRPr="005167B1">
        <w:rPr>
          <w:rFonts w:cs="Lucida Sans Unicode"/>
          <w:szCs w:val="22"/>
        </w:rPr>
        <w:t>and not the ratepayer.</w:t>
      </w:r>
    </w:p>
    <w:p w:rsidR="00F462EA" w:rsidRDefault="008E66EE">
      <w:pPr>
        <w:pStyle w:val="BodyText"/>
      </w:pPr>
      <w:r>
        <w:t>Policy: A Retirement Village differential is not supported.</w:t>
      </w:r>
    </w:p>
    <w:p w:rsidR="00AC2E4D" w:rsidRDefault="00AC2E4D" w:rsidP="001A1FFB">
      <w:pPr>
        <w:pStyle w:val="Heading4A"/>
        <w:spacing w:after="0"/>
      </w:pPr>
      <w:r w:rsidRPr="00AB07CF">
        <w:t>201</w:t>
      </w:r>
      <w:r>
        <w:t>5</w:t>
      </w:r>
      <w:r w:rsidRPr="00AB07CF">
        <w:t>-</w:t>
      </w:r>
      <w:r w:rsidR="009B21E0">
        <w:t>16</w:t>
      </w:r>
    </w:p>
    <w:p w:rsidR="007D22EF" w:rsidRDefault="007D22EF" w:rsidP="00E7196F">
      <w:pPr>
        <w:pStyle w:val="Heading3A"/>
      </w:pPr>
      <w:r>
        <w:t>Rate Structure</w:t>
      </w:r>
    </w:p>
    <w:p w:rsidR="007D22EF" w:rsidRPr="00B354EC" w:rsidRDefault="007D22EF">
      <w:pPr>
        <w:pStyle w:val="BodyText"/>
      </w:pPr>
      <w:r w:rsidRPr="00B354EC">
        <w:t xml:space="preserve">Council retains 12 rating or tariff groups with the application of differential rates to each of these groups in accordance with </w:t>
      </w:r>
      <w:r w:rsidR="008C478E" w:rsidRPr="00B354EC">
        <w:t xml:space="preserve">section </w:t>
      </w:r>
      <w:r w:rsidRPr="00B354EC">
        <w:t>161 of the Act. The Aluminium production land differential rate has been discontinued from 2015</w:t>
      </w:r>
      <w:r w:rsidR="004A446B" w:rsidRPr="00B354EC">
        <w:noBreakHyphen/>
      </w:r>
      <w:r w:rsidR="00AB3A50" w:rsidRPr="00B354EC">
        <w:t>16</w:t>
      </w:r>
      <w:r w:rsidRPr="00B354EC">
        <w:t>, given there are no applicable rateable properties. This follows the closure of Alcoa smelter in December 2014.</w:t>
      </w:r>
    </w:p>
    <w:p w:rsidR="007D22EF" w:rsidRPr="00B354EC" w:rsidRDefault="007D22EF">
      <w:pPr>
        <w:pStyle w:val="BodyText"/>
      </w:pPr>
      <w:r w:rsidRPr="00B354EC">
        <w:t xml:space="preserve">The purpose of the various rating groups is to ensure that each group makes a fair and equitable contribution to rates. Full disclosure of the rating groups, number of properties, valuations and revenue is shown in the Statutory Information on </w:t>
      </w:r>
      <w:r w:rsidR="008C478E" w:rsidRPr="00B354EC">
        <w:t>Rates</w:t>
      </w:r>
      <w:r w:rsidRPr="00B354EC">
        <w:t>.</w:t>
      </w:r>
    </w:p>
    <w:p w:rsidR="007D22EF" w:rsidRPr="00B354EC" w:rsidRDefault="007D22EF" w:rsidP="00E7196F">
      <w:pPr>
        <w:pStyle w:val="Heading3A"/>
      </w:pPr>
      <w:r w:rsidRPr="00B354EC">
        <w:t>Rating Matters considered for the 2015-16 Budget</w:t>
      </w:r>
    </w:p>
    <w:p w:rsidR="007D22EF" w:rsidRDefault="007D22EF">
      <w:pPr>
        <w:pStyle w:val="BodyText"/>
      </w:pPr>
      <w:r w:rsidRPr="00B354EC">
        <w:t>In formulating the 2015-</w:t>
      </w:r>
      <w:r w:rsidR="00AB3A50" w:rsidRPr="00B354EC">
        <w:t xml:space="preserve">16 </w:t>
      </w:r>
      <w:r w:rsidRPr="00B354EC">
        <w:t>Rating Strategy, Council considered</w:t>
      </w:r>
      <w:r>
        <w:t xml:space="preserve"> the representations from some ratepayers, the impact of rating appeals, review of rate differentials and the appropriateness of land use definitions relative for rating differentials. The matters considered are summarised as follows:</w:t>
      </w:r>
    </w:p>
    <w:p w:rsidR="00A23966" w:rsidRPr="00316155" w:rsidRDefault="007D22EF" w:rsidP="005167B1">
      <w:pPr>
        <w:pStyle w:val="ListParagraph"/>
        <w:numPr>
          <w:ilvl w:val="0"/>
          <w:numId w:val="43"/>
        </w:numPr>
        <w:spacing w:after="80"/>
        <w:ind w:left="357" w:hanging="357"/>
        <w:jc w:val="both"/>
      </w:pPr>
      <w:r w:rsidRPr="00132FCB">
        <w:rPr>
          <w:rFonts w:cs="Lucida Sans Unicode"/>
          <w:szCs w:val="22"/>
        </w:rPr>
        <w:t>To increase the Farm rebate from 34% to 50% on a permanent basis.</w:t>
      </w:r>
    </w:p>
    <w:p w:rsidR="00F462EA" w:rsidRPr="005167B1" w:rsidRDefault="007D22EF" w:rsidP="005167B1">
      <w:pPr>
        <w:pStyle w:val="ListParagraph"/>
        <w:spacing w:after="80"/>
        <w:ind w:left="357"/>
        <w:jc w:val="both"/>
      </w:pPr>
      <w:r w:rsidRPr="00316155">
        <w:rPr>
          <w:rFonts w:cs="Lucida Sans Unicode"/>
          <w:szCs w:val="22"/>
        </w:rPr>
        <w:t xml:space="preserve">The Farm rebate is reviewed in context of biannual revaluations and the relative movement of farm valuations relative to residential. The current Farm differential is set at the residential rate less a 34% rebate. Any increase in the rebate cost would need to be funded by rate </w:t>
      </w:r>
      <w:r w:rsidRPr="005167B1">
        <w:rPr>
          <w:rFonts w:cs="Lucida Sans Unicode"/>
          <w:szCs w:val="22"/>
        </w:rPr>
        <w:t xml:space="preserve">increases to other rate differentials. The farm rebate will </w:t>
      </w:r>
      <w:r w:rsidRPr="005167B1">
        <w:rPr>
          <w:rFonts w:cs="Lucida Sans Unicode"/>
          <w:szCs w:val="22"/>
        </w:rPr>
        <w:lastRenderedPageBreak/>
        <w:t>be reviewed following outcomes of the 2016 Municipal revaluation, impacting on the 2016-</w:t>
      </w:r>
      <w:r w:rsidR="00AB3A50" w:rsidRPr="005167B1">
        <w:rPr>
          <w:rFonts w:cs="Lucida Sans Unicode"/>
          <w:szCs w:val="22"/>
        </w:rPr>
        <w:t xml:space="preserve">17 </w:t>
      </w:r>
      <w:r w:rsidRPr="005167B1">
        <w:rPr>
          <w:rFonts w:cs="Lucida Sans Unicode"/>
          <w:szCs w:val="22"/>
        </w:rPr>
        <w:t>rating strategy.</w:t>
      </w:r>
    </w:p>
    <w:p w:rsidR="00A23966" w:rsidRPr="005167B1" w:rsidRDefault="007D22EF" w:rsidP="005167B1">
      <w:pPr>
        <w:pStyle w:val="ListParagraph"/>
        <w:numPr>
          <w:ilvl w:val="0"/>
          <w:numId w:val="43"/>
        </w:numPr>
        <w:spacing w:after="80"/>
        <w:ind w:left="357" w:hanging="357"/>
        <w:jc w:val="both"/>
      </w:pPr>
      <w:r w:rsidRPr="005167B1">
        <w:rPr>
          <w:rFonts w:cs="Lucida Sans Unicode"/>
          <w:szCs w:val="22"/>
        </w:rPr>
        <w:t>Provision of  a rating incentive for  broader commercial land use on Farm land</w:t>
      </w:r>
    </w:p>
    <w:p w:rsidR="00F462EA" w:rsidRDefault="007D22EF" w:rsidP="005167B1">
      <w:pPr>
        <w:pStyle w:val="BodyTextIndent0"/>
      </w:pPr>
      <w:r w:rsidRPr="007E2AC5">
        <w:t xml:space="preserve">Where a portion of a farm property is used for commercial activities then the commercial differential applies to this land use (ie. a separate rating assessment is created from the farm assessment). It was suggested  that a rebate off the commercial rate would act as incentive for farmers to introduce commercial activities such as cafes or restaurants. The introduction of a new rebate would need to be funded by rate increases to other rate differentials. No new rebates </w:t>
      </w:r>
      <w:r w:rsidR="004A446B">
        <w:t>were</w:t>
      </w:r>
      <w:r w:rsidRPr="007E2AC5">
        <w:t xml:space="preserve"> proposed as part of the 2015</w:t>
      </w:r>
      <w:r w:rsidR="004A446B">
        <w:noBreakHyphen/>
      </w:r>
      <w:r w:rsidR="00AB3A50">
        <w:t xml:space="preserve">16 </w:t>
      </w:r>
      <w:r>
        <w:t>Rating Strategy.</w:t>
      </w:r>
    </w:p>
    <w:p w:rsidR="00A23966" w:rsidRPr="00316155" w:rsidRDefault="007D22EF" w:rsidP="005167B1">
      <w:pPr>
        <w:pStyle w:val="ListParagraph"/>
        <w:numPr>
          <w:ilvl w:val="0"/>
          <w:numId w:val="43"/>
        </w:numPr>
        <w:spacing w:after="80"/>
        <w:ind w:left="357" w:hanging="357"/>
        <w:jc w:val="both"/>
      </w:pPr>
      <w:r w:rsidRPr="00132FCB">
        <w:rPr>
          <w:rFonts w:cs="Lucida Sans Unicode"/>
          <w:szCs w:val="22"/>
        </w:rPr>
        <w:t xml:space="preserve">Rate in </w:t>
      </w:r>
      <w:r w:rsidR="008C478E" w:rsidRPr="00316155">
        <w:rPr>
          <w:rFonts w:cs="Lucida Sans Unicode"/>
          <w:szCs w:val="22"/>
        </w:rPr>
        <w:t xml:space="preserve">dollar </w:t>
      </w:r>
      <w:r w:rsidRPr="00316155">
        <w:rPr>
          <w:rFonts w:cs="Lucida Sans Unicode"/>
          <w:szCs w:val="22"/>
        </w:rPr>
        <w:t>review for Cultural &amp; Recreation land use differential</w:t>
      </w:r>
    </w:p>
    <w:p w:rsidR="00F462EA" w:rsidRPr="005167B1" w:rsidRDefault="007D22EF" w:rsidP="005167B1">
      <w:pPr>
        <w:pStyle w:val="ListParagraph"/>
        <w:spacing w:after="80"/>
        <w:ind w:left="357"/>
        <w:jc w:val="both"/>
      </w:pPr>
      <w:r w:rsidRPr="00316155">
        <w:rPr>
          <w:rFonts w:cs="Lucida Sans Unicode"/>
          <w:szCs w:val="22"/>
        </w:rPr>
        <w:t>Under the Cultural and Recreation Lands Act provision is made for a council to levy the rate for recreational lands at such amount as the council determines reasonable havi</w:t>
      </w:r>
      <w:r w:rsidRPr="005167B1">
        <w:rPr>
          <w:rFonts w:cs="Lucida Sans Unicode"/>
          <w:szCs w:val="22"/>
        </w:rPr>
        <w:t xml:space="preserve">ng regard to the services provided by the council in relation to such lands and having regard to the benefit to the community derived from such recreational lands. The commercial rate </w:t>
      </w:r>
      <w:r w:rsidR="004A446B" w:rsidRPr="005167B1">
        <w:rPr>
          <w:rFonts w:cs="Lucida Sans Unicode"/>
          <w:szCs w:val="22"/>
        </w:rPr>
        <w:t>was</w:t>
      </w:r>
      <w:r w:rsidRPr="005167B1">
        <w:rPr>
          <w:rFonts w:cs="Lucida Sans Unicode"/>
          <w:szCs w:val="22"/>
        </w:rPr>
        <w:t xml:space="preserve"> set at 208% of the residential rate and the rate concession for recreational land </w:t>
      </w:r>
      <w:r w:rsidR="004A446B" w:rsidRPr="005167B1">
        <w:rPr>
          <w:rFonts w:cs="Lucida Sans Unicode"/>
          <w:szCs w:val="22"/>
        </w:rPr>
        <w:t>was</w:t>
      </w:r>
      <w:r w:rsidRPr="005167B1">
        <w:rPr>
          <w:rFonts w:cs="Lucida Sans Unicode"/>
          <w:szCs w:val="22"/>
        </w:rPr>
        <w:t xml:space="preserve"> set at 31% of the commercial rate for 2015-</w:t>
      </w:r>
      <w:r w:rsidR="00AB3A50" w:rsidRPr="005167B1">
        <w:rPr>
          <w:rFonts w:cs="Lucida Sans Unicode"/>
          <w:szCs w:val="22"/>
        </w:rPr>
        <w:t>16</w:t>
      </w:r>
      <w:r w:rsidRPr="005167B1">
        <w:rPr>
          <w:rFonts w:cs="Lucida Sans Unicode"/>
          <w:szCs w:val="22"/>
        </w:rPr>
        <w:t>.</w:t>
      </w:r>
    </w:p>
    <w:p w:rsidR="00A23966" w:rsidRPr="005167B1" w:rsidRDefault="007D22EF" w:rsidP="005167B1">
      <w:pPr>
        <w:pStyle w:val="ListParagraph"/>
        <w:numPr>
          <w:ilvl w:val="0"/>
          <w:numId w:val="43"/>
        </w:numPr>
        <w:spacing w:after="80"/>
        <w:ind w:left="357" w:hanging="357"/>
        <w:jc w:val="both"/>
      </w:pPr>
      <w:r w:rsidRPr="005167B1">
        <w:rPr>
          <w:rFonts w:cs="Lucida Sans Unicode"/>
          <w:szCs w:val="22"/>
        </w:rPr>
        <w:t>Requests from Cultural &amp; Recreation organisations to shift from the Commercial differential to the Cultural &amp; Recreation differential</w:t>
      </w:r>
    </w:p>
    <w:p w:rsidR="007D22EF" w:rsidRPr="006616A1" w:rsidRDefault="00316155" w:rsidP="005167B1">
      <w:pPr>
        <w:pStyle w:val="BodyTextIndent0"/>
      </w:pPr>
      <w:r>
        <w:t>Council</w:t>
      </w:r>
      <w:r w:rsidR="00F462EA" w:rsidRPr="00F462EA">
        <w:t xml:space="preserve">has previously extended the Cultural &amp; Recreation differential to not-for-profit clubs or associations engaged in, indoor sporting, recreational and cultural activities which have similar characteristics and objectives to Cultural &amp; Recreational land. </w:t>
      </w:r>
    </w:p>
    <w:p w:rsidR="007D22EF" w:rsidRDefault="007D22EF">
      <w:pPr>
        <w:pStyle w:val="BodyTextIndent0"/>
      </w:pPr>
      <w:r w:rsidRPr="00907446">
        <w:t>To be considered, each property should have limited venue hire, restricted liquor licensing provisions and have little impact on neighbouring amenity</w:t>
      </w:r>
      <w:r>
        <w:t>. The following organisations are to be included as  Cultural &amp; Recreation land use.</w:t>
      </w:r>
    </w:p>
    <w:tbl>
      <w:tblPr>
        <w:tblW w:w="8363" w:type="dxa"/>
        <w:tblInd w:w="392"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000" w:firstRow="0" w:lastRow="0" w:firstColumn="0" w:lastColumn="0" w:noHBand="0" w:noVBand="0"/>
      </w:tblPr>
      <w:tblGrid>
        <w:gridCol w:w="4111"/>
        <w:gridCol w:w="4252"/>
      </w:tblGrid>
      <w:tr w:rsidR="007D22EF" w:rsidRPr="00E60EA6" w:rsidTr="00E60EA6">
        <w:tc>
          <w:tcPr>
            <w:tcW w:w="4111" w:type="dxa"/>
          </w:tcPr>
          <w:p w:rsidR="007D22EF" w:rsidRPr="00E60EA6" w:rsidRDefault="00F462EA" w:rsidP="00854FD1">
            <w:pPr>
              <w:pStyle w:val="BodyText0"/>
              <w:spacing w:before="20" w:after="20"/>
              <w:rPr>
                <w:rFonts w:ascii="Lucida Sans Unicode" w:hAnsi="Lucida Sans Unicode" w:cs="Lucida Sans Unicode"/>
                <w:sz w:val="18"/>
                <w:szCs w:val="18"/>
              </w:rPr>
            </w:pPr>
            <w:r w:rsidRPr="00E60EA6">
              <w:rPr>
                <w:rFonts w:ascii="Lucida Sans Unicode" w:hAnsi="Lucida Sans Unicode" w:cs="Lucida Sans Unicode"/>
                <w:sz w:val="18"/>
                <w:szCs w:val="18"/>
              </w:rPr>
              <w:t>Croatian Community Centre of Geelong (</w:t>
            </w:r>
            <w:r w:rsidR="00962F20" w:rsidRPr="00E60EA6">
              <w:rPr>
                <w:rFonts w:ascii="Lucida Sans Unicode" w:hAnsi="Lucida Sans Unicode" w:cs="Lucida Sans Unicode"/>
                <w:sz w:val="18"/>
                <w:szCs w:val="18"/>
              </w:rPr>
              <w:t>Inc.</w:t>
            </w:r>
            <w:r w:rsidRPr="00E60EA6">
              <w:rPr>
                <w:rFonts w:ascii="Lucida Sans Unicode" w:hAnsi="Lucida Sans Unicode" w:cs="Lucida Sans Unicode"/>
                <w:sz w:val="18"/>
                <w:szCs w:val="18"/>
              </w:rPr>
              <w:t>)</w:t>
            </w:r>
          </w:p>
        </w:tc>
        <w:tc>
          <w:tcPr>
            <w:tcW w:w="4252" w:type="dxa"/>
          </w:tcPr>
          <w:p w:rsidR="007D22EF" w:rsidRPr="00E60EA6" w:rsidRDefault="00F462EA" w:rsidP="00854FD1">
            <w:pPr>
              <w:pStyle w:val="BodyText0"/>
              <w:spacing w:before="20" w:after="20"/>
              <w:rPr>
                <w:rFonts w:ascii="Lucida Sans Unicode" w:hAnsi="Lucida Sans Unicode" w:cs="Lucida Sans Unicode"/>
                <w:sz w:val="18"/>
                <w:szCs w:val="18"/>
              </w:rPr>
            </w:pPr>
            <w:r w:rsidRPr="00E60EA6">
              <w:rPr>
                <w:rFonts w:ascii="Lucida Sans Unicode" w:hAnsi="Lucida Sans Unicode" w:cs="Lucida Sans Unicode"/>
                <w:sz w:val="18"/>
                <w:szCs w:val="18"/>
              </w:rPr>
              <w:t>172-178 Cox Road, CORIO VIC 3214</w:t>
            </w:r>
          </w:p>
        </w:tc>
      </w:tr>
      <w:tr w:rsidR="007D22EF" w:rsidRPr="00E60EA6" w:rsidTr="00E60EA6">
        <w:tc>
          <w:tcPr>
            <w:tcW w:w="4111" w:type="dxa"/>
          </w:tcPr>
          <w:p w:rsidR="007D22EF" w:rsidRPr="00E60EA6" w:rsidRDefault="00F462EA" w:rsidP="00854FD1">
            <w:pPr>
              <w:pStyle w:val="BodyText0"/>
              <w:spacing w:before="20" w:after="20"/>
              <w:rPr>
                <w:rFonts w:ascii="Lucida Sans Unicode" w:hAnsi="Lucida Sans Unicode" w:cs="Lucida Sans Unicode"/>
                <w:sz w:val="18"/>
                <w:szCs w:val="18"/>
              </w:rPr>
            </w:pPr>
            <w:r w:rsidRPr="00E60EA6">
              <w:rPr>
                <w:rFonts w:ascii="Lucida Sans Unicode" w:hAnsi="Lucida Sans Unicode" w:cs="Lucida Sans Unicode"/>
                <w:sz w:val="18"/>
                <w:szCs w:val="18"/>
              </w:rPr>
              <w:t>Association of Ukrainians - Victoria</w:t>
            </w:r>
          </w:p>
        </w:tc>
        <w:tc>
          <w:tcPr>
            <w:tcW w:w="4252" w:type="dxa"/>
          </w:tcPr>
          <w:p w:rsidR="007D22EF" w:rsidRPr="00E60EA6" w:rsidRDefault="00F462EA" w:rsidP="00854FD1">
            <w:pPr>
              <w:pStyle w:val="BodyText0"/>
              <w:spacing w:before="20" w:after="20"/>
              <w:rPr>
                <w:rFonts w:ascii="Lucida Sans Unicode" w:hAnsi="Lucida Sans Unicode" w:cs="Lucida Sans Unicode"/>
                <w:sz w:val="18"/>
                <w:szCs w:val="18"/>
              </w:rPr>
            </w:pPr>
            <w:r w:rsidRPr="00E60EA6">
              <w:rPr>
                <w:rFonts w:ascii="Lucida Sans Unicode" w:hAnsi="Lucida Sans Unicode" w:cs="Lucida Sans Unicode"/>
                <w:sz w:val="18"/>
                <w:szCs w:val="18"/>
              </w:rPr>
              <w:t>16-21 Monastery Court, LOVELY BANKS VIC 3213</w:t>
            </w:r>
          </w:p>
        </w:tc>
      </w:tr>
    </w:tbl>
    <w:p w:rsidR="00A23966" w:rsidRPr="00316155" w:rsidRDefault="007D22EF" w:rsidP="005167B1">
      <w:pPr>
        <w:pStyle w:val="ListParagraph"/>
        <w:numPr>
          <w:ilvl w:val="0"/>
          <w:numId w:val="43"/>
        </w:numPr>
        <w:spacing w:after="80"/>
        <w:ind w:left="357" w:hanging="357"/>
        <w:jc w:val="both"/>
      </w:pPr>
      <w:r w:rsidRPr="00132FCB">
        <w:rPr>
          <w:rFonts w:cs="Lucida Sans Unicode"/>
          <w:szCs w:val="22"/>
        </w:rPr>
        <w:t>Rate Objections and VCAT appeals  lodged by  Petroleum and Aluminium ratepayers</w:t>
      </w:r>
    </w:p>
    <w:p w:rsidR="00F462EA" w:rsidRDefault="007D22EF" w:rsidP="005167B1">
      <w:pPr>
        <w:pStyle w:val="BodyTextIndent0"/>
      </w:pPr>
      <w:r>
        <w:t xml:space="preserve">The resolution of </w:t>
      </w:r>
      <w:r w:rsidR="008C478E">
        <w:t xml:space="preserve">rate </w:t>
      </w:r>
      <w:r>
        <w:t>objections and VCAT appeals for high value property, create risks to achieving budgeted rate revenue. The 2014 level valuation for Petroleum land has been certified and the objection for Aluminium production land is awaiting final certification. These objections and appeals represent significant rate reductions to be incorporated in the 2015-</w:t>
      </w:r>
      <w:r w:rsidR="00AB3A50">
        <w:t xml:space="preserve">16 </w:t>
      </w:r>
      <w:r>
        <w:t>Rating Strategy. The Rating Strategy provides for a reduction of $0.</w:t>
      </w:r>
      <w:r w:rsidR="008C478E">
        <w:t xml:space="preserve">9m </w:t>
      </w:r>
      <w:r>
        <w:t>in the Petroleum rate revenue and a net reduction of $0.</w:t>
      </w:r>
      <w:r w:rsidR="008C478E">
        <w:t xml:space="preserve">4m </w:t>
      </w:r>
      <w:r>
        <w:t xml:space="preserve">for the Aluminium differential. This rate revenue reduction </w:t>
      </w:r>
      <w:r w:rsidR="004A446B">
        <w:t>was p</w:t>
      </w:r>
      <w:r>
        <w:t xml:space="preserve">artly </w:t>
      </w:r>
      <w:r>
        <w:lastRenderedPageBreak/>
        <w:t>offset by the increase in supplementary rates growth.</w:t>
      </w:r>
    </w:p>
    <w:p w:rsidR="00A23966" w:rsidRPr="00316155" w:rsidRDefault="007D22EF" w:rsidP="005167B1">
      <w:pPr>
        <w:pStyle w:val="ListParagraph"/>
        <w:numPr>
          <w:ilvl w:val="0"/>
          <w:numId w:val="43"/>
        </w:numPr>
        <w:spacing w:after="80"/>
        <w:ind w:left="357" w:hanging="357"/>
        <w:jc w:val="both"/>
      </w:pPr>
      <w:r w:rsidRPr="00132FCB">
        <w:rPr>
          <w:rFonts w:cs="Lucida Sans Unicode"/>
          <w:szCs w:val="22"/>
        </w:rPr>
        <w:t>Review of  Aluminium production differential</w:t>
      </w:r>
    </w:p>
    <w:p w:rsidR="00F462EA" w:rsidRDefault="007D22EF" w:rsidP="005167B1">
      <w:pPr>
        <w:pStyle w:val="BodyTextIndent0"/>
      </w:pPr>
      <w:r w:rsidRPr="00794366">
        <w:t>The Aluminium Production Land differential rate</w:t>
      </w:r>
      <w:r>
        <w:t xml:space="preserve"> </w:t>
      </w:r>
      <w:r w:rsidR="004A446B">
        <w:t>was</w:t>
      </w:r>
      <w:r>
        <w:t xml:space="preserve"> discontinued  </w:t>
      </w:r>
      <w:r w:rsidRPr="00794366">
        <w:t>from 2015-</w:t>
      </w:r>
      <w:r w:rsidR="00AB3A50">
        <w:t>16</w:t>
      </w:r>
      <w:r w:rsidRPr="00794366">
        <w:t xml:space="preserve">, given there </w:t>
      </w:r>
      <w:r w:rsidR="004A446B">
        <w:t>were</w:t>
      </w:r>
      <w:r w:rsidRPr="00794366">
        <w:t xml:space="preserve"> no </w:t>
      </w:r>
      <w:r>
        <w:t>applicable rateable properties</w:t>
      </w:r>
      <w:r w:rsidRPr="00794366">
        <w:t>. This follows the closure of the Alcoa smelter in December 2014</w:t>
      </w:r>
      <w:r>
        <w:t>. The Aluminium production assessment is now defined as industrial land and rated at the industrial differential rate.</w:t>
      </w:r>
    </w:p>
    <w:p w:rsidR="00A23966" w:rsidRPr="00316155" w:rsidRDefault="007D22EF" w:rsidP="005167B1">
      <w:pPr>
        <w:pStyle w:val="ListParagraph"/>
        <w:numPr>
          <w:ilvl w:val="0"/>
          <w:numId w:val="43"/>
        </w:numPr>
        <w:spacing w:after="80"/>
        <w:ind w:left="357" w:hanging="357"/>
        <w:jc w:val="both"/>
      </w:pPr>
      <w:r w:rsidRPr="00132FCB">
        <w:rPr>
          <w:rFonts w:cs="Lucida Sans Unicode"/>
          <w:szCs w:val="22"/>
        </w:rPr>
        <w:t>Review of  Petroleum &amp; Automobile production differential</w:t>
      </w:r>
    </w:p>
    <w:p w:rsidR="007D22EF" w:rsidRPr="000D535F" w:rsidRDefault="00316155" w:rsidP="005167B1">
      <w:pPr>
        <w:pStyle w:val="BodyTextIndent0"/>
      </w:pPr>
      <w:r>
        <w:t>Council</w:t>
      </w:r>
      <w:r w:rsidR="008C478E" w:rsidRPr="000D535F">
        <w:t xml:space="preserve"> </w:t>
      </w:r>
      <w:r w:rsidR="00F462EA" w:rsidRPr="000D535F">
        <w:t xml:space="preserve">maintains a rating priority to align the Petroleum production land, </w:t>
      </w:r>
      <w:r w:rsidR="007D22EF" w:rsidRPr="000D535F">
        <w:t xml:space="preserve">and </w:t>
      </w:r>
      <w:r w:rsidR="00F462EA" w:rsidRPr="000D535F">
        <w:t>Automobile production land differential.</w:t>
      </w:r>
    </w:p>
    <w:p w:rsidR="007D22EF" w:rsidRPr="000D535F" w:rsidRDefault="00F462EA">
      <w:pPr>
        <w:pStyle w:val="BodyTextIndent0"/>
      </w:pPr>
      <w:r w:rsidRPr="000D535F">
        <w:t>Council has previously adopted a policy position that the long term intention was to move the Petroleum production land differential (along with Automobile production land differential) closer to the Industrial lan</w:t>
      </w:r>
      <w:r w:rsidR="004A446B">
        <w:t>d differential. Council proposed</w:t>
      </w:r>
      <w:r w:rsidRPr="000D535F">
        <w:t xml:space="preserve"> to adopt a timeline for transitioning the Petroleum and Automobile rating differential to the Industrial rating differential so that the differentials cease to exist as from 1 July 2017. A 50% reduction in the gap between the Petroleum and Automobile rating differential and the Industrial rating differential </w:t>
      </w:r>
      <w:r w:rsidR="004A446B">
        <w:t>was</w:t>
      </w:r>
      <w:r w:rsidRPr="000D535F">
        <w:t xml:space="preserve"> proposed as part of the 2015-</w:t>
      </w:r>
      <w:r w:rsidR="00AB3A50">
        <w:t>16</w:t>
      </w:r>
      <w:r w:rsidR="00AB3A50" w:rsidRPr="000D535F">
        <w:t xml:space="preserve"> </w:t>
      </w:r>
      <w:r w:rsidRPr="000D535F">
        <w:t>Rating Strategy.</w:t>
      </w:r>
    </w:p>
    <w:p w:rsidR="00A23966" w:rsidRPr="00316155" w:rsidRDefault="007D22EF" w:rsidP="005167B1">
      <w:pPr>
        <w:pStyle w:val="ListParagraph"/>
        <w:numPr>
          <w:ilvl w:val="0"/>
          <w:numId w:val="43"/>
        </w:numPr>
        <w:spacing w:after="80"/>
        <w:ind w:left="357" w:hanging="357"/>
        <w:jc w:val="both"/>
      </w:pPr>
      <w:r w:rsidRPr="00132FCB">
        <w:rPr>
          <w:rFonts w:cs="Lucida Sans Unicode"/>
          <w:szCs w:val="22"/>
        </w:rPr>
        <w:t>Review of Mixed use  land characteristics</w:t>
      </w:r>
    </w:p>
    <w:p w:rsidR="00F462EA" w:rsidRDefault="007D22EF" w:rsidP="005167B1">
      <w:pPr>
        <w:pStyle w:val="BodyTextIndent0"/>
      </w:pPr>
      <w:r>
        <w:t>The Mixed use differential applies to any land which has characteristics of residential land combined with characteristics of commercial or industrial land. There are no changes proposed to this land use definition in 2015</w:t>
      </w:r>
      <w:r w:rsidR="004A446B">
        <w:noBreakHyphen/>
      </w:r>
      <w:r w:rsidR="00AB3A50">
        <w:t>16</w:t>
      </w:r>
      <w:r>
        <w:t>.</w:t>
      </w:r>
    </w:p>
    <w:p w:rsidR="007D22EF" w:rsidRPr="00BA4451" w:rsidRDefault="007D22EF" w:rsidP="00E7196F">
      <w:pPr>
        <w:pStyle w:val="Heading3A"/>
      </w:pPr>
      <w:r w:rsidRPr="00BA4451">
        <w:t>Rating Model</w:t>
      </w:r>
    </w:p>
    <w:p w:rsidR="007D22EF" w:rsidRPr="001848C2" w:rsidRDefault="007D22EF">
      <w:pPr>
        <w:pStyle w:val="BodyText"/>
      </w:pPr>
      <w:r w:rsidRPr="001848C2">
        <w:t>Key features of the Rating Model are:</w:t>
      </w:r>
    </w:p>
    <w:p w:rsidR="00A23966" w:rsidRPr="005167B1" w:rsidRDefault="007D22EF" w:rsidP="005167B1">
      <w:pPr>
        <w:pStyle w:val="ListParagraph"/>
        <w:numPr>
          <w:ilvl w:val="0"/>
          <w:numId w:val="43"/>
        </w:numPr>
        <w:spacing w:after="80"/>
        <w:ind w:left="357" w:hanging="357"/>
        <w:jc w:val="both"/>
      </w:pPr>
      <w:r w:rsidRPr="00132FCB">
        <w:rPr>
          <w:rFonts w:cs="Lucida Sans Unicode"/>
          <w:szCs w:val="22"/>
        </w:rPr>
        <w:t>Rates and ch</w:t>
      </w:r>
      <w:r w:rsidRPr="00316155">
        <w:rPr>
          <w:rFonts w:cs="Lucida Sans Unicode"/>
          <w:szCs w:val="22"/>
        </w:rPr>
        <w:t>arges on a residential property increase</w:t>
      </w:r>
      <w:r w:rsidR="004A446B" w:rsidRPr="00316155">
        <w:rPr>
          <w:rFonts w:cs="Lucida Sans Unicode"/>
          <w:szCs w:val="22"/>
        </w:rPr>
        <w:t>d</w:t>
      </w:r>
      <w:r w:rsidRPr="00316155">
        <w:rPr>
          <w:rFonts w:cs="Lucida Sans Unicode"/>
          <w:szCs w:val="22"/>
        </w:rPr>
        <w:t xml:space="preserve"> overall by 4.45%, Municipal Charge movement 3%, and Waste Collection Service Charge 4.77%. The residential rate </w:t>
      </w:r>
      <w:r w:rsidR="004A446B" w:rsidRPr="005167B1">
        <w:rPr>
          <w:rFonts w:cs="Lucida Sans Unicode"/>
          <w:szCs w:val="22"/>
        </w:rPr>
        <w:t>was</w:t>
      </w:r>
      <w:r w:rsidRPr="005167B1">
        <w:rPr>
          <w:rFonts w:cs="Lucida Sans Unicode"/>
          <w:szCs w:val="22"/>
        </w:rPr>
        <w:t xml:space="preserve"> set at $0.002832 per $ of CIV valuation.</w:t>
      </w:r>
    </w:p>
    <w:p w:rsidR="00A23966" w:rsidRPr="005167B1" w:rsidRDefault="007D22EF" w:rsidP="005167B1">
      <w:pPr>
        <w:pStyle w:val="ListParagraph"/>
        <w:numPr>
          <w:ilvl w:val="0"/>
          <w:numId w:val="43"/>
        </w:numPr>
        <w:spacing w:after="80"/>
        <w:ind w:left="357" w:hanging="357"/>
        <w:jc w:val="both"/>
      </w:pPr>
      <w:r w:rsidRPr="005167B1">
        <w:rPr>
          <w:rFonts w:cs="Lucida Sans Unicode"/>
          <w:szCs w:val="22"/>
        </w:rPr>
        <w:t xml:space="preserve">The Waste Collection Service charge </w:t>
      </w:r>
      <w:r w:rsidR="004A446B" w:rsidRPr="005167B1">
        <w:rPr>
          <w:rFonts w:cs="Lucida Sans Unicode"/>
          <w:szCs w:val="22"/>
        </w:rPr>
        <w:t>was</w:t>
      </w:r>
      <w:r w:rsidRPr="005167B1">
        <w:rPr>
          <w:rFonts w:cs="Lucida Sans Unicode"/>
          <w:szCs w:val="22"/>
        </w:rPr>
        <w:t xml:space="preserve"> calculated based on a fee for service, including direct, indirect and overhead costs. The charge </w:t>
      </w:r>
      <w:r w:rsidR="004A446B" w:rsidRPr="005167B1">
        <w:rPr>
          <w:rFonts w:cs="Lucida Sans Unicode"/>
          <w:szCs w:val="22"/>
        </w:rPr>
        <w:t>was</w:t>
      </w:r>
      <w:r w:rsidRPr="005167B1">
        <w:rPr>
          <w:rFonts w:cs="Lucida Sans Unicode"/>
          <w:szCs w:val="22"/>
        </w:rPr>
        <w:t xml:space="preserve"> impacted by cost estimates of EPA levy $28.75 per tenement. The charge for 2015</w:t>
      </w:r>
      <w:r w:rsidRPr="005167B1">
        <w:rPr>
          <w:rFonts w:cs="Lucida Sans Unicode"/>
          <w:szCs w:val="22"/>
        </w:rPr>
        <w:noBreakHyphen/>
      </w:r>
      <w:r w:rsidR="00AB3A50" w:rsidRPr="005167B1">
        <w:rPr>
          <w:rFonts w:cs="Lucida Sans Unicode"/>
          <w:szCs w:val="22"/>
        </w:rPr>
        <w:t xml:space="preserve">16 </w:t>
      </w:r>
      <w:r w:rsidRPr="005167B1">
        <w:rPr>
          <w:rFonts w:cs="Lucida Sans Unicode"/>
          <w:szCs w:val="22"/>
        </w:rPr>
        <w:t>increase</w:t>
      </w:r>
      <w:r w:rsidR="004A446B" w:rsidRPr="005167B1">
        <w:rPr>
          <w:rFonts w:cs="Lucida Sans Unicode"/>
          <w:szCs w:val="22"/>
        </w:rPr>
        <w:t>d</w:t>
      </w:r>
      <w:r w:rsidRPr="005167B1">
        <w:rPr>
          <w:rFonts w:cs="Lucida Sans Unicode"/>
          <w:szCs w:val="22"/>
        </w:rPr>
        <w:t xml:space="preserve"> from $246.50 to $258.25 or 4.77%.</w:t>
      </w:r>
    </w:p>
    <w:p w:rsidR="00A23966" w:rsidRPr="005167B1" w:rsidRDefault="007D22EF" w:rsidP="005167B1">
      <w:pPr>
        <w:pStyle w:val="ListParagraph"/>
        <w:numPr>
          <w:ilvl w:val="0"/>
          <w:numId w:val="43"/>
        </w:numPr>
        <w:spacing w:after="80"/>
        <w:ind w:left="357" w:hanging="357"/>
        <w:jc w:val="both"/>
      </w:pPr>
      <w:r w:rsidRPr="005167B1">
        <w:rPr>
          <w:rFonts w:cs="Lucida Sans Unicode"/>
          <w:szCs w:val="22"/>
        </w:rPr>
        <w:t>The Municipal Charge represents a fee on all rateable assessments as a contribution to the fixed and unavoidable costs of governance. The municipal charge increase</w:t>
      </w:r>
      <w:r w:rsidR="004A446B" w:rsidRPr="005167B1">
        <w:rPr>
          <w:rFonts w:cs="Lucida Sans Unicode"/>
          <w:szCs w:val="22"/>
        </w:rPr>
        <w:t>d</w:t>
      </w:r>
      <w:r w:rsidRPr="005167B1">
        <w:rPr>
          <w:rFonts w:cs="Lucida Sans Unicode"/>
          <w:szCs w:val="22"/>
        </w:rPr>
        <w:t xml:space="preserve"> from $91.55 to $94.30 or 3%.</w:t>
      </w:r>
    </w:p>
    <w:p w:rsidR="00A23966" w:rsidRPr="00316155" w:rsidRDefault="007D22EF" w:rsidP="005167B1">
      <w:pPr>
        <w:pStyle w:val="ListParagraph"/>
        <w:numPr>
          <w:ilvl w:val="0"/>
          <w:numId w:val="43"/>
        </w:numPr>
        <w:spacing w:after="80"/>
        <w:ind w:left="357" w:hanging="357"/>
        <w:jc w:val="both"/>
      </w:pPr>
      <w:r w:rsidRPr="005167B1">
        <w:rPr>
          <w:rFonts w:cs="Lucida Sans Unicode"/>
          <w:szCs w:val="22"/>
        </w:rPr>
        <w:t>The Farm rebate remain</w:t>
      </w:r>
      <w:r w:rsidR="004A446B" w:rsidRPr="005167B1">
        <w:rPr>
          <w:rFonts w:cs="Lucida Sans Unicode"/>
          <w:szCs w:val="22"/>
        </w:rPr>
        <w:t>ed</w:t>
      </w:r>
      <w:r w:rsidRPr="005167B1">
        <w:rPr>
          <w:rFonts w:cs="Lucida Sans Unicode"/>
          <w:szCs w:val="22"/>
        </w:rPr>
        <w:t xml:space="preserve"> at 34%. This rebate provides ongoing rate relief to farmers. In 2015</w:t>
      </w:r>
      <w:r w:rsidRPr="005167B1">
        <w:rPr>
          <w:rFonts w:cs="Lucida Sans Unicode"/>
          <w:szCs w:val="22"/>
        </w:rPr>
        <w:noBreakHyphen/>
      </w:r>
      <w:r w:rsidR="00AB3A50" w:rsidRPr="005167B1">
        <w:rPr>
          <w:rFonts w:cs="Lucida Sans Unicode"/>
          <w:szCs w:val="22"/>
        </w:rPr>
        <w:t xml:space="preserve">16 </w:t>
      </w:r>
      <w:r w:rsidRPr="005167B1">
        <w:rPr>
          <w:rFonts w:cs="Lucida Sans Unicode"/>
          <w:szCs w:val="22"/>
        </w:rPr>
        <w:t xml:space="preserve">a 34% rebate represents a cost to </w:t>
      </w:r>
      <w:r w:rsidR="00316155">
        <w:rPr>
          <w:rFonts w:cs="Lucida Sans Unicode"/>
          <w:szCs w:val="22"/>
        </w:rPr>
        <w:t>Council</w:t>
      </w:r>
      <w:r w:rsidR="008C478E" w:rsidRPr="00316155">
        <w:rPr>
          <w:rFonts w:cs="Lucida Sans Unicode"/>
          <w:szCs w:val="22"/>
        </w:rPr>
        <w:t xml:space="preserve"> </w:t>
      </w:r>
      <w:r w:rsidRPr="00316155">
        <w:rPr>
          <w:rFonts w:cs="Lucida Sans Unicode"/>
          <w:szCs w:val="22"/>
        </w:rPr>
        <w:t>of $1.</w:t>
      </w:r>
      <w:r w:rsidR="008C478E" w:rsidRPr="00316155">
        <w:rPr>
          <w:rFonts w:cs="Lucida Sans Unicode"/>
          <w:szCs w:val="22"/>
        </w:rPr>
        <w:t>289m</w:t>
      </w:r>
      <w:r w:rsidRPr="00316155">
        <w:rPr>
          <w:rFonts w:cs="Lucida Sans Unicode"/>
          <w:szCs w:val="22"/>
        </w:rPr>
        <w:t>.</w:t>
      </w:r>
    </w:p>
    <w:p w:rsidR="00A23966" w:rsidRPr="005167B1" w:rsidRDefault="007D22EF" w:rsidP="005167B1">
      <w:pPr>
        <w:pStyle w:val="ListParagraph"/>
        <w:numPr>
          <w:ilvl w:val="0"/>
          <w:numId w:val="43"/>
        </w:numPr>
        <w:spacing w:after="80"/>
        <w:ind w:left="357" w:hanging="357"/>
        <w:jc w:val="both"/>
      </w:pPr>
      <w:r w:rsidRPr="005167B1">
        <w:rPr>
          <w:rFonts w:cs="Lucida Sans Unicode"/>
          <w:szCs w:val="22"/>
        </w:rPr>
        <w:lastRenderedPageBreak/>
        <w:t>Vacant Land rate in the dollar remain</w:t>
      </w:r>
      <w:r w:rsidR="004A446B" w:rsidRPr="005167B1">
        <w:rPr>
          <w:rFonts w:cs="Lucida Sans Unicode"/>
          <w:szCs w:val="22"/>
        </w:rPr>
        <w:t>ed</w:t>
      </w:r>
      <w:r w:rsidRPr="005167B1">
        <w:rPr>
          <w:rFonts w:cs="Lucida Sans Unicode"/>
          <w:szCs w:val="22"/>
        </w:rPr>
        <w:t xml:space="preserve"> at 145% of residential in order to encourage building activity and development.</w:t>
      </w:r>
    </w:p>
    <w:p w:rsidR="00A23966" w:rsidRPr="005167B1" w:rsidRDefault="007D22EF" w:rsidP="005167B1">
      <w:pPr>
        <w:pStyle w:val="ListParagraph"/>
        <w:numPr>
          <w:ilvl w:val="0"/>
          <w:numId w:val="43"/>
        </w:numPr>
        <w:spacing w:after="80"/>
        <w:ind w:left="357" w:hanging="357"/>
        <w:jc w:val="both"/>
      </w:pPr>
      <w:r w:rsidRPr="005167B1">
        <w:rPr>
          <w:rFonts w:cs="Lucida Sans Unicode"/>
          <w:szCs w:val="22"/>
        </w:rPr>
        <w:t>Petroleum and Automobile differentials have been aligned to the same rate in the dollar. Council’s adopted Statement of Principle is to reduce the gap between the rate in the dollar for these differentials and the industrial differential. For 2015-</w:t>
      </w:r>
      <w:r w:rsidR="00AB3A50" w:rsidRPr="005167B1">
        <w:rPr>
          <w:rFonts w:cs="Lucida Sans Unicode"/>
          <w:szCs w:val="22"/>
        </w:rPr>
        <w:t xml:space="preserve">16 </w:t>
      </w:r>
      <w:r w:rsidRPr="005167B1">
        <w:rPr>
          <w:rFonts w:cs="Lucida Sans Unicode"/>
          <w:szCs w:val="22"/>
        </w:rPr>
        <w:t>Petroleum and Automobile differential moved from 367% to 322% relative to residential.</w:t>
      </w:r>
    </w:p>
    <w:p w:rsidR="00A23966" w:rsidRPr="005167B1" w:rsidRDefault="007D22EF" w:rsidP="005167B1">
      <w:pPr>
        <w:pStyle w:val="ListParagraph"/>
        <w:numPr>
          <w:ilvl w:val="0"/>
          <w:numId w:val="43"/>
        </w:numPr>
        <w:spacing w:after="80"/>
        <w:ind w:left="357" w:hanging="357"/>
        <w:jc w:val="both"/>
      </w:pPr>
      <w:r w:rsidRPr="005167B1">
        <w:rPr>
          <w:rFonts w:cs="Lucida Sans Unicode"/>
          <w:szCs w:val="22"/>
        </w:rPr>
        <w:t xml:space="preserve">The Housing Support Waiver for eligible Charitable Housing </w:t>
      </w:r>
      <w:r w:rsidR="004A446B" w:rsidRPr="005167B1">
        <w:rPr>
          <w:rFonts w:cs="Lucida Sans Unicode"/>
          <w:szCs w:val="22"/>
        </w:rPr>
        <w:t>was</w:t>
      </w:r>
      <w:r w:rsidRPr="005167B1">
        <w:rPr>
          <w:rFonts w:cs="Lucida Sans Unicode"/>
          <w:szCs w:val="22"/>
        </w:rPr>
        <w:t xml:space="preserve"> maintained for 2015-</w:t>
      </w:r>
      <w:r w:rsidR="00AB3A50" w:rsidRPr="005167B1">
        <w:rPr>
          <w:rFonts w:cs="Lucida Sans Unicode"/>
          <w:szCs w:val="22"/>
        </w:rPr>
        <w:t xml:space="preserve">16 </w:t>
      </w:r>
      <w:r w:rsidRPr="005167B1">
        <w:rPr>
          <w:rFonts w:cs="Lucida Sans Unicode"/>
          <w:szCs w:val="22"/>
        </w:rPr>
        <w:t xml:space="preserve">and </w:t>
      </w:r>
      <w:r w:rsidR="004A446B" w:rsidRPr="005167B1">
        <w:rPr>
          <w:rFonts w:cs="Lucida Sans Unicode"/>
          <w:szCs w:val="22"/>
        </w:rPr>
        <w:t xml:space="preserve">made </w:t>
      </w:r>
      <w:r w:rsidRPr="005167B1">
        <w:rPr>
          <w:rFonts w:cs="Lucida Sans Unicode"/>
          <w:szCs w:val="22"/>
        </w:rPr>
        <w:t>available upon application for eligible properties.</w:t>
      </w:r>
    </w:p>
    <w:p w:rsidR="00A23966" w:rsidRPr="005167B1" w:rsidRDefault="007D22EF" w:rsidP="005167B1">
      <w:pPr>
        <w:pStyle w:val="ListParagraph"/>
        <w:numPr>
          <w:ilvl w:val="0"/>
          <w:numId w:val="43"/>
        </w:numPr>
        <w:spacing w:after="80"/>
        <w:ind w:left="357" w:hanging="357"/>
        <w:jc w:val="both"/>
      </w:pPr>
      <w:r w:rsidRPr="005167B1">
        <w:rPr>
          <w:rFonts w:cs="Lucida Sans Unicode"/>
          <w:szCs w:val="22"/>
        </w:rPr>
        <w:t>The transitional rebate introduced in 2010-</w:t>
      </w:r>
      <w:r w:rsidR="00AB3A50" w:rsidRPr="005167B1">
        <w:rPr>
          <w:rFonts w:cs="Lucida Sans Unicode"/>
          <w:szCs w:val="22"/>
        </w:rPr>
        <w:t xml:space="preserve">11 </w:t>
      </w:r>
      <w:r w:rsidRPr="005167B1">
        <w:rPr>
          <w:rFonts w:cs="Lucida Sans Unicode"/>
          <w:szCs w:val="22"/>
        </w:rPr>
        <w:t>for nominated charitable housing properties was reduced to 25% in 2014-</w:t>
      </w:r>
      <w:r w:rsidR="00AB3A50" w:rsidRPr="005167B1">
        <w:rPr>
          <w:rFonts w:cs="Lucida Sans Unicode"/>
          <w:szCs w:val="22"/>
        </w:rPr>
        <w:t xml:space="preserve">15 </w:t>
      </w:r>
      <w:r w:rsidRPr="005167B1">
        <w:rPr>
          <w:rFonts w:cs="Lucida Sans Unicode"/>
          <w:szCs w:val="22"/>
        </w:rPr>
        <w:t>and withdrawn from 2015</w:t>
      </w:r>
      <w:r w:rsidRPr="005167B1">
        <w:rPr>
          <w:rFonts w:cs="Lucida Sans Unicode"/>
          <w:szCs w:val="22"/>
        </w:rPr>
        <w:noBreakHyphen/>
      </w:r>
      <w:r w:rsidR="00AB3A50" w:rsidRPr="005167B1">
        <w:rPr>
          <w:rFonts w:cs="Lucida Sans Unicode"/>
          <w:szCs w:val="22"/>
        </w:rPr>
        <w:t>16</w:t>
      </w:r>
      <w:r w:rsidRPr="005167B1">
        <w:rPr>
          <w:rFonts w:cs="Lucida Sans Unicode"/>
          <w:szCs w:val="22"/>
        </w:rPr>
        <w:t>.</w:t>
      </w:r>
    </w:p>
    <w:p w:rsidR="00A23966" w:rsidRPr="005167B1" w:rsidRDefault="007D22EF" w:rsidP="005167B1">
      <w:pPr>
        <w:pStyle w:val="ListParagraph"/>
        <w:numPr>
          <w:ilvl w:val="0"/>
          <w:numId w:val="43"/>
        </w:numPr>
        <w:spacing w:after="80"/>
        <w:ind w:left="357" w:hanging="357"/>
        <w:jc w:val="both"/>
      </w:pPr>
      <w:r w:rsidRPr="005167B1">
        <w:rPr>
          <w:rFonts w:cs="Lucida Sans Unicode"/>
          <w:szCs w:val="22"/>
        </w:rPr>
        <w:t>A rates waiver introduced for the New Corio Estate from 2013-</w:t>
      </w:r>
      <w:r w:rsidR="00AB3A50" w:rsidRPr="005167B1">
        <w:rPr>
          <w:rFonts w:cs="Lucida Sans Unicode"/>
          <w:szCs w:val="22"/>
        </w:rPr>
        <w:t xml:space="preserve">14 </w:t>
      </w:r>
      <w:r w:rsidRPr="005167B1">
        <w:rPr>
          <w:rFonts w:cs="Lucida Sans Unicode"/>
          <w:szCs w:val="22"/>
        </w:rPr>
        <w:t xml:space="preserve">recognising this inappropriate subdivision and Planning Scheme Amendment C243 </w:t>
      </w:r>
      <w:r w:rsidR="004A446B" w:rsidRPr="005167B1">
        <w:rPr>
          <w:rFonts w:cs="Lucida Sans Unicode"/>
          <w:szCs w:val="22"/>
        </w:rPr>
        <w:t>was</w:t>
      </w:r>
      <w:r w:rsidRPr="005167B1">
        <w:rPr>
          <w:rFonts w:cs="Lucida Sans Unicode"/>
          <w:szCs w:val="22"/>
        </w:rPr>
        <w:t xml:space="preserve"> maintained.</w:t>
      </w:r>
    </w:p>
    <w:p w:rsidR="00A23966" w:rsidRPr="005167B1" w:rsidRDefault="007D22EF" w:rsidP="005167B1">
      <w:pPr>
        <w:pStyle w:val="ListParagraph"/>
        <w:numPr>
          <w:ilvl w:val="0"/>
          <w:numId w:val="43"/>
        </w:numPr>
        <w:spacing w:after="80"/>
        <w:ind w:left="357" w:hanging="357"/>
        <w:jc w:val="both"/>
      </w:pPr>
      <w:r w:rsidRPr="005167B1">
        <w:rPr>
          <w:rFonts w:cs="Lucida Sans Unicode"/>
          <w:szCs w:val="22"/>
        </w:rPr>
        <w:t>The pensioner concession increase</w:t>
      </w:r>
      <w:r w:rsidR="004A446B" w:rsidRPr="005167B1">
        <w:rPr>
          <w:rFonts w:cs="Lucida Sans Unicode"/>
          <w:szCs w:val="22"/>
        </w:rPr>
        <w:t>d</w:t>
      </w:r>
      <w:r w:rsidRPr="005167B1">
        <w:rPr>
          <w:rFonts w:cs="Lucida Sans Unicode"/>
          <w:szCs w:val="22"/>
        </w:rPr>
        <w:t xml:space="preserve"> from $208.00 in accordance with movement in </w:t>
      </w:r>
      <w:smartTag w:uri="urn:schemas-microsoft-com:office:smarttags" w:element="stockticker">
        <w:r w:rsidRPr="005167B1">
          <w:rPr>
            <w:rFonts w:cs="Lucida Sans Unicode"/>
            <w:szCs w:val="22"/>
          </w:rPr>
          <w:t>CPI</w:t>
        </w:r>
      </w:smartTag>
      <w:r w:rsidRPr="005167B1">
        <w:rPr>
          <w:rFonts w:cs="Lucida Sans Unicode"/>
          <w:szCs w:val="22"/>
        </w:rPr>
        <w:t xml:space="preserve"> for Melbourne as advised by the Australian Bureau of Statistics to an estimated $212.70.</w:t>
      </w:r>
    </w:p>
    <w:p w:rsidR="007D22EF" w:rsidRDefault="007D22EF">
      <w:pPr>
        <w:pStyle w:val="Heading4A"/>
      </w:pPr>
      <w:r w:rsidRPr="00B41589">
        <w:t xml:space="preserve">Rebates - </w:t>
      </w:r>
      <w:r w:rsidR="0057338B">
        <w:t>s</w:t>
      </w:r>
      <w:r w:rsidR="0057338B" w:rsidRPr="00B41589">
        <w:t xml:space="preserve">ection </w:t>
      </w:r>
      <w:r w:rsidRPr="00B41589">
        <w:t>169 of the LGA Rebates</w:t>
      </w:r>
    </w:p>
    <w:p w:rsidR="007D22EF" w:rsidRDefault="007D22EF">
      <w:pPr>
        <w:pStyle w:val="BodyText"/>
      </w:pPr>
      <w:r>
        <w:t>For 2015-</w:t>
      </w:r>
      <w:r w:rsidR="00AB3A50">
        <w:t xml:space="preserve">16 </w:t>
      </w:r>
      <w:r>
        <w:t>the following rebate appl</w:t>
      </w:r>
      <w:r w:rsidR="0027081E">
        <w:t>ied</w:t>
      </w:r>
      <w:r>
        <w:t>:</w:t>
      </w:r>
    </w:p>
    <w:p w:rsidR="00A23966" w:rsidRPr="00316155" w:rsidRDefault="007D22EF" w:rsidP="005167B1">
      <w:pPr>
        <w:pStyle w:val="ListParagraph"/>
        <w:numPr>
          <w:ilvl w:val="0"/>
          <w:numId w:val="43"/>
        </w:numPr>
        <w:spacing w:after="80"/>
        <w:ind w:left="357" w:hanging="357"/>
        <w:jc w:val="both"/>
      </w:pPr>
      <w:r w:rsidRPr="00132FCB">
        <w:rPr>
          <w:rFonts w:cs="Lucida Sans Unicode"/>
          <w:szCs w:val="22"/>
        </w:rPr>
        <w:t>Farm Rebate.</w:t>
      </w:r>
    </w:p>
    <w:p w:rsidR="007D22EF" w:rsidRPr="00B41589" w:rsidRDefault="007D22EF">
      <w:pPr>
        <w:pStyle w:val="Heading4A"/>
      </w:pPr>
      <w:r w:rsidRPr="00B41589">
        <w:t xml:space="preserve">Waivers - </w:t>
      </w:r>
      <w:r w:rsidR="0057338B">
        <w:t>s</w:t>
      </w:r>
      <w:r w:rsidR="0057338B" w:rsidRPr="00B41589">
        <w:t xml:space="preserve">ection </w:t>
      </w:r>
      <w:r w:rsidRPr="00B41589">
        <w:t>171 of the LGA Waivers</w:t>
      </w:r>
    </w:p>
    <w:p w:rsidR="007D22EF" w:rsidRDefault="007D22EF">
      <w:pPr>
        <w:pStyle w:val="BodyText"/>
      </w:pPr>
      <w:r>
        <w:t>For 2015-</w:t>
      </w:r>
      <w:r w:rsidR="00AB3A50">
        <w:t xml:space="preserve">16 </w:t>
      </w:r>
      <w:r>
        <w:t>the following waivers appl</w:t>
      </w:r>
      <w:r w:rsidR="0027081E">
        <w:t>ied</w:t>
      </w:r>
      <w:r>
        <w:t>:</w:t>
      </w:r>
    </w:p>
    <w:p w:rsidR="00A23966" w:rsidRPr="00316155" w:rsidRDefault="007D22EF" w:rsidP="005167B1">
      <w:pPr>
        <w:pStyle w:val="ListParagraph"/>
        <w:numPr>
          <w:ilvl w:val="0"/>
          <w:numId w:val="43"/>
        </w:numPr>
        <w:spacing w:after="80"/>
        <w:ind w:left="357" w:hanging="357"/>
        <w:jc w:val="both"/>
      </w:pPr>
      <w:r w:rsidRPr="00132FCB">
        <w:rPr>
          <w:rFonts w:cs="Lucida Sans Unicode"/>
          <w:szCs w:val="22"/>
        </w:rPr>
        <w:t>Rates Assistance Waiver (Valuation increase over 50%).</w:t>
      </w:r>
    </w:p>
    <w:p w:rsidR="00A23966" w:rsidRPr="005167B1" w:rsidRDefault="007D22EF" w:rsidP="005167B1">
      <w:pPr>
        <w:pStyle w:val="ListParagraph"/>
        <w:numPr>
          <w:ilvl w:val="0"/>
          <w:numId w:val="43"/>
        </w:numPr>
        <w:spacing w:after="80"/>
        <w:ind w:left="357" w:hanging="357"/>
        <w:jc w:val="both"/>
      </w:pPr>
      <w:r w:rsidRPr="005167B1">
        <w:rPr>
          <w:rFonts w:cs="Lucida Sans Unicode"/>
          <w:szCs w:val="22"/>
        </w:rPr>
        <w:t>Housing Support Waiver.</w:t>
      </w:r>
    </w:p>
    <w:p w:rsidR="00A23966" w:rsidRPr="005167B1" w:rsidRDefault="007D22EF" w:rsidP="005167B1">
      <w:pPr>
        <w:pStyle w:val="ListParagraph"/>
        <w:numPr>
          <w:ilvl w:val="0"/>
          <w:numId w:val="43"/>
        </w:numPr>
        <w:spacing w:after="80"/>
        <w:ind w:left="357" w:hanging="357"/>
        <w:jc w:val="both"/>
      </w:pPr>
      <w:r w:rsidRPr="005167B1">
        <w:rPr>
          <w:rFonts w:cs="Lucida Sans Unicode"/>
          <w:szCs w:val="22"/>
        </w:rPr>
        <w:t>New Corio Estate (Inappropriate Subdivision).</w:t>
      </w:r>
    </w:p>
    <w:p w:rsidR="007D22EF" w:rsidRPr="00BA4451" w:rsidRDefault="007D22EF" w:rsidP="00E7196F">
      <w:pPr>
        <w:pStyle w:val="Heading3A"/>
      </w:pPr>
      <w:r w:rsidRPr="00BA4451">
        <w:t>Recycling and Waste Collection Service Charge</w:t>
      </w:r>
    </w:p>
    <w:p w:rsidR="007D22EF" w:rsidRPr="00D576C5" w:rsidRDefault="007D22EF">
      <w:pPr>
        <w:pStyle w:val="BodyText"/>
        <w:rPr>
          <w:lang w:val="en-US"/>
        </w:rPr>
      </w:pPr>
      <w:r w:rsidRPr="00D576C5">
        <w:t>The Annual Service Charge is proposed at $</w:t>
      </w:r>
      <w:r>
        <w:t>258.25</w:t>
      </w:r>
      <w:r w:rsidRPr="00D576C5">
        <w:t xml:space="preserve"> for each rateable land and non-rateable land. The charge </w:t>
      </w:r>
      <w:r>
        <w:t>is</w:t>
      </w:r>
      <w:r w:rsidRPr="00D576C5">
        <w:t xml:space="preserve"> levied on the following criteria:</w:t>
      </w:r>
    </w:p>
    <w:p w:rsidR="00A23966" w:rsidRPr="00316155" w:rsidRDefault="007D22EF" w:rsidP="005167B1">
      <w:pPr>
        <w:pStyle w:val="ListParagraph"/>
        <w:numPr>
          <w:ilvl w:val="0"/>
          <w:numId w:val="43"/>
        </w:numPr>
        <w:spacing w:after="80"/>
        <w:ind w:left="357" w:hanging="357"/>
        <w:jc w:val="both"/>
      </w:pPr>
      <w:r w:rsidRPr="00132FCB">
        <w:rPr>
          <w:rFonts w:cs="Lucida Sans Unicode"/>
          <w:szCs w:val="22"/>
        </w:rPr>
        <w:t xml:space="preserve">Geographic existence within those areas of the municipal district in which </w:t>
      </w:r>
      <w:r w:rsidR="00316155">
        <w:rPr>
          <w:rFonts w:cs="Lucida Sans Unicode"/>
          <w:szCs w:val="22"/>
        </w:rPr>
        <w:t>Council</w:t>
      </w:r>
      <w:r w:rsidR="0057338B" w:rsidRPr="00316155">
        <w:rPr>
          <w:rFonts w:cs="Lucida Sans Unicode"/>
          <w:szCs w:val="22"/>
        </w:rPr>
        <w:t xml:space="preserve"> </w:t>
      </w:r>
      <w:r w:rsidRPr="00316155">
        <w:rPr>
          <w:rFonts w:cs="Lucida Sans Unicode"/>
          <w:szCs w:val="22"/>
        </w:rPr>
        <w:t xml:space="preserve">provides a domestic refuse collection and disposal service. </w:t>
      </w:r>
    </w:p>
    <w:p w:rsidR="00A23966" w:rsidRPr="005167B1" w:rsidRDefault="007D22EF" w:rsidP="005167B1">
      <w:pPr>
        <w:pStyle w:val="ListParagraph"/>
        <w:numPr>
          <w:ilvl w:val="0"/>
          <w:numId w:val="43"/>
        </w:numPr>
        <w:spacing w:after="80"/>
        <w:ind w:left="357" w:hanging="357"/>
        <w:jc w:val="both"/>
      </w:pPr>
      <w:r w:rsidRPr="005167B1">
        <w:rPr>
          <w:rFonts w:cs="Lucida Sans Unicode"/>
          <w:szCs w:val="22"/>
        </w:rPr>
        <w:t>The charge will be raised irrespective of whether the service is used or not.</w:t>
      </w:r>
    </w:p>
    <w:p w:rsidR="00F462EA" w:rsidRDefault="007D22EF">
      <w:pPr>
        <w:pStyle w:val="BodyText"/>
      </w:pPr>
      <w:r w:rsidRPr="00B0096F">
        <w:t xml:space="preserve">The Waste Collection Service charge is calculated based on a fee for service, including direct, indirect </w:t>
      </w:r>
      <w:r>
        <w:t>and o</w:t>
      </w:r>
      <w:r w:rsidRPr="00B0096F">
        <w:t>verhead costs.  The charge for 201</w:t>
      </w:r>
      <w:r>
        <w:t>5</w:t>
      </w:r>
      <w:r w:rsidRPr="00B0096F">
        <w:noBreakHyphen/>
      </w:r>
      <w:r w:rsidR="00AB3A50">
        <w:t>16</w:t>
      </w:r>
      <w:r w:rsidR="00AB3A50" w:rsidRPr="00B0096F">
        <w:t xml:space="preserve"> </w:t>
      </w:r>
      <w:r w:rsidRPr="00B0096F">
        <w:t>will increase from $</w:t>
      </w:r>
      <w:r>
        <w:t>246.50</w:t>
      </w:r>
      <w:r w:rsidRPr="00B0096F">
        <w:t xml:space="preserve"> to $</w:t>
      </w:r>
      <w:r>
        <w:t>258.25</w:t>
      </w:r>
      <w:r w:rsidRPr="00B0096F">
        <w:t xml:space="preserve"> or </w:t>
      </w:r>
      <w:r>
        <w:t>4.77</w:t>
      </w:r>
      <w:r w:rsidRPr="00B0096F">
        <w:t>%.</w:t>
      </w:r>
    </w:p>
    <w:p w:rsidR="00F462EA" w:rsidRDefault="007D22EF">
      <w:pPr>
        <w:pStyle w:val="BodyText"/>
      </w:pPr>
      <w:r w:rsidRPr="00E74929">
        <w:lastRenderedPageBreak/>
        <w:t xml:space="preserve">Provision has been </w:t>
      </w:r>
      <w:r>
        <w:t>retained</w:t>
      </w:r>
      <w:r w:rsidRPr="00E74929">
        <w:t xml:space="preserve"> for a HACC support program for</w:t>
      </w:r>
      <w:r>
        <w:t xml:space="preserve"> aged and disadvantaged</w:t>
      </w:r>
      <w:r w:rsidRPr="00E74929">
        <w:t xml:space="preserve"> residents requiring assistance with waste removal.</w:t>
      </w:r>
    </w:p>
    <w:p w:rsidR="007D22EF" w:rsidRPr="00BA4451" w:rsidRDefault="007D22EF" w:rsidP="00E7196F">
      <w:pPr>
        <w:pStyle w:val="Heading3A"/>
      </w:pPr>
      <w:r w:rsidRPr="00BA4451">
        <w:t>Residential Rates and Charges</w:t>
      </w:r>
    </w:p>
    <w:p w:rsidR="007D22EF" w:rsidRPr="00D576C5" w:rsidRDefault="007D22EF">
      <w:pPr>
        <w:pStyle w:val="BodyText"/>
      </w:pPr>
      <w:r>
        <w:t>T</w:t>
      </w:r>
      <w:r w:rsidRPr="00D576C5">
        <w:t xml:space="preserve">he average Capital Improved Value of residential properties within the municipality </w:t>
      </w:r>
      <w:r>
        <w:t xml:space="preserve">increased </w:t>
      </w:r>
      <w:r w:rsidRPr="00D576C5">
        <w:t>from $</w:t>
      </w:r>
      <w:r>
        <w:t>375,674</w:t>
      </w:r>
      <w:r w:rsidRPr="00D576C5">
        <w:t xml:space="preserve"> to $</w:t>
      </w:r>
      <w:r>
        <w:t>377,721</w:t>
      </w:r>
      <w:r w:rsidRPr="00D576C5">
        <w:t>.</w:t>
      </w:r>
      <w:r>
        <w:t xml:space="preserve"> </w:t>
      </w:r>
      <w:r w:rsidRPr="00D576C5">
        <w:t>The total increase in rates and charges for the average property with a capital improved value of $</w:t>
      </w:r>
      <w:r>
        <w:t>377,721</w:t>
      </w:r>
      <w:r w:rsidRPr="00D576C5">
        <w:t xml:space="preserve"> is $</w:t>
      </w:r>
      <w:r>
        <w:t>60.55</w:t>
      </w:r>
      <w:r w:rsidRPr="00D576C5">
        <w:t xml:space="preserve"> or </w:t>
      </w:r>
      <w:r>
        <w:t>4.45</w:t>
      </w:r>
      <w:r w:rsidRPr="00D576C5">
        <w:t>%. This increase is made up of $</w:t>
      </w:r>
      <w:r>
        <w:t>46.05</w:t>
      </w:r>
      <w:r w:rsidRPr="00D576C5">
        <w:t xml:space="preserve"> for General Rates, $</w:t>
      </w:r>
      <w:r>
        <w:t>2.75</w:t>
      </w:r>
      <w:r w:rsidRPr="00D576C5">
        <w:t xml:space="preserve"> for Municipal Charge and $</w:t>
      </w:r>
      <w:r>
        <w:t>11.75</w:t>
      </w:r>
      <w:r w:rsidRPr="00D576C5">
        <w:t xml:space="preserve"> for the Waste Collection </w:t>
      </w:r>
      <w:r>
        <w:t>S</w:t>
      </w:r>
      <w:r w:rsidRPr="00D576C5">
        <w:t>ervice.</w:t>
      </w:r>
    </w:p>
    <w:tbl>
      <w:tblPr>
        <w:tblW w:w="8376" w:type="dxa"/>
        <w:tblInd w:w="95" w:type="dxa"/>
        <w:tblLayout w:type="fixed"/>
        <w:tblLook w:val="01E0" w:firstRow="1" w:lastRow="1" w:firstColumn="1" w:lastColumn="1" w:noHBand="0" w:noVBand="0"/>
      </w:tblPr>
      <w:tblGrid>
        <w:gridCol w:w="3132"/>
        <w:gridCol w:w="1984"/>
        <w:gridCol w:w="1843"/>
        <w:gridCol w:w="1417"/>
      </w:tblGrid>
      <w:tr w:rsidR="007D22EF" w:rsidRPr="00E60EA6" w:rsidTr="0027081E">
        <w:trPr>
          <w:trHeight w:val="20"/>
        </w:trPr>
        <w:tc>
          <w:tcPr>
            <w:tcW w:w="3132" w:type="dxa"/>
            <w:tcBorders>
              <w:top w:val="single" w:sz="4" w:space="0" w:color="auto"/>
              <w:bottom w:val="single" w:sz="4" w:space="0" w:color="auto"/>
            </w:tcBorders>
            <w:shd w:val="clear" w:color="auto" w:fill="auto"/>
            <w:vAlign w:val="bottom"/>
            <w:hideMark/>
          </w:tcPr>
          <w:p w:rsidR="007D22EF" w:rsidRPr="00683CDE" w:rsidRDefault="007D22EF" w:rsidP="0027081E">
            <w:pPr>
              <w:spacing w:before="0" w:after="0"/>
              <w:rPr>
                <w:rFonts w:ascii="News Gothic Std" w:hAnsi="News Gothic Std" w:cs="Arial"/>
                <w:bCs/>
                <w:color w:val="0070C0"/>
                <w:sz w:val="18"/>
                <w:szCs w:val="18"/>
                <w:lang w:eastAsia="en-AU"/>
              </w:rPr>
            </w:pPr>
            <w:r w:rsidRPr="00683CDE">
              <w:rPr>
                <w:rFonts w:ascii="News Gothic Std" w:hAnsi="News Gothic Std" w:cs="Arial"/>
                <w:bCs/>
                <w:color w:val="0070C0"/>
                <w:sz w:val="18"/>
                <w:szCs w:val="18"/>
                <w:lang w:eastAsia="en-AU"/>
              </w:rPr>
              <w:t>Residential Properties</w:t>
            </w:r>
          </w:p>
        </w:tc>
        <w:tc>
          <w:tcPr>
            <w:tcW w:w="1984" w:type="dxa"/>
            <w:tcBorders>
              <w:top w:val="single" w:sz="4" w:space="0" w:color="auto"/>
              <w:bottom w:val="single" w:sz="4" w:space="0" w:color="auto"/>
            </w:tcBorders>
            <w:shd w:val="clear" w:color="auto" w:fill="auto"/>
            <w:vAlign w:val="bottom"/>
            <w:hideMark/>
          </w:tcPr>
          <w:p w:rsidR="007D22EF" w:rsidRPr="00683CDE" w:rsidRDefault="007D22EF" w:rsidP="0027081E">
            <w:pPr>
              <w:spacing w:before="0" w:after="0"/>
              <w:jc w:val="right"/>
              <w:rPr>
                <w:rFonts w:ascii="News Gothic Std" w:hAnsi="News Gothic Std" w:cs="Arial"/>
                <w:bCs/>
                <w:color w:val="0070C0"/>
                <w:sz w:val="18"/>
                <w:szCs w:val="18"/>
                <w:lang w:eastAsia="en-AU"/>
              </w:rPr>
            </w:pPr>
            <w:r w:rsidRPr="00683CDE">
              <w:rPr>
                <w:rFonts w:ascii="News Gothic Std" w:hAnsi="News Gothic Std" w:cs="Arial"/>
                <w:bCs/>
                <w:color w:val="0070C0"/>
                <w:sz w:val="18"/>
                <w:szCs w:val="18"/>
                <w:lang w:eastAsia="en-AU"/>
              </w:rPr>
              <w:t>2014-</w:t>
            </w:r>
            <w:r w:rsidR="00AB3A50" w:rsidRPr="00683CDE">
              <w:rPr>
                <w:rFonts w:ascii="News Gothic Std" w:hAnsi="News Gothic Std" w:cs="Arial"/>
                <w:bCs/>
                <w:color w:val="0070C0"/>
                <w:sz w:val="18"/>
                <w:szCs w:val="18"/>
                <w:lang w:eastAsia="en-AU"/>
              </w:rPr>
              <w:t>15</w:t>
            </w:r>
          </w:p>
          <w:p w:rsidR="007D22EF" w:rsidRPr="00683CDE" w:rsidRDefault="007D22EF" w:rsidP="0027081E">
            <w:pPr>
              <w:spacing w:before="0" w:after="0"/>
              <w:jc w:val="right"/>
              <w:rPr>
                <w:rFonts w:ascii="News Gothic Std" w:hAnsi="News Gothic Std" w:cs="Arial"/>
                <w:bCs/>
                <w:color w:val="0070C0"/>
                <w:sz w:val="18"/>
                <w:szCs w:val="18"/>
                <w:lang w:eastAsia="en-AU"/>
              </w:rPr>
            </w:pPr>
            <w:r w:rsidRPr="00683CDE">
              <w:rPr>
                <w:rFonts w:ascii="News Gothic Std" w:hAnsi="News Gothic Std" w:cs="Arial"/>
                <w:bCs/>
                <w:color w:val="0070C0"/>
                <w:sz w:val="18"/>
                <w:szCs w:val="18"/>
                <w:lang w:eastAsia="en-AU"/>
              </w:rPr>
              <w:t xml:space="preserve">Rates on Average </w:t>
            </w:r>
          </w:p>
          <w:p w:rsidR="007D22EF" w:rsidRPr="00683CDE" w:rsidRDefault="007D22EF" w:rsidP="0027081E">
            <w:pPr>
              <w:spacing w:before="0" w:after="0"/>
              <w:jc w:val="right"/>
              <w:rPr>
                <w:rFonts w:ascii="News Gothic Std" w:hAnsi="News Gothic Std" w:cs="Arial"/>
                <w:bCs/>
                <w:color w:val="0070C0"/>
                <w:sz w:val="18"/>
                <w:szCs w:val="18"/>
                <w:lang w:eastAsia="en-AU"/>
              </w:rPr>
            </w:pPr>
            <w:r w:rsidRPr="00683CDE">
              <w:rPr>
                <w:rFonts w:ascii="News Gothic Std" w:hAnsi="News Gothic Std" w:cs="Arial"/>
                <w:bCs/>
                <w:color w:val="0070C0"/>
                <w:sz w:val="18"/>
                <w:szCs w:val="18"/>
                <w:lang w:eastAsia="en-AU"/>
              </w:rPr>
              <w:t>CIV $</w:t>
            </w:r>
          </w:p>
        </w:tc>
        <w:tc>
          <w:tcPr>
            <w:tcW w:w="1843" w:type="dxa"/>
            <w:tcBorders>
              <w:top w:val="single" w:sz="4" w:space="0" w:color="auto"/>
              <w:bottom w:val="single" w:sz="4" w:space="0" w:color="auto"/>
            </w:tcBorders>
            <w:shd w:val="clear" w:color="auto" w:fill="auto"/>
            <w:vAlign w:val="bottom"/>
            <w:hideMark/>
          </w:tcPr>
          <w:p w:rsidR="007D22EF" w:rsidRPr="00683CDE" w:rsidRDefault="007D22EF" w:rsidP="0027081E">
            <w:pPr>
              <w:spacing w:before="0" w:after="0"/>
              <w:jc w:val="right"/>
              <w:rPr>
                <w:rFonts w:ascii="News Gothic Std" w:hAnsi="News Gothic Std" w:cs="Arial"/>
                <w:bCs/>
                <w:color w:val="0070C0"/>
                <w:sz w:val="18"/>
                <w:szCs w:val="18"/>
                <w:lang w:eastAsia="en-AU"/>
              </w:rPr>
            </w:pPr>
            <w:r w:rsidRPr="00683CDE">
              <w:rPr>
                <w:rFonts w:ascii="News Gothic Std" w:hAnsi="News Gothic Std" w:cs="Arial"/>
                <w:bCs/>
                <w:color w:val="0070C0"/>
                <w:sz w:val="18"/>
                <w:szCs w:val="18"/>
                <w:lang w:eastAsia="en-AU"/>
              </w:rPr>
              <w:t>2015-</w:t>
            </w:r>
            <w:r w:rsidR="00AB3A50" w:rsidRPr="00683CDE">
              <w:rPr>
                <w:rFonts w:ascii="News Gothic Std" w:hAnsi="News Gothic Std" w:cs="Arial"/>
                <w:bCs/>
                <w:color w:val="0070C0"/>
                <w:sz w:val="18"/>
                <w:szCs w:val="18"/>
                <w:lang w:eastAsia="en-AU"/>
              </w:rPr>
              <w:t>16</w:t>
            </w:r>
          </w:p>
          <w:p w:rsidR="007D22EF" w:rsidRPr="00683CDE" w:rsidRDefault="007D22EF" w:rsidP="0027081E">
            <w:pPr>
              <w:spacing w:before="0" w:after="0"/>
              <w:jc w:val="right"/>
              <w:rPr>
                <w:rFonts w:ascii="News Gothic Std" w:hAnsi="News Gothic Std" w:cs="Arial"/>
                <w:bCs/>
                <w:color w:val="0070C0"/>
                <w:sz w:val="18"/>
                <w:szCs w:val="18"/>
                <w:lang w:eastAsia="en-AU"/>
              </w:rPr>
            </w:pPr>
            <w:r w:rsidRPr="00683CDE">
              <w:rPr>
                <w:rFonts w:ascii="News Gothic Std" w:hAnsi="News Gothic Std" w:cs="Arial"/>
                <w:bCs/>
                <w:color w:val="0070C0"/>
                <w:sz w:val="18"/>
                <w:szCs w:val="18"/>
                <w:lang w:eastAsia="en-AU"/>
              </w:rPr>
              <w:t>Budget Rates on Average CIV $</w:t>
            </w:r>
          </w:p>
        </w:tc>
        <w:tc>
          <w:tcPr>
            <w:tcW w:w="1417" w:type="dxa"/>
            <w:tcBorders>
              <w:top w:val="single" w:sz="4" w:space="0" w:color="auto"/>
              <w:bottom w:val="single" w:sz="4" w:space="0" w:color="auto"/>
            </w:tcBorders>
            <w:shd w:val="clear" w:color="auto" w:fill="auto"/>
            <w:vAlign w:val="bottom"/>
            <w:hideMark/>
          </w:tcPr>
          <w:p w:rsidR="007D22EF" w:rsidRPr="00683CDE" w:rsidRDefault="007D22EF" w:rsidP="0027081E">
            <w:pPr>
              <w:spacing w:before="0" w:after="0"/>
              <w:jc w:val="right"/>
              <w:rPr>
                <w:rFonts w:ascii="News Gothic Std" w:hAnsi="News Gothic Std" w:cs="Arial"/>
                <w:bCs/>
                <w:color w:val="0070C0"/>
                <w:sz w:val="18"/>
                <w:szCs w:val="18"/>
                <w:lang w:eastAsia="en-AU"/>
              </w:rPr>
            </w:pPr>
            <w:r w:rsidRPr="00683CDE">
              <w:rPr>
                <w:rFonts w:ascii="News Gothic Std" w:hAnsi="News Gothic Std" w:cs="Arial"/>
                <w:bCs/>
                <w:color w:val="0070C0"/>
                <w:sz w:val="18"/>
                <w:szCs w:val="18"/>
                <w:lang w:eastAsia="en-AU"/>
              </w:rPr>
              <w:t>Increase %</w:t>
            </w:r>
          </w:p>
        </w:tc>
      </w:tr>
      <w:tr w:rsidR="007D22EF" w:rsidRPr="00E60EA6" w:rsidTr="0027081E">
        <w:trPr>
          <w:trHeight w:val="20"/>
        </w:trPr>
        <w:tc>
          <w:tcPr>
            <w:tcW w:w="3132" w:type="dxa"/>
            <w:tcBorders>
              <w:top w:val="single" w:sz="4" w:space="0" w:color="auto"/>
            </w:tcBorders>
            <w:shd w:val="clear" w:color="auto" w:fill="auto"/>
            <w:vAlign w:val="center"/>
            <w:hideMark/>
          </w:tcPr>
          <w:p w:rsidR="007D22EF" w:rsidRPr="00E60EA6" w:rsidRDefault="007D22EF" w:rsidP="0027081E">
            <w:pPr>
              <w:spacing w:before="0" w:after="0"/>
              <w:rPr>
                <w:rFonts w:cs="Lucida Sans Unicode"/>
                <w:color w:val="000000"/>
                <w:sz w:val="18"/>
                <w:szCs w:val="18"/>
                <w:lang w:eastAsia="en-AU"/>
              </w:rPr>
            </w:pPr>
            <w:r w:rsidRPr="00E60EA6">
              <w:rPr>
                <w:rFonts w:cs="Lucida Sans Unicode"/>
                <w:color w:val="000000"/>
                <w:sz w:val="18"/>
                <w:szCs w:val="18"/>
                <w:lang w:eastAsia="en-AU"/>
              </w:rPr>
              <w:t>General Rates CIV x Rate in $</w:t>
            </w:r>
          </w:p>
        </w:tc>
        <w:tc>
          <w:tcPr>
            <w:tcW w:w="1984" w:type="dxa"/>
            <w:tcBorders>
              <w:top w:val="single" w:sz="4" w:space="0" w:color="auto"/>
            </w:tcBorders>
            <w:shd w:val="clear" w:color="auto" w:fill="auto"/>
            <w:vAlign w:val="center"/>
            <w:hideMark/>
          </w:tcPr>
          <w:p w:rsidR="007D22EF" w:rsidRPr="00E60EA6" w:rsidRDefault="007D22EF" w:rsidP="0027081E">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1,023.60 </w:t>
            </w:r>
          </w:p>
        </w:tc>
        <w:tc>
          <w:tcPr>
            <w:tcW w:w="1843" w:type="dxa"/>
            <w:tcBorders>
              <w:top w:val="single" w:sz="4" w:space="0" w:color="auto"/>
            </w:tcBorders>
            <w:shd w:val="clear" w:color="auto" w:fill="auto"/>
            <w:vAlign w:val="center"/>
            <w:hideMark/>
          </w:tcPr>
          <w:p w:rsidR="007D22EF" w:rsidRPr="00E60EA6" w:rsidRDefault="007D22EF" w:rsidP="0027081E">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1,069.65 </w:t>
            </w:r>
          </w:p>
        </w:tc>
        <w:tc>
          <w:tcPr>
            <w:tcW w:w="1417" w:type="dxa"/>
            <w:tcBorders>
              <w:top w:val="single" w:sz="4" w:space="0" w:color="auto"/>
            </w:tcBorders>
            <w:shd w:val="clear" w:color="auto" w:fill="auto"/>
            <w:vAlign w:val="center"/>
            <w:hideMark/>
          </w:tcPr>
          <w:p w:rsidR="007D22EF" w:rsidRPr="00E60EA6" w:rsidRDefault="007D22EF" w:rsidP="0027081E">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4.50%</w:t>
            </w:r>
          </w:p>
        </w:tc>
      </w:tr>
      <w:tr w:rsidR="007D22EF" w:rsidRPr="00E60EA6" w:rsidTr="0027081E">
        <w:trPr>
          <w:trHeight w:val="20"/>
        </w:trPr>
        <w:tc>
          <w:tcPr>
            <w:tcW w:w="3132" w:type="dxa"/>
            <w:shd w:val="clear" w:color="auto" w:fill="auto"/>
            <w:vAlign w:val="center"/>
            <w:hideMark/>
          </w:tcPr>
          <w:p w:rsidR="007D22EF" w:rsidRPr="00E60EA6" w:rsidRDefault="007D22EF" w:rsidP="0027081E">
            <w:pPr>
              <w:spacing w:before="0" w:after="0"/>
              <w:rPr>
                <w:rFonts w:cs="Lucida Sans Unicode"/>
                <w:color w:val="000000"/>
                <w:sz w:val="18"/>
                <w:szCs w:val="18"/>
                <w:lang w:eastAsia="en-AU"/>
              </w:rPr>
            </w:pPr>
            <w:r w:rsidRPr="00E60EA6">
              <w:rPr>
                <w:rFonts w:cs="Lucida Sans Unicode"/>
                <w:color w:val="000000"/>
                <w:sz w:val="18"/>
                <w:szCs w:val="18"/>
                <w:lang w:eastAsia="en-AU"/>
              </w:rPr>
              <w:t>Municipal Charge</w:t>
            </w:r>
          </w:p>
        </w:tc>
        <w:tc>
          <w:tcPr>
            <w:tcW w:w="1984" w:type="dxa"/>
            <w:shd w:val="clear" w:color="auto" w:fill="auto"/>
            <w:vAlign w:val="center"/>
            <w:hideMark/>
          </w:tcPr>
          <w:p w:rsidR="007D22EF" w:rsidRPr="00E60EA6" w:rsidRDefault="007D22EF" w:rsidP="0027081E">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91.55 </w:t>
            </w:r>
          </w:p>
        </w:tc>
        <w:tc>
          <w:tcPr>
            <w:tcW w:w="1843" w:type="dxa"/>
            <w:shd w:val="clear" w:color="auto" w:fill="auto"/>
            <w:vAlign w:val="center"/>
            <w:hideMark/>
          </w:tcPr>
          <w:p w:rsidR="007D22EF" w:rsidRPr="00E60EA6" w:rsidRDefault="007D22EF" w:rsidP="0027081E">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94.30 </w:t>
            </w:r>
          </w:p>
        </w:tc>
        <w:tc>
          <w:tcPr>
            <w:tcW w:w="1417" w:type="dxa"/>
            <w:shd w:val="clear" w:color="auto" w:fill="auto"/>
            <w:vAlign w:val="center"/>
            <w:hideMark/>
          </w:tcPr>
          <w:p w:rsidR="007D22EF" w:rsidRPr="00E60EA6" w:rsidRDefault="007D22EF" w:rsidP="0027081E">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3.00%</w:t>
            </w:r>
          </w:p>
        </w:tc>
      </w:tr>
      <w:tr w:rsidR="007D22EF" w:rsidRPr="00E60EA6" w:rsidTr="0027081E">
        <w:trPr>
          <w:trHeight w:val="20"/>
        </w:trPr>
        <w:tc>
          <w:tcPr>
            <w:tcW w:w="3132" w:type="dxa"/>
            <w:tcBorders>
              <w:bottom w:val="single" w:sz="4" w:space="0" w:color="auto"/>
            </w:tcBorders>
            <w:shd w:val="clear" w:color="auto" w:fill="auto"/>
            <w:vAlign w:val="center"/>
            <w:hideMark/>
          </w:tcPr>
          <w:p w:rsidR="007D22EF" w:rsidRPr="00E60EA6" w:rsidRDefault="007D22EF" w:rsidP="0027081E">
            <w:pPr>
              <w:spacing w:before="0" w:after="0"/>
              <w:rPr>
                <w:rFonts w:cs="Lucida Sans Unicode"/>
                <w:color w:val="000000"/>
                <w:sz w:val="18"/>
                <w:szCs w:val="18"/>
                <w:lang w:eastAsia="en-AU"/>
              </w:rPr>
            </w:pPr>
            <w:r w:rsidRPr="00E60EA6">
              <w:rPr>
                <w:rFonts w:cs="Lucida Sans Unicode"/>
                <w:color w:val="000000"/>
                <w:sz w:val="18"/>
                <w:szCs w:val="18"/>
                <w:lang w:eastAsia="en-AU"/>
              </w:rPr>
              <w:t>Waste Collection Service</w:t>
            </w:r>
          </w:p>
        </w:tc>
        <w:tc>
          <w:tcPr>
            <w:tcW w:w="1984" w:type="dxa"/>
            <w:tcBorders>
              <w:bottom w:val="single" w:sz="4" w:space="0" w:color="auto"/>
            </w:tcBorders>
            <w:shd w:val="clear" w:color="auto" w:fill="auto"/>
            <w:vAlign w:val="center"/>
            <w:hideMark/>
          </w:tcPr>
          <w:p w:rsidR="007D22EF" w:rsidRPr="00E60EA6" w:rsidRDefault="007D22EF" w:rsidP="0027081E">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246.50 </w:t>
            </w:r>
          </w:p>
        </w:tc>
        <w:tc>
          <w:tcPr>
            <w:tcW w:w="1843" w:type="dxa"/>
            <w:tcBorders>
              <w:bottom w:val="single" w:sz="4" w:space="0" w:color="auto"/>
            </w:tcBorders>
            <w:shd w:val="clear" w:color="auto" w:fill="auto"/>
            <w:vAlign w:val="center"/>
            <w:hideMark/>
          </w:tcPr>
          <w:p w:rsidR="007D22EF" w:rsidRPr="00E60EA6" w:rsidRDefault="007D22EF" w:rsidP="0027081E">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258.25 </w:t>
            </w:r>
          </w:p>
        </w:tc>
        <w:tc>
          <w:tcPr>
            <w:tcW w:w="1417" w:type="dxa"/>
            <w:tcBorders>
              <w:bottom w:val="single" w:sz="4" w:space="0" w:color="auto"/>
            </w:tcBorders>
            <w:shd w:val="clear" w:color="auto" w:fill="auto"/>
            <w:vAlign w:val="center"/>
            <w:hideMark/>
          </w:tcPr>
          <w:p w:rsidR="007D22EF" w:rsidRPr="00E60EA6" w:rsidRDefault="007D22EF" w:rsidP="0027081E">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4.77%</w:t>
            </w:r>
          </w:p>
        </w:tc>
      </w:tr>
      <w:tr w:rsidR="007D22EF" w:rsidRPr="00E60EA6" w:rsidTr="0027081E">
        <w:trPr>
          <w:trHeight w:val="20"/>
        </w:trPr>
        <w:tc>
          <w:tcPr>
            <w:tcW w:w="3132" w:type="dxa"/>
            <w:tcBorders>
              <w:top w:val="single" w:sz="4" w:space="0" w:color="auto"/>
              <w:bottom w:val="single" w:sz="4" w:space="0" w:color="auto"/>
            </w:tcBorders>
            <w:shd w:val="clear" w:color="auto" w:fill="auto"/>
            <w:vAlign w:val="center"/>
            <w:hideMark/>
          </w:tcPr>
          <w:p w:rsidR="007D22EF" w:rsidRPr="00E60EA6" w:rsidRDefault="007D22EF" w:rsidP="0027081E">
            <w:pPr>
              <w:spacing w:before="0" w:after="0"/>
              <w:rPr>
                <w:rFonts w:cs="Lucida Sans Unicode"/>
                <w:b/>
                <w:bCs/>
                <w:color w:val="000000"/>
                <w:sz w:val="18"/>
                <w:szCs w:val="18"/>
                <w:lang w:eastAsia="en-AU"/>
              </w:rPr>
            </w:pPr>
            <w:r w:rsidRPr="00E60EA6">
              <w:rPr>
                <w:rFonts w:cs="Lucida Sans Unicode"/>
                <w:b/>
                <w:bCs/>
                <w:color w:val="000000"/>
                <w:sz w:val="18"/>
                <w:szCs w:val="18"/>
                <w:lang w:eastAsia="en-AU"/>
              </w:rPr>
              <w:t>Total Rates and Charges</w:t>
            </w:r>
          </w:p>
        </w:tc>
        <w:tc>
          <w:tcPr>
            <w:tcW w:w="1984" w:type="dxa"/>
            <w:tcBorders>
              <w:top w:val="single" w:sz="4" w:space="0" w:color="auto"/>
              <w:bottom w:val="single" w:sz="4" w:space="0" w:color="auto"/>
            </w:tcBorders>
            <w:shd w:val="clear" w:color="auto" w:fill="auto"/>
            <w:vAlign w:val="center"/>
            <w:hideMark/>
          </w:tcPr>
          <w:p w:rsidR="007D22EF" w:rsidRPr="00E60EA6" w:rsidRDefault="007D22EF" w:rsidP="0027081E">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 xml:space="preserve">1,361.65 </w:t>
            </w:r>
          </w:p>
        </w:tc>
        <w:tc>
          <w:tcPr>
            <w:tcW w:w="1843" w:type="dxa"/>
            <w:tcBorders>
              <w:top w:val="single" w:sz="4" w:space="0" w:color="auto"/>
              <w:bottom w:val="single" w:sz="4" w:space="0" w:color="auto"/>
            </w:tcBorders>
            <w:shd w:val="clear" w:color="auto" w:fill="auto"/>
            <w:vAlign w:val="center"/>
            <w:hideMark/>
          </w:tcPr>
          <w:p w:rsidR="007D22EF" w:rsidRPr="00E60EA6" w:rsidRDefault="007D22EF" w:rsidP="0027081E">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 xml:space="preserve">1,422.20 </w:t>
            </w:r>
          </w:p>
        </w:tc>
        <w:tc>
          <w:tcPr>
            <w:tcW w:w="1417" w:type="dxa"/>
            <w:tcBorders>
              <w:top w:val="single" w:sz="4" w:space="0" w:color="auto"/>
              <w:bottom w:val="single" w:sz="4" w:space="0" w:color="auto"/>
            </w:tcBorders>
            <w:shd w:val="clear" w:color="auto" w:fill="auto"/>
            <w:vAlign w:val="center"/>
            <w:hideMark/>
          </w:tcPr>
          <w:p w:rsidR="007D22EF" w:rsidRPr="00E60EA6" w:rsidRDefault="007D22EF" w:rsidP="0027081E">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4.45%</w:t>
            </w:r>
          </w:p>
        </w:tc>
      </w:tr>
    </w:tbl>
    <w:p w:rsidR="007D22EF" w:rsidRPr="00BA4451" w:rsidRDefault="007D22EF" w:rsidP="00E7196F">
      <w:pPr>
        <w:pStyle w:val="Heading3A"/>
      </w:pPr>
      <w:r>
        <w:t>Fire Services Property Levy</w:t>
      </w:r>
    </w:p>
    <w:p w:rsidR="007D22EF" w:rsidRPr="00024E14" w:rsidRDefault="00F462EA">
      <w:pPr>
        <w:pStyle w:val="BodyText"/>
      </w:pPr>
      <w:r w:rsidRPr="00F462EA">
        <w:t xml:space="preserve">The Fire Services Property Levy Act 2012 (FSPL) came into effect from 1 July 2013 and requires </w:t>
      </w:r>
      <w:r w:rsidR="00C52306">
        <w:t>l</w:t>
      </w:r>
      <w:r w:rsidR="00C52306" w:rsidRPr="00F462EA">
        <w:t xml:space="preserve">ocal </w:t>
      </w:r>
      <w:r w:rsidR="00C52306">
        <w:t>g</w:t>
      </w:r>
      <w:r w:rsidR="00C52306" w:rsidRPr="00F462EA">
        <w:t xml:space="preserve">overnment </w:t>
      </w:r>
      <w:r w:rsidRPr="00F462EA">
        <w:t xml:space="preserve">to bill, receipt and collect FSPL on rateable and non-rateable properties. </w:t>
      </w:r>
      <w:r w:rsidR="007D22EF">
        <w:t>The FSPL appears on the rate notice and i</w:t>
      </w:r>
      <w:r w:rsidRPr="00F462EA">
        <w:t>t is estimated that Council will levy $23.</w:t>
      </w:r>
      <w:r w:rsidR="00C52306" w:rsidRPr="00F462EA">
        <w:t>4</w:t>
      </w:r>
      <w:r w:rsidR="00C52306">
        <w:t>m</w:t>
      </w:r>
      <w:r w:rsidR="00C52306" w:rsidRPr="00F462EA">
        <w:t xml:space="preserve"> </w:t>
      </w:r>
      <w:r w:rsidRPr="00F462EA">
        <w:t>in 2015-</w:t>
      </w:r>
      <w:r w:rsidR="00AB3A50">
        <w:t>16</w:t>
      </w:r>
      <w:r w:rsidR="00AB3A50" w:rsidRPr="00F462EA">
        <w:t xml:space="preserve"> </w:t>
      </w:r>
      <w:r w:rsidRPr="00F462EA">
        <w:t>and remit to the State Revenue Office.</w:t>
      </w:r>
    </w:p>
    <w:p w:rsidR="007D22EF" w:rsidRDefault="00F462EA">
      <w:pPr>
        <w:pStyle w:val="BodyText"/>
      </w:pPr>
      <w:r w:rsidRPr="00F462EA">
        <w:t>The</w:t>
      </w:r>
      <w:r w:rsidR="007D22EF">
        <w:t xml:space="preserve"> 2015-</w:t>
      </w:r>
      <w:r w:rsidR="00AB3A50">
        <w:t xml:space="preserve">16 </w:t>
      </w:r>
      <w:r w:rsidR="00AB3A50" w:rsidRPr="00F462EA">
        <w:t xml:space="preserve"> </w:t>
      </w:r>
      <w:r w:rsidRPr="00F462EA">
        <w:t xml:space="preserve">Levy </w:t>
      </w:r>
      <w:r w:rsidR="007D22EF">
        <w:t xml:space="preserve">once again will </w:t>
      </w:r>
      <w:r w:rsidRPr="00F462EA">
        <w:t>consist of a fixed component plus a variable component based on the property’s capital improved value to be determined by the Minist</w:t>
      </w:r>
      <w:r w:rsidR="007D22EF">
        <w:t>er on or before 31 May 2015</w:t>
      </w:r>
      <w:r w:rsidRPr="00F462EA">
        <w:t xml:space="preserve">.  </w:t>
      </w:r>
    </w:p>
    <w:p w:rsidR="009B21E0" w:rsidRDefault="009B21E0" w:rsidP="001A1FFB">
      <w:pPr>
        <w:pStyle w:val="Heading4A"/>
        <w:spacing w:after="0"/>
      </w:pPr>
      <w:r w:rsidRPr="00AB07CF">
        <w:t>201</w:t>
      </w:r>
      <w:r>
        <w:t>6</w:t>
      </w:r>
      <w:r w:rsidRPr="00AB07CF">
        <w:t>-</w:t>
      </w:r>
      <w:r>
        <w:t>17</w:t>
      </w:r>
    </w:p>
    <w:p w:rsidR="009B21E0" w:rsidRDefault="009B21E0" w:rsidP="00E7196F">
      <w:pPr>
        <w:pStyle w:val="Heading3A"/>
      </w:pPr>
      <w:r>
        <w:t>Rate Structure</w:t>
      </w:r>
    </w:p>
    <w:p w:rsidR="009B21E0" w:rsidRDefault="009B21E0">
      <w:pPr>
        <w:pStyle w:val="BodyText"/>
      </w:pPr>
      <w:r w:rsidRPr="00B354EC">
        <w:t xml:space="preserve">Council retains 12 rating or tariff groups with the application of differential rates to each of these groups in accordance with </w:t>
      </w:r>
      <w:r w:rsidR="0057338B" w:rsidRPr="00B354EC">
        <w:t xml:space="preserve">section </w:t>
      </w:r>
      <w:r w:rsidRPr="00B354EC">
        <w:t>161 of the Act. The purpose of the various rating groups is to ensure that each group makes a fair and equitable contribution</w:t>
      </w:r>
      <w:r>
        <w:t xml:space="preserve"> to rates. Full disclosure of the rating groups, number of properties, valuations and revenue is shown in the Statutory Information on Rates.</w:t>
      </w:r>
    </w:p>
    <w:p w:rsidR="00DC4385" w:rsidRDefault="00DC4385">
      <w:pPr>
        <w:pStyle w:val="Heading4A"/>
      </w:pPr>
    </w:p>
    <w:p w:rsidR="009B21E0" w:rsidRPr="004B0FEC" w:rsidRDefault="009B21E0">
      <w:pPr>
        <w:pStyle w:val="Heading4A"/>
      </w:pPr>
      <w:r>
        <w:t>2016 Revaluation</w:t>
      </w:r>
    </w:p>
    <w:p w:rsidR="009B21E0" w:rsidRDefault="009B21E0">
      <w:pPr>
        <w:pStyle w:val="Heading4A"/>
      </w:pPr>
      <w:r>
        <w:t>Summary by Differential</w:t>
      </w:r>
    </w:p>
    <w:p w:rsidR="001A1FFB" w:rsidRPr="00DC7325" w:rsidRDefault="001A1FFB">
      <w:pPr>
        <w:pStyle w:val="Heading4A"/>
      </w:pPr>
    </w:p>
    <w:tbl>
      <w:tblPr>
        <w:tblW w:w="8517" w:type="dxa"/>
        <w:tblInd w:w="96" w:type="dxa"/>
        <w:tblLayout w:type="fixed"/>
        <w:tblLook w:val="04A0" w:firstRow="1" w:lastRow="0" w:firstColumn="1" w:lastColumn="0" w:noHBand="0" w:noVBand="1"/>
      </w:tblPr>
      <w:tblGrid>
        <w:gridCol w:w="3935"/>
        <w:gridCol w:w="2291"/>
        <w:gridCol w:w="2291"/>
      </w:tblGrid>
      <w:tr w:rsidR="009B21E0" w:rsidRPr="00E60EA6" w:rsidTr="00B85F78">
        <w:trPr>
          <w:trHeight w:val="20"/>
        </w:trPr>
        <w:tc>
          <w:tcPr>
            <w:tcW w:w="3935" w:type="dxa"/>
            <w:tcBorders>
              <w:top w:val="single" w:sz="8" w:space="0" w:color="D9D9D9"/>
              <w:left w:val="single" w:sz="8" w:space="0" w:color="D9D9D9"/>
              <w:bottom w:val="nil"/>
              <w:right w:val="nil"/>
            </w:tcBorders>
            <w:shd w:val="clear" w:color="000000" w:fill="DBE5F1"/>
            <w:noWrap/>
            <w:vAlign w:val="bottom"/>
            <w:hideMark/>
          </w:tcPr>
          <w:p w:rsidR="009B21E0" w:rsidRPr="00E60EA6" w:rsidRDefault="009B21E0" w:rsidP="00B85F78">
            <w:pPr>
              <w:spacing w:before="0" w:after="0"/>
              <w:rPr>
                <w:rFonts w:ascii="News Gothic Std" w:hAnsi="News Gothic Std" w:cs="Lucida Sans Unicode"/>
                <w:bCs/>
                <w:color w:val="000000"/>
                <w:sz w:val="18"/>
                <w:szCs w:val="18"/>
                <w:lang w:eastAsia="en-AU"/>
              </w:rPr>
            </w:pPr>
            <w:r w:rsidRPr="00E60EA6">
              <w:rPr>
                <w:rFonts w:ascii="News Gothic Std" w:hAnsi="News Gothic Std" w:cs="Lucida Sans Unicode"/>
                <w:bCs/>
                <w:color w:val="000000"/>
                <w:sz w:val="18"/>
                <w:szCs w:val="18"/>
                <w:lang w:eastAsia="en-AU"/>
              </w:rPr>
              <w:t>Row Labels</w:t>
            </w:r>
          </w:p>
        </w:tc>
        <w:tc>
          <w:tcPr>
            <w:tcW w:w="2291" w:type="dxa"/>
            <w:tcBorders>
              <w:top w:val="single" w:sz="8" w:space="0" w:color="D9D9D9"/>
              <w:left w:val="nil"/>
              <w:right w:val="nil"/>
            </w:tcBorders>
            <w:shd w:val="clear" w:color="000000" w:fill="DBE5F1"/>
            <w:noWrap/>
            <w:vAlign w:val="bottom"/>
            <w:hideMark/>
          </w:tcPr>
          <w:p w:rsidR="009B21E0" w:rsidRPr="00E60EA6" w:rsidRDefault="009B21E0" w:rsidP="00B85F78">
            <w:pPr>
              <w:spacing w:before="0" w:after="0"/>
              <w:rPr>
                <w:rFonts w:ascii="News Gothic Std" w:hAnsi="News Gothic Std" w:cs="Lucida Sans Unicode"/>
                <w:bCs/>
                <w:color w:val="000000"/>
                <w:sz w:val="18"/>
                <w:szCs w:val="18"/>
                <w:lang w:eastAsia="en-AU"/>
              </w:rPr>
            </w:pPr>
            <w:r w:rsidRPr="00E60EA6">
              <w:rPr>
                <w:rFonts w:ascii="News Gothic Std" w:hAnsi="News Gothic Std" w:cs="Lucida Sans Unicode"/>
                <w:sz w:val="18"/>
                <w:szCs w:val="18"/>
                <w:lang w:eastAsia="en-AU"/>
              </w:rPr>
              <w:t> </w:t>
            </w:r>
            <w:r w:rsidRPr="00E60EA6">
              <w:rPr>
                <w:rFonts w:ascii="News Gothic Std" w:hAnsi="News Gothic Std" w:cs="Lucida Sans Unicode"/>
                <w:bCs/>
                <w:color w:val="000000"/>
                <w:sz w:val="18"/>
                <w:szCs w:val="18"/>
                <w:lang w:eastAsia="en-AU"/>
              </w:rPr>
              <w:t>Assessment Numbers</w:t>
            </w:r>
          </w:p>
        </w:tc>
        <w:tc>
          <w:tcPr>
            <w:tcW w:w="2291" w:type="dxa"/>
            <w:tcBorders>
              <w:top w:val="single" w:sz="8" w:space="0" w:color="D9D9D9"/>
              <w:left w:val="nil"/>
              <w:right w:val="single" w:sz="8" w:space="0" w:color="D9D9D9"/>
            </w:tcBorders>
            <w:shd w:val="clear" w:color="000000" w:fill="DBE5F1"/>
            <w:vAlign w:val="bottom"/>
            <w:hideMark/>
          </w:tcPr>
          <w:p w:rsidR="009B21E0" w:rsidRPr="00E60EA6" w:rsidRDefault="009B21E0" w:rsidP="00B85F78">
            <w:pPr>
              <w:spacing w:before="0" w:after="0"/>
              <w:jc w:val="right"/>
              <w:rPr>
                <w:rFonts w:ascii="News Gothic Std" w:hAnsi="News Gothic Std" w:cs="Lucida Sans Unicode"/>
                <w:bCs/>
                <w:color w:val="000000"/>
                <w:sz w:val="18"/>
                <w:szCs w:val="18"/>
                <w:lang w:eastAsia="en-AU"/>
              </w:rPr>
            </w:pPr>
            <w:r w:rsidRPr="00E60EA6">
              <w:rPr>
                <w:rFonts w:ascii="News Gothic Std" w:hAnsi="News Gothic Std" w:cs="Lucida Sans Unicode"/>
                <w:bCs/>
                <w:color w:val="000000"/>
                <w:sz w:val="18"/>
                <w:szCs w:val="18"/>
                <w:lang w:eastAsia="en-AU"/>
              </w:rPr>
              <w:t>$ Change 2016 Reval CIV to 2014 Reval CIV</w:t>
            </w:r>
          </w:p>
        </w:tc>
      </w:tr>
      <w:tr w:rsidR="009B21E0" w:rsidRPr="00E60EA6" w:rsidTr="00B85F78">
        <w:trPr>
          <w:trHeight w:val="20"/>
        </w:trPr>
        <w:tc>
          <w:tcPr>
            <w:tcW w:w="3935" w:type="dxa"/>
            <w:tcBorders>
              <w:top w:val="nil"/>
              <w:left w:val="single" w:sz="8" w:space="0" w:color="D9D9D9"/>
              <w:bottom w:val="nil"/>
              <w:right w:val="nil"/>
            </w:tcBorders>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General Rates</w:t>
            </w:r>
          </w:p>
        </w:tc>
        <w:tc>
          <w:tcPr>
            <w:tcW w:w="2291" w:type="dxa"/>
            <w:tcBorders>
              <w:top w:val="nil"/>
              <w:left w:val="nil"/>
              <w:bottom w:val="nil"/>
              <w:right w:val="nil"/>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102,636</w:t>
            </w:r>
          </w:p>
        </w:tc>
        <w:tc>
          <w:tcPr>
            <w:tcW w:w="2291" w:type="dxa"/>
            <w:tcBorders>
              <w:top w:val="nil"/>
              <w:left w:val="nil"/>
              <w:bottom w:val="nil"/>
              <w:right w:val="single" w:sz="8" w:space="0" w:color="D9D9D9"/>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5.4%</w:t>
            </w:r>
          </w:p>
        </w:tc>
      </w:tr>
      <w:tr w:rsidR="009B21E0" w:rsidRPr="00E60EA6" w:rsidTr="00B85F78">
        <w:trPr>
          <w:trHeight w:val="20"/>
        </w:trPr>
        <w:tc>
          <w:tcPr>
            <w:tcW w:w="3935" w:type="dxa"/>
            <w:tcBorders>
              <w:top w:val="nil"/>
              <w:left w:val="single" w:sz="8" w:space="0" w:color="D9D9D9"/>
              <w:bottom w:val="nil"/>
              <w:right w:val="nil"/>
            </w:tcBorders>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Vacant Land</w:t>
            </w:r>
          </w:p>
        </w:tc>
        <w:tc>
          <w:tcPr>
            <w:tcW w:w="2291" w:type="dxa"/>
            <w:tcBorders>
              <w:top w:val="nil"/>
              <w:left w:val="nil"/>
              <w:bottom w:val="nil"/>
              <w:right w:val="nil"/>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5,050</w:t>
            </w:r>
          </w:p>
        </w:tc>
        <w:tc>
          <w:tcPr>
            <w:tcW w:w="2291" w:type="dxa"/>
            <w:tcBorders>
              <w:top w:val="nil"/>
              <w:left w:val="nil"/>
              <w:bottom w:val="nil"/>
              <w:right w:val="single" w:sz="8" w:space="0" w:color="D9D9D9"/>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9.5%</w:t>
            </w:r>
          </w:p>
        </w:tc>
      </w:tr>
      <w:tr w:rsidR="009B21E0" w:rsidRPr="00E60EA6" w:rsidTr="00B85F78">
        <w:trPr>
          <w:trHeight w:val="20"/>
        </w:trPr>
        <w:tc>
          <w:tcPr>
            <w:tcW w:w="3935" w:type="dxa"/>
            <w:tcBorders>
              <w:top w:val="nil"/>
              <w:left w:val="single" w:sz="8" w:space="0" w:color="D9D9D9"/>
              <w:bottom w:val="nil"/>
              <w:right w:val="nil"/>
            </w:tcBorders>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Commercial Rate</w:t>
            </w:r>
          </w:p>
        </w:tc>
        <w:tc>
          <w:tcPr>
            <w:tcW w:w="2291" w:type="dxa"/>
            <w:tcBorders>
              <w:top w:val="nil"/>
              <w:left w:val="nil"/>
              <w:bottom w:val="nil"/>
              <w:right w:val="nil"/>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5,588</w:t>
            </w:r>
          </w:p>
        </w:tc>
        <w:tc>
          <w:tcPr>
            <w:tcW w:w="2291" w:type="dxa"/>
            <w:tcBorders>
              <w:top w:val="nil"/>
              <w:left w:val="nil"/>
              <w:bottom w:val="nil"/>
              <w:right w:val="single" w:sz="8" w:space="0" w:color="D9D9D9"/>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11.8%</w:t>
            </w:r>
          </w:p>
        </w:tc>
      </w:tr>
      <w:tr w:rsidR="009B21E0" w:rsidRPr="00E60EA6" w:rsidTr="00B85F78">
        <w:trPr>
          <w:trHeight w:val="20"/>
        </w:trPr>
        <w:tc>
          <w:tcPr>
            <w:tcW w:w="3935" w:type="dxa"/>
            <w:tcBorders>
              <w:top w:val="nil"/>
              <w:left w:val="single" w:sz="8" w:space="0" w:color="D9D9D9"/>
              <w:bottom w:val="nil"/>
              <w:right w:val="nil"/>
            </w:tcBorders>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The Point – Residential</w:t>
            </w:r>
          </w:p>
        </w:tc>
        <w:tc>
          <w:tcPr>
            <w:tcW w:w="2291" w:type="dxa"/>
            <w:tcBorders>
              <w:top w:val="nil"/>
              <w:left w:val="nil"/>
              <w:bottom w:val="nil"/>
              <w:right w:val="nil"/>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45</w:t>
            </w:r>
          </w:p>
        </w:tc>
        <w:tc>
          <w:tcPr>
            <w:tcW w:w="2291" w:type="dxa"/>
            <w:tcBorders>
              <w:top w:val="nil"/>
              <w:left w:val="nil"/>
              <w:bottom w:val="nil"/>
              <w:right w:val="single" w:sz="8" w:space="0" w:color="D9D9D9"/>
            </w:tcBorders>
            <w:shd w:val="clear" w:color="auto" w:fill="auto"/>
            <w:noWrap/>
            <w:vAlign w:val="bottom"/>
            <w:hideMark/>
          </w:tcPr>
          <w:p w:rsidR="009B21E0" w:rsidRPr="00E60EA6" w:rsidRDefault="009B21E0" w:rsidP="00B85F78">
            <w:pPr>
              <w:spacing w:before="0" w:after="0"/>
              <w:jc w:val="right"/>
              <w:rPr>
                <w:rFonts w:cs="Lucida Sans Unicode"/>
                <w:color w:val="FF0000"/>
                <w:sz w:val="18"/>
                <w:szCs w:val="18"/>
                <w:lang w:eastAsia="en-AU"/>
              </w:rPr>
            </w:pPr>
            <w:r w:rsidRPr="00E60EA6">
              <w:rPr>
                <w:rFonts w:cs="Lucida Sans Unicode"/>
                <w:color w:val="FF0000"/>
                <w:sz w:val="18"/>
                <w:szCs w:val="18"/>
                <w:lang w:eastAsia="en-AU"/>
              </w:rPr>
              <w:t>-0.1%</w:t>
            </w:r>
          </w:p>
        </w:tc>
      </w:tr>
      <w:tr w:rsidR="009B21E0" w:rsidRPr="00E60EA6" w:rsidTr="00B85F78">
        <w:trPr>
          <w:trHeight w:val="20"/>
        </w:trPr>
        <w:tc>
          <w:tcPr>
            <w:tcW w:w="3935" w:type="dxa"/>
            <w:tcBorders>
              <w:top w:val="nil"/>
              <w:left w:val="single" w:sz="8" w:space="0" w:color="D9D9D9"/>
              <w:bottom w:val="nil"/>
              <w:right w:val="nil"/>
            </w:tcBorders>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The Point – Vacant</w:t>
            </w:r>
          </w:p>
        </w:tc>
        <w:tc>
          <w:tcPr>
            <w:tcW w:w="2291" w:type="dxa"/>
            <w:tcBorders>
              <w:top w:val="nil"/>
              <w:left w:val="nil"/>
              <w:bottom w:val="nil"/>
              <w:right w:val="nil"/>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28</w:t>
            </w:r>
          </w:p>
        </w:tc>
        <w:tc>
          <w:tcPr>
            <w:tcW w:w="2291" w:type="dxa"/>
            <w:tcBorders>
              <w:top w:val="nil"/>
              <w:left w:val="nil"/>
              <w:bottom w:val="nil"/>
              <w:right w:val="single" w:sz="8" w:space="0" w:color="D9D9D9"/>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4.6%</w:t>
            </w:r>
          </w:p>
        </w:tc>
      </w:tr>
      <w:tr w:rsidR="009B21E0" w:rsidRPr="00E60EA6" w:rsidTr="00B85F78">
        <w:trPr>
          <w:trHeight w:val="20"/>
        </w:trPr>
        <w:tc>
          <w:tcPr>
            <w:tcW w:w="3935" w:type="dxa"/>
            <w:tcBorders>
              <w:top w:val="nil"/>
              <w:left w:val="single" w:sz="8" w:space="0" w:color="D9D9D9"/>
              <w:bottom w:val="nil"/>
              <w:right w:val="nil"/>
            </w:tcBorders>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The Point – Commercial</w:t>
            </w:r>
          </w:p>
        </w:tc>
        <w:tc>
          <w:tcPr>
            <w:tcW w:w="2291" w:type="dxa"/>
            <w:tcBorders>
              <w:top w:val="nil"/>
              <w:left w:val="nil"/>
              <w:bottom w:val="nil"/>
              <w:right w:val="nil"/>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w:t>
            </w:r>
          </w:p>
        </w:tc>
        <w:tc>
          <w:tcPr>
            <w:tcW w:w="2291" w:type="dxa"/>
            <w:tcBorders>
              <w:top w:val="nil"/>
              <w:left w:val="nil"/>
              <w:bottom w:val="nil"/>
              <w:right w:val="single" w:sz="8" w:space="0" w:color="D9D9D9"/>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1.4%</w:t>
            </w:r>
          </w:p>
        </w:tc>
      </w:tr>
      <w:tr w:rsidR="009B21E0" w:rsidRPr="00E60EA6" w:rsidTr="00B85F78">
        <w:trPr>
          <w:trHeight w:val="20"/>
        </w:trPr>
        <w:tc>
          <w:tcPr>
            <w:tcW w:w="3935" w:type="dxa"/>
            <w:tcBorders>
              <w:top w:val="nil"/>
              <w:left w:val="single" w:sz="8" w:space="0" w:color="D9D9D9"/>
              <w:bottom w:val="nil"/>
              <w:right w:val="nil"/>
            </w:tcBorders>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Industrial Rate</w:t>
            </w:r>
          </w:p>
        </w:tc>
        <w:tc>
          <w:tcPr>
            <w:tcW w:w="2291" w:type="dxa"/>
            <w:tcBorders>
              <w:top w:val="nil"/>
              <w:left w:val="nil"/>
              <w:bottom w:val="nil"/>
              <w:right w:val="nil"/>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1,926</w:t>
            </w:r>
          </w:p>
        </w:tc>
        <w:tc>
          <w:tcPr>
            <w:tcW w:w="2291" w:type="dxa"/>
            <w:tcBorders>
              <w:top w:val="nil"/>
              <w:left w:val="nil"/>
              <w:bottom w:val="nil"/>
              <w:right w:val="single" w:sz="8" w:space="0" w:color="D9D9D9"/>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5.0%</w:t>
            </w:r>
          </w:p>
        </w:tc>
      </w:tr>
      <w:tr w:rsidR="009B21E0" w:rsidRPr="00E60EA6" w:rsidTr="00B85F78">
        <w:trPr>
          <w:trHeight w:val="20"/>
        </w:trPr>
        <w:tc>
          <w:tcPr>
            <w:tcW w:w="3935" w:type="dxa"/>
            <w:tcBorders>
              <w:top w:val="nil"/>
              <w:left w:val="single" w:sz="8" w:space="0" w:color="D9D9D9"/>
              <w:bottom w:val="nil"/>
              <w:right w:val="nil"/>
            </w:tcBorders>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Mixed Use</w:t>
            </w:r>
          </w:p>
        </w:tc>
        <w:tc>
          <w:tcPr>
            <w:tcW w:w="2291" w:type="dxa"/>
            <w:tcBorders>
              <w:top w:val="nil"/>
              <w:left w:val="nil"/>
              <w:bottom w:val="nil"/>
              <w:right w:val="nil"/>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326</w:t>
            </w:r>
          </w:p>
        </w:tc>
        <w:tc>
          <w:tcPr>
            <w:tcW w:w="2291" w:type="dxa"/>
            <w:tcBorders>
              <w:top w:val="nil"/>
              <w:left w:val="nil"/>
              <w:bottom w:val="nil"/>
              <w:right w:val="single" w:sz="8" w:space="0" w:color="D9D9D9"/>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10.4%</w:t>
            </w:r>
          </w:p>
        </w:tc>
      </w:tr>
      <w:tr w:rsidR="009B21E0" w:rsidRPr="00E60EA6" w:rsidTr="00B85F78">
        <w:trPr>
          <w:trHeight w:val="20"/>
        </w:trPr>
        <w:tc>
          <w:tcPr>
            <w:tcW w:w="3935" w:type="dxa"/>
            <w:tcBorders>
              <w:top w:val="nil"/>
              <w:left w:val="single" w:sz="8" w:space="0" w:color="D9D9D9"/>
              <w:bottom w:val="nil"/>
              <w:right w:val="nil"/>
            </w:tcBorders>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Farm Rate</w:t>
            </w:r>
          </w:p>
        </w:tc>
        <w:tc>
          <w:tcPr>
            <w:tcW w:w="2291" w:type="dxa"/>
            <w:tcBorders>
              <w:top w:val="nil"/>
              <w:left w:val="nil"/>
              <w:bottom w:val="nil"/>
              <w:right w:val="nil"/>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1,028</w:t>
            </w:r>
          </w:p>
        </w:tc>
        <w:tc>
          <w:tcPr>
            <w:tcW w:w="2291" w:type="dxa"/>
            <w:tcBorders>
              <w:top w:val="nil"/>
              <w:left w:val="nil"/>
              <w:bottom w:val="nil"/>
              <w:right w:val="single" w:sz="8" w:space="0" w:color="D9D9D9"/>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16.7%</w:t>
            </w:r>
          </w:p>
        </w:tc>
      </w:tr>
      <w:tr w:rsidR="009B21E0" w:rsidRPr="00E60EA6" w:rsidTr="00B85F78">
        <w:trPr>
          <w:trHeight w:val="20"/>
        </w:trPr>
        <w:tc>
          <w:tcPr>
            <w:tcW w:w="3935" w:type="dxa"/>
            <w:tcBorders>
              <w:top w:val="nil"/>
              <w:left w:val="single" w:sz="8" w:space="0" w:color="D9D9D9"/>
              <w:bottom w:val="nil"/>
              <w:right w:val="nil"/>
            </w:tcBorders>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Recreation</w:t>
            </w:r>
          </w:p>
        </w:tc>
        <w:tc>
          <w:tcPr>
            <w:tcW w:w="2291" w:type="dxa"/>
            <w:tcBorders>
              <w:top w:val="nil"/>
              <w:left w:val="nil"/>
              <w:bottom w:val="nil"/>
              <w:right w:val="nil"/>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62</w:t>
            </w:r>
          </w:p>
        </w:tc>
        <w:tc>
          <w:tcPr>
            <w:tcW w:w="2291" w:type="dxa"/>
            <w:tcBorders>
              <w:top w:val="nil"/>
              <w:left w:val="nil"/>
              <w:bottom w:val="nil"/>
              <w:right w:val="single" w:sz="8" w:space="0" w:color="D9D9D9"/>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8.0%</w:t>
            </w:r>
          </w:p>
        </w:tc>
      </w:tr>
      <w:tr w:rsidR="009B21E0" w:rsidRPr="00E60EA6" w:rsidTr="00B85F78">
        <w:trPr>
          <w:trHeight w:val="20"/>
        </w:trPr>
        <w:tc>
          <w:tcPr>
            <w:tcW w:w="3935" w:type="dxa"/>
            <w:tcBorders>
              <w:top w:val="nil"/>
              <w:left w:val="single" w:sz="8" w:space="0" w:color="D9D9D9"/>
              <w:bottom w:val="nil"/>
              <w:right w:val="nil"/>
            </w:tcBorders>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Automotive</w:t>
            </w:r>
          </w:p>
        </w:tc>
        <w:tc>
          <w:tcPr>
            <w:tcW w:w="2291" w:type="dxa"/>
            <w:tcBorders>
              <w:top w:val="nil"/>
              <w:left w:val="nil"/>
              <w:bottom w:val="nil"/>
              <w:right w:val="nil"/>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w:t>
            </w:r>
          </w:p>
        </w:tc>
        <w:tc>
          <w:tcPr>
            <w:tcW w:w="2291" w:type="dxa"/>
            <w:tcBorders>
              <w:top w:val="nil"/>
              <w:left w:val="nil"/>
              <w:bottom w:val="nil"/>
              <w:right w:val="single" w:sz="8" w:space="0" w:color="D9D9D9"/>
            </w:tcBorders>
            <w:shd w:val="clear" w:color="auto" w:fill="auto"/>
            <w:noWrap/>
            <w:vAlign w:val="bottom"/>
            <w:hideMark/>
          </w:tcPr>
          <w:p w:rsidR="009B21E0" w:rsidRPr="00E60EA6" w:rsidRDefault="009B21E0" w:rsidP="00B85F78">
            <w:pPr>
              <w:spacing w:before="0" w:after="0"/>
              <w:jc w:val="right"/>
              <w:rPr>
                <w:rFonts w:cs="Lucida Sans Unicode"/>
                <w:color w:val="FF0000"/>
                <w:sz w:val="18"/>
                <w:szCs w:val="18"/>
                <w:lang w:eastAsia="en-AU"/>
              </w:rPr>
            </w:pPr>
            <w:r w:rsidRPr="00E60EA6">
              <w:rPr>
                <w:rFonts w:cs="Lucida Sans Unicode"/>
                <w:color w:val="FF0000"/>
                <w:sz w:val="18"/>
                <w:szCs w:val="18"/>
                <w:lang w:eastAsia="en-AU"/>
              </w:rPr>
              <w:t>-19.9%</w:t>
            </w:r>
          </w:p>
        </w:tc>
      </w:tr>
      <w:tr w:rsidR="009B21E0" w:rsidRPr="00E60EA6" w:rsidTr="00B85F78">
        <w:trPr>
          <w:trHeight w:val="20"/>
        </w:trPr>
        <w:tc>
          <w:tcPr>
            <w:tcW w:w="3935" w:type="dxa"/>
            <w:tcBorders>
              <w:top w:val="nil"/>
              <w:left w:val="single" w:sz="8" w:space="0" w:color="D9D9D9"/>
              <w:bottom w:val="nil"/>
              <w:right w:val="nil"/>
            </w:tcBorders>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Petroleum</w:t>
            </w:r>
          </w:p>
        </w:tc>
        <w:tc>
          <w:tcPr>
            <w:tcW w:w="2291" w:type="dxa"/>
            <w:tcBorders>
              <w:top w:val="nil"/>
              <w:left w:val="nil"/>
              <w:bottom w:val="nil"/>
              <w:right w:val="nil"/>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w:t>
            </w:r>
          </w:p>
        </w:tc>
        <w:tc>
          <w:tcPr>
            <w:tcW w:w="2291" w:type="dxa"/>
            <w:tcBorders>
              <w:top w:val="nil"/>
              <w:left w:val="nil"/>
              <w:bottom w:val="nil"/>
              <w:right w:val="single" w:sz="8" w:space="0" w:color="D9D9D9"/>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0.0%</w:t>
            </w:r>
          </w:p>
        </w:tc>
      </w:tr>
      <w:tr w:rsidR="009B21E0" w:rsidRPr="00E60EA6" w:rsidTr="00B85F78">
        <w:trPr>
          <w:trHeight w:val="20"/>
        </w:trPr>
        <w:tc>
          <w:tcPr>
            <w:tcW w:w="3935" w:type="dxa"/>
            <w:tcBorders>
              <w:top w:val="nil"/>
              <w:left w:val="single" w:sz="8" w:space="0" w:color="D9D9D9"/>
              <w:bottom w:val="single" w:sz="8" w:space="0" w:color="D9D9D9"/>
              <w:right w:val="nil"/>
            </w:tcBorders>
            <w:shd w:val="clear" w:color="000000" w:fill="DBE5F1"/>
            <w:noWrap/>
            <w:vAlign w:val="bottom"/>
            <w:hideMark/>
          </w:tcPr>
          <w:p w:rsidR="009B21E0" w:rsidRPr="00E60EA6" w:rsidRDefault="009B21E0" w:rsidP="00B85F78">
            <w:pPr>
              <w:spacing w:before="0" w:after="0"/>
              <w:rPr>
                <w:rFonts w:cs="Lucida Sans Unicode"/>
                <w:b/>
                <w:bCs/>
                <w:color w:val="000000"/>
                <w:sz w:val="18"/>
                <w:szCs w:val="18"/>
                <w:lang w:eastAsia="en-AU"/>
              </w:rPr>
            </w:pPr>
            <w:r w:rsidRPr="00E60EA6">
              <w:rPr>
                <w:rFonts w:cs="Lucida Sans Unicode"/>
                <w:b/>
                <w:bCs/>
                <w:color w:val="000000"/>
                <w:sz w:val="18"/>
                <w:szCs w:val="18"/>
                <w:lang w:eastAsia="en-AU"/>
              </w:rPr>
              <w:t>Grand Total</w:t>
            </w:r>
          </w:p>
        </w:tc>
        <w:tc>
          <w:tcPr>
            <w:tcW w:w="2291" w:type="dxa"/>
            <w:tcBorders>
              <w:top w:val="nil"/>
              <w:left w:val="nil"/>
              <w:bottom w:val="single" w:sz="8" w:space="0" w:color="D9D9D9"/>
              <w:right w:val="nil"/>
            </w:tcBorders>
            <w:shd w:val="clear" w:color="000000" w:fill="DBE5F1"/>
            <w:noWrap/>
            <w:vAlign w:val="bottom"/>
            <w:hideMark/>
          </w:tcPr>
          <w:p w:rsidR="009B21E0" w:rsidRPr="00E60EA6" w:rsidRDefault="009B21E0" w:rsidP="00B85F78">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116,695</w:t>
            </w:r>
          </w:p>
        </w:tc>
        <w:tc>
          <w:tcPr>
            <w:tcW w:w="2291" w:type="dxa"/>
            <w:tcBorders>
              <w:top w:val="nil"/>
              <w:left w:val="nil"/>
              <w:bottom w:val="single" w:sz="8" w:space="0" w:color="D9D9D9"/>
              <w:right w:val="single" w:sz="8" w:space="0" w:color="D9D9D9"/>
            </w:tcBorders>
            <w:shd w:val="clear" w:color="000000" w:fill="DBE5F1"/>
            <w:noWrap/>
            <w:vAlign w:val="bottom"/>
            <w:hideMark/>
          </w:tcPr>
          <w:p w:rsidR="009B21E0" w:rsidRPr="00E60EA6" w:rsidRDefault="009B21E0" w:rsidP="00B85F78">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6.4%</w:t>
            </w:r>
          </w:p>
        </w:tc>
      </w:tr>
    </w:tbl>
    <w:p w:rsidR="009B21E0" w:rsidRPr="00DC7325" w:rsidRDefault="009B21E0">
      <w:pPr>
        <w:pStyle w:val="Heading4A"/>
      </w:pPr>
      <w:r w:rsidRPr="00DC7325">
        <w:t>Overall</w:t>
      </w:r>
    </w:p>
    <w:p w:rsidR="009B21E0" w:rsidRPr="00C27A8A" w:rsidRDefault="009B21E0">
      <w:pPr>
        <w:pStyle w:val="BodyText"/>
      </w:pPr>
      <w:r w:rsidRPr="00C27A8A">
        <w:t>Westlink Consulting (Contract Valuers) have completed Stage 4 of the 2016 municipal revaluation within the City of Greater Geelong. Stage 5 will include a final review of all properties due to be lodged with the Valuer General.</w:t>
      </w:r>
    </w:p>
    <w:p w:rsidR="009B21E0" w:rsidRPr="00C27A8A" w:rsidRDefault="009B21E0">
      <w:pPr>
        <w:pStyle w:val="BodyText"/>
      </w:pPr>
      <w:r w:rsidRPr="00C27A8A">
        <w:t>The revaluation date is 1 January 2016 and takes effect from 1 July 2016.</w:t>
      </w:r>
    </w:p>
    <w:p w:rsidR="009B21E0" w:rsidRPr="00C27A8A" w:rsidRDefault="009B21E0">
      <w:pPr>
        <w:pStyle w:val="BodyText"/>
      </w:pPr>
      <w:r w:rsidRPr="00C27A8A">
        <w:t>The summary results are:</w:t>
      </w:r>
    </w:p>
    <w:p w:rsidR="00A23966" w:rsidRPr="00316155" w:rsidRDefault="009B21E0" w:rsidP="005167B1">
      <w:pPr>
        <w:pStyle w:val="ListParagraph"/>
        <w:numPr>
          <w:ilvl w:val="0"/>
          <w:numId w:val="43"/>
        </w:numPr>
        <w:spacing w:after="80"/>
        <w:ind w:left="357" w:hanging="357"/>
        <w:jc w:val="both"/>
      </w:pPr>
      <w:r w:rsidRPr="00132FCB">
        <w:rPr>
          <w:rFonts w:cs="Lucida Sans Unicode"/>
          <w:szCs w:val="22"/>
        </w:rPr>
        <w:t>Average increase in residential is 5.44% compared to 2.16% in 2014.</w:t>
      </w:r>
    </w:p>
    <w:p w:rsidR="00A23966" w:rsidRPr="005167B1" w:rsidRDefault="009B21E0" w:rsidP="005167B1">
      <w:pPr>
        <w:pStyle w:val="ListParagraph"/>
        <w:numPr>
          <w:ilvl w:val="0"/>
          <w:numId w:val="43"/>
        </w:numPr>
        <w:spacing w:after="80"/>
        <w:ind w:left="357" w:hanging="357"/>
        <w:jc w:val="both"/>
      </w:pPr>
      <w:r w:rsidRPr="005167B1">
        <w:rPr>
          <w:rFonts w:cs="Lucida Sans Unicode"/>
          <w:szCs w:val="22"/>
        </w:rPr>
        <w:t>The average increase in farm valuations is 16.71% compared with (0.67%) in 2014.</w:t>
      </w:r>
    </w:p>
    <w:p w:rsidR="00A23966" w:rsidRPr="005167B1" w:rsidRDefault="009B21E0" w:rsidP="005167B1">
      <w:pPr>
        <w:pStyle w:val="ListParagraph"/>
        <w:numPr>
          <w:ilvl w:val="0"/>
          <w:numId w:val="43"/>
        </w:numPr>
        <w:spacing w:after="80"/>
        <w:ind w:left="357" w:hanging="357"/>
        <w:jc w:val="both"/>
      </w:pPr>
      <w:r w:rsidRPr="005167B1">
        <w:rPr>
          <w:rFonts w:cs="Lucida Sans Unicode"/>
          <w:szCs w:val="22"/>
        </w:rPr>
        <w:t>Commercial properties have increased by 11.81% with the increase for the CBD at 8.90%.</w:t>
      </w:r>
    </w:p>
    <w:p w:rsidR="00A23966" w:rsidRPr="005167B1" w:rsidRDefault="009B21E0" w:rsidP="005167B1">
      <w:pPr>
        <w:pStyle w:val="ListParagraph"/>
        <w:numPr>
          <w:ilvl w:val="0"/>
          <w:numId w:val="43"/>
        </w:numPr>
        <w:spacing w:after="80"/>
        <w:ind w:left="357" w:hanging="357"/>
        <w:jc w:val="both"/>
      </w:pPr>
      <w:r w:rsidRPr="005167B1">
        <w:rPr>
          <w:rFonts w:cs="Lucida Sans Unicode"/>
          <w:szCs w:val="22"/>
        </w:rPr>
        <w:t xml:space="preserve">Industrial properties have increased on average at 4.95% compared to an increase of 2.32% in 2014. </w:t>
      </w:r>
    </w:p>
    <w:p w:rsidR="00A23966" w:rsidRPr="005167B1" w:rsidRDefault="009B21E0" w:rsidP="005167B1">
      <w:pPr>
        <w:pStyle w:val="ListParagraph"/>
        <w:numPr>
          <w:ilvl w:val="0"/>
          <w:numId w:val="43"/>
        </w:numPr>
        <w:spacing w:after="80"/>
        <w:ind w:left="357" w:hanging="357"/>
        <w:jc w:val="both"/>
      </w:pPr>
      <w:r w:rsidRPr="005167B1">
        <w:rPr>
          <w:rFonts w:cs="Lucida Sans Unicode"/>
          <w:szCs w:val="22"/>
        </w:rPr>
        <w:t xml:space="preserve">Average increase in vacant land is 9.51% compared with an increase of 4.11% in 2014. </w:t>
      </w:r>
    </w:p>
    <w:p w:rsidR="009B21E0" w:rsidRPr="00C27A8A" w:rsidRDefault="009B21E0">
      <w:pPr>
        <w:pStyle w:val="Heading4A"/>
      </w:pPr>
      <w:r w:rsidRPr="00C27A8A">
        <w:t xml:space="preserve">Residential </w:t>
      </w:r>
    </w:p>
    <w:p w:rsidR="009B21E0" w:rsidRPr="00A34478" w:rsidRDefault="009B21E0">
      <w:pPr>
        <w:pStyle w:val="BodyText"/>
      </w:pPr>
      <w:r w:rsidRPr="00A34478">
        <w:t>Overall 102,636 residential properties have increased by an average of 5.44%, compared to an average increase of 2.16% at the 2014 revaluation. The average residential capital improved value has moved from $377,721 to $400,130.</w:t>
      </w:r>
    </w:p>
    <w:p w:rsidR="009B21E0" w:rsidRPr="00A34478" w:rsidRDefault="009B21E0">
      <w:pPr>
        <w:pStyle w:val="BodyText"/>
      </w:pPr>
      <w:r w:rsidRPr="00A34478">
        <w:lastRenderedPageBreak/>
        <w:t>Of the total 102,636 residences, 307 have increased in value over 50% (compared to 126 which increased over 50% for the 2014 revaluation).</w:t>
      </w:r>
    </w:p>
    <w:p w:rsidR="009B21E0" w:rsidRDefault="009B21E0">
      <w:pPr>
        <w:pStyle w:val="BodyText"/>
      </w:pPr>
      <w:r>
        <w:t>There has been an increase in the value of two hectare rural living properties located in close proximity to Geelong between 8.38% and 16.98%. The suburbs affected are Anakie, Balliang, Batesford, Ceres, Fyansford, Little River, Lovely Banks, Moorabool, Mount Duneed and Wallington.</w:t>
      </w:r>
    </w:p>
    <w:p w:rsidR="009B21E0" w:rsidRPr="00C27A8A" w:rsidRDefault="009B21E0" w:rsidP="009B21E0">
      <w:pPr>
        <w:pStyle w:val="Heading5A"/>
      </w:pPr>
      <w:r w:rsidRPr="00C27A8A">
        <w:t>Impacts on Residential Areas</w:t>
      </w:r>
    </w:p>
    <w:p w:rsidR="009B21E0" w:rsidRPr="00A34478" w:rsidRDefault="009B21E0">
      <w:pPr>
        <w:pStyle w:val="BodyText"/>
      </w:pPr>
      <w:r w:rsidRPr="00A34478">
        <w:t>Just over half of Geelong’s residential population is in nine suburbs. Of the 102,636 residences, 52,224 are affected by the following suburb revaluation movements:</w:t>
      </w:r>
    </w:p>
    <w:tbl>
      <w:tblPr>
        <w:tblW w:w="8560" w:type="dxa"/>
        <w:tblInd w:w="9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430"/>
        <w:gridCol w:w="1426"/>
        <w:gridCol w:w="1426"/>
        <w:gridCol w:w="1426"/>
        <w:gridCol w:w="1426"/>
        <w:gridCol w:w="1426"/>
      </w:tblGrid>
      <w:tr w:rsidR="009B21E0" w:rsidRPr="00E60EA6" w:rsidTr="00E60EA6">
        <w:trPr>
          <w:trHeight w:val="20"/>
        </w:trPr>
        <w:tc>
          <w:tcPr>
            <w:tcW w:w="1430" w:type="dxa"/>
            <w:vMerge w:val="restart"/>
            <w:shd w:val="clear" w:color="auto" w:fill="8DB3E2"/>
            <w:noWrap/>
            <w:vAlign w:val="bottom"/>
            <w:hideMark/>
          </w:tcPr>
          <w:p w:rsidR="009B21E0" w:rsidRPr="009F5CF2" w:rsidRDefault="009B21E0" w:rsidP="00B85F78">
            <w:pPr>
              <w:spacing w:before="0" w:after="0"/>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Suburb</w:t>
            </w:r>
          </w:p>
        </w:tc>
        <w:tc>
          <w:tcPr>
            <w:tcW w:w="1426" w:type="dxa"/>
            <w:vMerge w:val="restart"/>
            <w:tcBorders>
              <w:right w:val="single" w:sz="4" w:space="0" w:color="000000"/>
            </w:tcBorders>
            <w:shd w:val="clear" w:color="auto" w:fill="DBE5F1"/>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No. of Residences 2016</w:t>
            </w:r>
          </w:p>
        </w:tc>
        <w:tc>
          <w:tcPr>
            <w:tcW w:w="1426" w:type="dxa"/>
            <w:tcBorders>
              <w:top w:val="single" w:sz="4" w:space="0" w:color="000000"/>
              <w:left w:val="single" w:sz="4" w:space="0" w:color="000000"/>
            </w:tcBorders>
            <w:shd w:val="clear" w:color="auto" w:fill="8DB3E2"/>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2012 Revaluation Increase</w:t>
            </w:r>
          </w:p>
        </w:tc>
        <w:tc>
          <w:tcPr>
            <w:tcW w:w="1426" w:type="dxa"/>
            <w:tcBorders>
              <w:top w:val="single" w:sz="4" w:space="0" w:color="000000"/>
              <w:right w:val="single" w:sz="4" w:space="0" w:color="000000"/>
            </w:tcBorders>
            <w:shd w:val="clear" w:color="auto" w:fill="8DB3E2"/>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2014 Revaluation Increase</w:t>
            </w:r>
          </w:p>
        </w:tc>
        <w:tc>
          <w:tcPr>
            <w:tcW w:w="1426" w:type="dxa"/>
            <w:tcBorders>
              <w:left w:val="single" w:sz="4" w:space="0" w:color="000000"/>
            </w:tcBorders>
            <w:shd w:val="clear" w:color="auto" w:fill="DBE5F1"/>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2016 Revaluation Increase</w:t>
            </w:r>
          </w:p>
        </w:tc>
        <w:tc>
          <w:tcPr>
            <w:tcW w:w="1426" w:type="dxa"/>
            <w:tcBorders>
              <w:bottom w:val="nil"/>
            </w:tcBorders>
            <w:shd w:val="clear" w:color="auto" w:fill="auto"/>
            <w:noWrap/>
            <w:vAlign w:val="bottom"/>
            <w:hideMark/>
          </w:tcPr>
          <w:p w:rsidR="009B21E0" w:rsidRPr="009F5CF2" w:rsidRDefault="009B21E0" w:rsidP="00B85F78">
            <w:pPr>
              <w:spacing w:before="0" w:after="0"/>
              <w:rPr>
                <w:rFonts w:ascii="News Gothic Std" w:hAnsi="News Gothic Std" w:cs="Arial"/>
                <w:sz w:val="18"/>
                <w:szCs w:val="18"/>
                <w:lang w:eastAsia="en-AU"/>
              </w:rPr>
            </w:pPr>
          </w:p>
        </w:tc>
      </w:tr>
      <w:tr w:rsidR="009B21E0" w:rsidRPr="00E60EA6" w:rsidTr="00E60EA6">
        <w:trPr>
          <w:trHeight w:val="20"/>
        </w:trPr>
        <w:tc>
          <w:tcPr>
            <w:tcW w:w="1430" w:type="dxa"/>
            <w:vMerge/>
            <w:vAlign w:val="center"/>
            <w:hideMark/>
          </w:tcPr>
          <w:p w:rsidR="009B21E0" w:rsidRPr="00E60EA6" w:rsidRDefault="009B21E0" w:rsidP="00B85F78">
            <w:pPr>
              <w:spacing w:before="0" w:after="0"/>
              <w:rPr>
                <w:rFonts w:cs="Arial"/>
                <w:b/>
                <w:bCs/>
                <w:color w:val="000000"/>
                <w:sz w:val="18"/>
                <w:szCs w:val="18"/>
                <w:lang w:eastAsia="en-AU"/>
              </w:rPr>
            </w:pPr>
          </w:p>
        </w:tc>
        <w:tc>
          <w:tcPr>
            <w:tcW w:w="1426" w:type="dxa"/>
            <w:vMerge/>
            <w:tcBorders>
              <w:right w:val="single" w:sz="4" w:space="0" w:color="000000"/>
            </w:tcBorders>
            <w:shd w:val="clear" w:color="auto" w:fill="DBE5F1"/>
            <w:vAlign w:val="center"/>
            <w:hideMark/>
          </w:tcPr>
          <w:p w:rsidR="009B21E0" w:rsidRPr="00E60EA6" w:rsidRDefault="009B21E0" w:rsidP="00B85F78">
            <w:pPr>
              <w:spacing w:before="0" w:after="0"/>
              <w:rPr>
                <w:rFonts w:cs="Arial"/>
                <w:b/>
                <w:bCs/>
                <w:color w:val="000000"/>
                <w:sz w:val="18"/>
                <w:szCs w:val="18"/>
                <w:lang w:eastAsia="en-AU"/>
              </w:rPr>
            </w:pPr>
          </w:p>
        </w:tc>
        <w:tc>
          <w:tcPr>
            <w:tcW w:w="1426" w:type="dxa"/>
            <w:tcBorders>
              <w:left w:val="single" w:sz="4" w:space="0" w:color="000000"/>
            </w:tcBorders>
            <w:shd w:val="clear" w:color="auto" w:fill="8DB3E2"/>
            <w:vAlign w:val="bottom"/>
            <w:hideMark/>
          </w:tcPr>
          <w:p w:rsidR="009B21E0" w:rsidRPr="00E60EA6" w:rsidRDefault="009B21E0" w:rsidP="00B85F78">
            <w:pPr>
              <w:spacing w:before="0" w:after="0"/>
              <w:jc w:val="right"/>
              <w:rPr>
                <w:rFonts w:cs="Arial"/>
                <w:bCs/>
                <w:color w:val="000000"/>
                <w:sz w:val="18"/>
                <w:szCs w:val="18"/>
                <w:lang w:eastAsia="en-AU"/>
              </w:rPr>
            </w:pPr>
            <w:r w:rsidRPr="00E60EA6">
              <w:rPr>
                <w:rFonts w:cs="Arial"/>
                <w:bCs/>
                <w:color w:val="000000"/>
                <w:sz w:val="18"/>
                <w:szCs w:val="18"/>
                <w:lang w:eastAsia="en-AU"/>
              </w:rPr>
              <w:t>Av 10.2%</w:t>
            </w:r>
          </w:p>
        </w:tc>
        <w:tc>
          <w:tcPr>
            <w:tcW w:w="1426" w:type="dxa"/>
            <w:tcBorders>
              <w:right w:val="single" w:sz="4" w:space="0" w:color="000000"/>
            </w:tcBorders>
            <w:shd w:val="clear" w:color="auto" w:fill="8DB3E2"/>
            <w:vAlign w:val="bottom"/>
            <w:hideMark/>
          </w:tcPr>
          <w:p w:rsidR="009B21E0" w:rsidRPr="00E60EA6" w:rsidRDefault="009B21E0" w:rsidP="00B85F78">
            <w:pPr>
              <w:spacing w:before="0" w:after="0"/>
              <w:jc w:val="right"/>
              <w:rPr>
                <w:rFonts w:cs="Arial"/>
                <w:bCs/>
                <w:color w:val="000000"/>
                <w:sz w:val="18"/>
                <w:szCs w:val="18"/>
                <w:lang w:eastAsia="en-AU"/>
              </w:rPr>
            </w:pPr>
            <w:r w:rsidRPr="00E60EA6">
              <w:rPr>
                <w:rFonts w:cs="Arial"/>
                <w:bCs/>
                <w:color w:val="000000"/>
                <w:sz w:val="18"/>
                <w:szCs w:val="18"/>
                <w:lang w:eastAsia="en-AU"/>
              </w:rPr>
              <w:t>Av 2.16%</w:t>
            </w:r>
          </w:p>
        </w:tc>
        <w:tc>
          <w:tcPr>
            <w:tcW w:w="1426" w:type="dxa"/>
            <w:tcBorders>
              <w:left w:val="single" w:sz="4" w:space="0" w:color="000000"/>
            </w:tcBorders>
            <w:shd w:val="clear" w:color="auto" w:fill="DBE5F1"/>
            <w:vAlign w:val="bottom"/>
            <w:hideMark/>
          </w:tcPr>
          <w:p w:rsidR="009B21E0" w:rsidRPr="00E60EA6" w:rsidRDefault="009B21E0" w:rsidP="00B85F78">
            <w:pPr>
              <w:spacing w:before="0" w:after="0"/>
              <w:jc w:val="right"/>
              <w:rPr>
                <w:rFonts w:cs="Arial"/>
                <w:bCs/>
                <w:color w:val="000000"/>
                <w:sz w:val="18"/>
                <w:szCs w:val="18"/>
                <w:lang w:eastAsia="en-AU"/>
              </w:rPr>
            </w:pPr>
            <w:r w:rsidRPr="00E60EA6">
              <w:rPr>
                <w:rFonts w:cs="Arial"/>
                <w:bCs/>
                <w:color w:val="000000"/>
                <w:sz w:val="18"/>
                <w:szCs w:val="18"/>
                <w:lang w:eastAsia="en-AU"/>
              </w:rPr>
              <w:t>Av 5.44%</w:t>
            </w:r>
          </w:p>
        </w:tc>
        <w:tc>
          <w:tcPr>
            <w:tcW w:w="1426" w:type="dxa"/>
            <w:tcBorders>
              <w:top w:val="nil"/>
            </w:tcBorders>
            <w:shd w:val="clear" w:color="auto" w:fill="auto"/>
            <w:noWrap/>
            <w:vAlign w:val="bottom"/>
            <w:hideMark/>
          </w:tcPr>
          <w:p w:rsidR="009B21E0" w:rsidRPr="00E60EA6" w:rsidRDefault="009B21E0" w:rsidP="00B85F78">
            <w:pPr>
              <w:spacing w:before="0" w:after="0"/>
              <w:rPr>
                <w:rFonts w:cs="Arial"/>
                <w:sz w:val="18"/>
                <w:szCs w:val="18"/>
                <w:lang w:eastAsia="en-AU"/>
              </w:rPr>
            </w:pPr>
          </w:p>
        </w:tc>
      </w:tr>
      <w:tr w:rsidR="009B21E0" w:rsidRPr="00E60EA6" w:rsidTr="00E60EA6">
        <w:trPr>
          <w:trHeight w:val="20"/>
        </w:trPr>
        <w:tc>
          <w:tcPr>
            <w:tcW w:w="1430"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Belmont</w:t>
            </w:r>
          </w:p>
        </w:tc>
        <w:tc>
          <w:tcPr>
            <w:tcW w:w="1426"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6,425</w:t>
            </w:r>
          </w:p>
        </w:tc>
        <w:tc>
          <w:tcPr>
            <w:tcW w:w="1426"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10.10%</w:t>
            </w:r>
          </w:p>
        </w:tc>
        <w:tc>
          <w:tcPr>
            <w:tcW w:w="1426" w:type="dxa"/>
            <w:tcBorders>
              <w:right w:val="single" w:sz="4"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4.39%</w:t>
            </w:r>
          </w:p>
        </w:tc>
        <w:tc>
          <w:tcPr>
            <w:tcW w:w="1426" w:type="dxa"/>
            <w:tcBorders>
              <w:left w:val="single" w:sz="4" w:space="0" w:color="000000"/>
            </w:tcBorders>
            <w:shd w:val="clear" w:color="auto" w:fill="DBE5F1"/>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5.59%</w:t>
            </w:r>
          </w:p>
        </w:tc>
        <w:tc>
          <w:tcPr>
            <w:tcW w:w="1426" w:type="dxa"/>
            <w:vMerge w:val="restart"/>
            <w:shd w:val="clear" w:color="auto" w:fill="auto"/>
            <w:vAlign w:val="center"/>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Above Average</w:t>
            </w:r>
          </w:p>
        </w:tc>
      </w:tr>
      <w:tr w:rsidR="009B21E0" w:rsidRPr="00E60EA6" w:rsidTr="00E60EA6">
        <w:trPr>
          <w:trHeight w:val="20"/>
        </w:trPr>
        <w:tc>
          <w:tcPr>
            <w:tcW w:w="1430"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Lara</w:t>
            </w:r>
          </w:p>
        </w:tc>
        <w:tc>
          <w:tcPr>
            <w:tcW w:w="1426"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5,629</w:t>
            </w:r>
          </w:p>
        </w:tc>
        <w:tc>
          <w:tcPr>
            <w:tcW w:w="1426"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10.30%</w:t>
            </w:r>
          </w:p>
        </w:tc>
        <w:tc>
          <w:tcPr>
            <w:tcW w:w="1426" w:type="dxa"/>
            <w:tcBorders>
              <w:right w:val="single" w:sz="4"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3.60%</w:t>
            </w:r>
          </w:p>
        </w:tc>
        <w:tc>
          <w:tcPr>
            <w:tcW w:w="1426" w:type="dxa"/>
            <w:tcBorders>
              <w:left w:val="single" w:sz="4" w:space="0" w:color="000000"/>
            </w:tcBorders>
            <w:shd w:val="clear" w:color="auto" w:fill="DBE5F1"/>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5.80%</w:t>
            </w:r>
          </w:p>
        </w:tc>
        <w:tc>
          <w:tcPr>
            <w:tcW w:w="142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0"/>
        </w:trPr>
        <w:tc>
          <w:tcPr>
            <w:tcW w:w="1430"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Highton</w:t>
            </w:r>
          </w:p>
        </w:tc>
        <w:tc>
          <w:tcPr>
            <w:tcW w:w="1426"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7,464</w:t>
            </w:r>
          </w:p>
        </w:tc>
        <w:tc>
          <w:tcPr>
            <w:tcW w:w="1426"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9.60%</w:t>
            </w:r>
          </w:p>
        </w:tc>
        <w:tc>
          <w:tcPr>
            <w:tcW w:w="1426" w:type="dxa"/>
            <w:tcBorders>
              <w:right w:val="single" w:sz="4"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1.55%</w:t>
            </w:r>
          </w:p>
        </w:tc>
        <w:tc>
          <w:tcPr>
            <w:tcW w:w="1426" w:type="dxa"/>
            <w:tcBorders>
              <w:left w:val="single" w:sz="4" w:space="0" w:color="000000"/>
            </w:tcBorders>
            <w:shd w:val="clear" w:color="auto" w:fill="DBE5F1"/>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7.65%</w:t>
            </w:r>
          </w:p>
        </w:tc>
        <w:tc>
          <w:tcPr>
            <w:tcW w:w="142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0"/>
        </w:trPr>
        <w:tc>
          <w:tcPr>
            <w:tcW w:w="1430"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Newtown</w:t>
            </w:r>
          </w:p>
        </w:tc>
        <w:tc>
          <w:tcPr>
            <w:tcW w:w="1426"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4,470</w:t>
            </w:r>
          </w:p>
        </w:tc>
        <w:tc>
          <w:tcPr>
            <w:tcW w:w="1426"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10.10%</w:t>
            </w:r>
          </w:p>
        </w:tc>
        <w:tc>
          <w:tcPr>
            <w:tcW w:w="1426" w:type="dxa"/>
            <w:tcBorders>
              <w:right w:val="single" w:sz="4"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2.67%</w:t>
            </w:r>
          </w:p>
        </w:tc>
        <w:tc>
          <w:tcPr>
            <w:tcW w:w="1426" w:type="dxa"/>
            <w:tcBorders>
              <w:left w:val="single" w:sz="4" w:space="0" w:color="000000"/>
            </w:tcBorders>
            <w:shd w:val="clear" w:color="auto" w:fill="DBE5F1"/>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8.49%</w:t>
            </w:r>
          </w:p>
        </w:tc>
        <w:tc>
          <w:tcPr>
            <w:tcW w:w="142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0"/>
        </w:trPr>
        <w:tc>
          <w:tcPr>
            <w:tcW w:w="1430"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Leopold</w:t>
            </w:r>
          </w:p>
        </w:tc>
        <w:tc>
          <w:tcPr>
            <w:tcW w:w="1426"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4,893</w:t>
            </w:r>
          </w:p>
        </w:tc>
        <w:tc>
          <w:tcPr>
            <w:tcW w:w="1426"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7.50%</w:t>
            </w:r>
          </w:p>
        </w:tc>
        <w:tc>
          <w:tcPr>
            <w:tcW w:w="1426" w:type="dxa"/>
            <w:tcBorders>
              <w:right w:val="single" w:sz="4"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2.60%</w:t>
            </w:r>
          </w:p>
        </w:tc>
        <w:tc>
          <w:tcPr>
            <w:tcW w:w="1426" w:type="dxa"/>
            <w:tcBorders>
              <w:left w:val="single" w:sz="4" w:space="0" w:color="000000"/>
            </w:tcBorders>
            <w:shd w:val="clear" w:color="auto" w:fill="DBE5F1"/>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1.51%</w:t>
            </w:r>
          </w:p>
        </w:tc>
        <w:tc>
          <w:tcPr>
            <w:tcW w:w="1426" w:type="dxa"/>
            <w:vMerge w:val="restart"/>
            <w:shd w:val="clear" w:color="auto" w:fill="auto"/>
            <w:vAlign w:val="center"/>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Below Average</w:t>
            </w:r>
          </w:p>
        </w:tc>
      </w:tr>
      <w:tr w:rsidR="009B21E0" w:rsidRPr="00E60EA6" w:rsidTr="00E60EA6">
        <w:trPr>
          <w:trHeight w:val="20"/>
        </w:trPr>
        <w:tc>
          <w:tcPr>
            <w:tcW w:w="1430"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Norlane</w:t>
            </w:r>
          </w:p>
        </w:tc>
        <w:tc>
          <w:tcPr>
            <w:tcW w:w="1426"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4,082</w:t>
            </w:r>
          </w:p>
        </w:tc>
        <w:tc>
          <w:tcPr>
            <w:tcW w:w="1426"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10.40%</w:t>
            </w:r>
          </w:p>
        </w:tc>
        <w:tc>
          <w:tcPr>
            <w:tcW w:w="1426" w:type="dxa"/>
            <w:tcBorders>
              <w:right w:val="single" w:sz="4"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4.09%</w:t>
            </w:r>
          </w:p>
        </w:tc>
        <w:tc>
          <w:tcPr>
            <w:tcW w:w="1426" w:type="dxa"/>
            <w:tcBorders>
              <w:left w:val="single" w:sz="4" w:space="0" w:color="000000"/>
            </w:tcBorders>
            <w:shd w:val="clear" w:color="auto" w:fill="DBE5F1"/>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1.73%</w:t>
            </w:r>
          </w:p>
        </w:tc>
        <w:tc>
          <w:tcPr>
            <w:tcW w:w="142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0"/>
        </w:trPr>
        <w:tc>
          <w:tcPr>
            <w:tcW w:w="1430"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Corio</w:t>
            </w:r>
          </w:p>
        </w:tc>
        <w:tc>
          <w:tcPr>
            <w:tcW w:w="1426"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6,121</w:t>
            </w:r>
          </w:p>
        </w:tc>
        <w:tc>
          <w:tcPr>
            <w:tcW w:w="1426"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10.30%</w:t>
            </w:r>
          </w:p>
        </w:tc>
        <w:tc>
          <w:tcPr>
            <w:tcW w:w="1426" w:type="dxa"/>
            <w:tcBorders>
              <w:right w:val="single" w:sz="4"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3.46%</w:t>
            </w:r>
          </w:p>
        </w:tc>
        <w:tc>
          <w:tcPr>
            <w:tcW w:w="1426" w:type="dxa"/>
            <w:tcBorders>
              <w:left w:val="single" w:sz="4" w:space="0" w:color="000000"/>
            </w:tcBorders>
            <w:shd w:val="clear" w:color="auto" w:fill="DBE5F1"/>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1.73%</w:t>
            </w:r>
          </w:p>
        </w:tc>
        <w:tc>
          <w:tcPr>
            <w:tcW w:w="142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0"/>
        </w:trPr>
        <w:tc>
          <w:tcPr>
            <w:tcW w:w="1430"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Ocean Grove</w:t>
            </w:r>
          </w:p>
        </w:tc>
        <w:tc>
          <w:tcPr>
            <w:tcW w:w="1426"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7,167</w:t>
            </w:r>
          </w:p>
        </w:tc>
        <w:tc>
          <w:tcPr>
            <w:tcW w:w="1426"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9.30%</w:t>
            </w:r>
          </w:p>
        </w:tc>
        <w:tc>
          <w:tcPr>
            <w:tcW w:w="1426" w:type="dxa"/>
            <w:tcBorders>
              <w:right w:val="single" w:sz="4"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0.70%</w:t>
            </w:r>
          </w:p>
        </w:tc>
        <w:tc>
          <w:tcPr>
            <w:tcW w:w="1426" w:type="dxa"/>
            <w:tcBorders>
              <w:left w:val="single" w:sz="4" w:space="0" w:color="000000"/>
            </w:tcBorders>
            <w:shd w:val="clear" w:color="auto" w:fill="DBE5F1"/>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4.89%</w:t>
            </w:r>
          </w:p>
        </w:tc>
        <w:tc>
          <w:tcPr>
            <w:tcW w:w="142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0"/>
        </w:trPr>
        <w:tc>
          <w:tcPr>
            <w:tcW w:w="1430"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Grovedale</w:t>
            </w:r>
          </w:p>
        </w:tc>
        <w:tc>
          <w:tcPr>
            <w:tcW w:w="1426"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5,973</w:t>
            </w:r>
          </w:p>
        </w:tc>
        <w:tc>
          <w:tcPr>
            <w:tcW w:w="1426"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8.40%</w:t>
            </w:r>
          </w:p>
        </w:tc>
        <w:tc>
          <w:tcPr>
            <w:tcW w:w="1426" w:type="dxa"/>
            <w:tcBorders>
              <w:right w:val="single" w:sz="4"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2.89%</w:t>
            </w:r>
          </w:p>
        </w:tc>
        <w:tc>
          <w:tcPr>
            <w:tcW w:w="1426" w:type="dxa"/>
            <w:tcBorders>
              <w:left w:val="single" w:sz="4" w:space="0" w:color="000000"/>
            </w:tcBorders>
            <w:shd w:val="clear" w:color="auto" w:fill="DBE5F1"/>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4.99%</w:t>
            </w:r>
          </w:p>
        </w:tc>
        <w:tc>
          <w:tcPr>
            <w:tcW w:w="142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0"/>
        </w:trPr>
        <w:tc>
          <w:tcPr>
            <w:tcW w:w="1430" w:type="dxa"/>
            <w:shd w:val="clear" w:color="auto" w:fill="auto"/>
            <w:noWrap/>
            <w:vAlign w:val="bottom"/>
            <w:hideMark/>
          </w:tcPr>
          <w:p w:rsidR="009B21E0" w:rsidRPr="00E60EA6" w:rsidRDefault="009B21E0" w:rsidP="00B85F78">
            <w:pPr>
              <w:spacing w:before="0" w:after="0"/>
              <w:rPr>
                <w:rFonts w:cs="Lucida Sans Unicode"/>
                <w:b/>
                <w:bCs/>
                <w:color w:val="000000"/>
                <w:sz w:val="18"/>
                <w:szCs w:val="18"/>
                <w:lang w:eastAsia="en-AU"/>
              </w:rPr>
            </w:pPr>
            <w:r w:rsidRPr="00E60EA6">
              <w:rPr>
                <w:rFonts w:cs="Lucida Sans Unicode"/>
                <w:b/>
                <w:bCs/>
                <w:color w:val="000000"/>
                <w:sz w:val="18"/>
                <w:szCs w:val="18"/>
                <w:lang w:eastAsia="en-AU"/>
              </w:rPr>
              <w:t>Total</w:t>
            </w:r>
          </w:p>
        </w:tc>
        <w:tc>
          <w:tcPr>
            <w:tcW w:w="1426"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52,224</w:t>
            </w:r>
          </w:p>
        </w:tc>
        <w:tc>
          <w:tcPr>
            <w:tcW w:w="1426" w:type="dxa"/>
            <w:tcBorders>
              <w:left w:val="single" w:sz="4" w:space="0" w:color="000000"/>
              <w:bottom w:val="single" w:sz="4" w:space="0" w:color="000000"/>
            </w:tcBorders>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 </w:t>
            </w:r>
          </w:p>
        </w:tc>
        <w:tc>
          <w:tcPr>
            <w:tcW w:w="1426" w:type="dxa"/>
            <w:tcBorders>
              <w:bottom w:val="single" w:sz="4" w:space="0" w:color="000000"/>
              <w:right w:val="single" w:sz="4" w:space="0" w:color="000000"/>
            </w:tcBorders>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 </w:t>
            </w:r>
          </w:p>
        </w:tc>
        <w:tc>
          <w:tcPr>
            <w:tcW w:w="1426" w:type="dxa"/>
            <w:tcBorders>
              <w:left w:val="single" w:sz="4" w:space="0" w:color="000000"/>
            </w:tcBorders>
            <w:shd w:val="clear" w:color="auto" w:fill="DBE5F1"/>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 </w:t>
            </w:r>
          </w:p>
        </w:tc>
        <w:tc>
          <w:tcPr>
            <w:tcW w:w="1426"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p>
        </w:tc>
      </w:tr>
    </w:tbl>
    <w:p w:rsidR="00DC4385" w:rsidRDefault="00DC4385">
      <w:pPr>
        <w:pStyle w:val="BodyText"/>
      </w:pPr>
    </w:p>
    <w:p w:rsidR="009D51D8" w:rsidRDefault="009B21E0">
      <w:pPr>
        <w:pStyle w:val="BodyText"/>
      </w:pPr>
      <w:r w:rsidRPr="00A34478">
        <w:t>Higher valuation increases were achieved in suburbs of lower numbers of residences –</w:t>
      </w:r>
      <w:r>
        <w:t xml:space="preserve"> </w:t>
      </w:r>
      <w:r w:rsidRPr="00A34478">
        <w:t xml:space="preserve">Geelong West 7.43%, Bell Park 7.69%, St Albans Park 7.72%, Newcomb 9.03%, Geelong 9.39%, Barwon Heads 10.02%, South Geelong 12.73%, and Balliang 13.56%. </w:t>
      </w:r>
    </w:p>
    <w:p w:rsidR="009B21E0" w:rsidRPr="00A34478" w:rsidRDefault="009B21E0">
      <w:pPr>
        <w:pStyle w:val="BodyText"/>
      </w:pPr>
      <w:r w:rsidRPr="00A34478">
        <w:t>Lower valuation increases were achieved in the following suburbs – Armstrong Creek 4.05%, Whittington 2.93%, Hamlyn Heights 2.25%, St Leonards 1.47%, Portarlington 0.78% and Clifton Springs (0.41%).</w:t>
      </w:r>
    </w:p>
    <w:p w:rsidR="009B21E0" w:rsidRPr="00C27A8A" w:rsidRDefault="009B21E0" w:rsidP="009B21E0">
      <w:pPr>
        <w:pStyle w:val="Heading5A"/>
      </w:pPr>
      <w:r w:rsidRPr="00C27A8A">
        <w:t>Bellarine Peninsula</w:t>
      </w:r>
    </w:p>
    <w:p w:rsidR="005167B1" w:rsidRDefault="009B21E0">
      <w:pPr>
        <w:pStyle w:val="BodyText"/>
      </w:pPr>
      <w:r w:rsidRPr="00A34478">
        <w:t>Residential property on the Bellarine Peninsula represents 22% of the municipality and the average increase is 3.94%. The following table provides a comparison by suburb for the 2012, 2014 &amp; 2016 revaluations.</w:t>
      </w:r>
    </w:p>
    <w:p w:rsidR="005167B1" w:rsidRDefault="005167B1">
      <w:pPr>
        <w:spacing w:before="0" w:after="0"/>
        <w:rPr>
          <w:rFonts w:cs="Lucida Sans Unicode"/>
          <w:bCs/>
          <w:noProof/>
          <w:snapToGrid w:val="0"/>
          <w:szCs w:val="22"/>
          <w:lang w:val="en-GB" w:eastAsia="en-AU"/>
        </w:rPr>
      </w:pPr>
      <w:r>
        <w:br w:type="page"/>
      </w:r>
    </w:p>
    <w:p w:rsidR="009B21E0" w:rsidRPr="00A34478" w:rsidRDefault="009B21E0">
      <w:pPr>
        <w:pStyle w:val="BodyText"/>
      </w:pPr>
    </w:p>
    <w:tbl>
      <w:tblPr>
        <w:tblW w:w="8943" w:type="dxa"/>
        <w:tblInd w:w="96" w:type="dxa"/>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ook w:val="04A0" w:firstRow="1" w:lastRow="0" w:firstColumn="1" w:lastColumn="0" w:noHBand="0" w:noVBand="1"/>
      </w:tblPr>
      <w:tblGrid>
        <w:gridCol w:w="2139"/>
        <w:gridCol w:w="1327"/>
        <w:gridCol w:w="1327"/>
        <w:gridCol w:w="1327"/>
        <w:gridCol w:w="1327"/>
        <w:gridCol w:w="1496"/>
      </w:tblGrid>
      <w:tr w:rsidR="009B21E0" w:rsidRPr="00E60EA6" w:rsidTr="00E60EA6">
        <w:trPr>
          <w:trHeight w:val="765"/>
        </w:trPr>
        <w:tc>
          <w:tcPr>
            <w:tcW w:w="2139" w:type="dxa"/>
            <w:vMerge w:val="restart"/>
            <w:shd w:val="clear" w:color="auto" w:fill="8DB3E2"/>
            <w:noWrap/>
            <w:vAlign w:val="bottom"/>
            <w:hideMark/>
          </w:tcPr>
          <w:p w:rsidR="009B21E0" w:rsidRPr="009F5CF2" w:rsidRDefault="009B21E0" w:rsidP="00B85F78">
            <w:pPr>
              <w:spacing w:before="0" w:after="0"/>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Suburb</w:t>
            </w:r>
          </w:p>
        </w:tc>
        <w:tc>
          <w:tcPr>
            <w:tcW w:w="1327" w:type="dxa"/>
            <w:vMerge w:val="restart"/>
            <w:tcBorders>
              <w:right w:val="single" w:sz="6" w:space="0" w:color="000000"/>
            </w:tcBorders>
            <w:shd w:val="clear" w:color="auto" w:fill="DBE5F1"/>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No. of Residences 2016</w:t>
            </w:r>
          </w:p>
        </w:tc>
        <w:tc>
          <w:tcPr>
            <w:tcW w:w="1327" w:type="dxa"/>
            <w:tcBorders>
              <w:top w:val="single" w:sz="6" w:space="0" w:color="000000"/>
              <w:left w:val="single" w:sz="6" w:space="0" w:color="000000"/>
              <w:bottom w:val="single" w:sz="6" w:space="0" w:color="D9D9D9"/>
              <w:right w:val="single" w:sz="6" w:space="0" w:color="D9D9D9"/>
            </w:tcBorders>
            <w:shd w:val="clear" w:color="auto" w:fill="8DB3E2"/>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2012 Revaluation Increase</w:t>
            </w:r>
          </w:p>
        </w:tc>
        <w:tc>
          <w:tcPr>
            <w:tcW w:w="1327" w:type="dxa"/>
            <w:tcBorders>
              <w:top w:val="single" w:sz="6" w:space="0" w:color="000000"/>
              <w:left w:val="single" w:sz="6" w:space="0" w:color="D9D9D9"/>
              <w:bottom w:val="single" w:sz="6" w:space="0" w:color="D9D9D9"/>
              <w:right w:val="single" w:sz="6" w:space="0" w:color="000000"/>
            </w:tcBorders>
            <w:shd w:val="clear" w:color="auto" w:fill="8DB3E2"/>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2014 Revaluation Increase</w:t>
            </w:r>
          </w:p>
        </w:tc>
        <w:tc>
          <w:tcPr>
            <w:tcW w:w="1327" w:type="dxa"/>
            <w:tcBorders>
              <w:left w:val="single" w:sz="6" w:space="0" w:color="000000"/>
            </w:tcBorders>
            <w:shd w:val="clear" w:color="auto" w:fill="DBE5F1"/>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2016 Revaluation Increase</w:t>
            </w:r>
          </w:p>
        </w:tc>
        <w:tc>
          <w:tcPr>
            <w:tcW w:w="1496" w:type="dxa"/>
            <w:vMerge w:val="restart"/>
            <w:shd w:val="clear" w:color="auto" w:fill="8DB3E2"/>
            <w:noWrap/>
            <w:vAlign w:val="bottom"/>
            <w:hideMark/>
          </w:tcPr>
          <w:p w:rsidR="009B21E0" w:rsidRPr="009F5CF2" w:rsidRDefault="009B21E0" w:rsidP="00B85F78">
            <w:pPr>
              <w:spacing w:before="0" w:after="0"/>
              <w:rPr>
                <w:rFonts w:ascii="News Gothic Std" w:hAnsi="News Gothic Std" w:cs="Calibri"/>
                <w:sz w:val="18"/>
                <w:szCs w:val="18"/>
                <w:lang w:eastAsia="en-AU"/>
              </w:rPr>
            </w:pPr>
            <w:r w:rsidRPr="009F5CF2">
              <w:rPr>
                <w:rFonts w:ascii="News Gothic Std" w:hAnsi="News Gothic Std" w:cs="Calibri"/>
                <w:sz w:val="18"/>
                <w:szCs w:val="18"/>
                <w:lang w:eastAsia="en-AU"/>
              </w:rPr>
              <w:t> </w:t>
            </w:r>
          </w:p>
        </w:tc>
      </w:tr>
      <w:tr w:rsidR="009B21E0" w:rsidRPr="00E60EA6" w:rsidTr="00E60EA6">
        <w:trPr>
          <w:trHeight w:val="255"/>
        </w:trPr>
        <w:tc>
          <w:tcPr>
            <w:tcW w:w="2139" w:type="dxa"/>
            <w:vMerge/>
            <w:shd w:val="clear" w:color="auto" w:fill="8DB3E2"/>
            <w:vAlign w:val="center"/>
            <w:hideMark/>
          </w:tcPr>
          <w:p w:rsidR="009B21E0" w:rsidRPr="00E86AD1" w:rsidRDefault="009B21E0" w:rsidP="00B85F78">
            <w:pPr>
              <w:spacing w:before="0" w:after="0"/>
              <w:rPr>
                <w:rFonts w:ascii="News Gothic Std" w:hAnsi="News Gothic Std" w:cs="Arial"/>
                <w:b/>
                <w:bCs/>
                <w:color w:val="000000"/>
                <w:sz w:val="18"/>
                <w:szCs w:val="18"/>
                <w:lang w:eastAsia="en-AU"/>
              </w:rPr>
            </w:pPr>
          </w:p>
        </w:tc>
        <w:tc>
          <w:tcPr>
            <w:tcW w:w="1327" w:type="dxa"/>
            <w:vMerge/>
            <w:tcBorders>
              <w:right w:val="single" w:sz="6" w:space="0" w:color="000000"/>
            </w:tcBorders>
            <w:shd w:val="clear" w:color="auto" w:fill="DBE5F1"/>
            <w:vAlign w:val="center"/>
            <w:hideMark/>
          </w:tcPr>
          <w:p w:rsidR="009B21E0" w:rsidRPr="00E86AD1" w:rsidRDefault="009B21E0" w:rsidP="00B85F78">
            <w:pPr>
              <w:spacing w:before="0" w:after="0"/>
              <w:rPr>
                <w:rFonts w:ascii="News Gothic Std" w:hAnsi="News Gothic Std" w:cs="Arial"/>
                <w:b/>
                <w:bCs/>
                <w:color w:val="000000"/>
                <w:sz w:val="18"/>
                <w:szCs w:val="18"/>
                <w:lang w:eastAsia="en-AU"/>
              </w:rPr>
            </w:pPr>
          </w:p>
        </w:tc>
        <w:tc>
          <w:tcPr>
            <w:tcW w:w="1327" w:type="dxa"/>
            <w:tcBorders>
              <w:top w:val="single" w:sz="6" w:space="0" w:color="D9D9D9"/>
              <w:left w:val="single" w:sz="6" w:space="0" w:color="000000"/>
              <w:bottom w:val="single" w:sz="6" w:space="0" w:color="D9D9D9"/>
              <w:right w:val="single" w:sz="6" w:space="0" w:color="D9D9D9"/>
            </w:tcBorders>
            <w:shd w:val="clear" w:color="auto" w:fill="8DB3E2"/>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Av 10.2%</w:t>
            </w:r>
          </w:p>
        </w:tc>
        <w:tc>
          <w:tcPr>
            <w:tcW w:w="1327" w:type="dxa"/>
            <w:tcBorders>
              <w:top w:val="single" w:sz="6" w:space="0" w:color="D9D9D9"/>
              <w:left w:val="single" w:sz="6" w:space="0" w:color="D9D9D9"/>
              <w:bottom w:val="single" w:sz="6" w:space="0" w:color="D9D9D9"/>
              <w:right w:val="single" w:sz="6" w:space="0" w:color="000000"/>
            </w:tcBorders>
            <w:shd w:val="clear" w:color="auto" w:fill="8DB3E2"/>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Av 2.16%</w:t>
            </w:r>
          </w:p>
        </w:tc>
        <w:tc>
          <w:tcPr>
            <w:tcW w:w="1327" w:type="dxa"/>
            <w:tcBorders>
              <w:left w:val="single" w:sz="6" w:space="0" w:color="000000"/>
            </w:tcBorders>
            <w:shd w:val="clear" w:color="auto" w:fill="DBE5F1"/>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Av 5.44%</w:t>
            </w:r>
          </w:p>
        </w:tc>
        <w:tc>
          <w:tcPr>
            <w:tcW w:w="1496" w:type="dxa"/>
            <w:vMerge/>
            <w:shd w:val="clear" w:color="auto" w:fill="8DB3E2"/>
            <w:vAlign w:val="center"/>
            <w:hideMark/>
          </w:tcPr>
          <w:p w:rsidR="009B21E0" w:rsidRPr="00E86AD1" w:rsidRDefault="009B21E0" w:rsidP="00B85F78">
            <w:pPr>
              <w:spacing w:before="0" w:after="0"/>
              <w:rPr>
                <w:rFonts w:ascii="News Gothic Std" w:hAnsi="News Gothic Std" w:cs="Calibri"/>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Swan Bay</w:t>
            </w:r>
          </w:p>
        </w:tc>
        <w:tc>
          <w:tcPr>
            <w:tcW w:w="1327" w:type="dxa"/>
            <w:tcBorders>
              <w:righ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15</w:t>
            </w:r>
          </w:p>
        </w:tc>
        <w:tc>
          <w:tcPr>
            <w:tcW w:w="1327" w:type="dxa"/>
            <w:tcBorders>
              <w:top w:val="single" w:sz="6" w:space="0" w:color="D9D9D9"/>
              <w:left w:val="single" w:sz="6" w:space="0" w:color="000000"/>
              <w:bottom w:val="single" w:sz="6" w:space="0" w:color="D9D9D9"/>
              <w:right w:val="single" w:sz="6" w:space="0" w:color="D9D9D9"/>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5.20%</w:t>
            </w:r>
          </w:p>
        </w:tc>
        <w:tc>
          <w:tcPr>
            <w:tcW w:w="1327" w:type="dxa"/>
            <w:tcBorders>
              <w:top w:val="single" w:sz="6" w:space="0" w:color="D9D9D9"/>
              <w:left w:val="single" w:sz="6" w:space="0" w:color="D9D9D9"/>
              <w:bottom w:val="single" w:sz="6" w:space="0" w:color="D9D9D9"/>
              <w:right w:val="single" w:sz="6"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4.13%</w:t>
            </w:r>
          </w:p>
        </w:tc>
        <w:tc>
          <w:tcPr>
            <w:tcW w:w="1327" w:type="dxa"/>
            <w:tcBorders>
              <w:lef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6.88%</w:t>
            </w:r>
          </w:p>
        </w:tc>
        <w:tc>
          <w:tcPr>
            <w:tcW w:w="1496" w:type="dxa"/>
            <w:vMerge w:val="restart"/>
            <w:shd w:val="clear" w:color="auto" w:fill="auto"/>
            <w:vAlign w:val="center"/>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Above Average (of Residential Valuation increase)</w:t>
            </w: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Barwon Heads</w:t>
            </w:r>
          </w:p>
        </w:tc>
        <w:tc>
          <w:tcPr>
            <w:tcW w:w="1327" w:type="dxa"/>
            <w:tcBorders>
              <w:righ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2,181</w:t>
            </w:r>
          </w:p>
        </w:tc>
        <w:tc>
          <w:tcPr>
            <w:tcW w:w="1327" w:type="dxa"/>
            <w:tcBorders>
              <w:top w:val="single" w:sz="6" w:space="0" w:color="D9D9D9"/>
              <w:left w:val="single" w:sz="6" w:space="0" w:color="000000"/>
              <w:bottom w:val="single" w:sz="6" w:space="0" w:color="D9D9D9"/>
              <w:right w:val="single" w:sz="6" w:space="0" w:color="D9D9D9"/>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13.30%</w:t>
            </w:r>
          </w:p>
        </w:tc>
        <w:tc>
          <w:tcPr>
            <w:tcW w:w="1327" w:type="dxa"/>
            <w:tcBorders>
              <w:top w:val="single" w:sz="6" w:space="0" w:color="D9D9D9"/>
              <w:left w:val="single" w:sz="6" w:space="0" w:color="D9D9D9"/>
              <w:bottom w:val="single" w:sz="6" w:space="0" w:color="D9D9D9"/>
              <w:right w:val="single" w:sz="6"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6.71%</w:t>
            </w:r>
          </w:p>
        </w:tc>
        <w:tc>
          <w:tcPr>
            <w:tcW w:w="1327" w:type="dxa"/>
            <w:tcBorders>
              <w:lef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10.02%</w:t>
            </w:r>
          </w:p>
        </w:tc>
        <w:tc>
          <w:tcPr>
            <w:tcW w:w="149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369"/>
        </w:trPr>
        <w:tc>
          <w:tcPr>
            <w:tcW w:w="2139" w:type="dxa"/>
            <w:shd w:val="clear" w:color="auto" w:fill="auto"/>
            <w:noWrap/>
            <w:vAlign w:val="center"/>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Wallington</w:t>
            </w:r>
          </w:p>
        </w:tc>
        <w:tc>
          <w:tcPr>
            <w:tcW w:w="1327" w:type="dxa"/>
            <w:tcBorders>
              <w:right w:val="single" w:sz="6" w:space="0" w:color="000000"/>
            </w:tcBorders>
            <w:shd w:val="clear" w:color="auto" w:fill="DBE5F1"/>
            <w:noWrap/>
            <w:vAlign w:val="center"/>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411</w:t>
            </w:r>
          </w:p>
        </w:tc>
        <w:tc>
          <w:tcPr>
            <w:tcW w:w="1327" w:type="dxa"/>
            <w:tcBorders>
              <w:top w:val="single" w:sz="6" w:space="0" w:color="D9D9D9"/>
              <w:left w:val="single" w:sz="6" w:space="0" w:color="000000"/>
              <w:bottom w:val="single" w:sz="6" w:space="0" w:color="D9D9D9"/>
              <w:right w:val="single" w:sz="6" w:space="0" w:color="D9D9D9"/>
            </w:tcBorders>
            <w:shd w:val="clear" w:color="auto" w:fill="auto"/>
            <w:noWrap/>
            <w:vAlign w:val="center"/>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8.20%</w:t>
            </w:r>
          </w:p>
        </w:tc>
        <w:tc>
          <w:tcPr>
            <w:tcW w:w="1327" w:type="dxa"/>
            <w:tcBorders>
              <w:top w:val="single" w:sz="6" w:space="0" w:color="D9D9D9"/>
              <w:left w:val="single" w:sz="6" w:space="0" w:color="D9D9D9"/>
              <w:bottom w:val="single" w:sz="6" w:space="0" w:color="D9D9D9"/>
              <w:right w:val="single" w:sz="6" w:space="0" w:color="000000"/>
            </w:tcBorders>
            <w:shd w:val="clear" w:color="auto" w:fill="auto"/>
            <w:vAlign w:val="center"/>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1.99%</w:t>
            </w:r>
          </w:p>
        </w:tc>
        <w:tc>
          <w:tcPr>
            <w:tcW w:w="1327" w:type="dxa"/>
            <w:tcBorders>
              <w:left w:val="single" w:sz="6" w:space="0" w:color="000000"/>
            </w:tcBorders>
            <w:shd w:val="clear" w:color="auto" w:fill="DBE5F1"/>
            <w:noWrap/>
            <w:vAlign w:val="center"/>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10.84%</w:t>
            </w:r>
          </w:p>
        </w:tc>
        <w:tc>
          <w:tcPr>
            <w:tcW w:w="149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Clifton Springs</w:t>
            </w:r>
          </w:p>
        </w:tc>
        <w:tc>
          <w:tcPr>
            <w:tcW w:w="1327" w:type="dxa"/>
            <w:tcBorders>
              <w:righ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3,363</w:t>
            </w:r>
          </w:p>
        </w:tc>
        <w:tc>
          <w:tcPr>
            <w:tcW w:w="1327" w:type="dxa"/>
            <w:tcBorders>
              <w:top w:val="single" w:sz="6" w:space="0" w:color="D9D9D9"/>
              <w:left w:val="single" w:sz="6" w:space="0" w:color="000000"/>
              <w:bottom w:val="single" w:sz="6" w:space="0" w:color="D9D9D9"/>
              <w:right w:val="single" w:sz="6" w:space="0" w:color="D9D9D9"/>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14.50%</w:t>
            </w:r>
          </w:p>
        </w:tc>
        <w:tc>
          <w:tcPr>
            <w:tcW w:w="1327" w:type="dxa"/>
            <w:tcBorders>
              <w:top w:val="single" w:sz="6" w:space="0" w:color="D9D9D9"/>
              <w:left w:val="single" w:sz="6" w:space="0" w:color="D9D9D9"/>
              <w:bottom w:val="single" w:sz="6" w:space="0" w:color="D9D9D9"/>
              <w:right w:val="single" w:sz="6"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-0.53%</w:t>
            </w:r>
          </w:p>
        </w:tc>
        <w:tc>
          <w:tcPr>
            <w:tcW w:w="1327" w:type="dxa"/>
            <w:tcBorders>
              <w:lef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-0.41%</w:t>
            </w:r>
          </w:p>
        </w:tc>
        <w:tc>
          <w:tcPr>
            <w:tcW w:w="1496" w:type="dxa"/>
            <w:vMerge w:val="restart"/>
            <w:shd w:val="clear" w:color="auto" w:fill="auto"/>
            <w:vAlign w:val="center"/>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Below Average (of Residential Valuation increase)</w:t>
            </w: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Portarlington</w:t>
            </w:r>
          </w:p>
        </w:tc>
        <w:tc>
          <w:tcPr>
            <w:tcW w:w="1327" w:type="dxa"/>
            <w:tcBorders>
              <w:righ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2,723</w:t>
            </w:r>
          </w:p>
        </w:tc>
        <w:tc>
          <w:tcPr>
            <w:tcW w:w="1327" w:type="dxa"/>
            <w:tcBorders>
              <w:top w:val="single" w:sz="6" w:space="0" w:color="D9D9D9"/>
              <w:left w:val="single" w:sz="6" w:space="0" w:color="000000"/>
              <w:bottom w:val="single" w:sz="6" w:space="0" w:color="D9D9D9"/>
              <w:right w:val="single" w:sz="6" w:space="0" w:color="D9D9D9"/>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11.90%</w:t>
            </w:r>
          </w:p>
        </w:tc>
        <w:tc>
          <w:tcPr>
            <w:tcW w:w="1327" w:type="dxa"/>
            <w:tcBorders>
              <w:top w:val="single" w:sz="6" w:space="0" w:color="D9D9D9"/>
              <w:left w:val="single" w:sz="6" w:space="0" w:color="D9D9D9"/>
              <w:bottom w:val="single" w:sz="6" w:space="0" w:color="D9D9D9"/>
              <w:right w:val="single" w:sz="6"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-2.50%</w:t>
            </w:r>
          </w:p>
        </w:tc>
        <w:tc>
          <w:tcPr>
            <w:tcW w:w="1327" w:type="dxa"/>
            <w:tcBorders>
              <w:lef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0.78%</w:t>
            </w:r>
          </w:p>
        </w:tc>
        <w:tc>
          <w:tcPr>
            <w:tcW w:w="149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Indented Head</w:t>
            </w:r>
          </w:p>
        </w:tc>
        <w:tc>
          <w:tcPr>
            <w:tcW w:w="1327" w:type="dxa"/>
            <w:tcBorders>
              <w:righ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1,141</w:t>
            </w:r>
          </w:p>
        </w:tc>
        <w:tc>
          <w:tcPr>
            <w:tcW w:w="1327" w:type="dxa"/>
            <w:tcBorders>
              <w:top w:val="single" w:sz="6" w:space="0" w:color="D9D9D9"/>
              <w:left w:val="single" w:sz="6" w:space="0" w:color="000000"/>
              <w:bottom w:val="single" w:sz="6" w:space="0" w:color="D9D9D9"/>
              <w:right w:val="single" w:sz="6" w:space="0" w:color="D9D9D9"/>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9.50%</w:t>
            </w:r>
          </w:p>
        </w:tc>
        <w:tc>
          <w:tcPr>
            <w:tcW w:w="1327" w:type="dxa"/>
            <w:tcBorders>
              <w:top w:val="single" w:sz="6" w:space="0" w:color="D9D9D9"/>
              <w:left w:val="single" w:sz="6" w:space="0" w:color="D9D9D9"/>
              <w:bottom w:val="single" w:sz="6" w:space="0" w:color="D9D9D9"/>
              <w:right w:val="single" w:sz="6"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-6.28%</w:t>
            </w:r>
          </w:p>
        </w:tc>
        <w:tc>
          <w:tcPr>
            <w:tcW w:w="1327" w:type="dxa"/>
            <w:tcBorders>
              <w:lef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0.96%</w:t>
            </w:r>
          </w:p>
        </w:tc>
        <w:tc>
          <w:tcPr>
            <w:tcW w:w="149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Curlewis</w:t>
            </w:r>
          </w:p>
        </w:tc>
        <w:tc>
          <w:tcPr>
            <w:tcW w:w="1327" w:type="dxa"/>
            <w:tcBorders>
              <w:righ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508</w:t>
            </w:r>
          </w:p>
        </w:tc>
        <w:tc>
          <w:tcPr>
            <w:tcW w:w="1327" w:type="dxa"/>
            <w:tcBorders>
              <w:top w:val="single" w:sz="6" w:space="0" w:color="D9D9D9"/>
              <w:left w:val="single" w:sz="6" w:space="0" w:color="000000"/>
              <w:bottom w:val="single" w:sz="6" w:space="0" w:color="D9D9D9"/>
              <w:right w:val="single" w:sz="6" w:space="0" w:color="D9D9D9"/>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8.30%</w:t>
            </w:r>
          </w:p>
        </w:tc>
        <w:tc>
          <w:tcPr>
            <w:tcW w:w="1327" w:type="dxa"/>
            <w:tcBorders>
              <w:top w:val="single" w:sz="6" w:space="0" w:color="D9D9D9"/>
              <w:left w:val="single" w:sz="6" w:space="0" w:color="D9D9D9"/>
              <w:bottom w:val="single" w:sz="6" w:space="0" w:color="D9D9D9"/>
              <w:right w:val="single" w:sz="6"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-1.65%</w:t>
            </w:r>
          </w:p>
        </w:tc>
        <w:tc>
          <w:tcPr>
            <w:tcW w:w="1327" w:type="dxa"/>
            <w:tcBorders>
              <w:lef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1.26%</w:t>
            </w:r>
          </w:p>
        </w:tc>
        <w:tc>
          <w:tcPr>
            <w:tcW w:w="149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Bellarine</w:t>
            </w:r>
          </w:p>
        </w:tc>
        <w:tc>
          <w:tcPr>
            <w:tcW w:w="1327" w:type="dxa"/>
            <w:tcBorders>
              <w:righ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45</w:t>
            </w:r>
          </w:p>
        </w:tc>
        <w:tc>
          <w:tcPr>
            <w:tcW w:w="1327" w:type="dxa"/>
            <w:tcBorders>
              <w:top w:val="single" w:sz="6" w:space="0" w:color="D9D9D9"/>
              <w:left w:val="single" w:sz="6" w:space="0" w:color="000000"/>
              <w:bottom w:val="single" w:sz="6" w:space="0" w:color="D9D9D9"/>
              <w:right w:val="single" w:sz="6" w:space="0" w:color="D9D9D9"/>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13.50%</w:t>
            </w:r>
          </w:p>
        </w:tc>
        <w:tc>
          <w:tcPr>
            <w:tcW w:w="1327" w:type="dxa"/>
            <w:tcBorders>
              <w:top w:val="single" w:sz="6" w:space="0" w:color="D9D9D9"/>
              <w:left w:val="single" w:sz="6" w:space="0" w:color="D9D9D9"/>
              <w:bottom w:val="single" w:sz="6" w:space="0" w:color="D9D9D9"/>
              <w:right w:val="single" w:sz="6"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-2.51%</w:t>
            </w:r>
          </w:p>
        </w:tc>
        <w:tc>
          <w:tcPr>
            <w:tcW w:w="1327" w:type="dxa"/>
            <w:tcBorders>
              <w:lef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1.29%</w:t>
            </w:r>
          </w:p>
        </w:tc>
        <w:tc>
          <w:tcPr>
            <w:tcW w:w="149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St Leonards</w:t>
            </w:r>
          </w:p>
        </w:tc>
        <w:tc>
          <w:tcPr>
            <w:tcW w:w="1327" w:type="dxa"/>
            <w:tcBorders>
              <w:righ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2,387</w:t>
            </w:r>
          </w:p>
        </w:tc>
        <w:tc>
          <w:tcPr>
            <w:tcW w:w="1327" w:type="dxa"/>
            <w:tcBorders>
              <w:top w:val="single" w:sz="6" w:space="0" w:color="D9D9D9"/>
              <w:left w:val="single" w:sz="6" w:space="0" w:color="000000"/>
              <w:bottom w:val="single" w:sz="6" w:space="0" w:color="D9D9D9"/>
              <w:right w:val="single" w:sz="6" w:space="0" w:color="D9D9D9"/>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10.90%</w:t>
            </w:r>
          </w:p>
        </w:tc>
        <w:tc>
          <w:tcPr>
            <w:tcW w:w="1327" w:type="dxa"/>
            <w:tcBorders>
              <w:top w:val="single" w:sz="6" w:space="0" w:color="D9D9D9"/>
              <w:left w:val="single" w:sz="6" w:space="0" w:color="D9D9D9"/>
              <w:bottom w:val="single" w:sz="6" w:space="0" w:color="D9D9D9"/>
              <w:right w:val="single" w:sz="6"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-0.09%</w:t>
            </w:r>
          </w:p>
        </w:tc>
        <w:tc>
          <w:tcPr>
            <w:tcW w:w="1327" w:type="dxa"/>
            <w:tcBorders>
              <w:lef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1.47%</w:t>
            </w:r>
          </w:p>
        </w:tc>
        <w:tc>
          <w:tcPr>
            <w:tcW w:w="149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Drysdale</w:t>
            </w:r>
          </w:p>
        </w:tc>
        <w:tc>
          <w:tcPr>
            <w:tcW w:w="1327" w:type="dxa"/>
            <w:tcBorders>
              <w:righ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1,747</w:t>
            </w:r>
          </w:p>
        </w:tc>
        <w:tc>
          <w:tcPr>
            <w:tcW w:w="1327" w:type="dxa"/>
            <w:tcBorders>
              <w:top w:val="single" w:sz="6" w:space="0" w:color="D9D9D9"/>
              <w:left w:val="single" w:sz="6" w:space="0" w:color="000000"/>
              <w:bottom w:val="single" w:sz="6" w:space="0" w:color="D9D9D9"/>
              <w:right w:val="single" w:sz="6" w:space="0" w:color="D9D9D9"/>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10.90%</w:t>
            </w:r>
          </w:p>
        </w:tc>
        <w:tc>
          <w:tcPr>
            <w:tcW w:w="1327" w:type="dxa"/>
            <w:tcBorders>
              <w:top w:val="single" w:sz="6" w:space="0" w:color="D9D9D9"/>
              <w:left w:val="single" w:sz="6" w:space="0" w:color="D9D9D9"/>
              <w:bottom w:val="single" w:sz="6" w:space="0" w:color="D9D9D9"/>
              <w:right w:val="single" w:sz="6"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-0.76%</w:t>
            </w:r>
          </w:p>
        </w:tc>
        <w:tc>
          <w:tcPr>
            <w:tcW w:w="1327" w:type="dxa"/>
            <w:tcBorders>
              <w:lef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1.66%</w:t>
            </w:r>
          </w:p>
        </w:tc>
        <w:tc>
          <w:tcPr>
            <w:tcW w:w="149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Mannerim</w:t>
            </w:r>
          </w:p>
        </w:tc>
        <w:tc>
          <w:tcPr>
            <w:tcW w:w="1327" w:type="dxa"/>
            <w:tcBorders>
              <w:righ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17</w:t>
            </w:r>
          </w:p>
        </w:tc>
        <w:tc>
          <w:tcPr>
            <w:tcW w:w="1327" w:type="dxa"/>
            <w:tcBorders>
              <w:top w:val="single" w:sz="6" w:space="0" w:color="D9D9D9"/>
              <w:left w:val="single" w:sz="6" w:space="0" w:color="000000"/>
              <w:bottom w:val="single" w:sz="6" w:space="0" w:color="D9D9D9"/>
              <w:right w:val="single" w:sz="6" w:space="0" w:color="D9D9D9"/>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8.70%</w:t>
            </w:r>
          </w:p>
        </w:tc>
        <w:tc>
          <w:tcPr>
            <w:tcW w:w="1327" w:type="dxa"/>
            <w:tcBorders>
              <w:top w:val="single" w:sz="6" w:space="0" w:color="D9D9D9"/>
              <w:left w:val="single" w:sz="6" w:space="0" w:color="D9D9D9"/>
              <w:bottom w:val="single" w:sz="6" w:space="0" w:color="D9D9D9"/>
              <w:right w:val="single" w:sz="6"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3.85%</w:t>
            </w:r>
          </w:p>
        </w:tc>
        <w:tc>
          <w:tcPr>
            <w:tcW w:w="1327" w:type="dxa"/>
            <w:tcBorders>
              <w:lef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2.12%</w:t>
            </w:r>
          </w:p>
        </w:tc>
        <w:tc>
          <w:tcPr>
            <w:tcW w:w="149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Marcus Hill</w:t>
            </w:r>
          </w:p>
        </w:tc>
        <w:tc>
          <w:tcPr>
            <w:tcW w:w="1327" w:type="dxa"/>
            <w:tcBorders>
              <w:righ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38</w:t>
            </w:r>
          </w:p>
        </w:tc>
        <w:tc>
          <w:tcPr>
            <w:tcW w:w="1327" w:type="dxa"/>
            <w:tcBorders>
              <w:top w:val="single" w:sz="6" w:space="0" w:color="D9D9D9"/>
              <w:left w:val="single" w:sz="6" w:space="0" w:color="000000"/>
              <w:bottom w:val="single" w:sz="6" w:space="0" w:color="D9D9D9"/>
              <w:right w:val="single" w:sz="6" w:space="0" w:color="D9D9D9"/>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4.10%</w:t>
            </w:r>
          </w:p>
        </w:tc>
        <w:tc>
          <w:tcPr>
            <w:tcW w:w="1327" w:type="dxa"/>
            <w:tcBorders>
              <w:top w:val="single" w:sz="6" w:space="0" w:color="D9D9D9"/>
              <w:left w:val="single" w:sz="6" w:space="0" w:color="D9D9D9"/>
              <w:bottom w:val="single" w:sz="6" w:space="0" w:color="D9D9D9"/>
              <w:right w:val="single" w:sz="6"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1.61%</w:t>
            </w:r>
          </w:p>
        </w:tc>
        <w:tc>
          <w:tcPr>
            <w:tcW w:w="1327" w:type="dxa"/>
            <w:tcBorders>
              <w:lef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2.25%</w:t>
            </w:r>
          </w:p>
        </w:tc>
        <w:tc>
          <w:tcPr>
            <w:tcW w:w="149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Point Lonsdale</w:t>
            </w:r>
          </w:p>
        </w:tc>
        <w:tc>
          <w:tcPr>
            <w:tcW w:w="1327" w:type="dxa"/>
            <w:tcBorders>
              <w:righ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657</w:t>
            </w:r>
          </w:p>
        </w:tc>
        <w:tc>
          <w:tcPr>
            <w:tcW w:w="1327" w:type="dxa"/>
            <w:tcBorders>
              <w:top w:val="single" w:sz="6" w:space="0" w:color="D9D9D9"/>
              <w:left w:val="single" w:sz="6" w:space="0" w:color="000000"/>
              <w:bottom w:val="single" w:sz="6" w:space="0" w:color="D9D9D9"/>
              <w:right w:val="single" w:sz="6" w:space="0" w:color="D9D9D9"/>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17.40%</w:t>
            </w:r>
          </w:p>
        </w:tc>
        <w:tc>
          <w:tcPr>
            <w:tcW w:w="1327" w:type="dxa"/>
            <w:tcBorders>
              <w:top w:val="single" w:sz="6" w:space="0" w:color="D9D9D9"/>
              <w:left w:val="single" w:sz="6" w:space="0" w:color="D9D9D9"/>
              <w:bottom w:val="single" w:sz="6" w:space="0" w:color="D9D9D9"/>
              <w:right w:val="single" w:sz="6"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-3.20%</w:t>
            </w:r>
          </w:p>
        </w:tc>
        <w:tc>
          <w:tcPr>
            <w:tcW w:w="1327" w:type="dxa"/>
            <w:tcBorders>
              <w:lef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2.66%</w:t>
            </w:r>
          </w:p>
        </w:tc>
        <w:tc>
          <w:tcPr>
            <w:tcW w:w="149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Breamlea</w:t>
            </w:r>
          </w:p>
        </w:tc>
        <w:tc>
          <w:tcPr>
            <w:tcW w:w="1327" w:type="dxa"/>
            <w:tcBorders>
              <w:righ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107</w:t>
            </w:r>
          </w:p>
        </w:tc>
        <w:tc>
          <w:tcPr>
            <w:tcW w:w="1327" w:type="dxa"/>
            <w:tcBorders>
              <w:top w:val="single" w:sz="6" w:space="0" w:color="D9D9D9"/>
              <w:left w:val="single" w:sz="6" w:space="0" w:color="000000"/>
              <w:bottom w:val="single" w:sz="6" w:space="0" w:color="D9D9D9"/>
              <w:right w:val="single" w:sz="6" w:space="0" w:color="D9D9D9"/>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9.20%</w:t>
            </w:r>
          </w:p>
        </w:tc>
        <w:tc>
          <w:tcPr>
            <w:tcW w:w="1327" w:type="dxa"/>
            <w:tcBorders>
              <w:top w:val="single" w:sz="6" w:space="0" w:color="D9D9D9"/>
              <w:left w:val="single" w:sz="6" w:space="0" w:color="D9D9D9"/>
              <w:bottom w:val="single" w:sz="6" w:space="0" w:color="D9D9D9"/>
              <w:right w:val="single" w:sz="6"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-2.37%</w:t>
            </w:r>
          </w:p>
        </w:tc>
        <w:tc>
          <w:tcPr>
            <w:tcW w:w="1327" w:type="dxa"/>
            <w:tcBorders>
              <w:lef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2.83%</w:t>
            </w:r>
          </w:p>
        </w:tc>
        <w:tc>
          <w:tcPr>
            <w:tcW w:w="149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Connewarre</w:t>
            </w:r>
          </w:p>
        </w:tc>
        <w:tc>
          <w:tcPr>
            <w:tcW w:w="1327" w:type="dxa"/>
            <w:tcBorders>
              <w:righ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246</w:t>
            </w:r>
          </w:p>
        </w:tc>
        <w:tc>
          <w:tcPr>
            <w:tcW w:w="1327" w:type="dxa"/>
            <w:tcBorders>
              <w:top w:val="single" w:sz="6" w:space="0" w:color="D9D9D9"/>
              <w:left w:val="single" w:sz="6" w:space="0" w:color="000000"/>
              <w:bottom w:val="single" w:sz="6" w:space="0" w:color="D9D9D9"/>
              <w:right w:val="single" w:sz="6" w:space="0" w:color="D9D9D9"/>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20.30%</w:t>
            </w:r>
          </w:p>
        </w:tc>
        <w:tc>
          <w:tcPr>
            <w:tcW w:w="1327" w:type="dxa"/>
            <w:tcBorders>
              <w:top w:val="single" w:sz="6" w:space="0" w:color="D9D9D9"/>
              <w:left w:val="single" w:sz="6" w:space="0" w:color="D9D9D9"/>
              <w:bottom w:val="single" w:sz="6" w:space="0" w:color="D9D9D9"/>
              <w:right w:val="single" w:sz="6"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-6.19%</w:t>
            </w:r>
          </w:p>
        </w:tc>
        <w:tc>
          <w:tcPr>
            <w:tcW w:w="1327" w:type="dxa"/>
            <w:tcBorders>
              <w:lef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3.09%</w:t>
            </w:r>
          </w:p>
        </w:tc>
        <w:tc>
          <w:tcPr>
            <w:tcW w:w="149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Ocean Grove</w:t>
            </w:r>
          </w:p>
        </w:tc>
        <w:tc>
          <w:tcPr>
            <w:tcW w:w="1327" w:type="dxa"/>
            <w:tcBorders>
              <w:righ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7,167</w:t>
            </w:r>
          </w:p>
        </w:tc>
        <w:tc>
          <w:tcPr>
            <w:tcW w:w="1327" w:type="dxa"/>
            <w:tcBorders>
              <w:top w:val="single" w:sz="6" w:space="0" w:color="D9D9D9"/>
              <w:left w:val="single" w:sz="6" w:space="0" w:color="000000"/>
              <w:bottom w:val="single" w:sz="6" w:space="0" w:color="D9D9D9"/>
              <w:right w:val="single" w:sz="6" w:space="0" w:color="D9D9D9"/>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9.30%</w:t>
            </w:r>
          </w:p>
        </w:tc>
        <w:tc>
          <w:tcPr>
            <w:tcW w:w="1327" w:type="dxa"/>
            <w:tcBorders>
              <w:top w:val="single" w:sz="6" w:space="0" w:color="D9D9D9"/>
              <w:left w:val="single" w:sz="6" w:space="0" w:color="D9D9D9"/>
              <w:bottom w:val="single" w:sz="6" w:space="0" w:color="D9D9D9"/>
              <w:right w:val="single" w:sz="6" w:space="0" w:color="000000"/>
            </w:tcBorders>
            <w:shd w:val="clear" w:color="auto" w:fill="auto"/>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0.70%</w:t>
            </w:r>
          </w:p>
        </w:tc>
        <w:tc>
          <w:tcPr>
            <w:tcW w:w="1327" w:type="dxa"/>
            <w:tcBorders>
              <w:lef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4.89%</w:t>
            </w:r>
          </w:p>
        </w:tc>
        <w:tc>
          <w:tcPr>
            <w:tcW w:w="149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300"/>
        </w:trPr>
        <w:tc>
          <w:tcPr>
            <w:tcW w:w="2139" w:type="dxa"/>
            <w:shd w:val="clear" w:color="auto" w:fill="auto"/>
            <w:noWrap/>
            <w:vAlign w:val="bottom"/>
            <w:hideMark/>
          </w:tcPr>
          <w:p w:rsidR="009B21E0" w:rsidRPr="00E60EA6" w:rsidRDefault="009B21E0" w:rsidP="00B85F78">
            <w:pPr>
              <w:spacing w:before="0" w:after="0"/>
              <w:rPr>
                <w:rFonts w:cs="Lucida Sans Unicode"/>
                <w:b/>
                <w:bCs/>
                <w:color w:val="000000"/>
                <w:sz w:val="18"/>
                <w:szCs w:val="18"/>
                <w:lang w:eastAsia="en-AU"/>
              </w:rPr>
            </w:pPr>
            <w:r w:rsidRPr="00E60EA6">
              <w:rPr>
                <w:rFonts w:cs="Lucida Sans Unicode"/>
                <w:b/>
                <w:bCs/>
                <w:color w:val="000000"/>
                <w:sz w:val="18"/>
                <w:szCs w:val="18"/>
                <w:lang w:eastAsia="en-AU"/>
              </w:rPr>
              <w:t>Total</w:t>
            </w:r>
          </w:p>
        </w:tc>
        <w:tc>
          <w:tcPr>
            <w:tcW w:w="1327" w:type="dxa"/>
            <w:tcBorders>
              <w:righ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22,753</w:t>
            </w:r>
          </w:p>
        </w:tc>
        <w:tc>
          <w:tcPr>
            <w:tcW w:w="1327" w:type="dxa"/>
            <w:tcBorders>
              <w:top w:val="single" w:sz="6" w:space="0" w:color="D9D9D9"/>
              <w:left w:val="single" w:sz="6" w:space="0" w:color="000000"/>
              <w:bottom w:val="single" w:sz="6" w:space="0" w:color="000000"/>
              <w:right w:val="single" w:sz="6" w:space="0" w:color="D9D9D9"/>
            </w:tcBorders>
            <w:shd w:val="clear" w:color="auto" w:fill="auto"/>
            <w:noWrap/>
            <w:vAlign w:val="bottom"/>
            <w:hideMark/>
          </w:tcPr>
          <w:p w:rsidR="009B21E0" w:rsidRPr="00E60EA6" w:rsidRDefault="009B21E0" w:rsidP="00B85F78">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 </w:t>
            </w:r>
          </w:p>
        </w:tc>
        <w:tc>
          <w:tcPr>
            <w:tcW w:w="1327" w:type="dxa"/>
            <w:tcBorders>
              <w:top w:val="single" w:sz="6" w:space="0" w:color="D9D9D9"/>
              <w:left w:val="single" w:sz="6" w:space="0" w:color="D9D9D9"/>
              <w:bottom w:val="single" w:sz="6" w:space="0" w:color="000000"/>
              <w:right w:val="single" w:sz="6" w:space="0" w:color="000000"/>
            </w:tcBorders>
            <w:shd w:val="clear" w:color="auto" w:fill="auto"/>
            <w:vAlign w:val="bottom"/>
            <w:hideMark/>
          </w:tcPr>
          <w:p w:rsidR="009B21E0" w:rsidRPr="00E60EA6" w:rsidRDefault="009B21E0" w:rsidP="00B85F78">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 </w:t>
            </w:r>
          </w:p>
        </w:tc>
        <w:tc>
          <w:tcPr>
            <w:tcW w:w="1327" w:type="dxa"/>
            <w:tcBorders>
              <w:left w:val="single" w:sz="6" w:space="0" w:color="000000"/>
            </w:tcBorders>
            <w:shd w:val="clear" w:color="auto" w:fill="DBE5F1"/>
            <w:noWrap/>
            <w:vAlign w:val="bottom"/>
            <w:hideMark/>
          </w:tcPr>
          <w:p w:rsidR="009B21E0" w:rsidRPr="00E60EA6" w:rsidRDefault="009B21E0" w:rsidP="00B85F78">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 </w:t>
            </w:r>
          </w:p>
        </w:tc>
        <w:tc>
          <w:tcPr>
            <w:tcW w:w="1496"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p>
        </w:tc>
      </w:tr>
    </w:tbl>
    <w:p w:rsidR="009B21E0" w:rsidRPr="00C27A8A" w:rsidRDefault="009B21E0">
      <w:pPr>
        <w:pStyle w:val="Heading4A"/>
      </w:pPr>
      <w:r w:rsidRPr="00C27A8A">
        <w:t xml:space="preserve">Farms </w:t>
      </w:r>
    </w:p>
    <w:p w:rsidR="009B21E0" w:rsidRPr="00C27A8A" w:rsidRDefault="009B21E0">
      <w:pPr>
        <w:pStyle w:val="BodyText"/>
      </w:pPr>
      <w:r w:rsidRPr="00C27A8A">
        <w:t xml:space="preserve">Overall 1,028 Farm valuations recorded an average increase of 16.71% compared to a decrease of (0.67%) in 2014. </w:t>
      </w:r>
    </w:p>
    <w:p w:rsidR="009B21E0" w:rsidRDefault="009B21E0">
      <w:pPr>
        <w:pStyle w:val="BodyText"/>
      </w:pPr>
      <w:r w:rsidRPr="00C27A8A">
        <w:t>The farm increase is not uniform and significant numbers of farming properties have recorded decreases.</w:t>
      </w:r>
    </w:p>
    <w:p w:rsidR="009B21E0" w:rsidRPr="00C27A8A" w:rsidRDefault="009B21E0">
      <w:pPr>
        <w:pStyle w:val="BodyText"/>
      </w:pPr>
      <w:r w:rsidRPr="00C27A8A">
        <w:t>The following table shows the valuation changes within farming properties:</w:t>
      </w:r>
    </w:p>
    <w:tbl>
      <w:tblPr>
        <w:tblW w:w="5966" w:type="dxa"/>
        <w:tblInd w:w="9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422"/>
        <w:gridCol w:w="1772"/>
        <w:gridCol w:w="1772"/>
      </w:tblGrid>
      <w:tr w:rsidR="009B21E0" w:rsidRPr="00E60EA6" w:rsidTr="00E60EA6">
        <w:trPr>
          <w:trHeight w:val="278"/>
        </w:trPr>
        <w:tc>
          <w:tcPr>
            <w:tcW w:w="2422" w:type="dxa"/>
            <w:shd w:val="clear" w:color="auto" w:fill="8DB3E2"/>
            <w:vAlign w:val="bottom"/>
            <w:hideMark/>
          </w:tcPr>
          <w:p w:rsidR="009B21E0" w:rsidRPr="00E60EA6" w:rsidRDefault="009B21E0" w:rsidP="00B85F78">
            <w:pPr>
              <w:spacing w:before="0" w:after="0"/>
              <w:rPr>
                <w:rFonts w:ascii="News Gothic Std" w:hAnsi="News Gothic Std" w:cs="Lucida Sans Unicode"/>
                <w:sz w:val="18"/>
                <w:szCs w:val="18"/>
                <w:lang w:eastAsia="en-AU"/>
              </w:rPr>
            </w:pPr>
            <w:r w:rsidRPr="00E60EA6">
              <w:rPr>
                <w:rFonts w:ascii="News Gothic Std" w:hAnsi="News Gothic Std" w:cs="Lucida Sans Unicode"/>
                <w:sz w:val="18"/>
                <w:szCs w:val="18"/>
                <w:lang w:eastAsia="en-AU"/>
              </w:rPr>
              <w:t>% Change</w:t>
            </w:r>
          </w:p>
        </w:tc>
        <w:tc>
          <w:tcPr>
            <w:tcW w:w="1772" w:type="dxa"/>
            <w:shd w:val="clear" w:color="auto" w:fill="8DB3E2"/>
            <w:vAlign w:val="bottom"/>
            <w:hideMark/>
          </w:tcPr>
          <w:p w:rsidR="009B21E0" w:rsidRPr="00E60EA6" w:rsidRDefault="009B21E0" w:rsidP="00B85F78">
            <w:pPr>
              <w:spacing w:before="0" w:after="0"/>
              <w:jc w:val="right"/>
              <w:rPr>
                <w:rFonts w:ascii="News Gothic Std" w:hAnsi="News Gothic Std" w:cs="Lucida Sans Unicode"/>
                <w:sz w:val="18"/>
                <w:szCs w:val="18"/>
                <w:lang w:eastAsia="en-AU"/>
              </w:rPr>
            </w:pPr>
            <w:r w:rsidRPr="00E60EA6">
              <w:rPr>
                <w:rFonts w:ascii="News Gothic Std" w:hAnsi="News Gothic Std" w:cs="Lucida Sans Unicode"/>
                <w:sz w:val="18"/>
                <w:szCs w:val="18"/>
                <w:lang w:eastAsia="en-AU"/>
              </w:rPr>
              <w:t>No of Properties</w:t>
            </w:r>
          </w:p>
        </w:tc>
        <w:tc>
          <w:tcPr>
            <w:tcW w:w="1772" w:type="dxa"/>
            <w:shd w:val="clear" w:color="auto" w:fill="8DB3E2"/>
            <w:vAlign w:val="bottom"/>
            <w:hideMark/>
          </w:tcPr>
          <w:p w:rsidR="009B21E0" w:rsidRPr="00E60EA6" w:rsidRDefault="009B21E0" w:rsidP="00B85F78">
            <w:pPr>
              <w:spacing w:before="0" w:after="0"/>
              <w:jc w:val="right"/>
              <w:rPr>
                <w:rFonts w:ascii="News Gothic Std" w:hAnsi="News Gothic Std" w:cs="Lucida Sans Unicode"/>
                <w:sz w:val="18"/>
                <w:szCs w:val="18"/>
                <w:lang w:eastAsia="en-AU"/>
              </w:rPr>
            </w:pPr>
            <w:r w:rsidRPr="00E60EA6">
              <w:rPr>
                <w:rFonts w:ascii="News Gothic Std" w:hAnsi="News Gothic Std" w:cs="Lucida Sans Unicode"/>
                <w:sz w:val="18"/>
                <w:szCs w:val="18"/>
                <w:lang w:eastAsia="en-AU"/>
              </w:rPr>
              <w:t>% of Properties</w:t>
            </w:r>
          </w:p>
        </w:tc>
      </w:tr>
      <w:tr w:rsidR="009B21E0" w:rsidRPr="00E60EA6" w:rsidTr="00E60EA6">
        <w:trPr>
          <w:trHeight w:val="255"/>
        </w:trPr>
        <w:tc>
          <w:tcPr>
            <w:tcW w:w="2422"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&lt; 5%</w:t>
            </w:r>
          </w:p>
        </w:tc>
        <w:tc>
          <w:tcPr>
            <w:tcW w:w="1772" w:type="dxa"/>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678</w:t>
            </w:r>
          </w:p>
        </w:tc>
        <w:tc>
          <w:tcPr>
            <w:tcW w:w="1772" w:type="dxa"/>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66%</w:t>
            </w:r>
          </w:p>
        </w:tc>
      </w:tr>
      <w:tr w:rsidR="009B21E0" w:rsidRPr="00E60EA6" w:rsidTr="00E60EA6">
        <w:trPr>
          <w:trHeight w:val="255"/>
        </w:trPr>
        <w:tc>
          <w:tcPr>
            <w:tcW w:w="2422"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5% to 9.99%</w:t>
            </w:r>
          </w:p>
        </w:tc>
        <w:tc>
          <w:tcPr>
            <w:tcW w:w="1772" w:type="dxa"/>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92</w:t>
            </w:r>
          </w:p>
        </w:tc>
        <w:tc>
          <w:tcPr>
            <w:tcW w:w="1772" w:type="dxa"/>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9%</w:t>
            </w:r>
          </w:p>
        </w:tc>
      </w:tr>
      <w:tr w:rsidR="009B21E0" w:rsidRPr="00E60EA6" w:rsidTr="00E60EA6">
        <w:trPr>
          <w:trHeight w:val="255"/>
        </w:trPr>
        <w:tc>
          <w:tcPr>
            <w:tcW w:w="2422"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10% to 19.99%</w:t>
            </w:r>
          </w:p>
        </w:tc>
        <w:tc>
          <w:tcPr>
            <w:tcW w:w="1772" w:type="dxa"/>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111</w:t>
            </w:r>
          </w:p>
        </w:tc>
        <w:tc>
          <w:tcPr>
            <w:tcW w:w="1772" w:type="dxa"/>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11%</w:t>
            </w:r>
          </w:p>
        </w:tc>
      </w:tr>
      <w:tr w:rsidR="009B21E0" w:rsidRPr="00E60EA6" w:rsidTr="00E60EA6">
        <w:trPr>
          <w:trHeight w:val="255"/>
        </w:trPr>
        <w:tc>
          <w:tcPr>
            <w:tcW w:w="2422"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20% to 29.99%</w:t>
            </w:r>
          </w:p>
        </w:tc>
        <w:tc>
          <w:tcPr>
            <w:tcW w:w="1772" w:type="dxa"/>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50</w:t>
            </w:r>
          </w:p>
        </w:tc>
        <w:tc>
          <w:tcPr>
            <w:tcW w:w="1772" w:type="dxa"/>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5%</w:t>
            </w:r>
          </w:p>
        </w:tc>
      </w:tr>
      <w:tr w:rsidR="009B21E0" w:rsidRPr="00E60EA6" w:rsidTr="00E60EA6">
        <w:trPr>
          <w:trHeight w:val="255"/>
        </w:trPr>
        <w:tc>
          <w:tcPr>
            <w:tcW w:w="2422"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30% to 39.99%</w:t>
            </w:r>
          </w:p>
        </w:tc>
        <w:tc>
          <w:tcPr>
            <w:tcW w:w="1772" w:type="dxa"/>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25</w:t>
            </w:r>
          </w:p>
        </w:tc>
        <w:tc>
          <w:tcPr>
            <w:tcW w:w="1772" w:type="dxa"/>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w:t>
            </w:r>
          </w:p>
        </w:tc>
      </w:tr>
      <w:tr w:rsidR="009B21E0" w:rsidRPr="00E60EA6" w:rsidTr="00E60EA6">
        <w:trPr>
          <w:trHeight w:val="255"/>
        </w:trPr>
        <w:tc>
          <w:tcPr>
            <w:tcW w:w="2422"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40% to 49.99%</w:t>
            </w:r>
          </w:p>
        </w:tc>
        <w:tc>
          <w:tcPr>
            <w:tcW w:w="1772" w:type="dxa"/>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9</w:t>
            </w:r>
          </w:p>
        </w:tc>
        <w:tc>
          <w:tcPr>
            <w:tcW w:w="1772" w:type="dxa"/>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w:t>
            </w:r>
          </w:p>
        </w:tc>
      </w:tr>
      <w:tr w:rsidR="009B21E0" w:rsidRPr="00E60EA6" w:rsidTr="00E60EA6">
        <w:trPr>
          <w:trHeight w:val="255"/>
        </w:trPr>
        <w:tc>
          <w:tcPr>
            <w:tcW w:w="2422"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&gt;50%</w:t>
            </w:r>
          </w:p>
        </w:tc>
        <w:tc>
          <w:tcPr>
            <w:tcW w:w="1772" w:type="dxa"/>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63</w:t>
            </w:r>
          </w:p>
        </w:tc>
        <w:tc>
          <w:tcPr>
            <w:tcW w:w="1772" w:type="dxa"/>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6%</w:t>
            </w:r>
          </w:p>
        </w:tc>
      </w:tr>
      <w:tr w:rsidR="009B21E0" w:rsidRPr="00E60EA6" w:rsidTr="00E60EA6">
        <w:trPr>
          <w:trHeight w:val="255"/>
        </w:trPr>
        <w:tc>
          <w:tcPr>
            <w:tcW w:w="2422" w:type="dxa"/>
            <w:shd w:val="clear" w:color="auto" w:fill="auto"/>
            <w:noWrap/>
            <w:vAlign w:val="bottom"/>
            <w:hideMark/>
          </w:tcPr>
          <w:p w:rsidR="009B21E0" w:rsidRPr="00E60EA6" w:rsidRDefault="009B21E0" w:rsidP="00B85F78">
            <w:pPr>
              <w:spacing w:before="0" w:after="0"/>
              <w:rPr>
                <w:rFonts w:cs="Lucida Sans Unicode"/>
                <w:b/>
                <w:sz w:val="18"/>
                <w:szCs w:val="18"/>
                <w:lang w:eastAsia="en-AU"/>
              </w:rPr>
            </w:pPr>
            <w:r w:rsidRPr="00E60EA6">
              <w:rPr>
                <w:rFonts w:cs="Lucida Sans Unicode"/>
                <w:b/>
                <w:sz w:val="18"/>
                <w:szCs w:val="18"/>
                <w:lang w:eastAsia="en-AU"/>
              </w:rPr>
              <w:t> </w:t>
            </w:r>
          </w:p>
        </w:tc>
        <w:tc>
          <w:tcPr>
            <w:tcW w:w="1772" w:type="dxa"/>
            <w:shd w:val="clear" w:color="auto" w:fill="auto"/>
            <w:noWrap/>
            <w:vAlign w:val="bottom"/>
            <w:hideMark/>
          </w:tcPr>
          <w:p w:rsidR="009B21E0" w:rsidRPr="00E60EA6" w:rsidRDefault="009B21E0" w:rsidP="00B85F78">
            <w:pPr>
              <w:spacing w:before="0" w:after="0"/>
              <w:jc w:val="right"/>
              <w:rPr>
                <w:rFonts w:cs="Lucida Sans Unicode"/>
                <w:b/>
                <w:sz w:val="18"/>
                <w:szCs w:val="18"/>
                <w:lang w:eastAsia="en-AU"/>
              </w:rPr>
            </w:pPr>
            <w:r w:rsidRPr="00E60EA6">
              <w:rPr>
                <w:rFonts w:cs="Lucida Sans Unicode"/>
                <w:b/>
                <w:sz w:val="18"/>
                <w:szCs w:val="18"/>
                <w:lang w:eastAsia="en-AU"/>
              </w:rPr>
              <w:t>1,028</w:t>
            </w:r>
          </w:p>
        </w:tc>
        <w:tc>
          <w:tcPr>
            <w:tcW w:w="1772" w:type="dxa"/>
            <w:shd w:val="clear" w:color="auto" w:fill="auto"/>
            <w:noWrap/>
            <w:vAlign w:val="bottom"/>
            <w:hideMark/>
          </w:tcPr>
          <w:p w:rsidR="009B21E0" w:rsidRPr="00E60EA6" w:rsidRDefault="009B21E0" w:rsidP="00B85F78">
            <w:pPr>
              <w:spacing w:before="0" w:after="0"/>
              <w:jc w:val="right"/>
              <w:rPr>
                <w:rFonts w:cs="Lucida Sans Unicode"/>
                <w:b/>
                <w:sz w:val="18"/>
                <w:szCs w:val="18"/>
                <w:lang w:eastAsia="en-AU"/>
              </w:rPr>
            </w:pPr>
            <w:r w:rsidRPr="00E60EA6">
              <w:rPr>
                <w:rFonts w:cs="Lucida Sans Unicode"/>
                <w:b/>
                <w:sz w:val="18"/>
                <w:szCs w:val="18"/>
                <w:lang w:eastAsia="en-AU"/>
              </w:rPr>
              <w:t>100%</w:t>
            </w:r>
          </w:p>
        </w:tc>
      </w:tr>
    </w:tbl>
    <w:p w:rsidR="00DC4385" w:rsidRDefault="00DC4385">
      <w:pPr>
        <w:pStyle w:val="BodyText"/>
      </w:pPr>
    </w:p>
    <w:p w:rsidR="009B21E0" w:rsidRPr="00C27A8A" w:rsidRDefault="009B21E0">
      <w:pPr>
        <w:pStyle w:val="BodyText"/>
      </w:pPr>
      <w:r w:rsidRPr="00C27A8A">
        <w:t xml:space="preserve">Farms on the Bellarine Peninsula make up 42.61% of farming properties and the average increase is 5.98%. The following table provides a comparison by suburb for the 2012, </w:t>
      </w:r>
      <w:r w:rsidRPr="00C27A8A">
        <w:lastRenderedPageBreak/>
        <w:t>2014 &amp; 2016 revaluations.</w:t>
      </w:r>
    </w:p>
    <w:tbl>
      <w:tblPr>
        <w:tblW w:w="8624" w:type="dxa"/>
        <w:tblInd w:w="9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230"/>
        <w:gridCol w:w="1321"/>
        <w:gridCol w:w="1349"/>
        <w:gridCol w:w="1349"/>
        <w:gridCol w:w="1349"/>
        <w:gridCol w:w="1026"/>
      </w:tblGrid>
      <w:tr w:rsidR="009B21E0" w:rsidRPr="00E60EA6" w:rsidTr="00E60EA6">
        <w:trPr>
          <w:trHeight w:val="780"/>
        </w:trPr>
        <w:tc>
          <w:tcPr>
            <w:tcW w:w="2230" w:type="dxa"/>
            <w:vMerge w:val="restart"/>
            <w:shd w:val="clear" w:color="000000" w:fill="D9D9D9"/>
            <w:noWrap/>
            <w:vAlign w:val="bottom"/>
            <w:hideMark/>
          </w:tcPr>
          <w:p w:rsidR="009B21E0" w:rsidRPr="009F5CF2" w:rsidRDefault="009B21E0" w:rsidP="00B85F78">
            <w:pPr>
              <w:spacing w:before="0" w:after="0"/>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Suburb</w:t>
            </w:r>
          </w:p>
        </w:tc>
        <w:tc>
          <w:tcPr>
            <w:tcW w:w="1321" w:type="dxa"/>
            <w:vMerge w:val="restart"/>
            <w:tcBorders>
              <w:right w:val="single" w:sz="4" w:space="0" w:color="000000"/>
            </w:tcBorders>
            <w:shd w:val="clear" w:color="auto" w:fill="8DB3E2"/>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No. of Farms 2016</w:t>
            </w:r>
          </w:p>
        </w:tc>
        <w:tc>
          <w:tcPr>
            <w:tcW w:w="1349" w:type="dxa"/>
            <w:tcBorders>
              <w:top w:val="single" w:sz="4" w:space="0" w:color="000000"/>
              <w:left w:val="single" w:sz="4" w:space="0" w:color="000000"/>
            </w:tcBorders>
            <w:shd w:val="clear" w:color="000000" w:fill="D9D9D9"/>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2012 Revaluation Increase</w:t>
            </w:r>
          </w:p>
        </w:tc>
        <w:tc>
          <w:tcPr>
            <w:tcW w:w="1349" w:type="dxa"/>
            <w:tcBorders>
              <w:top w:val="single" w:sz="4" w:space="0" w:color="000000"/>
              <w:right w:val="single" w:sz="4" w:space="0" w:color="000000"/>
            </w:tcBorders>
            <w:shd w:val="clear" w:color="000000" w:fill="D9D9D9"/>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2014 Revaluation Increase</w:t>
            </w:r>
          </w:p>
        </w:tc>
        <w:tc>
          <w:tcPr>
            <w:tcW w:w="1349" w:type="dxa"/>
            <w:tcBorders>
              <w:left w:val="single" w:sz="4" w:space="0" w:color="000000"/>
            </w:tcBorders>
            <w:shd w:val="clear" w:color="auto" w:fill="8DB3E2"/>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2016 Revaluation Increase</w:t>
            </w:r>
          </w:p>
        </w:tc>
        <w:tc>
          <w:tcPr>
            <w:tcW w:w="1026" w:type="dxa"/>
            <w:tcBorders>
              <w:bottom w:val="nil"/>
            </w:tcBorders>
            <w:shd w:val="clear" w:color="auto" w:fill="8DB3E2"/>
            <w:noWrap/>
            <w:vAlign w:val="bottom"/>
            <w:hideMark/>
          </w:tcPr>
          <w:p w:rsidR="009B21E0" w:rsidRPr="009F5CF2" w:rsidRDefault="009B21E0" w:rsidP="00B85F78">
            <w:pPr>
              <w:spacing w:before="0" w:after="0"/>
              <w:rPr>
                <w:rFonts w:ascii="News Gothic Std" w:hAnsi="News Gothic Std" w:cs="Calibri"/>
                <w:sz w:val="18"/>
                <w:szCs w:val="18"/>
                <w:lang w:eastAsia="en-AU"/>
              </w:rPr>
            </w:pPr>
          </w:p>
        </w:tc>
      </w:tr>
      <w:tr w:rsidR="009B21E0" w:rsidRPr="00E60EA6" w:rsidTr="00E60EA6">
        <w:trPr>
          <w:trHeight w:val="300"/>
        </w:trPr>
        <w:tc>
          <w:tcPr>
            <w:tcW w:w="2230" w:type="dxa"/>
            <w:vMerge/>
            <w:vAlign w:val="center"/>
            <w:hideMark/>
          </w:tcPr>
          <w:p w:rsidR="009B21E0" w:rsidRPr="00E86AD1" w:rsidRDefault="009B21E0" w:rsidP="00B85F78">
            <w:pPr>
              <w:spacing w:before="0" w:after="0"/>
              <w:rPr>
                <w:rFonts w:ascii="News Gothic Std" w:hAnsi="News Gothic Std" w:cs="Arial"/>
                <w:b/>
                <w:bCs/>
                <w:color w:val="000000"/>
                <w:sz w:val="18"/>
                <w:szCs w:val="18"/>
                <w:lang w:eastAsia="en-AU"/>
              </w:rPr>
            </w:pPr>
          </w:p>
        </w:tc>
        <w:tc>
          <w:tcPr>
            <w:tcW w:w="1321" w:type="dxa"/>
            <w:vMerge/>
            <w:tcBorders>
              <w:right w:val="single" w:sz="4" w:space="0" w:color="000000"/>
            </w:tcBorders>
            <w:shd w:val="clear" w:color="auto" w:fill="8DB3E2"/>
            <w:vAlign w:val="center"/>
            <w:hideMark/>
          </w:tcPr>
          <w:p w:rsidR="009B21E0" w:rsidRPr="00E86AD1" w:rsidRDefault="009B21E0" w:rsidP="00B85F78">
            <w:pPr>
              <w:spacing w:before="0" w:after="0"/>
              <w:rPr>
                <w:rFonts w:ascii="News Gothic Std" w:hAnsi="News Gothic Std" w:cs="Arial"/>
                <w:b/>
                <w:bCs/>
                <w:color w:val="000000"/>
                <w:sz w:val="18"/>
                <w:szCs w:val="18"/>
                <w:lang w:eastAsia="en-AU"/>
              </w:rPr>
            </w:pPr>
          </w:p>
        </w:tc>
        <w:tc>
          <w:tcPr>
            <w:tcW w:w="1349" w:type="dxa"/>
            <w:tcBorders>
              <w:left w:val="single" w:sz="4" w:space="0" w:color="000000"/>
            </w:tcBorders>
            <w:shd w:val="clear" w:color="000000" w:fill="D9D9D9"/>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Av (1.3%)</w:t>
            </w:r>
          </w:p>
        </w:tc>
        <w:tc>
          <w:tcPr>
            <w:tcW w:w="1349" w:type="dxa"/>
            <w:tcBorders>
              <w:right w:val="single" w:sz="4" w:space="0" w:color="000000"/>
            </w:tcBorders>
            <w:shd w:val="clear" w:color="000000" w:fill="D9D9D9"/>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Av (0.67%)</w:t>
            </w:r>
          </w:p>
        </w:tc>
        <w:tc>
          <w:tcPr>
            <w:tcW w:w="1349" w:type="dxa"/>
            <w:tcBorders>
              <w:left w:val="single" w:sz="4" w:space="0" w:color="000000"/>
            </w:tcBorders>
            <w:shd w:val="clear" w:color="auto" w:fill="8DB3E2"/>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Av 16.71%</w:t>
            </w:r>
          </w:p>
        </w:tc>
        <w:tc>
          <w:tcPr>
            <w:tcW w:w="1026" w:type="dxa"/>
            <w:tcBorders>
              <w:top w:val="nil"/>
            </w:tcBorders>
            <w:shd w:val="clear" w:color="auto" w:fill="8DB3E2"/>
            <w:noWrap/>
            <w:vAlign w:val="bottom"/>
            <w:hideMark/>
          </w:tcPr>
          <w:p w:rsidR="009B21E0" w:rsidRPr="00E86AD1" w:rsidRDefault="009B21E0" w:rsidP="00B85F78">
            <w:pPr>
              <w:spacing w:before="0" w:after="0"/>
              <w:rPr>
                <w:rFonts w:ascii="News Gothic Std" w:hAnsi="News Gothic Std" w:cs="Calibri"/>
                <w:sz w:val="18"/>
                <w:szCs w:val="18"/>
                <w:lang w:eastAsia="en-AU"/>
              </w:rPr>
            </w:pPr>
          </w:p>
        </w:tc>
      </w:tr>
      <w:tr w:rsidR="009B21E0" w:rsidRPr="00E60EA6" w:rsidTr="00E60EA6">
        <w:trPr>
          <w:trHeight w:val="255"/>
        </w:trPr>
        <w:tc>
          <w:tcPr>
            <w:tcW w:w="2230"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St Leonards</w:t>
            </w:r>
          </w:p>
        </w:tc>
        <w:tc>
          <w:tcPr>
            <w:tcW w:w="1321" w:type="dxa"/>
            <w:tcBorders>
              <w:righ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34</w:t>
            </w:r>
          </w:p>
        </w:tc>
        <w:tc>
          <w:tcPr>
            <w:tcW w:w="1349"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-14.80%</w:t>
            </w:r>
          </w:p>
        </w:tc>
        <w:tc>
          <w:tcPr>
            <w:tcW w:w="1349"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-7.78%</w:t>
            </w:r>
          </w:p>
        </w:tc>
        <w:tc>
          <w:tcPr>
            <w:tcW w:w="1349" w:type="dxa"/>
            <w:tcBorders>
              <w:lef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24.86%</w:t>
            </w:r>
          </w:p>
        </w:tc>
        <w:tc>
          <w:tcPr>
            <w:tcW w:w="1026" w:type="dxa"/>
            <w:vMerge w:val="restart"/>
            <w:shd w:val="clear" w:color="auto" w:fill="auto"/>
            <w:vAlign w:val="center"/>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Above Average</w:t>
            </w:r>
          </w:p>
        </w:tc>
      </w:tr>
      <w:tr w:rsidR="009B21E0" w:rsidRPr="00E60EA6" w:rsidTr="00E60EA6">
        <w:trPr>
          <w:trHeight w:val="255"/>
        </w:trPr>
        <w:tc>
          <w:tcPr>
            <w:tcW w:w="2230"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Barwon Heads</w:t>
            </w:r>
          </w:p>
        </w:tc>
        <w:tc>
          <w:tcPr>
            <w:tcW w:w="1321" w:type="dxa"/>
            <w:tcBorders>
              <w:righ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4</w:t>
            </w:r>
          </w:p>
        </w:tc>
        <w:tc>
          <w:tcPr>
            <w:tcW w:w="1349"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-31.00%</w:t>
            </w:r>
          </w:p>
        </w:tc>
        <w:tc>
          <w:tcPr>
            <w:tcW w:w="1349"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-1.97%</w:t>
            </w:r>
          </w:p>
        </w:tc>
        <w:tc>
          <w:tcPr>
            <w:tcW w:w="1349" w:type="dxa"/>
            <w:tcBorders>
              <w:lef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27.62%</w:t>
            </w:r>
          </w:p>
        </w:tc>
        <w:tc>
          <w:tcPr>
            <w:tcW w:w="102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230"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Ocean Grove</w:t>
            </w:r>
          </w:p>
        </w:tc>
        <w:tc>
          <w:tcPr>
            <w:tcW w:w="1321" w:type="dxa"/>
            <w:tcBorders>
              <w:righ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5</w:t>
            </w:r>
          </w:p>
        </w:tc>
        <w:tc>
          <w:tcPr>
            <w:tcW w:w="1349"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108.60%</w:t>
            </w:r>
          </w:p>
        </w:tc>
        <w:tc>
          <w:tcPr>
            <w:tcW w:w="1349"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1.62%</w:t>
            </w:r>
          </w:p>
        </w:tc>
        <w:tc>
          <w:tcPr>
            <w:tcW w:w="1349" w:type="dxa"/>
            <w:tcBorders>
              <w:lef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39.60%</w:t>
            </w:r>
          </w:p>
        </w:tc>
        <w:tc>
          <w:tcPr>
            <w:tcW w:w="102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230"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Indented Head</w:t>
            </w:r>
          </w:p>
        </w:tc>
        <w:tc>
          <w:tcPr>
            <w:tcW w:w="1321" w:type="dxa"/>
            <w:tcBorders>
              <w:righ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9</w:t>
            </w:r>
          </w:p>
        </w:tc>
        <w:tc>
          <w:tcPr>
            <w:tcW w:w="1349"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-14.90%</w:t>
            </w:r>
          </w:p>
        </w:tc>
        <w:tc>
          <w:tcPr>
            <w:tcW w:w="1349"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0.00%</w:t>
            </w:r>
          </w:p>
        </w:tc>
        <w:tc>
          <w:tcPr>
            <w:tcW w:w="1349" w:type="dxa"/>
            <w:tcBorders>
              <w:lef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47.26%</w:t>
            </w:r>
          </w:p>
        </w:tc>
        <w:tc>
          <w:tcPr>
            <w:tcW w:w="102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230"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Point Lonsdale</w:t>
            </w:r>
          </w:p>
        </w:tc>
        <w:tc>
          <w:tcPr>
            <w:tcW w:w="1321" w:type="dxa"/>
            <w:tcBorders>
              <w:righ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11</w:t>
            </w:r>
          </w:p>
        </w:tc>
        <w:tc>
          <w:tcPr>
            <w:tcW w:w="1349"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0.40%</w:t>
            </w:r>
          </w:p>
        </w:tc>
        <w:tc>
          <w:tcPr>
            <w:tcW w:w="1349"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-2.49%</w:t>
            </w:r>
          </w:p>
        </w:tc>
        <w:tc>
          <w:tcPr>
            <w:tcW w:w="1349" w:type="dxa"/>
            <w:tcBorders>
              <w:lef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-4.11%</w:t>
            </w:r>
          </w:p>
        </w:tc>
        <w:tc>
          <w:tcPr>
            <w:tcW w:w="1026" w:type="dxa"/>
            <w:vMerge w:val="restart"/>
            <w:shd w:val="clear" w:color="auto" w:fill="auto"/>
            <w:vAlign w:val="center"/>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Below Average</w:t>
            </w:r>
          </w:p>
        </w:tc>
      </w:tr>
      <w:tr w:rsidR="009B21E0" w:rsidRPr="00E60EA6" w:rsidTr="00E60EA6">
        <w:trPr>
          <w:trHeight w:val="255"/>
        </w:trPr>
        <w:tc>
          <w:tcPr>
            <w:tcW w:w="2230"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Swan Bay</w:t>
            </w:r>
          </w:p>
        </w:tc>
        <w:tc>
          <w:tcPr>
            <w:tcW w:w="1321" w:type="dxa"/>
            <w:tcBorders>
              <w:righ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13</w:t>
            </w:r>
          </w:p>
        </w:tc>
        <w:tc>
          <w:tcPr>
            <w:tcW w:w="1349"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8.10%</w:t>
            </w:r>
          </w:p>
        </w:tc>
        <w:tc>
          <w:tcPr>
            <w:tcW w:w="1349"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10.82%</w:t>
            </w:r>
          </w:p>
        </w:tc>
        <w:tc>
          <w:tcPr>
            <w:tcW w:w="1349" w:type="dxa"/>
            <w:tcBorders>
              <w:lef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-0.98%</w:t>
            </w:r>
          </w:p>
        </w:tc>
        <w:tc>
          <w:tcPr>
            <w:tcW w:w="102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230"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Mannerim</w:t>
            </w:r>
          </w:p>
        </w:tc>
        <w:tc>
          <w:tcPr>
            <w:tcW w:w="1321" w:type="dxa"/>
            <w:tcBorders>
              <w:righ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39</w:t>
            </w:r>
          </w:p>
        </w:tc>
        <w:tc>
          <w:tcPr>
            <w:tcW w:w="1349"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-10.30%</w:t>
            </w:r>
          </w:p>
        </w:tc>
        <w:tc>
          <w:tcPr>
            <w:tcW w:w="1349"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-3.58%</w:t>
            </w:r>
          </w:p>
        </w:tc>
        <w:tc>
          <w:tcPr>
            <w:tcW w:w="1349" w:type="dxa"/>
            <w:tcBorders>
              <w:lef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0.21%</w:t>
            </w:r>
          </w:p>
        </w:tc>
        <w:tc>
          <w:tcPr>
            <w:tcW w:w="102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230"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Drysdale</w:t>
            </w:r>
          </w:p>
        </w:tc>
        <w:tc>
          <w:tcPr>
            <w:tcW w:w="1321" w:type="dxa"/>
            <w:tcBorders>
              <w:righ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81</w:t>
            </w:r>
          </w:p>
        </w:tc>
        <w:tc>
          <w:tcPr>
            <w:tcW w:w="1349"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-4.90%</w:t>
            </w:r>
          </w:p>
        </w:tc>
        <w:tc>
          <w:tcPr>
            <w:tcW w:w="1349"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-1.28%</w:t>
            </w:r>
          </w:p>
        </w:tc>
        <w:tc>
          <w:tcPr>
            <w:tcW w:w="1349" w:type="dxa"/>
            <w:tcBorders>
              <w:lef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0.64%</w:t>
            </w:r>
          </w:p>
        </w:tc>
        <w:tc>
          <w:tcPr>
            <w:tcW w:w="102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230"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Clifton Springs</w:t>
            </w:r>
          </w:p>
        </w:tc>
        <w:tc>
          <w:tcPr>
            <w:tcW w:w="1321" w:type="dxa"/>
            <w:tcBorders>
              <w:righ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w:t>
            </w:r>
          </w:p>
        </w:tc>
        <w:tc>
          <w:tcPr>
            <w:tcW w:w="1349"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179.90%</w:t>
            </w:r>
          </w:p>
        </w:tc>
        <w:tc>
          <w:tcPr>
            <w:tcW w:w="1349"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0.00%</w:t>
            </w:r>
          </w:p>
        </w:tc>
        <w:tc>
          <w:tcPr>
            <w:tcW w:w="1349" w:type="dxa"/>
            <w:tcBorders>
              <w:lef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1.76%</w:t>
            </w:r>
          </w:p>
        </w:tc>
        <w:tc>
          <w:tcPr>
            <w:tcW w:w="102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230"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Wallington</w:t>
            </w:r>
          </w:p>
        </w:tc>
        <w:tc>
          <w:tcPr>
            <w:tcW w:w="1321" w:type="dxa"/>
            <w:tcBorders>
              <w:righ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43</w:t>
            </w:r>
          </w:p>
        </w:tc>
        <w:tc>
          <w:tcPr>
            <w:tcW w:w="1349"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-9.30%</w:t>
            </w:r>
          </w:p>
        </w:tc>
        <w:tc>
          <w:tcPr>
            <w:tcW w:w="1349"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0.52%</w:t>
            </w:r>
          </w:p>
        </w:tc>
        <w:tc>
          <w:tcPr>
            <w:tcW w:w="1349" w:type="dxa"/>
            <w:tcBorders>
              <w:lef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1.95%</w:t>
            </w:r>
          </w:p>
        </w:tc>
        <w:tc>
          <w:tcPr>
            <w:tcW w:w="102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230"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Bellarine</w:t>
            </w:r>
          </w:p>
        </w:tc>
        <w:tc>
          <w:tcPr>
            <w:tcW w:w="1321" w:type="dxa"/>
            <w:tcBorders>
              <w:righ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42</w:t>
            </w:r>
          </w:p>
        </w:tc>
        <w:tc>
          <w:tcPr>
            <w:tcW w:w="1349"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-6.80%</w:t>
            </w:r>
          </w:p>
        </w:tc>
        <w:tc>
          <w:tcPr>
            <w:tcW w:w="1349"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0.64%</w:t>
            </w:r>
          </w:p>
        </w:tc>
        <w:tc>
          <w:tcPr>
            <w:tcW w:w="1349" w:type="dxa"/>
            <w:tcBorders>
              <w:lef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2.18%</w:t>
            </w:r>
          </w:p>
        </w:tc>
        <w:tc>
          <w:tcPr>
            <w:tcW w:w="102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230"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Curlewis</w:t>
            </w:r>
          </w:p>
        </w:tc>
        <w:tc>
          <w:tcPr>
            <w:tcW w:w="1321" w:type="dxa"/>
            <w:tcBorders>
              <w:righ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38</w:t>
            </w:r>
          </w:p>
        </w:tc>
        <w:tc>
          <w:tcPr>
            <w:tcW w:w="1349"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-10.70%</w:t>
            </w:r>
          </w:p>
        </w:tc>
        <w:tc>
          <w:tcPr>
            <w:tcW w:w="1349"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-0.72%</w:t>
            </w:r>
          </w:p>
        </w:tc>
        <w:tc>
          <w:tcPr>
            <w:tcW w:w="1349" w:type="dxa"/>
            <w:tcBorders>
              <w:lef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2.38%</w:t>
            </w:r>
          </w:p>
        </w:tc>
        <w:tc>
          <w:tcPr>
            <w:tcW w:w="102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230"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Connewarre</w:t>
            </w:r>
          </w:p>
        </w:tc>
        <w:tc>
          <w:tcPr>
            <w:tcW w:w="1321" w:type="dxa"/>
            <w:tcBorders>
              <w:righ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54</w:t>
            </w:r>
          </w:p>
        </w:tc>
        <w:tc>
          <w:tcPr>
            <w:tcW w:w="1349"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-1.40%</w:t>
            </w:r>
          </w:p>
        </w:tc>
        <w:tc>
          <w:tcPr>
            <w:tcW w:w="1349"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-7.23%</w:t>
            </w:r>
          </w:p>
        </w:tc>
        <w:tc>
          <w:tcPr>
            <w:tcW w:w="1349" w:type="dxa"/>
            <w:tcBorders>
              <w:lef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4.03%</w:t>
            </w:r>
          </w:p>
        </w:tc>
        <w:tc>
          <w:tcPr>
            <w:tcW w:w="102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230"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Portarlington</w:t>
            </w:r>
          </w:p>
        </w:tc>
        <w:tc>
          <w:tcPr>
            <w:tcW w:w="1321" w:type="dxa"/>
            <w:tcBorders>
              <w:righ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35</w:t>
            </w:r>
          </w:p>
        </w:tc>
        <w:tc>
          <w:tcPr>
            <w:tcW w:w="1349"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-17.30%</w:t>
            </w:r>
          </w:p>
        </w:tc>
        <w:tc>
          <w:tcPr>
            <w:tcW w:w="1349"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-3.10%</w:t>
            </w:r>
          </w:p>
        </w:tc>
        <w:tc>
          <w:tcPr>
            <w:tcW w:w="1349" w:type="dxa"/>
            <w:tcBorders>
              <w:lef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4.04%</w:t>
            </w:r>
          </w:p>
        </w:tc>
        <w:tc>
          <w:tcPr>
            <w:tcW w:w="102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230"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Marcus Hill</w:t>
            </w:r>
          </w:p>
        </w:tc>
        <w:tc>
          <w:tcPr>
            <w:tcW w:w="1321" w:type="dxa"/>
            <w:tcBorders>
              <w:righ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29</w:t>
            </w:r>
          </w:p>
        </w:tc>
        <w:tc>
          <w:tcPr>
            <w:tcW w:w="1349"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4.80%</w:t>
            </w:r>
          </w:p>
        </w:tc>
        <w:tc>
          <w:tcPr>
            <w:tcW w:w="1349"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-0.46%</w:t>
            </w:r>
          </w:p>
        </w:tc>
        <w:tc>
          <w:tcPr>
            <w:tcW w:w="1349" w:type="dxa"/>
            <w:tcBorders>
              <w:lef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5.53%</w:t>
            </w:r>
          </w:p>
        </w:tc>
        <w:tc>
          <w:tcPr>
            <w:tcW w:w="1026"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300"/>
        </w:trPr>
        <w:tc>
          <w:tcPr>
            <w:tcW w:w="2230" w:type="dxa"/>
            <w:shd w:val="clear" w:color="auto" w:fill="auto"/>
            <w:noWrap/>
            <w:vAlign w:val="bottom"/>
            <w:hideMark/>
          </w:tcPr>
          <w:p w:rsidR="009B21E0" w:rsidRPr="00E60EA6" w:rsidRDefault="009B21E0" w:rsidP="00B85F78">
            <w:pPr>
              <w:spacing w:before="0" w:after="0"/>
              <w:rPr>
                <w:rFonts w:cs="Lucida Sans Unicode"/>
                <w:b/>
                <w:bCs/>
                <w:color w:val="000000"/>
                <w:sz w:val="18"/>
                <w:szCs w:val="18"/>
                <w:lang w:eastAsia="en-AU"/>
              </w:rPr>
            </w:pPr>
            <w:r w:rsidRPr="00E60EA6">
              <w:rPr>
                <w:rFonts w:cs="Lucida Sans Unicode"/>
                <w:b/>
                <w:bCs/>
                <w:color w:val="000000"/>
                <w:sz w:val="18"/>
                <w:szCs w:val="18"/>
                <w:lang w:eastAsia="en-AU"/>
              </w:rPr>
              <w:t>Total</w:t>
            </w:r>
          </w:p>
        </w:tc>
        <w:tc>
          <w:tcPr>
            <w:tcW w:w="1321" w:type="dxa"/>
            <w:tcBorders>
              <w:right w:val="single" w:sz="4" w:space="0" w:color="000000"/>
            </w:tcBorders>
            <w:shd w:val="clear" w:color="auto" w:fill="8DB3E2"/>
            <w:noWrap/>
            <w:vAlign w:val="bottom"/>
            <w:hideMark/>
          </w:tcPr>
          <w:p w:rsidR="009B21E0" w:rsidRPr="00E60EA6" w:rsidRDefault="009B21E0" w:rsidP="00B85F78">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438</w:t>
            </w:r>
          </w:p>
        </w:tc>
        <w:tc>
          <w:tcPr>
            <w:tcW w:w="1349" w:type="dxa"/>
            <w:tcBorders>
              <w:left w:val="single" w:sz="4" w:space="0" w:color="000000"/>
              <w:bottom w:val="single" w:sz="4" w:space="0" w:color="000000"/>
            </w:tcBorders>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 </w:t>
            </w:r>
          </w:p>
        </w:tc>
        <w:tc>
          <w:tcPr>
            <w:tcW w:w="1349" w:type="dxa"/>
            <w:tcBorders>
              <w:bottom w:val="single" w:sz="4" w:space="0" w:color="000000"/>
              <w:right w:val="single" w:sz="4" w:space="0" w:color="000000"/>
            </w:tcBorders>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 </w:t>
            </w:r>
          </w:p>
        </w:tc>
        <w:tc>
          <w:tcPr>
            <w:tcW w:w="1349" w:type="dxa"/>
            <w:tcBorders>
              <w:left w:val="single" w:sz="4" w:space="0" w:color="000000"/>
            </w:tcBorders>
            <w:shd w:val="clear" w:color="auto" w:fill="8DB3E2"/>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 </w:t>
            </w:r>
          </w:p>
        </w:tc>
        <w:tc>
          <w:tcPr>
            <w:tcW w:w="1026"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p>
        </w:tc>
      </w:tr>
    </w:tbl>
    <w:p w:rsidR="009B21E0" w:rsidRDefault="009B21E0">
      <w:pPr>
        <w:pStyle w:val="BodyText"/>
      </w:pPr>
    </w:p>
    <w:p w:rsidR="009B21E0" w:rsidRDefault="009B21E0">
      <w:pPr>
        <w:pStyle w:val="BodyText"/>
      </w:pPr>
      <w:r w:rsidRPr="00C27A8A">
        <w:t>The Armstrong Creek Urban growth area make up 15.76% of farming properties and the average increase is 25.02%. The following table provides a comparison by suburb for the 2012, 2014 &amp; 2016 revaluations.</w:t>
      </w:r>
    </w:p>
    <w:p w:rsidR="009B21E0" w:rsidRPr="00C27A8A" w:rsidRDefault="009B21E0">
      <w:pPr>
        <w:pStyle w:val="BodyText"/>
      </w:pPr>
    </w:p>
    <w:tbl>
      <w:tblPr>
        <w:tblW w:w="8773" w:type="dxa"/>
        <w:tblInd w:w="9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232"/>
        <w:gridCol w:w="1322"/>
        <w:gridCol w:w="1350"/>
        <w:gridCol w:w="1350"/>
        <w:gridCol w:w="1350"/>
        <w:gridCol w:w="1169"/>
      </w:tblGrid>
      <w:tr w:rsidR="009B21E0" w:rsidRPr="00E60EA6" w:rsidTr="00E60EA6">
        <w:trPr>
          <w:trHeight w:val="780"/>
        </w:trPr>
        <w:tc>
          <w:tcPr>
            <w:tcW w:w="2232" w:type="dxa"/>
            <w:vMerge w:val="restart"/>
            <w:shd w:val="clear" w:color="auto" w:fill="8DB3E2"/>
            <w:noWrap/>
            <w:vAlign w:val="bottom"/>
            <w:hideMark/>
          </w:tcPr>
          <w:p w:rsidR="009B21E0" w:rsidRPr="009F5CF2" w:rsidRDefault="009B21E0" w:rsidP="00B85F78">
            <w:pPr>
              <w:spacing w:before="0" w:after="0"/>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Suburb</w:t>
            </w:r>
          </w:p>
        </w:tc>
        <w:tc>
          <w:tcPr>
            <w:tcW w:w="1322" w:type="dxa"/>
            <w:vMerge w:val="restart"/>
            <w:tcBorders>
              <w:right w:val="single" w:sz="4" w:space="0" w:color="000000"/>
            </w:tcBorders>
            <w:shd w:val="clear" w:color="auto" w:fill="DBE5F1"/>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No. of Farms 2016</w:t>
            </w:r>
          </w:p>
        </w:tc>
        <w:tc>
          <w:tcPr>
            <w:tcW w:w="1350" w:type="dxa"/>
            <w:tcBorders>
              <w:top w:val="single" w:sz="4" w:space="0" w:color="000000"/>
              <w:left w:val="single" w:sz="4" w:space="0" w:color="000000"/>
            </w:tcBorders>
            <w:shd w:val="clear" w:color="auto" w:fill="8DB3E2"/>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2012 Revaluation Increase</w:t>
            </w:r>
          </w:p>
        </w:tc>
        <w:tc>
          <w:tcPr>
            <w:tcW w:w="1350" w:type="dxa"/>
            <w:tcBorders>
              <w:top w:val="single" w:sz="4" w:space="0" w:color="000000"/>
              <w:right w:val="single" w:sz="4" w:space="0" w:color="000000"/>
            </w:tcBorders>
            <w:shd w:val="clear" w:color="auto" w:fill="8DB3E2"/>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2014 Revaluation Increase</w:t>
            </w:r>
          </w:p>
        </w:tc>
        <w:tc>
          <w:tcPr>
            <w:tcW w:w="1350" w:type="dxa"/>
            <w:tcBorders>
              <w:left w:val="single" w:sz="4" w:space="0" w:color="000000"/>
            </w:tcBorders>
            <w:shd w:val="clear" w:color="auto" w:fill="DBE5F1"/>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2016 Revaluation Increase</w:t>
            </w:r>
          </w:p>
        </w:tc>
        <w:tc>
          <w:tcPr>
            <w:tcW w:w="1169" w:type="dxa"/>
            <w:tcBorders>
              <w:bottom w:val="nil"/>
            </w:tcBorders>
            <w:shd w:val="clear" w:color="auto" w:fill="8DB3E2"/>
            <w:noWrap/>
            <w:vAlign w:val="bottom"/>
            <w:hideMark/>
          </w:tcPr>
          <w:p w:rsidR="009B21E0" w:rsidRPr="009F5CF2" w:rsidRDefault="009B21E0" w:rsidP="00B85F78">
            <w:pPr>
              <w:spacing w:before="0" w:after="0"/>
              <w:rPr>
                <w:rFonts w:ascii="News Gothic Std" w:hAnsi="News Gothic Std" w:cs="Calibri"/>
                <w:sz w:val="18"/>
                <w:szCs w:val="18"/>
                <w:lang w:eastAsia="en-AU"/>
              </w:rPr>
            </w:pPr>
          </w:p>
        </w:tc>
      </w:tr>
      <w:tr w:rsidR="009B21E0" w:rsidRPr="00E60EA6" w:rsidTr="00E60EA6">
        <w:trPr>
          <w:trHeight w:val="300"/>
        </w:trPr>
        <w:tc>
          <w:tcPr>
            <w:tcW w:w="2232" w:type="dxa"/>
            <w:vMerge/>
            <w:shd w:val="clear" w:color="auto" w:fill="8DB3E2"/>
            <w:vAlign w:val="center"/>
            <w:hideMark/>
          </w:tcPr>
          <w:p w:rsidR="009B21E0" w:rsidRPr="00E86AD1" w:rsidRDefault="009B21E0" w:rsidP="00B85F78">
            <w:pPr>
              <w:spacing w:before="0" w:after="0"/>
              <w:rPr>
                <w:rFonts w:ascii="News Gothic Std" w:hAnsi="News Gothic Std" w:cs="Arial"/>
                <w:b/>
                <w:bCs/>
                <w:color w:val="000000"/>
                <w:sz w:val="18"/>
                <w:szCs w:val="18"/>
                <w:lang w:eastAsia="en-AU"/>
              </w:rPr>
            </w:pPr>
          </w:p>
        </w:tc>
        <w:tc>
          <w:tcPr>
            <w:tcW w:w="1322" w:type="dxa"/>
            <w:vMerge/>
            <w:tcBorders>
              <w:right w:val="single" w:sz="4" w:space="0" w:color="000000"/>
            </w:tcBorders>
            <w:shd w:val="clear" w:color="auto" w:fill="DBE5F1"/>
            <w:vAlign w:val="center"/>
            <w:hideMark/>
          </w:tcPr>
          <w:p w:rsidR="009B21E0" w:rsidRPr="00E86AD1" w:rsidRDefault="009B21E0" w:rsidP="00B85F78">
            <w:pPr>
              <w:spacing w:before="0" w:after="0"/>
              <w:rPr>
                <w:rFonts w:ascii="News Gothic Std" w:hAnsi="News Gothic Std" w:cs="Arial"/>
                <w:b/>
                <w:bCs/>
                <w:color w:val="000000"/>
                <w:sz w:val="18"/>
                <w:szCs w:val="18"/>
                <w:lang w:eastAsia="en-AU"/>
              </w:rPr>
            </w:pPr>
          </w:p>
        </w:tc>
        <w:tc>
          <w:tcPr>
            <w:tcW w:w="1350" w:type="dxa"/>
            <w:tcBorders>
              <w:left w:val="single" w:sz="4" w:space="0" w:color="000000"/>
            </w:tcBorders>
            <w:shd w:val="clear" w:color="auto" w:fill="8DB3E2"/>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Av (1.3%)</w:t>
            </w:r>
          </w:p>
        </w:tc>
        <w:tc>
          <w:tcPr>
            <w:tcW w:w="1350" w:type="dxa"/>
            <w:tcBorders>
              <w:right w:val="single" w:sz="4" w:space="0" w:color="000000"/>
            </w:tcBorders>
            <w:shd w:val="clear" w:color="auto" w:fill="8DB3E2"/>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Av (0.67%)</w:t>
            </w:r>
          </w:p>
        </w:tc>
        <w:tc>
          <w:tcPr>
            <w:tcW w:w="1350" w:type="dxa"/>
            <w:tcBorders>
              <w:left w:val="single" w:sz="4" w:space="0" w:color="000000"/>
            </w:tcBorders>
            <w:shd w:val="clear" w:color="auto" w:fill="DBE5F1"/>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Av 16.71%</w:t>
            </w:r>
          </w:p>
        </w:tc>
        <w:tc>
          <w:tcPr>
            <w:tcW w:w="1169" w:type="dxa"/>
            <w:tcBorders>
              <w:top w:val="nil"/>
            </w:tcBorders>
            <w:shd w:val="clear" w:color="auto" w:fill="8DB3E2"/>
            <w:noWrap/>
            <w:vAlign w:val="bottom"/>
            <w:hideMark/>
          </w:tcPr>
          <w:p w:rsidR="009B21E0" w:rsidRPr="00E86AD1" w:rsidRDefault="009B21E0" w:rsidP="00B85F78">
            <w:pPr>
              <w:spacing w:before="0" w:after="0"/>
              <w:rPr>
                <w:rFonts w:ascii="News Gothic Std" w:hAnsi="News Gothic Std" w:cs="Calibri"/>
                <w:sz w:val="18"/>
                <w:szCs w:val="18"/>
                <w:lang w:eastAsia="en-AU"/>
              </w:rPr>
            </w:pPr>
          </w:p>
        </w:tc>
      </w:tr>
      <w:tr w:rsidR="009B21E0" w:rsidRPr="00E60EA6" w:rsidTr="00E60EA6">
        <w:trPr>
          <w:trHeight w:val="255"/>
        </w:trPr>
        <w:tc>
          <w:tcPr>
            <w:tcW w:w="2232"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Armstrong Creek</w:t>
            </w:r>
          </w:p>
        </w:tc>
        <w:tc>
          <w:tcPr>
            <w:tcW w:w="1322"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27</w:t>
            </w:r>
          </w:p>
        </w:tc>
        <w:tc>
          <w:tcPr>
            <w:tcW w:w="1350"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8.20%</w:t>
            </w:r>
          </w:p>
        </w:tc>
        <w:tc>
          <w:tcPr>
            <w:tcW w:w="1350"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-6.70%</w:t>
            </w:r>
          </w:p>
        </w:tc>
        <w:tc>
          <w:tcPr>
            <w:tcW w:w="1350"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46.47%</w:t>
            </w:r>
          </w:p>
        </w:tc>
        <w:tc>
          <w:tcPr>
            <w:tcW w:w="1169" w:type="dxa"/>
            <w:vMerge w:val="restart"/>
            <w:shd w:val="clear" w:color="auto" w:fill="auto"/>
            <w:vAlign w:val="center"/>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Above Average</w:t>
            </w:r>
          </w:p>
        </w:tc>
      </w:tr>
      <w:tr w:rsidR="009B21E0" w:rsidRPr="00E60EA6" w:rsidTr="00E60EA6">
        <w:trPr>
          <w:trHeight w:val="255"/>
        </w:trPr>
        <w:tc>
          <w:tcPr>
            <w:tcW w:w="2232"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Charlemont</w:t>
            </w:r>
          </w:p>
        </w:tc>
        <w:tc>
          <w:tcPr>
            <w:tcW w:w="1322"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33</w:t>
            </w:r>
          </w:p>
        </w:tc>
        <w:tc>
          <w:tcPr>
            <w:tcW w:w="1350"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-14.00%</w:t>
            </w:r>
          </w:p>
        </w:tc>
        <w:tc>
          <w:tcPr>
            <w:tcW w:w="1350"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-3.33%</w:t>
            </w:r>
          </w:p>
        </w:tc>
        <w:tc>
          <w:tcPr>
            <w:tcW w:w="1350"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26.75%</w:t>
            </w:r>
          </w:p>
        </w:tc>
        <w:tc>
          <w:tcPr>
            <w:tcW w:w="1169"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232"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Mount Duneed</w:t>
            </w:r>
          </w:p>
        </w:tc>
        <w:tc>
          <w:tcPr>
            <w:tcW w:w="1322"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27</w:t>
            </w:r>
          </w:p>
        </w:tc>
        <w:tc>
          <w:tcPr>
            <w:tcW w:w="1350"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-3.20%</w:t>
            </w:r>
          </w:p>
        </w:tc>
        <w:tc>
          <w:tcPr>
            <w:tcW w:w="1350"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-1.48%</w:t>
            </w:r>
          </w:p>
        </w:tc>
        <w:tc>
          <w:tcPr>
            <w:tcW w:w="1350"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20.19%</w:t>
            </w:r>
          </w:p>
        </w:tc>
        <w:tc>
          <w:tcPr>
            <w:tcW w:w="1169"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232"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Waurn Ponds</w:t>
            </w:r>
          </w:p>
        </w:tc>
        <w:tc>
          <w:tcPr>
            <w:tcW w:w="1322"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21</w:t>
            </w:r>
          </w:p>
        </w:tc>
        <w:tc>
          <w:tcPr>
            <w:tcW w:w="1350"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-16.80%</w:t>
            </w:r>
          </w:p>
        </w:tc>
        <w:tc>
          <w:tcPr>
            <w:tcW w:w="1350"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-4.35%</w:t>
            </w:r>
          </w:p>
        </w:tc>
        <w:tc>
          <w:tcPr>
            <w:tcW w:w="1350"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11.68%</w:t>
            </w:r>
          </w:p>
        </w:tc>
        <w:tc>
          <w:tcPr>
            <w:tcW w:w="1169" w:type="dxa"/>
            <w:vMerge w:val="restart"/>
            <w:shd w:val="clear" w:color="auto" w:fill="auto"/>
            <w:vAlign w:val="center"/>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Below Average</w:t>
            </w:r>
          </w:p>
        </w:tc>
      </w:tr>
      <w:tr w:rsidR="009B21E0" w:rsidRPr="00E60EA6" w:rsidTr="00E60EA6">
        <w:trPr>
          <w:trHeight w:val="255"/>
        </w:trPr>
        <w:tc>
          <w:tcPr>
            <w:tcW w:w="2232"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Connewarre</w:t>
            </w:r>
          </w:p>
        </w:tc>
        <w:tc>
          <w:tcPr>
            <w:tcW w:w="1322"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54</w:t>
            </w:r>
          </w:p>
        </w:tc>
        <w:tc>
          <w:tcPr>
            <w:tcW w:w="1350"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-1.40%</w:t>
            </w:r>
          </w:p>
        </w:tc>
        <w:tc>
          <w:tcPr>
            <w:tcW w:w="1350"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-7.23%</w:t>
            </w:r>
          </w:p>
        </w:tc>
        <w:tc>
          <w:tcPr>
            <w:tcW w:w="1350"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4.03%</w:t>
            </w:r>
          </w:p>
        </w:tc>
        <w:tc>
          <w:tcPr>
            <w:tcW w:w="1169"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300"/>
        </w:trPr>
        <w:tc>
          <w:tcPr>
            <w:tcW w:w="2232" w:type="dxa"/>
            <w:shd w:val="clear" w:color="auto" w:fill="auto"/>
            <w:noWrap/>
            <w:vAlign w:val="bottom"/>
            <w:hideMark/>
          </w:tcPr>
          <w:p w:rsidR="009B21E0" w:rsidRPr="00E60EA6" w:rsidRDefault="009B21E0" w:rsidP="00B85F78">
            <w:pPr>
              <w:spacing w:before="0" w:after="0"/>
              <w:rPr>
                <w:rFonts w:cs="Lucida Sans Unicode"/>
                <w:b/>
                <w:bCs/>
                <w:color w:val="000000"/>
                <w:sz w:val="18"/>
                <w:szCs w:val="18"/>
                <w:lang w:eastAsia="en-AU"/>
              </w:rPr>
            </w:pPr>
            <w:r w:rsidRPr="00E60EA6">
              <w:rPr>
                <w:rFonts w:cs="Lucida Sans Unicode"/>
                <w:b/>
                <w:bCs/>
                <w:color w:val="000000"/>
                <w:sz w:val="18"/>
                <w:szCs w:val="18"/>
                <w:lang w:eastAsia="en-AU"/>
              </w:rPr>
              <w:t>Total</w:t>
            </w:r>
          </w:p>
        </w:tc>
        <w:tc>
          <w:tcPr>
            <w:tcW w:w="1322"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162</w:t>
            </w:r>
          </w:p>
        </w:tc>
        <w:tc>
          <w:tcPr>
            <w:tcW w:w="1350" w:type="dxa"/>
            <w:tcBorders>
              <w:left w:val="single" w:sz="4" w:space="0" w:color="000000"/>
              <w:bottom w:val="single" w:sz="4" w:space="0" w:color="000000"/>
            </w:tcBorders>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 </w:t>
            </w:r>
          </w:p>
        </w:tc>
        <w:tc>
          <w:tcPr>
            <w:tcW w:w="1350" w:type="dxa"/>
            <w:tcBorders>
              <w:bottom w:val="single" w:sz="4" w:space="0" w:color="000000"/>
              <w:right w:val="single" w:sz="4" w:space="0" w:color="000000"/>
            </w:tcBorders>
            <w:shd w:val="clear" w:color="auto" w:fill="auto"/>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 </w:t>
            </w:r>
          </w:p>
        </w:tc>
        <w:tc>
          <w:tcPr>
            <w:tcW w:w="1350" w:type="dxa"/>
            <w:tcBorders>
              <w:left w:val="single" w:sz="4" w:space="0" w:color="000000"/>
            </w:tcBorders>
            <w:shd w:val="clear" w:color="auto" w:fill="DBE5F1"/>
            <w:noWrap/>
            <w:vAlign w:val="bottom"/>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 </w:t>
            </w:r>
          </w:p>
        </w:tc>
        <w:tc>
          <w:tcPr>
            <w:tcW w:w="1169"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p>
        </w:tc>
      </w:tr>
    </w:tbl>
    <w:p w:rsidR="0057338B" w:rsidRDefault="0057338B">
      <w:pPr>
        <w:pStyle w:val="BodyText"/>
      </w:pPr>
    </w:p>
    <w:p w:rsidR="005167B1" w:rsidRDefault="009B21E0">
      <w:pPr>
        <w:pStyle w:val="BodyText"/>
      </w:pPr>
      <w:r w:rsidRPr="00C27A8A">
        <w:t>A total of 51 farms in Little River increased by an average of 6.44%, 29 farms in Moorabool increased by 5.84% 88 farms in Anakie have increased by 3.09% and 54 farms in Balliang decreased by (0.99%).</w:t>
      </w:r>
    </w:p>
    <w:p w:rsidR="005167B1" w:rsidRDefault="005167B1">
      <w:pPr>
        <w:spacing w:before="0" w:after="0"/>
        <w:rPr>
          <w:rFonts w:cs="Lucida Sans Unicode"/>
          <w:bCs/>
          <w:noProof/>
          <w:snapToGrid w:val="0"/>
          <w:szCs w:val="22"/>
          <w:lang w:val="en-GB" w:eastAsia="en-AU"/>
        </w:rPr>
      </w:pPr>
      <w:r>
        <w:br w:type="page"/>
      </w:r>
    </w:p>
    <w:p w:rsidR="009B21E0" w:rsidRPr="00C27A8A" w:rsidRDefault="009B21E0">
      <w:pPr>
        <w:pStyle w:val="Heading4A"/>
      </w:pPr>
      <w:r w:rsidRPr="00C27A8A">
        <w:lastRenderedPageBreak/>
        <w:t>Commercial</w:t>
      </w:r>
    </w:p>
    <w:p w:rsidR="009B21E0" w:rsidRPr="00C27A8A" w:rsidRDefault="009B21E0">
      <w:pPr>
        <w:pStyle w:val="BodyText"/>
        <w:rPr>
          <w:color w:val="FF0000"/>
        </w:rPr>
      </w:pPr>
      <w:r w:rsidRPr="00C27A8A">
        <w:t>A total of 5,588 commercial properties have increased on average 11.81% compared to 2.49% in 2014.</w:t>
      </w:r>
    </w:p>
    <w:p w:rsidR="009B21E0" w:rsidRPr="00C27A8A" w:rsidRDefault="009B21E0">
      <w:pPr>
        <w:pStyle w:val="BodyText"/>
      </w:pPr>
      <w:r w:rsidRPr="00C27A8A">
        <w:t xml:space="preserve">The main area of commercial activity (1,696 properties) in Central Geelong increased in average valuation by 8.90%. </w:t>
      </w:r>
    </w:p>
    <w:p w:rsidR="009B21E0" w:rsidRPr="00C27A8A" w:rsidRDefault="009B21E0">
      <w:pPr>
        <w:pStyle w:val="BodyText"/>
      </w:pPr>
      <w:r w:rsidRPr="00C27A8A">
        <w:t>The following table provides a comparison of the suburbs with the highest number of properties for the 2012, 2014 &amp; 2016 revaluations.</w:t>
      </w:r>
    </w:p>
    <w:tbl>
      <w:tblPr>
        <w:tblW w:w="9248" w:type="dxa"/>
        <w:tblInd w:w="9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139"/>
        <w:gridCol w:w="1537"/>
        <w:gridCol w:w="1537"/>
        <w:gridCol w:w="1537"/>
        <w:gridCol w:w="1537"/>
        <w:gridCol w:w="961"/>
      </w:tblGrid>
      <w:tr w:rsidR="009B21E0" w:rsidRPr="00E60EA6" w:rsidTr="00E60EA6">
        <w:trPr>
          <w:trHeight w:val="765"/>
          <w:tblHeader/>
        </w:trPr>
        <w:tc>
          <w:tcPr>
            <w:tcW w:w="2139" w:type="dxa"/>
            <w:vMerge w:val="restart"/>
            <w:shd w:val="clear" w:color="auto" w:fill="8DB3E2"/>
            <w:noWrap/>
            <w:vAlign w:val="bottom"/>
            <w:hideMark/>
          </w:tcPr>
          <w:p w:rsidR="009B21E0" w:rsidRPr="009F5CF2" w:rsidRDefault="009B21E0" w:rsidP="00B85F78">
            <w:pPr>
              <w:spacing w:before="0" w:after="0"/>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Suburb</w:t>
            </w:r>
          </w:p>
        </w:tc>
        <w:tc>
          <w:tcPr>
            <w:tcW w:w="1537" w:type="dxa"/>
            <w:vMerge w:val="restart"/>
            <w:tcBorders>
              <w:right w:val="single" w:sz="4" w:space="0" w:color="000000"/>
            </w:tcBorders>
            <w:shd w:val="clear" w:color="auto" w:fill="DBE5F1"/>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No. of Properties 2016</w:t>
            </w:r>
          </w:p>
        </w:tc>
        <w:tc>
          <w:tcPr>
            <w:tcW w:w="1537" w:type="dxa"/>
            <w:tcBorders>
              <w:top w:val="single" w:sz="4" w:space="0" w:color="000000"/>
              <w:left w:val="single" w:sz="4" w:space="0" w:color="000000"/>
            </w:tcBorders>
            <w:shd w:val="clear" w:color="auto" w:fill="8DB3E2"/>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2012 Revaluation Increase</w:t>
            </w:r>
          </w:p>
        </w:tc>
        <w:tc>
          <w:tcPr>
            <w:tcW w:w="1537" w:type="dxa"/>
            <w:tcBorders>
              <w:top w:val="single" w:sz="4" w:space="0" w:color="000000"/>
              <w:right w:val="single" w:sz="4" w:space="0" w:color="000000"/>
            </w:tcBorders>
            <w:shd w:val="clear" w:color="auto" w:fill="8DB3E2"/>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2014 Revaluation Increase</w:t>
            </w:r>
          </w:p>
        </w:tc>
        <w:tc>
          <w:tcPr>
            <w:tcW w:w="1537" w:type="dxa"/>
            <w:tcBorders>
              <w:left w:val="single" w:sz="4" w:space="0" w:color="000000"/>
            </w:tcBorders>
            <w:shd w:val="clear" w:color="auto" w:fill="DBE5F1"/>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2016 Revaluation Increase</w:t>
            </w:r>
          </w:p>
        </w:tc>
        <w:tc>
          <w:tcPr>
            <w:tcW w:w="961" w:type="dxa"/>
            <w:vMerge w:val="restart"/>
            <w:shd w:val="clear" w:color="auto" w:fill="8DB3E2"/>
            <w:noWrap/>
            <w:vAlign w:val="bottom"/>
            <w:hideMark/>
          </w:tcPr>
          <w:p w:rsidR="009B21E0" w:rsidRPr="009F5CF2" w:rsidRDefault="009B21E0" w:rsidP="00B85F78">
            <w:pPr>
              <w:spacing w:before="0" w:after="0"/>
              <w:rPr>
                <w:rFonts w:ascii="News Gothic Std" w:hAnsi="News Gothic Std" w:cs="Calibri"/>
                <w:sz w:val="18"/>
                <w:szCs w:val="18"/>
                <w:lang w:eastAsia="en-AU"/>
              </w:rPr>
            </w:pPr>
            <w:r w:rsidRPr="009F5CF2">
              <w:rPr>
                <w:rFonts w:ascii="News Gothic Std" w:hAnsi="News Gothic Std" w:cs="Calibri"/>
                <w:sz w:val="18"/>
                <w:szCs w:val="18"/>
                <w:lang w:eastAsia="en-AU"/>
              </w:rPr>
              <w:t> </w:t>
            </w:r>
          </w:p>
        </w:tc>
      </w:tr>
      <w:tr w:rsidR="009B21E0" w:rsidRPr="00E60EA6" w:rsidTr="00E60EA6">
        <w:trPr>
          <w:trHeight w:val="255"/>
          <w:tblHeader/>
        </w:trPr>
        <w:tc>
          <w:tcPr>
            <w:tcW w:w="2139" w:type="dxa"/>
            <w:vMerge/>
            <w:shd w:val="clear" w:color="auto" w:fill="8DB3E2"/>
            <w:vAlign w:val="center"/>
            <w:hideMark/>
          </w:tcPr>
          <w:p w:rsidR="009B21E0" w:rsidRPr="00E86AD1" w:rsidRDefault="009B21E0" w:rsidP="00B85F78">
            <w:pPr>
              <w:spacing w:before="0" w:after="0"/>
              <w:rPr>
                <w:rFonts w:ascii="News Gothic Std" w:hAnsi="News Gothic Std" w:cs="Arial"/>
                <w:b/>
                <w:bCs/>
                <w:color w:val="000000"/>
                <w:sz w:val="18"/>
                <w:szCs w:val="18"/>
                <w:lang w:eastAsia="en-AU"/>
              </w:rPr>
            </w:pPr>
          </w:p>
        </w:tc>
        <w:tc>
          <w:tcPr>
            <w:tcW w:w="1537" w:type="dxa"/>
            <w:vMerge/>
            <w:tcBorders>
              <w:right w:val="single" w:sz="4" w:space="0" w:color="000000"/>
            </w:tcBorders>
            <w:shd w:val="clear" w:color="auto" w:fill="DBE5F1"/>
            <w:vAlign w:val="center"/>
            <w:hideMark/>
          </w:tcPr>
          <w:p w:rsidR="009B21E0" w:rsidRPr="00E86AD1" w:rsidRDefault="009B21E0" w:rsidP="00B85F78">
            <w:pPr>
              <w:spacing w:before="0" w:after="0"/>
              <w:rPr>
                <w:rFonts w:ascii="News Gothic Std" w:hAnsi="News Gothic Std" w:cs="Arial"/>
                <w:b/>
                <w:bCs/>
                <w:color w:val="000000"/>
                <w:sz w:val="18"/>
                <w:szCs w:val="18"/>
                <w:lang w:eastAsia="en-AU"/>
              </w:rPr>
            </w:pPr>
          </w:p>
        </w:tc>
        <w:tc>
          <w:tcPr>
            <w:tcW w:w="1537" w:type="dxa"/>
            <w:tcBorders>
              <w:left w:val="single" w:sz="4" w:space="0" w:color="000000"/>
            </w:tcBorders>
            <w:shd w:val="clear" w:color="auto" w:fill="8DB3E2"/>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Av 3.9%</w:t>
            </w:r>
          </w:p>
        </w:tc>
        <w:tc>
          <w:tcPr>
            <w:tcW w:w="1537" w:type="dxa"/>
            <w:tcBorders>
              <w:right w:val="single" w:sz="4" w:space="0" w:color="000000"/>
            </w:tcBorders>
            <w:shd w:val="clear" w:color="auto" w:fill="8DB3E2"/>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Av 2.49%</w:t>
            </w:r>
          </w:p>
        </w:tc>
        <w:tc>
          <w:tcPr>
            <w:tcW w:w="1537" w:type="dxa"/>
            <w:tcBorders>
              <w:left w:val="single" w:sz="4" w:space="0" w:color="000000"/>
            </w:tcBorders>
            <w:shd w:val="clear" w:color="auto" w:fill="DBE5F1"/>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Av 11.81%</w:t>
            </w:r>
          </w:p>
        </w:tc>
        <w:tc>
          <w:tcPr>
            <w:tcW w:w="961" w:type="dxa"/>
            <w:vMerge/>
            <w:shd w:val="clear" w:color="auto" w:fill="8DB3E2"/>
            <w:vAlign w:val="center"/>
            <w:hideMark/>
          </w:tcPr>
          <w:p w:rsidR="009B21E0" w:rsidRPr="00E86AD1" w:rsidRDefault="009B21E0" w:rsidP="00B85F78">
            <w:pPr>
              <w:spacing w:before="0" w:after="0"/>
              <w:rPr>
                <w:rFonts w:ascii="News Gothic Std" w:hAnsi="News Gothic Std" w:cs="Calibri"/>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Newtown</w:t>
            </w:r>
          </w:p>
        </w:tc>
        <w:tc>
          <w:tcPr>
            <w:tcW w:w="1537"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          281 </w:t>
            </w:r>
          </w:p>
        </w:tc>
        <w:tc>
          <w:tcPr>
            <w:tcW w:w="15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6.90%</w:t>
            </w:r>
          </w:p>
        </w:tc>
        <w:tc>
          <w:tcPr>
            <w:tcW w:w="15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2.82%</w:t>
            </w:r>
          </w:p>
        </w:tc>
        <w:tc>
          <w:tcPr>
            <w:tcW w:w="15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20.78%</w:t>
            </w:r>
          </w:p>
        </w:tc>
        <w:tc>
          <w:tcPr>
            <w:tcW w:w="961" w:type="dxa"/>
            <w:vMerge w:val="restart"/>
            <w:shd w:val="clear" w:color="auto" w:fill="auto"/>
            <w:vAlign w:val="center"/>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Above Average</w:t>
            </w: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Grovedale</w:t>
            </w:r>
          </w:p>
        </w:tc>
        <w:tc>
          <w:tcPr>
            <w:tcW w:w="1537"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          339 </w:t>
            </w:r>
          </w:p>
        </w:tc>
        <w:tc>
          <w:tcPr>
            <w:tcW w:w="15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9.60%</w:t>
            </w:r>
          </w:p>
        </w:tc>
        <w:tc>
          <w:tcPr>
            <w:tcW w:w="15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7.54%</w:t>
            </w:r>
          </w:p>
        </w:tc>
        <w:tc>
          <w:tcPr>
            <w:tcW w:w="15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19.11%</w:t>
            </w:r>
          </w:p>
        </w:tc>
        <w:tc>
          <w:tcPr>
            <w:tcW w:w="961"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Geelong West</w:t>
            </w:r>
          </w:p>
        </w:tc>
        <w:tc>
          <w:tcPr>
            <w:tcW w:w="1537"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          443 </w:t>
            </w:r>
          </w:p>
        </w:tc>
        <w:tc>
          <w:tcPr>
            <w:tcW w:w="15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4.30%</w:t>
            </w:r>
          </w:p>
        </w:tc>
        <w:tc>
          <w:tcPr>
            <w:tcW w:w="15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2.84%</w:t>
            </w:r>
          </w:p>
        </w:tc>
        <w:tc>
          <w:tcPr>
            <w:tcW w:w="15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19.00%</w:t>
            </w:r>
          </w:p>
        </w:tc>
        <w:tc>
          <w:tcPr>
            <w:tcW w:w="961"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Waurn Ponds</w:t>
            </w:r>
          </w:p>
        </w:tc>
        <w:tc>
          <w:tcPr>
            <w:tcW w:w="1537"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            36 </w:t>
            </w:r>
          </w:p>
        </w:tc>
        <w:tc>
          <w:tcPr>
            <w:tcW w:w="15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-9.40%</w:t>
            </w:r>
          </w:p>
        </w:tc>
        <w:tc>
          <w:tcPr>
            <w:tcW w:w="15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6.28%</w:t>
            </w:r>
          </w:p>
        </w:tc>
        <w:tc>
          <w:tcPr>
            <w:tcW w:w="15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17.82%</w:t>
            </w:r>
          </w:p>
        </w:tc>
        <w:tc>
          <w:tcPr>
            <w:tcW w:w="961"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Lara</w:t>
            </w:r>
          </w:p>
        </w:tc>
        <w:tc>
          <w:tcPr>
            <w:tcW w:w="1537"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          145 </w:t>
            </w:r>
          </w:p>
        </w:tc>
        <w:tc>
          <w:tcPr>
            <w:tcW w:w="15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-1.50%</w:t>
            </w:r>
          </w:p>
        </w:tc>
        <w:tc>
          <w:tcPr>
            <w:tcW w:w="15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2.78%</w:t>
            </w:r>
          </w:p>
        </w:tc>
        <w:tc>
          <w:tcPr>
            <w:tcW w:w="15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16.90%</w:t>
            </w:r>
          </w:p>
        </w:tc>
        <w:tc>
          <w:tcPr>
            <w:tcW w:w="961"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Belmont</w:t>
            </w:r>
          </w:p>
        </w:tc>
        <w:tc>
          <w:tcPr>
            <w:tcW w:w="1537"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          322 </w:t>
            </w:r>
          </w:p>
        </w:tc>
        <w:tc>
          <w:tcPr>
            <w:tcW w:w="15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6.90%</w:t>
            </w:r>
          </w:p>
        </w:tc>
        <w:tc>
          <w:tcPr>
            <w:tcW w:w="15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-0.02%</w:t>
            </w:r>
          </w:p>
        </w:tc>
        <w:tc>
          <w:tcPr>
            <w:tcW w:w="15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16.11%</w:t>
            </w:r>
          </w:p>
        </w:tc>
        <w:tc>
          <w:tcPr>
            <w:tcW w:w="961"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Highton</w:t>
            </w:r>
          </w:p>
        </w:tc>
        <w:tc>
          <w:tcPr>
            <w:tcW w:w="1537"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          151 </w:t>
            </w:r>
          </w:p>
        </w:tc>
        <w:tc>
          <w:tcPr>
            <w:tcW w:w="15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10.70%</w:t>
            </w:r>
          </w:p>
        </w:tc>
        <w:tc>
          <w:tcPr>
            <w:tcW w:w="15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11.79%</w:t>
            </w:r>
          </w:p>
        </w:tc>
        <w:tc>
          <w:tcPr>
            <w:tcW w:w="15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13.91%</w:t>
            </w:r>
          </w:p>
        </w:tc>
        <w:tc>
          <w:tcPr>
            <w:tcW w:w="961"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Ocean Grove</w:t>
            </w:r>
          </w:p>
        </w:tc>
        <w:tc>
          <w:tcPr>
            <w:tcW w:w="1537"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          277 </w:t>
            </w:r>
          </w:p>
        </w:tc>
        <w:tc>
          <w:tcPr>
            <w:tcW w:w="15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3.20%</w:t>
            </w:r>
          </w:p>
        </w:tc>
        <w:tc>
          <w:tcPr>
            <w:tcW w:w="15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9.62%</w:t>
            </w:r>
          </w:p>
        </w:tc>
        <w:tc>
          <w:tcPr>
            <w:tcW w:w="15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13.51%</w:t>
            </w:r>
          </w:p>
        </w:tc>
        <w:tc>
          <w:tcPr>
            <w:tcW w:w="961"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Leopold</w:t>
            </w:r>
          </w:p>
        </w:tc>
        <w:tc>
          <w:tcPr>
            <w:tcW w:w="1537"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            91 </w:t>
            </w:r>
          </w:p>
        </w:tc>
        <w:tc>
          <w:tcPr>
            <w:tcW w:w="15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0.70%</w:t>
            </w:r>
          </w:p>
        </w:tc>
        <w:tc>
          <w:tcPr>
            <w:tcW w:w="15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5.18%</w:t>
            </w:r>
          </w:p>
        </w:tc>
        <w:tc>
          <w:tcPr>
            <w:tcW w:w="15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12.42%</w:t>
            </w:r>
          </w:p>
        </w:tc>
        <w:tc>
          <w:tcPr>
            <w:tcW w:w="961"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Drysdale</w:t>
            </w:r>
          </w:p>
        </w:tc>
        <w:tc>
          <w:tcPr>
            <w:tcW w:w="1537"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          143 </w:t>
            </w:r>
          </w:p>
        </w:tc>
        <w:tc>
          <w:tcPr>
            <w:tcW w:w="15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-0.90%</w:t>
            </w:r>
          </w:p>
        </w:tc>
        <w:tc>
          <w:tcPr>
            <w:tcW w:w="15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2.36%</w:t>
            </w:r>
          </w:p>
        </w:tc>
        <w:tc>
          <w:tcPr>
            <w:tcW w:w="15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9.68%</w:t>
            </w:r>
          </w:p>
        </w:tc>
        <w:tc>
          <w:tcPr>
            <w:tcW w:w="961" w:type="dxa"/>
            <w:vMerge w:val="restart"/>
            <w:shd w:val="clear" w:color="auto" w:fill="auto"/>
            <w:vAlign w:val="center"/>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Below Average</w:t>
            </w: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North Geelong</w:t>
            </w:r>
          </w:p>
        </w:tc>
        <w:tc>
          <w:tcPr>
            <w:tcW w:w="1537"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          174 </w:t>
            </w:r>
          </w:p>
        </w:tc>
        <w:tc>
          <w:tcPr>
            <w:tcW w:w="15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-2.00%</w:t>
            </w:r>
          </w:p>
        </w:tc>
        <w:tc>
          <w:tcPr>
            <w:tcW w:w="15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10.63%</w:t>
            </w:r>
          </w:p>
        </w:tc>
        <w:tc>
          <w:tcPr>
            <w:tcW w:w="15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9.40%</w:t>
            </w:r>
          </w:p>
        </w:tc>
        <w:tc>
          <w:tcPr>
            <w:tcW w:w="961"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Bell Park</w:t>
            </w:r>
          </w:p>
        </w:tc>
        <w:tc>
          <w:tcPr>
            <w:tcW w:w="1537"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            91 </w:t>
            </w:r>
          </w:p>
        </w:tc>
        <w:tc>
          <w:tcPr>
            <w:tcW w:w="15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-5.60%</w:t>
            </w:r>
          </w:p>
        </w:tc>
        <w:tc>
          <w:tcPr>
            <w:tcW w:w="15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9.18%</w:t>
            </w:r>
          </w:p>
        </w:tc>
        <w:tc>
          <w:tcPr>
            <w:tcW w:w="15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9.13%</w:t>
            </w:r>
          </w:p>
        </w:tc>
        <w:tc>
          <w:tcPr>
            <w:tcW w:w="961"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 xml:space="preserve">Geelong   </w:t>
            </w:r>
          </w:p>
        </w:tc>
        <w:tc>
          <w:tcPr>
            <w:tcW w:w="1537"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       1,696 </w:t>
            </w:r>
          </w:p>
        </w:tc>
        <w:tc>
          <w:tcPr>
            <w:tcW w:w="15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4.60%</w:t>
            </w:r>
          </w:p>
        </w:tc>
        <w:tc>
          <w:tcPr>
            <w:tcW w:w="15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0.16%</w:t>
            </w:r>
          </w:p>
        </w:tc>
        <w:tc>
          <w:tcPr>
            <w:tcW w:w="15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8.90%</w:t>
            </w:r>
          </w:p>
        </w:tc>
        <w:tc>
          <w:tcPr>
            <w:tcW w:w="961"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Norlane</w:t>
            </w:r>
          </w:p>
        </w:tc>
        <w:tc>
          <w:tcPr>
            <w:tcW w:w="1537"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          124 </w:t>
            </w:r>
          </w:p>
        </w:tc>
        <w:tc>
          <w:tcPr>
            <w:tcW w:w="15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3.50%</w:t>
            </w:r>
          </w:p>
        </w:tc>
        <w:tc>
          <w:tcPr>
            <w:tcW w:w="15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4.76%</w:t>
            </w:r>
          </w:p>
        </w:tc>
        <w:tc>
          <w:tcPr>
            <w:tcW w:w="15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8.20%</w:t>
            </w:r>
          </w:p>
        </w:tc>
        <w:tc>
          <w:tcPr>
            <w:tcW w:w="961"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Newcomb</w:t>
            </w:r>
          </w:p>
        </w:tc>
        <w:tc>
          <w:tcPr>
            <w:tcW w:w="1537"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          112 </w:t>
            </w:r>
          </w:p>
        </w:tc>
        <w:tc>
          <w:tcPr>
            <w:tcW w:w="15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4.10%</w:t>
            </w:r>
          </w:p>
        </w:tc>
        <w:tc>
          <w:tcPr>
            <w:tcW w:w="15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1.88%</w:t>
            </w:r>
          </w:p>
        </w:tc>
        <w:tc>
          <w:tcPr>
            <w:tcW w:w="15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8.08%</w:t>
            </w:r>
          </w:p>
        </w:tc>
        <w:tc>
          <w:tcPr>
            <w:tcW w:w="961"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Corio</w:t>
            </w:r>
          </w:p>
        </w:tc>
        <w:tc>
          <w:tcPr>
            <w:tcW w:w="1537"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          240 </w:t>
            </w:r>
          </w:p>
        </w:tc>
        <w:tc>
          <w:tcPr>
            <w:tcW w:w="15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0.30%</w:t>
            </w:r>
          </w:p>
        </w:tc>
        <w:tc>
          <w:tcPr>
            <w:tcW w:w="15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2.39%</w:t>
            </w:r>
          </w:p>
        </w:tc>
        <w:tc>
          <w:tcPr>
            <w:tcW w:w="15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6.39%</w:t>
            </w:r>
          </w:p>
        </w:tc>
        <w:tc>
          <w:tcPr>
            <w:tcW w:w="961"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South Geelong</w:t>
            </w:r>
          </w:p>
        </w:tc>
        <w:tc>
          <w:tcPr>
            <w:tcW w:w="1537"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          141 </w:t>
            </w:r>
          </w:p>
        </w:tc>
        <w:tc>
          <w:tcPr>
            <w:tcW w:w="15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-0.80%</w:t>
            </w:r>
          </w:p>
        </w:tc>
        <w:tc>
          <w:tcPr>
            <w:tcW w:w="15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-2.99%</w:t>
            </w:r>
          </w:p>
        </w:tc>
        <w:tc>
          <w:tcPr>
            <w:tcW w:w="15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3.45%</w:t>
            </w:r>
          </w:p>
        </w:tc>
        <w:tc>
          <w:tcPr>
            <w:tcW w:w="961"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2139"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Moolap</w:t>
            </w:r>
          </w:p>
        </w:tc>
        <w:tc>
          <w:tcPr>
            <w:tcW w:w="1537"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          111 </w:t>
            </w:r>
          </w:p>
        </w:tc>
        <w:tc>
          <w:tcPr>
            <w:tcW w:w="15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2.40%</w:t>
            </w:r>
          </w:p>
        </w:tc>
        <w:tc>
          <w:tcPr>
            <w:tcW w:w="15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-2.61%</w:t>
            </w:r>
          </w:p>
        </w:tc>
        <w:tc>
          <w:tcPr>
            <w:tcW w:w="15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-5.29%</w:t>
            </w:r>
          </w:p>
        </w:tc>
        <w:tc>
          <w:tcPr>
            <w:tcW w:w="961"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300"/>
        </w:trPr>
        <w:tc>
          <w:tcPr>
            <w:tcW w:w="2139" w:type="dxa"/>
            <w:shd w:val="clear" w:color="auto" w:fill="auto"/>
            <w:noWrap/>
            <w:vAlign w:val="bottom"/>
            <w:hideMark/>
          </w:tcPr>
          <w:p w:rsidR="009B21E0" w:rsidRPr="00E60EA6" w:rsidRDefault="009B21E0" w:rsidP="00B85F78">
            <w:pPr>
              <w:spacing w:before="0" w:after="0"/>
              <w:rPr>
                <w:rFonts w:cs="Lucida Sans Unicode"/>
                <w:b/>
                <w:bCs/>
                <w:color w:val="000000"/>
                <w:sz w:val="18"/>
                <w:szCs w:val="18"/>
                <w:lang w:eastAsia="en-AU"/>
              </w:rPr>
            </w:pPr>
            <w:r w:rsidRPr="00E60EA6">
              <w:rPr>
                <w:rFonts w:cs="Lucida Sans Unicode"/>
                <w:b/>
                <w:bCs/>
                <w:color w:val="000000"/>
                <w:sz w:val="18"/>
                <w:szCs w:val="18"/>
                <w:lang w:eastAsia="en-AU"/>
              </w:rPr>
              <w:t>Total</w:t>
            </w:r>
          </w:p>
        </w:tc>
        <w:tc>
          <w:tcPr>
            <w:tcW w:w="1537"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 xml:space="preserve">       4,917 </w:t>
            </w:r>
          </w:p>
        </w:tc>
        <w:tc>
          <w:tcPr>
            <w:tcW w:w="1537" w:type="dxa"/>
            <w:tcBorders>
              <w:left w:val="single" w:sz="4" w:space="0" w:color="000000"/>
              <w:bottom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w:t>
            </w:r>
          </w:p>
        </w:tc>
        <w:tc>
          <w:tcPr>
            <w:tcW w:w="1537" w:type="dxa"/>
            <w:tcBorders>
              <w:bottom w:val="single" w:sz="4" w:space="0" w:color="000000"/>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w:t>
            </w:r>
          </w:p>
        </w:tc>
        <w:tc>
          <w:tcPr>
            <w:tcW w:w="15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w:t>
            </w:r>
          </w:p>
        </w:tc>
        <w:tc>
          <w:tcPr>
            <w:tcW w:w="961" w:type="dxa"/>
            <w:shd w:val="clear" w:color="auto" w:fill="auto"/>
            <w:noWrap/>
            <w:vAlign w:val="bottom"/>
            <w:hideMark/>
          </w:tcPr>
          <w:p w:rsidR="009B21E0" w:rsidRPr="00E60EA6" w:rsidRDefault="009B21E0" w:rsidP="00B85F78">
            <w:pPr>
              <w:spacing w:before="0" w:after="0"/>
              <w:rPr>
                <w:rFonts w:cs="Lucida Sans Unicode"/>
                <w:sz w:val="18"/>
                <w:szCs w:val="18"/>
                <w:lang w:eastAsia="en-AU"/>
              </w:rPr>
            </w:pPr>
          </w:p>
        </w:tc>
      </w:tr>
    </w:tbl>
    <w:p w:rsidR="009B21E0" w:rsidRPr="00C27A8A" w:rsidRDefault="009B21E0">
      <w:pPr>
        <w:pStyle w:val="Heading4A"/>
      </w:pPr>
      <w:r w:rsidRPr="00C27A8A">
        <w:t>Industrial</w:t>
      </w:r>
    </w:p>
    <w:p w:rsidR="009B21E0" w:rsidRPr="00C27A8A" w:rsidRDefault="009B21E0">
      <w:pPr>
        <w:pStyle w:val="BodyText"/>
      </w:pPr>
      <w:r w:rsidRPr="00C27A8A">
        <w:t xml:space="preserve">A total of 1,926 industrial properties have increased on average 4.95%. The majority of industrial properties are in the following five areas which have changed between (2.40%) and 10.19%. </w:t>
      </w:r>
    </w:p>
    <w:p w:rsidR="009B21E0" w:rsidRPr="00C27A8A" w:rsidRDefault="009B21E0">
      <w:pPr>
        <w:pStyle w:val="BodyText"/>
      </w:pPr>
      <w:r w:rsidRPr="00C27A8A">
        <w:t>Alcoa of Australia Ltd has been rated as industrial (previously on the Aluminium differential rate) since the closure of the plant in December 2015. The CIV has reduced from $46,000,000 to $21,910,000 or (52.37%). Alcoa of Australia Ltd is in the suburb of Moolap. This valuation has been deducted from the Moolap suburb so revaluation comparisons are relative from one revaluation to the next.</w:t>
      </w:r>
    </w:p>
    <w:tbl>
      <w:tblPr>
        <w:tblW w:w="8426" w:type="dxa"/>
        <w:tblInd w:w="9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997"/>
        <w:gridCol w:w="1297"/>
        <w:gridCol w:w="1331"/>
        <w:gridCol w:w="1331"/>
        <w:gridCol w:w="1331"/>
        <w:gridCol w:w="1139"/>
      </w:tblGrid>
      <w:tr w:rsidR="009B21E0" w:rsidRPr="00E60EA6" w:rsidTr="00E60EA6">
        <w:trPr>
          <w:trHeight w:val="780"/>
        </w:trPr>
        <w:tc>
          <w:tcPr>
            <w:tcW w:w="1997" w:type="dxa"/>
            <w:vMerge w:val="restart"/>
            <w:shd w:val="clear" w:color="auto" w:fill="8DB3E2"/>
            <w:noWrap/>
            <w:vAlign w:val="bottom"/>
            <w:hideMark/>
          </w:tcPr>
          <w:p w:rsidR="009B21E0" w:rsidRPr="009F5CF2" w:rsidRDefault="009B21E0" w:rsidP="00683CDE">
            <w:pPr>
              <w:keepNext/>
              <w:spacing w:before="0" w:after="0"/>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lastRenderedPageBreak/>
              <w:t>Suburbs</w:t>
            </w:r>
          </w:p>
        </w:tc>
        <w:tc>
          <w:tcPr>
            <w:tcW w:w="1297" w:type="dxa"/>
            <w:vMerge w:val="restart"/>
            <w:tcBorders>
              <w:right w:val="single" w:sz="4" w:space="0" w:color="000000"/>
            </w:tcBorders>
            <w:shd w:val="clear" w:color="auto" w:fill="DBE5F1"/>
            <w:vAlign w:val="bottom"/>
            <w:hideMark/>
          </w:tcPr>
          <w:p w:rsidR="009B21E0" w:rsidRPr="009F5CF2" w:rsidRDefault="009B21E0" w:rsidP="00683CDE">
            <w:pPr>
              <w:keepNext/>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No. of Properties (2014)</w:t>
            </w:r>
          </w:p>
        </w:tc>
        <w:tc>
          <w:tcPr>
            <w:tcW w:w="1331" w:type="dxa"/>
            <w:tcBorders>
              <w:top w:val="single" w:sz="4" w:space="0" w:color="000000"/>
              <w:left w:val="single" w:sz="4" w:space="0" w:color="000000"/>
            </w:tcBorders>
            <w:shd w:val="clear" w:color="auto" w:fill="8DB3E2"/>
            <w:vAlign w:val="bottom"/>
            <w:hideMark/>
          </w:tcPr>
          <w:p w:rsidR="009B21E0" w:rsidRPr="009F5CF2" w:rsidRDefault="009B21E0" w:rsidP="00683CDE">
            <w:pPr>
              <w:keepNext/>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2012 Revaluation Increase</w:t>
            </w:r>
          </w:p>
        </w:tc>
        <w:tc>
          <w:tcPr>
            <w:tcW w:w="1331" w:type="dxa"/>
            <w:tcBorders>
              <w:top w:val="single" w:sz="4" w:space="0" w:color="000000"/>
              <w:right w:val="single" w:sz="4" w:space="0" w:color="000000"/>
            </w:tcBorders>
            <w:shd w:val="clear" w:color="auto" w:fill="8DB3E2"/>
            <w:vAlign w:val="bottom"/>
            <w:hideMark/>
          </w:tcPr>
          <w:p w:rsidR="009B21E0" w:rsidRPr="009F5CF2" w:rsidRDefault="009B21E0" w:rsidP="00683CDE">
            <w:pPr>
              <w:keepNext/>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2014 Revaluation Increase</w:t>
            </w:r>
          </w:p>
        </w:tc>
        <w:tc>
          <w:tcPr>
            <w:tcW w:w="1331" w:type="dxa"/>
            <w:tcBorders>
              <w:left w:val="single" w:sz="4" w:space="0" w:color="000000"/>
            </w:tcBorders>
            <w:shd w:val="clear" w:color="auto" w:fill="DBE5F1"/>
            <w:vAlign w:val="bottom"/>
            <w:hideMark/>
          </w:tcPr>
          <w:p w:rsidR="009B21E0" w:rsidRPr="009F5CF2" w:rsidRDefault="009B21E0" w:rsidP="00683CDE">
            <w:pPr>
              <w:keepNext/>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2016 Revaluation Increase</w:t>
            </w:r>
          </w:p>
        </w:tc>
        <w:tc>
          <w:tcPr>
            <w:tcW w:w="1139" w:type="dxa"/>
            <w:tcBorders>
              <w:bottom w:val="nil"/>
            </w:tcBorders>
            <w:shd w:val="clear" w:color="auto" w:fill="8DB3E2"/>
            <w:noWrap/>
            <w:vAlign w:val="bottom"/>
            <w:hideMark/>
          </w:tcPr>
          <w:p w:rsidR="009B21E0" w:rsidRPr="009F5CF2" w:rsidRDefault="009B21E0" w:rsidP="00683CDE">
            <w:pPr>
              <w:keepNext/>
              <w:spacing w:before="0" w:after="0"/>
              <w:rPr>
                <w:rFonts w:ascii="News Gothic Std" w:hAnsi="News Gothic Std" w:cs="Calibri"/>
                <w:sz w:val="18"/>
                <w:szCs w:val="18"/>
                <w:lang w:eastAsia="en-AU"/>
              </w:rPr>
            </w:pPr>
          </w:p>
        </w:tc>
      </w:tr>
      <w:tr w:rsidR="009B21E0" w:rsidRPr="00E60EA6" w:rsidTr="00E60EA6">
        <w:trPr>
          <w:trHeight w:val="300"/>
        </w:trPr>
        <w:tc>
          <w:tcPr>
            <w:tcW w:w="1997" w:type="dxa"/>
            <w:vMerge/>
            <w:shd w:val="clear" w:color="auto" w:fill="8DB3E2"/>
            <w:vAlign w:val="center"/>
            <w:hideMark/>
          </w:tcPr>
          <w:p w:rsidR="009B21E0" w:rsidRPr="00E86AD1" w:rsidRDefault="009B21E0" w:rsidP="00683CDE">
            <w:pPr>
              <w:keepNext/>
              <w:spacing w:before="0" w:after="0"/>
              <w:rPr>
                <w:rFonts w:ascii="News Gothic Std" w:hAnsi="News Gothic Std" w:cs="Arial"/>
                <w:b/>
                <w:bCs/>
                <w:color w:val="000000"/>
                <w:sz w:val="18"/>
                <w:szCs w:val="18"/>
                <w:lang w:eastAsia="en-AU"/>
              </w:rPr>
            </w:pPr>
          </w:p>
        </w:tc>
        <w:tc>
          <w:tcPr>
            <w:tcW w:w="1297" w:type="dxa"/>
            <w:vMerge/>
            <w:tcBorders>
              <w:right w:val="single" w:sz="4" w:space="0" w:color="000000"/>
            </w:tcBorders>
            <w:shd w:val="clear" w:color="auto" w:fill="DBE5F1"/>
            <w:vAlign w:val="center"/>
            <w:hideMark/>
          </w:tcPr>
          <w:p w:rsidR="009B21E0" w:rsidRPr="00E86AD1" w:rsidRDefault="009B21E0" w:rsidP="00683CDE">
            <w:pPr>
              <w:keepNext/>
              <w:spacing w:before="0" w:after="0"/>
              <w:rPr>
                <w:rFonts w:ascii="News Gothic Std" w:hAnsi="News Gothic Std" w:cs="Arial"/>
                <w:b/>
                <w:bCs/>
                <w:color w:val="000000"/>
                <w:sz w:val="18"/>
                <w:szCs w:val="18"/>
                <w:lang w:eastAsia="en-AU"/>
              </w:rPr>
            </w:pPr>
          </w:p>
        </w:tc>
        <w:tc>
          <w:tcPr>
            <w:tcW w:w="1331" w:type="dxa"/>
            <w:tcBorders>
              <w:left w:val="single" w:sz="4" w:space="0" w:color="000000"/>
            </w:tcBorders>
            <w:shd w:val="clear" w:color="auto" w:fill="8DB3E2"/>
            <w:vAlign w:val="bottom"/>
            <w:hideMark/>
          </w:tcPr>
          <w:p w:rsidR="009B21E0" w:rsidRPr="009F5CF2" w:rsidRDefault="009B21E0" w:rsidP="00683CDE">
            <w:pPr>
              <w:keepNext/>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Av (1.2%)</w:t>
            </w:r>
          </w:p>
        </w:tc>
        <w:tc>
          <w:tcPr>
            <w:tcW w:w="1331" w:type="dxa"/>
            <w:tcBorders>
              <w:right w:val="single" w:sz="4" w:space="0" w:color="000000"/>
            </w:tcBorders>
            <w:shd w:val="clear" w:color="auto" w:fill="8DB3E2"/>
            <w:vAlign w:val="bottom"/>
            <w:hideMark/>
          </w:tcPr>
          <w:p w:rsidR="009B21E0" w:rsidRPr="009F5CF2" w:rsidRDefault="009B21E0" w:rsidP="00683CDE">
            <w:pPr>
              <w:keepNext/>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Av 2.32%</w:t>
            </w:r>
          </w:p>
        </w:tc>
        <w:tc>
          <w:tcPr>
            <w:tcW w:w="1331" w:type="dxa"/>
            <w:tcBorders>
              <w:left w:val="single" w:sz="4" w:space="0" w:color="000000"/>
            </w:tcBorders>
            <w:shd w:val="clear" w:color="auto" w:fill="DBE5F1"/>
            <w:vAlign w:val="bottom"/>
            <w:hideMark/>
          </w:tcPr>
          <w:p w:rsidR="009B21E0" w:rsidRPr="009F5CF2" w:rsidRDefault="009B21E0" w:rsidP="00683CDE">
            <w:pPr>
              <w:keepNext/>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Av 4.95%</w:t>
            </w:r>
          </w:p>
        </w:tc>
        <w:tc>
          <w:tcPr>
            <w:tcW w:w="1139" w:type="dxa"/>
            <w:tcBorders>
              <w:top w:val="nil"/>
            </w:tcBorders>
            <w:shd w:val="clear" w:color="auto" w:fill="8DB3E2"/>
            <w:noWrap/>
            <w:vAlign w:val="bottom"/>
            <w:hideMark/>
          </w:tcPr>
          <w:p w:rsidR="009B21E0" w:rsidRPr="00E86AD1" w:rsidRDefault="009B21E0" w:rsidP="00683CDE">
            <w:pPr>
              <w:keepNext/>
              <w:spacing w:before="0" w:after="0"/>
              <w:rPr>
                <w:rFonts w:ascii="News Gothic Std" w:hAnsi="News Gothic Std" w:cs="Calibri"/>
                <w:sz w:val="18"/>
                <w:szCs w:val="18"/>
                <w:lang w:eastAsia="en-AU"/>
              </w:rPr>
            </w:pPr>
          </w:p>
        </w:tc>
      </w:tr>
      <w:tr w:rsidR="009B21E0" w:rsidRPr="00E60EA6" w:rsidTr="00E60EA6">
        <w:trPr>
          <w:trHeight w:val="255"/>
        </w:trPr>
        <w:tc>
          <w:tcPr>
            <w:tcW w:w="1997" w:type="dxa"/>
            <w:shd w:val="clear" w:color="auto" w:fill="auto"/>
            <w:noWrap/>
            <w:vAlign w:val="bottom"/>
            <w:hideMark/>
          </w:tcPr>
          <w:p w:rsidR="009B21E0" w:rsidRPr="00E60EA6" w:rsidRDefault="009B21E0" w:rsidP="00683CDE">
            <w:pPr>
              <w:keepNext/>
              <w:spacing w:before="0" w:after="0"/>
              <w:rPr>
                <w:rFonts w:cs="Lucida Sans Unicode"/>
                <w:color w:val="000000"/>
                <w:sz w:val="18"/>
                <w:szCs w:val="18"/>
                <w:lang w:eastAsia="en-AU"/>
              </w:rPr>
            </w:pPr>
            <w:r w:rsidRPr="00E60EA6">
              <w:rPr>
                <w:rFonts w:cs="Lucida Sans Unicode"/>
                <w:color w:val="000000"/>
                <w:sz w:val="18"/>
                <w:szCs w:val="18"/>
                <w:lang w:eastAsia="en-AU"/>
              </w:rPr>
              <w:t>South Geelong</w:t>
            </w:r>
          </w:p>
        </w:tc>
        <w:tc>
          <w:tcPr>
            <w:tcW w:w="1297" w:type="dxa"/>
            <w:tcBorders>
              <w:right w:val="single" w:sz="4" w:space="0" w:color="000000"/>
            </w:tcBorders>
            <w:shd w:val="clear" w:color="auto" w:fill="DBE5F1"/>
            <w:noWrap/>
            <w:vAlign w:val="bottom"/>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195</w:t>
            </w:r>
          </w:p>
        </w:tc>
        <w:tc>
          <w:tcPr>
            <w:tcW w:w="1331" w:type="dxa"/>
            <w:tcBorders>
              <w:left w:val="single" w:sz="4" w:space="0" w:color="000000"/>
            </w:tcBorders>
            <w:shd w:val="clear" w:color="auto" w:fill="auto"/>
            <w:vAlign w:val="bottom"/>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-0.20%</w:t>
            </w:r>
          </w:p>
        </w:tc>
        <w:tc>
          <w:tcPr>
            <w:tcW w:w="1331" w:type="dxa"/>
            <w:tcBorders>
              <w:right w:val="single" w:sz="4" w:space="0" w:color="000000"/>
            </w:tcBorders>
            <w:shd w:val="clear" w:color="auto" w:fill="auto"/>
            <w:noWrap/>
            <w:vAlign w:val="bottom"/>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2.78%</w:t>
            </w:r>
          </w:p>
        </w:tc>
        <w:tc>
          <w:tcPr>
            <w:tcW w:w="1331" w:type="dxa"/>
            <w:tcBorders>
              <w:left w:val="single" w:sz="4" w:space="0" w:color="000000"/>
            </w:tcBorders>
            <w:shd w:val="clear" w:color="auto" w:fill="DBE5F1"/>
            <w:noWrap/>
            <w:vAlign w:val="bottom"/>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10.19%</w:t>
            </w:r>
          </w:p>
        </w:tc>
        <w:tc>
          <w:tcPr>
            <w:tcW w:w="1139" w:type="dxa"/>
            <w:vMerge w:val="restart"/>
            <w:shd w:val="clear" w:color="auto" w:fill="auto"/>
            <w:vAlign w:val="center"/>
            <w:hideMark/>
          </w:tcPr>
          <w:p w:rsidR="009B21E0" w:rsidRPr="00E60EA6" w:rsidRDefault="009B21E0" w:rsidP="00683CDE">
            <w:pPr>
              <w:keepNext/>
              <w:spacing w:before="0" w:after="0"/>
              <w:rPr>
                <w:rFonts w:cs="Lucida Sans Unicode"/>
                <w:color w:val="000000"/>
                <w:sz w:val="18"/>
                <w:szCs w:val="18"/>
                <w:lang w:eastAsia="en-AU"/>
              </w:rPr>
            </w:pPr>
            <w:r w:rsidRPr="00E60EA6">
              <w:rPr>
                <w:rFonts w:cs="Lucida Sans Unicode"/>
                <w:color w:val="000000"/>
                <w:sz w:val="18"/>
                <w:szCs w:val="18"/>
                <w:lang w:eastAsia="en-AU"/>
              </w:rPr>
              <w:t>Above Average</w:t>
            </w:r>
          </w:p>
        </w:tc>
      </w:tr>
      <w:tr w:rsidR="009B21E0" w:rsidRPr="00E60EA6" w:rsidTr="00E60EA6">
        <w:trPr>
          <w:trHeight w:val="255"/>
        </w:trPr>
        <w:tc>
          <w:tcPr>
            <w:tcW w:w="1997" w:type="dxa"/>
            <w:shd w:val="clear" w:color="auto" w:fill="auto"/>
            <w:noWrap/>
            <w:vAlign w:val="bottom"/>
            <w:hideMark/>
          </w:tcPr>
          <w:p w:rsidR="009B21E0" w:rsidRPr="00E60EA6" w:rsidRDefault="009B21E0" w:rsidP="00683CDE">
            <w:pPr>
              <w:keepNext/>
              <w:spacing w:before="0" w:after="0"/>
              <w:rPr>
                <w:rFonts w:cs="Lucida Sans Unicode"/>
                <w:color w:val="000000"/>
                <w:sz w:val="18"/>
                <w:szCs w:val="18"/>
                <w:lang w:eastAsia="en-AU"/>
              </w:rPr>
            </w:pPr>
            <w:r w:rsidRPr="00E60EA6">
              <w:rPr>
                <w:rFonts w:cs="Lucida Sans Unicode"/>
                <w:color w:val="000000"/>
                <w:sz w:val="18"/>
                <w:szCs w:val="18"/>
                <w:lang w:eastAsia="en-AU"/>
              </w:rPr>
              <w:t>North Geelong</w:t>
            </w:r>
          </w:p>
        </w:tc>
        <w:tc>
          <w:tcPr>
            <w:tcW w:w="1297" w:type="dxa"/>
            <w:tcBorders>
              <w:right w:val="single" w:sz="4" w:space="0" w:color="000000"/>
            </w:tcBorders>
            <w:shd w:val="clear" w:color="auto" w:fill="DBE5F1"/>
            <w:noWrap/>
            <w:vAlign w:val="bottom"/>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442</w:t>
            </w:r>
          </w:p>
        </w:tc>
        <w:tc>
          <w:tcPr>
            <w:tcW w:w="1331" w:type="dxa"/>
            <w:tcBorders>
              <w:left w:val="single" w:sz="4" w:space="0" w:color="000000"/>
            </w:tcBorders>
            <w:shd w:val="clear" w:color="auto" w:fill="auto"/>
            <w:vAlign w:val="bottom"/>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-8.00%</w:t>
            </w:r>
          </w:p>
        </w:tc>
        <w:tc>
          <w:tcPr>
            <w:tcW w:w="1331" w:type="dxa"/>
            <w:tcBorders>
              <w:right w:val="single" w:sz="4" w:space="0" w:color="000000"/>
            </w:tcBorders>
            <w:shd w:val="clear" w:color="auto" w:fill="auto"/>
            <w:noWrap/>
            <w:vAlign w:val="bottom"/>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3.16%</w:t>
            </w:r>
          </w:p>
        </w:tc>
        <w:tc>
          <w:tcPr>
            <w:tcW w:w="1331" w:type="dxa"/>
            <w:tcBorders>
              <w:left w:val="single" w:sz="4" w:space="0" w:color="000000"/>
            </w:tcBorders>
            <w:shd w:val="clear" w:color="auto" w:fill="DBE5F1"/>
            <w:noWrap/>
            <w:vAlign w:val="bottom"/>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10.29%</w:t>
            </w:r>
          </w:p>
        </w:tc>
        <w:tc>
          <w:tcPr>
            <w:tcW w:w="1139" w:type="dxa"/>
            <w:vMerge/>
            <w:vAlign w:val="center"/>
            <w:hideMark/>
          </w:tcPr>
          <w:p w:rsidR="009B21E0" w:rsidRPr="00E60EA6" w:rsidRDefault="009B21E0" w:rsidP="00683CDE">
            <w:pPr>
              <w:keepNext/>
              <w:spacing w:before="0" w:after="0"/>
              <w:rPr>
                <w:rFonts w:cs="Lucida Sans Unicode"/>
                <w:color w:val="000000"/>
                <w:sz w:val="18"/>
                <w:szCs w:val="18"/>
                <w:lang w:eastAsia="en-AU"/>
              </w:rPr>
            </w:pPr>
          </w:p>
        </w:tc>
      </w:tr>
      <w:tr w:rsidR="009B21E0" w:rsidRPr="00E60EA6" w:rsidTr="00E60EA6">
        <w:trPr>
          <w:trHeight w:val="255"/>
        </w:trPr>
        <w:tc>
          <w:tcPr>
            <w:tcW w:w="1997" w:type="dxa"/>
            <w:shd w:val="clear" w:color="auto" w:fill="auto"/>
            <w:noWrap/>
            <w:vAlign w:val="bottom"/>
            <w:hideMark/>
          </w:tcPr>
          <w:p w:rsidR="009B21E0" w:rsidRPr="00E60EA6" w:rsidRDefault="009B21E0" w:rsidP="00683CDE">
            <w:pPr>
              <w:keepNext/>
              <w:spacing w:before="0" w:after="0"/>
              <w:rPr>
                <w:rFonts w:cs="Lucida Sans Unicode"/>
                <w:color w:val="000000"/>
                <w:sz w:val="18"/>
                <w:szCs w:val="18"/>
                <w:lang w:eastAsia="en-AU"/>
              </w:rPr>
            </w:pPr>
            <w:r w:rsidRPr="00E60EA6">
              <w:rPr>
                <w:rFonts w:cs="Lucida Sans Unicode"/>
                <w:color w:val="000000"/>
                <w:sz w:val="18"/>
                <w:szCs w:val="18"/>
                <w:lang w:eastAsia="en-AU"/>
              </w:rPr>
              <w:t>North Shore</w:t>
            </w:r>
          </w:p>
        </w:tc>
        <w:tc>
          <w:tcPr>
            <w:tcW w:w="1297" w:type="dxa"/>
            <w:tcBorders>
              <w:right w:val="single" w:sz="4" w:space="0" w:color="000000"/>
            </w:tcBorders>
            <w:shd w:val="clear" w:color="auto" w:fill="DBE5F1"/>
            <w:noWrap/>
            <w:vAlign w:val="bottom"/>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123</w:t>
            </w:r>
          </w:p>
        </w:tc>
        <w:tc>
          <w:tcPr>
            <w:tcW w:w="1331" w:type="dxa"/>
            <w:tcBorders>
              <w:left w:val="single" w:sz="4" w:space="0" w:color="000000"/>
            </w:tcBorders>
            <w:shd w:val="clear" w:color="auto" w:fill="auto"/>
            <w:vAlign w:val="bottom"/>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-9.60%</w:t>
            </w:r>
          </w:p>
        </w:tc>
        <w:tc>
          <w:tcPr>
            <w:tcW w:w="1331" w:type="dxa"/>
            <w:tcBorders>
              <w:right w:val="single" w:sz="4" w:space="0" w:color="000000"/>
            </w:tcBorders>
            <w:shd w:val="clear" w:color="auto" w:fill="auto"/>
            <w:noWrap/>
            <w:vAlign w:val="bottom"/>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5.18%</w:t>
            </w:r>
          </w:p>
        </w:tc>
        <w:tc>
          <w:tcPr>
            <w:tcW w:w="1331" w:type="dxa"/>
            <w:tcBorders>
              <w:left w:val="single" w:sz="4" w:space="0" w:color="000000"/>
            </w:tcBorders>
            <w:shd w:val="clear" w:color="auto" w:fill="DBE5F1"/>
            <w:noWrap/>
            <w:vAlign w:val="bottom"/>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15.91%</w:t>
            </w:r>
          </w:p>
        </w:tc>
        <w:tc>
          <w:tcPr>
            <w:tcW w:w="1139" w:type="dxa"/>
            <w:vMerge/>
            <w:vAlign w:val="center"/>
            <w:hideMark/>
          </w:tcPr>
          <w:p w:rsidR="009B21E0" w:rsidRPr="00E60EA6" w:rsidRDefault="009B21E0" w:rsidP="00683CDE">
            <w:pPr>
              <w:keepNext/>
              <w:spacing w:before="0" w:after="0"/>
              <w:rPr>
                <w:rFonts w:cs="Lucida Sans Unicode"/>
                <w:color w:val="000000"/>
                <w:sz w:val="18"/>
                <w:szCs w:val="18"/>
                <w:lang w:eastAsia="en-AU"/>
              </w:rPr>
            </w:pPr>
          </w:p>
        </w:tc>
      </w:tr>
      <w:tr w:rsidR="009B21E0" w:rsidRPr="00E60EA6" w:rsidTr="00E60EA6">
        <w:trPr>
          <w:trHeight w:val="255"/>
        </w:trPr>
        <w:tc>
          <w:tcPr>
            <w:tcW w:w="1997" w:type="dxa"/>
            <w:shd w:val="clear" w:color="auto" w:fill="auto"/>
            <w:noWrap/>
            <w:vAlign w:val="bottom"/>
            <w:hideMark/>
          </w:tcPr>
          <w:p w:rsidR="009B21E0" w:rsidRPr="00E60EA6" w:rsidRDefault="009B21E0" w:rsidP="00683CDE">
            <w:pPr>
              <w:keepNext/>
              <w:spacing w:before="0" w:after="0"/>
              <w:rPr>
                <w:rFonts w:cs="Lucida Sans Unicode"/>
                <w:color w:val="000000"/>
                <w:sz w:val="18"/>
                <w:szCs w:val="18"/>
                <w:lang w:eastAsia="en-AU"/>
              </w:rPr>
            </w:pPr>
            <w:r w:rsidRPr="00E60EA6">
              <w:rPr>
                <w:rFonts w:cs="Lucida Sans Unicode"/>
                <w:color w:val="000000"/>
                <w:sz w:val="18"/>
                <w:szCs w:val="18"/>
                <w:lang w:eastAsia="en-AU"/>
              </w:rPr>
              <w:t>Moolap*</w:t>
            </w:r>
          </w:p>
        </w:tc>
        <w:tc>
          <w:tcPr>
            <w:tcW w:w="1297" w:type="dxa"/>
            <w:tcBorders>
              <w:right w:val="single" w:sz="4" w:space="0" w:color="000000"/>
            </w:tcBorders>
            <w:shd w:val="clear" w:color="auto" w:fill="DBE5F1"/>
            <w:noWrap/>
            <w:vAlign w:val="bottom"/>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327</w:t>
            </w:r>
          </w:p>
        </w:tc>
        <w:tc>
          <w:tcPr>
            <w:tcW w:w="1331" w:type="dxa"/>
            <w:tcBorders>
              <w:left w:val="single" w:sz="4" w:space="0" w:color="000000"/>
            </w:tcBorders>
            <w:shd w:val="clear" w:color="auto" w:fill="auto"/>
            <w:vAlign w:val="bottom"/>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-0.20%</w:t>
            </w:r>
          </w:p>
        </w:tc>
        <w:tc>
          <w:tcPr>
            <w:tcW w:w="1331" w:type="dxa"/>
            <w:tcBorders>
              <w:right w:val="single" w:sz="4" w:space="0" w:color="000000"/>
            </w:tcBorders>
            <w:shd w:val="clear" w:color="auto" w:fill="auto"/>
            <w:noWrap/>
            <w:vAlign w:val="bottom"/>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2.31%</w:t>
            </w:r>
          </w:p>
        </w:tc>
        <w:tc>
          <w:tcPr>
            <w:tcW w:w="1331" w:type="dxa"/>
            <w:tcBorders>
              <w:left w:val="single" w:sz="4" w:space="0" w:color="000000"/>
            </w:tcBorders>
            <w:shd w:val="clear" w:color="auto" w:fill="DBE5F1"/>
            <w:noWrap/>
            <w:vAlign w:val="bottom"/>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6.99%</w:t>
            </w:r>
          </w:p>
        </w:tc>
        <w:tc>
          <w:tcPr>
            <w:tcW w:w="1139" w:type="dxa"/>
            <w:vMerge/>
            <w:vAlign w:val="center"/>
            <w:hideMark/>
          </w:tcPr>
          <w:p w:rsidR="009B21E0" w:rsidRPr="00E60EA6" w:rsidRDefault="009B21E0" w:rsidP="00683CDE">
            <w:pPr>
              <w:keepNext/>
              <w:spacing w:before="0" w:after="0"/>
              <w:rPr>
                <w:rFonts w:cs="Lucida Sans Unicode"/>
                <w:color w:val="000000"/>
                <w:sz w:val="18"/>
                <w:szCs w:val="18"/>
                <w:lang w:eastAsia="en-AU"/>
              </w:rPr>
            </w:pPr>
          </w:p>
        </w:tc>
      </w:tr>
      <w:tr w:rsidR="009B21E0" w:rsidRPr="00E60EA6" w:rsidTr="00E60EA6">
        <w:trPr>
          <w:trHeight w:val="510"/>
        </w:trPr>
        <w:tc>
          <w:tcPr>
            <w:tcW w:w="1997" w:type="dxa"/>
            <w:shd w:val="clear" w:color="auto" w:fill="auto"/>
            <w:noWrap/>
            <w:hideMark/>
          </w:tcPr>
          <w:p w:rsidR="009B21E0" w:rsidRPr="00E60EA6" w:rsidRDefault="009B21E0" w:rsidP="00683CDE">
            <w:pPr>
              <w:keepNext/>
              <w:spacing w:before="0" w:after="0"/>
              <w:rPr>
                <w:rFonts w:cs="Lucida Sans Unicode"/>
                <w:color w:val="000000"/>
                <w:sz w:val="18"/>
                <w:szCs w:val="18"/>
                <w:lang w:eastAsia="en-AU"/>
              </w:rPr>
            </w:pPr>
            <w:r w:rsidRPr="00E60EA6">
              <w:rPr>
                <w:rFonts w:cs="Lucida Sans Unicode"/>
                <w:color w:val="000000"/>
                <w:sz w:val="18"/>
                <w:szCs w:val="18"/>
                <w:lang w:eastAsia="en-AU"/>
              </w:rPr>
              <w:t>Breakwater</w:t>
            </w:r>
          </w:p>
        </w:tc>
        <w:tc>
          <w:tcPr>
            <w:tcW w:w="1297" w:type="dxa"/>
            <w:tcBorders>
              <w:right w:val="single" w:sz="4" w:space="0" w:color="000000"/>
            </w:tcBorders>
            <w:shd w:val="clear" w:color="auto" w:fill="DBE5F1"/>
            <w:noWrap/>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151</w:t>
            </w:r>
          </w:p>
        </w:tc>
        <w:tc>
          <w:tcPr>
            <w:tcW w:w="1331" w:type="dxa"/>
            <w:tcBorders>
              <w:left w:val="single" w:sz="4" w:space="0" w:color="000000"/>
            </w:tcBorders>
            <w:shd w:val="clear" w:color="auto" w:fill="auto"/>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-8.60%</w:t>
            </w:r>
          </w:p>
        </w:tc>
        <w:tc>
          <w:tcPr>
            <w:tcW w:w="1331" w:type="dxa"/>
            <w:tcBorders>
              <w:right w:val="single" w:sz="4" w:space="0" w:color="000000"/>
            </w:tcBorders>
            <w:shd w:val="clear" w:color="auto" w:fill="auto"/>
            <w:noWrap/>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3.59%</w:t>
            </w:r>
          </w:p>
        </w:tc>
        <w:tc>
          <w:tcPr>
            <w:tcW w:w="1331" w:type="dxa"/>
            <w:tcBorders>
              <w:left w:val="single" w:sz="4" w:space="0" w:color="000000"/>
            </w:tcBorders>
            <w:shd w:val="clear" w:color="auto" w:fill="DBE5F1"/>
            <w:noWrap/>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-2.40%</w:t>
            </w:r>
          </w:p>
        </w:tc>
        <w:tc>
          <w:tcPr>
            <w:tcW w:w="1139" w:type="dxa"/>
            <w:shd w:val="clear" w:color="auto" w:fill="auto"/>
            <w:hideMark/>
          </w:tcPr>
          <w:p w:rsidR="009B21E0" w:rsidRPr="00E60EA6" w:rsidRDefault="009B21E0" w:rsidP="00683CDE">
            <w:pPr>
              <w:keepNext/>
              <w:spacing w:before="0" w:after="0"/>
              <w:rPr>
                <w:rFonts w:cs="Lucida Sans Unicode"/>
                <w:color w:val="000000"/>
                <w:sz w:val="18"/>
                <w:szCs w:val="18"/>
                <w:lang w:eastAsia="en-AU"/>
              </w:rPr>
            </w:pPr>
            <w:r w:rsidRPr="00E60EA6">
              <w:rPr>
                <w:rFonts w:cs="Lucida Sans Unicode"/>
                <w:color w:val="000000"/>
                <w:sz w:val="18"/>
                <w:szCs w:val="18"/>
                <w:lang w:eastAsia="en-AU"/>
              </w:rPr>
              <w:t>Below Average</w:t>
            </w:r>
          </w:p>
        </w:tc>
      </w:tr>
      <w:tr w:rsidR="009B21E0" w:rsidRPr="00E60EA6" w:rsidTr="00E60EA6">
        <w:trPr>
          <w:trHeight w:val="300"/>
        </w:trPr>
        <w:tc>
          <w:tcPr>
            <w:tcW w:w="1997" w:type="dxa"/>
            <w:shd w:val="clear" w:color="auto" w:fill="auto"/>
            <w:noWrap/>
            <w:vAlign w:val="bottom"/>
            <w:hideMark/>
          </w:tcPr>
          <w:p w:rsidR="009B21E0" w:rsidRPr="00E60EA6" w:rsidRDefault="009B21E0" w:rsidP="00683CDE">
            <w:pPr>
              <w:keepNext/>
              <w:spacing w:before="0" w:after="0"/>
              <w:rPr>
                <w:rFonts w:cs="Lucida Sans Unicode"/>
                <w:b/>
                <w:bCs/>
                <w:color w:val="000000"/>
                <w:sz w:val="18"/>
                <w:szCs w:val="18"/>
                <w:lang w:eastAsia="en-AU"/>
              </w:rPr>
            </w:pPr>
            <w:r w:rsidRPr="00E60EA6">
              <w:rPr>
                <w:rFonts w:cs="Lucida Sans Unicode"/>
                <w:b/>
                <w:bCs/>
                <w:color w:val="000000"/>
                <w:sz w:val="18"/>
                <w:szCs w:val="18"/>
                <w:lang w:eastAsia="en-AU"/>
              </w:rPr>
              <w:t>Total</w:t>
            </w:r>
          </w:p>
        </w:tc>
        <w:tc>
          <w:tcPr>
            <w:tcW w:w="1297" w:type="dxa"/>
            <w:tcBorders>
              <w:right w:val="single" w:sz="4" w:space="0" w:color="000000"/>
            </w:tcBorders>
            <w:shd w:val="clear" w:color="auto" w:fill="DBE5F1"/>
            <w:noWrap/>
            <w:vAlign w:val="bottom"/>
            <w:hideMark/>
          </w:tcPr>
          <w:p w:rsidR="009B21E0" w:rsidRPr="00E60EA6" w:rsidRDefault="009B21E0" w:rsidP="00683CDE">
            <w:pPr>
              <w:keepNext/>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1,238</w:t>
            </w:r>
          </w:p>
        </w:tc>
        <w:tc>
          <w:tcPr>
            <w:tcW w:w="1331" w:type="dxa"/>
            <w:tcBorders>
              <w:left w:val="single" w:sz="4" w:space="0" w:color="000000"/>
              <w:bottom w:val="single" w:sz="4" w:space="0" w:color="000000"/>
            </w:tcBorders>
            <w:shd w:val="clear" w:color="auto" w:fill="auto"/>
            <w:vAlign w:val="bottom"/>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 </w:t>
            </w:r>
          </w:p>
        </w:tc>
        <w:tc>
          <w:tcPr>
            <w:tcW w:w="1331" w:type="dxa"/>
            <w:tcBorders>
              <w:bottom w:val="single" w:sz="4" w:space="0" w:color="000000"/>
              <w:right w:val="single" w:sz="4" w:space="0" w:color="000000"/>
            </w:tcBorders>
            <w:shd w:val="clear" w:color="auto" w:fill="auto"/>
            <w:noWrap/>
            <w:vAlign w:val="bottom"/>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 </w:t>
            </w:r>
          </w:p>
        </w:tc>
        <w:tc>
          <w:tcPr>
            <w:tcW w:w="1331" w:type="dxa"/>
            <w:tcBorders>
              <w:left w:val="single" w:sz="4" w:space="0" w:color="000000"/>
            </w:tcBorders>
            <w:shd w:val="clear" w:color="auto" w:fill="DBE5F1"/>
            <w:noWrap/>
            <w:vAlign w:val="bottom"/>
            <w:hideMark/>
          </w:tcPr>
          <w:p w:rsidR="009B21E0" w:rsidRPr="00E60EA6" w:rsidRDefault="009B21E0" w:rsidP="00683CDE">
            <w:pPr>
              <w:keepNext/>
              <w:spacing w:before="0" w:after="0"/>
              <w:jc w:val="right"/>
              <w:rPr>
                <w:rFonts w:cs="Lucida Sans Unicode"/>
                <w:color w:val="000000"/>
                <w:sz w:val="18"/>
                <w:szCs w:val="18"/>
                <w:lang w:eastAsia="en-AU"/>
              </w:rPr>
            </w:pPr>
            <w:r w:rsidRPr="00E60EA6">
              <w:rPr>
                <w:rFonts w:cs="Lucida Sans Unicode"/>
                <w:color w:val="000000"/>
                <w:sz w:val="18"/>
                <w:szCs w:val="18"/>
                <w:lang w:eastAsia="en-AU"/>
              </w:rPr>
              <w:t> </w:t>
            </w:r>
          </w:p>
        </w:tc>
        <w:tc>
          <w:tcPr>
            <w:tcW w:w="1139" w:type="dxa"/>
            <w:shd w:val="clear" w:color="auto" w:fill="auto"/>
            <w:noWrap/>
            <w:vAlign w:val="bottom"/>
            <w:hideMark/>
          </w:tcPr>
          <w:p w:rsidR="009B21E0" w:rsidRPr="00E60EA6" w:rsidRDefault="009B21E0" w:rsidP="00683CDE">
            <w:pPr>
              <w:keepNext/>
              <w:spacing w:before="0" w:after="0"/>
              <w:rPr>
                <w:rFonts w:cs="Lucida Sans Unicode"/>
                <w:sz w:val="18"/>
                <w:szCs w:val="18"/>
                <w:lang w:eastAsia="en-AU"/>
              </w:rPr>
            </w:pPr>
          </w:p>
        </w:tc>
      </w:tr>
    </w:tbl>
    <w:p w:rsidR="009B21E0" w:rsidRPr="00C27A8A" w:rsidRDefault="009B21E0">
      <w:pPr>
        <w:pStyle w:val="BodyText"/>
      </w:pPr>
      <w:r w:rsidRPr="00C27A8A">
        <w:t>*Moolap does not include Alcoa of Australia Ltd previously on the aluminium differential.</w:t>
      </w:r>
    </w:p>
    <w:p w:rsidR="009B21E0" w:rsidRPr="00C27A8A" w:rsidRDefault="009B21E0">
      <w:pPr>
        <w:pStyle w:val="BodyText"/>
      </w:pPr>
      <w:r w:rsidRPr="00C27A8A">
        <w:t>A total of 84 properties in Newtown have increased by 22.20%, 70 properties in Ocean Grove have increased by 23.43%, and 67 properties in Corio have decreased by (0.95%).</w:t>
      </w:r>
    </w:p>
    <w:p w:rsidR="009B21E0" w:rsidRPr="00C27A8A" w:rsidRDefault="009B21E0">
      <w:pPr>
        <w:pStyle w:val="Heading4A"/>
      </w:pPr>
      <w:r w:rsidRPr="00C27A8A">
        <w:t>Vacant</w:t>
      </w:r>
    </w:p>
    <w:p w:rsidR="009B21E0" w:rsidRPr="00C27A8A" w:rsidRDefault="009B21E0">
      <w:pPr>
        <w:pStyle w:val="BodyText"/>
      </w:pPr>
      <w:r w:rsidRPr="00C27A8A">
        <w:t xml:space="preserve">Overall 5,050 vacant land valuations recorded an average increase of 9.51% compared to an increase of 4.11% in 2014. </w:t>
      </w:r>
    </w:p>
    <w:p w:rsidR="009B21E0" w:rsidRPr="00C27A8A" w:rsidRDefault="009B21E0">
      <w:pPr>
        <w:pStyle w:val="BodyText"/>
      </w:pPr>
      <w:r w:rsidRPr="00C27A8A">
        <w:t>The following table provides a comparison of the suburbs with the highest number of properties for the 2012, 2014 &amp; 2016 revaluations.</w:t>
      </w:r>
    </w:p>
    <w:tbl>
      <w:tblPr>
        <w:tblW w:w="8659" w:type="dxa"/>
        <w:tblInd w:w="9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422"/>
        <w:gridCol w:w="1091"/>
        <w:gridCol w:w="1192"/>
        <w:gridCol w:w="1192"/>
        <w:gridCol w:w="1192"/>
        <w:gridCol w:w="1570"/>
      </w:tblGrid>
      <w:tr w:rsidR="009B21E0" w:rsidRPr="00E60EA6" w:rsidTr="00E60EA6">
        <w:trPr>
          <w:trHeight w:val="20"/>
        </w:trPr>
        <w:tc>
          <w:tcPr>
            <w:tcW w:w="2422" w:type="dxa"/>
            <w:vMerge w:val="restart"/>
            <w:shd w:val="clear" w:color="auto" w:fill="8DB3E2"/>
            <w:noWrap/>
            <w:hideMark/>
          </w:tcPr>
          <w:p w:rsidR="009B21E0" w:rsidRPr="009F5CF2" w:rsidRDefault="009B21E0" w:rsidP="00B85F78">
            <w:pPr>
              <w:spacing w:before="0" w:after="0"/>
              <w:contextualSpacing/>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Suburbs</w:t>
            </w:r>
          </w:p>
        </w:tc>
        <w:tc>
          <w:tcPr>
            <w:tcW w:w="1091" w:type="dxa"/>
            <w:vMerge w:val="restart"/>
            <w:tcBorders>
              <w:right w:val="single" w:sz="4" w:space="0" w:color="000000"/>
            </w:tcBorders>
            <w:shd w:val="clear" w:color="auto" w:fill="DBE5F1"/>
            <w:hideMark/>
          </w:tcPr>
          <w:p w:rsidR="009B21E0" w:rsidRPr="009F5CF2" w:rsidRDefault="009B21E0" w:rsidP="00B85F78">
            <w:pPr>
              <w:spacing w:before="0" w:after="0"/>
              <w:contextualSpacing/>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No. of Properties 2014</w:t>
            </w:r>
          </w:p>
        </w:tc>
        <w:tc>
          <w:tcPr>
            <w:tcW w:w="1192" w:type="dxa"/>
            <w:tcBorders>
              <w:top w:val="single" w:sz="4" w:space="0" w:color="000000"/>
              <w:left w:val="single" w:sz="4" w:space="0" w:color="000000"/>
            </w:tcBorders>
            <w:shd w:val="clear" w:color="auto" w:fill="8DB3E2"/>
            <w:hideMark/>
          </w:tcPr>
          <w:p w:rsidR="009B21E0" w:rsidRPr="009F5CF2" w:rsidRDefault="009B21E0" w:rsidP="00B85F78">
            <w:pPr>
              <w:spacing w:before="0" w:after="0"/>
              <w:contextualSpacing/>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2012 Revaluation Increase</w:t>
            </w:r>
          </w:p>
        </w:tc>
        <w:tc>
          <w:tcPr>
            <w:tcW w:w="1192" w:type="dxa"/>
            <w:tcBorders>
              <w:top w:val="single" w:sz="4" w:space="0" w:color="000000"/>
              <w:right w:val="single" w:sz="4" w:space="0" w:color="000000"/>
            </w:tcBorders>
            <w:shd w:val="clear" w:color="auto" w:fill="8DB3E2"/>
            <w:hideMark/>
          </w:tcPr>
          <w:p w:rsidR="009B21E0" w:rsidRPr="009F5CF2" w:rsidRDefault="009B21E0" w:rsidP="00B85F78">
            <w:pPr>
              <w:spacing w:before="0" w:after="0"/>
              <w:contextualSpacing/>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2014 Revaluation Increase</w:t>
            </w:r>
          </w:p>
        </w:tc>
        <w:tc>
          <w:tcPr>
            <w:tcW w:w="1192" w:type="dxa"/>
            <w:tcBorders>
              <w:left w:val="single" w:sz="4" w:space="0" w:color="000000"/>
            </w:tcBorders>
            <w:shd w:val="clear" w:color="auto" w:fill="DBE5F1"/>
            <w:hideMark/>
          </w:tcPr>
          <w:p w:rsidR="009B21E0" w:rsidRPr="009F5CF2" w:rsidRDefault="009B21E0" w:rsidP="00B85F78">
            <w:pPr>
              <w:spacing w:before="0" w:after="0"/>
              <w:contextualSpacing/>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2016 Revaluation Increase</w:t>
            </w:r>
          </w:p>
        </w:tc>
        <w:tc>
          <w:tcPr>
            <w:tcW w:w="1570" w:type="dxa"/>
            <w:tcBorders>
              <w:bottom w:val="nil"/>
            </w:tcBorders>
            <w:shd w:val="clear" w:color="auto" w:fill="8DB3E2"/>
            <w:noWrap/>
            <w:hideMark/>
          </w:tcPr>
          <w:p w:rsidR="009B21E0" w:rsidRPr="009F5CF2" w:rsidRDefault="009B21E0" w:rsidP="00B85F78">
            <w:pPr>
              <w:spacing w:before="0" w:after="0"/>
              <w:contextualSpacing/>
              <w:rPr>
                <w:rFonts w:ascii="News Gothic Std" w:hAnsi="News Gothic Std" w:cs="Calibri"/>
                <w:sz w:val="18"/>
                <w:szCs w:val="18"/>
                <w:lang w:eastAsia="en-AU"/>
              </w:rPr>
            </w:pPr>
          </w:p>
        </w:tc>
      </w:tr>
      <w:tr w:rsidR="009B21E0" w:rsidRPr="00E60EA6" w:rsidTr="00E60EA6">
        <w:trPr>
          <w:trHeight w:val="20"/>
        </w:trPr>
        <w:tc>
          <w:tcPr>
            <w:tcW w:w="2422" w:type="dxa"/>
            <w:vMerge/>
            <w:shd w:val="clear" w:color="auto" w:fill="8DB3E2"/>
            <w:hideMark/>
          </w:tcPr>
          <w:p w:rsidR="009B21E0" w:rsidRPr="00E86AD1" w:rsidRDefault="009B21E0" w:rsidP="00B85F78">
            <w:pPr>
              <w:spacing w:before="0" w:after="0"/>
              <w:contextualSpacing/>
              <w:rPr>
                <w:rFonts w:ascii="News Gothic Std" w:hAnsi="News Gothic Std" w:cs="Arial"/>
                <w:b/>
                <w:bCs/>
                <w:color w:val="000000"/>
                <w:sz w:val="18"/>
                <w:szCs w:val="18"/>
                <w:lang w:eastAsia="en-AU"/>
              </w:rPr>
            </w:pPr>
          </w:p>
        </w:tc>
        <w:tc>
          <w:tcPr>
            <w:tcW w:w="1091" w:type="dxa"/>
            <w:vMerge/>
            <w:tcBorders>
              <w:right w:val="single" w:sz="4" w:space="0" w:color="000000"/>
            </w:tcBorders>
            <w:shd w:val="clear" w:color="auto" w:fill="DBE5F1"/>
            <w:hideMark/>
          </w:tcPr>
          <w:p w:rsidR="009B21E0" w:rsidRPr="00E86AD1" w:rsidRDefault="009B21E0" w:rsidP="00B85F78">
            <w:pPr>
              <w:spacing w:before="0" w:after="0"/>
              <w:contextualSpacing/>
              <w:jc w:val="right"/>
              <w:rPr>
                <w:rFonts w:ascii="News Gothic Std" w:hAnsi="News Gothic Std" w:cs="Arial"/>
                <w:b/>
                <w:bCs/>
                <w:color w:val="000000"/>
                <w:sz w:val="18"/>
                <w:szCs w:val="18"/>
                <w:lang w:eastAsia="en-AU"/>
              </w:rPr>
            </w:pPr>
          </w:p>
        </w:tc>
        <w:tc>
          <w:tcPr>
            <w:tcW w:w="1192" w:type="dxa"/>
            <w:tcBorders>
              <w:left w:val="single" w:sz="4" w:space="0" w:color="000000"/>
            </w:tcBorders>
            <w:shd w:val="clear" w:color="auto" w:fill="8DB3E2"/>
            <w:hideMark/>
          </w:tcPr>
          <w:p w:rsidR="009B21E0" w:rsidRPr="009F5CF2" w:rsidRDefault="009B21E0" w:rsidP="00B85F78">
            <w:pPr>
              <w:spacing w:before="0" w:after="0"/>
              <w:contextualSpacing/>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Av 14.2%</w:t>
            </w:r>
          </w:p>
        </w:tc>
        <w:tc>
          <w:tcPr>
            <w:tcW w:w="1192" w:type="dxa"/>
            <w:tcBorders>
              <w:right w:val="single" w:sz="4" w:space="0" w:color="000000"/>
            </w:tcBorders>
            <w:shd w:val="clear" w:color="auto" w:fill="8DB3E2"/>
            <w:hideMark/>
          </w:tcPr>
          <w:p w:rsidR="009B21E0" w:rsidRPr="009F5CF2" w:rsidRDefault="009B21E0" w:rsidP="00B85F78">
            <w:pPr>
              <w:spacing w:before="0" w:after="0"/>
              <w:contextualSpacing/>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Av 4.11%</w:t>
            </w:r>
          </w:p>
        </w:tc>
        <w:tc>
          <w:tcPr>
            <w:tcW w:w="1192" w:type="dxa"/>
            <w:tcBorders>
              <w:left w:val="single" w:sz="4" w:space="0" w:color="000000"/>
            </w:tcBorders>
            <w:shd w:val="clear" w:color="auto" w:fill="DBE5F1"/>
            <w:hideMark/>
          </w:tcPr>
          <w:p w:rsidR="009B21E0" w:rsidRPr="009F5CF2" w:rsidRDefault="009B21E0" w:rsidP="00B85F78">
            <w:pPr>
              <w:spacing w:before="0" w:after="0"/>
              <w:contextualSpacing/>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Av 9.51%</w:t>
            </w:r>
          </w:p>
        </w:tc>
        <w:tc>
          <w:tcPr>
            <w:tcW w:w="1570" w:type="dxa"/>
            <w:tcBorders>
              <w:top w:val="nil"/>
            </w:tcBorders>
            <w:shd w:val="clear" w:color="auto" w:fill="8DB3E2"/>
            <w:noWrap/>
            <w:hideMark/>
          </w:tcPr>
          <w:p w:rsidR="009B21E0" w:rsidRPr="00E86AD1" w:rsidRDefault="009B21E0" w:rsidP="00B85F78">
            <w:pPr>
              <w:spacing w:before="0" w:after="0"/>
              <w:contextualSpacing/>
              <w:rPr>
                <w:rFonts w:ascii="News Gothic Std" w:hAnsi="News Gothic Std" w:cs="Calibri"/>
                <w:sz w:val="18"/>
                <w:szCs w:val="18"/>
                <w:lang w:eastAsia="en-AU"/>
              </w:rPr>
            </w:pPr>
          </w:p>
        </w:tc>
      </w:tr>
      <w:tr w:rsidR="009B21E0" w:rsidRPr="00E60EA6" w:rsidTr="00E60EA6">
        <w:trPr>
          <w:trHeight w:val="20"/>
        </w:trPr>
        <w:tc>
          <w:tcPr>
            <w:tcW w:w="2422" w:type="dxa"/>
            <w:shd w:val="clear" w:color="auto" w:fill="auto"/>
            <w:noWrap/>
            <w:hideMark/>
          </w:tcPr>
          <w:p w:rsidR="009B21E0" w:rsidRPr="00E60EA6" w:rsidRDefault="009B21E0" w:rsidP="00B85F78">
            <w:pPr>
              <w:spacing w:before="0" w:after="0"/>
              <w:contextualSpacing/>
              <w:rPr>
                <w:rFonts w:cs="Lucida Sans Unicode"/>
                <w:color w:val="000000"/>
                <w:sz w:val="18"/>
                <w:szCs w:val="18"/>
                <w:lang w:eastAsia="en-AU"/>
              </w:rPr>
            </w:pPr>
            <w:r w:rsidRPr="00E60EA6">
              <w:rPr>
                <w:rFonts w:cs="Lucida Sans Unicode"/>
                <w:color w:val="000000"/>
                <w:sz w:val="18"/>
                <w:szCs w:val="18"/>
                <w:lang w:eastAsia="en-AU"/>
              </w:rPr>
              <w:t>Armstrong Creek</w:t>
            </w:r>
          </w:p>
        </w:tc>
        <w:tc>
          <w:tcPr>
            <w:tcW w:w="1091" w:type="dxa"/>
            <w:tcBorders>
              <w:righ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 xml:space="preserve">215 </w:t>
            </w:r>
          </w:p>
        </w:tc>
        <w:tc>
          <w:tcPr>
            <w:tcW w:w="1192" w:type="dxa"/>
            <w:tcBorders>
              <w:lef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59.20%</w:t>
            </w:r>
          </w:p>
        </w:tc>
        <w:tc>
          <w:tcPr>
            <w:tcW w:w="1192" w:type="dxa"/>
            <w:tcBorders>
              <w:righ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14.97%</w:t>
            </w:r>
          </w:p>
        </w:tc>
        <w:tc>
          <w:tcPr>
            <w:tcW w:w="1192" w:type="dxa"/>
            <w:tcBorders>
              <w:lef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26.18%</w:t>
            </w:r>
          </w:p>
        </w:tc>
        <w:tc>
          <w:tcPr>
            <w:tcW w:w="1570" w:type="dxa"/>
            <w:vMerge w:val="restart"/>
            <w:shd w:val="clear" w:color="auto" w:fill="auto"/>
            <w:hideMark/>
          </w:tcPr>
          <w:p w:rsidR="009B21E0" w:rsidRPr="00E60EA6" w:rsidRDefault="009B21E0" w:rsidP="00B85F78">
            <w:pPr>
              <w:spacing w:before="0" w:after="0"/>
              <w:contextualSpacing/>
              <w:rPr>
                <w:rFonts w:cs="Lucida Sans Unicode"/>
                <w:color w:val="000000"/>
                <w:sz w:val="18"/>
                <w:szCs w:val="18"/>
                <w:lang w:eastAsia="en-AU"/>
              </w:rPr>
            </w:pPr>
            <w:r w:rsidRPr="00E60EA6">
              <w:rPr>
                <w:rFonts w:cs="Lucida Sans Unicode"/>
                <w:color w:val="000000"/>
                <w:sz w:val="18"/>
                <w:szCs w:val="18"/>
                <w:lang w:eastAsia="en-AU"/>
              </w:rPr>
              <w:t>Above Average</w:t>
            </w:r>
          </w:p>
        </w:tc>
      </w:tr>
      <w:tr w:rsidR="009B21E0" w:rsidRPr="00E60EA6" w:rsidTr="00E60EA6">
        <w:trPr>
          <w:trHeight w:val="20"/>
        </w:trPr>
        <w:tc>
          <w:tcPr>
            <w:tcW w:w="2422" w:type="dxa"/>
            <w:shd w:val="clear" w:color="auto" w:fill="auto"/>
            <w:noWrap/>
            <w:hideMark/>
          </w:tcPr>
          <w:p w:rsidR="009B21E0" w:rsidRPr="00E60EA6" w:rsidRDefault="009B21E0" w:rsidP="00B85F78">
            <w:pPr>
              <w:spacing w:before="0" w:after="0"/>
              <w:contextualSpacing/>
              <w:rPr>
                <w:rFonts w:cs="Lucida Sans Unicode"/>
                <w:color w:val="000000"/>
                <w:sz w:val="18"/>
                <w:szCs w:val="18"/>
                <w:lang w:eastAsia="en-AU"/>
              </w:rPr>
            </w:pPr>
            <w:r w:rsidRPr="00E60EA6">
              <w:rPr>
                <w:rFonts w:cs="Lucida Sans Unicode"/>
                <w:color w:val="000000"/>
                <w:sz w:val="18"/>
                <w:szCs w:val="18"/>
                <w:lang w:eastAsia="en-AU"/>
              </w:rPr>
              <w:t>Mount Duneed</w:t>
            </w:r>
          </w:p>
        </w:tc>
        <w:tc>
          <w:tcPr>
            <w:tcW w:w="1091" w:type="dxa"/>
            <w:tcBorders>
              <w:righ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 xml:space="preserve">261 </w:t>
            </w:r>
          </w:p>
        </w:tc>
        <w:tc>
          <w:tcPr>
            <w:tcW w:w="1192" w:type="dxa"/>
            <w:tcBorders>
              <w:lef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-0.30%</w:t>
            </w:r>
          </w:p>
        </w:tc>
        <w:tc>
          <w:tcPr>
            <w:tcW w:w="1192" w:type="dxa"/>
            <w:tcBorders>
              <w:righ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-4.08%</w:t>
            </w:r>
          </w:p>
        </w:tc>
        <w:tc>
          <w:tcPr>
            <w:tcW w:w="1192" w:type="dxa"/>
            <w:tcBorders>
              <w:lef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22.28%</w:t>
            </w:r>
          </w:p>
        </w:tc>
        <w:tc>
          <w:tcPr>
            <w:tcW w:w="1570" w:type="dxa"/>
            <w:vMerge/>
            <w:hideMark/>
          </w:tcPr>
          <w:p w:rsidR="009B21E0" w:rsidRPr="00E60EA6" w:rsidRDefault="009B21E0" w:rsidP="00B85F78">
            <w:pPr>
              <w:spacing w:before="0" w:after="0"/>
              <w:contextualSpacing/>
              <w:rPr>
                <w:rFonts w:cs="Lucida Sans Unicode"/>
                <w:color w:val="000000"/>
                <w:sz w:val="18"/>
                <w:szCs w:val="18"/>
                <w:lang w:eastAsia="en-AU"/>
              </w:rPr>
            </w:pPr>
          </w:p>
        </w:tc>
      </w:tr>
      <w:tr w:rsidR="009B21E0" w:rsidRPr="00E60EA6" w:rsidTr="00E60EA6">
        <w:trPr>
          <w:trHeight w:val="20"/>
        </w:trPr>
        <w:tc>
          <w:tcPr>
            <w:tcW w:w="2422" w:type="dxa"/>
            <w:shd w:val="clear" w:color="auto" w:fill="auto"/>
            <w:noWrap/>
            <w:hideMark/>
          </w:tcPr>
          <w:p w:rsidR="009B21E0" w:rsidRPr="00E60EA6" w:rsidRDefault="009B21E0" w:rsidP="00B85F78">
            <w:pPr>
              <w:spacing w:before="0" w:after="0"/>
              <w:contextualSpacing/>
              <w:rPr>
                <w:rFonts w:cs="Lucida Sans Unicode"/>
                <w:color w:val="000000"/>
                <w:sz w:val="18"/>
                <w:szCs w:val="18"/>
                <w:lang w:eastAsia="en-AU"/>
              </w:rPr>
            </w:pPr>
            <w:r w:rsidRPr="00E60EA6">
              <w:rPr>
                <w:rFonts w:cs="Lucida Sans Unicode"/>
                <w:color w:val="000000"/>
                <w:sz w:val="18"/>
                <w:szCs w:val="18"/>
                <w:lang w:eastAsia="en-AU"/>
              </w:rPr>
              <w:t>North Geelong</w:t>
            </w:r>
          </w:p>
        </w:tc>
        <w:tc>
          <w:tcPr>
            <w:tcW w:w="1091" w:type="dxa"/>
            <w:tcBorders>
              <w:righ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 xml:space="preserve">166 </w:t>
            </w:r>
          </w:p>
        </w:tc>
        <w:tc>
          <w:tcPr>
            <w:tcW w:w="1192" w:type="dxa"/>
            <w:tcBorders>
              <w:lef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7.40%</w:t>
            </w:r>
          </w:p>
        </w:tc>
        <w:tc>
          <w:tcPr>
            <w:tcW w:w="1192" w:type="dxa"/>
            <w:tcBorders>
              <w:righ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8.52%</w:t>
            </w:r>
          </w:p>
        </w:tc>
        <w:tc>
          <w:tcPr>
            <w:tcW w:w="1192" w:type="dxa"/>
            <w:tcBorders>
              <w:lef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14.68%</w:t>
            </w:r>
          </w:p>
        </w:tc>
        <w:tc>
          <w:tcPr>
            <w:tcW w:w="1570" w:type="dxa"/>
            <w:vMerge/>
            <w:hideMark/>
          </w:tcPr>
          <w:p w:rsidR="009B21E0" w:rsidRPr="00E60EA6" w:rsidRDefault="009B21E0" w:rsidP="00B85F78">
            <w:pPr>
              <w:spacing w:before="0" w:after="0"/>
              <w:contextualSpacing/>
              <w:rPr>
                <w:rFonts w:cs="Lucida Sans Unicode"/>
                <w:color w:val="000000"/>
                <w:sz w:val="18"/>
                <w:szCs w:val="18"/>
                <w:lang w:eastAsia="en-AU"/>
              </w:rPr>
            </w:pPr>
          </w:p>
        </w:tc>
      </w:tr>
      <w:tr w:rsidR="009B21E0" w:rsidRPr="00E60EA6" w:rsidTr="00E60EA6">
        <w:trPr>
          <w:trHeight w:val="20"/>
        </w:trPr>
        <w:tc>
          <w:tcPr>
            <w:tcW w:w="2422" w:type="dxa"/>
            <w:shd w:val="clear" w:color="auto" w:fill="auto"/>
            <w:noWrap/>
            <w:hideMark/>
          </w:tcPr>
          <w:p w:rsidR="009B21E0" w:rsidRPr="00E60EA6" w:rsidRDefault="009B21E0" w:rsidP="00B85F78">
            <w:pPr>
              <w:spacing w:before="0" w:after="0"/>
              <w:contextualSpacing/>
              <w:rPr>
                <w:rFonts w:cs="Lucida Sans Unicode"/>
                <w:color w:val="000000"/>
                <w:sz w:val="18"/>
                <w:szCs w:val="18"/>
                <w:lang w:eastAsia="en-AU"/>
              </w:rPr>
            </w:pPr>
            <w:r w:rsidRPr="00E60EA6">
              <w:rPr>
                <w:rFonts w:cs="Lucida Sans Unicode"/>
                <w:color w:val="000000"/>
                <w:sz w:val="18"/>
                <w:szCs w:val="18"/>
                <w:lang w:eastAsia="en-AU"/>
              </w:rPr>
              <w:t>St Leonards</w:t>
            </w:r>
          </w:p>
        </w:tc>
        <w:tc>
          <w:tcPr>
            <w:tcW w:w="1091" w:type="dxa"/>
            <w:tcBorders>
              <w:righ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 xml:space="preserve">305 </w:t>
            </w:r>
          </w:p>
        </w:tc>
        <w:tc>
          <w:tcPr>
            <w:tcW w:w="1192" w:type="dxa"/>
            <w:tcBorders>
              <w:lef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23.10%</w:t>
            </w:r>
          </w:p>
        </w:tc>
        <w:tc>
          <w:tcPr>
            <w:tcW w:w="1192" w:type="dxa"/>
            <w:tcBorders>
              <w:righ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0.91%</w:t>
            </w:r>
          </w:p>
        </w:tc>
        <w:tc>
          <w:tcPr>
            <w:tcW w:w="1192" w:type="dxa"/>
            <w:tcBorders>
              <w:lef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11.70%</w:t>
            </w:r>
          </w:p>
        </w:tc>
        <w:tc>
          <w:tcPr>
            <w:tcW w:w="1570" w:type="dxa"/>
            <w:vMerge/>
            <w:hideMark/>
          </w:tcPr>
          <w:p w:rsidR="009B21E0" w:rsidRPr="00E60EA6" w:rsidRDefault="009B21E0" w:rsidP="00B85F78">
            <w:pPr>
              <w:spacing w:before="0" w:after="0"/>
              <w:contextualSpacing/>
              <w:rPr>
                <w:rFonts w:cs="Lucida Sans Unicode"/>
                <w:color w:val="000000"/>
                <w:sz w:val="18"/>
                <w:szCs w:val="18"/>
                <w:lang w:eastAsia="en-AU"/>
              </w:rPr>
            </w:pPr>
          </w:p>
        </w:tc>
      </w:tr>
      <w:tr w:rsidR="009B21E0" w:rsidRPr="00E60EA6" w:rsidTr="00E60EA6">
        <w:trPr>
          <w:trHeight w:val="20"/>
        </w:trPr>
        <w:tc>
          <w:tcPr>
            <w:tcW w:w="2422" w:type="dxa"/>
            <w:shd w:val="clear" w:color="auto" w:fill="auto"/>
            <w:noWrap/>
            <w:hideMark/>
          </w:tcPr>
          <w:p w:rsidR="009B21E0" w:rsidRPr="00E60EA6" w:rsidRDefault="009B21E0" w:rsidP="00B85F78">
            <w:pPr>
              <w:spacing w:before="0" w:after="0"/>
              <w:contextualSpacing/>
              <w:rPr>
                <w:rFonts w:cs="Lucida Sans Unicode"/>
                <w:color w:val="000000"/>
                <w:sz w:val="18"/>
                <w:szCs w:val="18"/>
                <w:lang w:eastAsia="en-AU"/>
              </w:rPr>
            </w:pPr>
            <w:r w:rsidRPr="00E60EA6">
              <w:rPr>
                <w:rFonts w:cs="Lucida Sans Unicode"/>
                <w:color w:val="000000"/>
                <w:sz w:val="18"/>
                <w:szCs w:val="18"/>
                <w:lang w:eastAsia="en-AU"/>
              </w:rPr>
              <w:t>Clifton Springs</w:t>
            </w:r>
          </w:p>
        </w:tc>
        <w:tc>
          <w:tcPr>
            <w:tcW w:w="1091" w:type="dxa"/>
            <w:tcBorders>
              <w:righ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 xml:space="preserve">268 </w:t>
            </w:r>
          </w:p>
        </w:tc>
        <w:tc>
          <w:tcPr>
            <w:tcW w:w="1192" w:type="dxa"/>
            <w:tcBorders>
              <w:lef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14.80%</w:t>
            </w:r>
          </w:p>
        </w:tc>
        <w:tc>
          <w:tcPr>
            <w:tcW w:w="1192" w:type="dxa"/>
            <w:tcBorders>
              <w:righ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1.08%</w:t>
            </w:r>
          </w:p>
        </w:tc>
        <w:tc>
          <w:tcPr>
            <w:tcW w:w="1192" w:type="dxa"/>
            <w:tcBorders>
              <w:lef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9.39%</w:t>
            </w:r>
          </w:p>
        </w:tc>
        <w:tc>
          <w:tcPr>
            <w:tcW w:w="1570" w:type="dxa"/>
            <w:vMerge w:val="restart"/>
            <w:shd w:val="clear" w:color="auto" w:fill="auto"/>
            <w:hideMark/>
          </w:tcPr>
          <w:p w:rsidR="009B21E0" w:rsidRPr="00E60EA6" w:rsidRDefault="009B21E0" w:rsidP="00B85F78">
            <w:pPr>
              <w:spacing w:before="0" w:after="0"/>
              <w:contextualSpacing/>
              <w:rPr>
                <w:rFonts w:cs="Lucida Sans Unicode"/>
                <w:color w:val="000000"/>
                <w:sz w:val="18"/>
                <w:szCs w:val="18"/>
                <w:lang w:eastAsia="en-AU"/>
              </w:rPr>
            </w:pPr>
            <w:r w:rsidRPr="00E60EA6">
              <w:rPr>
                <w:rFonts w:cs="Lucida Sans Unicode"/>
                <w:color w:val="000000"/>
                <w:sz w:val="18"/>
                <w:szCs w:val="18"/>
                <w:lang w:eastAsia="en-AU"/>
              </w:rPr>
              <w:t>Below Average</w:t>
            </w:r>
          </w:p>
        </w:tc>
      </w:tr>
      <w:tr w:rsidR="009B21E0" w:rsidRPr="00E60EA6" w:rsidTr="00E60EA6">
        <w:trPr>
          <w:trHeight w:val="20"/>
        </w:trPr>
        <w:tc>
          <w:tcPr>
            <w:tcW w:w="2422" w:type="dxa"/>
            <w:shd w:val="clear" w:color="auto" w:fill="auto"/>
            <w:noWrap/>
            <w:hideMark/>
          </w:tcPr>
          <w:p w:rsidR="009B21E0" w:rsidRPr="00E60EA6" w:rsidRDefault="009B21E0" w:rsidP="00B85F78">
            <w:pPr>
              <w:spacing w:before="0" w:after="0"/>
              <w:contextualSpacing/>
              <w:rPr>
                <w:rFonts w:cs="Lucida Sans Unicode"/>
                <w:color w:val="000000"/>
                <w:sz w:val="18"/>
                <w:szCs w:val="18"/>
                <w:lang w:eastAsia="en-AU"/>
              </w:rPr>
            </w:pPr>
            <w:r w:rsidRPr="00E60EA6">
              <w:rPr>
                <w:rFonts w:cs="Lucida Sans Unicode"/>
                <w:color w:val="000000"/>
                <w:sz w:val="18"/>
                <w:szCs w:val="18"/>
                <w:lang w:eastAsia="en-AU"/>
              </w:rPr>
              <w:t>Ocean Grove</w:t>
            </w:r>
          </w:p>
        </w:tc>
        <w:tc>
          <w:tcPr>
            <w:tcW w:w="1091" w:type="dxa"/>
            <w:tcBorders>
              <w:righ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 xml:space="preserve">493 </w:t>
            </w:r>
          </w:p>
        </w:tc>
        <w:tc>
          <w:tcPr>
            <w:tcW w:w="1192" w:type="dxa"/>
            <w:tcBorders>
              <w:lef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10.80%</w:t>
            </w:r>
          </w:p>
        </w:tc>
        <w:tc>
          <w:tcPr>
            <w:tcW w:w="1192" w:type="dxa"/>
            <w:tcBorders>
              <w:righ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1.45%</w:t>
            </w:r>
          </w:p>
        </w:tc>
        <w:tc>
          <w:tcPr>
            <w:tcW w:w="1192" w:type="dxa"/>
            <w:tcBorders>
              <w:lef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6.76%</w:t>
            </w:r>
          </w:p>
        </w:tc>
        <w:tc>
          <w:tcPr>
            <w:tcW w:w="1570" w:type="dxa"/>
            <w:vMerge/>
            <w:hideMark/>
          </w:tcPr>
          <w:p w:rsidR="009B21E0" w:rsidRPr="00E60EA6" w:rsidRDefault="009B21E0" w:rsidP="00B85F78">
            <w:pPr>
              <w:spacing w:before="0" w:after="0"/>
              <w:contextualSpacing/>
              <w:rPr>
                <w:rFonts w:cs="Lucida Sans Unicode"/>
                <w:color w:val="000000"/>
                <w:sz w:val="18"/>
                <w:szCs w:val="18"/>
                <w:lang w:eastAsia="en-AU"/>
              </w:rPr>
            </w:pPr>
          </w:p>
        </w:tc>
      </w:tr>
      <w:tr w:rsidR="009B21E0" w:rsidRPr="00E60EA6" w:rsidTr="00E60EA6">
        <w:trPr>
          <w:trHeight w:val="20"/>
        </w:trPr>
        <w:tc>
          <w:tcPr>
            <w:tcW w:w="2422" w:type="dxa"/>
            <w:shd w:val="clear" w:color="auto" w:fill="auto"/>
            <w:noWrap/>
            <w:hideMark/>
          </w:tcPr>
          <w:p w:rsidR="009B21E0" w:rsidRPr="00E60EA6" w:rsidRDefault="009B21E0" w:rsidP="00B85F78">
            <w:pPr>
              <w:spacing w:before="0" w:after="0"/>
              <w:contextualSpacing/>
              <w:rPr>
                <w:rFonts w:cs="Lucida Sans Unicode"/>
                <w:color w:val="000000"/>
                <w:sz w:val="18"/>
                <w:szCs w:val="18"/>
                <w:lang w:eastAsia="en-AU"/>
              </w:rPr>
            </w:pPr>
            <w:r w:rsidRPr="00E60EA6">
              <w:rPr>
                <w:rFonts w:cs="Lucida Sans Unicode"/>
                <w:color w:val="000000"/>
                <w:sz w:val="18"/>
                <w:szCs w:val="18"/>
                <w:lang w:eastAsia="en-AU"/>
              </w:rPr>
              <w:t>Highton</w:t>
            </w:r>
          </w:p>
        </w:tc>
        <w:tc>
          <w:tcPr>
            <w:tcW w:w="1091" w:type="dxa"/>
            <w:tcBorders>
              <w:righ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 xml:space="preserve">348 </w:t>
            </w:r>
          </w:p>
        </w:tc>
        <w:tc>
          <w:tcPr>
            <w:tcW w:w="1192" w:type="dxa"/>
            <w:tcBorders>
              <w:lef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13.70%</w:t>
            </w:r>
          </w:p>
        </w:tc>
        <w:tc>
          <w:tcPr>
            <w:tcW w:w="1192" w:type="dxa"/>
            <w:tcBorders>
              <w:righ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11.22%</w:t>
            </w:r>
          </w:p>
        </w:tc>
        <w:tc>
          <w:tcPr>
            <w:tcW w:w="1192" w:type="dxa"/>
            <w:tcBorders>
              <w:lef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6.39%</w:t>
            </w:r>
          </w:p>
        </w:tc>
        <w:tc>
          <w:tcPr>
            <w:tcW w:w="1570" w:type="dxa"/>
            <w:vMerge/>
            <w:hideMark/>
          </w:tcPr>
          <w:p w:rsidR="009B21E0" w:rsidRPr="00E60EA6" w:rsidRDefault="009B21E0" w:rsidP="00B85F78">
            <w:pPr>
              <w:spacing w:before="0" w:after="0"/>
              <w:contextualSpacing/>
              <w:rPr>
                <w:rFonts w:cs="Lucida Sans Unicode"/>
                <w:color w:val="000000"/>
                <w:sz w:val="18"/>
                <w:szCs w:val="18"/>
                <w:lang w:eastAsia="en-AU"/>
              </w:rPr>
            </w:pPr>
          </w:p>
        </w:tc>
      </w:tr>
      <w:tr w:rsidR="009B21E0" w:rsidRPr="00E60EA6" w:rsidTr="00E60EA6">
        <w:trPr>
          <w:trHeight w:val="20"/>
        </w:trPr>
        <w:tc>
          <w:tcPr>
            <w:tcW w:w="2422" w:type="dxa"/>
            <w:shd w:val="clear" w:color="auto" w:fill="auto"/>
            <w:noWrap/>
            <w:hideMark/>
          </w:tcPr>
          <w:p w:rsidR="009B21E0" w:rsidRPr="00E60EA6" w:rsidRDefault="009B21E0" w:rsidP="00B85F78">
            <w:pPr>
              <w:spacing w:before="0" w:after="0"/>
              <w:contextualSpacing/>
              <w:rPr>
                <w:rFonts w:cs="Lucida Sans Unicode"/>
                <w:color w:val="000000"/>
                <w:sz w:val="18"/>
                <w:szCs w:val="18"/>
                <w:lang w:eastAsia="en-AU"/>
              </w:rPr>
            </w:pPr>
            <w:r w:rsidRPr="00E60EA6">
              <w:rPr>
                <w:rFonts w:cs="Lucida Sans Unicode"/>
                <w:color w:val="000000"/>
                <w:sz w:val="18"/>
                <w:szCs w:val="18"/>
                <w:lang w:eastAsia="en-AU"/>
              </w:rPr>
              <w:t>Portarlington</w:t>
            </w:r>
          </w:p>
        </w:tc>
        <w:tc>
          <w:tcPr>
            <w:tcW w:w="1091" w:type="dxa"/>
            <w:tcBorders>
              <w:righ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 xml:space="preserve">345 </w:t>
            </w:r>
          </w:p>
        </w:tc>
        <w:tc>
          <w:tcPr>
            <w:tcW w:w="1192" w:type="dxa"/>
            <w:tcBorders>
              <w:lef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21.50%</w:t>
            </w:r>
          </w:p>
        </w:tc>
        <w:tc>
          <w:tcPr>
            <w:tcW w:w="1192" w:type="dxa"/>
            <w:tcBorders>
              <w:righ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-5.19%</w:t>
            </w:r>
          </w:p>
        </w:tc>
        <w:tc>
          <w:tcPr>
            <w:tcW w:w="1192" w:type="dxa"/>
            <w:tcBorders>
              <w:lef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3.44%</w:t>
            </w:r>
          </w:p>
        </w:tc>
        <w:tc>
          <w:tcPr>
            <w:tcW w:w="1570" w:type="dxa"/>
            <w:vMerge/>
            <w:hideMark/>
          </w:tcPr>
          <w:p w:rsidR="009B21E0" w:rsidRPr="00E60EA6" w:rsidRDefault="009B21E0" w:rsidP="00B85F78">
            <w:pPr>
              <w:spacing w:before="0" w:after="0"/>
              <w:contextualSpacing/>
              <w:rPr>
                <w:rFonts w:cs="Lucida Sans Unicode"/>
                <w:color w:val="000000"/>
                <w:sz w:val="18"/>
                <w:szCs w:val="18"/>
                <w:lang w:eastAsia="en-AU"/>
              </w:rPr>
            </w:pPr>
          </w:p>
        </w:tc>
      </w:tr>
      <w:tr w:rsidR="009B21E0" w:rsidRPr="00E60EA6" w:rsidTr="00E60EA6">
        <w:trPr>
          <w:trHeight w:val="20"/>
        </w:trPr>
        <w:tc>
          <w:tcPr>
            <w:tcW w:w="2422" w:type="dxa"/>
            <w:shd w:val="clear" w:color="auto" w:fill="auto"/>
            <w:noWrap/>
            <w:hideMark/>
          </w:tcPr>
          <w:p w:rsidR="009B21E0" w:rsidRPr="00E60EA6" w:rsidRDefault="009B21E0" w:rsidP="00B85F78">
            <w:pPr>
              <w:spacing w:before="0" w:after="0"/>
              <w:contextualSpacing/>
              <w:rPr>
                <w:rFonts w:cs="Lucida Sans Unicode"/>
                <w:color w:val="000000"/>
                <w:sz w:val="18"/>
                <w:szCs w:val="18"/>
                <w:lang w:eastAsia="en-AU"/>
              </w:rPr>
            </w:pPr>
            <w:r w:rsidRPr="00E60EA6">
              <w:rPr>
                <w:rFonts w:cs="Lucida Sans Unicode"/>
                <w:color w:val="000000"/>
                <w:sz w:val="18"/>
                <w:szCs w:val="18"/>
                <w:lang w:eastAsia="en-AU"/>
              </w:rPr>
              <w:t>Indented Head</w:t>
            </w:r>
          </w:p>
        </w:tc>
        <w:tc>
          <w:tcPr>
            <w:tcW w:w="1091" w:type="dxa"/>
            <w:tcBorders>
              <w:righ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 xml:space="preserve">215 </w:t>
            </w:r>
          </w:p>
        </w:tc>
        <w:tc>
          <w:tcPr>
            <w:tcW w:w="1192" w:type="dxa"/>
            <w:tcBorders>
              <w:lef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22.10%</w:t>
            </w:r>
          </w:p>
        </w:tc>
        <w:tc>
          <w:tcPr>
            <w:tcW w:w="1192" w:type="dxa"/>
            <w:tcBorders>
              <w:righ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-1.89%</w:t>
            </w:r>
          </w:p>
        </w:tc>
        <w:tc>
          <w:tcPr>
            <w:tcW w:w="1192" w:type="dxa"/>
            <w:tcBorders>
              <w:lef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1.83%</w:t>
            </w:r>
          </w:p>
        </w:tc>
        <w:tc>
          <w:tcPr>
            <w:tcW w:w="1570" w:type="dxa"/>
            <w:vMerge/>
            <w:hideMark/>
          </w:tcPr>
          <w:p w:rsidR="009B21E0" w:rsidRPr="00E60EA6" w:rsidRDefault="009B21E0" w:rsidP="00B85F78">
            <w:pPr>
              <w:spacing w:before="0" w:after="0"/>
              <w:contextualSpacing/>
              <w:rPr>
                <w:rFonts w:cs="Lucida Sans Unicode"/>
                <w:color w:val="000000"/>
                <w:sz w:val="18"/>
                <w:szCs w:val="18"/>
                <w:lang w:eastAsia="en-AU"/>
              </w:rPr>
            </w:pPr>
          </w:p>
        </w:tc>
      </w:tr>
      <w:tr w:rsidR="009B21E0" w:rsidRPr="00E60EA6" w:rsidTr="00E60EA6">
        <w:trPr>
          <w:trHeight w:val="20"/>
        </w:trPr>
        <w:tc>
          <w:tcPr>
            <w:tcW w:w="2422" w:type="dxa"/>
            <w:shd w:val="clear" w:color="auto" w:fill="auto"/>
            <w:noWrap/>
            <w:hideMark/>
          </w:tcPr>
          <w:p w:rsidR="009B21E0" w:rsidRPr="00E60EA6" w:rsidRDefault="009B21E0" w:rsidP="00B85F78">
            <w:pPr>
              <w:spacing w:before="0" w:after="0"/>
              <w:contextualSpacing/>
              <w:rPr>
                <w:rFonts w:cs="Lucida Sans Unicode"/>
                <w:color w:val="000000"/>
                <w:sz w:val="18"/>
                <w:szCs w:val="18"/>
                <w:lang w:eastAsia="en-AU"/>
              </w:rPr>
            </w:pPr>
            <w:r w:rsidRPr="00E60EA6">
              <w:rPr>
                <w:rFonts w:cs="Lucida Sans Unicode"/>
                <w:color w:val="000000"/>
                <w:sz w:val="18"/>
                <w:szCs w:val="18"/>
                <w:lang w:eastAsia="en-AU"/>
              </w:rPr>
              <w:t>Lara</w:t>
            </w:r>
          </w:p>
        </w:tc>
        <w:tc>
          <w:tcPr>
            <w:tcW w:w="1091" w:type="dxa"/>
            <w:tcBorders>
              <w:righ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 xml:space="preserve">188 </w:t>
            </w:r>
          </w:p>
        </w:tc>
        <w:tc>
          <w:tcPr>
            <w:tcW w:w="1192" w:type="dxa"/>
            <w:tcBorders>
              <w:lef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15.70%</w:t>
            </w:r>
          </w:p>
        </w:tc>
        <w:tc>
          <w:tcPr>
            <w:tcW w:w="1192" w:type="dxa"/>
            <w:tcBorders>
              <w:righ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0.55%</w:t>
            </w:r>
          </w:p>
        </w:tc>
        <w:tc>
          <w:tcPr>
            <w:tcW w:w="1192" w:type="dxa"/>
            <w:tcBorders>
              <w:lef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1.43%</w:t>
            </w:r>
          </w:p>
        </w:tc>
        <w:tc>
          <w:tcPr>
            <w:tcW w:w="1570" w:type="dxa"/>
            <w:vMerge/>
            <w:hideMark/>
          </w:tcPr>
          <w:p w:rsidR="009B21E0" w:rsidRPr="00E60EA6" w:rsidRDefault="009B21E0" w:rsidP="00B85F78">
            <w:pPr>
              <w:spacing w:before="0" w:after="0"/>
              <w:contextualSpacing/>
              <w:rPr>
                <w:rFonts w:cs="Lucida Sans Unicode"/>
                <w:color w:val="000000"/>
                <w:sz w:val="18"/>
                <w:szCs w:val="18"/>
                <w:lang w:eastAsia="en-AU"/>
              </w:rPr>
            </w:pPr>
          </w:p>
        </w:tc>
      </w:tr>
      <w:tr w:rsidR="009B21E0" w:rsidRPr="00E60EA6" w:rsidTr="00E60EA6">
        <w:trPr>
          <w:trHeight w:val="20"/>
        </w:trPr>
        <w:tc>
          <w:tcPr>
            <w:tcW w:w="2422" w:type="dxa"/>
            <w:shd w:val="clear" w:color="auto" w:fill="auto"/>
            <w:noWrap/>
            <w:hideMark/>
          </w:tcPr>
          <w:p w:rsidR="009B21E0" w:rsidRPr="00E60EA6" w:rsidRDefault="009B21E0" w:rsidP="00B85F78">
            <w:pPr>
              <w:spacing w:before="0" w:after="0"/>
              <w:contextualSpacing/>
              <w:rPr>
                <w:rFonts w:cs="Lucida Sans Unicode"/>
                <w:color w:val="000000"/>
                <w:sz w:val="18"/>
                <w:szCs w:val="18"/>
                <w:lang w:eastAsia="en-AU"/>
              </w:rPr>
            </w:pPr>
            <w:r w:rsidRPr="00E60EA6">
              <w:rPr>
                <w:rFonts w:cs="Lucida Sans Unicode"/>
                <w:color w:val="000000"/>
                <w:sz w:val="18"/>
                <w:szCs w:val="18"/>
                <w:lang w:eastAsia="en-AU"/>
              </w:rPr>
              <w:t>Leopold</w:t>
            </w:r>
          </w:p>
        </w:tc>
        <w:tc>
          <w:tcPr>
            <w:tcW w:w="1091" w:type="dxa"/>
            <w:tcBorders>
              <w:righ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 xml:space="preserve">196 </w:t>
            </w:r>
          </w:p>
        </w:tc>
        <w:tc>
          <w:tcPr>
            <w:tcW w:w="1192" w:type="dxa"/>
            <w:tcBorders>
              <w:lef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13.30%</w:t>
            </w:r>
          </w:p>
        </w:tc>
        <w:tc>
          <w:tcPr>
            <w:tcW w:w="1192" w:type="dxa"/>
            <w:tcBorders>
              <w:righ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6.30%</w:t>
            </w:r>
          </w:p>
        </w:tc>
        <w:tc>
          <w:tcPr>
            <w:tcW w:w="1192" w:type="dxa"/>
            <w:tcBorders>
              <w:lef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-3.02%</w:t>
            </w:r>
          </w:p>
        </w:tc>
        <w:tc>
          <w:tcPr>
            <w:tcW w:w="1570" w:type="dxa"/>
            <w:vMerge/>
            <w:hideMark/>
          </w:tcPr>
          <w:p w:rsidR="009B21E0" w:rsidRPr="00E60EA6" w:rsidRDefault="009B21E0" w:rsidP="00B85F78">
            <w:pPr>
              <w:spacing w:before="0" w:after="0"/>
              <w:contextualSpacing/>
              <w:rPr>
                <w:rFonts w:cs="Lucida Sans Unicode"/>
                <w:color w:val="000000"/>
                <w:sz w:val="18"/>
                <w:szCs w:val="18"/>
                <w:lang w:eastAsia="en-AU"/>
              </w:rPr>
            </w:pPr>
          </w:p>
        </w:tc>
      </w:tr>
      <w:tr w:rsidR="009B21E0" w:rsidRPr="00E60EA6" w:rsidTr="00E60EA6">
        <w:trPr>
          <w:trHeight w:val="20"/>
        </w:trPr>
        <w:tc>
          <w:tcPr>
            <w:tcW w:w="2422" w:type="dxa"/>
            <w:shd w:val="clear" w:color="auto" w:fill="auto"/>
            <w:noWrap/>
            <w:hideMark/>
          </w:tcPr>
          <w:p w:rsidR="009B21E0" w:rsidRPr="00E60EA6" w:rsidRDefault="009B21E0" w:rsidP="00B85F78">
            <w:pPr>
              <w:spacing w:before="0" w:after="0"/>
              <w:contextualSpacing/>
              <w:rPr>
                <w:rFonts w:cs="Lucida Sans Unicode"/>
                <w:color w:val="000000"/>
                <w:sz w:val="18"/>
                <w:szCs w:val="18"/>
                <w:lang w:eastAsia="en-AU"/>
              </w:rPr>
            </w:pPr>
            <w:r w:rsidRPr="00E60EA6">
              <w:rPr>
                <w:rFonts w:cs="Lucida Sans Unicode"/>
                <w:color w:val="000000"/>
                <w:sz w:val="18"/>
                <w:szCs w:val="18"/>
                <w:lang w:eastAsia="en-AU"/>
              </w:rPr>
              <w:t>Corio</w:t>
            </w:r>
          </w:p>
        </w:tc>
        <w:tc>
          <w:tcPr>
            <w:tcW w:w="1091" w:type="dxa"/>
            <w:tcBorders>
              <w:righ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 xml:space="preserve">277 </w:t>
            </w:r>
          </w:p>
        </w:tc>
        <w:tc>
          <w:tcPr>
            <w:tcW w:w="1192" w:type="dxa"/>
            <w:tcBorders>
              <w:lef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0.20%</w:t>
            </w:r>
          </w:p>
        </w:tc>
        <w:tc>
          <w:tcPr>
            <w:tcW w:w="1192" w:type="dxa"/>
            <w:tcBorders>
              <w:righ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15.29%</w:t>
            </w:r>
          </w:p>
        </w:tc>
        <w:tc>
          <w:tcPr>
            <w:tcW w:w="1192" w:type="dxa"/>
            <w:tcBorders>
              <w:lef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-4.90%</w:t>
            </w:r>
          </w:p>
        </w:tc>
        <w:tc>
          <w:tcPr>
            <w:tcW w:w="1570" w:type="dxa"/>
            <w:vMerge/>
            <w:hideMark/>
          </w:tcPr>
          <w:p w:rsidR="009B21E0" w:rsidRPr="00E60EA6" w:rsidRDefault="009B21E0" w:rsidP="00B85F78">
            <w:pPr>
              <w:spacing w:before="0" w:after="0"/>
              <w:contextualSpacing/>
              <w:rPr>
                <w:rFonts w:cs="Lucida Sans Unicode"/>
                <w:color w:val="000000"/>
                <w:sz w:val="18"/>
                <w:szCs w:val="18"/>
                <w:lang w:eastAsia="en-AU"/>
              </w:rPr>
            </w:pPr>
          </w:p>
        </w:tc>
      </w:tr>
      <w:tr w:rsidR="009B21E0" w:rsidRPr="00E60EA6" w:rsidTr="00E60EA6">
        <w:trPr>
          <w:trHeight w:val="20"/>
        </w:trPr>
        <w:tc>
          <w:tcPr>
            <w:tcW w:w="2422" w:type="dxa"/>
            <w:shd w:val="clear" w:color="auto" w:fill="auto"/>
            <w:noWrap/>
            <w:hideMark/>
          </w:tcPr>
          <w:p w:rsidR="009B21E0" w:rsidRPr="00E60EA6" w:rsidRDefault="009B21E0" w:rsidP="00B85F78">
            <w:pPr>
              <w:spacing w:before="0" w:after="0"/>
              <w:contextualSpacing/>
              <w:rPr>
                <w:rFonts w:cs="Lucida Sans Unicode"/>
                <w:b/>
                <w:bCs/>
                <w:color w:val="000000"/>
                <w:sz w:val="18"/>
                <w:szCs w:val="18"/>
                <w:lang w:eastAsia="en-AU"/>
              </w:rPr>
            </w:pPr>
            <w:r w:rsidRPr="00E60EA6">
              <w:rPr>
                <w:rFonts w:cs="Lucida Sans Unicode"/>
                <w:b/>
                <w:bCs/>
                <w:color w:val="000000"/>
                <w:sz w:val="18"/>
                <w:szCs w:val="18"/>
                <w:lang w:eastAsia="en-AU"/>
              </w:rPr>
              <w:t>Total</w:t>
            </w:r>
          </w:p>
        </w:tc>
        <w:tc>
          <w:tcPr>
            <w:tcW w:w="1091" w:type="dxa"/>
            <w:tcBorders>
              <w:righ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b/>
                <w:bCs/>
                <w:color w:val="000000"/>
                <w:sz w:val="18"/>
                <w:szCs w:val="18"/>
                <w:lang w:eastAsia="en-AU"/>
              </w:rPr>
            </w:pPr>
            <w:r w:rsidRPr="00E60EA6">
              <w:rPr>
                <w:rFonts w:cs="Lucida Sans Unicode"/>
                <w:b/>
                <w:bCs/>
                <w:color w:val="000000"/>
                <w:sz w:val="18"/>
                <w:szCs w:val="18"/>
                <w:lang w:eastAsia="en-AU"/>
              </w:rPr>
              <w:t xml:space="preserve">3,277 </w:t>
            </w:r>
          </w:p>
        </w:tc>
        <w:tc>
          <w:tcPr>
            <w:tcW w:w="1192" w:type="dxa"/>
            <w:tcBorders>
              <w:left w:val="single" w:sz="4" w:space="0" w:color="000000"/>
              <w:bottom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 </w:t>
            </w:r>
          </w:p>
        </w:tc>
        <w:tc>
          <w:tcPr>
            <w:tcW w:w="1192" w:type="dxa"/>
            <w:tcBorders>
              <w:bottom w:val="single" w:sz="4" w:space="0" w:color="000000"/>
              <w:right w:val="single" w:sz="4" w:space="0" w:color="000000"/>
            </w:tcBorders>
            <w:shd w:val="clear" w:color="auto" w:fill="auto"/>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 </w:t>
            </w:r>
          </w:p>
        </w:tc>
        <w:tc>
          <w:tcPr>
            <w:tcW w:w="1192" w:type="dxa"/>
            <w:tcBorders>
              <w:left w:val="single" w:sz="4" w:space="0" w:color="000000"/>
            </w:tcBorders>
            <w:shd w:val="clear" w:color="auto" w:fill="DBE5F1"/>
            <w:noWrap/>
            <w:hideMark/>
          </w:tcPr>
          <w:p w:rsidR="009B21E0" w:rsidRPr="00E60EA6" w:rsidRDefault="009B21E0" w:rsidP="00B85F78">
            <w:pPr>
              <w:spacing w:before="0" w:after="0"/>
              <w:contextualSpacing/>
              <w:jc w:val="right"/>
              <w:rPr>
                <w:rFonts w:cs="Lucida Sans Unicode"/>
                <w:color w:val="000000"/>
                <w:sz w:val="18"/>
                <w:szCs w:val="18"/>
                <w:lang w:eastAsia="en-AU"/>
              </w:rPr>
            </w:pPr>
            <w:r w:rsidRPr="00E60EA6">
              <w:rPr>
                <w:rFonts w:cs="Lucida Sans Unicode"/>
                <w:color w:val="000000"/>
                <w:sz w:val="18"/>
                <w:szCs w:val="18"/>
                <w:lang w:eastAsia="en-AU"/>
              </w:rPr>
              <w:t> </w:t>
            </w:r>
          </w:p>
        </w:tc>
        <w:tc>
          <w:tcPr>
            <w:tcW w:w="1570" w:type="dxa"/>
            <w:shd w:val="clear" w:color="auto" w:fill="auto"/>
            <w:noWrap/>
            <w:hideMark/>
          </w:tcPr>
          <w:p w:rsidR="009B21E0" w:rsidRPr="00E60EA6" w:rsidRDefault="009B21E0" w:rsidP="00B85F78">
            <w:pPr>
              <w:spacing w:before="0" w:after="0"/>
              <w:contextualSpacing/>
              <w:rPr>
                <w:rFonts w:cs="Lucida Sans Unicode"/>
                <w:sz w:val="18"/>
                <w:szCs w:val="18"/>
                <w:lang w:eastAsia="en-AU"/>
              </w:rPr>
            </w:pPr>
          </w:p>
        </w:tc>
      </w:tr>
    </w:tbl>
    <w:p w:rsidR="00DC4385" w:rsidRDefault="00DC4385">
      <w:pPr>
        <w:pStyle w:val="BodyText"/>
      </w:pPr>
    </w:p>
    <w:p w:rsidR="009B21E0" w:rsidRPr="00C27A8A" w:rsidRDefault="009B21E0">
      <w:pPr>
        <w:pStyle w:val="BodyText"/>
      </w:pPr>
      <w:r w:rsidRPr="00C27A8A">
        <w:t>A total of 89 properties at Newtown have increased by 18.62%, 143 properties at Curlewis have increased by 9.65%, 112 properties at Grovedale have increased by 8.04%, 116 properties at Drysdale have increased by 6.48% and 103 properties at Moolap have increased by 0.90%.</w:t>
      </w:r>
    </w:p>
    <w:p w:rsidR="009B21E0" w:rsidRPr="00C27A8A" w:rsidRDefault="009B21E0">
      <w:pPr>
        <w:pStyle w:val="Heading4A"/>
      </w:pPr>
      <w:r w:rsidRPr="00C27A8A">
        <w:lastRenderedPageBreak/>
        <w:t>Mixed Use</w:t>
      </w:r>
    </w:p>
    <w:p w:rsidR="009B21E0" w:rsidRPr="00C27A8A" w:rsidRDefault="009B21E0">
      <w:pPr>
        <w:pStyle w:val="BodyText"/>
      </w:pPr>
      <w:r w:rsidRPr="00C27A8A">
        <w:t xml:space="preserve">Overall 326 mixed use land valuations recorded an average increase of 10.36% compared to an increase of 3.76% in 2014. </w:t>
      </w:r>
    </w:p>
    <w:p w:rsidR="009B21E0" w:rsidRPr="00C27A8A" w:rsidRDefault="009B21E0">
      <w:pPr>
        <w:pStyle w:val="BodyText"/>
      </w:pPr>
      <w:r w:rsidRPr="00C27A8A">
        <w:t>The following table provides a comparison of the suburbs with the highest number of properties for the 2012, 2014 &amp; 2016 revaluations.</w:t>
      </w:r>
    </w:p>
    <w:tbl>
      <w:tblPr>
        <w:tblW w:w="7667" w:type="dxa"/>
        <w:tblInd w:w="9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713"/>
        <w:gridCol w:w="1210"/>
        <w:gridCol w:w="1237"/>
        <w:gridCol w:w="1237"/>
        <w:gridCol w:w="1237"/>
        <w:gridCol w:w="1033"/>
      </w:tblGrid>
      <w:tr w:rsidR="009B21E0" w:rsidRPr="00E60EA6" w:rsidTr="00E60EA6">
        <w:trPr>
          <w:trHeight w:val="780"/>
          <w:tblHeader/>
        </w:trPr>
        <w:tc>
          <w:tcPr>
            <w:tcW w:w="1713" w:type="dxa"/>
            <w:vMerge w:val="restart"/>
            <w:shd w:val="clear" w:color="auto" w:fill="8DB3E2"/>
            <w:noWrap/>
            <w:vAlign w:val="bottom"/>
            <w:hideMark/>
          </w:tcPr>
          <w:p w:rsidR="009B21E0" w:rsidRPr="009F5CF2" w:rsidRDefault="009B21E0" w:rsidP="00B85F78">
            <w:pPr>
              <w:spacing w:before="0" w:after="0"/>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Suburbs</w:t>
            </w:r>
          </w:p>
        </w:tc>
        <w:tc>
          <w:tcPr>
            <w:tcW w:w="1210" w:type="dxa"/>
            <w:vMerge w:val="restart"/>
            <w:tcBorders>
              <w:right w:val="single" w:sz="4" w:space="0" w:color="000000"/>
            </w:tcBorders>
            <w:shd w:val="clear" w:color="auto" w:fill="DBE5F1"/>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No. of Properties 2014</w:t>
            </w:r>
          </w:p>
        </w:tc>
        <w:tc>
          <w:tcPr>
            <w:tcW w:w="1237" w:type="dxa"/>
            <w:tcBorders>
              <w:top w:val="single" w:sz="4" w:space="0" w:color="000000"/>
              <w:left w:val="single" w:sz="4" w:space="0" w:color="000000"/>
            </w:tcBorders>
            <w:shd w:val="clear" w:color="auto" w:fill="8DB3E2"/>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2012 Revaluation Increase</w:t>
            </w:r>
          </w:p>
        </w:tc>
        <w:tc>
          <w:tcPr>
            <w:tcW w:w="1237" w:type="dxa"/>
            <w:tcBorders>
              <w:top w:val="single" w:sz="4" w:space="0" w:color="000000"/>
              <w:right w:val="single" w:sz="4" w:space="0" w:color="000000"/>
            </w:tcBorders>
            <w:shd w:val="clear" w:color="auto" w:fill="8DB3E2"/>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2014 Revaluation Increase</w:t>
            </w:r>
          </w:p>
        </w:tc>
        <w:tc>
          <w:tcPr>
            <w:tcW w:w="1237" w:type="dxa"/>
            <w:tcBorders>
              <w:left w:val="single" w:sz="4" w:space="0" w:color="000000"/>
            </w:tcBorders>
            <w:shd w:val="clear" w:color="auto" w:fill="DBE5F1"/>
            <w:vAlign w:val="bottom"/>
            <w:hideMark/>
          </w:tcPr>
          <w:p w:rsidR="009B21E0" w:rsidRPr="009F5CF2" w:rsidRDefault="009B21E0" w:rsidP="00B85F78">
            <w:pPr>
              <w:spacing w:before="0" w:after="0"/>
              <w:jc w:val="right"/>
              <w:rPr>
                <w:rFonts w:ascii="News Gothic Std" w:hAnsi="News Gothic Std" w:cs="Arial"/>
                <w:bCs/>
                <w:color w:val="000000"/>
                <w:sz w:val="18"/>
                <w:szCs w:val="18"/>
                <w:lang w:eastAsia="en-AU"/>
              </w:rPr>
            </w:pPr>
            <w:r w:rsidRPr="009F5CF2">
              <w:rPr>
                <w:rFonts w:ascii="News Gothic Std" w:hAnsi="News Gothic Std" w:cs="Arial"/>
                <w:bCs/>
                <w:color w:val="000000"/>
                <w:sz w:val="18"/>
                <w:szCs w:val="18"/>
                <w:lang w:eastAsia="en-AU"/>
              </w:rPr>
              <w:t>2016 Revaluation Increase</w:t>
            </w:r>
          </w:p>
        </w:tc>
        <w:tc>
          <w:tcPr>
            <w:tcW w:w="1033" w:type="dxa"/>
            <w:shd w:val="clear" w:color="auto" w:fill="8DB3E2"/>
            <w:noWrap/>
            <w:vAlign w:val="bottom"/>
            <w:hideMark/>
          </w:tcPr>
          <w:p w:rsidR="009B21E0" w:rsidRPr="009F5CF2" w:rsidRDefault="009B21E0" w:rsidP="00B85F78">
            <w:pPr>
              <w:spacing w:before="0" w:after="0"/>
              <w:rPr>
                <w:rFonts w:ascii="News Gothic Std" w:hAnsi="News Gothic Std" w:cs="Calibri"/>
                <w:sz w:val="18"/>
                <w:szCs w:val="18"/>
                <w:lang w:eastAsia="en-AU"/>
              </w:rPr>
            </w:pPr>
          </w:p>
        </w:tc>
      </w:tr>
      <w:tr w:rsidR="009B21E0" w:rsidRPr="00E60EA6" w:rsidTr="00E60EA6">
        <w:trPr>
          <w:trHeight w:val="300"/>
          <w:tblHeader/>
        </w:trPr>
        <w:tc>
          <w:tcPr>
            <w:tcW w:w="1713" w:type="dxa"/>
            <w:vMerge/>
            <w:shd w:val="clear" w:color="auto" w:fill="8DB3E2"/>
            <w:vAlign w:val="center"/>
            <w:hideMark/>
          </w:tcPr>
          <w:p w:rsidR="009B21E0" w:rsidRPr="00E60EA6" w:rsidRDefault="009B21E0" w:rsidP="00B85F78">
            <w:pPr>
              <w:spacing w:before="0" w:after="0"/>
              <w:rPr>
                <w:rFonts w:cs="Arial"/>
                <w:b/>
                <w:bCs/>
                <w:color w:val="000000"/>
                <w:sz w:val="18"/>
                <w:szCs w:val="18"/>
                <w:lang w:eastAsia="en-AU"/>
              </w:rPr>
            </w:pPr>
          </w:p>
        </w:tc>
        <w:tc>
          <w:tcPr>
            <w:tcW w:w="1210" w:type="dxa"/>
            <w:vMerge/>
            <w:tcBorders>
              <w:right w:val="single" w:sz="4" w:space="0" w:color="000000"/>
            </w:tcBorders>
            <w:shd w:val="clear" w:color="auto" w:fill="DBE5F1"/>
            <w:vAlign w:val="center"/>
            <w:hideMark/>
          </w:tcPr>
          <w:p w:rsidR="009B21E0" w:rsidRPr="00E60EA6" w:rsidRDefault="009B21E0" w:rsidP="00B85F78">
            <w:pPr>
              <w:spacing w:before="0" w:after="0"/>
              <w:rPr>
                <w:rFonts w:cs="Arial"/>
                <w:b/>
                <w:bCs/>
                <w:color w:val="000000"/>
                <w:sz w:val="18"/>
                <w:szCs w:val="18"/>
                <w:lang w:eastAsia="en-AU"/>
              </w:rPr>
            </w:pPr>
          </w:p>
        </w:tc>
        <w:tc>
          <w:tcPr>
            <w:tcW w:w="1237" w:type="dxa"/>
            <w:tcBorders>
              <w:left w:val="single" w:sz="4" w:space="0" w:color="000000"/>
            </w:tcBorders>
            <w:shd w:val="clear" w:color="auto" w:fill="8DB3E2"/>
            <w:vAlign w:val="bottom"/>
            <w:hideMark/>
          </w:tcPr>
          <w:p w:rsidR="009B21E0" w:rsidRPr="00E60EA6" w:rsidRDefault="009B21E0" w:rsidP="00B85F78">
            <w:pPr>
              <w:spacing w:before="0" w:after="0"/>
              <w:jc w:val="right"/>
              <w:rPr>
                <w:rFonts w:cs="Arial"/>
                <w:bCs/>
                <w:color w:val="000000"/>
                <w:sz w:val="18"/>
                <w:szCs w:val="18"/>
                <w:lang w:eastAsia="en-AU"/>
              </w:rPr>
            </w:pPr>
            <w:r w:rsidRPr="00E60EA6">
              <w:rPr>
                <w:rFonts w:cs="Arial"/>
                <w:bCs/>
                <w:color w:val="000000"/>
                <w:sz w:val="18"/>
                <w:szCs w:val="18"/>
                <w:lang w:eastAsia="en-AU"/>
              </w:rPr>
              <w:t>Av 0.8%</w:t>
            </w:r>
          </w:p>
        </w:tc>
        <w:tc>
          <w:tcPr>
            <w:tcW w:w="1237" w:type="dxa"/>
            <w:tcBorders>
              <w:right w:val="single" w:sz="4" w:space="0" w:color="000000"/>
            </w:tcBorders>
            <w:shd w:val="clear" w:color="auto" w:fill="8DB3E2"/>
            <w:vAlign w:val="bottom"/>
            <w:hideMark/>
          </w:tcPr>
          <w:p w:rsidR="009B21E0" w:rsidRPr="00E60EA6" w:rsidRDefault="009B21E0" w:rsidP="00B85F78">
            <w:pPr>
              <w:spacing w:before="0" w:after="0"/>
              <w:jc w:val="right"/>
              <w:rPr>
                <w:rFonts w:cs="Arial"/>
                <w:bCs/>
                <w:color w:val="000000"/>
                <w:sz w:val="18"/>
                <w:szCs w:val="18"/>
                <w:lang w:eastAsia="en-AU"/>
              </w:rPr>
            </w:pPr>
            <w:r w:rsidRPr="00E60EA6">
              <w:rPr>
                <w:rFonts w:cs="Arial"/>
                <w:bCs/>
                <w:color w:val="000000"/>
                <w:sz w:val="18"/>
                <w:szCs w:val="18"/>
                <w:lang w:eastAsia="en-AU"/>
              </w:rPr>
              <w:t>Av 3.76%</w:t>
            </w:r>
          </w:p>
        </w:tc>
        <w:tc>
          <w:tcPr>
            <w:tcW w:w="1237" w:type="dxa"/>
            <w:tcBorders>
              <w:left w:val="single" w:sz="4" w:space="0" w:color="000000"/>
            </w:tcBorders>
            <w:shd w:val="clear" w:color="auto" w:fill="DBE5F1"/>
            <w:vAlign w:val="bottom"/>
            <w:hideMark/>
          </w:tcPr>
          <w:p w:rsidR="009B21E0" w:rsidRPr="00E60EA6" w:rsidRDefault="009B21E0" w:rsidP="00B85F78">
            <w:pPr>
              <w:spacing w:before="0" w:after="0"/>
              <w:jc w:val="right"/>
              <w:rPr>
                <w:rFonts w:cs="Arial"/>
                <w:bCs/>
                <w:color w:val="000000"/>
                <w:sz w:val="18"/>
                <w:szCs w:val="18"/>
                <w:lang w:eastAsia="en-AU"/>
              </w:rPr>
            </w:pPr>
            <w:r w:rsidRPr="00E60EA6">
              <w:rPr>
                <w:rFonts w:cs="Arial"/>
                <w:bCs/>
                <w:color w:val="000000"/>
                <w:sz w:val="18"/>
                <w:szCs w:val="18"/>
                <w:lang w:eastAsia="en-AU"/>
              </w:rPr>
              <w:t>Av 10.36%</w:t>
            </w:r>
          </w:p>
        </w:tc>
        <w:tc>
          <w:tcPr>
            <w:tcW w:w="1033" w:type="dxa"/>
            <w:shd w:val="clear" w:color="auto" w:fill="8DB3E2"/>
            <w:noWrap/>
            <w:vAlign w:val="bottom"/>
            <w:hideMark/>
          </w:tcPr>
          <w:p w:rsidR="009B21E0" w:rsidRPr="00E86AD1" w:rsidRDefault="009B21E0" w:rsidP="00B85F78">
            <w:pPr>
              <w:spacing w:before="0" w:after="0"/>
              <w:rPr>
                <w:rFonts w:ascii="Calibri" w:hAnsi="Calibri" w:cs="Calibri"/>
                <w:sz w:val="18"/>
                <w:szCs w:val="18"/>
                <w:lang w:eastAsia="en-AU"/>
              </w:rPr>
            </w:pPr>
          </w:p>
        </w:tc>
      </w:tr>
      <w:tr w:rsidR="009B21E0" w:rsidRPr="00E60EA6" w:rsidTr="00E60EA6">
        <w:trPr>
          <w:trHeight w:val="255"/>
        </w:trPr>
        <w:tc>
          <w:tcPr>
            <w:tcW w:w="1713"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Portarlington</w:t>
            </w:r>
          </w:p>
        </w:tc>
        <w:tc>
          <w:tcPr>
            <w:tcW w:w="1210"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15 </w:t>
            </w:r>
          </w:p>
        </w:tc>
        <w:tc>
          <w:tcPr>
            <w:tcW w:w="12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4.80%</w:t>
            </w:r>
          </w:p>
        </w:tc>
        <w:tc>
          <w:tcPr>
            <w:tcW w:w="12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4.67%</w:t>
            </w:r>
          </w:p>
        </w:tc>
        <w:tc>
          <w:tcPr>
            <w:tcW w:w="12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31.28%</w:t>
            </w:r>
          </w:p>
        </w:tc>
        <w:tc>
          <w:tcPr>
            <w:tcW w:w="1033" w:type="dxa"/>
            <w:vMerge w:val="restart"/>
            <w:shd w:val="clear" w:color="auto" w:fill="auto"/>
            <w:vAlign w:val="center"/>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Above Average</w:t>
            </w:r>
          </w:p>
        </w:tc>
      </w:tr>
      <w:tr w:rsidR="009B21E0" w:rsidRPr="00E60EA6" w:rsidTr="00E60EA6">
        <w:trPr>
          <w:trHeight w:val="255"/>
        </w:trPr>
        <w:tc>
          <w:tcPr>
            <w:tcW w:w="1713"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Belmont</w:t>
            </w:r>
          </w:p>
        </w:tc>
        <w:tc>
          <w:tcPr>
            <w:tcW w:w="1210"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18 </w:t>
            </w:r>
          </w:p>
        </w:tc>
        <w:tc>
          <w:tcPr>
            <w:tcW w:w="12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0.10%</w:t>
            </w:r>
          </w:p>
        </w:tc>
        <w:tc>
          <w:tcPr>
            <w:tcW w:w="12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9.48%</w:t>
            </w:r>
          </w:p>
        </w:tc>
        <w:tc>
          <w:tcPr>
            <w:tcW w:w="12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15.48%</w:t>
            </w:r>
          </w:p>
        </w:tc>
        <w:tc>
          <w:tcPr>
            <w:tcW w:w="1033"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1713"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Newtown</w:t>
            </w:r>
          </w:p>
        </w:tc>
        <w:tc>
          <w:tcPr>
            <w:tcW w:w="1210"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13 </w:t>
            </w:r>
          </w:p>
        </w:tc>
        <w:tc>
          <w:tcPr>
            <w:tcW w:w="12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11.40%</w:t>
            </w:r>
          </w:p>
        </w:tc>
        <w:tc>
          <w:tcPr>
            <w:tcW w:w="12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3.94%</w:t>
            </w:r>
          </w:p>
        </w:tc>
        <w:tc>
          <w:tcPr>
            <w:tcW w:w="12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10.42%</w:t>
            </w:r>
          </w:p>
        </w:tc>
        <w:tc>
          <w:tcPr>
            <w:tcW w:w="1033"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1713"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Barwon Heads</w:t>
            </w:r>
          </w:p>
        </w:tc>
        <w:tc>
          <w:tcPr>
            <w:tcW w:w="1210"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13 </w:t>
            </w:r>
          </w:p>
        </w:tc>
        <w:tc>
          <w:tcPr>
            <w:tcW w:w="12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8.90%</w:t>
            </w:r>
          </w:p>
        </w:tc>
        <w:tc>
          <w:tcPr>
            <w:tcW w:w="12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17.84%</w:t>
            </w:r>
          </w:p>
        </w:tc>
        <w:tc>
          <w:tcPr>
            <w:tcW w:w="12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10.17%</w:t>
            </w:r>
          </w:p>
        </w:tc>
        <w:tc>
          <w:tcPr>
            <w:tcW w:w="1033" w:type="dxa"/>
            <w:vMerge w:val="restart"/>
            <w:shd w:val="clear" w:color="auto" w:fill="auto"/>
            <w:vAlign w:val="center"/>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Below Average</w:t>
            </w:r>
          </w:p>
        </w:tc>
      </w:tr>
      <w:tr w:rsidR="009B21E0" w:rsidRPr="00E60EA6" w:rsidTr="00E60EA6">
        <w:trPr>
          <w:trHeight w:val="255"/>
        </w:trPr>
        <w:tc>
          <w:tcPr>
            <w:tcW w:w="1713"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Geelong West</w:t>
            </w:r>
          </w:p>
        </w:tc>
        <w:tc>
          <w:tcPr>
            <w:tcW w:w="1210"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21 </w:t>
            </w:r>
          </w:p>
        </w:tc>
        <w:tc>
          <w:tcPr>
            <w:tcW w:w="12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0.30%</w:t>
            </w:r>
          </w:p>
        </w:tc>
        <w:tc>
          <w:tcPr>
            <w:tcW w:w="12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6.69%</w:t>
            </w:r>
          </w:p>
        </w:tc>
        <w:tc>
          <w:tcPr>
            <w:tcW w:w="12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10.17%</w:t>
            </w:r>
          </w:p>
        </w:tc>
        <w:tc>
          <w:tcPr>
            <w:tcW w:w="1033"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1713"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 xml:space="preserve">Geelong   </w:t>
            </w:r>
          </w:p>
        </w:tc>
        <w:tc>
          <w:tcPr>
            <w:tcW w:w="1210"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33 </w:t>
            </w:r>
          </w:p>
        </w:tc>
        <w:tc>
          <w:tcPr>
            <w:tcW w:w="12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7.60%</w:t>
            </w:r>
          </w:p>
        </w:tc>
        <w:tc>
          <w:tcPr>
            <w:tcW w:w="12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4.86%</w:t>
            </w:r>
          </w:p>
        </w:tc>
        <w:tc>
          <w:tcPr>
            <w:tcW w:w="12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8.24%</w:t>
            </w:r>
          </w:p>
        </w:tc>
        <w:tc>
          <w:tcPr>
            <w:tcW w:w="1033"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1713"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Lara</w:t>
            </w:r>
          </w:p>
        </w:tc>
        <w:tc>
          <w:tcPr>
            <w:tcW w:w="1210"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20 </w:t>
            </w:r>
          </w:p>
        </w:tc>
        <w:tc>
          <w:tcPr>
            <w:tcW w:w="12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5.30%</w:t>
            </w:r>
          </w:p>
        </w:tc>
        <w:tc>
          <w:tcPr>
            <w:tcW w:w="12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0.12%</w:t>
            </w:r>
          </w:p>
        </w:tc>
        <w:tc>
          <w:tcPr>
            <w:tcW w:w="12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4.64%</w:t>
            </w:r>
          </w:p>
        </w:tc>
        <w:tc>
          <w:tcPr>
            <w:tcW w:w="1033"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1713"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Highton</w:t>
            </w:r>
          </w:p>
        </w:tc>
        <w:tc>
          <w:tcPr>
            <w:tcW w:w="1210"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23 </w:t>
            </w:r>
          </w:p>
        </w:tc>
        <w:tc>
          <w:tcPr>
            <w:tcW w:w="12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8.20%</w:t>
            </w:r>
          </w:p>
        </w:tc>
        <w:tc>
          <w:tcPr>
            <w:tcW w:w="12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1.81%</w:t>
            </w:r>
          </w:p>
        </w:tc>
        <w:tc>
          <w:tcPr>
            <w:tcW w:w="12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3.33%</w:t>
            </w:r>
          </w:p>
        </w:tc>
        <w:tc>
          <w:tcPr>
            <w:tcW w:w="1033"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1713"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Ocean Grove</w:t>
            </w:r>
          </w:p>
        </w:tc>
        <w:tc>
          <w:tcPr>
            <w:tcW w:w="1210"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 xml:space="preserve">34 </w:t>
            </w:r>
          </w:p>
        </w:tc>
        <w:tc>
          <w:tcPr>
            <w:tcW w:w="1237" w:type="dxa"/>
            <w:tcBorders>
              <w:lef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2.40%</w:t>
            </w:r>
          </w:p>
        </w:tc>
        <w:tc>
          <w:tcPr>
            <w:tcW w:w="1237" w:type="dxa"/>
            <w:tcBorders>
              <w:right w:val="single" w:sz="4" w:space="0" w:color="000000"/>
            </w:tcBorders>
            <w:shd w:val="clear" w:color="auto" w:fill="auto"/>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0.42%</w:t>
            </w:r>
          </w:p>
        </w:tc>
        <w:tc>
          <w:tcPr>
            <w:tcW w:w="1237" w:type="dxa"/>
            <w:tcBorders>
              <w:lef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color w:val="000000"/>
                <w:sz w:val="18"/>
                <w:szCs w:val="18"/>
                <w:lang w:eastAsia="en-AU"/>
              </w:rPr>
            </w:pPr>
            <w:r w:rsidRPr="00E60EA6">
              <w:rPr>
                <w:rFonts w:cs="Lucida Sans Unicode"/>
                <w:color w:val="000000"/>
                <w:sz w:val="18"/>
                <w:szCs w:val="18"/>
                <w:lang w:eastAsia="en-AU"/>
              </w:rPr>
              <w:t>2.17%</w:t>
            </w:r>
          </w:p>
        </w:tc>
        <w:tc>
          <w:tcPr>
            <w:tcW w:w="1033" w:type="dxa"/>
            <w:vMerge/>
            <w:vAlign w:val="center"/>
            <w:hideMark/>
          </w:tcPr>
          <w:p w:rsidR="009B21E0" w:rsidRPr="00E60EA6" w:rsidRDefault="009B21E0" w:rsidP="00B85F78">
            <w:pPr>
              <w:spacing w:before="0" w:after="0"/>
              <w:rPr>
                <w:rFonts w:cs="Lucida Sans Unicode"/>
                <w:color w:val="000000"/>
                <w:sz w:val="18"/>
                <w:szCs w:val="18"/>
                <w:lang w:eastAsia="en-AU"/>
              </w:rPr>
            </w:pPr>
          </w:p>
        </w:tc>
      </w:tr>
      <w:tr w:rsidR="009B21E0" w:rsidRPr="00E60EA6" w:rsidTr="00E60EA6">
        <w:trPr>
          <w:trHeight w:val="255"/>
        </w:trPr>
        <w:tc>
          <w:tcPr>
            <w:tcW w:w="1713" w:type="dxa"/>
            <w:shd w:val="clear" w:color="auto" w:fill="auto"/>
            <w:noWrap/>
            <w:vAlign w:val="bottom"/>
            <w:hideMark/>
          </w:tcPr>
          <w:p w:rsidR="009B21E0" w:rsidRPr="00E60EA6" w:rsidRDefault="009B21E0" w:rsidP="00B85F78">
            <w:pPr>
              <w:spacing w:before="0" w:after="0"/>
              <w:rPr>
                <w:rFonts w:cs="Lucida Sans Unicode"/>
                <w:b/>
                <w:bCs/>
                <w:color w:val="000000"/>
                <w:sz w:val="18"/>
                <w:szCs w:val="18"/>
                <w:lang w:eastAsia="en-AU"/>
              </w:rPr>
            </w:pPr>
            <w:r w:rsidRPr="00E60EA6">
              <w:rPr>
                <w:rFonts w:cs="Lucida Sans Unicode"/>
                <w:b/>
                <w:bCs/>
                <w:color w:val="000000"/>
                <w:sz w:val="18"/>
                <w:szCs w:val="18"/>
                <w:lang w:eastAsia="en-AU"/>
              </w:rPr>
              <w:t>Total</w:t>
            </w:r>
          </w:p>
        </w:tc>
        <w:tc>
          <w:tcPr>
            <w:tcW w:w="1210" w:type="dxa"/>
            <w:tcBorders>
              <w:right w:val="single" w:sz="4" w:space="0" w:color="000000"/>
            </w:tcBorders>
            <w:shd w:val="clear" w:color="auto" w:fill="DBE5F1"/>
            <w:noWrap/>
            <w:vAlign w:val="bottom"/>
            <w:hideMark/>
          </w:tcPr>
          <w:p w:rsidR="009B21E0" w:rsidRPr="00E60EA6" w:rsidRDefault="009B21E0" w:rsidP="00B85F78">
            <w:pPr>
              <w:spacing w:before="0" w:after="0"/>
              <w:jc w:val="right"/>
              <w:rPr>
                <w:rFonts w:cs="Lucida Sans Unicode"/>
                <w:b/>
                <w:bCs/>
                <w:color w:val="000000"/>
                <w:sz w:val="18"/>
                <w:szCs w:val="18"/>
                <w:lang w:eastAsia="en-AU"/>
              </w:rPr>
            </w:pPr>
            <w:r w:rsidRPr="00E60EA6">
              <w:rPr>
                <w:rFonts w:cs="Lucida Sans Unicode"/>
                <w:b/>
                <w:bCs/>
                <w:color w:val="000000"/>
                <w:sz w:val="18"/>
                <w:szCs w:val="18"/>
                <w:lang w:eastAsia="en-AU"/>
              </w:rPr>
              <w:t xml:space="preserve">190 </w:t>
            </w:r>
          </w:p>
        </w:tc>
        <w:tc>
          <w:tcPr>
            <w:tcW w:w="1237" w:type="dxa"/>
            <w:tcBorders>
              <w:left w:val="single" w:sz="4" w:space="0" w:color="000000"/>
              <w:bottom w:val="single" w:sz="4" w:space="0" w:color="000000"/>
            </w:tcBorders>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 </w:t>
            </w:r>
          </w:p>
        </w:tc>
        <w:tc>
          <w:tcPr>
            <w:tcW w:w="1237" w:type="dxa"/>
            <w:tcBorders>
              <w:bottom w:val="single" w:sz="4" w:space="0" w:color="000000"/>
              <w:right w:val="single" w:sz="4" w:space="0" w:color="000000"/>
            </w:tcBorders>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 </w:t>
            </w:r>
          </w:p>
        </w:tc>
        <w:tc>
          <w:tcPr>
            <w:tcW w:w="1237" w:type="dxa"/>
            <w:tcBorders>
              <w:left w:val="single" w:sz="4" w:space="0" w:color="000000"/>
            </w:tcBorders>
            <w:shd w:val="clear" w:color="auto" w:fill="DBE5F1"/>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 </w:t>
            </w:r>
          </w:p>
        </w:tc>
        <w:tc>
          <w:tcPr>
            <w:tcW w:w="1033" w:type="dxa"/>
            <w:shd w:val="clear" w:color="auto" w:fill="auto"/>
            <w:noWrap/>
            <w:vAlign w:val="bottom"/>
            <w:hideMark/>
          </w:tcPr>
          <w:p w:rsidR="009B21E0" w:rsidRPr="00E60EA6" w:rsidRDefault="009B21E0" w:rsidP="00B85F78">
            <w:pPr>
              <w:spacing w:before="0" w:after="0"/>
              <w:rPr>
                <w:rFonts w:cs="Lucida Sans Unicode"/>
                <w:color w:val="000000"/>
                <w:sz w:val="18"/>
                <w:szCs w:val="18"/>
                <w:lang w:eastAsia="en-AU"/>
              </w:rPr>
            </w:pPr>
            <w:r w:rsidRPr="00E60EA6">
              <w:rPr>
                <w:rFonts w:cs="Lucida Sans Unicode"/>
                <w:color w:val="000000"/>
                <w:sz w:val="18"/>
                <w:szCs w:val="18"/>
                <w:lang w:eastAsia="en-AU"/>
              </w:rPr>
              <w:t> </w:t>
            </w:r>
          </w:p>
        </w:tc>
      </w:tr>
    </w:tbl>
    <w:p w:rsidR="0057338B" w:rsidRDefault="0057338B">
      <w:pPr>
        <w:pStyle w:val="BodyText"/>
      </w:pPr>
    </w:p>
    <w:p w:rsidR="009B21E0" w:rsidRDefault="009B21E0">
      <w:pPr>
        <w:pStyle w:val="BodyText"/>
      </w:pPr>
      <w:r w:rsidRPr="00C27A8A">
        <w:t>A total of 8 properties at Corio have increased by 10.92%, 8 properties at North Geelong have increased by 7.01%, 8 properties at Moolap have increased by 2.06%, and 10 properties at Grovedale have increased by 0.10%.</w:t>
      </w:r>
    </w:p>
    <w:p w:rsidR="009B21E0" w:rsidRPr="00C27A8A" w:rsidRDefault="009B21E0">
      <w:pPr>
        <w:pStyle w:val="Heading4A"/>
      </w:pPr>
      <w:r>
        <w:t>Major Industrials</w:t>
      </w:r>
    </w:p>
    <w:p w:rsidR="009B21E0" w:rsidRDefault="009B21E0">
      <w:pPr>
        <w:pStyle w:val="BodyText"/>
      </w:pPr>
      <w:r>
        <w:t>For the Petroleum Production Land differential, there is no change to the CIV for Viva Energy from 2014 to 2016. It remains at $136,000,000.</w:t>
      </w:r>
    </w:p>
    <w:p w:rsidR="009B21E0" w:rsidRPr="00C27A8A" w:rsidRDefault="009B21E0">
      <w:pPr>
        <w:pStyle w:val="BodyText"/>
      </w:pPr>
      <w:r>
        <w:t>For the Automobile Production Land differential, the CIV for Ford has been reduced from $45,550,000 to $36,510,000 or (19.85%) in recognition of the plant closing in October 2016.</w:t>
      </w:r>
    </w:p>
    <w:p w:rsidR="009B21E0" w:rsidRDefault="009B21E0" w:rsidP="00E7196F">
      <w:pPr>
        <w:pStyle w:val="Heading3A"/>
      </w:pPr>
      <w:r>
        <w:t>Rating Model</w:t>
      </w:r>
    </w:p>
    <w:p w:rsidR="009B21E0" w:rsidRDefault="009B21E0">
      <w:pPr>
        <w:pStyle w:val="BodyText"/>
      </w:pPr>
      <w:r>
        <w:t xml:space="preserve">The </w:t>
      </w:r>
      <w:r w:rsidRPr="005167B1">
        <w:rPr>
          <w:i/>
        </w:rPr>
        <w:t>Local Government Act 1989</w:t>
      </w:r>
      <w:r>
        <w:t xml:space="preserve"> was amended in December 2015 to include </w:t>
      </w:r>
      <w:r w:rsidR="00C52306">
        <w:t xml:space="preserve">Part </w:t>
      </w:r>
      <w:r>
        <w:t xml:space="preserve">8A – Rate Caps, </w:t>
      </w:r>
      <w:r w:rsidR="00794E57">
        <w:t xml:space="preserve">sections </w:t>
      </w:r>
      <w:r>
        <w:t>185A to 185G to promote the long term interests of ratepayers and the community in relation to sustainable outcomes in the delivery of services and infrastructure.</w:t>
      </w:r>
    </w:p>
    <w:p w:rsidR="009B21E0" w:rsidRPr="00F33F45" w:rsidRDefault="009B21E0">
      <w:pPr>
        <w:pStyle w:val="BodyText"/>
      </w:pPr>
      <w:r w:rsidRPr="00F33F45">
        <w:t xml:space="preserve">The Minister for Local Government announced on 22 December 2015 </w:t>
      </w:r>
      <w:r>
        <w:t xml:space="preserve">under section 185D(1) of the LGA </w:t>
      </w:r>
      <w:r w:rsidRPr="00F33F45">
        <w:t xml:space="preserve">that the 2016-17 rate cap would be 2.5% for all Victorian </w:t>
      </w:r>
      <w:r w:rsidR="00316155">
        <w:t>C</w:t>
      </w:r>
      <w:r w:rsidR="0057338B" w:rsidRPr="00F33F45">
        <w:t>ouncils</w:t>
      </w:r>
      <w:r w:rsidRPr="00F33F45">
        <w:t xml:space="preserve">. </w:t>
      </w:r>
    </w:p>
    <w:p w:rsidR="009B21E0" w:rsidRPr="00F33F45" w:rsidRDefault="009B21E0">
      <w:pPr>
        <w:pStyle w:val="BodyText"/>
      </w:pPr>
      <w:r w:rsidRPr="00F33F45">
        <w:t>Not all Council charges are included in the rate cap calculation.</w:t>
      </w:r>
    </w:p>
    <w:p w:rsidR="00A23966" w:rsidRPr="00316155" w:rsidRDefault="009B21E0" w:rsidP="005167B1">
      <w:pPr>
        <w:pStyle w:val="ListParagraph"/>
        <w:numPr>
          <w:ilvl w:val="0"/>
          <w:numId w:val="43"/>
        </w:numPr>
        <w:spacing w:after="80"/>
        <w:ind w:left="357" w:hanging="357"/>
        <w:jc w:val="both"/>
      </w:pPr>
      <w:r w:rsidRPr="00132FCB">
        <w:rPr>
          <w:rFonts w:cs="Lucida Sans Unicode"/>
          <w:szCs w:val="22"/>
        </w:rPr>
        <w:lastRenderedPageBreak/>
        <w:t>Rates and the Municipal Charge are included in the rate cap calculation.</w:t>
      </w:r>
    </w:p>
    <w:p w:rsidR="00A23966" w:rsidRPr="005167B1" w:rsidRDefault="009B21E0" w:rsidP="005167B1">
      <w:pPr>
        <w:pStyle w:val="ListParagraph"/>
        <w:numPr>
          <w:ilvl w:val="0"/>
          <w:numId w:val="43"/>
        </w:numPr>
        <w:spacing w:after="80"/>
        <w:ind w:left="357" w:hanging="357"/>
        <w:jc w:val="both"/>
      </w:pPr>
      <w:r w:rsidRPr="005167B1">
        <w:rPr>
          <w:rFonts w:cs="Lucida Sans Unicode"/>
          <w:szCs w:val="22"/>
        </w:rPr>
        <w:t>The Waste charge and the Fire Services Property Levy are not included in the rate cap calculation.</w:t>
      </w:r>
    </w:p>
    <w:p w:rsidR="009B21E0" w:rsidRDefault="009B21E0">
      <w:pPr>
        <w:pStyle w:val="BodyText"/>
      </w:pPr>
      <w:r>
        <w:t>The 2015-16 base average rate is calculated at $1,435.43 and the 2016</w:t>
      </w:r>
      <w:r>
        <w:noBreakHyphen/>
        <w:t>17 Budget proposes this will increase by 2.44% to $1,470.55.</w:t>
      </w:r>
    </w:p>
    <w:p w:rsidR="009B21E0" w:rsidRPr="00F33F45" w:rsidRDefault="009B21E0">
      <w:pPr>
        <w:pStyle w:val="BodyText"/>
      </w:pPr>
      <w:r w:rsidRPr="00F33F45">
        <w:t>The rate cap calculation for 2016-17 is:</w:t>
      </w:r>
    </w:p>
    <w:tbl>
      <w:tblPr>
        <w:tblW w:w="87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635"/>
        <w:gridCol w:w="1542"/>
        <w:gridCol w:w="1543"/>
      </w:tblGrid>
      <w:tr w:rsidR="009B21E0" w:rsidRPr="00E60EA6" w:rsidTr="00E60EA6">
        <w:trPr>
          <w:trHeight w:val="255"/>
        </w:trPr>
        <w:tc>
          <w:tcPr>
            <w:tcW w:w="5635" w:type="dxa"/>
            <w:shd w:val="clear" w:color="auto" w:fill="8DB3E2"/>
            <w:noWrap/>
            <w:vAlign w:val="bottom"/>
            <w:hideMark/>
          </w:tcPr>
          <w:p w:rsidR="009B21E0" w:rsidRPr="009F5CF2" w:rsidRDefault="009B21E0" w:rsidP="00B85F78">
            <w:pPr>
              <w:spacing w:before="0" w:after="0"/>
              <w:rPr>
                <w:rFonts w:ascii="News Gothic Std" w:hAnsi="News Gothic Std" w:cs="Arial"/>
                <w:sz w:val="18"/>
                <w:szCs w:val="18"/>
                <w:lang w:eastAsia="en-AU"/>
              </w:rPr>
            </w:pPr>
          </w:p>
        </w:tc>
        <w:tc>
          <w:tcPr>
            <w:tcW w:w="1542" w:type="dxa"/>
            <w:shd w:val="clear" w:color="auto" w:fill="8DB3E2"/>
            <w:noWrap/>
            <w:vAlign w:val="bottom"/>
            <w:hideMark/>
          </w:tcPr>
          <w:p w:rsidR="009B21E0" w:rsidRPr="009F5CF2" w:rsidRDefault="009B21E0" w:rsidP="00385D36">
            <w:pPr>
              <w:spacing w:before="0" w:after="0"/>
              <w:jc w:val="right"/>
              <w:rPr>
                <w:rFonts w:ascii="News Gothic Std" w:hAnsi="News Gothic Std" w:cs="Arial"/>
                <w:sz w:val="18"/>
                <w:szCs w:val="18"/>
                <w:lang w:eastAsia="en-AU"/>
              </w:rPr>
            </w:pPr>
            <w:r w:rsidRPr="009F5CF2">
              <w:rPr>
                <w:rFonts w:ascii="News Gothic Std" w:hAnsi="News Gothic Std" w:cs="Arial"/>
                <w:sz w:val="18"/>
                <w:szCs w:val="18"/>
                <w:lang w:eastAsia="en-AU"/>
              </w:rPr>
              <w:t>2015-16</w:t>
            </w:r>
          </w:p>
        </w:tc>
        <w:tc>
          <w:tcPr>
            <w:tcW w:w="1543" w:type="dxa"/>
            <w:shd w:val="clear" w:color="auto" w:fill="8DB3E2"/>
            <w:noWrap/>
            <w:vAlign w:val="bottom"/>
            <w:hideMark/>
          </w:tcPr>
          <w:p w:rsidR="009B21E0" w:rsidRPr="009F5CF2" w:rsidRDefault="009B21E0" w:rsidP="00385D36">
            <w:pPr>
              <w:spacing w:before="0" w:after="0"/>
              <w:jc w:val="right"/>
              <w:rPr>
                <w:rFonts w:ascii="News Gothic Std" w:hAnsi="News Gothic Std" w:cs="Arial"/>
                <w:sz w:val="18"/>
                <w:szCs w:val="18"/>
                <w:lang w:eastAsia="en-AU"/>
              </w:rPr>
            </w:pPr>
            <w:r w:rsidRPr="009F5CF2">
              <w:rPr>
                <w:rFonts w:ascii="News Gothic Std" w:hAnsi="News Gothic Std" w:cs="Arial"/>
                <w:sz w:val="18"/>
                <w:szCs w:val="18"/>
                <w:lang w:eastAsia="en-AU"/>
              </w:rPr>
              <w:t>2016-17</w:t>
            </w:r>
          </w:p>
        </w:tc>
      </w:tr>
      <w:tr w:rsidR="009B21E0" w:rsidRPr="00E60EA6" w:rsidTr="00E60EA6">
        <w:trPr>
          <w:trHeight w:val="255"/>
        </w:trPr>
        <w:tc>
          <w:tcPr>
            <w:tcW w:w="5635" w:type="dxa"/>
            <w:shd w:val="clear" w:color="auto" w:fill="8DB3E2"/>
            <w:noWrap/>
            <w:vAlign w:val="bottom"/>
            <w:hideMark/>
          </w:tcPr>
          <w:p w:rsidR="009B21E0" w:rsidRPr="009F5CF2" w:rsidRDefault="009B21E0" w:rsidP="00B85F78">
            <w:pPr>
              <w:spacing w:before="0" w:after="0"/>
              <w:rPr>
                <w:rFonts w:ascii="News Gothic Std" w:hAnsi="News Gothic Std" w:cs="Arial"/>
                <w:sz w:val="18"/>
                <w:szCs w:val="18"/>
                <w:lang w:eastAsia="en-AU"/>
              </w:rPr>
            </w:pPr>
            <w:r w:rsidRPr="009F5CF2">
              <w:rPr>
                <w:rFonts w:ascii="News Gothic Std" w:hAnsi="News Gothic Std" w:cs="Arial"/>
                <w:sz w:val="18"/>
                <w:szCs w:val="18"/>
                <w:lang w:eastAsia="en-AU"/>
              </w:rPr>
              <w:t>Proposed Average Rate Increase all Rateable Property</w:t>
            </w:r>
          </w:p>
        </w:tc>
        <w:tc>
          <w:tcPr>
            <w:tcW w:w="1542" w:type="dxa"/>
            <w:shd w:val="clear" w:color="auto" w:fill="8DB3E2"/>
            <w:noWrap/>
            <w:vAlign w:val="bottom"/>
            <w:hideMark/>
          </w:tcPr>
          <w:p w:rsidR="009B21E0" w:rsidRPr="009F5CF2" w:rsidRDefault="009B21E0" w:rsidP="00B85F78">
            <w:pPr>
              <w:spacing w:before="0" w:after="0"/>
              <w:jc w:val="right"/>
              <w:rPr>
                <w:rFonts w:ascii="News Gothic Std" w:hAnsi="News Gothic Std" w:cs="Arial"/>
                <w:sz w:val="18"/>
                <w:szCs w:val="18"/>
                <w:lang w:eastAsia="en-AU"/>
              </w:rPr>
            </w:pPr>
            <w:r w:rsidRPr="009F5CF2">
              <w:rPr>
                <w:rFonts w:ascii="News Gothic Std" w:hAnsi="News Gothic Std" w:cs="Arial"/>
                <w:sz w:val="18"/>
                <w:szCs w:val="18"/>
                <w:lang w:eastAsia="en-AU"/>
              </w:rPr>
              <w:t> </w:t>
            </w:r>
          </w:p>
        </w:tc>
        <w:tc>
          <w:tcPr>
            <w:tcW w:w="1543" w:type="dxa"/>
            <w:shd w:val="clear" w:color="auto" w:fill="8DB3E2"/>
            <w:noWrap/>
            <w:vAlign w:val="bottom"/>
            <w:hideMark/>
          </w:tcPr>
          <w:p w:rsidR="009B21E0" w:rsidRPr="009F5CF2" w:rsidRDefault="009B21E0" w:rsidP="00B85F78">
            <w:pPr>
              <w:spacing w:before="0" w:after="0"/>
              <w:jc w:val="right"/>
              <w:rPr>
                <w:rFonts w:ascii="News Gothic Std" w:hAnsi="News Gothic Std" w:cs="Arial"/>
                <w:sz w:val="18"/>
                <w:szCs w:val="18"/>
                <w:lang w:eastAsia="en-AU"/>
              </w:rPr>
            </w:pPr>
            <w:r w:rsidRPr="009F5CF2">
              <w:rPr>
                <w:rFonts w:ascii="News Gothic Std" w:hAnsi="News Gothic Std" w:cs="Arial"/>
                <w:sz w:val="18"/>
                <w:szCs w:val="18"/>
                <w:lang w:eastAsia="en-AU"/>
              </w:rPr>
              <w:t>2.44%</w:t>
            </w:r>
          </w:p>
        </w:tc>
      </w:tr>
      <w:tr w:rsidR="009B21E0" w:rsidRPr="00E60EA6" w:rsidTr="00E60EA6">
        <w:trPr>
          <w:trHeight w:val="354"/>
        </w:trPr>
        <w:tc>
          <w:tcPr>
            <w:tcW w:w="5635" w:type="dxa"/>
            <w:shd w:val="clear" w:color="auto" w:fill="auto"/>
            <w:vAlign w:val="center"/>
            <w:hideMark/>
          </w:tcPr>
          <w:p w:rsidR="009B21E0" w:rsidRPr="00E60EA6" w:rsidRDefault="009B21E0" w:rsidP="00385D36">
            <w:pPr>
              <w:spacing w:before="0" w:after="0"/>
              <w:rPr>
                <w:rFonts w:cs="Lucida Sans Unicode"/>
                <w:sz w:val="18"/>
                <w:szCs w:val="18"/>
                <w:lang w:eastAsia="en-AU"/>
              </w:rPr>
            </w:pPr>
            <w:r w:rsidRPr="00E60EA6">
              <w:rPr>
                <w:rFonts w:cs="Lucida Sans Unicode"/>
                <w:sz w:val="18"/>
                <w:szCs w:val="18"/>
                <w:lang w:eastAsia="en-AU"/>
              </w:rPr>
              <w:t>Rates and Municipal Charge (adjusted for Supplementaries 2015-16)</w:t>
            </w:r>
          </w:p>
        </w:tc>
        <w:tc>
          <w:tcPr>
            <w:tcW w:w="1542" w:type="dxa"/>
            <w:shd w:val="clear" w:color="auto" w:fill="auto"/>
            <w:noWrap/>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168,453,253 </w:t>
            </w:r>
          </w:p>
        </w:tc>
        <w:tc>
          <w:tcPr>
            <w:tcW w:w="1543" w:type="dxa"/>
            <w:shd w:val="clear" w:color="auto" w:fill="auto"/>
            <w:noWrap/>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172,574,645 </w:t>
            </w:r>
          </w:p>
        </w:tc>
      </w:tr>
      <w:tr w:rsidR="009B21E0" w:rsidRPr="00E60EA6" w:rsidTr="00E60EA6">
        <w:trPr>
          <w:trHeight w:val="300"/>
        </w:trPr>
        <w:tc>
          <w:tcPr>
            <w:tcW w:w="5635" w:type="dxa"/>
            <w:shd w:val="clear" w:color="auto" w:fill="auto"/>
            <w:noWrap/>
            <w:vAlign w:val="center"/>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Number of Rateable Properties</w:t>
            </w:r>
          </w:p>
        </w:tc>
        <w:tc>
          <w:tcPr>
            <w:tcW w:w="1542" w:type="dxa"/>
            <w:shd w:val="clear" w:color="auto" w:fill="auto"/>
            <w:noWrap/>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117,354 </w:t>
            </w:r>
          </w:p>
        </w:tc>
        <w:tc>
          <w:tcPr>
            <w:tcW w:w="1543" w:type="dxa"/>
            <w:shd w:val="clear" w:color="auto" w:fill="auto"/>
            <w:noWrap/>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117,354 </w:t>
            </w:r>
          </w:p>
        </w:tc>
      </w:tr>
      <w:tr w:rsidR="009B21E0" w:rsidRPr="00E60EA6" w:rsidTr="00E60EA6">
        <w:trPr>
          <w:trHeight w:val="300"/>
        </w:trPr>
        <w:tc>
          <w:tcPr>
            <w:tcW w:w="5635" w:type="dxa"/>
            <w:shd w:val="clear" w:color="auto" w:fill="auto"/>
            <w:noWrap/>
            <w:vAlign w:val="center"/>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Base Average Rate (BAR)</w:t>
            </w:r>
          </w:p>
        </w:tc>
        <w:tc>
          <w:tcPr>
            <w:tcW w:w="1542" w:type="dxa"/>
            <w:shd w:val="clear" w:color="auto" w:fill="auto"/>
            <w:noWrap/>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1,435.43 </w:t>
            </w:r>
          </w:p>
        </w:tc>
        <w:tc>
          <w:tcPr>
            <w:tcW w:w="1543" w:type="dxa"/>
            <w:shd w:val="clear" w:color="auto" w:fill="auto"/>
            <w:noWrap/>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1,470.55 </w:t>
            </w:r>
          </w:p>
        </w:tc>
      </w:tr>
    </w:tbl>
    <w:p w:rsidR="00DC4385" w:rsidRDefault="00DC4385">
      <w:pPr>
        <w:pStyle w:val="BodyText"/>
      </w:pPr>
    </w:p>
    <w:p w:rsidR="009B21E0" w:rsidRPr="00F33F45" w:rsidRDefault="009B21E0">
      <w:pPr>
        <w:pStyle w:val="BodyText"/>
      </w:pPr>
      <w:r w:rsidRPr="00F33F45">
        <w:t>The rates and charges for individual properties may have increased or decreased by a different percentage amount to the rate cap for the following reasons:</w:t>
      </w:r>
    </w:p>
    <w:p w:rsidR="009B21E0" w:rsidRPr="00E60EA6" w:rsidRDefault="009B21E0" w:rsidP="005167B1">
      <w:pPr>
        <w:pStyle w:val="ListParagraph"/>
        <w:numPr>
          <w:ilvl w:val="0"/>
          <w:numId w:val="43"/>
        </w:numPr>
        <w:spacing w:after="80"/>
        <w:ind w:left="357" w:hanging="357"/>
        <w:jc w:val="both"/>
        <w:rPr>
          <w:rFonts w:cs="Lucida Sans Unicode"/>
          <w:szCs w:val="22"/>
        </w:rPr>
      </w:pPr>
      <w:r w:rsidRPr="00E60EA6">
        <w:rPr>
          <w:rFonts w:cs="Lucida Sans Unicode"/>
          <w:szCs w:val="22"/>
        </w:rPr>
        <w:t>The valuation of a property relative to the valuation of another property in the municipal district;</w:t>
      </w:r>
    </w:p>
    <w:p w:rsidR="009B21E0" w:rsidRPr="00E60EA6" w:rsidRDefault="009B21E0" w:rsidP="005167B1">
      <w:pPr>
        <w:pStyle w:val="ListParagraph"/>
        <w:numPr>
          <w:ilvl w:val="0"/>
          <w:numId w:val="43"/>
        </w:numPr>
        <w:spacing w:after="80"/>
        <w:ind w:left="357" w:hanging="357"/>
        <w:jc w:val="both"/>
        <w:rPr>
          <w:rFonts w:cs="Lucida Sans Unicode"/>
          <w:szCs w:val="22"/>
        </w:rPr>
      </w:pPr>
      <w:r w:rsidRPr="00E60EA6">
        <w:rPr>
          <w:rFonts w:cs="Lucida Sans Unicode"/>
          <w:szCs w:val="22"/>
        </w:rPr>
        <w:t>The application of a differential rate based on land use;</w:t>
      </w:r>
    </w:p>
    <w:p w:rsidR="009B21E0" w:rsidRPr="00E60EA6" w:rsidRDefault="009B21E0" w:rsidP="005167B1">
      <w:pPr>
        <w:pStyle w:val="ListParagraph"/>
        <w:numPr>
          <w:ilvl w:val="0"/>
          <w:numId w:val="43"/>
        </w:numPr>
        <w:spacing w:after="80"/>
        <w:ind w:left="357" w:hanging="357"/>
        <w:jc w:val="both"/>
        <w:rPr>
          <w:rFonts w:cs="Lucida Sans Unicode"/>
          <w:szCs w:val="22"/>
        </w:rPr>
      </w:pPr>
      <w:r w:rsidRPr="00E60EA6">
        <w:rPr>
          <w:rFonts w:cs="Lucida Sans Unicode"/>
          <w:szCs w:val="22"/>
        </w:rPr>
        <w:t>The inclusion of other charges not included in the rate cap.</w:t>
      </w:r>
    </w:p>
    <w:p w:rsidR="009B21E0" w:rsidRPr="00FD2604" w:rsidRDefault="009B21E0">
      <w:pPr>
        <w:pStyle w:val="BodyText"/>
      </w:pPr>
      <w:r>
        <w:t xml:space="preserve">The following table shows the percentage increase for all differentials. There has not been a uniform 2.5% increase on all differentials due to changes in CIV and </w:t>
      </w:r>
      <w:r w:rsidR="00316155">
        <w:t>Council’s</w:t>
      </w:r>
      <w:r w:rsidR="0057338B">
        <w:t xml:space="preserve"> </w:t>
      </w:r>
      <w:r>
        <w:t>commitment to move the Major Industrials (Petroleum and Automobile) differential closer to the Industrial Land differential.</w:t>
      </w:r>
    </w:p>
    <w:tbl>
      <w:tblPr>
        <w:tblW w:w="9227" w:type="dxa"/>
        <w:tblInd w:w="9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998"/>
        <w:gridCol w:w="1134"/>
        <w:gridCol w:w="1134"/>
        <w:gridCol w:w="1134"/>
        <w:gridCol w:w="1417"/>
        <w:gridCol w:w="1418"/>
        <w:gridCol w:w="992"/>
      </w:tblGrid>
      <w:tr w:rsidR="009B21E0" w:rsidRPr="00E60EA6" w:rsidTr="00E60EA6">
        <w:trPr>
          <w:trHeight w:val="20"/>
        </w:trPr>
        <w:tc>
          <w:tcPr>
            <w:tcW w:w="1998" w:type="dxa"/>
            <w:shd w:val="clear" w:color="000000" w:fill="8DB4E3"/>
            <w:vAlign w:val="bottom"/>
            <w:hideMark/>
          </w:tcPr>
          <w:p w:rsidR="009B21E0" w:rsidRPr="009F5CF2" w:rsidRDefault="009B21E0" w:rsidP="00B85F78">
            <w:pPr>
              <w:spacing w:before="0" w:after="0"/>
              <w:rPr>
                <w:rFonts w:ascii="News Gothic Std" w:hAnsi="News Gothic Std"/>
                <w:sz w:val="16"/>
                <w:szCs w:val="16"/>
                <w:lang w:eastAsia="en-AU"/>
              </w:rPr>
            </w:pPr>
            <w:r w:rsidRPr="009F5CF2">
              <w:rPr>
                <w:rFonts w:ascii="News Gothic Std" w:hAnsi="News Gothic Std"/>
                <w:sz w:val="16"/>
                <w:szCs w:val="16"/>
                <w:lang w:eastAsia="en-AU"/>
              </w:rPr>
              <w:t>Category</w:t>
            </w:r>
          </w:p>
        </w:tc>
        <w:tc>
          <w:tcPr>
            <w:tcW w:w="1134" w:type="dxa"/>
            <w:shd w:val="clear" w:color="000000" w:fill="8DB4E3"/>
            <w:vAlign w:val="bottom"/>
            <w:hideMark/>
          </w:tcPr>
          <w:p w:rsidR="009B21E0" w:rsidRPr="009F5CF2" w:rsidRDefault="009B21E0" w:rsidP="00385D36">
            <w:pPr>
              <w:spacing w:before="0" w:after="0"/>
              <w:jc w:val="right"/>
              <w:rPr>
                <w:rFonts w:ascii="News Gothic Std" w:hAnsi="News Gothic Std"/>
                <w:sz w:val="16"/>
                <w:szCs w:val="16"/>
                <w:lang w:eastAsia="en-AU"/>
              </w:rPr>
            </w:pPr>
            <w:r w:rsidRPr="009F5CF2">
              <w:rPr>
                <w:rFonts w:ascii="News Gothic Std" w:hAnsi="News Gothic Std"/>
                <w:sz w:val="16"/>
                <w:szCs w:val="16"/>
                <w:lang w:eastAsia="en-AU"/>
              </w:rPr>
              <w:t>No. of Properties 2015-16</w:t>
            </w:r>
          </w:p>
        </w:tc>
        <w:tc>
          <w:tcPr>
            <w:tcW w:w="1134" w:type="dxa"/>
            <w:shd w:val="clear" w:color="000000" w:fill="C5D9F1"/>
            <w:vAlign w:val="bottom"/>
            <w:hideMark/>
          </w:tcPr>
          <w:p w:rsidR="009B21E0" w:rsidRPr="009F5CF2" w:rsidRDefault="009B21E0" w:rsidP="00385D36">
            <w:pPr>
              <w:spacing w:before="0" w:after="0"/>
              <w:jc w:val="right"/>
              <w:rPr>
                <w:rFonts w:ascii="News Gothic Std" w:hAnsi="News Gothic Std"/>
                <w:sz w:val="16"/>
                <w:szCs w:val="16"/>
                <w:lang w:eastAsia="en-AU"/>
              </w:rPr>
            </w:pPr>
            <w:r w:rsidRPr="009F5CF2">
              <w:rPr>
                <w:rFonts w:ascii="News Gothic Std" w:hAnsi="News Gothic Std"/>
                <w:sz w:val="16"/>
                <w:szCs w:val="16"/>
                <w:lang w:eastAsia="en-AU"/>
              </w:rPr>
              <w:t>No. of Properties 2016-17</w:t>
            </w:r>
          </w:p>
        </w:tc>
        <w:tc>
          <w:tcPr>
            <w:tcW w:w="1134" w:type="dxa"/>
            <w:shd w:val="clear" w:color="000000" w:fill="8DB4E3"/>
            <w:vAlign w:val="bottom"/>
            <w:hideMark/>
          </w:tcPr>
          <w:p w:rsidR="009B21E0" w:rsidRPr="009F5CF2" w:rsidRDefault="009B21E0" w:rsidP="00385D36">
            <w:pPr>
              <w:spacing w:before="0" w:after="0"/>
              <w:jc w:val="right"/>
              <w:rPr>
                <w:rFonts w:ascii="News Gothic Std" w:hAnsi="News Gothic Std"/>
                <w:sz w:val="16"/>
                <w:szCs w:val="16"/>
                <w:lang w:eastAsia="en-AU"/>
              </w:rPr>
            </w:pPr>
            <w:r w:rsidRPr="009F5CF2">
              <w:rPr>
                <w:rFonts w:ascii="News Gothic Std" w:hAnsi="News Gothic Std"/>
                <w:sz w:val="16"/>
                <w:szCs w:val="16"/>
                <w:lang w:eastAsia="en-AU"/>
              </w:rPr>
              <w:t>% Change</w:t>
            </w:r>
            <w:r w:rsidRPr="009F5CF2">
              <w:rPr>
                <w:rFonts w:ascii="News Gothic Std" w:hAnsi="News Gothic Std"/>
                <w:sz w:val="16"/>
                <w:szCs w:val="16"/>
                <w:lang w:eastAsia="en-AU"/>
              </w:rPr>
              <w:br/>
              <w:t xml:space="preserve">2015-16 vs </w:t>
            </w:r>
            <w:r w:rsidRPr="009F5CF2">
              <w:rPr>
                <w:rFonts w:ascii="News Gothic Std" w:hAnsi="News Gothic Std"/>
                <w:sz w:val="16"/>
                <w:szCs w:val="16"/>
                <w:lang w:eastAsia="en-AU"/>
              </w:rPr>
              <w:br/>
              <w:t>2016-17</w:t>
            </w:r>
          </w:p>
        </w:tc>
        <w:tc>
          <w:tcPr>
            <w:tcW w:w="1417" w:type="dxa"/>
            <w:shd w:val="clear" w:color="000000" w:fill="8DB4E3"/>
            <w:vAlign w:val="bottom"/>
            <w:hideMark/>
          </w:tcPr>
          <w:p w:rsidR="009B21E0" w:rsidRPr="009F5CF2" w:rsidRDefault="009B21E0" w:rsidP="00385D36">
            <w:pPr>
              <w:spacing w:before="0" w:after="0"/>
              <w:jc w:val="right"/>
              <w:rPr>
                <w:rFonts w:ascii="News Gothic Std" w:hAnsi="News Gothic Std"/>
                <w:sz w:val="16"/>
                <w:szCs w:val="16"/>
                <w:lang w:eastAsia="en-AU"/>
              </w:rPr>
            </w:pPr>
            <w:r w:rsidRPr="009F5CF2">
              <w:rPr>
                <w:rFonts w:ascii="News Gothic Std" w:hAnsi="News Gothic Std"/>
                <w:sz w:val="16"/>
                <w:szCs w:val="16"/>
                <w:lang w:eastAsia="en-AU"/>
              </w:rPr>
              <w:t xml:space="preserve">Average Rates </w:t>
            </w:r>
            <w:r w:rsidRPr="009F5CF2">
              <w:rPr>
                <w:rFonts w:ascii="News Gothic Std" w:hAnsi="News Gothic Std"/>
                <w:sz w:val="16"/>
                <w:szCs w:val="16"/>
                <w:lang w:eastAsia="en-AU"/>
              </w:rPr>
              <w:br/>
              <w:t xml:space="preserve">2015-16 </w:t>
            </w:r>
            <w:r w:rsidRPr="009F5CF2">
              <w:rPr>
                <w:rFonts w:ascii="News Gothic Std" w:hAnsi="News Gothic Std"/>
                <w:sz w:val="16"/>
                <w:szCs w:val="16"/>
                <w:lang w:eastAsia="en-AU"/>
              </w:rPr>
              <w:br/>
              <w:t>Budget</w:t>
            </w:r>
          </w:p>
        </w:tc>
        <w:tc>
          <w:tcPr>
            <w:tcW w:w="1418" w:type="dxa"/>
            <w:shd w:val="clear" w:color="000000" w:fill="C5D9F1"/>
            <w:vAlign w:val="bottom"/>
            <w:hideMark/>
          </w:tcPr>
          <w:p w:rsidR="009B21E0" w:rsidRPr="009F5CF2" w:rsidRDefault="009B21E0" w:rsidP="00385D36">
            <w:pPr>
              <w:spacing w:before="0" w:after="0"/>
              <w:jc w:val="right"/>
              <w:rPr>
                <w:rFonts w:ascii="News Gothic Std" w:hAnsi="News Gothic Std"/>
                <w:sz w:val="16"/>
                <w:szCs w:val="16"/>
                <w:lang w:eastAsia="en-AU"/>
              </w:rPr>
            </w:pPr>
            <w:r w:rsidRPr="009F5CF2">
              <w:rPr>
                <w:rFonts w:ascii="News Gothic Std" w:hAnsi="News Gothic Std"/>
                <w:sz w:val="16"/>
                <w:szCs w:val="16"/>
                <w:lang w:eastAsia="en-AU"/>
              </w:rPr>
              <w:t xml:space="preserve">Average Rates </w:t>
            </w:r>
            <w:r w:rsidRPr="009F5CF2">
              <w:rPr>
                <w:rFonts w:ascii="News Gothic Std" w:hAnsi="News Gothic Std"/>
                <w:sz w:val="16"/>
                <w:szCs w:val="16"/>
                <w:lang w:eastAsia="en-AU"/>
              </w:rPr>
              <w:br/>
              <w:t xml:space="preserve">2016-17 </w:t>
            </w:r>
            <w:r w:rsidRPr="009F5CF2">
              <w:rPr>
                <w:rFonts w:ascii="News Gothic Std" w:hAnsi="News Gothic Std"/>
                <w:sz w:val="16"/>
                <w:szCs w:val="16"/>
                <w:lang w:eastAsia="en-AU"/>
              </w:rPr>
              <w:br/>
              <w:t>Budget</w:t>
            </w:r>
          </w:p>
        </w:tc>
        <w:tc>
          <w:tcPr>
            <w:tcW w:w="992" w:type="dxa"/>
            <w:shd w:val="clear" w:color="000000" w:fill="8DB4E3"/>
            <w:vAlign w:val="bottom"/>
            <w:hideMark/>
          </w:tcPr>
          <w:p w:rsidR="009B21E0" w:rsidRPr="009F5CF2" w:rsidRDefault="009B21E0" w:rsidP="00B85F78">
            <w:pPr>
              <w:spacing w:before="0" w:after="0"/>
              <w:jc w:val="right"/>
              <w:rPr>
                <w:rFonts w:ascii="News Gothic Std" w:hAnsi="News Gothic Std"/>
                <w:sz w:val="16"/>
                <w:szCs w:val="16"/>
                <w:lang w:eastAsia="en-AU"/>
              </w:rPr>
            </w:pPr>
            <w:r w:rsidRPr="009F5CF2">
              <w:rPr>
                <w:rFonts w:ascii="News Gothic Std" w:hAnsi="News Gothic Std"/>
                <w:sz w:val="16"/>
                <w:szCs w:val="16"/>
                <w:lang w:eastAsia="en-AU"/>
              </w:rPr>
              <w:t>% Change to Average Rates Paid</w:t>
            </w:r>
          </w:p>
        </w:tc>
      </w:tr>
      <w:tr w:rsidR="009B21E0" w:rsidRPr="00E60EA6" w:rsidTr="00E60EA6">
        <w:trPr>
          <w:trHeight w:val="20"/>
        </w:trPr>
        <w:tc>
          <w:tcPr>
            <w:tcW w:w="1998" w:type="dxa"/>
            <w:shd w:val="clear" w:color="auto" w:fill="auto"/>
            <w:vAlign w:val="center"/>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 xml:space="preserve">Residential-base </w:t>
            </w:r>
          </w:p>
        </w:tc>
        <w:tc>
          <w:tcPr>
            <w:tcW w:w="1134" w:type="dxa"/>
            <w:shd w:val="clear" w:color="auto" w:fill="auto"/>
            <w:noWrap/>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100,803</w:t>
            </w:r>
          </w:p>
        </w:tc>
        <w:tc>
          <w:tcPr>
            <w:tcW w:w="1134" w:type="dxa"/>
            <w:shd w:val="clear" w:color="000000" w:fill="C5D9F1"/>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102,925</w:t>
            </w:r>
          </w:p>
        </w:tc>
        <w:tc>
          <w:tcPr>
            <w:tcW w:w="1134"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2.1%</w:t>
            </w:r>
          </w:p>
        </w:tc>
        <w:tc>
          <w:tcPr>
            <w:tcW w:w="1417" w:type="dxa"/>
            <w:shd w:val="clear" w:color="000000" w:fill="FFFFFF"/>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1,069.70 </w:t>
            </w:r>
          </w:p>
        </w:tc>
        <w:tc>
          <w:tcPr>
            <w:tcW w:w="1418" w:type="dxa"/>
            <w:shd w:val="clear" w:color="000000" w:fill="C5D9F1"/>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1,096.41 </w:t>
            </w:r>
          </w:p>
        </w:tc>
        <w:tc>
          <w:tcPr>
            <w:tcW w:w="992"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2.50%</w:t>
            </w:r>
          </w:p>
        </w:tc>
      </w:tr>
      <w:tr w:rsidR="009B21E0" w:rsidRPr="00E60EA6" w:rsidTr="00E60EA6">
        <w:trPr>
          <w:trHeight w:val="20"/>
        </w:trPr>
        <w:tc>
          <w:tcPr>
            <w:tcW w:w="1998" w:type="dxa"/>
            <w:shd w:val="clear" w:color="auto" w:fill="auto"/>
            <w:vAlign w:val="center"/>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Vacant Land</w:t>
            </w:r>
          </w:p>
        </w:tc>
        <w:tc>
          <w:tcPr>
            <w:tcW w:w="1134"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4,930</w:t>
            </w:r>
          </w:p>
        </w:tc>
        <w:tc>
          <w:tcPr>
            <w:tcW w:w="1134" w:type="dxa"/>
            <w:shd w:val="clear" w:color="000000" w:fill="C5D9F1"/>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5,396</w:t>
            </w:r>
          </w:p>
        </w:tc>
        <w:tc>
          <w:tcPr>
            <w:tcW w:w="1134"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9.5%</w:t>
            </w:r>
          </w:p>
        </w:tc>
        <w:tc>
          <w:tcPr>
            <w:tcW w:w="1417" w:type="dxa"/>
            <w:shd w:val="clear" w:color="000000" w:fill="FFFFFF"/>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1,332.80 </w:t>
            </w:r>
          </w:p>
        </w:tc>
        <w:tc>
          <w:tcPr>
            <w:tcW w:w="1418" w:type="dxa"/>
            <w:shd w:val="clear" w:color="000000" w:fill="C5D9F1"/>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1,366.11 </w:t>
            </w:r>
          </w:p>
        </w:tc>
        <w:tc>
          <w:tcPr>
            <w:tcW w:w="992"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2.50%</w:t>
            </w:r>
          </w:p>
        </w:tc>
      </w:tr>
      <w:tr w:rsidR="009B21E0" w:rsidRPr="00E60EA6" w:rsidTr="00E60EA6">
        <w:trPr>
          <w:trHeight w:val="20"/>
        </w:trPr>
        <w:tc>
          <w:tcPr>
            <w:tcW w:w="1998" w:type="dxa"/>
            <w:shd w:val="clear" w:color="auto" w:fill="auto"/>
            <w:vAlign w:val="center"/>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Commercial</w:t>
            </w:r>
          </w:p>
        </w:tc>
        <w:tc>
          <w:tcPr>
            <w:tcW w:w="1134"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5,448</w:t>
            </w:r>
          </w:p>
        </w:tc>
        <w:tc>
          <w:tcPr>
            <w:tcW w:w="1134" w:type="dxa"/>
            <w:shd w:val="clear" w:color="000000" w:fill="C5D9F1"/>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5,584</w:t>
            </w:r>
          </w:p>
        </w:tc>
        <w:tc>
          <w:tcPr>
            <w:tcW w:w="1134"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2.5%</w:t>
            </w:r>
          </w:p>
        </w:tc>
        <w:tc>
          <w:tcPr>
            <w:tcW w:w="1417" w:type="dxa"/>
            <w:shd w:val="clear" w:color="000000" w:fill="FFFFFF"/>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4,304.60 </w:t>
            </w:r>
          </w:p>
        </w:tc>
        <w:tc>
          <w:tcPr>
            <w:tcW w:w="1418" w:type="dxa"/>
            <w:shd w:val="clear" w:color="000000" w:fill="C5D9F1"/>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4,497.06 </w:t>
            </w:r>
          </w:p>
        </w:tc>
        <w:tc>
          <w:tcPr>
            <w:tcW w:w="992"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4.47%</w:t>
            </w:r>
          </w:p>
        </w:tc>
      </w:tr>
      <w:tr w:rsidR="009B21E0" w:rsidRPr="00E60EA6" w:rsidTr="00E60EA6">
        <w:trPr>
          <w:trHeight w:val="20"/>
        </w:trPr>
        <w:tc>
          <w:tcPr>
            <w:tcW w:w="1998" w:type="dxa"/>
            <w:shd w:val="clear" w:color="auto" w:fill="auto"/>
            <w:vAlign w:val="center"/>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Industrial</w:t>
            </w:r>
          </w:p>
        </w:tc>
        <w:tc>
          <w:tcPr>
            <w:tcW w:w="1134"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1,886</w:t>
            </w:r>
          </w:p>
        </w:tc>
        <w:tc>
          <w:tcPr>
            <w:tcW w:w="1134" w:type="dxa"/>
            <w:shd w:val="clear" w:color="000000" w:fill="C5D9F1"/>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1,933</w:t>
            </w:r>
          </w:p>
        </w:tc>
        <w:tc>
          <w:tcPr>
            <w:tcW w:w="1134"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2.5%</w:t>
            </w:r>
          </w:p>
        </w:tc>
        <w:tc>
          <w:tcPr>
            <w:tcW w:w="1417" w:type="dxa"/>
            <w:shd w:val="clear" w:color="000000" w:fill="FFFFFF"/>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5,265.34 </w:t>
            </w:r>
          </w:p>
        </w:tc>
        <w:tc>
          <w:tcPr>
            <w:tcW w:w="1418" w:type="dxa"/>
            <w:shd w:val="clear" w:color="000000" w:fill="C5D9F1"/>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5,492.54 </w:t>
            </w:r>
          </w:p>
        </w:tc>
        <w:tc>
          <w:tcPr>
            <w:tcW w:w="992"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4.31%</w:t>
            </w:r>
          </w:p>
        </w:tc>
      </w:tr>
      <w:tr w:rsidR="009B21E0" w:rsidRPr="00E60EA6" w:rsidTr="00E60EA6">
        <w:trPr>
          <w:trHeight w:val="20"/>
        </w:trPr>
        <w:tc>
          <w:tcPr>
            <w:tcW w:w="1998" w:type="dxa"/>
            <w:shd w:val="clear" w:color="auto" w:fill="auto"/>
            <w:vAlign w:val="center"/>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Mixed Use</w:t>
            </w:r>
          </w:p>
        </w:tc>
        <w:tc>
          <w:tcPr>
            <w:tcW w:w="1134"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298</w:t>
            </w:r>
          </w:p>
        </w:tc>
        <w:tc>
          <w:tcPr>
            <w:tcW w:w="1134" w:type="dxa"/>
            <w:shd w:val="clear" w:color="000000" w:fill="C5D9F1"/>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332</w:t>
            </w:r>
          </w:p>
        </w:tc>
        <w:tc>
          <w:tcPr>
            <w:tcW w:w="1134"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11.4%</w:t>
            </w:r>
          </w:p>
        </w:tc>
        <w:tc>
          <w:tcPr>
            <w:tcW w:w="1417" w:type="dxa"/>
            <w:shd w:val="clear" w:color="000000" w:fill="FFFFFF"/>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2,162.21 </w:t>
            </w:r>
          </w:p>
        </w:tc>
        <w:tc>
          <w:tcPr>
            <w:tcW w:w="1418" w:type="dxa"/>
            <w:shd w:val="clear" w:color="000000" w:fill="C5D9F1"/>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2,236.11 </w:t>
            </w:r>
          </w:p>
        </w:tc>
        <w:tc>
          <w:tcPr>
            <w:tcW w:w="992"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3.42%</w:t>
            </w:r>
          </w:p>
        </w:tc>
      </w:tr>
      <w:tr w:rsidR="009B21E0" w:rsidRPr="00E60EA6" w:rsidTr="00E60EA6">
        <w:trPr>
          <w:trHeight w:val="20"/>
        </w:trPr>
        <w:tc>
          <w:tcPr>
            <w:tcW w:w="1998" w:type="dxa"/>
            <w:shd w:val="clear" w:color="auto" w:fill="auto"/>
            <w:vAlign w:val="center"/>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Farm-(with Rebate)</w:t>
            </w:r>
          </w:p>
        </w:tc>
        <w:tc>
          <w:tcPr>
            <w:tcW w:w="1134"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1,041</w:t>
            </w:r>
          </w:p>
        </w:tc>
        <w:tc>
          <w:tcPr>
            <w:tcW w:w="1134" w:type="dxa"/>
            <w:shd w:val="clear" w:color="000000" w:fill="C5D9F1"/>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1,025</w:t>
            </w:r>
          </w:p>
        </w:tc>
        <w:tc>
          <w:tcPr>
            <w:tcW w:w="1134"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-1.5%</w:t>
            </w:r>
          </w:p>
        </w:tc>
        <w:tc>
          <w:tcPr>
            <w:tcW w:w="1417" w:type="dxa"/>
            <w:shd w:val="clear" w:color="000000" w:fill="FFFFFF"/>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2,403.04 </w:t>
            </w:r>
          </w:p>
        </w:tc>
        <w:tc>
          <w:tcPr>
            <w:tcW w:w="1418" w:type="dxa"/>
            <w:shd w:val="clear" w:color="000000" w:fill="C5D9F1"/>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2,456.57 </w:t>
            </w:r>
          </w:p>
        </w:tc>
        <w:tc>
          <w:tcPr>
            <w:tcW w:w="992"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2.23%</w:t>
            </w:r>
          </w:p>
        </w:tc>
      </w:tr>
      <w:tr w:rsidR="009B21E0" w:rsidRPr="00E60EA6" w:rsidTr="00E60EA6">
        <w:trPr>
          <w:trHeight w:val="20"/>
        </w:trPr>
        <w:tc>
          <w:tcPr>
            <w:tcW w:w="1998" w:type="dxa"/>
            <w:shd w:val="clear" w:color="auto" w:fill="auto"/>
            <w:vAlign w:val="center"/>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 xml:space="preserve">Cultural &amp; Rec </w:t>
            </w:r>
          </w:p>
        </w:tc>
        <w:tc>
          <w:tcPr>
            <w:tcW w:w="1134"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64</w:t>
            </w:r>
          </w:p>
        </w:tc>
        <w:tc>
          <w:tcPr>
            <w:tcW w:w="1134" w:type="dxa"/>
            <w:shd w:val="clear" w:color="000000" w:fill="C5D9F1"/>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63</w:t>
            </w:r>
          </w:p>
        </w:tc>
        <w:tc>
          <w:tcPr>
            <w:tcW w:w="1134"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-1.6%</w:t>
            </w:r>
          </w:p>
        </w:tc>
        <w:tc>
          <w:tcPr>
            <w:tcW w:w="1417" w:type="dxa"/>
            <w:shd w:val="clear" w:color="000000" w:fill="FFFFFF"/>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3,688.63 </w:t>
            </w:r>
          </w:p>
        </w:tc>
        <w:tc>
          <w:tcPr>
            <w:tcW w:w="1418" w:type="dxa"/>
            <w:shd w:val="clear" w:color="000000" w:fill="C5D9F1"/>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3,858.14 </w:t>
            </w:r>
          </w:p>
        </w:tc>
        <w:tc>
          <w:tcPr>
            <w:tcW w:w="992"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4.60%</w:t>
            </w:r>
          </w:p>
        </w:tc>
      </w:tr>
      <w:tr w:rsidR="009B21E0" w:rsidRPr="00E60EA6" w:rsidTr="00E60EA6">
        <w:trPr>
          <w:trHeight w:val="20"/>
        </w:trPr>
        <w:tc>
          <w:tcPr>
            <w:tcW w:w="1998" w:type="dxa"/>
            <w:shd w:val="clear" w:color="auto" w:fill="auto"/>
            <w:vAlign w:val="center"/>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Automobile Manufacture Land</w:t>
            </w:r>
          </w:p>
        </w:tc>
        <w:tc>
          <w:tcPr>
            <w:tcW w:w="1134"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w:t>
            </w:r>
          </w:p>
        </w:tc>
        <w:tc>
          <w:tcPr>
            <w:tcW w:w="1134" w:type="dxa"/>
            <w:shd w:val="clear" w:color="000000" w:fill="C5D9F1"/>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w:t>
            </w:r>
          </w:p>
        </w:tc>
        <w:tc>
          <w:tcPr>
            <w:tcW w:w="1134"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0.0%</w:t>
            </w:r>
          </w:p>
        </w:tc>
        <w:tc>
          <w:tcPr>
            <w:tcW w:w="1417" w:type="dxa"/>
            <w:shd w:val="clear" w:color="000000" w:fill="FFFFFF"/>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208,004.08 </w:t>
            </w:r>
          </w:p>
        </w:tc>
        <w:tc>
          <w:tcPr>
            <w:tcW w:w="1418" w:type="dxa"/>
            <w:shd w:val="clear" w:color="000000" w:fill="C5D9F1"/>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151,410.16 </w:t>
            </w:r>
          </w:p>
        </w:tc>
        <w:tc>
          <w:tcPr>
            <w:tcW w:w="992"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(27.21%)</w:t>
            </w:r>
          </w:p>
        </w:tc>
      </w:tr>
      <w:tr w:rsidR="009B21E0" w:rsidRPr="00E60EA6" w:rsidTr="00E60EA6">
        <w:trPr>
          <w:trHeight w:val="20"/>
        </w:trPr>
        <w:tc>
          <w:tcPr>
            <w:tcW w:w="1998" w:type="dxa"/>
            <w:shd w:val="clear" w:color="auto" w:fill="auto"/>
            <w:vAlign w:val="center"/>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 xml:space="preserve">Petroleum Production Land </w:t>
            </w:r>
          </w:p>
        </w:tc>
        <w:tc>
          <w:tcPr>
            <w:tcW w:w="1134"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w:t>
            </w:r>
          </w:p>
        </w:tc>
        <w:tc>
          <w:tcPr>
            <w:tcW w:w="1134" w:type="dxa"/>
            <w:shd w:val="clear" w:color="000000" w:fill="C5D9F1"/>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w:t>
            </w:r>
          </w:p>
        </w:tc>
        <w:tc>
          <w:tcPr>
            <w:tcW w:w="1134"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0.0%</w:t>
            </w:r>
          </w:p>
        </w:tc>
        <w:tc>
          <w:tcPr>
            <w:tcW w:w="1417" w:type="dxa"/>
            <w:shd w:val="clear" w:color="000000" w:fill="FFFFFF"/>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1,242,088.00 </w:t>
            </w:r>
          </w:p>
        </w:tc>
        <w:tc>
          <w:tcPr>
            <w:tcW w:w="1418" w:type="dxa"/>
            <w:shd w:val="clear" w:color="000000" w:fill="C5D9F1"/>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1,128,007.80 </w:t>
            </w:r>
          </w:p>
        </w:tc>
        <w:tc>
          <w:tcPr>
            <w:tcW w:w="992"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(9.18%)</w:t>
            </w:r>
          </w:p>
        </w:tc>
      </w:tr>
      <w:tr w:rsidR="009B21E0" w:rsidRPr="00E60EA6" w:rsidTr="00E60EA6">
        <w:trPr>
          <w:trHeight w:val="20"/>
        </w:trPr>
        <w:tc>
          <w:tcPr>
            <w:tcW w:w="1998" w:type="dxa"/>
            <w:shd w:val="clear" w:color="auto" w:fill="auto"/>
            <w:vAlign w:val="center"/>
            <w:hideMark/>
          </w:tcPr>
          <w:p w:rsidR="009B21E0" w:rsidRPr="00E60EA6" w:rsidRDefault="009B21E0" w:rsidP="00B85F78">
            <w:pPr>
              <w:spacing w:before="0" w:after="0"/>
              <w:rPr>
                <w:rFonts w:cs="Lucida Sans Unicode"/>
                <w:sz w:val="18"/>
                <w:szCs w:val="18"/>
                <w:lang w:eastAsia="en-AU"/>
              </w:rPr>
            </w:pPr>
            <w:r w:rsidRPr="00E60EA6">
              <w:rPr>
                <w:rFonts w:cs="Lucida Sans Unicode"/>
                <w:sz w:val="18"/>
                <w:szCs w:val="18"/>
                <w:lang w:eastAsia="en-AU"/>
              </w:rPr>
              <w:t>Industrial (ex Aluminium Land)</w:t>
            </w:r>
          </w:p>
        </w:tc>
        <w:tc>
          <w:tcPr>
            <w:tcW w:w="1134"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w:t>
            </w:r>
          </w:p>
        </w:tc>
        <w:tc>
          <w:tcPr>
            <w:tcW w:w="1134" w:type="dxa"/>
            <w:shd w:val="clear" w:color="000000" w:fill="C5D9F1"/>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1</w:t>
            </w:r>
          </w:p>
        </w:tc>
        <w:tc>
          <w:tcPr>
            <w:tcW w:w="1134"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0.0%</w:t>
            </w:r>
          </w:p>
        </w:tc>
        <w:tc>
          <w:tcPr>
            <w:tcW w:w="1417" w:type="dxa"/>
            <w:shd w:val="clear" w:color="000000" w:fill="FFFFFF"/>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362,526.00 </w:t>
            </w:r>
          </w:p>
        </w:tc>
        <w:tc>
          <w:tcPr>
            <w:tcW w:w="1418" w:type="dxa"/>
            <w:shd w:val="clear" w:color="000000" w:fill="C5D9F1"/>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 xml:space="preserve">168,355.89 </w:t>
            </w:r>
          </w:p>
        </w:tc>
        <w:tc>
          <w:tcPr>
            <w:tcW w:w="992" w:type="dxa"/>
            <w:shd w:val="clear" w:color="auto" w:fill="auto"/>
            <w:vAlign w:val="center"/>
            <w:hideMark/>
          </w:tcPr>
          <w:p w:rsidR="009B21E0" w:rsidRPr="00E60EA6" w:rsidRDefault="009B21E0" w:rsidP="00B85F78">
            <w:pPr>
              <w:spacing w:before="0" w:after="0"/>
              <w:jc w:val="right"/>
              <w:rPr>
                <w:rFonts w:cs="Lucida Sans Unicode"/>
                <w:sz w:val="18"/>
                <w:szCs w:val="18"/>
                <w:lang w:eastAsia="en-AU"/>
              </w:rPr>
            </w:pPr>
            <w:r w:rsidRPr="00E60EA6">
              <w:rPr>
                <w:rFonts w:cs="Lucida Sans Unicode"/>
                <w:sz w:val="18"/>
                <w:szCs w:val="18"/>
                <w:lang w:eastAsia="en-AU"/>
              </w:rPr>
              <w:t>(53.56%)</w:t>
            </w:r>
          </w:p>
        </w:tc>
      </w:tr>
    </w:tbl>
    <w:p w:rsidR="0057338B" w:rsidRDefault="0057338B">
      <w:pPr>
        <w:pStyle w:val="BodyText"/>
      </w:pPr>
    </w:p>
    <w:p w:rsidR="009B21E0" w:rsidRPr="001848C2" w:rsidRDefault="009B21E0">
      <w:pPr>
        <w:pStyle w:val="BodyText"/>
      </w:pPr>
      <w:r w:rsidRPr="001848C2">
        <w:lastRenderedPageBreak/>
        <w:t xml:space="preserve">Key features of the Rating Model </w:t>
      </w:r>
      <w:r>
        <w:t xml:space="preserve">at the rate cap of 2.5% </w:t>
      </w:r>
      <w:r w:rsidRPr="001848C2">
        <w:t>are:</w:t>
      </w:r>
    </w:p>
    <w:p w:rsidR="00A23966" w:rsidRPr="005167B1" w:rsidRDefault="009B21E0" w:rsidP="005167B1">
      <w:pPr>
        <w:pStyle w:val="ListParagraph"/>
        <w:numPr>
          <w:ilvl w:val="0"/>
          <w:numId w:val="43"/>
        </w:numPr>
        <w:spacing w:after="80"/>
        <w:ind w:left="357" w:hanging="357"/>
        <w:jc w:val="both"/>
      </w:pPr>
      <w:r w:rsidRPr="00132FCB">
        <w:rPr>
          <w:rFonts w:cs="Lucida Sans Unicode"/>
          <w:szCs w:val="22"/>
        </w:rPr>
        <w:t xml:space="preserve">The Rate in $ for Residential Land use has been lowered to adjust for increase in capital improved valuations for average increase of 2.5%. </w:t>
      </w:r>
      <w:r w:rsidRPr="005167B1">
        <w:rPr>
          <w:rFonts w:cs="Lucida Sans Unicode"/>
          <w:szCs w:val="22"/>
        </w:rPr>
        <w:t>The residential rate has been set at $0.002739 per $ of CIV valuation.</w:t>
      </w:r>
    </w:p>
    <w:p w:rsidR="00A23966" w:rsidRPr="005167B1" w:rsidRDefault="009B21E0" w:rsidP="005167B1">
      <w:pPr>
        <w:pStyle w:val="ListParagraph"/>
        <w:numPr>
          <w:ilvl w:val="0"/>
          <w:numId w:val="43"/>
        </w:numPr>
        <w:spacing w:after="80"/>
        <w:ind w:left="357" w:hanging="357"/>
        <w:jc w:val="both"/>
      </w:pPr>
      <w:r w:rsidRPr="005167B1">
        <w:rPr>
          <w:rFonts w:cs="Lucida Sans Unicode"/>
          <w:szCs w:val="22"/>
        </w:rPr>
        <w:t>The Municipal Charge represents a fee on all rateable assessments as a contribution to the fixed and unavoidable costs of governance. The municipal charge is to increase from $94.30 to $96.65 or 2.5%.</w:t>
      </w:r>
    </w:p>
    <w:p w:rsidR="00A23966" w:rsidRPr="005167B1" w:rsidRDefault="009B21E0" w:rsidP="005167B1">
      <w:pPr>
        <w:pStyle w:val="ListParagraph"/>
        <w:numPr>
          <w:ilvl w:val="0"/>
          <w:numId w:val="43"/>
        </w:numPr>
        <w:spacing w:after="80"/>
        <w:ind w:left="357" w:hanging="357"/>
        <w:jc w:val="both"/>
      </w:pPr>
      <w:r w:rsidRPr="005167B1">
        <w:rPr>
          <w:rFonts w:cs="Lucida Sans Unicode"/>
          <w:szCs w:val="22"/>
        </w:rPr>
        <w:t>The Waste Collection Service charge is calculated based on a fee for service, including direct, indirect and overhead costs. The charge is impacted by cost estimates of EPA levy $30.75 per tenement. The charge for 2016</w:t>
      </w:r>
      <w:r w:rsidRPr="005167B1">
        <w:rPr>
          <w:rFonts w:cs="Lucida Sans Unicode"/>
          <w:szCs w:val="22"/>
        </w:rPr>
        <w:noBreakHyphen/>
        <w:t>17 will increase from $258.25 to $270.50 or 4.75%.</w:t>
      </w:r>
    </w:p>
    <w:p w:rsidR="00A23966" w:rsidRPr="005167B1" w:rsidRDefault="009B21E0" w:rsidP="005167B1">
      <w:pPr>
        <w:pStyle w:val="ListParagraph"/>
        <w:numPr>
          <w:ilvl w:val="0"/>
          <w:numId w:val="43"/>
        </w:numPr>
        <w:spacing w:after="80"/>
        <w:ind w:left="357" w:hanging="357"/>
        <w:jc w:val="both"/>
      </w:pPr>
      <w:r w:rsidRPr="005167B1">
        <w:rPr>
          <w:rFonts w:cs="Lucida Sans Unicode"/>
          <w:szCs w:val="22"/>
        </w:rPr>
        <w:t xml:space="preserve">A new </w:t>
      </w:r>
      <w:r w:rsidR="0057338B" w:rsidRPr="005167B1">
        <w:rPr>
          <w:rFonts w:cs="Lucida Sans Unicode"/>
          <w:szCs w:val="22"/>
        </w:rPr>
        <w:t xml:space="preserve">section </w:t>
      </w:r>
      <w:r w:rsidRPr="005167B1">
        <w:rPr>
          <w:rFonts w:cs="Lucida Sans Unicode"/>
          <w:szCs w:val="22"/>
        </w:rPr>
        <w:t xml:space="preserve">162 Service Charge known as Additional Bins </w:t>
      </w:r>
      <w:r w:rsidR="0057338B" w:rsidRPr="005167B1">
        <w:rPr>
          <w:rFonts w:cs="Lucida Sans Unicode"/>
          <w:szCs w:val="22"/>
        </w:rPr>
        <w:t xml:space="preserve">service </w:t>
      </w:r>
      <w:r w:rsidRPr="005167B1">
        <w:rPr>
          <w:rFonts w:cs="Lucida Sans Unicode"/>
          <w:szCs w:val="22"/>
        </w:rPr>
        <w:t>will be introduced in 2016-17. The criteria is set for families with six or more occupants within a household who may apply for an additional garbage, recycling or green waste bin. The charges for 2016-17 are $135 for a garbage bin, $48 for a recycling bin and $62 for a green waste bin.</w:t>
      </w:r>
    </w:p>
    <w:p w:rsidR="00A23966" w:rsidRPr="005167B1" w:rsidRDefault="009B21E0" w:rsidP="005167B1">
      <w:pPr>
        <w:pStyle w:val="ListParagraph"/>
        <w:numPr>
          <w:ilvl w:val="0"/>
          <w:numId w:val="43"/>
        </w:numPr>
        <w:spacing w:after="80"/>
        <w:ind w:left="357" w:hanging="357"/>
        <w:jc w:val="both"/>
      </w:pPr>
      <w:r w:rsidRPr="005167B1">
        <w:rPr>
          <w:rFonts w:cs="Lucida Sans Unicode"/>
          <w:szCs w:val="22"/>
        </w:rPr>
        <w:t>The Farm rebate will be increased to 40%. This rebate provides ongoing rate relief to farmers. In 2016</w:t>
      </w:r>
      <w:r w:rsidRPr="005167B1">
        <w:rPr>
          <w:rFonts w:cs="Lucida Sans Unicode"/>
          <w:szCs w:val="22"/>
        </w:rPr>
        <w:noBreakHyphen/>
        <w:t>17 a 40% rebate represents a cost to Council of $1.</w:t>
      </w:r>
      <w:r w:rsidR="0057338B" w:rsidRPr="005167B1">
        <w:rPr>
          <w:rFonts w:cs="Lucida Sans Unicode"/>
          <w:szCs w:val="22"/>
        </w:rPr>
        <w:t>679m</w:t>
      </w:r>
      <w:r w:rsidRPr="005167B1">
        <w:rPr>
          <w:rFonts w:cs="Lucida Sans Unicode"/>
          <w:szCs w:val="22"/>
        </w:rPr>
        <w:t>.</w:t>
      </w:r>
    </w:p>
    <w:p w:rsidR="00A23966" w:rsidRPr="005167B1" w:rsidRDefault="009B21E0" w:rsidP="005167B1">
      <w:pPr>
        <w:pStyle w:val="ListParagraph"/>
        <w:numPr>
          <w:ilvl w:val="0"/>
          <w:numId w:val="43"/>
        </w:numPr>
        <w:spacing w:after="80"/>
        <w:ind w:left="357" w:hanging="357"/>
        <w:jc w:val="both"/>
      </w:pPr>
      <w:r w:rsidRPr="005167B1">
        <w:rPr>
          <w:rFonts w:cs="Lucida Sans Unicode"/>
          <w:szCs w:val="22"/>
        </w:rPr>
        <w:t>Vacant Land will increase by an average 2.5% whilst adjusting the relatively to the residential rate.</w:t>
      </w:r>
    </w:p>
    <w:p w:rsidR="00A23966" w:rsidRPr="005167B1" w:rsidRDefault="009B21E0" w:rsidP="005167B1">
      <w:pPr>
        <w:pStyle w:val="ListParagraph"/>
        <w:numPr>
          <w:ilvl w:val="0"/>
          <w:numId w:val="43"/>
        </w:numPr>
        <w:spacing w:after="80"/>
        <w:ind w:left="357" w:hanging="357"/>
        <w:jc w:val="both"/>
      </w:pPr>
      <w:r w:rsidRPr="005167B1">
        <w:rPr>
          <w:rFonts w:cs="Lucida Sans Unicode"/>
          <w:szCs w:val="22"/>
        </w:rPr>
        <w:t>Petroleum and Automobile differentials have been aligned to the same rate in the dollar. Council’s adopted Statement of Principle is to reduce the gap between the rate in the dollar for these differentials and the industrial differential. For 2016-17 Petroleum and Automobile differential have moved from 322% to 302% relative to residential.</w:t>
      </w:r>
    </w:p>
    <w:p w:rsidR="00A23966" w:rsidRPr="005167B1" w:rsidRDefault="009B21E0" w:rsidP="005167B1">
      <w:pPr>
        <w:pStyle w:val="ListParagraph"/>
        <w:numPr>
          <w:ilvl w:val="0"/>
          <w:numId w:val="43"/>
        </w:numPr>
        <w:spacing w:after="80"/>
        <w:ind w:left="357" w:hanging="357"/>
        <w:jc w:val="both"/>
      </w:pPr>
      <w:r w:rsidRPr="005167B1">
        <w:rPr>
          <w:rFonts w:cs="Lucida Sans Unicode"/>
          <w:szCs w:val="22"/>
        </w:rPr>
        <w:t>The Housing Support Waiver for eligible Charitable Housing will be maintained for 2016-17 and will be available upon application for eligible properties.</w:t>
      </w:r>
    </w:p>
    <w:p w:rsidR="00A23966" w:rsidRPr="005167B1" w:rsidRDefault="009B21E0" w:rsidP="005167B1">
      <w:pPr>
        <w:pStyle w:val="ListParagraph"/>
        <w:numPr>
          <w:ilvl w:val="0"/>
          <w:numId w:val="43"/>
        </w:numPr>
        <w:spacing w:after="80"/>
        <w:ind w:left="357" w:hanging="357"/>
        <w:jc w:val="both"/>
      </w:pPr>
      <w:r w:rsidRPr="005167B1">
        <w:rPr>
          <w:rFonts w:cs="Lucida Sans Unicode"/>
          <w:szCs w:val="22"/>
        </w:rPr>
        <w:t>A rates waiver introduced for the New Corio Estate from 2013-14 recognising this inappropriate subdivision and Planning Scheme Amendment C243 will be maintained.</w:t>
      </w:r>
    </w:p>
    <w:p w:rsidR="00A23966" w:rsidRPr="005167B1" w:rsidRDefault="009B21E0" w:rsidP="005167B1">
      <w:pPr>
        <w:pStyle w:val="ListParagraph"/>
        <w:numPr>
          <w:ilvl w:val="0"/>
          <w:numId w:val="43"/>
        </w:numPr>
        <w:spacing w:after="80"/>
        <w:ind w:left="357" w:hanging="357"/>
        <w:jc w:val="both"/>
      </w:pPr>
      <w:r w:rsidRPr="005167B1">
        <w:rPr>
          <w:rFonts w:cs="Lucida Sans Unicode"/>
          <w:szCs w:val="22"/>
        </w:rPr>
        <w:t xml:space="preserve">The pensioner concession will increase from $213.00 in accordance with movement in </w:t>
      </w:r>
      <w:smartTag w:uri="urn:schemas-microsoft-com:office:smarttags" w:element="stockticker">
        <w:r w:rsidRPr="005167B1">
          <w:rPr>
            <w:rFonts w:cs="Lucida Sans Unicode"/>
            <w:szCs w:val="22"/>
          </w:rPr>
          <w:t>CPI</w:t>
        </w:r>
      </w:smartTag>
      <w:r w:rsidRPr="005167B1">
        <w:rPr>
          <w:rFonts w:cs="Lucida Sans Unicode"/>
          <w:szCs w:val="22"/>
        </w:rPr>
        <w:t xml:space="preserve"> for Melbourne as advised by the Australian Bureau of Statistics to $218.30.</w:t>
      </w:r>
    </w:p>
    <w:p w:rsidR="009B21E0" w:rsidRDefault="009B21E0">
      <w:pPr>
        <w:pStyle w:val="Heading4A"/>
      </w:pPr>
      <w:r w:rsidRPr="00B41589">
        <w:t xml:space="preserve">Rebates - </w:t>
      </w:r>
      <w:r w:rsidR="0057338B">
        <w:t>s</w:t>
      </w:r>
      <w:r w:rsidR="0057338B" w:rsidRPr="00B41589">
        <w:t xml:space="preserve">ection </w:t>
      </w:r>
      <w:r w:rsidRPr="00B41589">
        <w:t>169 of the LGA Rebates</w:t>
      </w:r>
    </w:p>
    <w:p w:rsidR="009B21E0" w:rsidRDefault="009B21E0">
      <w:pPr>
        <w:pStyle w:val="BodyText"/>
      </w:pPr>
      <w:r>
        <w:t>For 2016-17 the following rebate will apply:</w:t>
      </w:r>
    </w:p>
    <w:p w:rsidR="00A23966" w:rsidRPr="00316155" w:rsidRDefault="009B21E0" w:rsidP="005167B1">
      <w:pPr>
        <w:pStyle w:val="ListParagraph"/>
        <w:numPr>
          <w:ilvl w:val="0"/>
          <w:numId w:val="43"/>
        </w:numPr>
        <w:spacing w:after="80"/>
        <w:ind w:left="357" w:hanging="357"/>
        <w:jc w:val="both"/>
      </w:pPr>
      <w:r w:rsidRPr="00132FCB">
        <w:rPr>
          <w:rFonts w:cs="Lucida Sans Unicode"/>
          <w:szCs w:val="22"/>
        </w:rPr>
        <w:t>Farm Rebate.</w:t>
      </w:r>
    </w:p>
    <w:p w:rsidR="009B21E0" w:rsidRPr="00B41589" w:rsidRDefault="009B21E0">
      <w:pPr>
        <w:pStyle w:val="Heading4A"/>
      </w:pPr>
      <w:r w:rsidRPr="00B41589">
        <w:lastRenderedPageBreak/>
        <w:t xml:space="preserve">Waivers - </w:t>
      </w:r>
      <w:r w:rsidR="0057338B">
        <w:t>s</w:t>
      </w:r>
      <w:r w:rsidR="0057338B" w:rsidRPr="00B41589">
        <w:t xml:space="preserve">ection </w:t>
      </w:r>
      <w:r w:rsidRPr="00B41589">
        <w:t>171 of the LGA Waivers</w:t>
      </w:r>
    </w:p>
    <w:p w:rsidR="009B21E0" w:rsidRDefault="009B21E0">
      <w:pPr>
        <w:pStyle w:val="BodyText"/>
      </w:pPr>
      <w:r>
        <w:t>For 2016-17 the following waivers will apply:</w:t>
      </w:r>
    </w:p>
    <w:p w:rsidR="00A23966" w:rsidRPr="00316155" w:rsidRDefault="009B21E0" w:rsidP="005167B1">
      <w:pPr>
        <w:pStyle w:val="ListParagraph"/>
        <w:numPr>
          <w:ilvl w:val="0"/>
          <w:numId w:val="43"/>
        </w:numPr>
        <w:spacing w:after="80"/>
        <w:ind w:left="357" w:hanging="357"/>
        <w:jc w:val="both"/>
      </w:pPr>
      <w:r w:rsidRPr="00132FCB">
        <w:rPr>
          <w:rFonts w:cs="Lucida Sans Unicode"/>
          <w:szCs w:val="22"/>
        </w:rPr>
        <w:t>Rates Assistance Waiver (Valuation increase over 50%).</w:t>
      </w:r>
    </w:p>
    <w:p w:rsidR="00A23966" w:rsidRPr="005167B1" w:rsidRDefault="009B21E0" w:rsidP="005167B1">
      <w:pPr>
        <w:pStyle w:val="ListParagraph"/>
        <w:numPr>
          <w:ilvl w:val="0"/>
          <w:numId w:val="43"/>
        </w:numPr>
        <w:spacing w:after="80"/>
        <w:ind w:left="357" w:hanging="357"/>
        <w:jc w:val="both"/>
      </w:pPr>
      <w:r w:rsidRPr="005167B1">
        <w:rPr>
          <w:rFonts w:cs="Lucida Sans Unicode"/>
          <w:szCs w:val="22"/>
        </w:rPr>
        <w:t>Housing Support Waiver.</w:t>
      </w:r>
    </w:p>
    <w:p w:rsidR="00A23966" w:rsidRPr="005167B1" w:rsidRDefault="009B21E0" w:rsidP="005167B1">
      <w:pPr>
        <w:pStyle w:val="ListParagraph"/>
        <w:numPr>
          <w:ilvl w:val="0"/>
          <w:numId w:val="43"/>
        </w:numPr>
        <w:spacing w:after="80"/>
        <w:ind w:left="357" w:hanging="357"/>
        <w:jc w:val="both"/>
      </w:pPr>
      <w:r w:rsidRPr="005167B1">
        <w:rPr>
          <w:rFonts w:cs="Lucida Sans Unicode"/>
          <w:szCs w:val="22"/>
        </w:rPr>
        <w:t>New Corio Estate (Inappropriate Subdivision).</w:t>
      </w:r>
    </w:p>
    <w:p w:rsidR="009B21E0" w:rsidRPr="00BA4451" w:rsidRDefault="009B21E0" w:rsidP="00E7196F">
      <w:pPr>
        <w:pStyle w:val="Heading3A"/>
      </w:pPr>
      <w:r w:rsidRPr="00BA4451">
        <w:t>Recycling and Waste Collection Service Charge</w:t>
      </w:r>
    </w:p>
    <w:p w:rsidR="009B21E0" w:rsidRPr="00D576C5" w:rsidRDefault="009B21E0">
      <w:pPr>
        <w:pStyle w:val="BodyText"/>
        <w:rPr>
          <w:lang w:val="en-US"/>
        </w:rPr>
      </w:pPr>
      <w:r w:rsidRPr="00D576C5">
        <w:t>The Annual Service Charge is proposed at $</w:t>
      </w:r>
      <w:r>
        <w:t>270.50</w:t>
      </w:r>
      <w:r w:rsidRPr="00D576C5">
        <w:t xml:space="preserve"> for each rateable land and non-rateable land. The charge </w:t>
      </w:r>
      <w:r>
        <w:t>is</w:t>
      </w:r>
      <w:r w:rsidRPr="00D576C5">
        <w:t xml:space="preserve"> levied on the following criteria:</w:t>
      </w:r>
    </w:p>
    <w:p w:rsidR="00A23966" w:rsidRDefault="009B21E0" w:rsidP="005167B1">
      <w:pPr>
        <w:pStyle w:val="ListParagraph"/>
        <w:numPr>
          <w:ilvl w:val="0"/>
          <w:numId w:val="43"/>
        </w:numPr>
        <w:spacing w:after="80"/>
        <w:ind w:left="357" w:hanging="357"/>
        <w:jc w:val="both"/>
      </w:pPr>
      <w:r w:rsidRPr="00D576C5">
        <w:t xml:space="preserve">Geographic existence within those areas of the municipal district in which </w:t>
      </w:r>
      <w:r w:rsidR="00316155">
        <w:t>Council</w:t>
      </w:r>
      <w:r w:rsidR="00771BA3" w:rsidRPr="00D576C5">
        <w:t xml:space="preserve"> </w:t>
      </w:r>
      <w:r w:rsidRPr="00D576C5">
        <w:t xml:space="preserve">provides a domestic refuse collection and disposal service. </w:t>
      </w:r>
    </w:p>
    <w:p w:rsidR="00A23966" w:rsidRDefault="009B21E0" w:rsidP="005167B1">
      <w:pPr>
        <w:pStyle w:val="ListParagraph"/>
        <w:numPr>
          <w:ilvl w:val="0"/>
          <w:numId w:val="43"/>
        </w:numPr>
        <w:spacing w:after="80"/>
        <w:ind w:left="357" w:hanging="357"/>
        <w:jc w:val="both"/>
      </w:pPr>
      <w:r w:rsidRPr="00D576C5">
        <w:t>The charge will be raised irrespective of whether the service is used or not.</w:t>
      </w:r>
    </w:p>
    <w:p w:rsidR="009B21E0" w:rsidRDefault="009B21E0">
      <w:pPr>
        <w:pStyle w:val="BodyText"/>
      </w:pPr>
      <w:r w:rsidRPr="00B0096F">
        <w:t xml:space="preserve">The Waste Collection Service charge is calculated based on a fee for service, including direct, indirect </w:t>
      </w:r>
      <w:r>
        <w:t>and o</w:t>
      </w:r>
      <w:r w:rsidRPr="00B0096F">
        <w:t>verhead costs.  The charge for 201</w:t>
      </w:r>
      <w:r>
        <w:t>6</w:t>
      </w:r>
      <w:r w:rsidRPr="00B0096F">
        <w:noBreakHyphen/>
        <w:t>1</w:t>
      </w:r>
      <w:r>
        <w:t>7</w:t>
      </w:r>
      <w:r w:rsidRPr="00B0096F">
        <w:t xml:space="preserve"> will increase from $</w:t>
      </w:r>
      <w:r>
        <w:t>258.25</w:t>
      </w:r>
      <w:r w:rsidRPr="00B0096F">
        <w:t xml:space="preserve"> to $</w:t>
      </w:r>
      <w:r>
        <w:t>270.50</w:t>
      </w:r>
      <w:r w:rsidRPr="00B0096F">
        <w:t xml:space="preserve"> or </w:t>
      </w:r>
      <w:r>
        <w:t>4.75</w:t>
      </w:r>
      <w:r w:rsidRPr="00B0096F">
        <w:t>%.</w:t>
      </w:r>
    </w:p>
    <w:p w:rsidR="009B21E0" w:rsidRDefault="009B21E0">
      <w:pPr>
        <w:pStyle w:val="BodyText"/>
      </w:pPr>
      <w:r w:rsidRPr="00E74929">
        <w:t xml:space="preserve">Provision has been </w:t>
      </w:r>
      <w:r>
        <w:t>retained</w:t>
      </w:r>
      <w:r w:rsidRPr="00E74929">
        <w:t xml:space="preserve"> for a HACC support program for</w:t>
      </w:r>
      <w:r>
        <w:t xml:space="preserve"> aged </w:t>
      </w:r>
      <w:r w:rsidRPr="00E74929">
        <w:t>residents requiring assistance with waste removal.</w:t>
      </w:r>
    </w:p>
    <w:p w:rsidR="009B21E0" w:rsidRPr="00D221C5" w:rsidRDefault="009B21E0">
      <w:pPr>
        <w:pStyle w:val="BodyText"/>
      </w:pPr>
      <w:r>
        <w:t xml:space="preserve">A new section 162 service charge has been introduced - </w:t>
      </w:r>
      <w:r w:rsidRPr="000064D5">
        <w:t>The Annual Service Charge – Additional Bin Service.</w:t>
      </w:r>
    </w:p>
    <w:p w:rsidR="009B21E0" w:rsidRPr="000064D5" w:rsidRDefault="009B21E0">
      <w:pPr>
        <w:pStyle w:val="BodyText"/>
      </w:pPr>
      <w:r w:rsidRPr="000064D5">
        <w:t>From 1 July 2016 the additional bin service will be available via application compliant with the following criteria:</w:t>
      </w:r>
    </w:p>
    <w:p w:rsidR="00A23966" w:rsidRDefault="009B21E0" w:rsidP="005167B1">
      <w:pPr>
        <w:pStyle w:val="ListParagraph"/>
        <w:numPr>
          <w:ilvl w:val="0"/>
          <w:numId w:val="43"/>
        </w:numPr>
        <w:spacing w:after="80"/>
        <w:ind w:left="357" w:hanging="357"/>
        <w:jc w:val="both"/>
      </w:pPr>
      <w:r w:rsidRPr="000064D5">
        <w:t>Families with six or more occupants within a household may apply for an additional garbage and/or recycling bin;</w:t>
      </w:r>
    </w:p>
    <w:p w:rsidR="00A23966" w:rsidRDefault="009B21E0" w:rsidP="005167B1">
      <w:pPr>
        <w:pStyle w:val="ListParagraph"/>
        <w:numPr>
          <w:ilvl w:val="0"/>
          <w:numId w:val="43"/>
        </w:numPr>
        <w:spacing w:after="80"/>
        <w:ind w:left="357" w:hanging="357"/>
        <w:jc w:val="both"/>
      </w:pPr>
      <w:r w:rsidRPr="000064D5">
        <w:t>Properties that are able to prove to Council’s satisfaction that the physical area of the property would generate sufficient greenwaste volumes to exceed the capacity of their existing bin may apply for an additional greenwaste bin;</w:t>
      </w:r>
    </w:p>
    <w:p w:rsidR="00A23966" w:rsidRDefault="009B21E0" w:rsidP="005167B1">
      <w:pPr>
        <w:pStyle w:val="ListParagraph"/>
        <w:numPr>
          <w:ilvl w:val="0"/>
          <w:numId w:val="43"/>
        </w:numPr>
        <w:spacing w:after="80"/>
        <w:ind w:left="357" w:hanging="357"/>
        <w:jc w:val="both"/>
      </w:pPr>
      <w:r w:rsidRPr="000064D5">
        <w:t>In all cases of application for additional bins, Council reserves the right to inspect the applicant’s existing bins to confirm that they are overloaded. If this cannot be confirmed, the additional bins will not be provided;</w:t>
      </w:r>
    </w:p>
    <w:p w:rsidR="00A23966" w:rsidRDefault="009B21E0" w:rsidP="005167B1">
      <w:pPr>
        <w:pStyle w:val="ListParagraph"/>
        <w:numPr>
          <w:ilvl w:val="0"/>
          <w:numId w:val="43"/>
        </w:numPr>
        <w:spacing w:after="80"/>
        <w:ind w:left="357" w:hanging="357"/>
        <w:jc w:val="both"/>
      </w:pPr>
      <w:r w:rsidRPr="000064D5">
        <w:t>The property owner or their authorised agent signs the additional bin application form, provides appropriate supporting evidence and agrees to the application service charge.</w:t>
      </w:r>
    </w:p>
    <w:p w:rsidR="009B21E0" w:rsidRPr="000064D5" w:rsidRDefault="009B21E0">
      <w:pPr>
        <w:pStyle w:val="BodyText"/>
      </w:pPr>
      <w:r w:rsidRPr="000064D5">
        <w:t>Applications that meet the criteria will be billed via the Rate, Valuation &amp; Charges notice.</w:t>
      </w:r>
    </w:p>
    <w:p w:rsidR="009B21E0" w:rsidRPr="000064D5" w:rsidRDefault="009B21E0">
      <w:pPr>
        <w:pStyle w:val="BodyText"/>
      </w:pPr>
      <w:r w:rsidRPr="000064D5">
        <w:t xml:space="preserve">If an application is received and approved in the first six months of the financial year, </w:t>
      </w:r>
      <w:r w:rsidRPr="000064D5">
        <w:lastRenderedPageBreak/>
        <w:t>that is, from July to December, the full annual cost of the additional bin will be charged. If an application is received and approved in the second half of the financial year, that is January to June, half the annual cost will be charged.</w:t>
      </w:r>
    </w:p>
    <w:p w:rsidR="009B21E0" w:rsidRPr="000064D5" w:rsidRDefault="009B21E0">
      <w:pPr>
        <w:pStyle w:val="BodyText"/>
      </w:pPr>
      <w:r w:rsidRPr="000064D5">
        <w:t>The following costs will apply for the additional bin service per year:</w:t>
      </w:r>
    </w:p>
    <w:p w:rsidR="00A23966" w:rsidRDefault="009B21E0" w:rsidP="005167B1">
      <w:pPr>
        <w:pStyle w:val="ListParagraph"/>
        <w:numPr>
          <w:ilvl w:val="0"/>
          <w:numId w:val="43"/>
        </w:numPr>
        <w:spacing w:after="80"/>
        <w:ind w:left="357" w:hanging="357"/>
        <w:jc w:val="both"/>
      </w:pPr>
      <w:r w:rsidRPr="000064D5">
        <w:t>Garbage bin</w:t>
      </w:r>
      <w:r>
        <w:tab/>
      </w:r>
      <w:r w:rsidRPr="000064D5">
        <w:tab/>
        <w:t>$135 (for 2016-17)</w:t>
      </w:r>
      <w:r>
        <w:t>.</w:t>
      </w:r>
    </w:p>
    <w:p w:rsidR="00A23966" w:rsidRDefault="009B21E0" w:rsidP="005167B1">
      <w:pPr>
        <w:pStyle w:val="ListParagraph"/>
        <w:numPr>
          <w:ilvl w:val="0"/>
          <w:numId w:val="43"/>
        </w:numPr>
        <w:spacing w:after="80"/>
        <w:ind w:left="357" w:hanging="357"/>
        <w:jc w:val="both"/>
      </w:pPr>
      <w:r w:rsidRPr="000064D5">
        <w:t>Recycling bin</w:t>
      </w:r>
      <w:r w:rsidRPr="000064D5">
        <w:tab/>
        <w:t>$  48 (for 2016-17)</w:t>
      </w:r>
      <w:r>
        <w:t>.</w:t>
      </w:r>
    </w:p>
    <w:p w:rsidR="00A23966" w:rsidRDefault="009B21E0" w:rsidP="005167B1">
      <w:pPr>
        <w:pStyle w:val="ListParagraph"/>
        <w:numPr>
          <w:ilvl w:val="0"/>
          <w:numId w:val="43"/>
        </w:numPr>
        <w:spacing w:after="80"/>
        <w:ind w:left="357" w:hanging="357"/>
        <w:jc w:val="both"/>
      </w:pPr>
      <w:r w:rsidRPr="000064D5">
        <w:t xml:space="preserve">Green </w:t>
      </w:r>
      <w:r>
        <w:t>Waste bin</w:t>
      </w:r>
      <w:r>
        <w:tab/>
        <w:t>$  62 (for 2016-17).</w:t>
      </w:r>
    </w:p>
    <w:p w:rsidR="009B21E0" w:rsidRPr="00BA4451" w:rsidRDefault="009B21E0" w:rsidP="00E7196F">
      <w:pPr>
        <w:pStyle w:val="Heading3A"/>
      </w:pPr>
      <w:r>
        <w:t>Fire Services Property Levy</w:t>
      </w:r>
    </w:p>
    <w:p w:rsidR="009B21E0" w:rsidRPr="00024E14" w:rsidRDefault="009B21E0">
      <w:pPr>
        <w:pStyle w:val="BodyText"/>
      </w:pPr>
      <w:r w:rsidRPr="000744A6">
        <w:t xml:space="preserve">The Fire Services Property Levy Act 2012 (FSPL) came into effect from 1 July 2013 and requires </w:t>
      </w:r>
      <w:r w:rsidR="00C52306">
        <w:t>l</w:t>
      </w:r>
      <w:r w:rsidR="00C52306" w:rsidRPr="000744A6">
        <w:t xml:space="preserve">ocal </w:t>
      </w:r>
      <w:r w:rsidR="00C52306">
        <w:t>g</w:t>
      </w:r>
      <w:r w:rsidR="00C52306" w:rsidRPr="000744A6">
        <w:t xml:space="preserve">overnment </w:t>
      </w:r>
      <w:r w:rsidRPr="000744A6">
        <w:t xml:space="preserve">to bill, receipt and collect FSPL on rateable and non-rateable properties. </w:t>
      </w:r>
      <w:r>
        <w:t>The FSPL appears on the rate notice and i</w:t>
      </w:r>
      <w:r w:rsidRPr="000744A6">
        <w:t>t is estimated that Council will levy $</w:t>
      </w:r>
      <w:r>
        <w:t>29.6M</w:t>
      </w:r>
      <w:r w:rsidRPr="000744A6">
        <w:t xml:space="preserve"> in 201</w:t>
      </w:r>
      <w:r>
        <w:t>6</w:t>
      </w:r>
      <w:r w:rsidRPr="000744A6">
        <w:t>-1</w:t>
      </w:r>
      <w:r>
        <w:t>7</w:t>
      </w:r>
      <w:r w:rsidRPr="000744A6">
        <w:t xml:space="preserve"> and remit to the State Revenue Office.</w:t>
      </w:r>
    </w:p>
    <w:p w:rsidR="009B21E0" w:rsidRDefault="009B21E0">
      <w:pPr>
        <w:pStyle w:val="BodyText"/>
      </w:pPr>
      <w:r w:rsidRPr="000744A6">
        <w:t>The</w:t>
      </w:r>
      <w:r>
        <w:t xml:space="preserve"> 2016-17 </w:t>
      </w:r>
      <w:r w:rsidRPr="000744A6">
        <w:t xml:space="preserve"> Levy </w:t>
      </w:r>
      <w:r>
        <w:t xml:space="preserve">once again will </w:t>
      </w:r>
      <w:r w:rsidRPr="000744A6">
        <w:t>consist of a fixed component plus a variable component based on the property’s capital improved value to be determined by the Minist</w:t>
      </w:r>
      <w:r>
        <w:t>er on or before 31 May 2016</w:t>
      </w:r>
      <w:r w:rsidRPr="000744A6">
        <w:t xml:space="preserve">.  </w:t>
      </w:r>
    </w:p>
    <w:p w:rsidR="00CA3B4F" w:rsidRDefault="00CA3B4F">
      <w:pPr>
        <w:pStyle w:val="Heading4A"/>
      </w:pPr>
      <w:r w:rsidRPr="00AB07CF">
        <w:t>201</w:t>
      </w:r>
      <w:r>
        <w:t>7</w:t>
      </w:r>
      <w:r w:rsidRPr="00AB07CF">
        <w:t>-</w:t>
      </w:r>
      <w:r>
        <w:t>18</w:t>
      </w:r>
    </w:p>
    <w:p w:rsidR="00CA3B4F" w:rsidRDefault="00CA3B4F" w:rsidP="00CA3B4F">
      <w:pPr>
        <w:pStyle w:val="Heading3A"/>
      </w:pPr>
      <w:r>
        <w:t>Rate Structure</w:t>
      </w:r>
    </w:p>
    <w:p w:rsidR="00CA3B4F" w:rsidRDefault="00CA3B4F">
      <w:pPr>
        <w:pStyle w:val="BodyText"/>
      </w:pPr>
      <w:r>
        <w:t>Council retains 11 rating or tariff groups with the application of differential rates to each of these groups in accordance with Section 161 of the Act. The purpose of the various rating groups is to ensure that each group makes a fair and equitable contribution to rates. Full disclosure of the rating groups, number of properties, valuations and revenue is shown in the Statutory Information on Rates.</w:t>
      </w:r>
    </w:p>
    <w:p w:rsidR="00CA3B4F" w:rsidRDefault="00CA3B4F" w:rsidP="00CA3B4F">
      <w:pPr>
        <w:pStyle w:val="Heading3A"/>
      </w:pPr>
      <w:r>
        <w:t>Rate Review</w:t>
      </w:r>
    </w:p>
    <w:p w:rsidR="00CA3B4F" w:rsidRPr="001A164A" w:rsidRDefault="00CA3B4F" w:rsidP="00CA3B4F">
      <w:pPr>
        <w:pStyle w:val="Heading3A"/>
        <w:rPr>
          <w:color w:val="auto"/>
        </w:rPr>
      </w:pPr>
      <w:r w:rsidRPr="00831CC1">
        <w:rPr>
          <w:color w:val="auto"/>
        </w:rPr>
        <w:t>In formulating the 2017-18 Rating Strategy, Council has considered a review of rate differentials and the appropriateness of land use definitions relative for rating differentials. The matters considered are summarised as follows:</w:t>
      </w:r>
    </w:p>
    <w:p w:rsidR="00CA3B4F" w:rsidRDefault="00CA3B4F" w:rsidP="005167B1">
      <w:pPr>
        <w:pStyle w:val="ListParagraph"/>
        <w:numPr>
          <w:ilvl w:val="0"/>
          <w:numId w:val="43"/>
        </w:numPr>
        <w:spacing w:after="80"/>
        <w:ind w:left="357" w:hanging="357"/>
        <w:jc w:val="both"/>
      </w:pPr>
      <w:r w:rsidRPr="00831CC1">
        <w:t>The Industrial land use definition has been amended to include warehousing. This will align Council’s definition with the FSPL classification to reduce confusion for the ratepayer.</w:t>
      </w:r>
    </w:p>
    <w:p w:rsidR="00CA3B4F" w:rsidRDefault="00CA3B4F" w:rsidP="005167B1">
      <w:pPr>
        <w:pStyle w:val="ListParagraph"/>
        <w:numPr>
          <w:ilvl w:val="0"/>
          <w:numId w:val="43"/>
        </w:numPr>
        <w:spacing w:after="80"/>
        <w:ind w:left="357" w:hanging="357"/>
        <w:jc w:val="both"/>
      </w:pPr>
      <w:r w:rsidRPr="00831CC1">
        <w:t>For 2016-17 the Industrial rate in the dollar was 40% higher than the Commercial rate in the dollar. The relativity between the Industrial and Commercial differentials is to be more closely aligned commencing from 2017-18 and continuing in future years.</w:t>
      </w:r>
    </w:p>
    <w:p w:rsidR="00CA3B4F" w:rsidRDefault="00CA3B4F" w:rsidP="005167B1">
      <w:pPr>
        <w:pStyle w:val="ListParagraph"/>
        <w:numPr>
          <w:ilvl w:val="0"/>
          <w:numId w:val="43"/>
        </w:numPr>
        <w:spacing w:after="80"/>
        <w:ind w:left="357" w:hanging="357"/>
        <w:jc w:val="both"/>
      </w:pPr>
      <w:r w:rsidRPr="00831CC1">
        <w:lastRenderedPageBreak/>
        <w:t xml:space="preserve">Council will revert to the definition under the Cultural and Recreational Lands Act 1963 for properties rated as the Cultural and Recreational differential. Any </w:t>
      </w:r>
      <w:r>
        <w:t>affected</w:t>
      </w:r>
      <w:r w:rsidRPr="00831CC1">
        <w:t xml:space="preserve"> properties will be eligible for a transitional rebate to the otherwise applicable rate. The transitional rebate is to be set at 75% for 2017-18.</w:t>
      </w:r>
    </w:p>
    <w:p w:rsidR="00CA3B4F" w:rsidRDefault="00CA3B4F" w:rsidP="005167B1">
      <w:pPr>
        <w:pStyle w:val="ListParagraph"/>
        <w:numPr>
          <w:ilvl w:val="0"/>
          <w:numId w:val="43"/>
        </w:numPr>
        <w:spacing w:after="80"/>
        <w:ind w:left="357" w:hanging="357"/>
        <w:jc w:val="both"/>
      </w:pPr>
      <w:r w:rsidRPr="00831CC1">
        <w:t>The Petroleum differential has been aligned to the Industrial rate in the dollar as per Council’s adopted Statement of Principle.</w:t>
      </w:r>
    </w:p>
    <w:p w:rsidR="00CA3B4F" w:rsidRDefault="00CA3B4F" w:rsidP="005167B1">
      <w:pPr>
        <w:pStyle w:val="ListParagraph"/>
        <w:numPr>
          <w:ilvl w:val="0"/>
          <w:numId w:val="43"/>
        </w:numPr>
        <w:spacing w:after="80"/>
        <w:ind w:left="357" w:hanging="357"/>
        <w:jc w:val="both"/>
      </w:pPr>
      <w:r w:rsidRPr="00831CC1">
        <w:t>The Automobile differential has been discontinued from 2017-18 since there are no properties that satisfy the land use description. These properties will be rated as Industrial.</w:t>
      </w:r>
    </w:p>
    <w:p w:rsidR="00CA3B4F" w:rsidRDefault="00CA3B4F" w:rsidP="00CA3B4F">
      <w:pPr>
        <w:pStyle w:val="Heading3A"/>
      </w:pPr>
      <w:r>
        <w:t>Rate Cap</w:t>
      </w:r>
    </w:p>
    <w:p w:rsidR="00CA3B4F" w:rsidRDefault="00CA3B4F">
      <w:pPr>
        <w:pStyle w:val="BodyText"/>
      </w:pPr>
      <w:r>
        <w:t xml:space="preserve">The </w:t>
      </w:r>
      <w:r w:rsidRPr="005167B1">
        <w:rPr>
          <w:i/>
        </w:rPr>
        <w:t>Local Government Act 1989</w:t>
      </w:r>
      <w:r>
        <w:t xml:space="preserve"> was amended in December 2015 to include </w:t>
      </w:r>
      <w:r w:rsidR="00C3581A">
        <w:t xml:space="preserve">Part </w:t>
      </w:r>
      <w:r>
        <w:t xml:space="preserve">8A – Rate Caps, </w:t>
      </w:r>
      <w:r w:rsidR="00C3581A">
        <w:t xml:space="preserve">sections </w:t>
      </w:r>
      <w:r>
        <w:t>185A to 185G to promote the long term interests of ratepayers and the community in relation to sustainable outcomes in the delivery of services and infrastructure.</w:t>
      </w:r>
    </w:p>
    <w:p w:rsidR="00CA3B4F" w:rsidRPr="00F33F45" w:rsidRDefault="00CA3B4F">
      <w:pPr>
        <w:pStyle w:val="BodyText"/>
      </w:pPr>
      <w:r w:rsidRPr="00F33F45">
        <w:t xml:space="preserve">The Minister for Local Government announced on </w:t>
      </w:r>
      <w:r>
        <w:t>19</w:t>
      </w:r>
      <w:r w:rsidRPr="00F33F45">
        <w:t xml:space="preserve"> December 201</w:t>
      </w:r>
      <w:r>
        <w:t>6</w:t>
      </w:r>
      <w:r w:rsidRPr="00F33F45">
        <w:t xml:space="preserve"> </w:t>
      </w:r>
      <w:r>
        <w:t xml:space="preserve">under section 185D(1) of the LGA </w:t>
      </w:r>
      <w:r w:rsidRPr="00F33F45">
        <w:t>that the 201</w:t>
      </w:r>
      <w:r>
        <w:t>7</w:t>
      </w:r>
      <w:r w:rsidRPr="00F33F45">
        <w:t>-</w:t>
      </w:r>
      <w:r>
        <w:t>18</w:t>
      </w:r>
      <w:r w:rsidRPr="00F33F45">
        <w:t xml:space="preserve"> rate cap would be 2.</w:t>
      </w:r>
      <w:r>
        <w:t>0</w:t>
      </w:r>
      <w:r w:rsidRPr="00F33F45">
        <w:t>% for all Victorian Councils.</w:t>
      </w:r>
    </w:p>
    <w:p w:rsidR="00CA3B4F" w:rsidRPr="00F33F45" w:rsidRDefault="00CA3B4F">
      <w:pPr>
        <w:pStyle w:val="BodyText"/>
      </w:pPr>
      <w:r w:rsidRPr="00F33F45">
        <w:t>Not all Council charges are included in the rate cap calculation.</w:t>
      </w:r>
    </w:p>
    <w:p w:rsidR="00CA3B4F" w:rsidRDefault="00CA3B4F" w:rsidP="005167B1">
      <w:pPr>
        <w:pStyle w:val="ListParagraph"/>
        <w:numPr>
          <w:ilvl w:val="0"/>
          <w:numId w:val="43"/>
        </w:numPr>
        <w:spacing w:after="80"/>
        <w:ind w:left="357" w:hanging="357"/>
        <w:jc w:val="both"/>
      </w:pPr>
      <w:r w:rsidRPr="00F33F45">
        <w:t>Rates and the Municipal Charge are included in the rate cap calculation.</w:t>
      </w:r>
    </w:p>
    <w:p w:rsidR="00CA3B4F" w:rsidRDefault="00CA3B4F" w:rsidP="005167B1">
      <w:pPr>
        <w:pStyle w:val="ListParagraph"/>
        <w:numPr>
          <w:ilvl w:val="0"/>
          <w:numId w:val="43"/>
        </w:numPr>
        <w:spacing w:after="80"/>
        <w:ind w:left="357" w:hanging="357"/>
        <w:jc w:val="both"/>
      </w:pPr>
      <w:r w:rsidRPr="00F33F45">
        <w:t>The Waste charge and the Fire Services Property Levy are not included in the rate cap calculation.</w:t>
      </w:r>
    </w:p>
    <w:p w:rsidR="00CA3B4F" w:rsidRDefault="00CA3B4F">
      <w:pPr>
        <w:pStyle w:val="BodyText"/>
      </w:pPr>
      <w:r>
        <w:t>The 2016-17 base average rate is calculated at $1,475.14 and the 2017</w:t>
      </w:r>
      <w:r>
        <w:noBreakHyphen/>
        <w:t>18 Budget proposes this will increase by 2.0% to $1,504.64.</w:t>
      </w:r>
    </w:p>
    <w:p w:rsidR="00CA3B4F" w:rsidRPr="00F33F45" w:rsidRDefault="00CA3B4F">
      <w:pPr>
        <w:pStyle w:val="BodyText"/>
      </w:pPr>
      <w:r w:rsidRPr="00F33F45">
        <w:t>The rate cap calculation for 201</w:t>
      </w:r>
      <w:r>
        <w:t>7</w:t>
      </w:r>
      <w:r w:rsidRPr="00F33F45">
        <w:t>-</w:t>
      </w:r>
      <w:r>
        <w:t>18</w:t>
      </w:r>
      <w:r w:rsidRPr="00F33F45">
        <w:t xml:space="preserve"> is:</w:t>
      </w:r>
    </w:p>
    <w:tbl>
      <w:tblPr>
        <w:tblW w:w="87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635"/>
        <w:gridCol w:w="1542"/>
        <w:gridCol w:w="1543"/>
      </w:tblGrid>
      <w:tr w:rsidR="00CA3B4F" w:rsidRPr="00E60EA6" w:rsidTr="00E60EA6">
        <w:trPr>
          <w:trHeight w:val="255"/>
        </w:trPr>
        <w:tc>
          <w:tcPr>
            <w:tcW w:w="5635" w:type="dxa"/>
            <w:shd w:val="clear" w:color="auto" w:fill="8DB3E2"/>
            <w:noWrap/>
            <w:vAlign w:val="bottom"/>
            <w:hideMark/>
          </w:tcPr>
          <w:p w:rsidR="00CA3B4F" w:rsidRPr="009F5CF2" w:rsidRDefault="00CA3B4F" w:rsidP="0053406D">
            <w:pPr>
              <w:spacing w:before="0" w:after="0"/>
              <w:rPr>
                <w:rFonts w:ascii="News Gothic Std" w:hAnsi="News Gothic Std" w:cs="Arial"/>
                <w:sz w:val="18"/>
                <w:szCs w:val="18"/>
                <w:lang w:eastAsia="en-AU"/>
              </w:rPr>
            </w:pPr>
          </w:p>
        </w:tc>
        <w:tc>
          <w:tcPr>
            <w:tcW w:w="1542" w:type="dxa"/>
            <w:shd w:val="clear" w:color="auto" w:fill="8DB3E2"/>
            <w:noWrap/>
            <w:vAlign w:val="bottom"/>
            <w:hideMark/>
          </w:tcPr>
          <w:p w:rsidR="00CA3B4F" w:rsidRPr="009F5CF2" w:rsidRDefault="00CA3B4F" w:rsidP="0053406D">
            <w:pPr>
              <w:spacing w:before="0" w:after="0"/>
              <w:jc w:val="right"/>
              <w:rPr>
                <w:rFonts w:ascii="News Gothic Std" w:hAnsi="News Gothic Std" w:cs="Arial"/>
                <w:sz w:val="18"/>
                <w:szCs w:val="18"/>
                <w:lang w:eastAsia="en-AU"/>
              </w:rPr>
            </w:pPr>
            <w:r w:rsidRPr="009F5CF2">
              <w:rPr>
                <w:rFonts w:ascii="News Gothic Std" w:hAnsi="News Gothic Std" w:cs="Arial"/>
                <w:sz w:val="18"/>
                <w:szCs w:val="18"/>
                <w:lang w:eastAsia="en-AU"/>
              </w:rPr>
              <w:t>2016-17</w:t>
            </w:r>
          </w:p>
        </w:tc>
        <w:tc>
          <w:tcPr>
            <w:tcW w:w="1543" w:type="dxa"/>
            <w:shd w:val="clear" w:color="auto" w:fill="8DB3E2"/>
            <w:noWrap/>
            <w:vAlign w:val="bottom"/>
            <w:hideMark/>
          </w:tcPr>
          <w:p w:rsidR="00CA3B4F" w:rsidRPr="009F5CF2" w:rsidRDefault="00CA3B4F" w:rsidP="0053406D">
            <w:pPr>
              <w:spacing w:before="0" w:after="0"/>
              <w:jc w:val="right"/>
              <w:rPr>
                <w:rFonts w:ascii="News Gothic Std" w:hAnsi="News Gothic Std" w:cs="Arial"/>
                <w:sz w:val="18"/>
                <w:szCs w:val="18"/>
                <w:lang w:eastAsia="en-AU"/>
              </w:rPr>
            </w:pPr>
            <w:r w:rsidRPr="009F5CF2">
              <w:rPr>
                <w:rFonts w:ascii="News Gothic Std" w:hAnsi="News Gothic Std" w:cs="Arial"/>
                <w:sz w:val="18"/>
                <w:szCs w:val="18"/>
                <w:lang w:eastAsia="en-AU"/>
              </w:rPr>
              <w:t>2017-18</w:t>
            </w:r>
          </w:p>
        </w:tc>
      </w:tr>
      <w:tr w:rsidR="00CA3B4F" w:rsidRPr="00E60EA6" w:rsidTr="00E60EA6">
        <w:trPr>
          <w:trHeight w:val="255"/>
        </w:trPr>
        <w:tc>
          <w:tcPr>
            <w:tcW w:w="5635" w:type="dxa"/>
            <w:shd w:val="clear" w:color="auto" w:fill="8DB3E2"/>
            <w:noWrap/>
            <w:vAlign w:val="bottom"/>
            <w:hideMark/>
          </w:tcPr>
          <w:p w:rsidR="00CA3B4F" w:rsidRPr="009F5CF2" w:rsidRDefault="00CA3B4F" w:rsidP="0053406D">
            <w:pPr>
              <w:spacing w:before="0" w:after="0"/>
              <w:rPr>
                <w:rFonts w:ascii="News Gothic Std" w:hAnsi="News Gothic Std" w:cs="Arial"/>
                <w:sz w:val="18"/>
                <w:szCs w:val="18"/>
                <w:lang w:eastAsia="en-AU"/>
              </w:rPr>
            </w:pPr>
            <w:r w:rsidRPr="009F5CF2">
              <w:rPr>
                <w:rFonts w:ascii="News Gothic Std" w:hAnsi="News Gothic Std" w:cs="Arial"/>
                <w:sz w:val="18"/>
                <w:szCs w:val="18"/>
                <w:lang w:eastAsia="en-AU"/>
              </w:rPr>
              <w:t>Proposed Average Rate Increase all Rateable Property</w:t>
            </w:r>
          </w:p>
        </w:tc>
        <w:tc>
          <w:tcPr>
            <w:tcW w:w="1542" w:type="dxa"/>
            <w:shd w:val="clear" w:color="auto" w:fill="8DB3E2"/>
            <w:noWrap/>
            <w:vAlign w:val="bottom"/>
            <w:hideMark/>
          </w:tcPr>
          <w:p w:rsidR="00CA3B4F" w:rsidRPr="009F5CF2" w:rsidRDefault="00CA3B4F" w:rsidP="0053406D">
            <w:pPr>
              <w:spacing w:before="0" w:after="0"/>
              <w:jc w:val="right"/>
              <w:rPr>
                <w:rFonts w:ascii="News Gothic Std" w:hAnsi="News Gothic Std" w:cs="Arial"/>
                <w:sz w:val="18"/>
                <w:szCs w:val="18"/>
                <w:lang w:eastAsia="en-AU"/>
              </w:rPr>
            </w:pPr>
          </w:p>
        </w:tc>
        <w:tc>
          <w:tcPr>
            <w:tcW w:w="1543" w:type="dxa"/>
            <w:shd w:val="clear" w:color="auto" w:fill="8DB3E2"/>
            <w:noWrap/>
            <w:vAlign w:val="bottom"/>
            <w:hideMark/>
          </w:tcPr>
          <w:p w:rsidR="00CA3B4F" w:rsidRPr="009F5CF2" w:rsidRDefault="00CA3B4F" w:rsidP="0053406D">
            <w:pPr>
              <w:spacing w:before="0" w:after="0"/>
              <w:jc w:val="right"/>
              <w:rPr>
                <w:rFonts w:ascii="News Gothic Std" w:hAnsi="News Gothic Std" w:cs="Arial"/>
                <w:sz w:val="18"/>
                <w:szCs w:val="18"/>
                <w:lang w:eastAsia="en-AU"/>
              </w:rPr>
            </w:pPr>
            <w:r w:rsidRPr="009F5CF2">
              <w:rPr>
                <w:rFonts w:ascii="News Gothic Std" w:hAnsi="News Gothic Std" w:cs="Arial"/>
                <w:sz w:val="18"/>
                <w:szCs w:val="18"/>
                <w:lang w:eastAsia="en-AU"/>
              </w:rPr>
              <w:t>2.0%</w:t>
            </w:r>
          </w:p>
        </w:tc>
      </w:tr>
      <w:tr w:rsidR="00CA3B4F" w:rsidRPr="00E60EA6" w:rsidTr="00E60EA6">
        <w:trPr>
          <w:trHeight w:val="354"/>
        </w:trPr>
        <w:tc>
          <w:tcPr>
            <w:tcW w:w="5635" w:type="dxa"/>
            <w:shd w:val="clear" w:color="auto" w:fill="auto"/>
            <w:vAlign w:val="center"/>
            <w:hideMark/>
          </w:tcPr>
          <w:p w:rsidR="00CA3B4F" w:rsidRPr="00E60EA6" w:rsidRDefault="00CA3B4F" w:rsidP="0053406D">
            <w:pPr>
              <w:spacing w:before="0" w:after="0"/>
              <w:rPr>
                <w:rFonts w:cs="Lucida Sans Unicode"/>
                <w:sz w:val="18"/>
                <w:szCs w:val="18"/>
                <w:lang w:eastAsia="en-AU"/>
              </w:rPr>
            </w:pPr>
            <w:r w:rsidRPr="00E60EA6">
              <w:rPr>
                <w:rFonts w:cs="Lucida Sans Unicode"/>
                <w:sz w:val="18"/>
                <w:szCs w:val="18"/>
                <w:lang w:eastAsia="en-AU"/>
              </w:rPr>
              <w:t xml:space="preserve">Rates and Municipal Charge </w:t>
            </w:r>
          </w:p>
          <w:p w:rsidR="00CA3B4F" w:rsidRPr="00E60EA6" w:rsidRDefault="00CA3B4F" w:rsidP="0053406D">
            <w:pPr>
              <w:spacing w:before="0" w:after="0"/>
              <w:rPr>
                <w:rFonts w:cs="Lucida Sans Unicode"/>
                <w:sz w:val="18"/>
                <w:szCs w:val="18"/>
                <w:lang w:eastAsia="en-AU"/>
              </w:rPr>
            </w:pPr>
            <w:r w:rsidRPr="00E60EA6">
              <w:rPr>
                <w:rFonts w:cs="Lucida Sans Unicode"/>
                <w:sz w:val="18"/>
                <w:szCs w:val="18"/>
                <w:lang w:eastAsia="en-AU"/>
              </w:rPr>
              <w:t>(adjusted for Supplementaries 2016-17)</w:t>
            </w:r>
          </w:p>
        </w:tc>
        <w:tc>
          <w:tcPr>
            <w:tcW w:w="1542" w:type="dxa"/>
            <w:shd w:val="clear" w:color="auto" w:fill="auto"/>
            <w:noWrap/>
            <w:vAlign w:val="center"/>
            <w:hideMark/>
          </w:tcPr>
          <w:p w:rsidR="00CA3B4F" w:rsidRPr="00E60EA6" w:rsidRDefault="00CA3B4F" w:rsidP="0053406D">
            <w:pPr>
              <w:spacing w:before="0" w:after="0"/>
              <w:jc w:val="right"/>
              <w:rPr>
                <w:rFonts w:cs="Lucida Sans Unicode"/>
                <w:sz w:val="18"/>
                <w:szCs w:val="18"/>
                <w:lang w:eastAsia="en-AU"/>
              </w:rPr>
            </w:pPr>
            <w:r w:rsidRPr="00E60EA6">
              <w:rPr>
                <w:rFonts w:cs="Lucida Sans Unicode"/>
                <w:sz w:val="18"/>
                <w:szCs w:val="18"/>
                <w:lang w:eastAsia="en-AU"/>
              </w:rPr>
              <w:t xml:space="preserve">176,671,824 </w:t>
            </w:r>
          </w:p>
        </w:tc>
        <w:tc>
          <w:tcPr>
            <w:tcW w:w="1543" w:type="dxa"/>
            <w:shd w:val="clear" w:color="auto" w:fill="auto"/>
            <w:noWrap/>
            <w:vAlign w:val="center"/>
            <w:hideMark/>
          </w:tcPr>
          <w:p w:rsidR="00CA3B4F" w:rsidRPr="00E60EA6" w:rsidRDefault="00CA3B4F" w:rsidP="0053406D">
            <w:pPr>
              <w:spacing w:before="0" w:after="0"/>
              <w:jc w:val="right"/>
              <w:rPr>
                <w:rFonts w:cs="Lucida Sans Unicode"/>
                <w:sz w:val="18"/>
                <w:szCs w:val="18"/>
                <w:lang w:eastAsia="en-AU"/>
              </w:rPr>
            </w:pPr>
            <w:r w:rsidRPr="00E60EA6">
              <w:rPr>
                <w:rFonts w:cs="Lucida Sans Unicode"/>
                <w:sz w:val="18"/>
                <w:szCs w:val="18"/>
                <w:lang w:eastAsia="en-AU"/>
              </w:rPr>
              <w:t xml:space="preserve">180,205,260 </w:t>
            </w:r>
          </w:p>
        </w:tc>
      </w:tr>
      <w:tr w:rsidR="00CA3B4F" w:rsidRPr="00E60EA6" w:rsidTr="00E60EA6">
        <w:trPr>
          <w:trHeight w:val="300"/>
        </w:trPr>
        <w:tc>
          <w:tcPr>
            <w:tcW w:w="5635" w:type="dxa"/>
            <w:shd w:val="clear" w:color="auto" w:fill="auto"/>
            <w:noWrap/>
            <w:vAlign w:val="center"/>
            <w:hideMark/>
          </w:tcPr>
          <w:p w:rsidR="00CA3B4F" w:rsidRPr="00E60EA6" w:rsidRDefault="00CA3B4F" w:rsidP="0053406D">
            <w:pPr>
              <w:spacing w:before="0" w:after="0"/>
              <w:rPr>
                <w:rFonts w:cs="Lucida Sans Unicode"/>
                <w:sz w:val="18"/>
                <w:szCs w:val="18"/>
                <w:lang w:eastAsia="en-AU"/>
              </w:rPr>
            </w:pPr>
            <w:r w:rsidRPr="00E60EA6">
              <w:rPr>
                <w:rFonts w:cs="Lucida Sans Unicode"/>
                <w:sz w:val="18"/>
                <w:szCs w:val="18"/>
                <w:lang w:eastAsia="en-AU"/>
              </w:rPr>
              <w:t>Number of Rateable Properties</w:t>
            </w:r>
          </w:p>
        </w:tc>
        <w:tc>
          <w:tcPr>
            <w:tcW w:w="1542" w:type="dxa"/>
            <w:shd w:val="clear" w:color="auto" w:fill="auto"/>
            <w:noWrap/>
            <w:vAlign w:val="center"/>
            <w:hideMark/>
          </w:tcPr>
          <w:p w:rsidR="00CA3B4F" w:rsidRPr="00E60EA6" w:rsidRDefault="00CA3B4F" w:rsidP="0053406D">
            <w:pPr>
              <w:spacing w:before="0" w:after="0"/>
              <w:jc w:val="right"/>
              <w:rPr>
                <w:rFonts w:cs="Lucida Sans Unicode"/>
                <w:sz w:val="18"/>
                <w:szCs w:val="18"/>
                <w:lang w:eastAsia="en-AU"/>
              </w:rPr>
            </w:pPr>
            <w:r w:rsidRPr="00E60EA6">
              <w:rPr>
                <w:rFonts w:cs="Lucida Sans Unicode"/>
                <w:sz w:val="18"/>
                <w:szCs w:val="18"/>
                <w:lang w:eastAsia="en-AU"/>
              </w:rPr>
              <w:t xml:space="preserve">119,766 </w:t>
            </w:r>
          </w:p>
        </w:tc>
        <w:tc>
          <w:tcPr>
            <w:tcW w:w="1543" w:type="dxa"/>
            <w:shd w:val="clear" w:color="auto" w:fill="auto"/>
            <w:noWrap/>
            <w:vAlign w:val="center"/>
            <w:hideMark/>
          </w:tcPr>
          <w:p w:rsidR="00CA3B4F" w:rsidRPr="00E60EA6" w:rsidRDefault="00CA3B4F" w:rsidP="0053406D">
            <w:pPr>
              <w:spacing w:before="0" w:after="0"/>
              <w:jc w:val="right"/>
              <w:rPr>
                <w:rFonts w:cs="Lucida Sans Unicode"/>
                <w:sz w:val="18"/>
                <w:szCs w:val="18"/>
                <w:lang w:eastAsia="en-AU"/>
              </w:rPr>
            </w:pPr>
            <w:r w:rsidRPr="00E60EA6">
              <w:rPr>
                <w:rFonts w:cs="Lucida Sans Unicode"/>
                <w:sz w:val="18"/>
                <w:szCs w:val="18"/>
                <w:lang w:eastAsia="en-AU"/>
              </w:rPr>
              <w:t xml:space="preserve">119,766 </w:t>
            </w:r>
          </w:p>
        </w:tc>
      </w:tr>
      <w:tr w:rsidR="00CA3B4F" w:rsidRPr="00E60EA6" w:rsidTr="00E60EA6">
        <w:trPr>
          <w:trHeight w:val="300"/>
        </w:trPr>
        <w:tc>
          <w:tcPr>
            <w:tcW w:w="5635" w:type="dxa"/>
            <w:shd w:val="clear" w:color="auto" w:fill="auto"/>
            <w:noWrap/>
            <w:vAlign w:val="center"/>
            <w:hideMark/>
          </w:tcPr>
          <w:p w:rsidR="00CA3B4F" w:rsidRPr="00E60EA6" w:rsidRDefault="00CA3B4F" w:rsidP="0053406D">
            <w:pPr>
              <w:spacing w:before="0" w:after="0"/>
              <w:rPr>
                <w:rFonts w:cs="Lucida Sans Unicode"/>
                <w:sz w:val="18"/>
                <w:szCs w:val="18"/>
                <w:lang w:eastAsia="en-AU"/>
              </w:rPr>
            </w:pPr>
            <w:r w:rsidRPr="00E60EA6">
              <w:rPr>
                <w:rFonts w:cs="Lucida Sans Unicode"/>
                <w:sz w:val="18"/>
                <w:szCs w:val="18"/>
                <w:lang w:eastAsia="en-AU"/>
              </w:rPr>
              <w:t>Base Average Rate (BAR)</w:t>
            </w:r>
          </w:p>
        </w:tc>
        <w:tc>
          <w:tcPr>
            <w:tcW w:w="1542" w:type="dxa"/>
            <w:shd w:val="clear" w:color="auto" w:fill="auto"/>
            <w:noWrap/>
            <w:vAlign w:val="center"/>
            <w:hideMark/>
          </w:tcPr>
          <w:p w:rsidR="00CA3B4F" w:rsidRPr="00E60EA6" w:rsidRDefault="00CA3B4F" w:rsidP="0053406D">
            <w:pPr>
              <w:spacing w:before="0" w:after="0"/>
              <w:jc w:val="right"/>
              <w:rPr>
                <w:rFonts w:cs="Lucida Sans Unicode"/>
                <w:sz w:val="18"/>
                <w:szCs w:val="18"/>
                <w:lang w:eastAsia="en-AU"/>
              </w:rPr>
            </w:pPr>
            <w:r w:rsidRPr="00E60EA6">
              <w:rPr>
                <w:rFonts w:cs="Lucida Sans Unicode"/>
                <w:sz w:val="18"/>
                <w:szCs w:val="18"/>
                <w:lang w:eastAsia="en-AU"/>
              </w:rPr>
              <w:t xml:space="preserve">1,475.14 </w:t>
            </w:r>
          </w:p>
        </w:tc>
        <w:tc>
          <w:tcPr>
            <w:tcW w:w="1543" w:type="dxa"/>
            <w:shd w:val="clear" w:color="auto" w:fill="auto"/>
            <w:noWrap/>
            <w:vAlign w:val="center"/>
            <w:hideMark/>
          </w:tcPr>
          <w:p w:rsidR="00CA3B4F" w:rsidRPr="00E60EA6" w:rsidRDefault="00CA3B4F" w:rsidP="0053406D">
            <w:pPr>
              <w:spacing w:before="0" w:after="0"/>
              <w:jc w:val="right"/>
              <w:rPr>
                <w:rFonts w:cs="Lucida Sans Unicode"/>
                <w:sz w:val="18"/>
                <w:szCs w:val="18"/>
                <w:lang w:eastAsia="en-AU"/>
              </w:rPr>
            </w:pPr>
            <w:r w:rsidRPr="00E60EA6">
              <w:rPr>
                <w:rFonts w:cs="Lucida Sans Unicode"/>
                <w:sz w:val="18"/>
                <w:szCs w:val="18"/>
                <w:lang w:eastAsia="en-AU"/>
              </w:rPr>
              <w:t xml:space="preserve">1,504.64 </w:t>
            </w:r>
          </w:p>
        </w:tc>
      </w:tr>
    </w:tbl>
    <w:p w:rsidR="00CA3B4F" w:rsidRPr="00F33F45" w:rsidRDefault="00CA3B4F">
      <w:pPr>
        <w:pStyle w:val="BodyText"/>
      </w:pPr>
      <w:r w:rsidRPr="00F33F45">
        <w:t>The rates and charges for individual properties may have increased or decreased by a different percentage amount to the rate cap for the following reasons:</w:t>
      </w:r>
    </w:p>
    <w:p w:rsidR="00CA3B4F" w:rsidRPr="00E60EA6" w:rsidRDefault="00CA3B4F" w:rsidP="00CA3B4F">
      <w:pPr>
        <w:pStyle w:val="ListParagraph"/>
        <w:numPr>
          <w:ilvl w:val="0"/>
          <w:numId w:val="43"/>
        </w:numPr>
        <w:ind w:left="360"/>
        <w:contextualSpacing/>
        <w:jc w:val="both"/>
        <w:rPr>
          <w:rFonts w:cs="Lucida Sans Unicode"/>
          <w:szCs w:val="22"/>
        </w:rPr>
      </w:pPr>
      <w:r w:rsidRPr="00E60EA6">
        <w:rPr>
          <w:rFonts w:cs="Lucida Sans Unicode"/>
          <w:szCs w:val="22"/>
        </w:rPr>
        <w:t>The valuation of a property relative to the valuation of another property in the municipal district;</w:t>
      </w:r>
    </w:p>
    <w:p w:rsidR="00CA3B4F" w:rsidRPr="00E60EA6" w:rsidRDefault="00CA3B4F" w:rsidP="00CA3B4F">
      <w:pPr>
        <w:pStyle w:val="ListParagraph"/>
        <w:numPr>
          <w:ilvl w:val="0"/>
          <w:numId w:val="43"/>
        </w:numPr>
        <w:ind w:left="360"/>
        <w:contextualSpacing/>
        <w:jc w:val="both"/>
        <w:rPr>
          <w:rFonts w:cs="Lucida Sans Unicode"/>
          <w:szCs w:val="22"/>
        </w:rPr>
      </w:pPr>
      <w:r w:rsidRPr="00E60EA6">
        <w:rPr>
          <w:rFonts w:cs="Lucida Sans Unicode"/>
          <w:szCs w:val="22"/>
        </w:rPr>
        <w:t>The application of a differential rate based on land use;</w:t>
      </w:r>
    </w:p>
    <w:p w:rsidR="00CA3B4F" w:rsidRPr="00E60EA6" w:rsidRDefault="00CA3B4F" w:rsidP="00CA3B4F">
      <w:pPr>
        <w:pStyle w:val="ListParagraph"/>
        <w:numPr>
          <w:ilvl w:val="0"/>
          <w:numId w:val="43"/>
        </w:numPr>
        <w:ind w:left="360"/>
        <w:contextualSpacing/>
        <w:jc w:val="both"/>
        <w:rPr>
          <w:rFonts w:cs="Lucida Sans Unicode"/>
          <w:szCs w:val="22"/>
        </w:rPr>
      </w:pPr>
      <w:r w:rsidRPr="00E60EA6">
        <w:rPr>
          <w:rFonts w:cs="Lucida Sans Unicode"/>
          <w:szCs w:val="22"/>
        </w:rPr>
        <w:t>The inclusion of other charges not included in the rate cap.</w:t>
      </w:r>
    </w:p>
    <w:p w:rsidR="00CA3B4F" w:rsidRDefault="00CA3B4F" w:rsidP="00CA3B4F">
      <w:pPr>
        <w:pStyle w:val="Heading3A"/>
      </w:pPr>
      <w:r>
        <w:lastRenderedPageBreak/>
        <w:t>Residential Rates and Charges</w:t>
      </w:r>
    </w:p>
    <w:p w:rsidR="00CA3B4F" w:rsidRDefault="00CA3B4F">
      <w:pPr>
        <w:pStyle w:val="BodyText"/>
      </w:pPr>
      <w:r>
        <w:t>The growth in property numbers for the residential base is 2.2% or 2,286 properties.</w:t>
      </w:r>
    </w:p>
    <w:p w:rsidR="00CA3B4F" w:rsidRDefault="00CA3B4F">
      <w:pPr>
        <w:pStyle w:val="BodyText"/>
      </w:pPr>
      <w:r>
        <w:t xml:space="preserve">The average CIV of residential properties within the municipality has increased from $400,322 to $401,730. </w:t>
      </w:r>
    </w:p>
    <w:p w:rsidR="00CA3B4F" w:rsidRDefault="00CA3B4F">
      <w:pPr>
        <w:pStyle w:val="BodyText"/>
      </w:pPr>
      <w:r>
        <w:t>The increase in the rate in the dollar for the residential differential is 2.0%.</w:t>
      </w:r>
    </w:p>
    <w:p w:rsidR="00CA3B4F" w:rsidRDefault="00CA3B4F">
      <w:pPr>
        <w:pStyle w:val="BodyText"/>
      </w:pPr>
      <w:r>
        <w:t>Therefore, the increase in Residential Rates and Charges for the average property with a CIV of $401,730 is $35.39 or 2.41%.</w:t>
      </w:r>
    </w:p>
    <w:p w:rsidR="00CA3B4F" w:rsidRDefault="00227352">
      <w:pPr>
        <w:pStyle w:val="BodyText"/>
      </w:pPr>
      <w:r w:rsidRPr="00E60EA6">
        <w:rPr>
          <w:snapToGrid/>
          <w:lang w:val="en-AU"/>
        </w:rPr>
        <w:drawing>
          <wp:inline distT="0" distB="0" distL="0" distR="0">
            <wp:extent cx="4286250" cy="1724025"/>
            <wp:effectExtent l="0" t="0" r="0" b="0"/>
            <wp:docPr id="27"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286250" cy="1724025"/>
                    </a:xfrm>
                    <a:prstGeom prst="rect">
                      <a:avLst/>
                    </a:prstGeom>
                    <a:noFill/>
                    <a:ln>
                      <a:noFill/>
                    </a:ln>
                  </pic:spPr>
                </pic:pic>
              </a:graphicData>
            </a:graphic>
          </wp:inline>
        </w:drawing>
      </w:r>
    </w:p>
    <w:p w:rsidR="00CA3B4F" w:rsidRDefault="00CA3B4F">
      <w:pPr>
        <w:pStyle w:val="BodyText"/>
      </w:pPr>
      <w:r>
        <w:t>As 2017-18 is not a revaluation year, a number of properties will have the same valuation from 2016-17 to 2017-18. With no change to the the average CIV of $400,322 from 2016-17, the rates payable will increase by the rate cap of 2.0%.</w:t>
      </w:r>
    </w:p>
    <w:p w:rsidR="00CA3B4F" w:rsidRDefault="00227352">
      <w:pPr>
        <w:pStyle w:val="BodyText"/>
      </w:pPr>
      <w:r>
        <w:rPr>
          <w:lang w:val="en-AU"/>
        </w:rPr>
        <mc:AlternateContent>
          <mc:Choice Requires="wpc">
            <w:drawing>
              <wp:inline distT="0" distB="0" distL="0" distR="0">
                <wp:extent cx="6105525" cy="1403350"/>
                <wp:effectExtent l="9525" t="9525" r="0" b="0"/>
                <wp:docPr id="105" name="Canvas 1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Rectangle 108"/>
                        <wps:cNvSpPr>
                          <a:spLocks noChangeArrowheads="1"/>
                        </wps:cNvSpPr>
                        <wps:spPr bwMode="auto">
                          <a:xfrm>
                            <a:off x="0" y="0"/>
                            <a:ext cx="5998847" cy="255074"/>
                          </a:xfrm>
                          <a:prstGeom prst="rect">
                            <a:avLst/>
                          </a:prstGeom>
                          <a:solidFill>
                            <a:srgbClr val="8DB4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109"/>
                        <wps:cNvSpPr>
                          <a:spLocks noChangeArrowheads="1"/>
                        </wps:cNvSpPr>
                        <wps:spPr bwMode="auto">
                          <a:xfrm>
                            <a:off x="40006" y="13336"/>
                            <a:ext cx="911860" cy="258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9" w:rsidRDefault="005F1279" w:rsidP="00CA3B4F">
                              <w:r>
                                <w:rPr>
                                  <w:rFonts w:ascii="Arial Narrow" w:hAnsi="Arial Narrow" w:cs="Arial Narrow"/>
                                  <w:b/>
                                  <w:bCs/>
                                  <w:color w:val="000000"/>
                                  <w:sz w:val="18"/>
                                  <w:szCs w:val="18"/>
                                  <w:lang w:val="en-US"/>
                                </w:rPr>
                                <w:t xml:space="preserve">Residential Property </w:t>
                              </w:r>
                            </w:p>
                          </w:txbxContent>
                        </wps:txbx>
                        <wps:bodyPr rot="0" vert="horz" wrap="none" lIns="0" tIns="0" rIns="0" bIns="0" anchor="t" anchorCtr="0" upright="1">
                          <a:spAutoFit/>
                        </wps:bodyPr>
                      </wps:wsp>
                      <wps:wsp>
                        <wps:cNvPr id="4" name="Rectangle 110"/>
                        <wps:cNvSpPr>
                          <a:spLocks noChangeArrowheads="1"/>
                        </wps:cNvSpPr>
                        <wps:spPr bwMode="auto">
                          <a:xfrm>
                            <a:off x="2973071" y="13336"/>
                            <a:ext cx="344169" cy="258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9" w:rsidRDefault="005F1279" w:rsidP="00CA3B4F">
                              <w:r>
                                <w:rPr>
                                  <w:rFonts w:ascii="Arial Narrow" w:hAnsi="Arial Narrow" w:cs="Arial Narrow"/>
                                  <w:b/>
                                  <w:bCs/>
                                  <w:color w:val="000000"/>
                                  <w:sz w:val="18"/>
                                  <w:szCs w:val="18"/>
                                  <w:lang w:val="en-US"/>
                                </w:rPr>
                                <w:t>2016-17</w:t>
                              </w:r>
                            </w:p>
                          </w:txbxContent>
                        </wps:txbx>
                        <wps:bodyPr rot="0" vert="horz" wrap="none" lIns="0" tIns="0" rIns="0" bIns="0" anchor="t" anchorCtr="0" upright="1">
                          <a:spAutoFit/>
                        </wps:bodyPr>
                      </wps:wsp>
                      <wps:wsp>
                        <wps:cNvPr id="5" name="Rectangle 111"/>
                        <wps:cNvSpPr>
                          <a:spLocks noChangeArrowheads="1"/>
                        </wps:cNvSpPr>
                        <wps:spPr bwMode="auto">
                          <a:xfrm>
                            <a:off x="3945889" y="13336"/>
                            <a:ext cx="344170" cy="258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9" w:rsidRDefault="005F1279" w:rsidP="00CA3B4F">
                              <w:r>
                                <w:rPr>
                                  <w:rFonts w:ascii="Arial Narrow" w:hAnsi="Arial Narrow" w:cs="Arial Narrow"/>
                                  <w:b/>
                                  <w:bCs/>
                                  <w:color w:val="000000"/>
                                  <w:sz w:val="18"/>
                                  <w:szCs w:val="18"/>
                                  <w:lang w:val="en-US"/>
                                </w:rPr>
                                <w:t>2017-18</w:t>
                              </w:r>
                            </w:p>
                          </w:txbxContent>
                        </wps:txbx>
                        <wps:bodyPr rot="0" vert="horz" wrap="none" lIns="0" tIns="0" rIns="0" bIns="0" anchor="t" anchorCtr="0" upright="1">
                          <a:spAutoFit/>
                        </wps:bodyPr>
                      </wps:wsp>
                      <wps:wsp>
                        <wps:cNvPr id="6" name="Rectangle 112"/>
                        <wps:cNvSpPr>
                          <a:spLocks noChangeArrowheads="1"/>
                        </wps:cNvSpPr>
                        <wps:spPr bwMode="auto">
                          <a:xfrm>
                            <a:off x="4531996" y="13336"/>
                            <a:ext cx="485139" cy="258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9" w:rsidRDefault="005F1279" w:rsidP="00CA3B4F">
                              <w:r>
                                <w:rPr>
                                  <w:rFonts w:ascii="Arial Narrow" w:hAnsi="Arial Narrow" w:cs="Arial Narrow"/>
                                  <w:b/>
                                  <w:bCs/>
                                  <w:color w:val="000000"/>
                                  <w:sz w:val="18"/>
                                  <w:szCs w:val="18"/>
                                  <w:lang w:val="en-US"/>
                                </w:rPr>
                                <w:t xml:space="preserve"> Increase $ </w:t>
                              </w:r>
                            </w:p>
                          </w:txbxContent>
                        </wps:txbx>
                        <wps:bodyPr rot="0" vert="horz" wrap="none" lIns="0" tIns="0" rIns="0" bIns="0" anchor="t" anchorCtr="0" upright="1">
                          <a:spAutoFit/>
                        </wps:bodyPr>
                      </wps:wsp>
                      <wps:wsp>
                        <wps:cNvPr id="19" name="Rectangle 113"/>
                        <wps:cNvSpPr>
                          <a:spLocks noChangeArrowheads="1"/>
                        </wps:cNvSpPr>
                        <wps:spPr bwMode="auto">
                          <a:xfrm>
                            <a:off x="5292090" y="13336"/>
                            <a:ext cx="490219" cy="258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9" w:rsidRDefault="005F1279" w:rsidP="00CA3B4F">
                              <w:r>
                                <w:rPr>
                                  <w:rFonts w:ascii="Arial Narrow" w:hAnsi="Arial Narrow" w:cs="Arial Narrow"/>
                                  <w:b/>
                                  <w:bCs/>
                                  <w:color w:val="000000"/>
                                  <w:sz w:val="18"/>
                                  <w:szCs w:val="18"/>
                                  <w:lang w:val="en-US"/>
                                </w:rPr>
                                <w:t>Increase %</w:t>
                              </w:r>
                            </w:p>
                          </w:txbxContent>
                        </wps:txbx>
                        <wps:bodyPr rot="0" vert="horz" wrap="none" lIns="0" tIns="0" rIns="0" bIns="0" anchor="t" anchorCtr="0" upright="1">
                          <a:spAutoFit/>
                        </wps:bodyPr>
                      </wps:wsp>
                      <wps:wsp>
                        <wps:cNvPr id="39" name="Rectangle 114"/>
                        <wps:cNvSpPr>
                          <a:spLocks noChangeArrowheads="1"/>
                        </wps:cNvSpPr>
                        <wps:spPr bwMode="auto">
                          <a:xfrm>
                            <a:off x="40006" y="255270"/>
                            <a:ext cx="1325879" cy="302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9" w:rsidRDefault="005F1279" w:rsidP="00CA3B4F">
                              <w:r>
                                <w:rPr>
                                  <w:rFonts w:cs="Lucida Sans Unicode"/>
                                  <w:color w:val="000000"/>
                                  <w:sz w:val="18"/>
                                  <w:szCs w:val="18"/>
                                  <w:lang w:val="en-US"/>
                                </w:rPr>
                                <w:t>CIV 400,322 x Rate in $</w:t>
                              </w:r>
                            </w:p>
                          </w:txbxContent>
                        </wps:txbx>
                        <wps:bodyPr rot="0" vert="horz" wrap="none" lIns="0" tIns="0" rIns="0" bIns="0" anchor="t" anchorCtr="0" upright="1">
                          <a:spAutoFit/>
                        </wps:bodyPr>
                      </wps:wsp>
                      <wps:wsp>
                        <wps:cNvPr id="40" name="Rectangle 115"/>
                        <wps:cNvSpPr>
                          <a:spLocks noChangeArrowheads="1"/>
                        </wps:cNvSpPr>
                        <wps:spPr bwMode="auto">
                          <a:xfrm>
                            <a:off x="2666365" y="255270"/>
                            <a:ext cx="506095" cy="302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9" w:rsidRDefault="005F1279" w:rsidP="00CA3B4F">
                              <w:r>
                                <w:rPr>
                                  <w:rFonts w:cs="Lucida Sans Unicode"/>
                                  <w:color w:val="000000"/>
                                  <w:sz w:val="18"/>
                                  <w:szCs w:val="18"/>
                                  <w:lang w:val="en-US"/>
                                </w:rPr>
                                <w:t>1,096.41</w:t>
                              </w:r>
                            </w:p>
                          </w:txbxContent>
                        </wps:txbx>
                        <wps:bodyPr rot="0" vert="horz" wrap="none" lIns="0" tIns="0" rIns="0" bIns="0" anchor="t" anchorCtr="0" upright="1">
                          <a:spAutoFit/>
                        </wps:bodyPr>
                      </wps:wsp>
                      <wps:wsp>
                        <wps:cNvPr id="41" name="Rectangle 116"/>
                        <wps:cNvSpPr>
                          <a:spLocks noChangeArrowheads="1"/>
                        </wps:cNvSpPr>
                        <wps:spPr bwMode="auto">
                          <a:xfrm>
                            <a:off x="3639185" y="255270"/>
                            <a:ext cx="506095" cy="302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9" w:rsidRDefault="005F1279" w:rsidP="00CA3B4F">
                              <w:r>
                                <w:rPr>
                                  <w:rFonts w:cs="Lucida Sans Unicode"/>
                                  <w:color w:val="000000"/>
                                  <w:sz w:val="18"/>
                                  <w:szCs w:val="18"/>
                                  <w:lang w:val="en-US"/>
                                </w:rPr>
                                <w:t>1,118.50</w:t>
                              </w:r>
                            </w:p>
                          </w:txbxContent>
                        </wps:txbx>
                        <wps:bodyPr rot="0" vert="horz" wrap="none" lIns="0" tIns="0" rIns="0" bIns="0" anchor="t" anchorCtr="0" upright="1">
                          <a:spAutoFit/>
                        </wps:bodyPr>
                      </wps:wsp>
                      <wps:wsp>
                        <wps:cNvPr id="42" name="Rectangle 117"/>
                        <wps:cNvSpPr>
                          <a:spLocks noChangeArrowheads="1"/>
                        </wps:cNvSpPr>
                        <wps:spPr bwMode="auto">
                          <a:xfrm>
                            <a:off x="4545330" y="255270"/>
                            <a:ext cx="434340" cy="302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9" w:rsidRDefault="005F1279" w:rsidP="00CA3B4F">
                              <w:r>
                                <w:rPr>
                                  <w:rFonts w:cs="Lucida Sans Unicode"/>
                                  <w:color w:val="000000"/>
                                  <w:sz w:val="18"/>
                                  <w:szCs w:val="18"/>
                                  <w:lang w:val="en-US"/>
                                </w:rPr>
                                <w:t xml:space="preserve">   22.09 </w:t>
                              </w:r>
                            </w:p>
                          </w:txbxContent>
                        </wps:txbx>
                        <wps:bodyPr rot="0" vert="horz" wrap="none" lIns="0" tIns="0" rIns="0" bIns="0" anchor="t" anchorCtr="0" upright="1">
                          <a:spAutoFit/>
                        </wps:bodyPr>
                      </wps:wsp>
                      <wps:wsp>
                        <wps:cNvPr id="43" name="Rectangle 118"/>
                        <wps:cNvSpPr>
                          <a:spLocks noChangeArrowheads="1"/>
                        </wps:cNvSpPr>
                        <wps:spPr bwMode="auto">
                          <a:xfrm>
                            <a:off x="5585460" y="255270"/>
                            <a:ext cx="257176" cy="302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9" w:rsidRDefault="005F1279" w:rsidP="00CA3B4F">
                              <w:r>
                                <w:rPr>
                                  <w:rFonts w:cs="Lucida Sans Unicode"/>
                                  <w:color w:val="000000"/>
                                  <w:sz w:val="18"/>
                                  <w:szCs w:val="18"/>
                                  <w:lang w:val="en-US"/>
                                </w:rPr>
                                <w:t>2.0%</w:t>
                              </w:r>
                            </w:p>
                          </w:txbxContent>
                        </wps:txbx>
                        <wps:bodyPr rot="0" vert="horz" wrap="none" lIns="0" tIns="0" rIns="0" bIns="0" anchor="t" anchorCtr="0" upright="1">
                          <a:spAutoFit/>
                        </wps:bodyPr>
                      </wps:wsp>
                      <wps:wsp>
                        <wps:cNvPr id="44" name="Rectangle 119"/>
                        <wps:cNvSpPr>
                          <a:spLocks noChangeArrowheads="1"/>
                        </wps:cNvSpPr>
                        <wps:spPr bwMode="auto">
                          <a:xfrm>
                            <a:off x="40006" y="495934"/>
                            <a:ext cx="964565" cy="302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9" w:rsidRDefault="005F1279" w:rsidP="00CA3B4F">
                              <w:r>
                                <w:rPr>
                                  <w:rFonts w:cs="Lucida Sans Unicode"/>
                                  <w:color w:val="000000"/>
                                  <w:sz w:val="18"/>
                                  <w:szCs w:val="18"/>
                                  <w:lang w:val="en-US"/>
                                </w:rPr>
                                <w:t>Municipal Charge</w:t>
                              </w:r>
                            </w:p>
                          </w:txbxContent>
                        </wps:txbx>
                        <wps:bodyPr rot="0" vert="horz" wrap="none" lIns="0" tIns="0" rIns="0" bIns="0" anchor="t" anchorCtr="0" upright="1">
                          <a:spAutoFit/>
                        </wps:bodyPr>
                      </wps:wsp>
                      <wps:wsp>
                        <wps:cNvPr id="45" name="Rectangle 120"/>
                        <wps:cNvSpPr>
                          <a:spLocks noChangeArrowheads="1"/>
                        </wps:cNvSpPr>
                        <wps:spPr bwMode="auto">
                          <a:xfrm>
                            <a:off x="2933065" y="495934"/>
                            <a:ext cx="325755" cy="302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9" w:rsidRDefault="005F1279" w:rsidP="00CA3B4F">
                              <w:r>
                                <w:rPr>
                                  <w:rFonts w:cs="Lucida Sans Unicode"/>
                                  <w:color w:val="000000"/>
                                  <w:sz w:val="18"/>
                                  <w:szCs w:val="18"/>
                                  <w:lang w:val="en-US"/>
                                </w:rPr>
                                <w:t>96.65</w:t>
                              </w:r>
                            </w:p>
                          </w:txbxContent>
                        </wps:txbx>
                        <wps:bodyPr rot="0" vert="horz" wrap="none" lIns="0" tIns="0" rIns="0" bIns="0" anchor="t" anchorCtr="0" upright="1">
                          <a:spAutoFit/>
                        </wps:bodyPr>
                      </wps:wsp>
                      <wps:wsp>
                        <wps:cNvPr id="46" name="Rectangle 121"/>
                        <wps:cNvSpPr>
                          <a:spLocks noChangeArrowheads="1"/>
                        </wps:cNvSpPr>
                        <wps:spPr bwMode="auto">
                          <a:xfrm>
                            <a:off x="3905885" y="495934"/>
                            <a:ext cx="325755" cy="302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9" w:rsidRDefault="005F1279" w:rsidP="00CA3B4F">
                              <w:r>
                                <w:rPr>
                                  <w:rFonts w:cs="Lucida Sans Unicode"/>
                                  <w:color w:val="000000"/>
                                  <w:sz w:val="18"/>
                                  <w:szCs w:val="18"/>
                                  <w:lang w:val="en-US"/>
                                </w:rPr>
                                <w:t>98.55</w:t>
                              </w:r>
                            </w:p>
                          </w:txbxContent>
                        </wps:txbx>
                        <wps:bodyPr rot="0" vert="horz" wrap="none" lIns="0" tIns="0" rIns="0" bIns="0" anchor="t" anchorCtr="0" upright="1">
                          <a:spAutoFit/>
                        </wps:bodyPr>
                      </wps:wsp>
                      <wps:wsp>
                        <wps:cNvPr id="47" name="Rectangle 122"/>
                        <wps:cNvSpPr>
                          <a:spLocks noChangeArrowheads="1"/>
                        </wps:cNvSpPr>
                        <wps:spPr bwMode="auto">
                          <a:xfrm>
                            <a:off x="4545330" y="495934"/>
                            <a:ext cx="434340" cy="302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9" w:rsidRDefault="005F1279" w:rsidP="00CA3B4F">
                              <w:r>
                                <w:rPr>
                                  <w:rFonts w:cs="Lucida Sans Unicode"/>
                                  <w:color w:val="000000"/>
                                  <w:sz w:val="18"/>
                                  <w:szCs w:val="18"/>
                                  <w:lang w:val="en-US"/>
                                </w:rPr>
                                <w:t xml:space="preserve">     1.90 </w:t>
                              </w:r>
                            </w:p>
                          </w:txbxContent>
                        </wps:txbx>
                        <wps:bodyPr rot="0" vert="horz" wrap="none" lIns="0" tIns="0" rIns="0" bIns="0" anchor="t" anchorCtr="0" upright="1">
                          <a:spAutoFit/>
                        </wps:bodyPr>
                      </wps:wsp>
                      <wps:wsp>
                        <wps:cNvPr id="48" name="Rectangle 123"/>
                        <wps:cNvSpPr>
                          <a:spLocks noChangeArrowheads="1"/>
                        </wps:cNvSpPr>
                        <wps:spPr bwMode="auto">
                          <a:xfrm>
                            <a:off x="5585460" y="495934"/>
                            <a:ext cx="257176" cy="302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9" w:rsidRDefault="005F1279" w:rsidP="00CA3B4F">
                              <w:r>
                                <w:rPr>
                                  <w:rFonts w:cs="Lucida Sans Unicode"/>
                                  <w:color w:val="000000"/>
                                  <w:sz w:val="18"/>
                                  <w:szCs w:val="18"/>
                                  <w:lang w:val="en-US"/>
                                </w:rPr>
                                <w:t>2.0%</w:t>
                              </w:r>
                            </w:p>
                          </w:txbxContent>
                        </wps:txbx>
                        <wps:bodyPr rot="0" vert="horz" wrap="none" lIns="0" tIns="0" rIns="0" bIns="0" anchor="t" anchorCtr="0" upright="1">
                          <a:spAutoFit/>
                        </wps:bodyPr>
                      </wps:wsp>
                      <wps:wsp>
                        <wps:cNvPr id="49" name="Rectangle 124"/>
                        <wps:cNvSpPr>
                          <a:spLocks noChangeArrowheads="1"/>
                        </wps:cNvSpPr>
                        <wps:spPr bwMode="auto">
                          <a:xfrm>
                            <a:off x="53340" y="737870"/>
                            <a:ext cx="1169034"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9" w:rsidRDefault="005F1279" w:rsidP="00CA3B4F">
                              <w:r>
                                <w:rPr>
                                  <w:rFonts w:cs="Lucida Sans Unicode"/>
                                  <w:b/>
                                  <w:bCs/>
                                  <w:color w:val="000000"/>
                                  <w:sz w:val="18"/>
                                  <w:szCs w:val="18"/>
                                  <w:lang w:val="en-US"/>
                                </w:rPr>
                                <w:t xml:space="preserve">Total Rates including </w:t>
                              </w:r>
                            </w:p>
                          </w:txbxContent>
                        </wps:txbx>
                        <wps:bodyPr rot="0" vert="horz" wrap="none" lIns="0" tIns="0" rIns="0" bIns="0" anchor="t" anchorCtr="0" upright="1">
                          <a:spAutoFit/>
                        </wps:bodyPr>
                      </wps:wsp>
                      <wps:wsp>
                        <wps:cNvPr id="50" name="Rectangle 125"/>
                        <wps:cNvSpPr>
                          <a:spLocks noChangeArrowheads="1"/>
                        </wps:cNvSpPr>
                        <wps:spPr bwMode="auto">
                          <a:xfrm>
                            <a:off x="53340" y="979170"/>
                            <a:ext cx="96520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9" w:rsidRDefault="005F1279" w:rsidP="00CA3B4F">
                              <w:r>
                                <w:rPr>
                                  <w:rFonts w:cs="Lucida Sans Unicode"/>
                                  <w:b/>
                                  <w:bCs/>
                                  <w:color w:val="000000"/>
                                  <w:sz w:val="18"/>
                                  <w:szCs w:val="18"/>
                                  <w:lang w:val="en-US"/>
                                </w:rPr>
                                <w:t>Municipal Charge</w:t>
                              </w:r>
                            </w:p>
                          </w:txbxContent>
                        </wps:txbx>
                        <wps:bodyPr rot="0" vert="horz" wrap="none" lIns="0" tIns="0" rIns="0" bIns="0" anchor="t" anchorCtr="0" upright="1">
                          <a:spAutoFit/>
                        </wps:bodyPr>
                      </wps:wsp>
                      <wps:wsp>
                        <wps:cNvPr id="51" name="Rectangle 126"/>
                        <wps:cNvSpPr>
                          <a:spLocks noChangeArrowheads="1"/>
                        </wps:cNvSpPr>
                        <wps:spPr bwMode="auto">
                          <a:xfrm>
                            <a:off x="2546350" y="979170"/>
                            <a:ext cx="506731"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9" w:rsidRDefault="005F1279" w:rsidP="00CA3B4F">
                              <w:r>
                                <w:rPr>
                                  <w:rFonts w:cs="Lucida Sans Unicode"/>
                                  <w:b/>
                                  <w:bCs/>
                                  <w:color w:val="000000"/>
                                  <w:sz w:val="18"/>
                                  <w:szCs w:val="18"/>
                                  <w:lang w:val="en-US"/>
                                </w:rPr>
                                <w:t>1,193.06</w:t>
                              </w:r>
                            </w:p>
                          </w:txbxContent>
                        </wps:txbx>
                        <wps:bodyPr rot="0" vert="horz" wrap="none" lIns="0" tIns="0" rIns="0" bIns="0" anchor="t" anchorCtr="0" upright="1">
                          <a:spAutoFit/>
                        </wps:bodyPr>
                      </wps:wsp>
                      <wps:wsp>
                        <wps:cNvPr id="52" name="Rectangle 127"/>
                        <wps:cNvSpPr>
                          <a:spLocks noChangeArrowheads="1"/>
                        </wps:cNvSpPr>
                        <wps:spPr bwMode="auto">
                          <a:xfrm>
                            <a:off x="3519170" y="979170"/>
                            <a:ext cx="506731"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9" w:rsidRDefault="005F1279" w:rsidP="00CA3B4F">
                              <w:r>
                                <w:rPr>
                                  <w:rFonts w:cs="Lucida Sans Unicode"/>
                                  <w:b/>
                                  <w:bCs/>
                                  <w:color w:val="000000"/>
                                  <w:sz w:val="18"/>
                                  <w:szCs w:val="18"/>
                                  <w:lang w:val="en-US"/>
                                </w:rPr>
                                <w:t>1,217.05</w:t>
                              </w:r>
                            </w:p>
                          </w:txbxContent>
                        </wps:txbx>
                        <wps:bodyPr rot="0" vert="horz" wrap="none" lIns="0" tIns="0" rIns="0" bIns="0" anchor="t" anchorCtr="0" upright="1">
                          <a:spAutoFit/>
                        </wps:bodyPr>
                      </wps:wsp>
                      <wps:wsp>
                        <wps:cNvPr id="53" name="Rectangle 128"/>
                        <wps:cNvSpPr>
                          <a:spLocks noChangeArrowheads="1"/>
                        </wps:cNvSpPr>
                        <wps:spPr bwMode="auto">
                          <a:xfrm>
                            <a:off x="4558665" y="979170"/>
                            <a:ext cx="36195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9" w:rsidRDefault="005F1279" w:rsidP="00CA3B4F">
                              <w:r>
                                <w:rPr>
                                  <w:rFonts w:cs="Lucida Sans Unicode"/>
                                  <w:b/>
                                  <w:bCs/>
                                  <w:color w:val="000000"/>
                                  <w:sz w:val="18"/>
                                  <w:szCs w:val="18"/>
                                  <w:lang w:val="en-US"/>
                                </w:rPr>
                                <w:t xml:space="preserve"> 23.99 </w:t>
                              </w:r>
                            </w:p>
                          </w:txbxContent>
                        </wps:txbx>
                        <wps:bodyPr rot="0" vert="horz" wrap="none" lIns="0" tIns="0" rIns="0" bIns="0" anchor="t" anchorCtr="0" upright="1">
                          <a:spAutoFit/>
                        </wps:bodyPr>
                      </wps:wsp>
                      <wps:wsp>
                        <wps:cNvPr id="54" name="Rectangle 129"/>
                        <wps:cNvSpPr>
                          <a:spLocks noChangeArrowheads="1"/>
                        </wps:cNvSpPr>
                        <wps:spPr bwMode="auto">
                          <a:xfrm>
                            <a:off x="5518785" y="979170"/>
                            <a:ext cx="25781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9" w:rsidRDefault="005F1279" w:rsidP="00CA3B4F">
                              <w:r>
                                <w:rPr>
                                  <w:rFonts w:cs="Lucida Sans Unicode"/>
                                  <w:b/>
                                  <w:bCs/>
                                  <w:color w:val="000000"/>
                                  <w:sz w:val="18"/>
                                  <w:szCs w:val="18"/>
                                  <w:lang w:val="en-US"/>
                                </w:rPr>
                                <w:t>2.0%</w:t>
                              </w:r>
                            </w:p>
                          </w:txbxContent>
                        </wps:txbx>
                        <wps:bodyPr rot="0" vert="horz" wrap="none" lIns="0" tIns="0" rIns="0" bIns="0" anchor="t" anchorCtr="0" upright="1">
                          <a:spAutoFit/>
                        </wps:bodyPr>
                      </wps:wsp>
                      <wps:wsp>
                        <wps:cNvPr id="55" name="Rectangle 130"/>
                        <wps:cNvSpPr>
                          <a:spLocks noChangeArrowheads="1"/>
                        </wps:cNvSpPr>
                        <wps:spPr bwMode="auto">
                          <a:xfrm>
                            <a:off x="0" y="0"/>
                            <a:ext cx="13335" cy="88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131"/>
                        <wps:cNvSpPr>
                          <a:spLocks noChangeArrowheads="1"/>
                        </wps:cNvSpPr>
                        <wps:spPr bwMode="auto">
                          <a:xfrm>
                            <a:off x="2466035" y="0"/>
                            <a:ext cx="13335" cy="88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132"/>
                        <wps:cNvSpPr>
                          <a:spLocks noChangeArrowheads="1"/>
                        </wps:cNvSpPr>
                        <wps:spPr bwMode="auto">
                          <a:xfrm>
                            <a:off x="3439469" y="0"/>
                            <a:ext cx="13335" cy="88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133"/>
                        <wps:cNvSpPr>
                          <a:spLocks noChangeArrowheads="1"/>
                        </wps:cNvSpPr>
                        <wps:spPr bwMode="auto">
                          <a:xfrm>
                            <a:off x="4412015" y="0"/>
                            <a:ext cx="13335" cy="88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134"/>
                        <wps:cNvSpPr>
                          <a:spLocks noChangeArrowheads="1"/>
                        </wps:cNvSpPr>
                        <wps:spPr bwMode="auto">
                          <a:xfrm>
                            <a:off x="5212099" y="0"/>
                            <a:ext cx="13335" cy="88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135"/>
                        <wps:cNvCnPr>
                          <a:cxnSpLocks noChangeShapeType="1"/>
                        </wps:cNvCnPr>
                        <wps:spPr bwMode="auto">
                          <a:xfrm>
                            <a:off x="13335" y="0"/>
                            <a:ext cx="5985512" cy="88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136"/>
                        <wps:cNvSpPr>
                          <a:spLocks noChangeArrowheads="1"/>
                        </wps:cNvSpPr>
                        <wps:spPr bwMode="auto">
                          <a:xfrm>
                            <a:off x="13335" y="0"/>
                            <a:ext cx="5985512" cy="133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137"/>
                        <wps:cNvSpPr>
                          <a:spLocks noChangeArrowheads="1"/>
                        </wps:cNvSpPr>
                        <wps:spPr bwMode="auto">
                          <a:xfrm>
                            <a:off x="5985512" y="0"/>
                            <a:ext cx="13335" cy="88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138"/>
                        <wps:cNvCnPr>
                          <a:cxnSpLocks noChangeShapeType="1"/>
                        </wps:cNvCnPr>
                        <wps:spPr bwMode="auto">
                          <a:xfrm>
                            <a:off x="13335" y="241742"/>
                            <a:ext cx="5985512" cy="88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 name="Rectangle 139"/>
                        <wps:cNvSpPr>
                          <a:spLocks noChangeArrowheads="1"/>
                        </wps:cNvSpPr>
                        <wps:spPr bwMode="auto">
                          <a:xfrm>
                            <a:off x="13335" y="241742"/>
                            <a:ext cx="5985512" cy="133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140"/>
                        <wps:cNvCnPr>
                          <a:cxnSpLocks noChangeShapeType="1"/>
                        </wps:cNvCnPr>
                        <wps:spPr bwMode="auto">
                          <a:xfrm>
                            <a:off x="13335" y="482596"/>
                            <a:ext cx="5985512" cy="88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 name="Rectangle 141"/>
                        <wps:cNvSpPr>
                          <a:spLocks noChangeArrowheads="1"/>
                        </wps:cNvSpPr>
                        <wps:spPr bwMode="auto">
                          <a:xfrm>
                            <a:off x="13335" y="482596"/>
                            <a:ext cx="5985512" cy="133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142"/>
                        <wps:cNvCnPr>
                          <a:cxnSpLocks noChangeShapeType="1"/>
                        </wps:cNvCnPr>
                        <wps:spPr bwMode="auto">
                          <a:xfrm>
                            <a:off x="13335" y="724338"/>
                            <a:ext cx="5985512" cy="88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 name="Rectangle 143"/>
                        <wps:cNvSpPr>
                          <a:spLocks noChangeArrowheads="1"/>
                        </wps:cNvSpPr>
                        <wps:spPr bwMode="auto">
                          <a:xfrm>
                            <a:off x="13335" y="724338"/>
                            <a:ext cx="5985512" cy="133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144"/>
                        <wps:cNvCnPr>
                          <a:cxnSpLocks noChangeShapeType="1"/>
                        </wps:cNvCnPr>
                        <wps:spPr bwMode="auto">
                          <a:xfrm>
                            <a:off x="0" y="0"/>
                            <a:ext cx="889" cy="122026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 name="Rectangle 145"/>
                        <wps:cNvSpPr>
                          <a:spLocks noChangeArrowheads="1"/>
                        </wps:cNvSpPr>
                        <wps:spPr bwMode="auto">
                          <a:xfrm>
                            <a:off x="0" y="0"/>
                            <a:ext cx="13335" cy="122026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Line 146"/>
                        <wps:cNvCnPr>
                          <a:cxnSpLocks noChangeShapeType="1"/>
                        </wps:cNvCnPr>
                        <wps:spPr bwMode="auto">
                          <a:xfrm>
                            <a:off x="2466035" y="13331"/>
                            <a:ext cx="889" cy="120693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147"/>
                        <wps:cNvSpPr>
                          <a:spLocks noChangeArrowheads="1"/>
                        </wps:cNvSpPr>
                        <wps:spPr bwMode="auto">
                          <a:xfrm>
                            <a:off x="2466035" y="13331"/>
                            <a:ext cx="13335" cy="12069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148"/>
                        <wps:cNvCnPr>
                          <a:cxnSpLocks noChangeShapeType="1"/>
                        </wps:cNvCnPr>
                        <wps:spPr bwMode="auto">
                          <a:xfrm>
                            <a:off x="3439469" y="13331"/>
                            <a:ext cx="889" cy="120693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 name="Rectangle 149"/>
                        <wps:cNvSpPr>
                          <a:spLocks noChangeArrowheads="1"/>
                        </wps:cNvSpPr>
                        <wps:spPr bwMode="auto">
                          <a:xfrm>
                            <a:off x="3439469" y="13331"/>
                            <a:ext cx="13335" cy="12069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Line 150"/>
                        <wps:cNvCnPr>
                          <a:cxnSpLocks noChangeShapeType="1"/>
                        </wps:cNvCnPr>
                        <wps:spPr bwMode="auto">
                          <a:xfrm>
                            <a:off x="4412015" y="13331"/>
                            <a:ext cx="889" cy="120693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 name="Rectangle 151"/>
                        <wps:cNvSpPr>
                          <a:spLocks noChangeArrowheads="1"/>
                        </wps:cNvSpPr>
                        <wps:spPr bwMode="auto">
                          <a:xfrm>
                            <a:off x="4412015" y="13331"/>
                            <a:ext cx="13335" cy="12069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152"/>
                        <wps:cNvCnPr>
                          <a:cxnSpLocks noChangeShapeType="1"/>
                        </wps:cNvCnPr>
                        <wps:spPr bwMode="auto">
                          <a:xfrm>
                            <a:off x="5212099" y="13331"/>
                            <a:ext cx="889" cy="120693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 name="Rectangle 153"/>
                        <wps:cNvSpPr>
                          <a:spLocks noChangeArrowheads="1"/>
                        </wps:cNvSpPr>
                        <wps:spPr bwMode="auto">
                          <a:xfrm>
                            <a:off x="5212099" y="13331"/>
                            <a:ext cx="13335" cy="12069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154"/>
                        <wps:cNvCnPr>
                          <a:cxnSpLocks noChangeShapeType="1"/>
                        </wps:cNvCnPr>
                        <wps:spPr bwMode="auto">
                          <a:xfrm>
                            <a:off x="13335" y="1206934"/>
                            <a:ext cx="5985512" cy="88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 name="Rectangle 155"/>
                        <wps:cNvSpPr>
                          <a:spLocks noChangeArrowheads="1"/>
                        </wps:cNvSpPr>
                        <wps:spPr bwMode="auto">
                          <a:xfrm>
                            <a:off x="13335" y="1206934"/>
                            <a:ext cx="5985512" cy="133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156"/>
                        <wps:cNvCnPr>
                          <a:cxnSpLocks noChangeShapeType="1"/>
                        </wps:cNvCnPr>
                        <wps:spPr bwMode="auto">
                          <a:xfrm>
                            <a:off x="5985512" y="13331"/>
                            <a:ext cx="889" cy="120693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 name="Rectangle 157"/>
                        <wps:cNvSpPr>
                          <a:spLocks noChangeArrowheads="1"/>
                        </wps:cNvSpPr>
                        <wps:spPr bwMode="auto">
                          <a:xfrm>
                            <a:off x="5985512" y="13331"/>
                            <a:ext cx="13335" cy="12069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158"/>
                        <wps:cNvCnPr>
                          <a:cxnSpLocks noChangeShapeType="1"/>
                        </wps:cNvCnPr>
                        <wps:spPr bwMode="auto">
                          <a:xfrm>
                            <a:off x="0" y="1220266"/>
                            <a:ext cx="889" cy="88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4" name="Rectangle 159"/>
                        <wps:cNvSpPr>
                          <a:spLocks noChangeArrowheads="1"/>
                        </wps:cNvSpPr>
                        <wps:spPr bwMode="auto">
                          <a:xfrm>
                            <a:off x="0" y="1220266"/>
                            <a:ext cx="13335" cy="1333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160"/>
                        <wps:cNvCnPr>
                          <a:cxnSpLocks noChangeShapeType="1"/>
                        </wps:cNvCnPr>
                        <wps:spPr bwMode="auto">
                          <a:xfrm>
                            <a:off x="2466035" y="1220266"/>
                            <a:ext cx="889" cy="88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6" name="Rectangle 161"/>
                        <wps:cNvSpPr>
                          <a:spLocks noChangeArrowheads="1"/>
                        </wps:cNvSpPr>
                        <wps:spPr bwMode="auto">
                          <a:xfrm>
                            <a:off x="2466035" y="1220266"/>
                            <a:ext cx="13335" cy="1333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162"/>
                        <wps:cNvCnPr>
                          <a:cxnSpLocks noChangeShapeType="1"/>
                        </wps:cNvCnPr>
                        <wps:spPr bwMode="auto">
                          <a:xfrm>
                            <a:off x="3439469" y="1220266"/>
                            <a:ext cx="889" cy="88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8" name="Rectangle 163"/>
                        <wps:cNvSpPr>
                          <a:spLocks noChangeArrowheads="1"/>
                        </wps:cNvSpPr>
                        <wps:spPr bwMode="auto">
                          <a:xfrm>
                            <a:off x="3439469" y="1220266"/>
                            <a:ext cx="13335" cy="1333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164"/>
                        <wps:cNvCnPr>
                          <a:cxnSpLocks noChangeShapeType="1"/>
                        </wps:cNvCnPr>
                        <wps:spPr bwMode="auto">
                          <a:xfrm>
                            <a:off x="4412015" y="1220266"/>
                            <a:ext cx="889" cy="88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0" name="Rectangle 165"/>
                        <wps:cNvSpPr>
                          <a:spLocks noChangeArrowheads="1"/>
                        </wps:cNvSpPr>
                        <wps:spPr bwMode="auto">
                          <a:xfrm>
                            <a:off x="4412015" y="1220266"/>
                            <a:ext cx="13335" cy="1333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166"/>
                        <wps:cNvCnPr>
                          <a:cxnSpLocks noChangeShapeType="1"/>
                        </wps:cNvCnPr>
                        <wps:spPr bwMode="auto">
                          <a:xfrm>
                            <a:off x="5212099" y="1220266"/>
                            <a:ext cx="889" cy="88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2" name="Rectangle 167"/>
                        <wps:cNvSpPr>
                          <a:spLocks noChangeArrowheads="1"/>
                        </wps:cNvSpPr>
                        <wps:spPr bwMode="auto">
                          <a:xfrm>
                            <a:off x="5212099" y="1220266"/>
                            <a:ext cx="13335" cy="1333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168"/>
                        <wps:cNvCnPr>
                          <a:cxnSpLocks noChangeShapeType="1"/>
                        </wps:cNvCnPr>
                        <wps:spPr bwMode="auto">
                          <a:xfrm>
                            <a:off x="5985512" y="1220266"/>
                            <a:ext cx="889" cy="88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4" name="Rectangle 169"/>
                        <wps:cNvSpPr>
                          <a:spLocks noChangeArrowheads="1"/>
                        </wps:cNvSpPr>
                        <wps:spPr bwMode="auto">
                          <a:xfrm>
                            <a:off x="5985512" y="1220266"/>
                            <a:ext cx="13335" cy="1333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170"/>
                        <wps:cNvCnPr>
                          <a:cxnSpLocks noChangeShapeType="1"/>
                        </wps:cNvCnPr>
                        <wps:spPr bwMode="auto">
                          <a:xfrm>
                            <a:off x="5998847" y="0"/>
                            <a:ext cx="889" cy="88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6" name="Rectangle 171"/>
                        <wps:cNvSpPr>
                          <a:spLocks noChangeArrowheads="1"/>
                        </wps:cNvSpPr>
                        <wps:spPr bwMode="auto">
                          <a:xfrm>
                            <a:off x="5998847" y="0"/>
                            <a:ext cx="13335" cy="1333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172"/>
                        <wps:cNvCnPr>
                          <a:cxnSpLocks noChangeShapeType="1"/>
                        </wps:cNvCnPr>
                        <wps:spPr bwMode="auto">
                          <a:xfrm>
                            <a:off x="5998847" y="241742"/>
                            <a:ext cx="889" cy="88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8" name="Rectangle 173"/>
                        <wps:cNvSpPr>
                          <a:spLocks noChangeArrowheads="1"/>
                        </wps:cNvSpPr>
                        <wps:spPr bwMode="auto">
                          <a:xfrm>
                            <a:off x="5998847" y="241742"/>
                            <a:ext cx="13335" cy="1333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174"/>
                        <wps:cNvCnPr>
                          <a:cxnSpLocks noChangeShapeType="1"/>
                        </wps:cNvCnPr>
                        <wps:spPr bwMode="auto">
                          <a:xfrm>
                            <a:off x="5998847" y="482596"/>
                            <a:ext cx="889" cy="88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0" name="Rectangle 175"/>
                        <wps:cNvSpPr>
                          <a:spLocks noChangeArrowheads="1"/>
                        </wps:cNvSpPr>
                        <wps:spPr bwMode="auto">
                          <a:xfrm>
                            <a:off x="5998847" y="482596"/>
                            <a:ext cx="13335" cy="1333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176"/>
                        <wps:cNvCnPr>
                          <a:cxnSpLocks noChangeShapeType="1"/>
                        </wps:cNvCnPr>
                        <wps:spPr bwMode="auto">
                          <a:xfrm>
                            <a:off x="5998847" y="724338"/>
                            <a:ext cx="889" cy="88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2" name="Rectangle 177"/>
                        <wps:cNvSpPr>
                          <a:spLocks noChangeArrowheads="1"/>
                        </wps:cNvSpPr>
                        <wps:spPr bwMode="auto">
                          <a:xfrm>
                            <a:off x="5998847" y="724338"/>
                            <a:ext cx="13335" cy="1333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178"/>
                        <wps:cNvCnPr>
                          <a:cxnSpLocks noChangeShapeType="1"/>
                        </wps:cNvCnPr>
                        <wps:spPr bwMode="auto">
                          <a:xfrm>
                            <a:off x="5998847" y="1206934"/>
                            <a:ext cx="889" cy="88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4" name="Rectangle 179"/>
                        <wps:cNvSpPr>
                          <a:spLocks noChangeArrowheads="1"/>
                        </wps:cNvSpPr>
                        <wps:spPr bwMode="auto">
                          <a:xfrm>
                            <a:off x="5998847" y="1206934"/>
                            <a:ext cx="13335" cy="1333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155" o:spid="_x0000_s1026" editas="canvas" style="width:480.75pt;height:110.5pt;mso-position-horizontal-relative:char;mso-position-vertical-relative:line" coordsize="61055,14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">
                <v:shape id="_x0000_s1027" type="#_x0000_t75" style="position:absolute;width:61055;height:14033;visibility:visible;mso-wrap-style:square">
                  <v:fill o:detectmouseclick="t"/>
                  <v:path o:connecttype="none"/>
                </v:shape>
                <v:rect id="Rectangle 108" o:spid="_x0000_s1028" style="position:absolute;width:59988;height:2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MkKsMA&#10;AADaAAAADwAAAGRycy9kb3ducmV2LnhtbESPQYvCMBSE78L+h/AWvIimKixSjUUE0cNe7Cr0+Gje&#10;tt02L6WJ2v77jSB4HGbmG2aT9KYRd+pcZVnBfBaBIM6trrhQcPk5TFcgnEfW2FgmBQM5SLYfow3G&#10;2j74TPfUFyJA2MWooPS+jaV0eUkG3cy2xMH7tZ1BH2RXSN3hI8BNIxdR9CUNVhwWSmxpX1Jepzej&#10;IP2+mmHy54bbsT9n2a65ZEtfKzX+7HdrEJ56/w6/2ietYAHPK+EGy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MkKsMAAADaAAAADwAAAAAAAAAAAAAAAACYAgAAZHJzL2Rv&#10;d25yZXYueG1sUEsFBgAAAAAEAAQA9QAAAIgDAAAAAA==&#10;" fillcolor="#8db4e3" stroked="f"/>
                <v:rect id="Rectangle 109" o:spid="_x0000_s1029" style="position:absolute;left:400;top:133;width:9118;height:2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5F1279" w:rsidRDefault="005F1279" w:rsidP="00CA3B4F">
                        <w:r>
                          <w:rPr>
                            <w:rFonts w:ascii="Arial Narrow" w:hAnsi="Arial Narrow" w:cs="Arial Narrow"/>
                            <w:b/>
                            <w:bCs/>
                            <w:color w:val="000000"/>
                            <w:sz w:val="18"/>
                            <w:szCs w:val="18"/>
                            <w:lang w:val="en-US"/>
                          </w:rPr>
                          <w:t xml:space="preserve">Residential Property </w:t>
                        </w:r>
                      </w:p>
                    </w:txbxContent>
                  </v:textbox>
                </v:rect>
                <v:rect id="Rectangle 110" o:spid="_x0000_s1030" style="position:absolute;left:29730;top:133;width:3442;height:2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5F1279" w:rsidRDefault="005F1279" w:rsidP="00CA3B4F">
                        <w:r>
                          <w:rPr>
                            <w:rFonts w:ascii="Arial Narrow" w:hAnsi="Arial Narrow" w:cs="Arial Narrow"/>
                            <w:b/>
                            <w:bCs/>
                            <w:color w:val="000000"/>
                            <w:sz w:val="18"/>
                            <w:szCs w:val="18"/>
                            <w:lang w:val="en-US"/>
                          </w:rPr>
                          <w:t>2016-17</w:t>
                        </w:r>
                      </w:p>
                    </w:txbxContent>
                  </v:textbox>
                </v:rect>
                <v:rect id="Rectangle 111" o:spid="_x0000_s1031" style="position:absolute;left:39458;top:133;width:3442;height:2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5F1279" w:rsidRDefault="005F1279" w:rsidP="00CA3B4F">
                        <w:r>
                          <w:rPr>
                            <w:rFonts w:ascii="Arial Narrow" w:hAnsi="Arial Narrow" w:cs="Arial Narrow"/>
                            <w:b/>
                            <w:bCs/>
                            <w:color w:val="000000"/>
                            <w:sz w:val="18"/>
                            <w:szCs w:val="18"/>
                            <w:lang w:val="en-US"/>
                          </w:rPr>
                          <w:t>2017-18</w:t>
                        </w:r>
                      </w:p>
                    </w:txbxContent>
                  </v:textbox>
                </v:rect>
                <v:rect id="Rectangle 112" o:spid="_x0000_s1032" style="position:absolute;left:45319;top:133;width:4852;height:2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5F1279" w:rsidRDefault="005F1279" w:rsidP="00CA3B4F">
                        <w:r>
                          <w:rPr>
                            <w:rFonts w:ascii="Arial Narrow" w:hAnsi="Arial Narrow" w:cs="Arial Narrow"/>
                            <w:b/>
                            <w:bCs/>
                            <w:color w:val="000000"/>
                            <w:sz w:val="18"/>
                            <w:szCs w:val="18"/>
                            <w:lang w:val="en-US"/>
                          </w:rPr>
                          <w:t xml:space="preserve"> Increase $ </w:t>
                        </w:r>
                      </w:p>
                    </w:txbxContent>
                  </v:textbox>
                </v:rect>
                <v:rect id="Rectangle 113" o:spid="_x0000_s1033" style="position:absolute;left:52920;top:133;width:4903;height:2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5F1279" w:rsidRDefault="005F1279" w:rsidP="00CA3B4F">
                        <w:r>
                          <w:rPr>
                            <w:rFonts w:ascii="Arial Narrow" w:hAnsi="Arial Narrow" w:cs="Arial Narrow"/>
                            <w:b/>
                            <w:bCs/>
                            <w:color w:val="000000"/>
                            <w:sz w:val="18"/>
                            <w:szCs w:val="18"/>
                            <w:lang w:val="en-US"/>
                          </w:rPr>
                          <w:t>Increase %</w:t>
                        </w:r>
                      </w:p>
                    </w:txbxContent>
                  </v:textbox>
                </v:rect>
                <v:rect id="Rectangle 114" o:spid="_x0000_s1034" style="position:absolute;left:400;top:2552;width:13258;height:30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5F1279" w:rsidRDefault="005F1279" w:rsidP="00CA3B4F">
                        <w:r>
                          <w:rPr>
                            <w:rFonts w:cs="Lucida Sans Unicode"/>
                            <w:color w:val="000000"/>
                            <w:sz w:val="18"/>
                            <w:szCs w:val="18"/>
                            <w:lang w:val="en-US"/>
                          </w:rPr>
                          <w:t>CIV 400,322 x Rate in $</w:t>
                        </w:r>
                      </w:p>
                    </w:txbxContent>
                  </v:textbox>
                </v:rect>
                <v:rect id="Rectangle 115" o:spid="_x0000_s1035" style="position:absolute;left:26663;top:2552;width:5061;height:30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5F1279" w:rsidRDefault="005F1279" w:rsidP="00CA3B4F">
                        <w:r>
                          <w:rPr>
                            <w:rFonts w:cs="Lucida Sans Unicode"/>
                            <w:color w:val="000000"/>
                            <w:sz w:val="18"/>
                            <w:szCs w:val="18"/>
                            <w:lang w:val="en-US"/>
                          </w:rPr>
                          <w:t>1,096.41</w:t>
                        </w:r>
                      </w:p>
                    </w:txbxContent>
                  </v:textbox>
                </v:rect>
                <v:rect id="Rectangle 116" o:spid="_x0000_s1036" style="position:absolute;left:36391;top:2552;width:5061;height:30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5F1279" w:rsidRDefault="005F1279" w:rsidP="00CA3B4F">
                        <w:r>
                          <w:rPr>
                            <w:rFonts w:cs="Lucida Sans Unicode"/>
                            <w:color w:val="000000"/>
                            <w:sz w:val="18"/>
                            <w:szCs w:val="18"/>
                            <w:lang w:val="en-US"/>
                          </w:rPr>
                          <w:t>1,118.50</w:t>
                        </w:r>
                      </w:p>
                    </w:txbxContent>
                  </v:textbox>
                </v:rect>
                <v:rect id="Rectangle 117" o:spid="_x0000_s1037" style="position:absolute;left:45453;top:2552;width:4343;height:30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5F1279" w:rsidRDefault="005F1279" w:rsidP="00CA3B4F">
                        <w:r>
                          <w:rPr>
                            <w:rFonts w:cs="Lucida Sans Unicode"/>
                            <w:color w:val="000000"/>
                            <w:sz w:val="18"/>
                            <w:szCs w:val="18"/>
                            <w:lang w:val="en-US"/>
                          </w:rPr>
                          <w:t xml:space="preserve">   22.09 </w:t>
                        </w:r>
                      </w:p>
                    </w:txbxContent>
                  </v:textbox>
                </v:rect>
                <v:rect id="Rectangle 118" o:spid="_x0000_s1038" style="position:absolute;left:55854;top:2552;width:2572;height:30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5F1279" w:rsidRDefault="005F1279" w:rsidP="00CA3B4F">
                        <w:r>
                          <w:rPr>
                            <w:rFonts w:cs="Lucida Sans Unicode"/>
                            <w:color w:val="000000"/>
                            <w:sz w:val="18"/>
                            <w:szCs w:val="18"/>
                            <w:lang w:val="en-US"/>
                          </w:rPr>
                          <w:t>2.0%</w:t>
                        </w:r>
                      </w:p>
                    </w:txbxContent>
                  </v:textbox>
                </v:rect>
                <v:rect id="Rectangle 119" o:spid="_x0000_s1039" style="position:absolute;left:400;top:4959;width:9645;height:30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5F1279" w:rsidRDefault="005F1279" w:rsidP="00CA3B4F">
                        <w:r>
                          <w:rPr>
                            <w:rFonts w:cs="Lucida Sans Unicode"/>
                            <w:color w:val="000000"/>
                            <w:sz w:val="18"/>
                            <w:szCs w:val="18"/>
                            <w:lang w:val="en-US"/>
                          </w:rPr>
                          <w:t>Municipal Charge</w:t>
                        </w:r>
                      </w:p>
                    </w:txbxContent>
                  </v:textbox>
                </v:rect>
                <v:rect id="Rectangle 120" o:spid="_x0000_s1040" style="position:absolute;left:29330;top:4959;width:3258;height:30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5F1279" w:rsidRDefault="005F1279" w:rsidP="00CA3B4F">
                        <w:r>
                          <w:rPr>
                            <w:rFonts w:cs="Lucida Sans Unicode"/>
                            <w:color w:val="000000"/>
                            <w:sz w:val="18"/>
                            <w:szCs w:val="18"/>
                            <w:lang w:val="en-US"/>
                          </w:rPr>
                          <w:t>96.65</w:t>
                        </w:r>
                      </w:p>
                    </w:txbxContent>
                  </v:textbox>
                </v:rect>
                <v:rect id="Rectangle 121" o:spid="_x0000_s1041" style="position:absolute;left:39058;top:4959;width:3258;height:30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5F1279" w:rsidRDefault="005F1279" w:rsidP="00CA3B4F">
                        <w:r>
                          <w:rPr>
                            <w:rFonts w:cs="Lucida Sans Unicode"/>
                            <w:color w:val="000000"/>
                            <w:sz w:val="18"/>
                            <w:szCs w:val="18"/>
                            <w:lang w:val="en-US"/>
                          </w:rPr>
                          <w:t>98.55</w:t>
                        </w:r>
                      </w:p>
                    </w:txbxContent>
                  </v:textbox>
                </v:rect>
                <v:rect id="Rectangle 122" o:spid="_x0000_s1042" style="position:absolute;left:45453;top:4959;width:4343;height:30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5F1279" w:rsidRDefault="005F1279" w:rsidP="00CA3B4F">
                        <w:r>
                          <w:rPr>
                            <w:rFonts w:cs="Lucida Sans Unicode"/>
                            <w:color w:val="000000"/>
                            <w:sz w:val="18"/>
                            <w:szCs w:val="18"/>
                            <w:lang w:val="en-US"/>
                          </w:rPr>
                          <w:t xml:space="preserve">     1.90 </w:t>
                        </w:r>
                      </w:p>
                    </w:txbxContent>
                  </v:textbox>
                </v:rect>
                <v:rect id="Rectangle 123" o:spid="_x0000_s1043" style="position:absolute;left:55854;top:4959;width:2572;height:30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5F1279" w:rsidRDefault="005F1279" w:rsidP="00CA3B4F">
                        <w:r>
                          <w:rPr>
                            <w:rFonts w:cs="Lucida Sans Unicode"/>
                            <w:color w:val="000000"/>
                            <w:sz w:val="18"/>
                            <w:szCs w:val="18"/>
                            <w:lang w:val="en-US"/>
                          </w:rPr>
                          <w:t>2.0%</w:t>
                        </w:r>
                      </w:p>
                    </w:txbxContent>
                  </v:textbox>
                </v:rect>
                <v:rect id="Rectangle 124" o:spid="_x0000_s1044" style="position:absolute;left:533;top:7378;width:11690;height:30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5F1279" w:rsidRDefault="005F1279" w:rsidP="00CA3B4F">
                        <w:r>
                          <w:rPr>
                            <w:rFonts w:cs="Lucida Sans Unicode"/>
                            <w:b/>
                            <w:bCs/>
                            <w:color w:val="000000"/>
                            <w:sz w:val="18"/>
                            <w:szCs w:val="18"/>
                            <w:lang w:val="en-US"/>
                          </w:rPr>
                          <w:t xml:space="preserve">Total Rates including </w:t>
                        </w:r>
                      </w:p>
                    </w:txbxContent>
                  </v:textbox>
                </v:rect>
                <v:rect id="Rectangle 125" o:spid="_x0000_s1045" style="position:absolute;left:533;top:9791;width:9652;height:30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5F1279" w:rsidRDefault="005F1279" w:rsidP="00CA3B4F">
                        <w:r>
                          <w:rPr>
                            <w:rFonts w:cs="Lucida Sans Unicode"/>
                            <w:b/>
                            <w:bCs/>
                            <w:color w:val="000000"/>
                            <w:sz w:val="18"/>
                            <w:szCs w:val="18"/>
                            <w:lang w:val="en-US"/>
                          </w:rPr>
                          <w:t>Municipal Charge</w:t>
                        </w:r>
                      </w:p>
                    </w:txbxContent>
                  </v:textbox>
                </v:rect>
                <v:rect id="Rectangle 126" o:spid="_x0000_s1046" style="position:absolute;left:25463;top:9791;width:5067;height:30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5F1279" w:rsidRDefault="005F1279" w:rsidP="00CA3B4F">
                        <w:r>
                          <w:rPr>
                            <w:rFonts w:cs="Lucida Sans Unicode"/>
                            <w:b/>
                            <w:bCs/>
                            <w:color w:val="000000"/>
                            <w:sz w:val="18"/>
                            <w:szCs w:val="18"/>
                            <w:lang w:val="en-US"/>
                          </w:rPr>
                          <w:t>1,193.06</w:t>
                        </w:r>
                      </w:p>
                    </w:txbxContent>
                  </v:textbox>
                </v:rect>
                <v:rect id="Rectangle 127" o:spid="_x0000_s1047" style="position:absolute;left:35191;top:9791;width:5068;height:30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5F1279" w:rsidRDefault="005F1279" w:rsidP="00CA3B4F">
                        <w:r>
                          <w:rPr>
                            <w:rFonts w:cs="Lucida Sans Unicode"/>
                            <w:b/>
                            <w:bCs/>
                            <w:color w:val="000000"/>
                            <w:sz w:val="18"/>
                            <w:szCs w:val="18"/>
                            <w:lang w:val="en-US"/>
                          </w:rPr>
                          <w:t>1,217.05</w:t>
                        </w:r>
                      </w:p>
                    </w:txbxContent>
                  </v:textbox>
                </v:rect>
                <v:rect id="Rectangle 128" o:spid="_x0000_s1048" style="position:absolute;left:45586;top:9791;width:3620;height:30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5F1279" w:rsidRDefault="005F1279" w:rsidP="00CA3B4F">
                        <w:r>
                          <w:rPr>
                            <w:rFonts w:cs="Lucida Sans Unicode"/>
                            <w:b/>
                            <w:bCs/>
                            <w:color w:val="000000"/>
                            <w:sz w:val="18"/>
                            <w:szCs w:val="18"/>
                            <w:lang w:val="en-US"/>
                          </w:rPr>
                          <w:t xml:space="preserve"> 23.99 </w:t>
                        </w:r>
                      </w:p>
                    </w:txbxContent>
                  </v:textbox>
                </v:rect>
                <v:rect id="Rectangle 129" o:spid="_x0000_s1049" style="position:absolute;left:55187;top:9791;width:2578;height:30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5F1279" w:rsidRDefault="005F1279" w:rsidP="00CA3B4F">
                        <w:r>
                          <w:rPr>
                            <w:rFonts w:cs="Lucida Sans Unicode"/>
                            <w:b/>
                            <w:bCs/>
                            <w:color w:val="000000"/>
                            <w:sz w:val="18"/>
                            <w:szCs w:val="18"/>
                            <w:lang w:val="en-US"/>
                          </w:rPr>
                          <w:t>2.0%</w:t>
                        </w:r>
                      </w:p>
                    </w:txbxContent>
                  </v:textbox>
                </v:rect>
                <v:rect id="Rectangle 130" o:spid="_x0000_s1050" style="position:absolute;width:13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A8csMA&#10;AADbAAAADwAAAGRycy9kb3ducmV2LnhtbESPQYvCMBSE74L/ITxhL6Kpu1akGkVEwZPLqqjHR/Ns&#10;i81LaWKt/34jLOxxmJlvmPmyNaVoqHaFZQWjYQSCOLW64EzB6bgdTEE4j6yxtEwKXuRgueh25pho&#10;++Qfag4+EwHCLkEFufdVIqVLczLohrYiDt7N1gZ9kHUmdY3PADel/IyiiTRYcFjIsaJ1Tun98DAK&#10;+t+Ppt3QesyXV3z+6mfX/WRklfrotasZCE+t/w//tXdaQRzD+0v4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4A8csMAAADbAAAADwAAAAAAAAAAAAAAAACYAgAAZHJzL2Rv&#10;d25yZXYueG1sUEsFBgAAAAAEAAQA9QAAAIgDAAAAAA==&#10;" fillcolor="#d0d7e5" stroked="f"/>
                <v:rect id="Rectangle 131" o:spid="_x0000_s1051" style="position:absolute;left:24660;width:13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KiBcQA&#10;AADbAAAADwAAAGRycy9kb3ducmV2LnhtbESPS4vCQBCE78L+h6EXvIhOfAWJjrLICp5WfKAem0xv&#10;EjbTEzJjjP/eWRA8FlX1FbVYtaYUDdWusKxgOIhAEKdWF5wpOB03/RkI55E1lpZJwYMcrJYfnQUm&#10;2t55T83BZyJA2CWoIPe+SqR0aU4G3cBWxMH7tbVBH2SdSV3jPcBNKUdRFEuDBYeFHCta55T+HW5G&#10;QW93a9pvWk/48piex73s+hMPrVLdz/ZrDsJT69/hV3urFUxj+P8Sf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SogXEAAAA2wAAAA8AAAAAAAAAAAAAAAAAmAIAAGRycy9k&#10;b3ducmV2LnhtbFBLBQYAAAAABAAEAPUAAACJAwAAAAA=&#10;" fillcolor="#d0d7e5" stroked="f"/>
                <v:rect id="Rectangle 132" o:spid="_x0000_s1052" style="position:absolute;left:34394;width:134;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4HnsUA&#10;AADbAAAADwAAAGRycy9kb3ducmV2LnhtbESPQWvCQBSE7wX/w/KEXqRubJso0VVEWuip0rRUj4/s&#10;Mwlm34bsGpN/7wqFHoeZ+YZZbXpTi45aV1lWMJtGIIhzqysuFPx8vz8tQDiPrLG2TAoGcrBZjx5W&#10;mGp75S/qMl+IAGGXooLS+yaV0uUlGXRT2xAH72Rbgz7ItpC6xWuAm1o+R1EiDVYcFkpsaFdSfs4u&#10;RsFkf+n6N9q98mGIf18mxfEzmVmlHsf9dgnCU+//w3/tD60gnsP9S/g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geexQAAANsAAAAPAAAAAAAAAAAAAAAAAJgCAABkcnMv&#10;ZG93bnJldi54bWxQSwUGAAAAAAQABAD1AAAAigMAAAAA&#10;" fillcolor="#d0d7e5" stroked="f"/>
                <v:rect id="Rectangle 133" o:spid="_x0000_s1053" style="position:absolute;left:44120;width:13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GT7MIA&#10;AADbAAAADwAAAGRycy9kb3ducmV2LnhtbERPy2rCQBTdF/yH4Ra6kWairVJiRhGx0JWiFu3ykrkm&#10;oZk7ITN5+PfOQnB5OO90NZhKdNS40rKCSRSDIM6sLjlX8Hv6fv8C4TyyxsoyKbiRg9Vy9JJiom3P&#10;B+qOPhchhF2CCgrv60RKlxVk0EW2Jg7c1TYGfYBNLnWDfQg3lZzG8VwaLDk0FFjTpqDs/9gaBeN9&#10;2w1b2nzy5TY7f4zzv918YpV6ex3WCxCeBv8UP9w/WsEsjA1fwg+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gZPswgAAANsAAAAPAAAAAAAAAAAAAAAAAJgCAABkcnMvZG93&#10;bnJldi54bWxQSwUGAAAAAAQABAD1AAAAhwMAAAAA&#10;" fillcolor="#d0d7e5" stroked="f"/>
                <v:rect id="Rectangle 134" o:spid="_x0000_s1054" style="position:absolute;left:52120;width:134;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02d8UA&#10;AADbAAAADwAAAGRycy9kb3ducmV2LnhtbESPQWvCQBSE7wX/w/KEXqRubJug0VVEWuip0rRUj4/s&#10;Mwlm34bsGpN/7wqFHoeZ+YZZbXpTi45aV1lWMJtGIIhzqysuFPx8vz/NQTiPrLG2TAoGcrBZjx5W&#10;mGp75S/qMl+IAGGXooLS+yaV0uUlGXRT2xAH72Rbgz7ItpC6xWuAm1o+R1EiDVYcFkpsaFdSfs4u&#10;RsFkf+n6N9q98mGIf18mxfEzmVmlHsf9dgnCU+//w3/tD60gXsD9S/g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zTZ3xQAAANsAAAAPAAAAAAAAAAAAAAAAAJgCAABkcnMv&#10;ZG93bnJldi54bWxQSwUGAAAAAAQABAD1AAAAigMAAAAA&#10;" fillcolor="#d0d7e5" stroked="f"/>
                <v:line id="Line 135" o:spid="_x0000_s1055" style="position:absolute;visibility:visible;mso-wrap-style:square" from="133,0" to="599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H+VcAAAADbAAAADwAAAGRycy9kb3ducmV2LnhtbERPy4rCMBTdD/gP4QruxlTBTq1GEVGc&#10;2Y0vcHlprm2wuSlN1M7fTxaCy8N5z5edrcWDWm8cKxgNExDEhdOGSwWn4/YzA+EDssbaMSn4Iw/L&#10;Re9jjrl2T97T4xBKEUPY56igCqHJpfRFRRb90DXEkbu61mKIsC2lbvEZw20tx0mSSouGY0OFDa0r&#10;Km6Hu1VgftPd5OfrPD3LzS6MLtktM/ak1KDfrWYgAnXhLX65v7WCNK6PX+IP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uB/lXAAAAA2wAAAA8AAAAAAAAAAAAAAAAA&#10;oQIAAGRycy9kb3ducmV2LnhtbFBLBQYAAAAABAAEAPkAAACOAwAAAAA=&#10;" strokeweight="0"/>
                <v:rect id="Rectangle 136" o:spid="_x0000_s1056" style="position:absolute;left:133;width:59855;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fillcolor="black" stroked="f"/>
                <v:rect id="Rectangle 137" o:spid="_x0000_s1057" style="position:absolute;left:59855;width:13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Vuu8QA&#10;AADbAAAADwAAAGRycy9kb3ducmV2LnhtbESPS4vCQBCE7wv+h6EFL7JOfIUlOoqIgqcVH+x6bDJt&#10;Esz0hMwY47/fEYQ9FlX1FTVftqYUDdWusKxgOIhAEKdWF5wpOJ+2n18gnEfWWFomBU9ysFx0PuaY&#10;aPvgAzVHn4kAYZeggtz7KpHSpTkZdANbEQfvamuDPsg6k7rGR4CbUo6iKJYGCw4LOVa0zim9He9G&#10;QX9/b9oNrSf8+5z+jPvZ5TseWqV63XY1A+Gp9f/hd3unFcQjeH0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FbrvEAAAA2wAAAA8AAAAAAAAAAAAAAAAAmAIAAGRycy9k&#10;b3ducmV2LnhtbFBLBQYAAAAABAAEAPUAAACJAwAAAAA=&#10;" fillcolor="#d0d7e5" stroked="f"/>
                <v:line id="Line 138" o:spid="_x0000_s1058" style="position:absolute;visibility:visible;mso-wrap-style:square" from="133,2417" to="59988,2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NgIsQAAADbAAAADwAAAGRycy9kb3ducmV2LnhtbESPT2vCQBTE74LfYXmCN92oNKapq0hp&#10;UW+tf6DHR/Y1Wcy+Ddmtpt/eFQSPw8z8hlmsOluLC7XeOFYwGScgiAunDZcKjofPUQbCB2SNtWNS&#10;8E8eVst+b4G5dlf+pss+lCJC2OeooAqhyaX0RUUW/dg1xNH7da3FEGVbSt3iNcJtLadJkkqLhuNC&#10;hQ29V1Sc939WgflKNy+7+en1JD82YfKTnTNjj0oNB936DUSgLjzDj/ZWK0hn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U2AixAAAANsAAAAPAAAAAAAAAAAA&#10;AAAAAKECAABkcnMvZG93bnJldi54bWxQSwUGAAAAAAQABAD5AAAAkgMAAAAA&#10;" strokeweight="0"/>
                <v:rect id="Rectangle 139" o:spid="_x0000_s1059" style="position:absolute;left:133;top:2417;width:59855;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bHMUA&#10;AADbAAAADwAAAGRycy9kb3ducmV2LnhtbESPQWsCMRSE74L/ITzBm5utqNitUVQQvAjV9lBvz83r&#10;7uLmZU2irv31TUHocZiZb5jZojW1uJHzlWUFL0kKgji3uuJCwefHZjAF4QOyxtoyKXiQh8W825lh&#10;pu2d93Q7hEJECPsMFZQhNJmUPi/JoE9sQxy9b+sMhihdIbXDe4SbWg7TdCINVhwXSmxoXVJ+PlyN&#10;gtXrdHV5H/HuZ3860vHrdB4PXapUv9cu30AEasN/+NneagWTE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lscxQAAANsAAAAPAAAAAAAAAAAAAAAAAJgCAABkcnMv&#10;ZG93bnJldi54bWxQSwUGAAAAAAQABAD1AAAAigMAAAAA&#10;" fillcolor="black" stroked="f"/>
                <v:line id="Line 140" o:spid="_x0000_s1060" style="position:absolute;visibility:visible;mso-wrap-style:square" from="133,4825" to="59988,4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dzcQAAADbAAAADwAAAGRycy9kb3ducmV2LnhtbESPT2vCQBTE7wW/w/IK3urGgmlM3YgU&#10;Rb21/oEeH9nXZEn2bciuGr+9Wyj0OMzMb5jFcrCtuFLvjWMF00kCgrh02nCl4HTcvGQgfEDW2Dom&#10;BXfysCxGTwvMtbvxF10PoRIRwj5HBXUIXS6lL2uy6CeuI47ej+sthij7SuoebxFuW/maJKm0aDgu&#10;1NjRR01lc7hYBeYz3c72b+f5Wa63YfqdNZmxJ6XGz8PqHUSgIfyH/9o7rSCdwe+X+ANk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9l3NxAAAANsAAAAPAAAAAAAAAAAA&#10;AAAAAKECAABkcnMvZG93bnJldi54bWxQSwUGAAAAAAQABAD5AAAAkgMAAAAA&#10;" strokeweight="0"/>
                <v:rect id="Rectangle 141" o:spid="_x0000_s1061" style="position:absolute;left:133;top:4825;width:59855;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xg8MYA&#10;AADbAAAADwAAAGRycy9kb3ducmV2LnhtbESPT2vCQBTE7wW/w/IKvdVNxQaNbkQLQi8F/x309sw+&#10;k5Ds23R3q2k/vVso9DjMzG+Y+aI3rbiS87VlBS/DBARxYXXNpYLDfv08AeEDssbWMin4Jg+LfPAw&#10;x0zbG2/puguliBD2GSqoQugyKX1RkUE/tB1x9C7WGQxRulJqh7cIN60cJUkqDdYcFyrs6K2iotl9&#10;GQWr6WT1uRnzx8/2fKLT8dy8jlyi1NNjv5yBCNSH//Bf+10rSF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xg8MYAAADbAAAADwAAAAAAAAAAAAAAAACYAgAAZHJz&#10;L2Rvd25yZXYueG1sUEsFBgAAAAAEAAQA9QAAAIsDAAAAAA==&#10;" fillcolor="black" stroked="f"/>
                <v:line id="Line 142" o:spid="_x0000_s1062" style="position:absolute;visibility:visible;mso-wrap-style:square" from="133,7243" to="59988,7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hmIcQAAADbAAAADwAAAGRycy9kb3ducmV2LnhtbESPT2vCQBTE7wW/w/KE3upGwRijGxGp&#10;2N5a/4DHR/aZLMm+Ddmtpt++Wyj0OMzMb5j1ZrCtuFPvjWMF00kCgrh02nCl4Hzav2QgfEDW2Dom&#10;Bd/kYVOMntaYa/fgT7ofQyUihH2OCuoQulxKX9Zk0U9cRxy9m+sthij7SuoeHxFuWzlLklRaNBwX&#10;auxoV1PZHL+sAvORHubvi8vyIl8PYXrNmszYs1LP42G7AhFoCP/hv/abVpAu4P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aGYhxAAAANsAAAAPAAAAAAAAAAAA&#10;AAAAAKECAABkcnMvZG93bnJldi54bWxQSwUGAAAAAAQABAD5AAAAkgMAAAAA&#10;" strokeweight="0"/>
                <v:rect id="Rectangle 143" o:spid="_x0000_s1063" style="position:absolute;left:133;top:7243;width:59855;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9RGcEA&#10;AADbAAAADwAAAGRycy9kb3ducmV2LnhtbERPTYvCMBC9C/sfwgjeNFVUtBplFQQvwuruQW9jM7bF&#10;ZlKTqHV//eaw4PHxvufLxlTiQc6XlhX0ewkI4szqknMFP9+b7gSED8gaK8uk4EUelouP1hxTbZ+8&#10;p8ch5CKGsE9RQRFCnUrps4IM+p6tiSN3sc5giNDlUjt8xnBTyUGSjKXBkmNDgTWtC8quh7tRsJpO&#10;VrevIe9+9+cTnY7n62jgEqU67eZzBiJQE97if/dWKxjHs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URnBAAAA2wAAAA8AAAAAAAAAAAAAAAAAmAIAAGRycy9kb3du&#10;cmV2LnhtbFBLBQYAAAAABAAEAPUAAACGAwAAAAA=&#10;" fillcolor="black" stroked="f"/>
                <v:line id="Line 144" o:spid="_x0000_s1064" style="position:absolute;visibility:visible;mso-wrap-style:square" from="0,0" to="8,12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tXyMQAAADbAAAADwAAAGRycy9kb3ducmV2LnhtbESPT2vCQBTE7wW/w/KE3uomhaYxuopI&#10;RXtr/QMeH9lnsph9G7JrjN++Wyj0OMzMb5j5crCN6KnzxrGCdJKAIC6dNlwpOB42LzkIH5A1No5J&#10;wYM8LBejpzkW2t35m/p9qESEsC9QQR1CW0jpy5os+olriaN3cZ3FEGVXSd3hPcJtI1+TJJMWDceF&#10;Glta11Re9zerwHxl27fP99P0JD+2IT3n19zYo1LP42E1AxFoCP/hv/ZOK8im8Psl/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u1fIxAAAANsAAAAPAAAAAAAAAAAA&#10;AAAAAKECAABkcnMvZG93bnJldi54bWxQSwUGAAAAAAQABAD5AAAAkgMAAAAA&#10;" strokeweight="0"/>
                <v:rect id="Rectangle 145" o:spid="_x0000_s1065" style="position:absolute;width:133;height:12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LwsMA&#10;AADbAAAADwAAAGRycy9kb3ducmV2LnhtbERPz2vCMBS+C/sfwhvspulkOu0aZQ4EL4K6HfT22ry1&#10;xealS6JW/3pzEHb8+H5n88404kzO15YVvA4SEMSF1TWXCn6+l/0JCB+QNTaWScGVPMxnT70MU20v&#10;vKXzLpQihrBPUUEVQptK6YuKDPqBbYkj92udwRChK6V2eInhppHDJBlLgzXHhgpb+qqoOO5ORsFi&#10;Oln8bd54fdvmBzrs8+No6BKlXp67zw8QgbrwL364V1rBe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LwsMAAADbAAAADwAAAAAAAAAAAAAAAACYAgAAZHJzL2Rv&#10;d25yZXYueG1sUEsFBgAAAAAEAAQA9QAAAIgDAAAAAA==&#10;" fillcolor="black" stroked="f"/>
                <v:line id="Line 146" o:spid="_x0000_s1066" style="position:absolute;visibility:visible;mso-wrap-style:square" from="24660,133" to="24669,12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TNE8QAAADbAAAADwAAAGRycy9kb3ducmV2LnhtbESPT2vCQBTE7wW/w/IK3uomghpTNyKi&#10;2N5a/0CPj+xrsiT7NmRXjd++Wyj0OMzMb5jVerCtuFHvjWMF6SQBQVw6bbhScD7tXzIQPiBrbB2T&#10;ggd5WBejpxXm2t35k27HUIkIYZ+jgjqELpfSlzVZ9BPXEUfv2/UWQ5R9JXWP9wi3rZwmyVxaNBwX&#10;auxoW1PZHK9WgfmYH2bvi8vyIneHkH5lTWbsWanx87B5BRFoCP/hv/abVrBI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M0TxAAAANsAAAAPAAAAAAAAAAAA&#10;AAAAAKECAABkcnMvZG93bnJldi54bWxQSwUGAAAAAAQABAD5AAAAkgMAAAAA&#10;" strokeweight="0"/>
                <v:rect id="Rectangle 147" o:spid="_x0000_s1067" style="position:absolute;left:24660;top:133;width:133;height:1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LsYA&#10;AADbAAAADwAAAGRycy9kb3ducmV2LnhtbESPT2sCMRTE7wW/Q3iCt5p1qX+6NYoWBC+Fqj3U23Pz&#10;3F3cvKxJ1LWfvikIPQ4z8xtmOm9NLa7kfGVZwaCfgCDOra64UPC1Wz1PQPiArLG2TAru5GE+6zxN&#10;MdP2xhu6bkMhIoR9hgrKEJpMSp+XZND3bUMcvaN1BkOUrpDa4S3CTS3TJBlJgxXHhRIbei8pP20v&#10;RsHydbI8f77wx8/msKf99+E0TF2iVK/bLt5ABGrDf/jRXmsF4xT+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wLsYAAADbAAAADwAAAAAAAAAAAAAAAACYAgAAZHJz&#10;L2Rvd25yZXYueG1sUEsFBgAAAAAEAAQA9QAAAIsDAAAAAA==&#10;" fillcolor="black" stroked="f"/>
                <v:line id="Line 148" o:spid="_x0000_s1068" style="position:absolute;visibility:visible;mso-wrap-style:square" from="34394,133" to="34403,12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r2/8QAAADbAAAADwAAAGRycy9kb3ducmV2LnhtbESPQWvCQBSE70L/w/IKvdWNLZo0dQ1F&#10;FOvNWoUeH9nXZDH7NmTXGP99Vyh4HGbmG2ZeDLYRPXXeOFYwGScgiEunDVcKDt/r5wyED8gaG8ek&#10;4EoeisXDaI65dhf+on4fKhEh7HNUUIfQ5lL6siaLfuxa4uj9us5iiLKrpO7wEuG2kS9JMpMWDceF&#10;Glta1lSe9merwOxmm+k2Pb4d5WoTJj/ZKTP2oNTT4/DxDiLQEO7h//anVpC+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ivb/xAAAANsAAAAPAAAAAAAAAAAA&#10;AAAAAKECAABkcnMvZG93bnJldi54bWxQSwUGAAAAAAQABAD5AAAAkgMAAAAA&#10;" strokeweight="0"/>
                <v:rect id="Rectangle 149" o:spid="_x0000_s1069" style="position:absolute;left:34394;top:133;width:134;height:1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vNwcUA&#10;AADbAAAADwAAAGRycy9kb3ducmV2LnhtbESPQWsCMRSE74L/ITzBm2YVrXY1ihYKvQjV9lBvz81z&#10;d3Hzsk2irv76Rih4HGbmG2a+bEwlLuR8aVnBoJ+AIM6sLjlX8P313puC8AFZY2WZFNzIw3LRbs0x&#10;1fbKW7rsQi4ihH2KCooQ6lRKnxVk0PdtTRy9o3UGQ5Qul9rhNcJNJYdJ8iINlhwXCqzpraDstDsb&#10;BevX6fr3c8Sb+/awp/3P4TQeukSpbqdZzUAEasIz/N/+0AomI3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S83BxQAAANsAAAAPAAAAAAAAAAAAAAAAAJgCAABkcnMv&#10;ZG93bnJldi54bWxQSwUGAAAAAAQABAD1AAAAigMAAAAA&#10;" fillcolor="black" stroked="f"/>
                <v:line id="Line 150" o:spid="_x0000_s1070" style="position:absolute;visibility:visible;mso-wrap-style:square" from="44120,133" to="44129,12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LEMMAAADbAAAADwAAAGRycy9kb3ducmV2LnhtbESPT4vCMBTE7wt+h/AEb2vqglqrUURW&#10;dG/rP/D4aJ5tsHkpTdT67c3CgsdhZn7DzBatrcSdGm8cKxj0ExDEudOGCwXHw/ozBeEDssbKMSl4&#10;kofFvPMxw0y7B+/ovg+FiBD2GSooQ6gzKX1ekkXfdzVx9C6usRiibAqpG3xEuK3kV5KMpEXDcaHE&#10;mlYl5df9zSowv6PN8Gd8mpzk9yYMzuk1NfaoVK/bLqcgArXhHf5vb7WC8RD+vsQfIO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vyxDDAAAA2wAAAA8AAAAAAAAAAAAA&#10;AAAAoQIAAGRycy9kb3ducmV2LnhtbFBLBQYAAAAABAAEAPkAAACRAwAAAAA=&#10;" strokeweight="0"/>
                <v:rect id="Rectangle 151" o:spid="_x0000_s1071" style="position:absolute;left:44120;top:133;width:133;height:1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2LcYA&#10;AADbAAAADwAAAGRycy9kb3ducmV2LnhtbESPzWsCMRTE70L/h/AK3jRbsX5sjVILQi+CXwe9PTev&#10;u4ubl20Sde1f3wiCx2FmfsNMZo2pxIWcLy0reOsmIIgzq0vOFey2i84IhA/IGivLpOBGHmbTl9YE&#10;U22vvKbLJuQiQtinqKAIoU6l9FlBBn3X1sTR+7HOYIjS5VI7vEa4qWQvSQbSYMlxocCavgrKTpuz&#10;UTAfj+a/qz4v/9bHAx32x9N7zyVKtV+bzw8QgZrwDD/a31rBcAD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X2LcYAAADbAAAADwAAAAAAAAAAAAAAAACYAgAAZHJz&#10;L2Rvd25yZXYueG1sUEsFBgAAAAAEAAQA9QAAAIsDAAAAAA==&#10;" fillcolor="black" stroked="f"/>
                <v:line id="Line 152" o:spid="_x0000_s1072" style="position:absolute;visibility:visible;mso-wrap-style:square" from="52120,133" to="52129,12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Hw/MQAAADbAAAADwAAAGRycy9kb3ducmV2LnhtbESPT2vCQBTE7wW/w/KE3upGQROjGxGp&#10;2N5a/4DHR/aZLMm+Ddmtpt++Wyj0OMzMb5j1ZrCtuFPvjWMF00kCgrh02nCl4Hzav2QgfEDW2Dom&#10;Bd/kYVOMntaYa/fgT7ofQyUihH2OCuoQulxKX9Zk0U9cRxy9m+sthij7SuoeHxFuWzlLkoW0aDgu&#10;1NjRrqayOX5ZBeZjcZi/p5flRb4ewvSaNZmxZ6Wex8N2BSLQEP7Df+03rSBN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sfD8xAAAANsAAAAPAAAAAAAAAAAA&#10;AAAAAKECAABkcnMvZG93bnJldi54bWxQSwUGAAAAAAQABAD5AAAAkgMAAAAA&#10;" strokeweight="0"/>
                <v:rect id="Rectangle 153" o:spid="_x0000_s1073" style="position:absolute;left:52120;top:133;width:134;height:1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HxMMA&#10;AADbAAAADwAAAGRycy9kb3ducmV2LnhtbERPz2vCMBS+C/sfwhvspulkOu0aZQ4EL4K6HfT22ry1&#10;xealS6JW/3pzEHb8+H5n88404kzO15YVvA4SEMSF1TWXCn6+l/0JCB+QNTaWScGVPMxnT70MU20v&#10;vKXzLpQihrBPUUEVQptK6YuKDPqBbYkj92udwRChK6V2eInhppHDJBlLgzXHhgpb+qqoOO5ORsFi&#10;Oln8bd54fdvmBzrs8+No6BKlXp67zw8QgbrwL364V1rBe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bHxMMAAADbAAAADwAAAAAAAAAAAAAAAACYAgAAZHJzL2Rv&#10;d25yZXYueG1sUEsFBgAAAAAEAAQA9QAAAIgDAAAAAA==&#10;" fillcolor="black" stroked="f"/>
                <v:line id="Line 154" o:spid="_x0000_s1074" style="position:absolute;visibility:visible;mso-wrap-style:square" from="133,12069" to="59988,12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LBFcQAAADbAAAADwAAAGRycy9kb3ducmV2LnhtbESPQWvCQBSE7wX/w/IKvdWNgjFJXUWk&#10;kvZWo0KPj+xrsph9G7JbTf99t1DwOMzMN8xqM9pOXGnwxrGC2TQBQVw7bbhRcDrunzMQPiBr7ByT&#10;gh/ysFlPHlZYaHfjA12r0IgIYV+ggjaEvpDS1y1Z9FPXE0fvyw0WQ5RDI/WAtwi3nZwnSSotGo4L&#10;Lfa0a6m+VN9WgflIy8X78pyf5WsZZp/ZJTP2pNTT47h9ARFoDPfwf/tNK1jm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sEVxAAAANsAAAAPAAAAAAAAAAAA&#10;AAAAAKECAABkcnMvZG93bnJldi54bWxQSwUGAAAAAAQABAD5AAAAkgMAAAAA&#10;" strokeweight="0"/>
                <v:rect id="Rectangle 155" o:spid="_x0000_s1075" style="position:absolute;left:133;top:12069;width:59855;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75cIA&#10;AADbAAAADwAAAGRycy9kb3ducmV2LnhtbERPy4rCMBTdD/gP4QruxlRxhlqNooIwmwFfC91dm2tb&#10;bG5qktHOfL1ZDLg8nPd03ppa3Mn5yrKCQT8BQZxbXXGh4LBfv6cgfEDWWFsmBb/kYT7rvE0x0/bB&#10;W7rvQiFiCPsMFZQhNJmUPi/JoO/bhjhyF+sMhghdIbXDRww3tRwmyac0WHFsKLGhVUn5dfdjFCzH&#10;6fK2GfH33/Z8otPxfP0Y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bvlwgAAANsAAAAPAAAAAAAAAAAAAAAAAJgCAABkcnMvZG93&#10;bnJldi54bWxQSwUGAAAAAAQABAD1AAAAhwMAAAAA&#10;" fillcolor="black" stroked="f"/>
                <v:line id="Line 156" o:spid="_x0000_s1076" style="position:absolute;visibility:visible;mso-wrap-style:square" from="59855,133" to="59864,12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G9NMQAAADbAAAADwAAAGRycy9kb3ducmV2LnhtbESPQWvCQBSE74X+h+UVvNVNBDVN3Ugp&#10;FvVmrUKPj+xrsiT7NmS3Gv+9Kwgeh5n5hlksB9uKE/XeOFaQjhMQxKXThisFh5+v1wyED8gaW8ek&#10;4EIelsXz0wJz7c78Tad9qESEsM9RQR1Cl0vpy5os+rHriKP353qLIcq+krrHc4TbVk6SZCYtGo4L&#10;NXb0WVPZ7P+tArObrafb+fHtKFfrkP5mTWbsQanRy/DxDiLQEB7he3ujFWQp3L7EHy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wb00xAAAANsAAAAPAAAAAAAAAAAA&#10;AAAAAKECAABkcnMvZG93bnJldi54bWxQSwUGAAAAAAQABAD5AAAAkgMAAAAA&#10;" strokeweight="0"/>
                <v:rect id="Rectangle 157" o:spid="_x0000_s1077" style="position:absolute;left:59855;top:133;width:133;height:1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uACcYA&#10;AADbAAAADwAAAGRycy9kb3ducmV2LnhtbESPT2vCQBTE74V+h+UVvNWNwZYYXaUWCl4K9c9Bb8/s&#10;Mwlm36a7q0Y/fbcgeBxm5jfMZNaZRpzJ+dqygkE/AUFcWF1zqWCz/nrNQPiArLGxTAqu5GE2fX6a&#10;YK7thZd0XoVSRAj7HBVUIbS5lL6oyKDv25Y4egfrDIYoXSm1w0uEm0amSfIuDdYcFyps6bOi4rg6&#10;GQXzUTb//Rny922539Fuuz++pS5RqvfSfYxBBOrCI3xvL7SCLIX/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uACcYAAADbAAAADwAAAAAAAAAAAAAAAACYAgAAZHJz&#10;L2Rvd25yZXYueG1sUEsFBgAAAAAEAAQA9QAAAIsDAAAAAA==&#10;" fillcolor="black" stroked="f"/>
                <v:line id="Line 158" o:spid="_x0000_s1078" style="position:absolute;visibility:visible;mso-wrap-style:square" from="0,12202" to="8,12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M3NMMAAADbAAAADwAAAGRycy9kb3ducmV2LnhtbESP3YrCMBSE7xd8h3AE79bUnxW3axQR&#10;BPVCsPoAh+Zs27U5qU1s69sbQdjLYWa+YRarzpSiodoVlhWMhhEI4tTqgjMFl/P2cw7CeWSNpWVS&#10;8CAHq2XvY4Gxti2fqEl8JgKEXYwKcu+rWEqX5mTQDW1FHLxfWxv0QdaZ1DW2AW5KOY6imTRYcFjI&#10;saJNTuk1uRsFdr+5Xdvp1/F8/542B5Lub1Q6pQb9bv0DwlPn/8Pv9k4rmE/g9SX8ALl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DNzTDAAAA2wAAAA8AAAAAAAAAAAAA&#10;AAAAoQIAAGRycy9kb3ducmV2LnhtbFBLBQYAAAAABAAEAPkAAACRAwAAAAA=&#10;" strokecolor="#d0d7e5" strokeweight="0"/>
                <v:rect id="Rectangle 159" o:spid="_x0000_s1079" style="position:absolute;top:12202;width:133;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y1rsUA&#10;AADbAAAADwAAAGRycy9kb3ducmV2LnhtbESPT2vCQBTE7wW/w/KEXqRurBpC6ioiFnqyGEvb4yP7&#10;moRm34bs5o/f3hUKPQ4z8xtmsxtNLXpqXWVZwWIegSDOra64UPBxeX1KQDiPrLG2TAqu5GC3nTxs&#10;MNV24DP1mS9EgLBLUUHpfZNK6fKSDLq5bYiD92Nbgz7ItpC6xSHATS2foyiWBisOCyU2dCgp/806&#10;o2D23vXjkQ4r/rquP5ez4vsUL6xSj9Nx/wLC0+j/w3/tN60gWcH9S/gBcn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rLWuxQAAANsAAAAPAAAAAAAAAAAAAAAAAJgCAABkcnMv&#10;ZG93bnJldi54bWxQSwUGAAAAAAQABAD1AAAAigMAAAAA&#10;" fillcolor="#d0d7e5" stroked="f"/>
                <v:line id="Line 160" o:spid="_x0000_s1080" style="position:absolute;visibility:visible;mso-wrap-style:square" from="24660,12202" to="24669,12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YK28MAAADbAAAADwAAAGRycy9kb3ducmV2LnhtbESP0YrCMBRE3xf2H8Jd8G1NFV202ygi&#10;COqDsOoHXJpr221zU5vY1r83guDjMDNnmGTZm0q01LjCsoLRMAJBnFpdcKbgfNp8z0A4j6yxskwK&#10;7uRgufj8SDDWtuM/ao8+EwHCLkYFufd1LKVLczLohrYmDt7FNgZ9kE0mdYNdgJtKjqPoRxosOCzk&#10;WNM6p7Q83owCu1tfy24yPZxu80m7J+n+R5VTavDVr35BeOr9O/xqb7WC2RSeX8IP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mCtvDAAAA2wAAAA8AAAAAAAAAAAAA&#10;AAAAoQIAAGRycy9kb3ducmV2LnhtbFBLBQYAAAAABAAEAPkAAACRAwAAAAA=&#10;" strokecolor="#d0d7e5" strokeweight="0"/>
                <v:rect id="Rectangle 161" o:spid="_x0000_s1081" style="position:absolute;left:24660;top:12202;width:133;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KOQsUA&#10;AADbAAAADwAAAGRycy9kb3ducmV2LnhtbESPT2vCQBTE7wW/w/IEL9Js7J8gMZsgUqGnSlXaHh/Z&#10;ZxLMvg3ZNcZv3xUKPQ4z8xsmK0bTioF611hWsIhiEMSl1Q1XCo6H7eMShPPIGlvLpOBGDop88pBh&#10;qu2VP2nY+0oECLsUFdTed6mUrqzJoItsRxy8k+0N+iD7SuoerwFuWvkUx4k02HBYqLGjTU3leX8x&#10;Cua7yzC+0eaFv2+vX8/z6ucjWVilZtNxvQLhafT/4b/2u1awTOD+Jfw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Mo5CxQAAANsAAAAPAAAAAAAAAAAAAAAAAJgCAABkcnMv&#10;ZG93bnJldi54bWxQSwUGAAAAAAQABAD1AAAAigMAAAAA&#10;" fillcolor="#d0d7e5" stroked="f"/>
                <v:line id="Line 162" o:spid="_x0000_s1082" style="position:absolute;visibility:visible;mso-wrap-style:square" from="34394,12202" to="34403,12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gxN8QAAADbAAAADwAAAGRycy9kb3ducmV2LnhtbESP0WrCQBRE3wv+w3KFvtWNxbYxuglF&#10;KNQ+CCb9gEv2mkSzd9PsmsS/7xaEPg4zc4bZZpNpxUC9aywrWC4iEMSl1Q1XCr6Lj6cYhPPIGlvL&#10;pOBGDrJ09rDFRNuRjzTkvhIBwi5BBbX3XSKlK2sy6Ba2Iw7eyfYGfZB9JXWPY4CbVj5H0as02HBY&#10;qLGjXU3lJb8aBXa/+7mMq5dDcV2vhi+S7rxsnVKP8+l9A8LT5P/D9/anVhC/wd+X8ANk+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eDE3xAAAANsAAAAPAAAAAAAAAAAA&#10;AAAAAKECAABkcnMvZG93bnJldi54bWxQSwUGAAAAAAQABAD5AAAAkgMAAAAA&#10;" strokecolor="#d0d7e5" strokeweight="0"/>
                <v:rect id="Rectangle 163" o:spid="_x0000_s1083" style="position:absolute;left:34394;top:12202;width:134;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q8EA&#10;AADbAAAADwAAAGRycy9kb3ducmV2LnhtbERPy4rCMBTdC/MP4Q64kTH1iXSaioiCK0UddJaX5k5b&#10;prkpTaz1781CcHk472TZmUq01LjSsoLRMAJBnFldcq7g57z9WoBwHlljZZkUPMjBMv3oJRhre+cj&#10;tSefixDCLkYFhfd1LKXLCjLohrYmDtyfbQz6AJtc6gbvIdxUchxFc2mw5NBQYE3rgrL/080oGBxu&#10;bbeh9ZSvj9llMsh/9/ORVar/2a2+QXjq/Fv8cu+0gkUYG76EHyD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hv6vBAAAA2wAAAA8AAAAAAAAAAAAAAAAAmAIAAGRycy9kb3du&#10;cmV2LnhtbFBLBQYAAAAABAAEAPUAAACGAwAAAAA=&#10;" fillcolor="#d0d7e5" stroked="f"/>
                <v:line id="Line 164" o:spid="_x0000_s1084" style="position:absolute;visibility:visible;mso-wrap-style:square" from="44120,12202" to="44129,12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sA3sMAAADbAAAADwAAAGRycy9kb3ducmV2LnhtbESP3YrCMBSE7wXfIZwF7zRVXNGuqYgg&#10;6F4s+PMAh+Zs221zUpvY1rc3C4KXw8x8w6w3valES40rLCuYTiIQxKnVBWcKrpf9eAnCeWSNlWVS&#10;8CAHm2Q4WGOsbccnas8+EwHCLkYFufd1LKVLczLoJrYmDt6vbQz6IJtM6ga7ADeVnEXRQhosOCzk&#10;WNMup7Q8340Ce9zdym7++XO5r+btN0n3N62cUqOPfvsFwlPv3+FX+6AVLFfw/yX8AJk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rAN7DAAAA2wAAAA8AAAAAAAAAAAAA&#10;AAAAoQIAAGRycy9kb3ducmV2LnhtbFBLBQYAAAAABAAEAPkAAACRAwAAAAA=&#10;" strokecolor="#d0d7e5" strokeweight="0"/>
                <v:rect id="Rectangle 165" o:spid="_x0000_s1085" style="position:absolute;left:44120;top:12202;width:133;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4lcMEA&#10;AADbAAAADwAAAGRycy9kb3ducmV2LnhtbERPy4rCMBTdC/MP4Q64EU19jGg1yiAKrkamirq8NNe2&#10;THNTmljr308WgsvDeS/XrSlFQ7UrLCsYDiIQxKnVBWcKTsddfwbCeWSNpWVS8CQH69VHZ4mxtg/+&#10;pSbxmQgh7GJUkHtfxVK6NCeDbmAr4sDdbG3QB1hnUtf4COGmlKMomkqDBYeGHCva5JT+JXejoHe4&#10;N+2WNhO+PL/O4152/ZkOrVLdz/Z7AcJT69/il3uvFczD+vAl/A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OJXDBAAAA2wAAAA8AAAAAAAAAAAAAAAAAmAIAAGRycy9kb3du&#10;cmV2LnhtbFBLBQYAAAAABAAEAPUAAACGAwAAAAA=&#10;" fillcolor="#d0d7e5" stroked="f"/>
                <v:line id="Line 166" o:spid="_x0000_s1086" style="position:absolute;visibility:visible;mso-wrap-style:square" from="52120,12202" to="52129,12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SaBcIAAADbAAAADwAAAGRycy9kb3ducmV2LnhtbESP0YrCMBRE3xf8h3AF39a04i5ajSKC&#10;oPsgrPoBl+baVpub2sS2/r0RBB+HmTnDzJedKUVDtSssK4iHEQji1OqCMwWn4+Z7AsJ5ZI2lZVLw&#10;IAfLRe9rjom2Lf9Tc/CZCBB2CSrIva8SKV2ak0E3tBVx8M62NuiDrDOpa2wD3JRyFEW/0mDBYSHH&#10;itY5pdfD3Siwu/Xt2o5/9sf7dNz8kXSXuHRKDfrdagbCU+c/4Xd7qxVMY3h9CT9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gSaBcIAAADbAAAADwAAAAAAAAAAAAAA&#10;AAChAgAAZHJzL2Rvd25yZXYueG1sUEsFBgAAAAAEAAQA+QAAAJADAAAAAA==&#10;" strokecolor="#d0d7e5" strokeweight="0"/>
                <v:rect id="Rectangle 167" o:spid="_x0000_s1087" style="position:absolute;left:52120;top:12202;width:134;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enMUA&#10;AADbAAAADwAAAGRycy9kb3ducmV2LnhtbESPQWvCQBSE70L/w/IKvYhuTK3U1DWU0EJPSlWsx0f2&#10;NQnNvg3ZTYz/visIHoeZ+YZZpYOpRU+tqywrmE0jEMS51RUXCg77z8krCOeRNdaWScGFHKTrh9EK&#10;E23P/E39zhciQNglqKD0vkmkdHlJBt3UNsTB+7WtQR9kW0jd4jnATS3jKFpIgxWHhRIbykrK/3ad&#10;UTDedv3wQdmcfy4vx+dxcdosZlapp8fh/Q2Ep8Hfw7f2l1awjOH6JfwA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0B6cxQAAANsAAAAPAAAAAAAAAAAAAAAAAJgCAABkcnMv&#10;ZG93bnJldi54bWxQSwUGAAAAAAQABAD1AAAAigMAAAAA&#10;" fillcolor="#d0d7e5" stroked="f"/>
                <v:line id="Line 168" o:spid="_x0000_s1088" style="position:absolute;visibility:visible;mso-wrap-style:square" from="59855,12202" to="59864,12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qh6cQAAADbAAAADwAAAGRycy9kb3ducmV2LnhtbESP3WoCMRSE7wXfIRyhd5q1VdHVKGWh&#10;0Pai4M8DHDbH3dXNyTbJ/vTtm0LBy2FmvmF2h8HUoiPnK8sK5rMEBHFudcWFgsv5bboG4QOyxtoy&#10;KfghD4f9eLTDVNuej9SdQiEihH2KCsoQmlRKn5dk0M9sQxy9q3UGQ5SukNphH+Gmls9JspIGK44L&#10;JTaUlZTfT61RYD+y73u/WH6d282i+yTpb/PaK/U0GV63IAIN4RH+b79rBZsX+PsSf4D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qHpxAAAANsAAAAPAAAAAAAAAAAA&#10;AAAAAKECAABkcnMvZG93bnJldi54bWxQSwUGAAAAAAQABAD5AAAAkgMAAAAA&#10;" strokecolor="#d0d7e5" strokeweight="0"/>
                <v:rect id="Rectangle 169" o:spid="_x0000_s1089" style="position:absolute;left:59855;top:12202;width:133;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jc8UA&#10;AADbAAAADwAAAGRycy9kb3ducmV2LnhtbESPQWvCQBSE74X+h+UVvIjZxFqpMRspotBTpSrW4yP7&#10;TEKzb0N2jfHfdwuFHoeZ+YbJVoNpRE+dqy0rSKIYBHFhdc2lguNhO3kF4TyyxsYyKbiTg1X++JBh&#10;qu2NP6nf+1IECLsUFVTet6mUrqjIoItsSxy8i+0M+iC7UuoObwFuGjmN47k0WHNYqLCldUXF9/5q&#10;FIx3137Y0HrGX/eX0/O4PH/ME6vU6Gl4W4LwNPj/8F/7XStYzOD3S/gB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dSNzxQAAANsAAAAPAAAAAAAAAAAAAAAAAJgCAABkcnMv&#10;ZG93bnJldi54bWxQSwUGAAAAAAQABAD1AAAAigMAAAAA&#10;" fillcolor="#d0d7e5" stroked="f"/>
                <v:line id="Line 170" o:spid="_x0000_s1090" style="position:absolute;visibility:visible;mso-wrap-style:square" from="59988,0" to="599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cBsMAAADbAAAADwAAAGRycy9kb3ducmV2LnhtbESP0YrCMBRE3xf2H8Jd8G1NFV202ygi&#10;COqDsOoHXJpr221zU5vY1r83guDjMDNnmGTZm0q01LjCsoLRMAJBnFpdcKbgfNp8z0A4j6yxskwK&#10;7uRgufj8SDDWtuM/ao8+EwHCLkYFufd1LKVLczLohrYmDt7FNgZ9kE0mdYNdgJtKjqPoRxosOCzk&#10;WNM6p7Q83owCu1tfy24yPZxu80m7J+n+R5VTavDVr35BeOr9O/xqb7WC+RSeX8IP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nAbDAAAA2wAAAA8AAAAAAAAAAAAA&#10;AAAAoQIAAGRycy9kb3ducmV2LnhtbFBLBQYAAAAABAAEAPkAAACRAwAAAAA=&#10;" strokecolor="#d0d7e5" strokeweight="0"/>
                <v:rect id="Rectangle 171" o:spid="_x0000_s1091" style="position:absolute;left:59988;width:133;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Yn8UA&#10;AADbAAAADwAAAGRycy9kb3ducmV2LnhtbESPQWvCQBSE70L/w/IKvUjdxGpoUzci0oKnirFUj4/s&#10;axKafRuya4z/3i0IHoeZ+YZZLAfTiJ46V1tWEE8iEMSF1TWXCr73n8+vIJxH1thYJgUXcrDMHkYL&#10;TLU984763JciQNilqKDyvk2ldEVFBt3EtsTB+7WdQR9kV0rd4TnATSOnUZRIgzWHhQpbWldU/OUn&#10;o2C8PfXDB61nfLjMf17G5fEria1ST4/D6h2Ep8Hfw7f2Rit4S+D/S/gB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6xifxQAAANsAAAAPAAAAAAAAAAAAAAAAAJgCAABkcnMv&#10;ZG93bnJldi54bWxQSwUGAAAAAAQABAD1AAAAigMAAAAA&#10;" fillcolor="#d0d7e5" stroked="f"/>
                <v:line id="Line 172" o:spid="_x0000_s1092" style="position:absolute;visibility:visible;mso-wrap-style:square" from="59988,2417" to="59997,2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Gn6sQAAADbAAAADwAAAGRycy9kb3ducmV2LnhtbESP0WrCQBRE3wv+w3KFvjUbi201uglF&#10;KNQ+CCb9gEv2mkSzd9PsmsS/7xaEPg4zc4bZZpNpxUC9aywrWEQxCOLS6oYrBd/Fx9MKhPPIGlvL&#10;pOBGDrJ09rDFRNuRjzTkvhIBwi5BBbX3XSKlK2sy6CLbEQfvZHuDPsi+krrHMcBNK5/j+FUabDgs&#10;1NjRrqbykl+NArvf/VzG5cuhuK6XwxdJd160TqnH+fS+AeFp8v/he/tTK1i/wd+X8ANk+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oafqxAAAANsAAAAPAAAAAAAAAAAA&#10;AAAAAKECAABkcnMvZG93bnJldi54bWxQSwUGAAAAAAQABAD5AAAAkgMAAAAA&#10;" strokecolor="#d0d7e5" strokeweight="0"/>
                <v:rect id="Rectangle 173" o:spid="_x0000_s1093" style="position:absolute;left:59988;top:2417;width:133;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gpdsEA&#10;AADbAAAADwAAAGRycy9kb3ducmV2LnhtbERPy4rCMBTdC/MP4Q64EU19jGg1yiAKrkamirq8NNe2&#10;THNTmljr308WgsvDeS/XrSlFQ7UrLCsYDiIQxKnVBWcKTsddfwbCeWSNpWVS8CQH69VHZ4mxtg/+&#10;pSbxmQgh7GJUkHtfxVK6NCeDbmAr4sDdbG3QB1hnUtf4COGmlKMomkqDBYeGHCva5JT+JXejoHe4&#10;N+2WNhO+PL/O4152/ZkOrVLdz/Z7AcJT69/il3uvFczD2PAl/A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4KXbBAAAA2wAAAA8AAAAAAAAAAAAAAAAAmAIAAGRycy9kb3du&#10;cmV2LnhtbFBLBQYAAAAABAAEAPUAAACGAwAAAAA=&#10;" fillcolor="#d0d7e5" stroked="f"/>
                <v:line id="Line 174" o:spid="_x0000_s1094" style="position:absolute;visibility:visible;mso-wrap-style:square" from="59988,4825" to="59997,4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KWA8IAAADbAAAADwAAAGRycy9kb3ducmV2LnhtbESP0YrCMBRE3xf8h3AF39ZUcRdbjSKC&#10;oPsgrPoBl+baVpub2sS2/r0RBB+HmTnDzJedKUVDtSssKxgNIxDEqdUFZwpOx833FITzyBpLy6Tg&#10;QQ6Wi97XHBNtW/6n5uAzESDsElSQe18lUro0J4NuaCvi4J1tbdAHWWdS19gGuCnlOIp+pcGCw0KO&#10;Fa1zSq+Hu1Fgd+vbtZ387I/3eNL8kXSXUemUGvS71QyEp85/wu/2ViuIY3h9CT9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HKWA8IAAADbAAAADwAAAAAAAAAAAAAA&#10;AAChAgAAZHJzL2Rvd25yZXYueG1sUEsFBgAAAAAEAAQA+QAAAJADAAAAAA==&#10;" strokecolor="#d0d7e5" strokeweight="0"/>
                <v:rect id="Rectangle 175" o:spid="_x0000_s1095" style="position:absolute;left:59988;top:4825;width:133;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t+osYA&#10;AADcAAAADwAAAGRycy9kb3ducmV2LnhtbESPT2vCQBDF7wW/wzJCL6Ib+0ckdRNELPRkqYr2OGSn&#10;SWh2NmTXGL995yD0NsN7895vVvngGtVTF2rPBuazBBRx4W3NpYHj4X26BBUissXGMxm4UYA8Gz2s&#10;MLX+yl/U72OpJIRDigaqGNtU61BU5DDMfEss2o/vHEZZu1LbDq8S7hr9lCQL7bBmaaiwpU1Fxe/+&#10;4gxMPi/9sKXNC59vr6fnSfm9W8y9MY/jYf0GKtIQ/8336w8r+IngyzMyg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t+osYAAADcAAAADwAAAAAAAAAAAAAAAACYAgAAZHJz&#10;L2Rvd25yZXYueG1sUEsFBgAAAAAEAAQA9QAAAIsDAAAAAA==&#10;" fillcolor="#d0d7e5" stroked="f"/>
                <v:line id="Line 176" o:spid="_x0000_s1096" style="position:absolute;visibility:visible;mso-wrap-style:square" from="59988,7243" to="59997,7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KLt8EAAADcAAAADwAAAGRycy9kb3ducmV2LnhtbERPzYrCMBC+C75DmAVvmnZR0a5RRBDU&#10;g2D1AYZmtu3aTLpNbLtvvxEEb/Px/c5q05tKtNS40rKCeBKBIM6sLjlXcLvuxwsQziNrrCyTgj9y&#10;sFkPBytMtO34Qm3qcxFC2CWooPC+TqR0WUEG3cTWxIH7to1BH2CTS91gF8JNJT+jaC4NlhwaCqxp&#10;V1B2Tx9GgT3ufu/ddHa+PpbT9kTS/cSVU2r00W+/QHjq/Vv8ch90mB/F8HwmXC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gou3wQAAANwAAAAPAAAAAAAAAAAAAAAA&#10;AKECAABkcnMvZG93bnJldi54bWxQSwUGAAAAAAQABAD5AAAAjwMAAAAA&#10;" strokecolor="#d0d7e5" strokeweight="0"/>
                <v:rect id="Rectangle 177" o:spid="_x0000_s1097" style="position:absolute;left:59988;top:7243;width:133;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VFTsEA&#10;AADcAAAADwAAAGRycy9kb3ducmV2LnhtbERPS4vCMBC+L/gfwgheRFOfSNcoIgqeFN1F9zg0Y1ts&#10;JqWJtf57Iwh7m4/vOfNlYwpRU+VyywoG/QgEcWJ1zqmC359tbwbCeWSNhWVS8CQHy0Xra46xtg8+&#10;Un3yqQgh7GJUkHlfxlK6JCODrm9L4sBdbWXQB1ilUlf4COGmkMMomkqDOYeGDEtaZ5TcTnejoHu4&#10;182G1mO+PCfnUTf9208HVqlOu1l9g/DU+H/xx73TYX40hPcz4QK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lRU7BAAAA3AAAAA8AAAAAAAAAAAAAAAAAmAIAAGRycy9kb3du&#10;cmV2LnhtbFBLBQYAAAAABAAEAPUAAACGAwAAAAA=&#10;" fillcolor="#d0d7e5" stroked="f"/>
                <v:line id="Line 178" o:spid="_x0000_s1098" style="position:absolute;visibility:visible;mso-wrap-style:square" from="59988,12069" to="59997,12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ywW8MAAADcAAAADwAAAGRycy9kb3ducmV2LnhtbERP22qDQBB9D/QflinkLa7mUhqbNZRA&#10;oO1DoNoPGNyJ2riz1t2o/ftuIZC3OZzr7PaTacVAvWssK0iiGARxaXXDlYKv4rh4BuE8ssbWMin4&#10;JQf77GG2w1TbkT9pyH0lQgi7FBXU3neplK6syaCLbEccuLPtDfoA+0rqHscQblq5jOMnabDh0FBj&#10;R4eaykt+NQrs++HnMq43p+K6XQ8fJN130jql5o/T6wsIT5O/i2/uNx3mxyv4fyZcIL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csFvDAAAA3AAAAA8AAAAAAAAAAAAA&#10;AAAAoQIAAGRycy9kb3ducmV2LnhtbFBLBQYAAAAABAAEAPkAAACRAwAAAAA=&#10;" strokecolor="#d0d7e5" strokeweight="0"/>
                <v:rect id="Rectangle 179" o:spid="_x0000_s1099" style="position:absolute;left:59988;top:12069;width:133;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B4ocIA&#10;AADcAAAADwAAAGRycy9kb3ducmV2LnhtbERPS4vCMBC+C/6HMIIX0dTHinSNIqLgaWVVdI9DM7bF&#10;ZlKaWOu/NwuCt/n4njNfNqYQNVUut6xgOIhAECdW55wqOB23/RkI55E1FpZJwZMcLBft1hxjbR/8&#10;S/XBpyKEsItRQeZ9GUvpkowMuoEtiQN3tZVBH2CVSl3hI4SbQo6iaCoN5hwaMixpnVFyO9yNgt7+&#10;XjcbWk/48vw6j3vp3890aJXqdprVNwhPjf+I3+6dDvOjCfw/Ey6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HihwgAAANwAAAAPAAAAAAAAAAAAAAAAAJgCAABkcnMvZG93&#10;bnJldi54bWxQSwUGAAAAAAQABAD1AAAAhwMAAAAA&#10;" fillcolor="#d0d7e5" stroked="f"/>
                <w10:anchorlock/>
              </v:group>
            </w:pict>
          </mc:Fallback>
        </mc:AlternateContent>
      </w:r>
    </w:p>
    <w:p w:rsidR="00CA3B4F" w:rsidRDefault="00CA3B4F">
      <w:pPr>
        <w:pStyle w:val="BodyText"/>
      </w:pPr>
      <w:r>
        <w:t>The Essential Services Commission measure rate increases as the movement in Rates and the Municipal Charge for all rateable property not by individual property.</w:t>
      </w:r>
    </w:p>
    <w:p w:rsidR="00CA3B4F" w:rsidRDefault="00CA3B4F" w:rsidP="00CA3B4F">
      <w:pPr>
        <w:pStyle w:val="Heading3A"/>
      </w:pPr>
      <w:r>
        <w:t>Rating Model</w:t>
      </w:r>
    </w:p>
    <w:p w:rsidR="00CA3B4F" w:rsidRPr="001848C2" w:rsidRDefault="00CA3B4F">
      <w:pPr>
        <w:pStyle w:val="BodyText"/>
      </w:pPr>
      <w:r w:rsidRPr="001848C2">
        <w:t xml:space="preserve">Key features of the Rating Model </w:t>
      </w:r>
      <w:r>
        <w:t xml:space="preserve">at the rate cap of 2.0% </w:t>
      </w:r>
      <w:r w:rsidRPr="001848C2">
        <w:t>are:</w:t>
      </w:r>
    </w:p>
    <w:p w:rsidR="00CA3B4F" w:rsidRDefault="00CA3B4F" w:rsidP="005167B1">
      <w:pPr>
        <w:pStyle w:val="ListParagraph"/>
        <w:numPr>
          <w:ilvl w:val="0"/>
          <w:numId w:val="43"/>
        </w:numPr>
        <w:spacing w:after="80"/>
        <w:ind w:left="357" w:hanging="357"/>
        <w:jc w:val="both"/>
      </w:pPr>
      <w:r>
        <w:t>The rate in the dollar for the Residential, Mixed Use, Farm and Cultural and Recreation differentials have increased in accordance with the 2.0% rate cap. Other differential rate in the dollar movements are as follows</w:t>
      </w:r>
      <w:r w:rsidR="00B347F4">
        <w:t>;</w:t>
      </w:r>
      <w:r>
        <w:t xml:space="preserve"> Vacant land has increased by 1.5%, Commercial has increased by 4.3%, Industrial has decreased by (2.0%) and Petroleum has decreased by (9.2%).</w:t>
      </w:r>
    </w:p>
    <w:p w:rsidR="00CA3B4F" w:rsidRDefault="00CA3B4F" w:rsidP="005167B1">
      <w:pPr>
        <w:pStyle w:val="ListParagraph"/>
        <w:numPr>
          <w:ilvl w:val="0"/>
          <w:numId w:val="43"/>
        </w:numPr>
        <w:spacing w:after="80"/>
        <w:ind w:left="357" w:hanging="357"/>
        <w:jc w:val="both"/>
      </w:pPr>
      <w:r>
        <w:lastRenderedPageBreak/>
        <w:t>The M</w:t>
      </w:r>
      <w:r w:rsidRPr="001C2192">
        <w:t xml:space="preserve">unicipal </w:t>
      </w:r>
      <w:r>
        <w:t>C</w:t>
      </w:r>
      <w:r w:rsidRPr="001C2192">
        <w:t>harge represents a fee on all rateable assessments as a contribution to the fixed and unavoidable costs of governance. The municipal charge is to increase from $</w:t>
      </w:r>
      <w:r>
        <w:t>96.65</w:t>
      </w:r>
      <w:r w:rsidRPr="001C2192">
        <w:t xml:space="preserve"> to $</w:t>
      </w:r>
      <w:r>
        <w:t>98.55</w:t>
      </w:r>
      <w:r w:rsidRPr="001C2192">
        <w:t xml:space="preserve"> or </w:t>
      </w:r>
      <w:r>
        <w:t>2.0</w:t>
      </w:r>
      <w:r w:rsidRPr="001C2192">
        <w:t>%.</w:t>
      </w:r>
    </w:p>
    <w:p w:rsidR="00CA3B4F" w:rsidRDefault="00CA3B4F" w:rsidP="005167B1">
      <w:pPr>
        <w:pStyle w:val="ListParagraph"/>
        <w:numPr>
          <w:ilvl w:val="0"/>
          <w:numId w:val="43"/>
        </w:numPr>
        <w:spacing w:after="80"/>
        <w:ind w:left="357" w:hanging="357"/>
        <w:jc w:val="both"/>
      </w:pPr>
      <w:r w:rsidRPr="00012424">
        <w:t xml:space="preserve">The Waste Collection Service charge is calculated based on a fee for service, including direct, indirect and overhead costs. </w:t>
      </w:r>
      <w:r w:rsidRPr="00BC159B">
        <w:t>The</w:t>
      </w:r>
      <w:r w:rsidRPr="002D6617">
        <w:t xml:space="preserve"> charge is impacted by cost estimates of </w:t>
      </w:r>
      <w:r>
        <w:t xml:space="preserve">EPA levy $34.00 </w:t>
      </w:r>
      <w:r w:rsidRPr="002D6617">
        <w:t xml:space="preserve">per </w:t>
      </w:r>
      <w:r>
        <w:t>tenement</w:t>
      </w:r>
      <w:r w:rsidRPr="002D6617">
        <w:t>.</w:t>
      </w:r>
      <w:r>
        <w:t xml:space="preserve"> </w:t>
      </w:r>
      <w:r w:rsidRPr="00012424">
        <w:t>The charge for 201</w:t>
      </w:r>
      <w:r>
        <w:t>7</w:t>
      </w:r>
      <w:r w:rsidRPr="00012424">
        <w:noBreakHyphen/>
      </w:r>
      <w:r>
        <w:t>18</w:t>
      </w:r>
      <w:r w:rsidRPr="00012424">
        <w:t xml:space="preserve"> will increase from $</w:t>
      </w:r>
      <w:r>
        <w:t>270.50</w:t>
      </w:r>
      <w:r w:rsidRPr="00012424">
        <w:t xml:space="preserve"> to $</w:t>
      </w:r>
      <w:r>
        <w:t>278.05</w:t>
      </w:r>
      <w:r w:rsidRPr="00012424">
        <w:t xml:space="preserve"> or </w:t>
      </w:r>
      <w:r>
        <w:t>2.8</w:t>
      </w:r>
      <w:r w:rsidRPr="00012424">
        <w:t>%.</w:t>
      </w:r>
    </w:p>
    <w:p w:rsidR="00CA3B4F" w:rsidRDefault="00CA3B4F" w:rsidP="005167B1">
      <w:pPr>
        <w:pStyle w:val="ListParagraph"/>
        <w:numPr>
          <w:ilvl w:val="0"/>
          <w:numId w:val="43"/>
        </w:numPr>
        <w:spacing w:after="80"/>
        <w:ind w:left="357" w:hanging="357"/>
        <w:jc w:val="both"/>
      </w:pPr>
      <w:r>
        <w:t xml:space="preserve">A </w:t>
      </w:r>
      <w:r w:rsidR="00673492">
        <w:t xml:space="preserve">section </w:t>
      </w:r>
      <w:r>
        <w:t>162 Service Charge known as Additional Bins Service was introduced in 2016-17. The criteria is set for families with six or more occupants within a household who may apply for an additional garbage, recycling or green waste bin. In accordance with the Council decision on 26 April 2017 this criteria will be removed from 1 January 2018 and any ratepayer can apply for the service. The charges for 2017-18 are $138.80 for a 140L garbage bin, $99.50 to change from a 140L garbage bin to the larger 240L garbage bin, $49.30 for a 240L recycling bin and $92.50 for a 240L green waste bin.</w:t>
      </w:r>
    </w:p>
    <w:p w:rsidR="00CA3B4F" w:rsidRDefault="00CA3B4F" w:rsidP="005167B1">
      <w:pPr>
        <w:pStyle w:val="ListParagraph"/>
        <w:numPr>
          <w:ilvl w:val="0"/>
          <w:numId w:val="43"/>
        </w:numPr>
        <w:spacing w:after="80"/>
        <w:ind w:left="357" w:hanging="357"/>
        <w:jc w:val="both"/>
      </w:pPr>
      <w:r w:rsidRPr="00D576C5">
        <w:t xml:space="preserve">The Farm rebate will </w:t>
      </w:r>
      <w:r>
        <w:t>be retained at 40</w:t>
      </w:r>
      <w:r w:rsidRPr="00D576C5">
        <w:t>%</w:t>
      </w:r>
      <w:r>
        <w:t>.</w:t>
      </w:r>
      <w:r w:rsidRPr="00D576C5">
        <w:t xml:space="preserve"> This rebate provides ongoing rate reli</w:t>
      </w:r>
      <w:r>
        <w:t xml:space="preserve">ef to farmers. </w:t>
      </w:r>
      <w:r w:rsidRPr="00D576C5">
        <w:t>In 201</w:t>
      </w:r>
      <w:r>
        <w:t>7</w:t>
      </w:r>
      <w:r w:rsidRPr="00D576C5">
        <w:noBreakHyphen/>
      </w:r>
      <w:r>
        <w:t>18</w:t>
      </w:r>
      <w:r w:rsidRPr="00D576C5">
        <w:t xml:space="preserve"> a </w:t>
      </w:r>
      <w:r>
        <w:t>40</w:t>
      </w:r>
      <w:r w:rsidRPr="00D576C5">
        <w:t>% rebate represents a cost to Council of $</w:t>
      </w:r>
      <w:r>
        <w:t>1.692m</w:t>
      </w:r>
      <w:r w:rsidRPr="00D576C5">
        <w:t>.</w:t>
      </w:r>
    </w:p>
    <w:p w:rsidR="00CA3B4F" w:rsidRDefault="00CA3B4F" w:rsidP="005167B1">
      <w:pPr>
        <w:pStyle w:val="ListParagraph"/>
        <w:numPr>
          <w:ilvl w:val="0"/>
          <w:numId w:val="43"/>
        </w:numPr>
        <w:spacing w:after="80"/>
        <w:ind w:left="357" w:hanging="357"/>
        <w:jc w:val="both"/>
      </w:pPr>
      <w:r>
        <w:t xml:space="preserve">The Petroleum differential has been aligned to the Industrial rate in the dollar, as per Council’s adopted Statement of Principle. </w:t>
      </w:r>
    </w:p>
    <w:p w:rsidR="00CA3B4F" w:rsidRDefault="00CA3B4F" w:rsidP="005167B1">
      <w:pPr>
        <w:pStyle w:val="ListParagraph"/>
        <w:numPr>
          <w:ilvl w:val="0"/>
          <w:numId w:val="43"/>
        </w:numPr>
        <w:spacing w:after="80"/>
        <w:ind w:left="357" w:hanging="357"/>
        <w:jc w:val="both"/>
      </w:pPr>
      <w:r>
        <w:t>The Automobile differential has been discontinued from 2017-18 since there are no properties that satisfy the land use description. These properties will be rated as Industrial.</w:t>
      </w:r>
    </w:p>
    <w:p w:rsidR="00CA3B4F" w:rsidRDefault="00CA3B4F" w:rsidP="005167B1">
      <w:pPr>
        <w:pStyle w:val="ListParagraph"/>
        <w:numPr>
          <w:ilvl w:val="0"/>
          <w:numId w:val="43"/>
        </w:numPr>
        <w:spacing w:after="80"/>
        <w:ind w:left="357" w:hanging="357"/>
        <w:jc w:val="both"/>
      </w:pPr>
      <w:r>
        <w:t>The Industrial land use definition has been amended to include warehousing. This will align Council’s definition with the FSPL classification to reduce confusion for the ratepayer.</w:t>
      </w:r>
    </w:p>
    <w:p w:rsidR="00CA3B4F" w:rsidRDefault="00CA3B4F" w:rsidP="005167B1">
      <w:pPr>
        <w:pStyle w:val="ListParagraph"/>
        <w:numPr>
          <w:ilvl w:val="0"/>
          <w:numId w:val="43"/>
        </w:numPr>
        <w:spacing w:after="80"/>
        <w:ind w:left="357" w:hanging="357"/>
        <w:jc w:val="both"/>
      </w:pPr>
      <w:r>
        <w:t>For 2016-17 the Industrial rate in the dollar is 40% higher than the Commercial rate in the dollar. The relativity between the Industrial and Commercial differentials is to be more closely aligned commencing 2017-18 and continuing in future years.</w:t>
      </w:r>
    </w:p>
    <w:p w:rsidR="00CA3B4F" w:rsidRDefault="00CA3B4F" w:rsidP="005167B1">
      <w:pPr>
        <w:pStyle w:val="ListParagraph"/>
        <w:numPr>
          <w:ilvl w:val="0"/>
          <w:numId w:val="43"/>
        </w:numPr>
        <w:spacing w:after="80"/>
        <w:ind w:left="357" w:hanging="357"/>
        <w:jc w:val="both"/>
      </w:pPr>
      <w:r>
        <w:t>Council will revert to the definition of Cultural and Recreational Land use as per the Cultural and Recreational Lands Act 1963. Any affected properties will be eligible for a transitional rebate to the otherwise applicable rate. The transitional rebate is to be set at 75% for 2017-18.</w:t>
      </w:r>
    </w:p>
    <w:p w:rsidR="00CA3B4F" w:rsidRDefault="00CA3B4F" w:rsidP="005167B1">
      <w:pPr>
        <w:pStyle w:val="ListParagraph"/>
        <w:numPr>
          <w:ilvl w:val="0"/>
          <w:numId w:val="43"/>
        </w:numPr>
        <w:spacing w:after="80"/>
        <w:ind w:left="357" w:hanging="357"/>
        <w:jc w:val="both"/>
      </w:pPr>
      <w:r>
        <w:t>The Housing Support Waiver for eligible Charitable Housing will be maintained for 2017-18 and will be available upon application for eligible properties.</w:t>
      </w:r>
    </w:p>
    <w:p w:rsidR="00CA3B4F" w:rsidRDefault="00CA3B4F" w:rsidP="005167B1">
      <w:pPr>
        <w:pStyle w:val="ListParagraph"/>
        <w:numPr>
          <w:ilvl w:val="0"/>
          <w:numId w:val="43"/>
        </w:numPr>
        <w:spacing w:after="80"/>
        <w:ind w:left="357" w:hanging="357"/>
        <w:jc w:val="both"/>
      </w:pPr>
      <w:r w:rsidRPr="008521B0">
        <w:t>A rates waiver introduced for the New Corio Estate from 2013-2014 recognising this inappropriate subdivision and Planning Scheme Amendment C243 will be maintained.</w:t>
      </w:r>
    </w:p>
    <w:p w:rsidR="00CA3B4F" w:rsidRDefault="00CA3B4F" w:rsidP="005167B1">
      <w:pPr>
        <w:pStyle w:val="ListParagraph"/>
        <w:numPr>
          <w:ilvl w:val="0"/>
          <w:numId w:val="43"/>
        </w:numPr>
        <w:spacing w:after="80"/>
        <w:ind w:left="357" w:hanging="357"/>
        <w:jc w:val="both"/>
      </w:pPr>
      <w:r w:rsidRPr="00BC159B">
        <w:lastRenderedPageBreak/>
        <w:t>The pensioner concession will increase from $</w:t>
      </w:r>
      <w:r>
        <w:t>218.30</w:t>
      </w:r>
      <w:r w:rsidRPr="00BC159B">
        <w:t xml:space="preserve"> in accordance with movement in </w:t>
      </w:r>
      <w:smartTag w:uri="urn:schemas-microsoft-com:office:smarttags" w:element="stockticker">
        <w:r w:rsidRPr="00BC159B">
          <w:t>CPI</w:t>
        </w:r>
      </w:smartTag>
      <w:r w:rsidRPr="00BC159B">
        <w:t xml:space="preserve"> for Melbourne as advised by the Australian Bureau of Statistics</w:t>
      </w:r>
      <w:r>
        <w:t xml:space="preserve"> to $223.80</w:t>
      </w:r>
      <w:r w:rsidR="009D51D8">
        <w:t>.</w:t>
      </w:r>
    </w:p>
    <w:p w:rsidR="00CA3B4F" w:rsidRDefault="00CA3B4F">
      <w:pPr>
        <w:pStyle w:val="Heading4A"/>
      </w:pPr>
      <w:r w:rsidRPr="00B41589">
        <w:t>Rebates - Section 169 of the LGA Rebates</w:t>
      </w:r>
    </w:p>
    <w:p w:rsidR="00CA3B4F" w:rsidRDefault="00CA3B4F">
      <w:pPr>
        <w:pStyle w:val="BodyText"/>
      </w:pPr>
      <w:r>
        <w:t>For 2017-18 the following rebates will apply:</w:t>
      </w:r>
    </w:p>
    <w:p w:rsidR="00CA3B4F" w:rsidRDefault="00CA3B4F" w:rsidP="005167B1">
      <w:pPr>
        <w:pStyle w:val="ListParagraph"/>
        <w:numPr>
          <w:ilvl w:val="0"/>
          <w:numId w:val="43"/>
        </w:numPr>
        <w:spacing w:after="80"/>
        <w:ind w:left="357" w:hanging="357"/>
        <w:jc w:val="both"/>
      </w:pPr>
      <w:r>
        <w:t>Farm Rebate.</w:t>
      </w:r>
    </w:p>
    <w:p w:rsidR="00CA3B4F" w:rsidRDefault="00CA3B4F" w:rsidP="005167B1">
      <w:pPr>
        <w:pStyle w:val="ListParagraph"/>
        <w:numPr>
          <w:ilvl w:val="0"/>
          <w:numId w:val="43"/>
        </w:numPr>
        <w:spacing w:after="80"/>
        <w:ind w:left="357" w:hanging="357"/>
        <w:jc w:val="both"/>
      </w:pPr>
      <w:r>
        <w:t>Cultural and Recreational Transitional Rebate.</w:t>
      </w:r>
    </w:p>
    <w:p w:rsidR="00CA3B4F" w:rsidRPr="00B41589" w:rsidRDefault="00CA3B4F">
      <w:pPr>
        <w:pStyle w:val="Heading4A"/>
      </w:pPr>
      <w:r w:rsidRPr="00B41589">
        <w:t>Waivers - Section 171 of the LGA Waivers</w:t>
      </w:r>
    </w:p>
    <w:p w:rsidR="00CA3B4F" w:rsidRDefault="00CA3B4F">
      <w:pPr>
        <w:pStyle w:val="BodyText"/>
      </w:pPr>
      <w:r>
        <w:t>For 2017-18 the following waivers will apply:</w:t>
      </w:r>
    </w:p>
    <w:p w:rsidR="00CA3B4F" w:rsidRDefault="00CA3B4F" w:rsidP="005167B1">
      <w:pPr>
        <w:pStyle w:val="ListParagraph"/>
        <w:numPr>
          <w:ilvl w:val="0"/>
          <w:numId w:val="43"/>
        </w:numPr>
        <w:spacing w:after="80"/>
        <w:ind w:left="357" w:hanging="357"/>
        <w:jc w:val="both"/>
      </w:pPr>
      <w:r>
        <w:t>Rates Assistance Waiver (Valuation increase over 50%).</w:t>
      </w:r>
    </w:p>
    <w:p w:rsidR="00CA3B4F" w:rsidRDefault="00CA3B4F" w:rsidP="005167B1">
      <w:pPr>
        <w:pStyle w:val="ListParagraph"/>
        <w:numPr>
          <w:ilvl w:val="0"/>
          <w:numId w:val="43"/>
        </w:numPr>
        <w:spacing w:after="80"/>
        <w:ind w:left="357" w:hanging="357"/>
        <w:jc w:val="both"/>
      </w:pPr>
      <w:r>
        <w:t>Housing Support Waiver.</w:t>
      </w:r>
    </w:p>
    <w:p w:rsidR="00CA3B4F" w:rsidRDefault="00CA3B4F" w:rsidP="005167B1">
      <w:pPr>
        <w:pStyle w:val="ListParagraph"/>
        <w:numPr>
          <w:ilvl w:val="0"/>
          <w:numId w:val="43"/>
        </w:numPr>
        <w:spacing w:after="80"/>
        <w:ind w:left="357" w:hanging="357"/>
        <w:jc w:val="both"/>
      </w:pPr>
      <w:r>
        <w:t>New Corio Estate (Inappropriate Subdivision) Waiver.</w:t>
      </w:r>
    </w:p>
    <w:p w:rsidR="00CA3B4F" w:rsidRPr="00BA4451" w:rsidRDefault="00CA3B4F" w:rsidP="00CA3B4F">
      <w:pPr>
        <w:pStyle w:val="Heading3A"/>
      </w:pPr>
      <w:r w:rsidRPr="00BA4451">
        <w:t>Recycling and Waste Collection Service Charge</w:t>
      </w:r>
    </w:p>
    <w:p w:rsidR="00CA3B4F" w:rsidRPr="00D576C5" w:rsidRDefault="00CA3B4F">
      <w:pPr>
        <w:pStyle w:val="BodyText"/>
        <w:rPr>
          <w:lang w:val="en-US"/>
        </w:rPr>
      </w:pPr>
      <w:r w:rsidRPr="00D576C5">
        <w:t>The Annual Service Charge is proposed at $</w:t>
      </w:r>
      <w:r>
        <w:t>278.05</w:t>
      </w:r>
      <w:r w:rsidRPr="00D576C5">
        <w:t xml:space="preserve"> for each rateable land and non-rateable land. The charge </w:t>
      </w:r>
      <w:r>
        <w:t>is</w:t>
      </w:r>
      <w:r w:rsidRPr="00D576C5">
        <w:t xml:space="preserve"> levied on the following criteria:</w:t>
      </w:r>
    </w:p>
    <w:p w:rsidR="00CA3B4F" w:rsidRDefault="00CA3B4F" w:rsidP="005167B1">
      <w:pPr>
        <w:pStyle w:val="ListParagraph"/>
        <w:numPr>
          <w:ilvl w:val="0"/>
          <w:numId w:val="43"/>
        </w:numPr>
        <w:spacing w:after="80"/>
        <w:ind w:left="357" w:hanging="357"/>
        <w:jc w:val="both"/>
      </w:pPr>
      <w:r w:rsidRPr="00D576C5">
        <w:t xml:space="preserve">Geographic existence within those areas of the municipal district in which Council provides a domestic refuse collection and disposal service. </w:t>
      </w:r>
    </w:p>
    <w:p w:rsidR="00CA3B4F" w:rsidRDefault="00CA3B4F" w:rsidP="005167B1">
      <w:pPr>
        <w:pStyle w:val="ListParagraph"/>
        <w:numPr>
          <w:ilvl w:val="0"/>
          <w:numId w:val="43"/>
        </w:numPr>
        <w:spacing w:after="80"/>
        <w:ind w:left="357" w:hanging="357"/>
        <w:jc w:val="both"/>
      </w:pPr>
      <w:r w:rsidRPr="00D576C5">
        <w:t>The charge will be raised irrespective of whether the service is used or not.</w:t>
      </w:r>
    </w:p>
    <w:p w:rsidR="00CA3B4F" w:rsidRDefault="00CA3B4F" w:rsidP="005167B1">
      <w:pPr>
        <w:pStyle w:val="ListParagraph"/>
        <w:numPr>
          <w:ilvl w:val="0"/>
          <w:numId w:val="43"/>
        </w:numPr>
        <w:spacing w:after="80"/>
        <w:ind w:left="357" w:hanging="357"/>
        <w:jc w:val="both"/>
      </w:pPr>
      <w:r w:rsidRPr="00B0096F">
        <w:t xml:space="preserve">The Waste Collection Service charge is calculated based on a fee for service, including direct, indirect </w:t>
      </w:r>
      <w:r>
        <w:t>and o</w:t>
      </w:r>
      <w:r w:rsidRPr="00B0096F">
        <w:t>verhead costs.  The charge for 201</w:t>
      </w:r>
      <w:r>
        <w:t>7</w:t>
      </w:r>
      <w:r w:rsidRPr="00B0096F">
        <w:noBreakHyphen/>
      </w:r>
      <w:r>
        <w:t>18</w:t>
      </w:r>
      <w:r w:rsidRPr="00B0096F">
        <w:t xml:space="preserve"> will increase from $</w:t>
      </w:r>
      <w:r>
        <w:t>270.50</w:t>
      </w:r>
      <w:r w:rsidRPr="00B0096F">
        <w:t xml:space="preserve"> to $</w:t>
      </w:r>
      <w:r>
        <w:t>278.05</w:t>
      </w:r>
      <w:r w:rsidRPr="00B0096F">
        <w:t xml:space="preserve"> or </w:t>
      </w:r>
      <w:r>
        <w:t>2.8</w:t>
      </w:r>
      <w:r w:rsidRPr="00B0096F">
        <w:t>%.</w:t>
      </w:r>
    </w:p>
    <w:p w:rsidR="00CA3B4F" w:rsidRDefault="00CA3B4F">
      <w:pPr>
        <w:pStyle w:val="BodyText"/>
      </w:pPr>
      <w:r w:rsidRPr="00E74929">
        <w:t xml:space="preserve">Provision has been </w:t>
      </w:r>
      <w:r>
        <w:t>retained</w:t>
      </w:r>
      <w:r w:rsidRPr="00E74929">
        <w:t xml:space="preserve"> for a HACC support program for</w:t>
      </w:r>
      <w:r>
        <w:t xml:space="preserve"> aged </w:t>
      </w:r>
      <w:r w:rsidRPr="00E74929">
        <w:t>residents requiring assistance with waste removal.</w:t>
      </w:r>
    </w:p>
    <w:p w:rsidR="00CA3B4F" w:rsidRPr="00D221C5" w:rsidRDefault="00CA3B4F">
      <w:pPr>
        <w:pStyle w:val="BodyText"/>
      </w:pPr>
      <w:r w:rsidRPr="000064D5">
        <w:t>The Annual Service Charge – Additional Bin Service.</w:t>
      </w:r>
    </w:p>
    <w:p w:rsidR="00CA3B4F" w:rsidRPr="000064D5" w:rsidRDefault="00CA3B4F">
      <w:pPr>
        <w:pStyle w:val="BodyText"/>
      </w:pPr>
      <w:r w:rsidRPr="000064D5">
        <w:t xml:space="preserve">From 1 July 2016 the additional bin service </w:t>
      </w:r>
      <w:r>
        <w:t>was made</w:t>
      </w:r>
      <w:r w:rsidRPr="000064D5">
        <w:t xml:space="preserve"> available via application compliant with the following criteria:</w:t>
      </w:r>
    </w:p>
    <w:p w:rsidR="00CA3B4F" w:rsidRDefault="00CA3B4F" w:rsidP="005167B1">
      <w:pPr>
        <w:pStyle w:val="ListParagraph"/>
        <w:numPr>
          <w:ilvl w:val="0"/>
          <w:numId w:val="43"/>
        </w:numPr>
        <w:spacing w:after="80"/>
        <w:ind w:left="357" w:hanging="357"/>
        <w:jc w:val="both"/>
      </w:pPr>
      <w:r w:rsidRPr="000064D5">
        <w:t>Families with six or more occupants within a household may apply for an additional garbage and/or recycling bin</w:t>
      </w:r>
      <w:r>
        <w:t>. In accordance with the Council decision on 26 April 2017 this criteria will be removed from 1 January 2018 and any ratepayer can apply for the service</w:t>
      </w:r>
      <w:r w:rsidRPr="000064D5">
        <w:t>;</w:t>
      </w:r>
    </w:p>
    <w:p w:rsidR="00CA3B4F" w:rsidRDefault="00CA3B4F" w:rsidP="005167B1">
      <w:pPr>
        <w:pStyle w:val="ListParagraph"/>
        <w:numPr>
          <w:ilvl w:val="0"/>
          <w:numId w:val="43"/>
        </w:numPr>
        <w:spacing w:after="80"/>
        <w:ind w:left="357" w:hanging="357"/>
        <w:jc w:val="both"/>
      </w:pPr>
      <w:r>
        <w:t>For residential properties to be eligible for an additional green waste bin, the property must have a minimum area of 1,500m2 (1 acre = 4,046m2)</w:t>
      </w:r>
      <w:r w:rsidRPr="000064D5">
        <w:t>;</w:t>
      </w:r>
    </w:p>
    <w:p w:rsidR="00CA3B4F" w:rsidRDefault="00CA3B4F" w:rsidP="005167B1">
      <w:pPr>
        <w:pStyle w:val="ListParagraph"/>
        <w:numPr>
          <w:ilvl w:val="0"/>
          <w:numId w:val="43"/>
        </w:numPr>
        <w:spacing w:after="80"/>
        <w:ind w:left="357" w:hanging="357"/>
        <w:jc w:val="both"/>
      </w:pPr>
      <w:r>
        <w:t>The green waste additional bin will only become available when the Anakie Road Green Organics processing facility is fully operational.</w:t>
      </w:r>
    </w:p>
    <w:p w:rsidR="00CA3B4F" w:rsidRDefault="00CA3B4F" w:rsidP="005167B1">
      <w:pPr>
        <w:pStyle w:val="ListParagraph"/>
        <w:numPr>
          <w:ilvl w:val="0"/>
          <w:numId w:val="43"/>
        </w:numPr>
        <w:spacing w:after="80"/>
        <w:ind w:left="357" w:hanging="357"/>
        <w:jc w:val="both"/>
      </w:pPr>
      <w:r w:rsidRPr="000064D5">
        <w:lastRenderedPageBreak/>
        <w:t>In all cases of application for additional bins, Council reserves the right to inspect the applicant’s existing bins to confirm that they are overloaded. If this cannot be confirmed, the additional bins will not be provided;</w:t>
      </w:r>
    </w:p>
    <w:p w:rsidR="00CA3B4F" w:rsidRDefault="00CA3B4F" w:rsidP="005167B1">
      <w:pPr>
        <w:pStyle w:val="ListParagraph"/>
        <w:numPr>
          <w:ilvl w:val="0"/>
          <w:numId w:val="43"/>
        </w:numPr>
        <w:spacing w:after="80"/>
        <w:ind w:left="357" w:hanging="357"/>
        <w:jc w:val="both"/>
      </w:pPr>
      <w:r w:rsidRPr="000064D5">
        <w:t>The property owner or their authorised agent signs the additional bin application form, provides appropriate supporting evidence and agrees to the application service charge.</w:t>
      </w:r>
    </w:p>
    <w:p w:rsidR="00CA3B4F" w:rsidRPr="000064D5" w:rsidRDefault="00CA3B4F">
      <w:pPr>
        <w:pStyle w:val="BodyText"/>
      </w:pPr>
      <w:r w:rsidRPr="000064D5">
        <w:t>Applications that meet the criteria will be billed via the Rate, Valuation &amp; Charges notice.</w:t>
      </w:r>
      <w:r>
        <w:t xml:space="preserve"> Council will be considering a proposal to remove the eligibility criteria with a potential commencement date from 1 January 2018.</w:t>
      </w:r>
    </w:p>
    <w:p w:rsidR="00CA3B4F" w:rsidRPr="000064D5" w:rsidRDefault="00CA3B4F">
      <w:pPr>
        <w:pStyle w:val="BodyText"/>
      </w:pPr>
      <w:r w:rsidRPr="000064D5">
        <w:t>If an application is received and approved in the first six months of the financial year, that is, from July to December, the full annual cost of the additional bin will be charged. If an application is received and approved in the second half of the financial year, that is January to June, half the annual cost will be charged.</w:t>
      </w:r>
    </w:p>
    <w:p w:rsidR="00CA3B4F" w:rsidRPr="000064D5" w:rsidRDefault="00CA3B4F">
      <w:pPr>
        <w:pStyle w:val="BodyText"/>
      </w:pPr>
      <w:r w:rsidRPr="000064D5">
        <w:t>The following costs will apply for the additional bin service per year:</w:t>
      </w:r>
    </w:p>
    <w:p w:rsidR="00CA3B4F" w:rsidRDefault="00CA3B4F" w:rsidP="005167B1">
      <w:pPr>
        <w:pStyle w:val="ListParagraph"/>
        <w:numPr>
          <w:ilvl w:val="0"/>
          <w:numId w:val="43"/>
        </w:numPr>
        <w:spacing w:after="80"/>
        <w:ind w:left="357" w:hanging="357"/>
        <w:jc w:val="both"/>
      </w:pPr>
      <w:r w:rsidRPr="000064D5">
        <w:t>Garbage bin</w:t>
      </w:r>
      <w:r>
        <w:tab/>
      </w:r>
      <w:r>
        <w:tab/>
        <w:t>140L</w:t>
      </w:r>
      <w:r>
        <w:tab/>
      </w:r>
      <w:r>
        <w:tab/>
      </w:r>
      <w:r w:rsidRPr="000064D5">
        <w:tab/>
        <w:t>$</w:t>
      </w:r>
      <w:r>
        <w:t>138.80</w:t>
      </w:r>
      <w:r w:rsidRPr="000064D5">
        <w:t xml:space="preserve"> (for 201</w:t>
      </w:r>
      <w:r>
        <w:t>7</w:t>
      </w:r>
      <w:r w:rsidRPr="000064D5">
        <w:t>-</w:t>
      </w:r>
      <w:r>
        <w:t>18</w:t>
      </w:r>
      <w:r w:rsidRPr="000064D5">
        <w:t>)</w:t>
      </w:r>
      <w:r>
        <w:t>.</w:t>
      </w:r>
    </w:p>
    <w:p w:rsidR="00CA3B4F" w:rsidRDefault="00CA3B4F" w:rsidP="005167B1">
      <w:pPr>
        <w:pStyle w:val="ListParagraph"/>
        <w:numPr>
          <w:ilvl w:val="0"/>
          <w:numId w:val="43"/>
        </w:numPr>
        <w:spacing w:after="80"/>
        <w:ind w:left="357" w:hanging="357"/>
        <w:jc w:val="both"/>
      </w:pPr>
      <w:r>
        <w:t>Garbage bin from 140L to 240L</w:t>
      </w:r>
      <w:r>
        <w:tab/>
        <w:t>$  99.50 (for 2017-18)</w:t>
      </w:r>
    </w:p>
    <w:p w:rsidR="00CA3B4F" w:rsidRDefault="00CA3B4F" w:rsidP="005167B1">
      <w:pPr>
        <w:pStyle w:val="ListParagraph"/>
        <w:numPr>
          <w:ilvl w:val="0"/>
          <w:numId w:val="43"/>
        </w:numPr>
        <w:spacing w:after="80"/>
        <w:ind w:left="357" w:hanging="357"/>
        <w:jc w:val="both"/>
      </w:pPr>
      <w:r w:rsidRPr="000064D5">
        <w:t>Recycling bin</w:t>
      </w:r>
      <w:r>
        <w:t xml:space="preserve"> 240L</w:t>
      </w:r>
      <w:r>
        <w:tab/>
      </w:r>
      <w:r>
        <w:tab/>
      </w:r>
      <w:r w:rsidRPr="000064D5">
        <w:tab/>
        <w:t xml:space="preserve">$  </w:t>
      </w:r>
      <w:r>
        <w:t>49.30</w:t>
      </w:r>
      <w:r w:rsidRPr="000064D5">
        <w:t xml:space="preserve"> (for 201</w:t>
      </w:r>
      <w:r>
        <w:t>7</w:t>
      </w:r>
      <w:r w:rsidRPr="000064D5">
        <w:t>-</w:t>
      </w:r>
      <w:r>
        <w:t>18</w:t>
      </w:r>
      <w:r w:rsidRPr="000064D5">
        <w:t>)</w:t>
      </w:r>
      <w:r>
        <w:t>.</w:t>
      </w:r>
    </w:p>
    <w:p w:rsidR="00CA3B4F" w:rsidRDefault="00CA3B4F" w:rsidP="005167B1">
      <w:pPr>
        <w:pStyle w:val="ListParagraph"/>
        <w:numPr>
          <w:ilvl w:val="0"/>
          <w:numId w:val="43"/>
        </w:numPr>
        <w:spacing w:after="80"/>
        <w:ind w:left="357" w:hanging="357"/>
        <w:jc w:val="both"/>
      </w:pPr>
      <w:r w:rsidRPr="000064D5">
        <w:t xml:space="preserve">Green </w:t>
      </w:r>
      <w:r>
        <w:t>Waste bin 240L</w:t>
      </w:r>
      <w:r>
        <w:tab/>
      </w:r>
      <w:r>
        <w:tab/>
      </w:r>
      <w:r>
        <w:tab/>
        <w:t>$  92.50 (for 2017-18).</w:t>
      </w:r>
    </w:p>
    <w:p w:rsidR="00CA3B4F" w:rsidRPr="00BA4451" w:rsidRDefault="00CA3B4F" w:rsidP="00CA3B4F">
      <w:pPr>
        <w:pStyle w:val="Heading3A"/>
      </w:pPr>
      <w:r>
        <w:t>Fire Services Property Levy</w:t>
      </w:r>
    </w:p>
    <w:p w:rsidR="00AB55DD" w:rsidRDefault="00CA3B4F">
      <w:pPr>
        <w:pStyle w:val="BodyText"/>
      </w:pPr>
      <w:r w:rsidRPr="000744A6">
        <w:t xml:space="preserve">The Fire Services Property Levy Act 2012 (FSPL) came into effect from 1 July 2013 and requires </w:t>
      </w:r>
      <w:r w:rsidR="00C52306">
        <w:t>l</w:t>
      </w:r>
      <w:r w:rsidR="00C52306" w:rsidRPr="000744A6">
        <w:t xml:space="preserve">ocal </w:t>
      </w:r>
      <w:r w:rsidR="00C52306">
        <w:t>g</w:t>
      </w:r>
      <w:r w:rsidR="00C52306" w:rsidRPr="000744A6">
        <w:t xml:space="preserve">overnment </w:t>
      </w:r>
      <w:r w:rsidRPr="000744A6">
        <w:t xml:space="preserve">to bill, receipt and collect FSPL on rateable and non-rateable properties. </w:t>
      </w:r>
      <w:r>
        <w:t>The FSPL appears on the rate notice and i</w:t>
      </w:r>
      <w:r w:rsidRPr="000744A6">
        <w:t>t is estimated that Council will levy $</w:t>
      </w:r>
      <w:r>
        <w:t>27.7m</w:t>
      </w:r>
      <w:r w:rsidRPr="000744A6">
        <w:t xml:space="preserve"> in 201</w:t>
      </w:r>
      <w:r>
        <w:t>7</w:t>
      </w:r>
      <w:r w:rsidRPr="000744A6">
        <w:t>-</w:t>
      </w:r>
      <w:r>
        <w:t>18</w:t>
      </w:r>
      <w:r w:rsidRPr="000744A6">
        <w:t xml:space="preserve"> and remit to the State Revenue Office.</w:t>
      </w:r>
      <w:r>
        <w:t xml:space="preserve">  </w:t>
      </w:r>
      <w:r w:rsidRPr="000744A6">
        <w:t>The</w:t>
      </w:r>
      <w:r>
        <w:t xml:space="preserve"> 2017-18 </w:t>
      </w:r>
      <w:r w:rsidRPr="000744A6">
        <w:t xml:space="preserve"> Levy </w:t>
      </w:r>
      <w:r>
        <w:t xml:space="preserve">once again will </w:t>
      </w:r>
      <w:r w:rsidRPr="000744A6">
        <w:t>consist of a fixed component plus a variable component based on the property’s capital improved value to be determined by the Minist</w:t>
      </w:r>
      <w:r>
        <w:t>er on or before 31 May 2017</w:t>
      </w:r>
    </w:p>
    <w:p w:rsidR="0000406A" w:rsidRDefault="0000406A">
      <w:pPr>
        <w:pStyle w:val="Heading4A"/>
      </w:pPr>
      <w:r w:rsidRPr="00AB07CF">
        <w:t>201</w:t>
      </w:r>
      <w:r>
        <w:t>8</w:t>
      </w:r>
      <w:r w:rsidRPr="00AB07CF">
        <w:t>-</w:t>
      </w:r>
      <w:r>
        <w:t>19</w:t>
      </w:r>
    </w:p>
    <w:p w:rsidR="0000406A" w:rsidRDefault="0000406A" w:rsidP="0000406A">
      <w:pPr>
        <w:pStyle w:val="Heading3A"/>
      </w:pPr>
      <w:r>
        <w:t>Rate Structure</w:t>
      </w:r>
    </w:p>
    <w:p w:rsidR="0000406A" w:rsidRDefault="0000406A">
      <w:pPr>
        <w:pStyle w:val="BodyText"/>
      </w:pPr>
      <w:r>
        <w:t>Council retains 11 rating or tariff groups with the application of differential rates to each of these groups in accordance with Section 161 of the Act. The purpose of the various rating groups is to ensure that each group makes a fair and equitable contribution to rates. Full disclosure of the rating groups, number of properties, valuations and revenue is shown in the Statutory Information on Rates.</w:t>
      </w:r>
    </w:p>
    <w:p w:rsidR="0000406A" w:rsidRDefault="0000406A" w:rsidP="0000406A">
      <w:pPr>
        <w:pStyle w:val="Heading3A"/>
      </w:pPr>
      <w:r>
        <w:lastRenderedPageBreak/>
        <w:t>2018 Revaluation</w:t>
      </w:r>
    </w:p>
    <w:p w:rsidR="0000406A" w:rsidRDefault="0000406A" w:rsidP="0000406A">
      <w:pPr>
        <w:pStyle w:val="Heading3A"/>
      </w:pPr>
      <w:r>
        <w:t>Summary by Differential</w:t>
      </w:r>
    </w:p>
    <w:p w:rsidR="0000406A" w:rsidRDefault="00227352" w:rsidP="0000406A">
      <w:pPr>
        <w:pStyle w:val="Heading3A"/>
      </w:pPr>
      <w:r w:rsidRPr="00DB28DB">
        <w:rPr>
          <w:noProof/>
          <w:lang w:eastAsia="en-AU"/>
        </w:rPr>
        <w:drawing>
          <wp:inline distT="0" distB="0" distL="0" distR="0">
            <wp:extent cx="5400675" cy="2352675"/>
            <wp:effectExtent l="0" t="0" r="0" b="0"/>
            <wp:docPr id="28"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00675" cy="2352675"/>
                    </a:xfrm>
                    <a:prstGeom prst="rect">
                      <a:avLst/>
                    </a:prstGeom>
                    <a:noFill/>
                    <a:ln>
                      <a:noFill/>
                    </a:ln>
                  </pic:spPr>
                </pic:pic>
              </a:graphicData>
            </a:graphic>
          </wp:inline>
        </w:drawing>
      </w:r>
    </w:p>
    <w:p w:rsidR="0000406A" w:rsidRDefault="0000406A" w:rsidP="0000406A">
      <w:pPr>
        <w:pStyle w:val="Heading3A"/>
      </w:pPr>
      <w:r>
        <w:t>Overall</w:t>
      </w:r>
    </w:p>
    <w:p w:rsidR="0000406A" w:rsidRDefault="0000406A" w:rsidP="0000406A">
      <w:pPr>
        <w:jc w:val="both"/>
        <w:rPr>
          <w:rFonts w:cs="Arial"/>
          <w:color w:val="000000"/>
          <w:lang w:val="en-US"/>
        </w:rPr>
      </w:pPr>
      <w:r w:rsidRPr="00384A60">
        <w:rPr>
          <w:rFonts w:cs="Arial"/>
          <w:color w:val="000000"/>
          <w:lang w:val="en-US"/>
        </w:rPr>
        <w:t xml:space="preserve">The Valuation of Land Act </w:t>
      </w:r>
      <w:r>
        <w:rPr>
          <w:rFonts w:cs="Arial"/>
          <w:color w:val="000000"/>
          <w:lang w:val="en-US"/>
        </w:rPr>
        <w:t xml:space="preserve">1960 </w:t>
      </w:r>
      <w:r w:rsidRPr="00384A60">
        <w:rPr>
          <w:rFonts w:cs="Arial"/>
          <w:color w:val="000000"/>
          <w:lang w:val="en-US"/>
        </w:rPr>
        <w:t>(</w:t>
      </w:r>
      <w:r w:rsidR="00FB6110">
        <w:rPr>
          <w:rFonts w:cs="Arial"/>
          <w:color w:val="000000"/>
          <w:lang w:val="en-US"/>
        </w:rPr>
        <w:t xml:space="preserve">section </w:t>
      </w:r>
      <w:r>
        <w:rPr>
          <w:rFonts w:cs="Arial"/>
          <w:color w:val="000000"/>
          <w:lang w:val="en-US"/>
        </w:rPr>
        <w:t>11</w:t>
      </w:r>
      <w:r w:rsidRPr="00384A60">
        <w:rPr>
          <w:rFonts w:cs="Arial"/>
          <w:color w:val="000000"/>
          <w:lang w:val="en-US"/>
        </w:rPr>
        <w:t xml:space="preserve">) requires that </w:t>
      </w:r>
      <w:r w:rsidR="00FB6110">
        <w:rPr>
          <w:rFonts w:cs="Arial"/>
          <w:color w:val="000000"/>
          <w:lang w:val="en-US"/>
        </w:rPr>
        <w:t>v</w:t>
      </w:r>
      <w:r w:rsidR="00FB6110" w:rsidRPr="00384A60">
        <w:rPr>
          <w:rFonts w:cs="Arial"/>
          <w:color w:val="000000"/>
          <w:lang w:val="en-US"/>
        </w:rPr>
        <w:t xml:space="preserve">aluing </w:t>
      </w:r>
      <w:r w:rsidRPr="00384A60">
        <w:rPr>
          <w:rFonts w:cs="Arial"/>
          <w:color w:val="000000"/>
          <w:lang w:val="en-US"/>
        </w:rPr>
        <w:t>authorities conduct a revaluation of all municipal land every two years.</w:t>
      </w:r>
      <w:r>
        <w:rPr>
          <w:rFonts w:cs="Arial"/>
          <w:color w:val="000000"/>
          <w:lang w:val="en-US"/>
        </w:rPr>
        <w:t xml:space="preserve"> </w:t>
      </w:r>
      <w:r w:rsidR="00F42BAD">
        <w:rPr>
          <w:rFonts w:cs="Arial"/>
          <w:color w:val="000000"/>
          <w:lang w:val="en-US"/>
        </w:rPr>
        <w:t xml:space="preserve">This </w:t>
      </w:r>
      <w:r>
        <w:rPr>
          <w:rFonts w:cs="Arial"/>
          <w:color w:val="000000"/>
          <w:lang w:val="en-US"/>
        </w:rPr>
        <w:t>is the last year of bi-annual revaluations moving to annual valuations from 2019-20.</w:t>
      </w:r>
    </w:p>
    <w:p w:rsidR="0000406A" w:rsidRPr="00384A60" w:rsidRDefault="00316155" w:rsidP="0000406A">
      <w:pPr>
        <w:jc w:val="both"/>
        <w:rPr>
          <w:rFonts w:cs="Arial"/>
          <w:color w:val="000000"/>
          <w:lang w:val="en-US"/>
        </w:rPr>
      </w:pPr>
      <w:r>
        <w:rPr>
          <w:rFonts w:cs="Arial"/>
          <w:color w:val="000000"/>
          <w:lang w:val="en-US"/>
        </w:rPr>
        <w:t>Council</w:t>
      </w:r>
      <w:r w:rsidR="00FB6110" w:rsidRPr="00384A60">
        <w:rPr>
          <w:rFonts w:cs="Arial"/>
          <w:color w:val="000000"/>
          <w:lang w:val="en-US"/>
        </w:rPr>
        <w:t xml:space="preserve"> </w:t>
      </w:r>
      <w:r w:rsidR="0000406A" w:rsidRPr="00384A60">
        <w:rPr>
          <w:rFonts w:cs="Arial"/>
          <w:color w:val="000000"/>
          <w:lang w:val="en-US"/>
        </w:rPr>
        <w:t xml:space="preserve">has appointed Opteon Property </w:t>
      </w:r>
      <w:r w:rsidR="0000406A">
        <w:rPr>
          <w:rFonts w:cs="Arial"/>
          <w:color w:val="000000"/>
          <w:lang w:val="en-US"/>
        </w:rPr>
        <w:t>G</w:t>
      </w:r>
      <w:r w:rsidR="0000406A" w:rsidRPr="00384A60">
        <w:rPr>
          <w:rFonts w:cs="Arial"/>
          <w:color w:val="000000"/>
          <w:lang w:val="en-US"/>
        </w:rPr>
        <w:t xml:space="preserve">roup to conduct the 2018 Revaluation and valuations have been returned in order for impact analysis to commence. </w:t>
      </w:r>
    </w:p>
    <w:p w:rsidR="0000406A" w:rsidRPr="00384A60" w:rsidRDefault="0000406A" w:rsidP="0000406A">
      <w:pPr>
        <w:jc w:val="both"/>
        <w:rPr>
          <w:rFonts w:cs="Arial"/>
          <w:color w:val="000000"/>
          <w:lang w:val="en-US"/>
        </w:rPr>
      </w:pPr>
      <w:r w:rsidRPr="00384A60">
        <w:rPr>
          <w:rFonts w:cs="Arial"/>
          <w:color w:val="000000"/>
          <w:lang w:val="en-US"/>
        </w:rPr>
        <w:t>The revaluation date is 1 January 2018 and takes effect from 1 July 2018 for the 2018-19 rating period.</w:t>
      </w:r>
    </w:p>
    <w:p w:rsidR="0000406A" w:rsidRPr="00384A60" w:rsidRDefault="0000406A" w:rsidP="0000406A">
      <w:pPr>
        <w:jc w:val="both"/>
        <w:rPr>
          <w:rFonts w:cs="Arial"/>
          <w:color w:val="000000"/>
          <w:lang w:val="en-US"/>
        </w:rPr>
      </w:pPr>
      <w:r w:rsidRPr="00384A60">
        <w:rPr>
          <w:rFonts w:cs="Arial"/>
          <w:color w:val="000000"/>
          <w:lang w:val="en-US"/>
        </w:rPr>
        <w:t>The summary results indicate:</w:t>
      </w:r>
    </w:p>
    <w:p w:rsidR="0000406A" w:rsidRPr="005167B1" w:rsidRDefault="0000406A" w:rsidP="005167B1">
      <w:pPr>
        <w:pStyle w:val="ListParagraph"/>
        <w:numPr>
          <w:ilvl w:val="0"/>
          <w:numId w:val="43"/>
        </w:numPr>
        <w:spacing w:after="80"/>
        <w:ind w:left="357" w:hanging="357"/>
        <w:jc w:val="both"/>
      </w:pPr>
      <w:r w:rsidRPr="005167B1">
        <w:t>Total growth in property numbers is 5.1% over the two years with residential 4.8%.</w:t>
      </w:r>
    </w:p>
    <w:p w:rsidR="0000406A" w:rsidRPr="005167B1" w:rsidRDefault="0000406A" w:rsidP="005167B1">
      <w:pPr>
        <w:pStyle w:val="ListParagraph"/>
        <w:numPr>
          <w:ilvl w:val="0"/>
          <w:numId w:val="43"/>
        </w:numPr>
        <w:spacing w:after="80"/>
        <w:ind w:left="357" w:hanging="357"/>
        <w:jc w:val="both"/>
      </w:pPr>
      <w:r w:rsidRPr="005167B1">
        <w:t>Average increase in residential valuation is 19.6% compared to 5.4% in 2016.</w:t>
      </w:r>
    </w:p>
    <w:p w:rsidR="0000406A" w:rsidRPr="005167B1" w:rsidRDefault="0000406A" w:rsidP="005167B1">
      <w:pPr>
        <w:pStyle w:val="ListParagraph"/>
        <w:numPr>
          <w:ilvl w:val="0"/>
          <w:numId w:val="43"/>
        </w:numPr>
        <w:spacing w:after="80"/>
        <w:ind w:left="357" w:hanging="357"/>
        <w:jc w:val="both"/>
      </w:pPr>
      <w:r w:rsidRPr="005167B1">
        <w:t>The average increase in farm valuations is 12.6% compared with 16.7% in 2016.</w:t>
      </w:r>
    </w:p>
    <w:p w:rsidR="0000406A" w:rsidRPr="005167B1" w:rsidRDefault="0000406A" w:rsidP="005167B1">
      <w:pPr>
        <w:pStyle w:val="ListParagraph"/>
        <w:numPr>
          <w:ilvl w:val="0"/>
          <w:numId w:val="43"/>
        </w:numPr>
        <w:spacing w:after="80"/>
        <w:ind w:left="357" w:hanging="357"/>
        <w:jc w:val="both"/>
      </w:pPr>
      <w:r w:rsidRPr="005167B1">
        <w:t>Commercial properties have increased by 8.2% with the increase for the CBD at 8.7%.</w:t>
      </w:r>
    </w:p>
    <w:p w:rsidR="0000406A" w:rsidRPr="005167B1" w:rsidRDefault="0000406A" w:rsidP="005167B1">
      <w:pPr>
        <w:pStyle w:val="ListParagraph"/>
        <w:numPr>
          <w:ilvl w:val="0"/>
          <w:numId w:val="43"/>
        </w:numPr>
        <w:spacing w:after="80"/>
        <w:ind w:left="357" w:hanging="357"/>
        <w:jc w:val="both"/>
      </w:pPr>
      <w:r w:rsidRPr="005167B1">
        <w:t xml:space="preserve">Industrial properties have increased on average at 9.5% compared to an increase of 4.9% in 2016. </w:t>
      </w:r>
    </w:p>
    <w:p w:rsidR="0000406A" w:rsidRPr="005167B1" w:rsidRDefault="0000406A" w:rsidP="005167B1">
      <w:pPr>
        <w:pStyle w:val="ListParagraph"/>
        <w:numPr>
          <w:ilvl w:val="0"/>
          <w:numId w:val="43"/>
        </w:numPr>
        <w:spacing w:after="80"/>
        <w:ind w:left="357" w:hanging="357"/>
        <w:jc w:val="both"/>
      </w:pPr>
      <w:r w:rsidRPr="005167B1">
        <w:t xml:space="preserve">Average increase in vacant land is 19.4% compared with an increase of 9.5% in 2016. </w:t>
      </w:r>
    </w:p>
    <w:p w:rsidR="0000406A" w:rsidRDefault="0000406A" w:rsidP="0000406A">
      <w:pPr>
        <w:pStyle w:val="Heading3A"/>
      </w:pPr>
      <w:r>
        <w:t>Residential</w:t>
      </w:r>
    </w:p>
    <w:p w:rsidR="0000406A" w:rsidRPr="00DC7325" w:rsidRDefault="0000406A" w:rsidP="0000406A">
      <w:pPr>
        <w:jc w:val="both"/>
        <w:rPr>
          <w:rFonts w:cs="Arial"/>
          <w:color w:val="000000"/>
          <w:lang w:val="en-US"/>
        </w:rPr>
      </w:pPr>
      <w:r w:rsidRPr="00DC7325">
        <w:rPr>
          <w:rFonts w:cs="Arial"/>
          <w:color w:val="000000"/>
          <w:lang w:val="en-US"/>
        </w:rPr>
        <w:t xml:space="preserve">Overall </w:t>
      </w:r>
      <w:r>
        <w:rPr>
          <w:rFonts w:cs="Arial"/>
          <w:color w:val="000000"/>
          <w:lang w:val="en-US"/>
        </w:rPr>
        <w:t>107,559</w:t>
      </w:r>
      <w:r w:rsidRPr="00DC7325">
        <w:rPr>
          <w:rFonts w:cs="Arial"/>
          <w:color w:val="000000"/>
          <w:lang w:val="en-US"/>
        </w:rPr>
        <w:t xml:space="preserve"> residential properties have increased by an average of </w:t>
      </w:r>
      <w:r>
        <w:rPr>
          <w:rFonts w:cs="Arial"/>
          <w:color w:val="000000"/>
          <w:lang w:val="en-US"/>
        </w:rPr>
        <w:t>19.6</w:t>
      </w:r>
      <w:r w:rsidRPr="00DC7325">
        <w:rPr>
          <w:rFonts w:cs="Arial"/>
          <w:color w:val="000000"/>
          <w:lang w:val="en-US"/>
        </w:rPr>
        <w:t xml:space="preserve">%, compared to an average increase of </w:t>
      </w:r>
      <w:r>
        <w:rPr>
          <w:rFonts w:cs="Arial"/>
          <w:color w:val="000000"/>
          <w:lang w:val="en-US"/>
        </w:rPr>
        <w:t>5.4</w:t>
      </w:r>
      <w:r w:rsidRPr="00DC7325">
        <w:rPr>
          <w:rFonts w:cs="Arial"/>
          <w:color w:val="000000"/>
          <w:lang w:val="en-US"/>
        </w:rPr>
        <w:t>% at the 201</w:t>
      </w:r>
      <w:r>
        <w:rPr>
          <w:rFonts w:cs="Arial"/>
          <w:color w:val="000000"/>
          <w:lang w:val="en-US"/>
        </w:rPr>
        <w:t>6</w:t>
      </w:r>
      <w:r w:rsidRPr="00DC7325">
        <w:rPr>
          <w:rFonts w:cs="Arial"/>
          <w:color w:val="000000"/>
          <w:lang w:val="en-US"/>
        </w:rPr>
        <w:t xml:space="preserve"> revaluation. The average residential capital improved value has moved from $</w:t>
      </w:r>
      <w:r>
        <w:rPr>
          <w:rFonts w:cs="Arial"/>
          <w:color w:val="000000"/>
          <w:lang w:val="en-US"/>
        </w:rPr>
        <w:t>403,091</w:t>
      </w:r>
      <w:r w:rsidRPr="00DC7325">
        <w:rPr>
          <w:rFonts w:cs="Arial"/>
          <w:color w:val="000000"/>
          <w:lang w:val="en-US"/>
        </w:rPr>
        <w:t xml:space="preserve"> to $</w:t>
      </w:r>
      <w:r>
        <w:rPr>
          <w:rFonts w:cs="Arial"/>
          <w:color w:val="000000"/>
          <w:lang w:val="en-US"/>
        </w:rPr>
        <w:t>481,846</w:t>
      </w:r>
      <w:r w:rsidRPr="00DC7325">
        <w:rPr>
          <w:rFonts w:cs="Arial"/>
          <w:color w:val="000000"/>
          <w:lang w:val="en-US"/>
        </w:rPr>
        <w:t>.</w:t>
      </w:r>
    </w:p>
    <w:p w:rsidR="0000406A" w:rsidRDefault="0000406A" w:rsidP="0000406A">
      <w:pPr>
        <w:jc w:val="both"/>
        <w:rPr>
          <w:rFonts w:cs="Arial"/>
          <w:lang w:val="en-US"/>
        </w:rPr>
      </w:pPr>
      <w:r>
        <w:rPr>
          <w:rFonts w:cs="Arial"/>
          <w:lang w:val="en-US"/>
        </w:rPr>
        <w:lastRenderedPageBreak/>
        <w:t>The average growth in the number of residential properties is 4,923 properties or 4.8% overall from 2016 to 2018. This growth contributes to the increase in CIV.</w:t>
      </w:r>
    </w:p>
    <w:p w:rsidR="0000406A" w:rsidRPr="00C97BD0" w:rsidRDefault="0000406A" w:rsidP="0000406A">
      <w:pPr>
        <w:jc w:val="both"/>
        <w:rPr>
          <w:rFonts w:cs="Arial"/>
          <w:b/>
          <w:color w:val="000000"/>
          <w:lang w:val="en-US"/>
        </w:rPr>
      </w:pPr>
      <w:r w:rsidRPr="00C97BD0">
        <w:rPr>
          <w:rFonts w:cs="Arial"/>
          <w:b/>
          <w:color w:val="000000"/>
          <w:lang w:val="en-US"/>
        </w:rPr>
        <w:t>Impact Analysis</w:t>
      </w:r>
    </w:p>
    <w:p w:rsidR="0000406A" w:rsidRDefault="0000406A" w:rsidP="0000406A">
      <w:pPr>
        <w:jc w:val="both"/>
        <w:rPr>
          <w:rFonts w:cs="Arial"/>
          <w:color w:val="000000"/>
          <w:lang w:val="en-US"/>
        </w:rPr>
      </w:pPr>
      <w:r>
        <w:rPr>
          <w:rFonts w:cs="Arial"/>
          <w:color w:val="000000"/>
          <w:lang w:val="en-US"/>
        </w:rPr>
        <w:t>The preliminary results indicate that there is significant spread of valuation movements and the average movement of 19.6% is not uniform. The following impact analysis highlights the spread.</w:t>
      </w:r>
    </w:p>
    <w:p w:rsidR="0000406A" w:rsidRDefault="00227352" w:rsidP="0000406A">
      <w:pPr>
        <w:jc w:val="both"/>
        <w:rPr>
          <w:rFonts w:cs="Arial"/>
          <w:color w:val="000000"/>
          <w:lang w:val="en-US"/>
        </w:rPr>
      </w:pPr>
      <w:r w:rsidRPr="00DB28DB">
        <w:rPr>
          <w:noProof/>
          <w:lang w:eastAsia="en-AU"/>
        </w:rPr>
        <w:drawing>
          <wp:inline distT="0" distB="0" distL="0" distR="0">
            <wp:extent cx="4486275" cy="4514850"/>
            <wp:effectExtent l="0" t="0" r="0"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486275" cy="4514850"/>
                    </a:xfrm>
                    <a:prstGeom prst="rect">
                      <a:avLst/>
                    </a:prstGeom>
                    <a:noFill/>
                    <a:ln>
                      <a:noFill/>
                    </a:ln>
                  </pic:spPr>
                </pic:pic>
              </a:graphicData>
            </a:graphic>
          </wp:inline>
        </w:drawing>
      </w:r>
    </w:p>
    <w:p w:rsidR="0000406A" w:rsidRPr="00990AA2" w:rsidRDefault="0000406A" w:rsidP="0000406A">
      <w:pPr>
        <w:jc w:val="both"/>
        <w:rPr>
          <w:rFonts w:cs="Arial"/>
          <w:color w:val="000000"/>
          <w:lang w:val="en-US"/>
        </w:rPr>
      </w:pPr>
      <w:r>
        <w:rPr>
          <w:rFonts w:cs="Arial"/>
          <w:color w:val="000000"/>
          <w:lang w:val="en-US"/>
        </w:rPr>
        <w:t>H</w:t>
      </w:r>
      <w:r w:rsidRPr="00990AA2">
        <w:rPr>
          <w:rFonts w:cs="Arial"/>
          <w:color w:val="000000"/>
          <w:lang w:val="en-US"/>
        </w:rPr>
        <w:t xml:space="preserve">alf of Geelong’s residential population is in nine suburbs. Of the </w:t>
      </w:r>
      <w:r>
        <w:rPr>
          <w:rFonts w:cs="Arial"/>
          <w:color w:val="000000"/>
          <w:lang w:val="en-US"/>
        </w:rPr>
        <w:t>107,559</w:t>
      </w:r>
      <w:r w:rsidRPr="00990AA2">
        <w:rPr>
          <w:rFonts w:cs="Arial"/>
          <w:color w:val="000000"/>
          <w:lang w:val="en-US"/>
        </w:rPr>
        <w:t xml:space="preserve"> residences, </w:t>
      </w:r>
      <w:r>
        <w:rPr>
          <w:rFonts w:cs="Arial"/>
          <w:color w:val="000000"/>
          <w:lang w:val="en-US"/>
        </w:rPr>
        <w:t>53,656</w:t>
      </w:r>
      <w:r w:rsidRPr="00990AA2">
        <w:rPr>
          <w:rFonts w:cs="Arial"/>
          <w:color w:val="000000"/>
          <w:lang w:val="en-US"/>
        </w:rPr>
        <w:t xml:space="preserve"> are affected by the following suburb revaluation movements:</w:t>
      </w:r>
    </w:p>
    <w:p w:rsidR="0000406A" w:rsidRPr="009E699C" w:rsidRDefault="00227352" w:rsidP="0000406A">
      <w:pPr>
        <w:jc w:val="both"/>
        <w:rPr>
          <w:rFonts w:cs="Arial"/>
          <w:b/>
          <w:color w:val="000000"/>
          <w:lang w:val="en-US"/>
        </w:rPr>
      </w:pPr>
      <w:r w:rsidRPr="00DB28DB">
        <w:rPr>
          <w:noProof/>
          <w:lang w:eastAsia="en-AU"/>
        </w:rPr>
        <w:lastRenderedPageBreak/>
        <w:drawing>
          <wp:inline distT="0" distB="0" distL="0" distR="0">
            <wp:extent cx="5181600" cy="2676525"/>
            <wp:effectExtent l="0" t="0" r="0" b="0"/>
            <wp:docPr id="30"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181600" cy="2676525"/>
                    </a:xfrm>
                    <a:prstGeom prst="rect">
                      <a:avLst/>
                    </a:prstGeom>
                    <a:noFill/>
                    <a:ln>
                      <a:noFill/>
                    </a:ln>
                  </pic:spPr>
                </pic:pic>
              </a:graphicData>
            </a:graphic>
          </wp:inline>
        </w:drawing>
      </w:r>
    </w:p>
    <w:p w:rsidR="0000406A" w:rsidRPr="00B8093A" w:rsidRDefault="0000406A" w:rsidP="0000406A">
      <w:pPr>
        <w:jc w:val="both"/>
        <w:rPr>
          <w:rFonts w:cs="Arial"/>
          <w:b/>
          <w:lang w:val="en-US"/>
        </w:rPr>
      </w:pPr>
      <w:r w:rsidRPr="00B8093A">
        <w:rPr>
          <w:rFonts w:cs="Arial"/>
          <w:b/>
          <w:lang w:val="en-US"/>
        </w:rPr>
        <w:t>Bellarine Peninsula</w:t>
      </w:r>
      <w:r>
        <w:rPr>
          <w:rFonts w:cs="Arial"/>
          <w:b/>
          <w:lang w:val="en-US"/>
        </w:rPr>
        <w:t xml:space="preserve"> – lower than the overall average of the CIV increase</w:t>
      </w:r>
    </w:p>
    <w:p w:rsidR="0000406A" w:rsidRDefault="0000406A" w:rsidP="0000406A">
      <w:pPr>
        <w:jc w:val="both"/>
        <w:rPr>
          <w:rFonts w:cs="Arial"/>
          <w:lang w:val="en-US"/>
        </w:rPr>
      </w:pPr>
      <w:r>
        <w:rPr>
          <w:rFonts w:cs="Arial"/>
          <w:lang w:val="en-US"/>
        </w:rPr>
        <w:t>Residential property on t</w:t>
      </w:r>
      <w:r w:rsidRPr="00B8093A">
        <w:rPr>
          <w:rFonts w:cs="Arial"/>
          <w:lang w:val="en-US"/>
        </w:rPr>
        <w:t xml:space="preserve">he </w:t>
      </w:r>
      <w:r>
        <w:rPr>
          <w:rFonts w:cs="Arial"/>
          <w:lang w:val="en-US"/>
        </w:rPr>
        <w:t xml:space="preserve">Bellarine Peninsula represents 22% of the municipality and the average increase is 15.7%. The </w:t>
      </w:r>
      <w:r w:rsidRPr="00B8093A">
        <w:rPr>
          <w:rFonts w:cs="Arial"/>
          <w:lang w:val="en-US"/>
        </w:rPr>
        <w:t xml:space="preserve">following table </w:t>
      </w:r>
      <w:r>
        <w:rPr>
          <w:rFonts w:cs="Arial"/>
          <w:lang w:val="en-US"/>
        </w:rPr>
        <w:t>provides a comparison by suburb for the 2014, 2016 and 2018 revaluations.</w:t>
      </w:r>
    </w:p>
    <w:p w:rsidR="0000406A" w:rsidRDefault="00227352" w:rsidP="0000406A">
      <w:pPr>
        <w:jc w:val="both"/>
        <w:rPr>
          <w:rFonts w:cs="Arial"/>
          <w:lang w:val="en-US"/>
        </w:rPr>
      </w:pPr>
      <w:r w:rsidRPr="00DB28DB">
        <w:rPr>
          <w:noProof/>
          <w:lang w:eastAsia="en-AU"/>
        </w:rPr>
        <w:drawing>
          <wp:inline distT="0" distB="0" distL="0" distR="0">
            <wp:extent cx="5181600" cy="3990975"/>
            <wp:effectExtent l="0" t="0" r="0" b="0"/>
            <wp:docPr id="31"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81600" cy="3990975"/>
                    </a:xfrm>
                    <a:prstGeom prst="rect">
                      <a:avLst/>
                    </a:prstGeom>
                    <a:noFill/>
                    <a:ln>
                      <a:noFill/>
                    </a:ln>
                  </pic:spPr>
                </pic:pic>
              </a:graphicData>
            </a:graphic>
          </wp:inline>
        </w:drawing>
      </w:r>
    </w:p>
    <w:p w:rsidR="0000406A" w:rsidRDefault="0000406A" w:rsidP="0000406A">
      <w:pPr>
        <w:pStyle w:val="Heading3A"/>
      </w:pPr>
      <w:r>
        <w:t>Farm</w:t>
      </w:r>
    </w:p>
    <w:p w:rsidR="0000406A" w:rsidRDefault="0000406A" w:rsidP="0000406A">
      <w:pPr>
        <w:jc w:val="both"/>
        <w:rPr>
          <w:rFonts w:cs="Arial"/>
          <w:color w:val="000000"/>
          <w:lang w:val="en-US"/>
        </w:rPr>
      </w:pPr>
      <w:r w:rsidRPr="005C1E6A">
        <w:rPr>
          <w:rFonts w:cs="Arial"/>
          <w:color w:val="000000"/>
          <w:lang w:val="en-US"/>
        </w:rPr>
        <w:t>Overall 1,0</w:t>
      </w:r>
      <w:r>
        <w:rPr>
          <w:rFonts w:cs="Arial"/>
          <w:color w:val="000000"/>
          <w:lang w:val="en-US"/>
        </w:rPr>
        <w:t>02</w:t>
      </w:r>
      <w:r w:rsidRPr="005C1E6A">
        <w:rPr>
          <w:rFonts w:cs="Arial"/>
          <w:color w:val="000000"/>
          <w:lang w:val="en-US"/>
        </w:rPr>
        <w:t xml:space="preserve"> Farm valuations record</w:t>
      </w:r>
      <w:r>
        <w:rPr>
          <w:rFonts w:cs="Arial"/>
          <w:color w:val="000000"/>
          <w:lang w:val="en-US"/>
        </w:rPr>
        <w:t>ed</w:t>
      </w:r>
      <w:r w:rsidRPr="005C1E6A">
        <w:rPr>
          <w:rFonts w:cs="Arial"/>
          <w:color w:val="000000"/>
          <w:lang w:val="en-US"/>
        </w:rPr>
        <w:t xml:space="preserve"> an average </w:t>
      </w:r>
      <w:r>
        <w:rPr>
          <w:rFonts w:cs="Arial"/>
          <w:color w:val="000000"/>
          <w:lang w:val="en-US"/>
        </w:rPr>
        <w:t>in</w:t>
      </w:r>
      <w:r w:rsidRPr="005C1E6A">
        <w:rPr>
          <w:rFonts w:cs="Arial"/>
          <w:color w:val="000000"/>
          <w:lang w:val="en-US"/>
        </w:rPr>
        <w:t xml:space="preserve">crease of </w:t>
      </w:r>
      <w:r>
        <w:rPr>
          <w:rFonts w:cs="Arial"/>
          <w:color w:val="000000"/>
          <w:lang w:val="en-US"/>
        </w:rPr>
        <w:t>12.6%</w:t>
      </w:r>
      <w:r w:rsidRPr="005C1E6A">
        <w:rPr>
          <w:rFonts w:cs="Arial"/>
          <w:color w:val="000000"/>
          <w:lang w:val="en-US"/>
        </w:rPr>
        <w:t xml:space="preserve"> compared to</w:t>
      </w:r>
      <w:r>
        <w:rPr>
          <w:rFonts w:cs="Arial"/>
          <w:color w:val="000000"/>
          <w:lang w:val="en-US"/>
        </w:rPr>
        <w:t xml:space="preserve"> an increase of 16.7%</w:t>
      </w:r>
      <w:r w:rsidRPr="005C1E6A">
        <w:rPr>
          <w:rFonts w:cs="Arial"/>
          <w:color w:val="000000"/>
          <w:lang w:val="en-US"/>
        </w:rPr>
        <w:t xml:space="preserve"> in 201</w:t>
      </w:r>
      <w:r>
        <w:rPr>
          <w:rFonts w:cs="Arial"/>
          <w:color w:val="000000"/>
          <w:lang w:val="en-US"/>
        </w:rPr>
        <w:t>6</w:t>
      </w:r>
      <w:r w:rsidRPr="005C1E6A">
        <w:rPr>
          <w:rFonts w:cs="Arial"/>
          <w:color w:val="000000"/>
          <w:lang w:val="en-US"/>
        </w:rPr>
        <w:t>.</w:t>
      </w:r>
      <w:r>
        <w:rPr>
          <w:rFonts w:cs="Arial"/>
          <w:color w:val="000000"/>
          <w:lang w:val="en-US"/>
        </w:rPr>
        <w:t xml:space="preserve"> </w:t>
      </w:r>
    </w:p>
    <w:p w:rsidR="0000406A" w:rsidRDefault="0000406A" w:rsidP="0000406A">
      <w:pPr>
        <w:spacing w:before="240"/>
        <w:jc w:val="both"/>
        <w:rPr>
          <w:rFonts w:cs="Arial"/>
          <w:color w:val="000000"/>
          <w:lang w:val="en-US"/>
        </w:rPr>
      </w:pPr>
      <w:r>
        <w:rPr>
          <w:rFonts w:cs="Arial"/>
          <w:color w:val="000000"/>
          <w:lang w:val="en-US"/>
        </w:rPr>
        <w:lastRenderedPageBreak/>
        <w:t>The number of farms has been reducing mainly due to farm land sold off for residential subdivisions and properties which no longer qualif</w:t>
      </w:r>
      <w:r w:rsidR="00FB6110">
        <w:rPr>
          <w:rFonts w:cs="Arial"/>
          <w:color w:val="000000"/>
          <w:lang w:val="en-US"/>
        </w:rPr>
        <w:t>y</w:t>
      </w:r>
      <w:r>
        <w:rPr>
          <w:rFonts w:cs="Arial"/>
          <w:color w:val="000000"/>
          <w:lang w:val="en-US"/>
        </w:rPr>
        <w:t xml:space="preserve"> as farm land use. Farms have reduced from 1,075 farms in 2014, to 1,028 farms in 2016 to 1,002 farms in 2018.</w:t>
      </w:r>
    </w:p>
    <w:p w:rsidR="0000406A" w:rsidRDefault="0000406A" w:rsidP="0000406A">
      <w:pPr>
        <w:jc w:val="both"/>
        <w:rPr>
          <w:rFonts w:cs="Arial"/>
          <w:b/>
          <w:color w:val="000000"/>
          <w:lang w:val="en-US"/>
        </w:rPr>
      </w:pPr>
      <w:r w:rsidRPr="00884699">
        <w:rPr>
          <w:rFonts w:cs="Arial"/>
          <w:b/>
          <w:color w:val="000000"/>
          <w:lang w:val="en-US"/>
        </w:rPr>
        <w:t>Impact Analysis</w:t>
      </w:r>
    </w:p>
    <w:p w:rsidR="0000406A" w:rsidRDefault="0000406A" w:rsidP="0000406A">
      <w:pPr>
        <w:jc w:val="both"/>
        <w:rPr>
          <w:rFonts w:cs="Arial"/>
          <w:lang w:val="en-US"/>
        </w:rPr>
      </w:pPr>
      <w:r>
        <w:rPr>
          <w:rFonts w:cs="Arial"/>
          <w:color w:val="000000"/>
          <w:lang w:val="en-US"/>
        </w:rPr>
        <w:t xml:space="preserve">Farms on the Bellarine Peninsula make up 43% of all farms and the average increase is 6.6%. </w:t>
      </w:r>
      <w:r>
        <w:rPr>
          <w:rFonts w:cs="Arial"/>
          <w:lang w:val="en-US"/>
        </w:rPr>
        <w:t xml:space="preserve">The </w:t>
      </w:r>
      <w:r w:rsidRPr="00B8093A">
        <w:rPr>
          <w:rFonts w:cs="Arial"/>
          <w:lang w:val="en-US"/>
        </w:rPr>
        <w:t xml:space="preserve">following table </w:t>
      </w:r>
      <w:r>
        <w:rPr>
          <w:rFonts w:cs="Arial"/>
          <w:lang w:val="en-US"/>
        </w:rPr>
        <w:t>provides a comparison by suburb for the 2014, 2016 &amp; 2018 revaluations.</w:t>
      </w:r>
    </w:p>
    <w:p w:rsidR="0000406A" w:rsidRDefault="00227352" w:rsidP="0000406A">
      <w:pPr>
        <w:jc w:val="both"/>
        <w:rPr>
          <w:rFonts w:cs="Arial"/>
          <w:lang w:val="en-US"/>
        </w:rPr>
      </w:pPr>
      <w:r w:rsidRPr="00DB28DB">
        <w:rPr>
          <w:noProof/>
          <w:lang w:eastAsia="en-AU"/>
        </w:rPr>
        <w:drawing>
          <wp:inline distT="0" distB="0" distL="0" distR="0">
            <wp:extent cx="5181600" cy="3990975"/>
            <wp:effectExtent l="0" t="0" r="0" b="0"/>
            <wp:docPr id="3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181600" cy="3990975"/>
                    </a:xfrm>
                    <a:prstGeom prst="rect">
                      <a:avLst/>
                    </a:prstGeom>
                    <a:noFill/>
                    <a:ln>
                      <a:noFill/>
                    </a:ln>
                  </pic:spPr>
                </pic:pic>
              </a:graphicData>
            </a:graphic>
          </wp:inline>
        </w:drawing>
      </w:r>
    </w:p>
    <w:p w:rsidR="0000406A" w:rsidRDefault="0000406A" w:rsidP="0000406A">
      <w:pPr>
        <w:pStyle w:val="Heading3A"/>
      </w:pPr>
      <w:r>
        <w:t>Commercial</w:t>
      </w:r>
    </w:p>
    <w:p w:rsidR="0000406A" w:rsidRDefault="0000406A" w:rsidP="0000406A">
      <w:pPr>
        <w:jc w:val="both"/>
        <w:rPr>
          <w:rFonts w:cs="Arial"/>
          <w:color w:val="000000"/>
          <w:lang w:val="en-US"/>
        </w:rPr>
      </w:pPr>
      <w:r w:rsidRPr="005C1E6A">
        <w:rPr>
          <w:rFonts w:cs="Arial"/>
          <w:color w:val="000000"/>
          <w:lang w:val="en-US"/>
        </w:rPr>
        <w:t xml:space="preserve">A total of </w:t>
      </w:r>
      <w:r>
        <w:rPr>
          <w:rFonts w:cs="Arial"/>
          <w:color w:val="000000"/>
          <w:lang w:val="en-US"/>
        </w:rPr>
        <w:t>5,862</w:t>
      </w:r>
      <w:r w:rsidRPr="005C1E6A">
        <w:rPr>
          <w:rFonts w:cs="Arial"/>
          <w:color w:val="000000"/>
          <w:lang w:val="en-US"/>
        </w:rPr>
        <w:t xml:space="preserve"> commercial properties </w:t>
      </w:r>
      <w:r>
        <w:rPr>
          <w:rFonts w:cs="Arial"/>
          <w:color w:val="000000"/>
          <w:lang w:val="en-US"/>
        </w:rPr>
        <w:t xml:space="preserve">valuations </w:t>
      </w:r>
      <w:r w:rsidRPr="005C1E6A">
        <w:rPr>
          <w:rFonts w:cs="Arial"/>
          <w:color w:val="000000"/>
          <w:lang w:val="en-US"/>
        </w:rPr>
        <w:t xml:space="preserve">have </w:t>
      </w:r>
      <w:r>
        <w:rPr>
          <w:rFonts w:cs="Arial"/>
          <w:color w:val="000000"/>
          <w:lang w:val="en-US"/>
        </w:rPr>
        <w:t>in</w:t>
      </w:r>
      <w:r w:rsidRPr="005C1E6A">
        <w:rPr>
          <w:rFonts w:cs="Arial"/>
          <w:color w:val="000000"/>
          <w:lang w:val="en-US"/>
        </w:rPr>
        <w:t xml:space="preserve">creased on average </w:t>
      </w:r>
      <w:r>
        <w:rPr>
          <w:rFonts w:cs="Arial"/>
          <w:color w:val="000000"/>
          <w:lang w:val="en-US"/>
        </w:rPr>
        <w:t>8.2% compared to 11.8% in 2016. The number of properties has increased by 4.9%.</w:t>
      </w:r>
    </w:p>
    <w:p w:rsidR="0000406A" w:rsidRPr="00884699" w:rsidRDefault="0000406A" w:rsidP="0000406A">
      <w:pPr>
        <w:jc w:val="both"/>
        <w:rPr>
          <w:rFonts w:cs="Arial"/>
          <w:b/>
          <w:color w:val="000000"/>
          <w:lang w:val="en-US"/>
        </w:rPr>
      </w:pPr>
      <w:r w:rsidRPr="00884699">
        <w:rPr>
          <w:rFonts w:cs="Arial"/>
          <w:b/>
          <w:color w:val="000000"/>
          <w:lang w:val="en-US"/>
        </w:rPr>
        <w:t>Impact Analysis</w:t>
      </w:r>
    </w:p>
    <w:p w:rsidR="0000406A" w:rsidRDefault="0000406A" w:rsidP="0000406A">
      <w:pPr>
        <w:jc w:val="both"/>
        <w:rPr>
          <w:rFonts w:cs="Arial"/>
          <w:lang w:val="en-US"/>
        </w:rPr>
      </w:pPr>
      <w:r w:rsidRPr="00FC7111">
        <w:rPr>
          <w:rFonts w:cs="Arial"/>
          <w:lang w:val="en-US"/>
        </w:rPr>
        <w:t>The main area of commercial activity (</w:t>
      </w:r>
      <w:r>
        <w:rPr>
          <w:rFonts w:cs="Arial"/>
          <w:lang w:val="en-US"/>
        </w:rPr>
        <w:t>1,723</w:t>
      </w:r>
      <w:r w:rsidRPr="00FC7111">
        <w:rPr>
          <w:rFonts w:cs="Arial"/>
          <w:lang w:val="en-US"/>
        </w:rPr>
        <w:t xml:space="preserve"> properties) in </w:t>
      </w:r>
      <w:r w:rsidR="00FB6110">
        <w:rPr>
          <w:rFonts w:cs="Arial"/>
          <w:lang w:val="en-US"/>
        </w:rPr>
        <w:t>c</w:t>
      </w:r>
      <w:r w:rsidR="00FB6110" w:rsidRPr="00FC7111">
        <w:rPr>
          <w:rFonts w:cs="Arial"/>
          <w:lang w:val="en-US"/>
        </w:rPr>
        <w:t xml:space="preserve">entral </w:t>
      </w:r>
      <w:r w:rsidRPr="00FC7111">
        <w:rPr>
          <w:rFonts w:cs="Arial"/>
          <w:lang w:val="en-US"/>
        </w:rPr>
        <w:t xml:space="preserve">Geelong </w:t>
      </w:r>
      <w:r>
        <w:rPr>
          <w:rFonts w:cs="Arial"/>
          <w:lang w:val="en-US"/>
        </w:rPr>
        <w:t>in</w:t>
      </w:r>
      <w:r w:rsidRPr="00FC7111">
        <w:rPr>
          <w:rFonts w:cs="Arial"/>
          <w:lang w:val="en-US"/>
        </w:rPr>
        <w:t xml:space="preserve">creased in average </w:t>
      </w:r>
      <w:r>
        <w:rPr>
          <w:rFonts w:cs="Arial"/>
          <w:lang w:val="en-US"/>
        </w:rPr>
        <w:t>valuation</w:t>
      </w:r>
      <w:r w:rsidRPr="00FC7111">
        <w:rPr>
          <w:rFonts w:cs="Arial"/>
          <w:lang w:val="en-US"/>
        </w:rPr>
        <w:t xml:space="preserve"> by </w:t>
      </w:r>
      <w:r>
        <w:rPr>
          <w:rFonts w:cs="Arial"/>
          <w:lang w:val="en-US"/>
        </w:rPr>
        <w:t>5.9%.</w:t>
      </w:r>
      <w:r w:rsidRPr="00FC7111">
        <w:rPr>
          <w:rFonts w:cs="Arial"/>
          <w:lang w:val="en-US"/>
        </w:rPr>
        <w:t xml:space="preserve"> </w:t>
      </w:r>
    </w:p>
    <w:p w:rsidR="0000406A" w:rsidRDefault="0000406A" w:rsidP="0000406A">
      <w:pPr>
        <w:jc w:val="both"/>
        <w:rPr>
          <w:rFonts w:cs="Arial"/>
          <w:lang w:val="en-US"/>
        </w:rPr>
      </w:pPr>
      <w:r>
        <w:rPr>
          <w:rFonts w:cs="Arial"/>
          <w:lang w:val="en-US"/>
        </w:rPr>
        <w:t xml:space="preserve">The </w:t>
      </w:r>
      <w:r w:rsidRPr="00B8093A">
        <w:rPr>
          <w:rFonts w:cs="Arial"/>
          <w:lang w:val="en-US"/>
        </w:rPr>
        <w:t xml:space="preserve">following table </w:t>
      </w:r>
      <w:r>
        <w:rPr>
          <w:rFonts w:cs="Arial"/>
          <w:lang w:val="en-US"/>
        </w:rPr>
        <w:t>provides a comparison of the suburbs with the highest number of properties for the 2014, 2016 &amp; 2018 revaluations.</w:t>
      </w:r>
    </w:p>
    <w:p w:rsidR="0000406A" w:rsidRDefault="00227352" w:rsidP="0000406A">
      <w:pPr>
        <w:pStyle w:val="Heading3A"/>
      </w:pPr>
      <w:r w:rsidRPr="00DB28DB">
        <w:rPr>
          <w:noProof/>
          <w:lang w:eastAsia="en-AU"/>
        </w:rPr>
        <w:lastRenderedPageBreak/>
        <w:drawing>
          <wp:inline distT="0" distB="0" distL="0" distR="0">
            <wp:extent cx="5181600" cy="4371975"/>
            <wp:effectExtent l="0" t="0" r="0" b="0"/>
            <wp:docPr id="3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181600" cy="4371975"/>
                    </a:xfrm>
                    <a:prstGeom prst="rect">
                      <a:avLst/>
                    </a:prstGeom>
                    <a:noFill/>
                    <a:ln>
                      <a:noFill/>
                    </a:ln>
                  </pic:spPr>
                </pic:pic>
              </a:graphicData>
            </a:graphic>
          </wp:inline>
        </w:drawing>
      </w:r>
    </w:p>
    <w:p w:rsidR="0000406A" w:rsidRDefault="0000406A" w:rsidP="0000406A">
      <w:pPr>
        <w:pStyle w:val="Heading3A"/>
      </w:pPr>
      <w:r>
        <w:t>Industrial</w:t>
      </w:r>
    </w:p>
    <w:p w:rsidR="0000406A" w:rsidRDefault="0000406A" w:rsidP="0000406A">
      <w:pPr>
        <w:jc w:val="both"/>
        <w:rPr>
          <w:rFonts w:cs="Arial"/>
          <w:color w:val="000000"/>
          <w:lang w:val="en-US"/>
        </w:rPr>
      </w:pPr>
      <w:r>
        <w:rPr>
          <w:rFonts w:cs="Arial"/>
          <w:color w:val="000000"/>
          <w:lang w:val="en-US"/>
        </w:rPr>
        <w:t>A total of 2,096 i</w:t>
      </w:r>
      <w:r w:rsidRPr="0060559C">
        <w:rPr>
          <w:rFonts w:cs="Arial"/>
          <w:color w:val="000000"/>
          <w:lang w:val="en-US"/>
        </w:rPr>
        <w:t xml:space="preserve">ndustrial properties have </w:t>
      </w:r>
      <w:r>
        <w:rPr>
          <w:rFonts w:cs="Arial"/>
          <w:color w:val="000000"/>
          <w:lang w:val="en-US"/>
        </w:rPr>
        <w:t>in</w:t>
      </w:r>
      <w:r w:rsidRPr="0060559C">
        <w:rPr>
          <w:rFonts w:cs="Arial"/>
          <w:color w:val="000000"/>
          <w:lang w:val="en-US"/>
        </w:rPr>
        <w:t xml:space="preserve">creased on average </w:t>
      </w:r>
      <w:r>
        <w:rPr>
          <w:rFonts w:cs="Arial"/>
          <w:color w:val="000000"/>
          <w:lang w:val="en-US"/>
        </w:rPr>
        <w:t>9.5% compared to 4.9% in 2016.</w:t>
      </w:r>
    </w:p>
    <w:p w:rsidR="0000406A" w:rsidRPr="00884699" w:rsidRDefault="0000406A" w:rsidP="0000406A">
      <w:pPr>
        <w:jc w:val="both"/>
        <w:rPr>
          <w:rFonts w:cs="Arial"/>
          <w:b/>
          <w:color w:val="000000"/>
          <w:lang w:val="en-US"/>
        </w:rPr>
      </w:pPr>
      <w:r w:rsidRPr="00884699">
        <w:rPr>
          <w:rFonts w:cs="Arial"/>
          <w:b/>
          <w:color w:val="000000"/>
          <w:lang w:val="en-US"/>
        </w:rPr>
        <w:t>Impact Analysis</w:t>
      </w:r>
    </w:p>
    <w:p w:rsidR="0000406A" w:rsidRDefault="0000406A" w:rsidP="0000406A">
      <w:pPr>
        <w:jc w:val="both"/>
        <w:rPr>
          <w:rFonts w:cs="Arial"/>
          <w:lang w:val="en-US"/>
        </w:rPr>
      </w:pPr>
      <w:r w:rsidRPr="00266091">
        <w:rPr>
          <w:rFonts w:cs="Arial"/>
          <w:lang w:val="en-US"/>
        </w:rPr>
        <w:t xml:space="preserve">The majority of industrial properties are in the following five areas which have </w:t>
      </w:r>
      <w:r>
        <w:rPr>
          <w:rFonts w:cs="Arial"/>
          <w:lang w:val="en-US"/>
        </w:rPr>
        <w:t>changed</w:t>
      </w:r>
      <w:r w:rsidRPr="00266091">
        <w:rPr>
          <w:rFonts w:cs="Arial"/>
          <w:lang w:val="en-US"/>
        </w:rPr>
        <w:t xml:space="preserve"> between </w:t>
      </w:r>
      <w:r>
        <w:rPr>
          <w:rFonts w:cs="Arial"/>
          <w:lang w:val="en-US"/>
        </w:rPr>
        <w:t>5.5%</w:t>
      </w:r>
      <w:r w:rsidRPr="00266091">
        <w:rPr>
          <w:rFonts w:cs="Arial"/>
          <w:lang w:val="en-US"/>
        </w:rPr>
        <w:t xml:space="preserve"> and </w:t>
      </w:r>
      <w:r>
        <w:rPr>
          <w:rFonts w:cs="Arial"/>
          <w:lang w:val="en-US"/>
        </w:rPr>
        <w:t>13.2</w:t>
      </w:r>
      <w:r w:rsidRPr="00266091">
        <w:rPr>
          <w:rFonts w:cs="Arial"/>
          <w:lang w:val="en-US"/>
        </w:rPr>
        <w:t xml:space="preserve">%. </w:t>
      </w:r>
    </w:p>
    <w:p w:rsidR="0000406A" w:rsidRDefault="00227352" w:rsidP="0000406A">
      <w:pPr>
        <w:pStyle w:val="Heading3A"/>
      </w:pPr>
      <w:r w:rsidRPr="00DB28DB">
        <w:rPr>
          <w:noProof/>
          <w:lang w:eastAsia="en-AU"/>
        </w:rPr>
        <w:lastRenderedPageBreak/>
        <w:drawing>
          <wp:inline distT="0" distB="0" distL="0" distR="0">
            <wp:extent cx="5181600" cy="1895475"/>
            <wp:effectExtent l="0" t="0" r="0" b="0"/>
            <wp:docPr id="3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181600" cy="1895475"/>
                    </a:xfrm>
                    <a:prstGeom prst="rect">
                      <a:avLst/>
                    </a:prstGeom>
                    <a:noFill/>
                    <a:ln>
                      <a:noFill/>
                    </a:ln>
                  </pic:spPr>
                </pic:pic>
              </a:graphicData>
            </a:graphic>
          </wp:inline>
        </w:drawing>
      </w:r>
    </w:p>
    <w:p w:rsidR="0000406A" w:rsidRDefault="0000406A" w:rsidP="0000406A">
      <w:pPr>
        <w:pStyle w:val="Heading3A"/>
      </w:pPr>
      <w:r>
        <w:t>Vacant</w:t>
      </w:r>
    </w:p>
    <w:p w:rsidR="0000406A" w:rsidRDefault="0000406A" w:rsidP="0000406A">
      <w:pPr>
        <w:jc w:val="both"/>
        <w:rPr>
          <w:rFonts w:cs="Arial"/>
          <w:color w:val="000000"/>
          <w:lang w:val="en-US"/>
        </w:rPr>
      </w:pPr>
      <w:r w:rsidRPr="005C1E6A">
        <w:rPr>
          <w:rFonts w:cs="Arial"/>
          <w:color w:val="000000"/>
          <w:lang w:val="en-US"/>
        </w:rPr>
        <w:t xml:space="preserve">Overall </w:t>
      </w:r>
      <w:r>
        <w:rPr>
          <w:rFonts w:cs="Arial"/>
          <w:color w:val="000000"/>
          <w:lang w:val="en-US"/>
        </w:rPr>
        <w:t>5,630</w:t>
      </w:r>
      <w:r w:rsidRPr="005C1E6A">
        <w:rPr>
          <w:rFonts w:cs="Arial"/>
          <w:color w:val="000000"/>
          <w:lang w:val="en-US"/>
        </w:rPr>
        <w:t xml:space="preserve"> </w:t>
      </w:r>
      <w:r>
        <w:rPr>
          <w:rFonts w:cs="Arial"/>
          <w:color w:val="000000"/>
          <w:lang w:val="en-US"/>
        </w:rPr>
        <w:t>vacant land</w:t>
      </w:r>
      <w:r w:rsidRPr="005C1E6A">
        <w:rPr>
          <w:rFonts w:cs="Arial"/>
          <w:color w:val="000000"/>
          <w:lang w:val="en-US"/>
        </w:rPr>
        <w:t xml:space="preserve"> valuations record</w:t>
      </w:r>
      <w:r>
        <w:rPr>
          <w:rFonts w:cs="Arial"/>
          <w:color w:val="000000"/>
          <w:lang w:val="en-US"/>
        </w:rPr>
        <w:t>ed</w:t>
      </w:r>
      <w:r w:rsidRPr="005C1E6A">
        <w:rPr>
          <w:rFonts w:cs="Arial"/>
          <w:color w:val="000000"/>
          <w:lang w:val="en-US"/>
        </w:rPr>
        <w:t xml:space="preserve"> an average </w:t>
      </w:r>
      <w:r>
        <w:rPr>
          <w:rFonts w:cs="Arial"/>
          <w:color w:val="000000"/>
          <w:lang w:val="en-US"/>
        </w:rPr>
        <w:t>in</w:t>
      </w:r>
      <w:r w:rsidRPr="005C1E6A">
        <w:rPr>
          <w:rFonts w:cs="Arial"/>
          <w:color w:val="000000"/>
          <w:lang w:val="en-US"/>
        </w:rPr>
        <w:t xml:space="preserve">crease of </w:t>
      </w:r>
      <w:r>
        <w:rPr>
          <w:rFonts w:cs="Arial"/>
          <w:color w:val="000000"/>
          <w:lang w:val="en-US"/>
        </w:rPr>
        <w:t>19.4%</w:t>
      </w:r>
      <w:r w:rsidRPr="005C1E6A">
        <w:rPr>
          <w:rFonts w:cs="Arial"/>
          <w:color w:val="000000"/>
          <w:lang w:val="en-US"/>
        </w:rPr>
        <w:t xml:space="preserve"> compared to</w:t>
      </w:r>
      <w:r>
        <w:rPr>
          <w:rFonts w:cs="Arial"/>
          <w:color w:val="000000"/>
          <w:lang w:val="en-US"/>
        </w:rPr>
        <w:t xml:space="preserve"> an increase of 9.5%</w:t>
      </w:r>
      <w:r w:rsidRPr="005C1E6A">
        <w:rPr>
          <w:rFonts w:cs="Arial"/>
          <w:color w:val="000000"/>
          <w:lang w:val="en-US"/>
        </w:rPr>
        <w:t xml:space="preserve"> in 201</w:t>
      </w:r>
      <w:r>
        <w:rPr>
          <w:rFonts w:cs="Arial"/>
          <w:color w:val="000000"/>
          <w:lang w:val="en-US"/>
        </w:rPr>
        <w:t>6</w:t>
      </w:r>
      <w:r w:rsidRPr="005C1E6A">
        <w:rPr>
          <w:rFonts w:cs="Arial"/>
          <w:color w:val="000000"/>
          <w:lang w:val="en-US"/>
        </w:rPr>
        <w:t>.</w:t>
      </w:r>
      <w:r>
        <w:rPr>
          <w:rFonts w:cs="Arial"/>
          <w:color w:val="000000"/>
          <w:lang w:val="en-US"/>
        </w:rPr>
        <w:t xml:space="preserve"> </w:t>
      </w:r>
    </w:p>
    <w:p w:rsidR="0000406A" w:rsidRPr="00884699" w:rsidRDefault="0000406A" w:rsidP="0000406A">
      <w:pPr>
        <w:jc w:val="both"/>
        <w:rPr>
          <w:rFonts w:cs="Arial"/>
          <w:b/>
          <w:color w:val="000000"/>
          <w:lang w:val="en-US"/>
        </w:rPr>
      </w:pPr>
      <w:r w:rsidRPr="00884699">
        <w:rPr>
          <w:rFonts w:cs="Arial"/>
          <w:b/>
          <w:color w:val="000000"/>
          <w:lang w:val="en-US"/>
        </w:rPr>
        <w:t>Impact Analysis</w:t>
      </w:r>
    </w:p>
    <w:p w:rsidR="0000406A" w:rsidRDefault="0000406A" w:rsidP="0000406A">
      <w:pPr>
        <w:jc w:val="both"/>
        <w:rPr>
          <w:rFonts w:cs="Arial"/>
          <w:lang w:val="en-US"/>
        </w:rPr>
      </w:pPr>
      <w:r>
        <w:rPr>
          <w:rFonts w:cs="Arial"/>
          <w:lang w:val="en-US"/>
        </w:rPr>
        <w:t xml:space="preserve">The </w:t>
      </w:r>
      <w:r w:rsidRPr="00B8093A">
        <w:rPr>
          <w:rFonts w:cs="Arial"/>
          <w:lang w:val="en-US"/>
        </w:rPr>
        <w:t xml:space="preserve">following table </w:t>
      </w:r>
      <w:r>
        <w:rPr>
          <w:rFonts w:cs="Arial"/>
          <w:lang w:val="en-US"/>
        </w:rPr>
        <w:t>provides a comparison of the suburbs with the highest number of properties for the 2014, 2016 &amp; 2018 revaluations.</w:t>
      </w:r>
    </w:p>
    <w:p w:rsidR="0000406A" w:rsidRDefault="00227352" w:rsidP="0000406A">
      <w:pPr>
        <w:pStyle w:val="Heading3A"/>
      </w:pPr>
      <w:r w:rsidRPr="00DB28DB">
        <w:rPr>
          <w:noProof/>
          <w:lang w:eastAsia="en-AU"/>
        </w:rPr>
        <w:drawing>
          <wp:inline distT="0" distB="0" distL="0" distR="0">
            <wp:extent cx="5181600" cy="3609975"/>
            <wp:effectExtent l="0" t="0" r="0" b="0"/>
            <wp:docPr id="35"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181600" cy="3609975"/>
                    </a:xfrm>
                    <a:prstGeom prst="rect">
                      <a:avLst/>
                    </a:prstGeom>
                    <a:noFill/>
                    <a:ln>
                      <a:noFill/>
                    </a:ln>
                  </pic:spPr>
                </pic:pic>
              </a:graphicData>
            </a:graphic>
          </wp:inline>
        </w:drawing>
      </w:r>
    </w:p>
    <w:p w:rsidR="0000406A" w:rsidRDefault="0000406A" w:rsidP="0000406A">
      <w:pPr>
        <w:pStyle w:val="Heading3A"/>
      </w:pPr>
      <w:r>
        <w:t>Mixed Use</w:t>
      </w:r>
    </w:p>
    <w:p w:rsidR="0000406A" w:rsidRDefault="0000406A" w:rsidP="0000406A">
      <w:pPr>
        <w:jc w:val="both"/>
        <w:rPr>
          <w:rFonts w:cs="Arial"/>
          <w:color w:val="000000"/>
          <w:lang w:val="en-US"/>
        </w:rPr>
      </w:pPr>
      <w:r w:rsidRPr="005C1E6A">
        <w:rPr>
          <w:rFonts w:cs="Arial"/>
          <w:color w:val="000000"/>
          <w:lang w:val="en-US"/>
        </w:rPr>
        <w:t xml:space="preserve">Overall </w:t>
      </w:r>
      <w:r>
        <w:rPr>
          <w:rFonts w:cs="Arial"/>
          <w:color w:val="000000"/>
          <w:lang w:val="en-US"/>
        </w:rPr>
        <w:t>339</w:t>
      </w:r>
      <w:r w:rsidRPr="005C1E6A">
        <w:rPr>
          <w:rFonts w:cs="Arial"/>
          <w:color w:val="000000"/>
          <w:lang w:val="en-US"/>
        </w:rPr>
        <w:t xml:space="preserve"> </w:t>
      </w:r>
      <w:r>
        <w:rPr>
          <w:rFonts w:cs="Arial"/>
          <w:color w:val="000000"/>
          <w:lang w:val="en-US"/>
        </w:rPr>
        <w:t>mixed use land</w:t>
      </w:r>
      <w:r w:rsidRPr="005C1E6A">
        <w:rPr>
          <w:rFonts w:cs="Arial"/>
          <w:color w:val="000000"/>
          <w:lang w:val="en-US"/>
        </w:rPr>
        <w:t xml:space="preserve"> valuations record</w:t>
      </w:r>
      <w:r>
        <w:rPr>
          <w:rFonts w:cs="Arial"/>
          <w:color w:val="000000"/>
          <w:lang w:val="en-US"/>
        </w:rPr>
        <w:t>ed</w:t>
      </w:r>
      <w:r w:rsidRPr="005C1E6A">
        <w:rPr>
          <w:rFonts w:cs="Arial"/>
          <w:color w:val="000000"/>
          <w:lang w:val="en-US"/>
        </w:rPr>
        <w:t xml:space="preserve"> an average </w:t>
      </w:r>
      <w:r>
        <w:rPr>
          <w:rFonts w:cs="Arial"/>
          <w:color w:val="000000"/>
          <w:lang w:val="en-US"/>
        </w:rPr>
        <w:t>in</w:t>
      </w:r>
      <w:r w:rsidRPr="005C1E6A">
        <w:rPr>
          <w:rFonts w:cs="Arial"/>
          <w:color w:val="000000"/>
          <w:lang w:val="en-US"/>
        </w:rPr>
        <w:t xml:space="preserve">crease of </w:t>
      </w:r>
      <w:r>
        <w:rPr>
          <w:rFonts w:cs="Arial"/>
          <w:color w:val="000000"/>
          <w:lang w:val="en-US"/>
        </w:rPr>
        <w:t>19.0%</w:t>
      </w:r>
      <w:r w:rsidRPr="005C1E6A">
        <w:rPr>
          <w:rFonts w:cs="Arial"/>
          <w:color w:val="000000"/>
          <w:lang w:val="en-US"/>
        </w:rPr>
        <w:t xml:space="preserve"> compared to</w:t>
      </w:r>
      <w:r>
        <w:rPr>
          <w:rFonts w:cs="Arial"/>
          <w:color w:val="000000"/>
          <w:lang w:val="en-US"/>
        </w:rPr>
        <w:t xml:space="preserve"> an increase of 10.4%</w:t>
      </w:r>
      <w:r w:rsidRPr="005C1E6A">
        <w:rPr>
          <w:rFonts w:cs="Arial"/>
          <w:color w:val="000000"/>
          <w:lang w:val="en-US"/>
        </w:rPr>
        <w:t xml:space="preserve"> in 201</w:t>
      </w:r>
      <w:r>
        <w:rPr>
          <w:rFonts w:cs="Arial"/>
          <w:color w:val="000000"/>
          <w:lang w:val="en-US"/>
        </w:rPr>
        <w:t>6</w:t>
      </w:r>
      <w:r w:rsidRPr="005C1E6A">
        <w:rPr>
          <w:rFonts w:cs="Arial"/>
          <w:color w:val="000000"/>
          <w:lang w:val="en-US"/>
        </w:rPr>
        <w:t>.</w:t>
      </w:r>
      <w:r>
        <w:rPr>
          <w:rFonts w:cs="Arial"/>
          <w:color w:val="000000"/>
          <w:lang w:val="en-US"/>
        </w:rPr>
        <w:t xml:space="preserve"> </w:t>
      </w:r>
    </w:p>
    <w:p w:rsidR="0000406A" w:rsidRPr="00884699" w:rsidRDefault="0000406A" w:rsidP="0000406A">
      <w:pPr>
        <w:jc w:val="both"/>
        <w:rPr>
          <w:rFonts w:cs="Arial"/>
          <w:b/>
          <w:color w:val="000000"/>
          <w:lang w:val="en-US"/>
        </w:rPr>
      </w:pPr>
      <w:r w:rsidRPr="00884699">
        <w:rPr>
          <w:rFonts w:cs="Arial"/>
          <w:b/>
          <w:color w:val="000000"/>
          <w:lang w:val="en-US"/>
        </w:rPr>
        <w:t>Impact Analysis</w:t>
      </w:r>
    </w:p>
    <w:p w:rsidR="0000406A" w:rsidRDefault="0000406A" w:rsidP="0000406A">
      <w:pPr>
        <w:jc w:val="both"/>
        <w:rPr>
          <w:rFonts w:cs="Arial"/>
          <w:lang w:val="en-US"/>
        </w:rPr>
      </w:pPr>
      <w:r>
        <w:rPr>
          <w:rFonts w:cs="Arial"/>
          <w:lang w:val="en-US"/>
        </w:rPr>
        <w:lastRenderedPageBreak/>
        <w:t xml:space="preserve">The </w:t>
      </w:r>
      <w:r w:rsidRPr="00B8093A">
        <w:rPr>
          <w:rFonts w:cs="Arial"/>
          <w:lang w:val="en-US"/>
        </w:rPr>
        <w:t xml:space="preserve">following table </w:t>
      </w:r>
      <w:r>
        <w:rPr>
          <w:rFonts w:cs="Arial"/>
          <w:lang w:val="en-US"/>
        </w:rPr>
        <w:t>provides a comparison of the suburbs with the highest number of properties for the 2014, 2016 &amp; 2018 revaluations.</w:t>
      </w:r>
    </w:p>
    <w:p w:rsidR="0000406A" w:rsidRDefault="00227352" w:rsidP="0000406A">
      <w:pPr>
        <w:pStyle w:val="Heading3A"/>
      </w:pPr>
      <w:r w:rsidRPr="00DB28DB">
        <w:rPr>
          <w:noProof/>
          <w:lang w:eastAsia="en-AU"/>
        </w:rPr>
        <w:drawing>
          <wp:inline distT="0" distB="0" distL="0" distR="0">
            <wp:extent cx="5181600" cy="2676525"/>
            <wp:effectExtent l="0" t="0" r="0" b="0"/>
            <wp:docPr id="36"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181600" cy="2676525"/>
                    </a:xfrm>
                    <a:prstGeom prst="rect">
                      <a:avLst/>
                    </a:prstGeom>
                    <a:noFill/>
                    <a:ln>
                      <a:noFill/>
                    </a:ln>
                  </pic:spPr>
                </pic:pic>
              </a:graphicData>
            </a:graphic>
          </wp:inline>
        </w:drawing>
      </w:r>
    </w:p>
    <w:p w:rsidR="0000406A" w:rsidRDefault="0000406A" w:rsidP="0000406A">
      <w:pPr>
        <w:pStyle w:val="Heading3A"/>
      </w:pPr>
      <w:r>
        <w:t>Cultural and Recreational</w:t>
      </w:r>
    </w:p>
    <w:p w:rsidR="0000406A" w:rsidRDefault="0000406A" w:rsidP="0000406A">
      <w:pPr>
        <w:jc w:val="both"/>
        <w:rPr>
          <w:rFonts w:cs="Arial"/>
          <w:color w:val="000000"/>
          <w:lang w:val="en-US"/>
        </w:rPr>
      </w:pPr>
      <w:r w:rsidRPr="005C1E6A">
        <w:rPr>
          <w:rFonts w:cs="Arial"/>
          <w:color w:val="000000"/>
          <w:lang w:val="en-US"/>
        </w:rPr>
        <w:t xml:space="preserve">Overall </w:t>
      </w:r>
      <w:r>
        <w:rPr>
          <w:rFonts w:cs="Arial"/>
          <w:color w:val="000000"/>
          <w:lang w:val="en-US"/>
        </w:rPr>
        <w:t>52 cultural and recreational land</w:t>
      </w:r>
      <w:r w:rsidRPr="005C1E6A">
        <w:rPr>
          <w:rFonts w:cs="Arial"/>
          <w:color w:val="000000"/>
          <w:lang w:val="en-US"/>
        </w:rPr>
        <w:t xml:space="preserve"> valuations record</w:t>
      </w:r>
      <w:r>
        <w:rPr>
          <w:rFonts w:cs="Arial"/>
          <w:color w:val="000000"/>
          <w:lang w:val="en-US"/>
        </w:rPr>
        <w:t>ed</w:t>
      </w:r>
      <w:r w:rsidRPr="005C1E6A">
        <w:rPr>
          <w:rFonts w:cs="Arial"/>
          <w:color w:val="000000"/>
          <w:lang w:val="en-US"/>
        </w:rPr>
        <w:t xml:space="preserve"> an average </w:t>
      </w:r>
      <w:r>
        <w:rPr>
          <w:rFonts w:cs="Arial"/>
          <w:color w:val="000000"/>
          <w:lang w:val="en-US"/>
        </w:rPr>
        <w:t>in</w:t>
      </w:r>
      <w:r w:rsidRPr="005C1E6A">
        <w:rPr>
          <w:rFonts w:cs="Arial"/>
          <w:color w:val="000000"/>
          <w:lang w:val="en-US"/>
        </w:rPr>
        <w:t xml:space="preserve">crease of </w:t>
      </w:r>
      <w:r>
        <w:rPr>
          <w:rFonts w:cs="Arial"/>
          <w:color w:val="000000"/>
          <w:lang w:val="en-US"/>
        </w:rPr>
        <w:t>2.5%</w:t>
      </w:r>
      <w:r w:rsidRPr="005C1E6A">
        <w:rPr>
          <w:rFonts w:cs="Arial"/>
          <w:color w:val="000000"/>
          <w:lang w:val="en-US"/>
        </w:rPr>
        <w:t xml:space="preserve"> compared to</w:t>
      </w:r>
      <w:r>
        <w:rPr>
          <w:rFonts w:cs="Arial"/>
          <w:color w:val="000000"/>
          <w:lang w:val="en-US"/>
        </w:rPr>
        <w:t xml:space="preserve"> an increase of 8%</w:t>
      </w:r>
      <w:r w:rsidRPr="005C1E6A">
        <w:rPr>
          <w:rFonts w:cs="Arial"/>
          <w:color w:val="000000"/>
          <w:lang w:val="en-US"/>
        </w:rPr>
        <w:t xml:space="preserve"> in 201</w:t>
      </w:r>
      <w:r>
        <w:rPr>
          <w:rFonts w:cs="Arial"/>
          <w:color w:val="000000"/>
          <w:lang w:val="en-US"/>
        </w:rPr>
        <w:t>6</w:t>
      </w:r>
      <w:r w:rsidRPr="005C1E6A">
        <w:rPr>
          <w:rFonts w:cs="Arial"/>
          <w:color w:val="000000"/>
          <w:lang w:val="en-US"/>
        </w:rPr>
        <w:t>.</w:t>
      </w:r>
      <w:r>
        <w:rPr>
          <w:rFonts w:cs="Arial"/>
          <w:color w:val="000000"/>
          <w:lang w:val="en-US"/>
        </w:rPr>
        <w:t xml:space="preserve"> </w:t>
      </w:r>
    </w:p>
    <w:p w:rsidR="0000406A" w:rsidRPr="00884699" w:rsidRDefault="0000406A" w:rsidP="0000406A">
      <w:pPr>
        <w:jc w:val="both"/>
        <w:rPr>
          <w:rFonts w:cs="Arial"/>
          <w:b/>
          <w:color w:val="000000"/>
          <w:lang w:val="en-US"/>
        </w:rPr>
      </w:pPr>
      <w:r w:rsidRPr="00884699">
        <w:rPr>
          <w:rFonts w:cs="Arial"/>
          <w:b/>
          <w:color w:val="000000"/>
          <w:lang w:val="en-US"/>
        </w:rPr>
        <w:t>Impact Analysis</w:t>
      </w:r>
    </w:p>
    <w:p w:rsidR="0000406A" w:rsidRDefault="0000406A" w:rsidP="0000406A">
      <w:pPr>
        <w:jc w:val="both"/>
        <w:rPr>
          <w:rFonts w:cs="Arial"/>
          <w:lang w:val="en-US"/>
        </w:rPr>
      </w:pPr>
      <w:r>
        <w:rPr>
          <w:rFonts w:cs="Arial"/>
          <w:lang w:val="en-US"/>
        </w:rPr>
        <w:t xml:space="preserve">The </w:t>
      </w:r>
      <w:r w:rsidRPr="00B8093A">
        <w:rPr>
          <w:rFonts w:cs="Arial"/>
          <w:lang w:val="en-US"/>
        </w:rPr>
        <w:t xml:space="preserve">following table </w:t>
      </w:r>
      <w:r>
        <w:rPr>
          <w:rFonts w:cs="Arial"/>
          <w:lang w:val="en-US"/>
        </w:rPr>
        <w:t>provides a comparison of the suburbs with the highest number of properties for the 2014, 2016 &amp; 2018 revaluations.</w:t>
      </w:r>
    </w:p>
    <w:p w:rsidR="0000406A" w:rsidRDefault="00227352" w:rsidP="0000406A">
      <w:pPr>
        <w:pStyle w:val="Heading3A"/>
      </w:pPr>
      <w:r w:rsidRPr="00DB28DB">
        <w:rPr>
          <w:noProof/>
          <w:lang w:eastAsia="en-AU"/>
        </w:rPr>
        <w:lastRenderedPageBreak/>
        <w:drawing>
          <wp:inline distT="0" distB="0" distL="0" distR="0">
            <wp:extent cx="5181600" cy="5915025"/>
            <wp:effectExtent l="0" t="0" r="0" b="0"/>
            <wp:docPr id="37"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181600" cy="5915025"/>
                    </a:xfrm>
                    <a:prstGeom prst="rect">
                      <a:avLst/>
                    </a:prstGeom>
                    <a:noFill/>
                    <a:ln>
                      <a:noFill/>
                    </a:ln>
                  </pic:spPr>
                </pic:pic>
              </a:graphicData>
            </a:graphic>
          </wp:inline>
        </w:drawing>
      </w:r>
    </w:p>
    <w:p w:rsidR="0000406A" w:rsidRDefault="0000406A" w:rsidP="0000406A">
      <w:pPr>
        <w:pStyle w:val="Heading3A"/>
      </w:pPr>
      <w:r>
        <w:t>Major Industrials</w:t>
      </w:r>
    </w:p>
    <w:p w:rsidR="0000406A" w:rsidRPr="00A12F25" w:rsidRDefault="0000406A" w:rsidP="0000406A">
      <w:pPr>
        <w:jc w:val="both"/>
        <w:rPr>
          <w:rFonts w:cs="Arial"/>
          <w:color w:val="000000"/>
          <w:lang w:val="en-US"/>
        </w:rPr>
      </w:pPr>
      <w:r w:rsidRPr="00A12F25">
        <w:rPr>
          <w:rFonts w:cs="Arial"/>
          <w:color w:val="000000"/>
          <w:lang w:val="en-US"/>
        </w:rPr>
        <w:t>The Petroleum Production Land differential, has had a reduction to the CIV for Viva Energy for 2016 to 2018. It reduces from $146,900,000 to $145,100,100 or (1.2%).</w:t>
      </w:r>
    </w:p>
    <w:p w:rsidR="0000406A" w:rsidRDefault="0000406A" w:rsidP="0000406A">
      <w:pPr>
        <w:pStyle w:val="Heading3A"/>
      </w:pPr>
      <w:r>
        <w:t>Rate Cap</w:t>
      </w:r>
    </w:p>
    <w:p w:rsidR="0000406A" w:rsidRDefault="0000406A">
      <w:pPr>
        <w:pStyle w:val="BodyText"/>
      </w:pPr>
      <w:r>
        <w:t xml:space="preserve">The </w:t>
      </w:r>
      <w:r w:rsidRPr="005167B1">
        <w:rPr>
          <w:i/>
        </w:rPr>
        <w:t>Local Government Act 1989</w:t>
      </w:r>
      <w:r>
        <w:t xml:space="preserve"> was amended in December 2015 to include </w:t>
      </w:r>
      <w:r w:rsidR="00C3581A">
        <w:t xml:space="preserve">Part </w:t>
      </w:r>
      <w:r>
        <w:t xml:space="preserve">8A – Rate Caps, </w:t>
      </w:r>
      <w:r w:rsidR="00FB6110">
        <w:t xml:space="preserve">sections </w:t>
      </w:r>
      <w:r>
        <w:t>185A to 185G to promote the long term interests of ratepayers and the community in relation to sustainable outcomes in the delivery of services and infrastructure.</w:t>
      </w:r>
    </w:p>
    <w:p w:rsidR="0000406A" w:rsidRPr="00F33F45" w:rsidRDefault="0000406A">
      <w:pPr>
        <w:pStyle w:val="BodyText"/>
      </w:pPr>
      <w:r w:rsidRPr="00F33F45">
        <w:t xml:space="preserve">The Minister for Local Government announced on </w:t>
      </w:r>
      <w:r>
        <w:t>18</w:t>
      </w:r>
      <w:r w:rsidRPr="00F33F45">
        <w:t xml:space="preserve"> December 201</w:t>
      </w:r>
      <w:r>
        <w:t>7</w:t>
      </w:r>
      <w:r w:rsidRPr="00F33F45">
        <w:t xml:space="preserve"> </w:t>
      </w:r>
      <w:r>
        <w:t xml:space="preserve">under section 185D(1) of the LGA </w:t>
      </w:r>
      <w:r w:rsidRPr="00F33F45">
        <w:t>that the 201</w:t>
      </w:r>
      <w:r>
        <w:t>8</w:t>
      </w:r>
      <w:r w:rsidRPr="00F33F45">
        <w:t>-</w:t>
      </w:r>
      <w:r>
        <w:t>19</w:t>
      </w:r>
      <w:r w:rsidRPr="00F33F45">
        <w:t xml:space="preserve"> rate cap would be 2.</w:t>
      </w:r>
      <w:r>
        <w:t>25</w:t>
      </w:r>
      <w:r w:rsidRPr="00F33F45">
        <w:t xml:space="preserve">% for all Victorian </w:t>
      </w:r>
      <w:r w:rsidR="00CD5843">
        <w:t>c</w:t>
      </w:r>
      <w:r w:rsidRPr="00F33F45">
        <w:t>ouncils.</w:t>
      </w:r>
    </w:p>
    <w:p w:rsidR="0000406A" w:rsidRPr="00F33F45" w:rsidRDefault="0000406A">
      <w:pPr>
        <w:pStyle w:val="BodyText"/>
      </w:pPr>
      <w:r w:rsidRPr="00F33F45">
        <w:lastRenderedPageBreak/>
        <w:t xml:space="preserve">Not all </w:t>
      </w:r>
      <w:r w:rsidR="00316155">
        <w:t>C</w:t>
      </w:r>
      <w:r w:rsidR="00FB6110" w:rsidRPr="00F33F45">
        <w:t xml:space="preserve">ouncil </w:t>
      </w:r>
      <w:r w:rsidRPr="00F33F45">
        <w:t>charges are included in the rate cap calculation.</w:t>
      </w:r>
    </w:p>
    <w:p w:rsidR="0000406A" w:rsidRDefault="0000406A" w:rsidP="005167B1">
      <w:pPr>
        <w:pStyle w:val="ListParagraph"/>
        <w:numPr>
          <w:ilvl w:val="0"/>
          <w:numId w:val="43"/>
        </w:numPr>
        <w:spacing w:after="80"/>
        <w:ind w:left="357" w:hanging="357"/>
        <w:jc w:val="both"/>
      </w:pPr>
      <w:r w:rsidRPr="00F33F45">
        <w:t>Rates and the Municipal Charge are included in the rate cap calculation.</w:t>
      </w:r>
    </w:p>
    <w:p w:rsidR="0000406A" w:rsidRDefault="0000406A" w:rsidP="005167B1">
      <w:pPr>
        <w:pStyle w:val="ListParagraph"/>
        <w:numPr>
          <w:ilvl w:val="0"/>
          <w:numId w:val="43"/>
        </w:numPr>
        <w:spacing w:after="80"/>
        <w:ind w:left="357" w:hanging="357"/>
        <w:jc w:val="both"/>
      </w:pPr>
      <w:r w:rsidRPr="00F33F45">
        <w:t>The Waste charge and the Fire Services Property Levy are not included in the rate cap calculation.</w:t>
      </w:r>
    </w:p>
    <w:p w:rsidR="0000406A" w:rsidRDefault="0000406A">
      <w:pPr>
        <w:pStyle w:val="BodyText"/>
      </w:pPr>
      <w:r>
        <w:t>The 2017-18 base average rate is calculated at $1,526.24 and the 2018</w:t>
      </w:r>
      <w:r>
        <w:noBreakHyphen/>
        <w:t>19 Budget proposes this will increase by 2.25% to $1,560.58.</w:t>
      </w:r>
    </w:p>
    <w:p w:rsidR="0000406A" w:rsidRPr="00F33F45" w:rsidRDefault="0000406A">
      <w:pPr>
        <w:pStyle w:val="BodyText"/>
      </w:pPr>
      <w:r w:rsidRPr="00F33F45">
        <w:t>The rate cap calculation for 201</w:t>
      </w:r>
      <w:r>
        <w:t>8</w:t>
      </w:r>
      <w:r w:rsidRPr="00F33F45">
        <w:t>-</w:t>
      </w:r>
      <w:r>
        <w:t>19</w:t>
      </w:r>
      <w:r w:rsidRPr="00F33F45">
        <w:t xml:space="preserve"> is:</w:t>
      </w:r>
    </w:p>
    <w:tbl>
      <w:tblPr>
        <w:tblW w:w="87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635"/>
        <w:gridCol w:w="1542"/>
        <w:gridCol w:w="1543"/>
      </w:tblGrid>
      <w:tr w:rsidR="0000406A" w:rsidRPr="00E60EA6" w:rsidTr="00201758">
        <w:trPr>
          <w:trHeight w:val="255"/>
        </w:trPr>
        <w:tc>
          <w:tcPr>
            <w:tcW w:w="5635" w:type="dxa"/>
            <w:shd w:val="clear" w:color="auto" w:fill="8DB3E2"/>
            <w:noWrap/>
            <w:vAlign w:val="bottom"/>
            <w:hideMark/>
          </w:tcPr>
          <w:p w:rsidR="0000406A" w:rsidRPr="001A5D13" w:rsidRDefault="0000406A" w:rsidP="00201758">
            <w:pPr>
              <w:spacing w:before="0" w:after="0"/>
              <w:rPr>
                <w:rFonts w:ascii="News Gothic Std" w:hAnsi="News Gothic Std" w:cs="Arial"/>
                <w:sz w:val="18"/>
                <w:szCs w:val="18"/>
                <w:lang w:eastAsia="en-AU"/>
              </w:rPr>
            </w:pPr>
          </w:p>
        </w:tc>
        <w:tc>
          <w:tcPr>
            <w:tcW w:w="1542" w:type="dxa"/>
            <w:shd w:val="clear" w:color="auto" w:fill="8DB3E2"/>
            <w:noWrap/>
            <w:vAlign w:val="bottom"/>
            <w:hideMark/>
          </w:tcPr>
          <w:p w:rsidR="0000406A" w:rsidRPr="001A5D13" w:rsidRDefault="0000406A" w:rsidP="00201758">
            <w:pPr>
              <w:spacing w:before="0" w:after="0"/>
              <w:jc w:val="right"/>
              <w:rPr>
                <w:rFonts w:ascii="News Gothic Std" w:hAnsi="News Gothic Std" w:cs="Arial"/>
                <w:sz w:val="18"/>
                <w:szCs w:val="18"/>
                <w:lang w:eastAsia="en-AU"/>
              </w:rPr>
            </w:pPr>
            <w:r w:rsidRPr="001A5D13">
              <w:rPr>
                <w:rFonts w:ascii="News Gothic Std" w:hAnsi="News Gothic Std" w:cs="Arial"/>
                <w:sz w:val="18"/>
                <w:szCs w:val="18"/>
                <w:lang w:eastAsia="en-AU"/>
              </w:rPr>
              <w:t>2017-18</w:t>
            </w:r>
          </w:p>
        </w:tc>
        <w:tc>
          <w:tcPr>
            <w:tcW w:w="1543" w:type="dxa"/>
            <w:shd w:val="clear" w:color="auto" w:fill="8DB3E2"/>
            <w:noWrap/>
            <w:vAlign w:val="bottom"/>
            <w:hideMark/>
          </w:tcPr>
          <w:p w:rsidR="0000406A" w:rsidRPr="001A5D13" w:rsidRDefault="0000406A" w:rsidP="00201758">
            <w:pPr>
              <w:spacing w:before="0" w:after="0"/>
              <w:jc w:val="right"/>
              <w:rPr>
                <w:rFonts w:ascii="News Gothic Std" w:hAnsi="News Gothic Std" w:cs="Arial"/>
                <w:sz w:val="18"/>
                <w:szCs w:val="18"/>
                <w:lang w:eastAsia="en-AU"/>
              </w:rPr>
            </w:pPr>
            <w:r w:rsidRPr="001A5D13">
              <w:rPr>
                <w:rFonts w:ascii="News Gothic Std" w:hAnsi="News Gothic Std" w:cs="Arial"/>
                <w:sz w:val="18"/>
                <w:szCs w:val="18"/>
                <w:lang w:eastAsia="en-AU"/>
              </w:rPr>
              <w:t>2018-19</w:t>
            </w:r>
          </w:p>
        </w:tc>
      </w:tr>
      <w:tr w:rsidR="0000406A" w:rsidRPr="00E60EA6" w:rsidTr="00201758">
        <w:trPr>
          <w:trHeight w:val="255"/>
        </w:trPr>
        <w:tc>
          <w:tcPr>
            <w:tcW w:w="5635" w:type="dxa"/>
            <w:shd w:val="clear" w:color="auto" w:fill="8DB3E2"/>
            <w:noWrap/>
            <w:vAlign w:val="bottom"/>
            <w:hideMark/>
          </w:tcPr>
          <w:p w:rsidR="0000406A" w:rsidRPr="001A5D13" w:rsidRDefault="0000406A" w:rsidP="00201758">
            <w:pPr>
              <w:spacing w:before="0" w:after="0"/>
              <w:rPr>
                <w:rFonts w:ascii="News Gothic Std" w:hAnsi="News Gothic Std" w:cs="Arial"/>
                <w:sz w:val="18"/>
                <w:szCs w:val="18"/>
                <w:lang w:eastAsia="en-AU"/>
              </w:rPr>
            </w:pPr>
            <w:r w:rsidRPr="001A5D13">
              <w:rPr>
                <w:rFonts w:ascii="News Gothic Std" w:hAnsi="News Gothic Std" w:cs="Arial"/>
                <w:sz w:val="18"/>
                <w:szCs w:val="18"/>
                <w:lang w:eastAsia="en-AU"/>
              </w:rPr>
              <w:t>Proposed Average Rate Increase all Rateable Property</w:t>
            </w:r>
          </w:p>
        </w:tc>
        <w:tc>
          <w:tcPr>
            <w:tcW w:w="1542" w:type="dxa"/>
            <w:shd w:val="clear" w:color="auto" w:fill="8DB3E2"/>
            <w:noWrap/>
            <w:vAlign w:val="bottom"/>
            <w:hideMark/>
          </w:tcPr>
          <w:p w:rsidR="0000406A" w:rsidRPr="001A5D13" w:rsidRDefault="0000406A" w:rsidP="00201758">
            <w:pPr>
              <w:spacing w:before="0" w:after="0"/>
              <w:jc w:val="right"/>
              <w:rPr>
                <w:rFonts w:ascii="News Gothic Std" w:hAnsi="News Gothic Std" w:cs="Arial"/>
                <w:sz w:val="18"/>
                <w:szCs w:val="18"/>
                <w:lang w:eastAsia="en-AU"/>
              </w:rPr>
            </w:pPr>
          </w:p>
        </w:tc>
        <w:tc>
          <w:tcPr>
            <w:tcW w:w="1543" w:type="dxa"/>
            <w:shd w:val="clear" w:color="auto" w:fill="8DB3E2"/>
            <w:noWrap/>
            <w:vAlign w:val="bottom"/>
            <w:hideMark/>
          </w:tcPr>
          <w:p w:rsidR="0000406A" w:rsidRPr="001A5D13" w:rsidRDefault="0000406A" w:rsidP="00201758">
            <w:pPr>
              <w:spacing w:before="0" w:after="0"/>
              <w:jc w:val="right"/>
              <w:rPr>
                <w:rFonts w:ascii="News Gothic Std" w:hAnsi="News Gothic Std" w:cs="Arial"/>
                <w:sz w:val="18"/>
                <w:szCs w:val="18"/>
                <w:lang w:eastAsia="en-AU"/>
              </w:rPr>
            </w:pPr>
            <w:r w:rsidRPr="001A5D13">
              <w:rPr>
                <w:rFonts w:ascii="News Gothic Std" w:hAnsi="News Gothic Std" w:cs="Arial"/>
                <w:sz w:val="18"/>
                <w:szCs w:val="18"/>
                <w:lang w:eastAsia="en-AU"/>
              </w:rPr>
              <w:t>2.25%</w:t>
            </w:r>
          </w:p>
        </w:tc>
      </w:tr>
      <w:tr w:rsidR="0000406A" w:rsidRPr="00E60EA6" w:rsidTr="00201758">
        <w:trPr>
          <w:trHeight w:val="354"/>
        </w:trPr>
        <w:tc>
          <w:tcPr>
            <w:tcW w:w="5635" w:type="dxa"/>
            <w:shd w:val="clear" w:color="auto" w:fill="auto"/>
            <w:vAlign w:val="center"/>
            <w:hideMark/>
          </w:tcPr>
          <w:p w:rsidR="0000406A" w:rsidRPr="00E60EA6" w:rsidRDefault="0000406A" w:rsidP="00201758">
            <w:pPr>
              <w:spacing w:before="0" w:after="0"/>
              <w:rPr>
                <w:rFonts w:cs="Lucida Sans Unicode"/>
                <w:sz w:val="18"/>
                <w:szCs w:val="18"/>
                <w:lang w:eastAsia="en-AU"/>
              </w:rPr>
            </w:pPr>
            <w:r w:rsidRPr="00E60EA6">
              <w:rPr>
                <w:rFonts w:cs="Lucida Sans Unicode"/>
                <w:sz w:val="18"/>
                <w:szCs w:val="18"/>
                <w:lang w:eastAsia="en-AU"/>
              </w:rPr>
              <w:t xml:space="preserve">Rates and Municipal Charge </w:t>
            </w:r>
          </w:p>
          <w:p w:rsidR="0000406A" w:rsidRPr="00E60EA6" w:rsidRDefault="0000406A" w:rsidP="00201758">
            <w:pPr>
              <w:spacing w:before="0" w:after="0"/>
              <w:rPr>
                <w:rFonts w:cs="Lucida Sans Unicode"/>
                <w:sz w:val="18"/>
                <w:szCs w:val="18"/>
                <w:lang w:eastAsia="en-AU"/>
              </w:rPr>
            </w:pPr>
            <w:r w:rsidRPr="00E60EA6">
              <w:rPr>
                <w:rFonts w:cs="Lucida Sans Unicode"/>
                <w:sz w:val="18"/>
                <w:szCs w:val="18"/>
                <w:lang w:eastAsia="en-AU"/>
              </w:rPr>
              <w:t>(adjusted for Supplementaries 2017-18)</w:t>
            </w:r>
          </w:p>
        </w:tc>
        <w:tc>
          <w:tcPr>
            <w:tcW w:w="1542" w:type="dxa"/>
            <w:shd w:val="clear" w:color="auto" w:fill="auto"/>
            <w:noWrap/>
            <w:vAlign w:val="center"/>
            <w:hideMark/>
          </w:tcPr>
          <w:p w:rsidR="0000406A" w:rsidRPr="00E60EA6" w:rsidRDefault="0000406A" w:rsidP="00201758">
            <w:pPr>
              <w:spacing w:before="0" w:after="0"/>
              <w:jc w:val="right"/>
              <w:rPr>
                <w:rFonts w:cs="Lucida Sans Unicode"/>
                <w:sz w:val="18"/>
                <w:szCs w:val="18"/>
                <w:lang w:eastAsia="en-AU"/>
              </w:rPr>
            </w:pPr>
            <w:r w:rsidRPr="00E60EA6">
              <w:rPr>
                <w:rFonts w:cs="Lucida Sans Unicode"/>
                <w:sz w:val="18"/>
                <w:szCs w:val="18"/>
                <w:lang w:eastAsia="en-AU"/>
              </w:rPr>
              <w:t xml:space="preserve">187,276,173 </w:t>
            </w:r>
          </w:p>
        </w:tc>
        <w:tc>
          <w:tcPr>
            <w:tcW w:w="1543" w:type="dxa"/>
            <w:shd w:val="clear" w:color="auto" w:fill="auto"/>
            <w:noWrap/>
            <w:vAlign w:val="center"/>
            <w:hideMark/>
          </w:tcPr>
          <w:p w:rsidR="0000406A" w:rsidRPr="00E60EA6" w:rsidRDefault="0000406A" w:rsidP="00201758">
            <w:pPr>
              <w:spacing w:before="0" w:after="0"/>
              <w:jc w:val="right"/>
              <w:rPr>
                <w:rFonts w:cs="Lucida Sans Unicode"/>
                <w:sz w:val="18"/>
                <w:szCs w:val="18"/>
                <w:lang w:eastAsia="en-AU"/>
              </w:rPr>
            </w:pPr>
            <w:r w:rsidRPr="00E60EA6">
              <w:rPr>
                <w:rFonts w:cs="Lucida Sans Unicode"/>
                <w:sz w:val="18"/>
                <w:szCs w:val="18"/>
                <w:lang w:eastAsia="en-AU"/>
              </w:rPr>
              <w:t xml:space="preserve">191,489,887 </w:t>
            </w:r>
          </w:p>
        </w:tc>
      </w:tr>
      <w:tr w:rsidR="0000406A" w:rsidRPr="00E60EA6" w:rsidTr="00201758">
        <w:trPr>
          <w:trHeight w:val="300"/>
        </w:trPr>
        <w:tc>
          <w:tcPr>
            <w:tcW w:w="5635" w:type="dxa"/>
            <w:shd w:val="clear" w:color="auto" w:fill="auto"/>
            <w:noWrap/>
            <w:vAlign w:val="center"/>
            <w:hideMark/>
          </w:tcPr>
          <w:p w:rsidR="0000406A" w:rsidRPr="00E60EA6" w:rsidRDefault="0000406A" w:rsidP="00201758">
            <w:pPr>
              <w:spacing w:before="0" w:after="0"/>
              <w:rPr>
                <w:rFonts w:cs="Lucida Sans Unicode"/>
                <w:sz w:val="18"/>
                <w:szCs w:val="18"/>
                <w:lang w:eastAsia="en-AU"/>
              </w:rPr>
            </w:pPr>
            <w:r w:rsidRPr="00E60EA6">
              <w:rPr>
                <w:rFonts w:cs="Lucida Sans Unicode"/>
                <w:sz w:val="18"/>
                <w:szCs w:val="18"/>
                <w:lang w:eastAsia="en-AU"/>
              </w:rPr>
              <w:t>Number of Rateable Properties</w:t>
            </w:r>
          </w:p>
        </w:tc>
        <w:tc>
          <w:tcPr>
            <w:tcW w:w="1542" w:type="dxa"/>
            <w:shd w:val="clear" w:color="auto" w:fill="auto"/>
            <w:noWrap/>
            <w:vAlign w:val="center"/>
            <w:hideMark/>
          </w:tcPr>
          <w:p w:rsidR="0000406A" w:rsidRPr="00E60EA6" w:rsidRDefault="0000406A" w:rsidP="00201758">
            <w:pPr>
              <w:spacing w:before="0" w:after="0"/>
              <w:jc w:val="right"/>
              <w:rPr>
                <w:rFonts w:cs="Lucida Sans Unicode"/>
                <w:sz w:val="18"/>
                <w:szCs w:val="18"/>
                <w:lang w:eastAsia="en-AU"/>
              </w:rPr>
            </w:pPr>
            <w:r w:rsidRPr="00E60EA6">
              <w:rPr>
                <w:rFonts w:cs="Lucida Sans Unicode"/>
                <w:sz w:val="18"/>
                <w:szCs w:val="18"/>
                <w:lang w:eastAsia="en-AU"/>
              </w:rPr>
              <w:t xml:space="preserve">122,704 </w:t>
            </w:r>
          </w:p>
        </w:tc>
        <w:tc>
          <w:tcPr>
            <w:tcW w:w="1543" w:type="dxa"/>
            <w:shd w:val="clear" w:color="auto" w:fill="auto"/>
            <w:noWrap/>
            <w:vAlign w:val="center"/>
            <w:hideMark/>
          </w:tcPr>
          <w:p w:rsidR="0000406A" w:rsidRPr="00E60EA6" w:rsidRDefault="0000406A" w:rsidP="00201758">
            <w:pPr>
              <w:spacing w:before="0" w:after="0"/>
              <w:jc w:val="right"/>
              <w:rPr>
                <w:rFonts w:cs="Lucida Sans Unicode"/>
                <w:sz w:val="18"/>
                <w:szCs w:val="18"/>
                <w:lang w:eastAsia="en-AU"/>
              </w:rPr>
            </w:pPr>
            <w:r w:rsidRPr="00E60EA6">
              <w:rPr>
                <w:rFonts w:cs="Lucida Sans Unicode"/>
                <w:sz w:val="18"/>
                <w:szCs w:val="18"/>
                <w:lang w:eastAsia="en-AU"/>
              </w:rPr>
              <w:t xml:space="preserve">122,704 </w:t>
            </w:r>
          </w:p>
        </w:tc>
      </w:tr>
      <w:tr w:rsidR="0000406A" w:rsidRPr="00E60EA6" w:rsidTr="00201758">
        <w:trPr>
          <w:trHeight w:val="300"/>
        </w:trPr>
        <w:tc>
          <w:tcPr>
            <w:tcW w:w="5635" w:type="dxa"/>
            <w:shd w:val="clear" w:color="auto" w:fill="auto"/>
            <w:noWrap/>
            <w:vAlign w:val="center"/>
            <w:hideMark/>
          </w:tcPr>
          <w:p w:rsidR="0000406A" w:rsidRPr="00E60EA6" w:rsidRDefault="0000406A" w:rsidP="00201758">
            <w:pPr>
              <w:spacing w:before="0" w:after="0"/>
              <w:rPr>
                <w:rFonts w:cs="Lucida Sans Unicode"/>
                <w:sz w:val="18"/>
                <w:szCs w:val="18"/>
                <w:lang w:eastAsia="en-AU"/>
              </w:rPr>
            </w:pPr>
            <w:r w:rsidRPr="00E60EA6">
              <w:rPr>
                <w:rFonts w:cs="Lucida Sans Unicode"/>
                <w:sz w:val="18"/>
                <w:szCs w:val="18"/>
                <w:lang w:eastAsia="en-AU"/>
              </w:rPr>
              <w:t>Base Average Rate (BAR)</w:t>
            </w:r>
          </w:p>
        </w:tc>
        <w:tc>
          <w:tcPr>
            <w:tcW w:w="1542" w:type="dxa"/>
            <w:shd w:val="clear" w:color="auto" w:fill="auto"/>
            <w:noWrap/>
            <w:vAlign w:val="center"/>
            <w:hideMark/>
          </w:tcPr>
          <w:p w:rsidR="0000406A" w:rsidRPr="00E60EA6" w:rsidRDefault="0000406A" w:rsidP="00201758">
            <w:pPr>
              <w:spacing w:before="0" w:after="0"/>
              <w:jc w:val="right"/>
              <w:rPr>
                <w:rFonts w:cs="Lucida Sans Unicode"/>
                <w:sz w:val="18"/>
                <w:szCs w:val="18"/>
                <w:lang w:eastAsia="en-AU"/>
              </w:rPr>
            </w:pPr>
            <w:r w:rsidRPr="00E60EA6">
              <w:rPr>
                <w:rFonts w:cs="Lucida Sans Unicode"/>
                <w:sz w:val="18"/>
                <w:szCs w:val="18"/>
                <w:lang w:eastAsia="en-AU"/>
              </w:rPr>
              <w:t xml:space="preserve">1,526.24 </w:t>
            </w:r>
          </w:p>
        </w:tc>
        <w:tc>
          <w:tcPr>
            <w:tcW w:w="1543" w:type="dxa"/>
            <w:shd w:val="clear" w:color="auto" w:fill="auto"/>
            <w:noWrap/>
            <w:vAlign w:val="center"/>
            <w:hideMark/>
          </w:tcPr>
          <w:p w:rsidR="0000406A" w:rsidRPr="00E60EA6" w:rsidRDefault="0000406A" w:rsidP="00201758">
            <w:pPr>
              <w:spacing w:before="0" w:after="0"/>
              <w:jc w:val="right"/>
              <w:rPr>
                <w:rFonts w:cs="Lucida Sans Unicode"/>
                <w:sz w:val="18"/>
                <w:szCs w:val="18"/>
                <w:lang w:eastAsia="en-AU"/>
              </w:rPr>
            </w:pPr>
            <w:r w:rsidRPr="00E60EA6">
              <w:rPr>
                <w:rFonts w:cs="Lucida Sans Unicode"/>
                <w:sz w:val="18"/>
                <w:szCs w:val="18"/>
                <w:lang w:eastAsia="en-AU"/>
              </w:rPr>
              <w:t xml:space="preserve">1,560.58 </w:t>
            </w:r>
          </w:p>
        </w:tc>
      </w:tr>
    </w:tbl>
    <w:p w:rsidR="0000406A" w:rsidRPr="00FB6110" w:rsidRDefault="0000406A">
      <w:pPr>
        <w:pStyle w:val="BodyText"/>
      </w:pPr>
      <w:r w:rsidRPr="00F33F45">
        <w:t xml:space="preserve">The rates and charges for individual properties may have increased or decreased by a </w:t>
      </w:r>
      <w:r w:rsidRPr="00FB6110">
        <w:t>different percentage amount to the rate cap for the following reasons:</w:t>
      </w:r>
    </w:p>
    <w:p w:rsidR="0000406A" w:rsidRPr="00316155" w:rsidRDefault="0000406A" w:rsidP="005167B1">
      <w:pPr>
        <w:pStyle w:val="ListParagraph"/>
        <w:numPr>
          <w:ilvl w:val="0"/>
          <w:numId w:val="43"/>
        </w:numPr>
        <w:spacing w:after="80"/>
        <w:ind w:left="357" w:hanging="357"/>
        <w:jc w:val="both"/>
      </w:pPr>
      <w:r w:rsidRPr="00132FCB">
        <w:t>The valuation of a property relative to the valuation of another property i</w:t>
      </w:r>
      <w:r w:rsidRPr="00316155">
        <w:t>n the municipal district;</w:t>
      </w:r>
    </w:p>
    <w:p w:rsidR="0000406A" w:rsidRPr="005167B1" w:rsidRDefault="0000406A" w:rsidP="005167B1">
      <w:pPr>
        <w:pStyle w:val="ListParagraph"/>
        <w:numPr>
          <w:ilvl w:val="0"/>
          <w:numId w:val="43"/>
        </w:numPr>
        <w:spacing w:after="80"/>
        <w:ind w:left="357" w:hanging="357"/>
        <w:jc w:val="both"/>
      </w:pPr>
      <w:r w:rsidRPr="005167B1">
        <w:t>The application of a differential rate based on land use;</w:t>
      </w:r>
    </w:p>
    <w:p w:rsidR="0000406A" w:rsidRPr="005167B1" w:rsidRDefault="0000406A" w:rsidP="005167B1">
      <w:pPr>
        <w:pStyle w:val="ListParagraph"/>
        <w:numPr>
          <w:ilvl w:val="0"/>
          <w:numId w:val="43"/>
        </w:numPr>
        <w:spacing w:after="80"/>
        <w:ind w:left="357" w:hanging="357"/>
        <w:jc w:val="both"/>
      </w:pPr>
      <w:r w:rsidRPr="005167B1">
        <w:t>The inclusion of other charges not included in the rate cap.</w:t>
      </w:r>
    </w:p>
    <w:p w:rsidR="0000406A" w:rsidRDefault="0000406A" w:rsidP="0000406A">
      <w:pPr>
        <w:pStyle w:val="Heading3A"/>
      </w:pPr>
      <w:r>
        <w:t>Rating Model</w:t>
      </w:r>
    </w:p>
    <w:p w:rsidR="0000406A" w:rsidRPr="001848C2" w:rsidRDefault="0000406A">
      <w:pPr>
        <w:pStyle w:val="BodyText"/>
      </w:pPr>
      <w:r w:rsidRPr="001848C2">
        <w:t xml:space="preserve">Key features of the Rating Model </w:t>
      </w:r>
      <w:r>
        <w:t xml:space="preserve">for 2018-19 </w:t>
      </w:r>
      <w:r w:rsidRPr="001848C2">
        <w:t>are:</w:t>
      </w:r>
    </w:p>
    <w:p w:rsidR="0000406A" w:rsidRPr="005167B1" w:rsidRDefault="0000406A" w:rsidP="005167B1">
      <w:pPr>
        <w:pStyle w:val="ListParagraph"/>
        <w:numPr>
          <w:ilvl w:val="0"/>
          <w:numId w:val="43"/>
        </w:numPr>
        <w:spacing w:after="80"/>
        <w:ind w:left="357" w:hanging="357"/>
        <w:jc w:val="both"/>
      </w:pPr>
      <w:r w:rsidRPr="00132FCB">
        <w:t>The average increase in rates payable for Reside</w:t>
      </w:r>
      <w:r w:rsidRPr="00316155">
        <w:t>ntial, Vacant land, Mixed Use and Farm differentials have increased in accordance with the 2.25% rate cap. Other differential rate increases are as follows, Commercial has increased by 3.5%, Industrial has decreased by (0.10%), Cultural and Recreational ha</w:t>
      </w:r>
      <w:r w:rsidRPr="005167B1">
        <w:t>s decreased by (6.4%) and Petroleum has decreased by (9.9%).</w:t>
      </w:r>
    </w:p>
    <w:p w:rsidR="0000406A" w:rsidRPr="005167B1" w:rsidRDefault="0000406A" w:rsidP="005167B1">
      <w:pPr>
        <w:pStyle w:val="ListParagraph"/>
        <w:numPr>
          <w:ilvl w:val="0"/>
          <w:numId w:val="43"/>
        </w:numPr>
        <w:spacing w:after="80"/>
        <w:ind w:left="357" w:hanging="357"/>
        <w:jc w:val="both"/>
      </w:pPr>
      <w:r w:rsidRPr="005167B1">
        <w:t xml:space="preserve">The Waste Collection Service charge is calculated based on a fee for service, including direct, indirect and overhead costs. The service charge does not form part of the rate cap. The waste collection charge will increase from $278.05 to $316.90 or 14%. This increase is necessary to recover the higher costs of waste collection and recycling processing operations together with the introduction of a hard waste collection system in 2019 equivalent to $6.80 per tenement in the first year. The EPA landfill levy increases to $34.75 per tenement (included in the service charge). </w:t>
      </w:r>
    </w:p>
    <w:p w:rsidR="0000406A" w:rsidRPr="005167B1" w:rsidRDefault="0000406A" w:rsidP="005167B1">
      <w:pPr>
        <w:pStyle w:val="ListParagraph"/>
        <w:numPr>
          <w:ilvl w:val="0"/>
          <w:numId w:val="43"/>
        </w:numPr>
        <w:spacing w:after="80"/>
        <w:ind w:left="357" w:hanging="357"/>
        <w:jc w:val="both"/>
      </w:pPr>
      <w:r w:rsidRPr="005167B1">
        <w:t xml:space="preserve">A </w:t>
      </w:r>
      <w:r w:rsidR="00743957" w:rsidRPr="005167B1">
        <w:t xml:space="preserve">section </w:t>
      </w:r>
      <w:r w:rsidRPr="005167B1">
        <w:t xml:space="preserve">162 Service Charge known as Additional Bins Service was introduced in 2016-17. Households may apply for an additional garbage bin, upsized garbage </w:t>
      </w:r>
      <w:r w:rsidRPr="005167B1">
        <w:lastRenderedPageBreak/>
        <w:t>bin or recycling bin. The charges for 2018-19 are $141.90 for a 140L garbage bin, $99.50 to upgrade to a 240L garbage bin and $80.00 for a recycling bin.</w:t>
      </w:r>
    </w:p>
    <w:p w:rsidR="0000406A" w:rsidRPr="005167B1" w:rsidRDefault="0000406A" w:rsidP="005167B1">
      <w:pPr>
        <w:pStyle w:val="ListParagraph"/>
        <w:numPr>
          <w:ilvl w:val="0"/>
          <w:numId w:val="43"/>
        </w:numPr>
        <w:spacing w:after="80"/>
        <w:ind w:left="357" w:hanging="357"/>
        <w:jc w:val="both"/>
      </w:pPr>
      <w:r w:rsidRPr="005167B1">
        <w:t>The Municipal Charge represents a fee on all rateable assessments as a contribution to the fixed and unavoidable costs of governance. The Municipal Charge is to increase from $98.55 to $102.00 or 3.5%.</w:t>
      </w:r>
    </w:p>
    <w:p w:rsidR="0000406A" w:rsidRPr="00316155" w:rsidRDefault="0000406A" w:rsidP="005167B1">
      <w:pPr>
        <w:pStyle w:val="ListParagraph"/>
        <w:numPr>
          <w:ilvl w:val="0"/>
          <w:numId w:val="43"/>
        </w:numPr>
        <w:spacing w:after="80"/>
        <w:ind w:left="357" w:hanging="357"/>
        <w:jc w:val="both"/>
      </w:pPr>
      <w:r w:rsidRPr="005167B1">
        <w:t xml:space="preserve">The Farm rebate has been set at 36.3% to maintain an average rate increase consistent with residential rates and represents a cost to </w:t>
      </w:r>
      <w:r w:rsidR="00316155">
        <w:t>Council</w:t>
      </w:r>
      <w:r w:rsidR="00743957" w:rsidRPr="00316155">
        <w:t xml:space="preserve"> </w:t>
      </w:r>
      <w:r w:rsidRPr="00316155">
        <w:t>of $1.</w:t>
      </w:r>
      <w:r w:rsidR="00743957" w:rsidRPr="00316155">
        <w:t>443m</w:t>
      </w:r>
      <w:r w:rsidRPr="00316155">
        <w:t>.</w:t>
      </w:r>
    </w:p>
    <w:p w:rsidR="0000406A" w:rsidRPr="00316155" w:rsidRDefault="00316155" w:rsidP="005167B1">
      <w:pPr>
        <w:pStyle w:val="ListParagraph"/>
        <w:numPr>
          <w:ilvl w:val="0"/>
          <w:numId w:val="43"/>
        </w:numPr>
        <w:spacing w:after="80"/>
        <w:ind w:left="357" w:hanging="357"/>
        <w:jc w:val="both"/>
      </w:pPr>
      <w:r>
        <w:t>Council</w:t>
      </w:r>
      <w:r w:rsidR="00743957" w:rsidRPr="00316155">
        <w:t xml:space="preserve"> </w:t>
      </w:r>
      <w:r w:rsidR="0000406A" w:rsidRPr="00316155">
        <w:t>has reverted to the definition of Cultural and Recreational Lands Act 1963 from 2017-18. Any properties removed from the differential are eligible for a transitional rebate to the otherwise applicable rate. The transitional rebate is set at 50% for 2018-19.</w:t>
      </w:r>
    </w:p>
    <w:p w:rsidR="0000406A" w:rsidRPr="005167B1" w:rsidRDefault="0000406A" w:rsidP="005167B1">
      <w:pPr>
        <w:pStyle w:val="ListParagraph"/>
        <w:numPr>
          <w:ilvl w:val="0"/>
          <w:numId w:val="43"/>
        </w:numPr>
        <w:spacing w:after="80"/>
        <w:ind w:left="357" w:hanging="357"/>
        <w:jc w:val="both"/>
      </w:pPr>
      <w:r w:rsidRPr="005167B1">
        <w:t xml:space="preserve">The Housing Support Waiver for eligible </w:t>
      </w:r>
      <w:r w:rsidR="00743957" w:rsidRPr="005167B1">
        <w:t xml:space="preserve">charitable housing </w:t>
      </w:r>
      <w:r w:rsidRPr="005167B1">
        <w:t>will be maintained for 2018</w:t>
      </w:r>
      <w:r w:rsidRPr="005167B1">
        <w:noBreakHyphen/>
        <w:t>19 and is available upon application.</w:t>
      </w:r>
    </w:p>
    <w:p w:rsidR="0000406A" w:rsidRPr="005167B1" w:rsidRDefault="0000406A" w:rsidP="005167B1">
      <w:pPr>
        <w:pStyle w:val="ListParagraph"/>
        <w:numPr>
          <w:ilvl w:val="0"/>
          <w:numId w:val="43"/>
        </w:numPr>
        <w:spacing w:after="80"/>
        <w:ind w:left="357" w:hanging="357"/>
        <w:jc w:val="both"/>
      </w:pPr>
      <w:r w:rsidRPr="005167B1">
        <w:t>The Rates Assistance Waiver is retained for 2018-19 with the valuation threshold lowered from 50% to 45% to assist more ratepayers where the 2018 revaluation may cause financial hardship.</w:t>
      </w:r>
    </w:p>
    <w:p w:rsidR="0000406A" w:rsidRPr="005167B1" w:rsidRDefault="0000406A" w:rsidP="005167B1">
      <w:pPr>
        <w:pStyle w:val="ListParagraph"/>
        <w:numPr>
          <w:ilvl w:val="0"/>
          <w:numId w:val="43"/>
        </w:numPr>
        <w:spacing w:after="80"/>
        <w:ind w:left="357" w:hanging="357"/>
        <w:jc w:val="both"/>
      </w:pPr>
      <w:r w:rsidRPr="005167B1">
        <w:t>A rates waiver introduced for the New Corio Estate from 2013-14 recognising this inappropriate subdivision and Planning Scheme Amendment C243 will be maintained.</w:t>
      </w:r>
    </w:p>
    <w:p w:rsidR="0000406A" w:rsidRPr="005167B1" w:rsidRDefault="0000406A" w:rsidP="005167B1">
      <w:pPr>
        <w:pStyle w:val="ListParagraph"/>
        <w:numPr>
          <w:ilvl w:val="0"/>
          <w:numId w:val="43"/>
        </w:numPr>
        <w:spacing w:after="80"/>
        <w:ind w:left="357" w:hanging="357"/>
        <w:jc w:val="both"/>
      </w:pPr>
      <w:r w:rsidRPr="005167B1">
        <w:t>The pensioner concession will increase from $223.80 to $229.40 as advised by the Department of Health &amp; Human Services.</w:t>
      </w:r>
    </w:p>
    <w:p w:rsidR="0000406A" w:rsidRDefault="0000406A">
      <w:pPr>
        <w:pStyle w:val="Heading4A"/>
      </w:pPr>
      <w:r>
        <w:t>Residential Rates and Charges</w:t>
      </w:r>
    </w:p>
    <w:p w:rsidR="0000406A" w:rsidRPr="00E60EA6" w:rsidRDefault="0000406A" w:rsidP="0000406A">
      <w:pPr>
        <w:spacing w:before="0"/>
        <w:jc w:val="both"/>
        <w:rPr>
          <w:rFonts w:cs="Lucida Sans Unicode"/>
          <w:szCs w:val="22"/>
        </w:rPr>
      </w:pPr>
      <w:r w:rsidRPr="00E60EA6">
        <w:rPr>
          <w:rFonts w:cs="Lucida Sans Unicode"/>
          <w:szCs w:val="22"/>
        </w:rPr>
        <w:t>The average Capital Improved Value of residential properties within the municipality has increased from $403,091</w:t>
      </w:r>
      <w:r w:rsidRPr="00E60EA6">
        <w:rPr>
          <w:rFonts w:cs="Lucida Sans Unicode"/>
          <w:b/>
          <w:szCs w:val="22"/>
        </w:rPr>
        <w:t xml:space="preserve"> </w:t>
      </w:r>
      <w:r w:rsidRPr="00E60EA6">
        <w:rPr>
          <w:rFonts w:cs="Lucida Sans Unicode"/>
          <w:szCs w:val="22"/>
        </w:rPr>
        <w:t>to</w:t>
      </w:r>
      <w:r w:rsidRPr="00E60EA6">
        <w:rPr>
          <w:rFonts w:cs="Lucida Sans Unicode"/>
          <w:b/>
          <w:szCs w:val="22"/>
        </w:rPr>
        <w:t xml:space="preserve"> </w:t>
      </w:r>
      <w:r w:rsidRPr="00E60EA6">
        <w:rPr>
          <w:rFonts w:cs="Lucida Sans Unicode"/>
          <w:szCs w:val="22"/>
        </w:rPr>
        <w:t>$481,846.</w:t>
      </w:r>
    </w:p>
    <w:p w:rsidR="0000406A" w:rsidRPr="00E60EA6" w:rsidRDefault="0000406A" w:rsidP="0000406A">
      <w:pPr>
        <w:spacing w:before="0"/>
        <w:jc w:val="both"/>
        <w:rPr>
          <w:rFonts w:cs="Lucida Sans Unicode"/>
          <w:szCs w:val="22"/>
        </w:rPr>
      </w:pPr>
      <w:r w:rsidRPr="00E60EA6">
        <w:rPr>
          <w:rFonts w:cs="Lucida Sans Unicode"/>
          <w:szCs w:val="22"/>
        </w:rPr>
        <w:t>The total increase in rates and charges for the average residential property with a capital improved value of $481,846 is $67.64 or 4.5%. This increase is made up of $25.34 for General Rates, $3.45 for Municipal Charge and $38.85 for the Waste Collection Service.</w:t>
      </w:r>
    </w:p>
    <w:p w:rsidR="0000406A" w:rsidRDefault="00227352">
      <w:pPr>
        <w:pStyle w:val="Heading4A"/>
      </w:pPr>
      <w:r w:rsidRPr="00E60EA6">
        <w:rPr>
          <w:lang w:val="en-AU" w:eastAsia="en-AU"/>
        </w:rPr>
        <w:lastRenderedPageBreak/>
        <w:drawing>
          <wp:inline distT="0" distB="0" distL="0" distR="0">
            <wp:extent cx="5067300" cy="1533525"/>
            <wp:effectExtent l="0" t="0" r="0" b="0"/>
            <wp:docPr id="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067300" cy="1533525"/>
                    </a:xfrm>
                    <a:prstGeom prst="rect">
                      <a:avLst/>
                    </a:prstGeom>
                    <a:noFill/>
                    <a:ln>
                      <a:noFill/>
                    </a:ln>
                  </pic:spPr>
                </pic:pic>
              </a:graphicData>
            </a:graphic>
          </wp:inline>
        </w:drawing>
      </w:r>
    </w:p>
    <w:p w:rsidR="0000406A" w:rsidRPr="00E60EA6" w:rsidRDefault="0000406A" w:rsidP="0000406A">
      <w:pPr>
        <w:spacing w:before="80" w:after="80"/>
        <w:rPr>
          <w:rFonts w:cs="Lucida Sans Unicode"/>
          <w:szCs w:val="22"/>
        </w:rPr>
      </w:pPr>
      <w:r w:rsidRPr="00E60EA6">
        <w:rPr>
          <w:rFonts w:cs="Lucida Sans Unicode"/>
          <w:szCs w:val="22"/>
        </w:rPr>
        <w:t>The Essential Services Commission measure rate increases as the movement in Rates &amp; Municipal Charge for all rateable property. The 2017-18 base average rate is calculated as $1,526.24 and the 2018-19 Budget proposes this will increase by 2.25% to $1,560.58.</w:t>
      </w:r>
    </w:p>
    <w:p w:rsidR="0000406A" w:rsidRDefault="0000406A">
      <w:pPr>
        <w:pStyle w:val="Heading4A"/>
      </w:pPr>
      <w:r w:rsidRPr="00B41589">
        <w:t>Rebates - Section 169 of the LGA Rebates</w:t>
      </w:r>
    </w:p>
    <w:p w:rsidR="0000406A" w:rsidRDefault="0000406A">
      <w:pPr>
        <w:pStyle w:val="BodyText"/>
      </w:pPr>
      <w:r>
        <w:t>For 2018-19 the following rebates will apply:</w:t>
      </w:r>
    </w:p>
    <w:p w:rsidR="0000406A" w:rsidRDefault="0000406A" w:rsidP="005167B1">
      <w:pPr>
        <w:pStyle w:val="ListParagraph"/>
        <w:numPr>
          <w:ilvl w:val="0"/>
          <w:numId w:val="43"/>
        </w:numPr>
        <w:spacing w:after="80"/>
        <w:ind w:left="357" w:hanging="357"/>
        <w:jc w:val="both"/>
      </w:pPr>
      <w:r>
        <w:t>Farm Rebate.</w:t>
      </w:r>
    </w:p>
    <w:p w:rsidR="0000406A" w:rsidRDefault="0000406A" w:rsidP="005167B1">
      <w:pPr>
        <w:pStyle w:val="ListParagraph"/>
        <w:numPr>
          <w:ilvl w:val="0"/>
          <w:numId w:val="43"/>
        </w:numPr>
        <w:spacing w:after="80"/>
        <w:ind w:left="357" w:hanging="357"/>
        <w:jc w:val="both"/>
      </w:pPr>
      <w:r>
        <w:t>Cultural and Recreational Transitional Rebate.</w:t>
      </w:r>
    </w:p>
    <w:p w:rsidR="0000406A" w:rsidRPr="00B41589" w:rsidRDefault="0000406A">
      <w:pPr>
        <w:pStyle w:val="Heading4A"/>
      </w:pPr>
      <w:r w:rsidRPr="00B41589">
        <w:t>Waivers - Section 171 of the LGA Waivers</w:t>
      </w:r>
    </w:p>
    <w:p w:rsidR="0000406A" w:rsidRDefault="0000406A">
      <w:pPr>
        <w:pStyle w:val="BodyText"/>
      </w:pPr>
      <w:r>
        <w:t>For 2018-19 the following waivers will apply:</w:t>
      </w:r>
    </w:p>
    <w:p w:rsidR="0000406A" w:rsidRDefault="0000406A" w:rsidP="005167B1">
      <w:pPr>
        <w:pStyle w:val="ListParagraph"/>
        <w:numPr>
          <w:ilvl w:val="0"/>
          <w:numId w:val="43"/>
        </w:numPr>
        <w:spacing w:after="80"/>
        <w:ind w:left="357" w:hanging="357"/>
        <w:jc w:val="both"/>
      </w:pPr>
      <w:r>
        <w:t>Rates Assistance Waiver (Valuation increase over 45%).</w:t>
      </w:r>
    </w:p>
    <w:p w:rsidR="0000406A" w:rsidRDefault="0000406A" w:rsidP="005167B1">
      <w:pPr>
        <w:pStyle w:val="ListParagraph"/>
        <w:numPr>
          <w:ilvl w:val="0"/>
          <w:numId w:val="43"/>
        </w:numPr>
        <w:spacing w:after="80"/>
        <w:ind w:left="357" w:hanging="357"/>
        <w:jc w:val="both"/>
      </w:pPr>
      <w:r>
        <w:t>Housing Support Waiver.</w:t>
      </w:r>
    </w:p>
    <w:p w:rsidR="0000406A" w:rsidRDefault="0000406A" w:rsidP="005167B1">
      <w:pPr>
        <w:pStyle w:val="ListParagraph"/>
        <w:numPr>
          <w:ilvl w:val="0"/>
          <w:numId w:val="43"/>
        </w:numPr>
        <w:spacing w:after="80"/>
        <w:ind w:left="357" w:hanging="357"/>
        <w:jc w:val="both"/>
      </w:pPr>
      <w:r>
        <w:t>New Corio Estate (Inappropriate Subdivision) Waiver.</w:t>
      </w:r>
    </w:p>
    <w:p w:rsidR="0000406A" w:rsidRPr="00BA4451" w:rsidRDefault="0000406A" w:rsidP="0000406A">
      <w:pPr>
        <w:pStyle w:val="Heading3A"/>
      </w:pPr>
      <w:r w:rsidRPr="00BA4451">
        <w:t>Recycling and Waste Collection Service Charge</w:t>
      </w:r>
    </w:p>
    <w:p w:rsidR="0000406A" w:rsidRPr="00D576C5" w:rsidRDefault="0000406A">
      <w:pPr>
        <w:pStyle w:val="BodyText"/>
        <w:rPr>
          <w:lang w:val="en-US"/>
        </w:rPr>
      </w:pPr>
      <w:r w:rsidRPr="00D576C5">
        <w:t>The Annual Service Charge is proposed at $</w:t>
      </w:r>
      <w:r>
        <w:t>316.90</w:t>
      </w:r>
      <w:r w:rsidRPr="00D576C5">
        <w:t xml:space="preserve"> for each rateable land and non-rateable land. The charge </w:t>
      </w:r>
      <w:r>
        <w:t>is</w:t>
      </w:r>
      <w:r w:rsidRPr="00D576C5">
        <w:t xml:space="preserve"> levied on the following criteria:</w:t>
      </w:r>
    </w:p>
    <w:p w:rsidR="0000406A" w:rsidRDefault="0000406A" w:rsidP="005167B1">
      <w:pPr>
        <w:pStyle w:val="ListParagraph"/>
        <w:numPr>
          <w:ilvl w:val="0"/>
          <w:numId w:val="43"/>
        </w:numPr>
        <w:spacing w:after="80"/>
        <w:ind w:left="357" w:hanging="357"/>
        <w:jc w:val="both"/>
      </w:pPr>
      <w:r w:rsidRPr="00D576C5">
        <w:t xml:space="preserve">Geographic existence within those areas of the municipal district in which Council provides a domestic refuse collection and disposal service. </w:t>
      </w:r>
    </w:p>
    <w:p w:rsidR="0000406A" w:rsidRDefault="0000406A" w:rsidP="005167B1">
      <w:pPr>
        <w:pStyle w:val="ListParagraph"/>
        <w:numPr>
          <w:ilvl w:val="0"/>
          <w:numId w:val="43"/>
        </w:numPr>
        <w:spacing w:after="80"/>
        <w:ind w:left="357" w:hanging="357"/>
        <w:jc w:val="both"/>
      </w:pPr>
      <w:r w:rsidRPr="00D576C5">
        <w:t>The charge will be raised irrespective of whether the service is used or not.</w:t>
      </w:r>
    </w:p>
    <w:p w:rsidR="0000406A" w:rsidRDefault="0000406A">
      <w:pPr>
        <w:pStyle w:val="BodyText"/>
      </w:pPr>
      <w:r w:rsidRPr="00B0096F">
        <w:t xml:space="preserve">The </w:t>
      </w:r>
      <w:r w:rsidRPr="00AE29A8">
        <w:t>Waste Collection Service charge is calculated based on a fee for service, including direct, indirect and overhead costs. The service charge does not form part of the rate cap. The waste collection charge will increase from $278.05 to $316.90 or 14%. This increase is necessary to recover the higher costs of waste collection and recycling processing operations together with the introduction of a hard waste collection system in 2019 equivalent to $6.80 per tenement in the first year. The EPA landfill levy increases to $34.75 per tenement</w:t>
      </w:r>
      <w:r>
        <w:t xml:space="preserve"> </w:t>
      </w:r>
      <w:r w:rsidRPr="00AE29A8">
        <w:t>(included in the service charge).</w:t>
      </w:r>
    </w:p>
    <w:p w:rsidR="0000406A" w:rsidRPr="00D221C5" w:rsidRDefault="0000406A">
      <w:pPr>
        <w:pStyle w:val="BodyText"/>
      </w:pPr>
      <w:r w:rsidRPr="000064D5">
        <w:t>The Annual Service Charge – Additional Bin Service.</w:t>
      </w:r>
    </w:p>
    <w:p w:rsidR="0000406A" w:rsidRPr="004F7B85" w:rsidRDefault="0000406A">
      <w:pPr>
        <w:pStyle w:val="BodyText"/>
      </w:pPr>
      <w:r w:rsidRPr="004F7B85">
        <w:lastRenderedPageBreak/>
        <w:t>From 1 July 2016 the additional bin service was made available via application compliant with the following criteria:</w:t>
      </w:r>
    </w:p>
    <w:p w:rsidR="0000406A" w:rsidRPr="00132FCB" w:rsidRDefault="0000406A" w:rsidP="005167B1">
      <w:pPr>
        <w:pStyle w:val="ListParagraph"/>
        <w:numPr>
          <w:ilvl w:val="0"/>
          <w:numId w:val="43"/>
        </w:numPr>
        <w:spacing w:after="80"/>
        <w:ind w:left="357" w:hanging="357"/>
        <w:jc w:val="both"/>
      </w:pPr>
      <w:r w:rsidRPr="00132FCB">
        <w:t>The green waste additional bin will only become available when the Anakie Road Green Organics processing facility is fully operational.</w:t>
      </w:r>
    </w:p>
    <w:p w:rsidR="0000406A" w:rsidRDefault="0000406A" w:rsidP="005167B1">
      <w:pPr>
        <w:pStyle w:val="ListParagraph"/>
        <w:numPr>
          <w:ilvl w:val="0"/>
          <w:numId w:val="43"/>
        </w:numPr>
        <w:spacing w:after="80"/>
        <w:ind w:left="357" w:hanging="357"/>
        <w:jc w:val="both"/>
      </w:pPr>
      <w:r w:rsidRPr="005167B1">
        <w:t xml:space="preserve">In all cases of application for additional bins, </w:t>
      </w:r>
      <w:r w:rsidR="00743957" w:rsidRPr="005167B1">
        <w:t xml:space="preserve">the City </w:t>
      </w:r>
      <w:r w:rsidRPr="005167B1">
        <w:t>reserves the right to inspect the applicant’s existing bins to confirm that they are overloaded. If this cannot be confirmed</w:t>
      </w:r>
      <w:r w:rsidRPr="000064D5">
        <w:t>, the additional bins will not be provided;</w:t>
      </w:r>
    </w:p>
    <w:p w:rsidR="0000406A" w:rsidRDefault="0000406A" w:rsidP="005167B1">
      <w:pPr>
        <w:pStyle w:val="ListParagraph"/>
        <w:numPr>
          <w:ilvl w:val="0"/>
          <w:numId w:val="43"/>
        </w:numPr>
        <w:spacing w:after="80"/>
        <w:ind w:left="357" w:hanging="357"/>
        <w:jc w:val="both"/>
      </w:pPr>
      <w:r w:rsidRPr="000064D5">
        <w:t>The property owner or their authorised agent signs the additional bin application form, provides appropriate supporting evidence and agrees to the application service charge.</w:t>
      </w:r>
    </w:p>
    <w:p w:rsidR="0000406A" w:rsidRDefault="0000406A">
      <w:pPr>
        <w:pStyle w:val="BodyText"/>
      </w:pPr>
      <w:r w:rsidRPr="000064D5">
        <w:t>Applications that meet the criteria will be billed via the Rate, Valuation &amp; Charges notice.</w:t>
      </w:r>
      <w:r>
        <w:t xml:space="preserve"> </w:t>
      </w:r>
    </w:p>
    <w:p w:rsidR="0000406A" w:rsidRPr="000064D5" w:rsidRDefault="0000406A">
      <w:pPr>
        <w:pStyle w:val="BodyText"/>
      </w:pPr>
      <w:r w:rsidRPr="000064D5">
        <w:t>If an application is received and approved in the first six months of the financial year, that is, from July to December, the full annual cost of the additional bin will be charged. If an application is received and approved in the second half of the financial year, that is January to June, half the annual cost will be charged.</w:t>
      </w:r>
    </w:p>
    <w:p w:rsidR="0000406A" w:rsidRPr="000064D5" w:rsidRDefault="0000406A">
      <w:pPr>
        <w:pStyle w:val="BodyText"/>
      </w:pPr>
      <w:r w:rsidRPr="000064D5">
        <w:t>The following costs will apply for the additional bin service per year:</w:t>
      </w:r>
    </w:p>
    <w:p w:rsidR="0000406A" w:rsidRDefault="0000406A" w:rsidP="005167B1">
      <w:pPr>
        <w:pStyle w:val="ListParagraph"/>
        <w:numPr>
          <w:ilvl w:val="0"/>
          <w:numId w:val="43"/>
        </w:numPr>
        <w:spacing w:after="80"/>
        <w:ind w:left="357" w:hanging="357"/>
        <w:jc w:val="both"/>
      </w:pPr>
      <w:r w:rsidRPr="000064D5">
        <w:t>Garbage bin</w:t>
      </w:r>
      <w:r>
        <w:t xml:space="preserve"> 140L</w:t>
      </w:r>
      <w:r>
        <w:tab/>
      </w:r>
      <w:r>
        <w:tab/>
      </w:r>
      <w:r w:rsidRPr="000064D5">
        <w:tab/>
      </w:r>
      <w:r w:rsidR="00743957">
        <w:tab/>
      </w:r>
      <w:r w:rsidR="00673492">
        <w:t xml:space="preserve"> </w:t>
      </w:r>
      <w:r w:rsidR="00673492">
        <w:tab/>
      </w:r>
      <w:r w:rsidRPr="000064D5">
        <w:t>$</w:t>
      </w:r>
      <w:r>
        <w:t>141.90</w:t>
      </w:r>
      <w:r w:rsidRPr="000064D5">
        <w:t xml:space="preserve"> (for 201</w:t>
      </w:r>
      <w:r>
        <w:t>8</w:t>
      </w:r>
      <w:r w:rsidRPr="000064D5">
        <w:t>-</w:t>
      </w:r>
      <w:r>
        <w:t>19</w:t>
      </w:r>
      <w:r w:rsidRPr="000064D5">
        <w:t>)</w:t>
      </w:r>
    </w:p>
    <w:p w:rsidR="0000406A" w:rsidRDefault="0000406A" w:rsidP="005167B1">
      <w:pPr>
        <w:pStyle w:val="ListParagraph"/>
        <w:numPr>
          <w:ilvl w:val="0"/>
          <w:numId w:val="43"/>
        </w:numPr>
        <w:spacing w:after="80"/>
        <w:ind w:left="357" w:hanging="357"/>
        <w:jc w:val="both"/>
      </w:pPr>
      <w:r>
        <w:t xml:space="preserve">Garbage bin </w:t>
      </w:r>
      <w:r w:rsidR="00743957">
        <w:t xml:space="preserve">from </w:t>
      </w:r>
      <w:r>
        <w:t>140L to 240L</w:t>
      </w:r>
      <w:r>
        <w:tab/>
      </w:r>
      <w:r w:rsidR="00743957">
        <w:tab/>
      </w:r>
      <w:r>
        <w:t>$101.70 (for 2018-19)</w:t>
      </w:r>
    </w:p>
    <w:p w:rsidR="0000406A" w:rsidRDefault="0000406A" w:rsidP="005167B1">
      <w:pPr>
        <w:pStyle w:val="ListParagraph"/>
        <w:numPr>
          <w:ilvl w:val="0"/>
          <w:numId w:val="43"/>
        </w:numPr>
        <w:spacing w:after="80"/>
        <w:ind w:left="357" w:hanging="357"/>
        <w:jc w:val="both"/>
      </w:pPr>
      <w:r w:rsidRPr="000064D5">
        <w:t>Recycling bin</w:t>
      </w:r>
      <w:r>
        <w:t xml:space="preserve"> 240L</w:t>
      </w:r>
      <w:r>
        <w:tab/>
      </w:r>
      <w:r>
        <w:tab/>
      </w:r>
      <w:r w:rsidRPr="000064D5">
        <w:tab/>
      </w:r>
      <w:r w:rsidR="00743957">
        <w:tab/>
        <w:t>$</w:t>
      </w:r>
      <w:r w:rsidR="00743957" w:rsidRPr="000064D5">
        <w:t xml:space="preserve">  </w:t>
      </w:r>
      <w:r>
        <w:t>80.00</w:t>
      </w:r>
      <w:r w:rsidRPr="000064D5">
        <w:t xml:space="preserve"> (for 201</w:t>
      </w:r>
      <w:r>
        <w:t>8</w:t>
      </w:r>
      <w:r w:rsidRPr="000064D5">
        <w:t>-</w:t>
      </w:r>
      <w:r>
        <w:t>19</w:t>
      </w:r>
      <w:r w:rsidRPr="000064D5">
        <w:t>)</w:t>
      </w:r>
      <w:r>
        <w:t>.</w:t>
      </w:r>
    </w:p>
    <w:p w:rsidR="0000406A" w:rsidRPr="00BA4451" w:rsidRDefault="0000406A" w:rsidP="0000406A">
      <w:pPr>
        <w:pStyle w:val="Heading3A"/>
      </w:pPr>
      <w:r>
        <w:t>Fire Services Property Levy</w:t>
      </w:r>
    </w:p>
    <w:p w:rsidR="0000406A" w:rsidRDefault="0000406A">
      <w:pPr>
        <w:pStyle w:val="BodyText"/>
      </w:pPr>
      <w:r w:rsidRPr="000744A6">
        <w:t xml:space="preserve">The Fire Services Property Levy Act 2012 (FSPL) came into effect from 1 July 2013 and requires </w:t>
      </w:r>
      <w:r w:rsidR="00C52306">
        <w:t>l</w:t>
      </w:r>
      <w:r w:rsidR="00C52306" w:rsidRPr="000744A6">
        <w:t xml:space="preserve">ocal </w:t>
      </w:r>
      <w:r w:rsidR="00C52306">
        <w:t>g</w:t>
      </w:r>
      <w:r w:rsidR="00C52306" w:rsidRPr="000744A6">
        <w:t xml:space="preserve">overnment </w:t>
      </w:r>
      <w:r w:rsidRPr="000744A6">
        <w:t xml:space="preserve">to bill, receipt and collect FSPL on rateable and non-rateable properties. </w:t>
      </w:r>
      <w:r>
        <w:t>The FSPL appears on the rate notice and i</w:t>
      </w:r>
      <w:r w:rsidRPr="000744A6">
        <w:t xml:space="preserve">t is estimated that </w:t>
      </w:r>
      <w:r w:rsidR="00316155">
        <w:t>Council</w:t>
      </w:r>
      <w:r w:rsidR="00743957" w:rsidRPr="000744A6">
        <w:t xml:space="preserve"> </w:t>
      </w:r>
      <w:r w:rsidRPr="000744A6">
        <w:t>will levy $</w:t>
      </w:r>
      <w:r>
        <w:t>28.3m</w:t>
      </w:r>
      <w:r w:rsidRPr="000744A6">
        <w:t xml:space="preserve"> in 201</w:t>
      </w:r>
      <w:r>
        <w:t>8</w:t>
      </w:r>
      <w:r w:rsidRPr="000744A6">
        <w:t>-</w:t>
      </w:r>
      <w:r>
        <w:t>19</w:t>
      </w:r>
      <w:r w:rsidRPr="000744A6">
        <w:t xml:space="preserve"> and remit to the State Revenue Office.</w:t>
      </w:r>
      <w:r>
        <w:t xml:space="preserve">  </w:t>
      </w:r>
      <w:r w:rsidRPr="000744A6">
        <w:t>The</w:t>
      </w:r>
      <w:r>
        <w:t xml:space="preserve"> 2018-19 </w:t>
      </w:r>
      <w:r w:rsidRPr="000744A6">
        <w:t xml:space="preserve"> Levy </w:t>
      </w:r>
      <w:r>
        <w:t xml:space="preserve">once again will </w:t>
      </w:r>
      <w:r w:rsidRPr="000744A6">
        <w:t>consist of a fixed component plus a variable component based on the property’s capital improved value to be determined by the Minist</w:t>
      </w:r>
      <w:r>
        <w:t>er on or before 31 May 2018</w:t>
      </w:r>
      <w:r w:rsidRPr="000744A6">
        <w:t>.</w:t>
      </w:r>
    </w:p>
    <w:p w:rsidR="0000406A" w:rsidRDefault="0000406A">
      <w:pPr>
        <w:pStyle w:val="BodyText"/>
      </w:pPr>
    </w:p>
    <w:sectPr w:rsidR="0000406A" w:rsidSect="005167B1">
      <w:footerReference w:type="default" r:id="rId58"/>
      <w:type w:val="nextColumn"/>
      <w:pgSz w:w="11907" w:h="16840" w:code="9"/>
      <w:pgMar w:top="1134" w:right="1701" w:bottom="1701" w:left="992" w:header="567" w:footer="57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279" w:rsidRDefault="005F1279">
      <w:r>
        <w:separator/>
      </w:r>
    </w:p>
  </w:endnote>
  <w:endnote w:type="continuationSeparator" w:id="0">
    <w:p w:rsidR="005F1279" w:rsidRDefault="005F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Zurich Ex BT">
    <w:altName w:val="Arial"/>
    <w:charset w:val="00"/>
    <w:family w:val="swiss"/>
    <w:pitch w:val="variable"/>
    <w:sig w:usb0="00000087" w:usb1="00000000" w:usb2="00000000" w:usb3="00000000" w:csb0="0000001B" w:csb1="00000000"/>
  </w:font>
  <w:font w:name="News Gothic Std">
    <w:panose1 w:val="00000000000000000000"/>
    <w:charset w:val="00"/>
    <w:family w:val="swiss"/>
    <w:notTrueType/>
    <w:pitch w:val="variable"/>
    <w:sig w:usb0="800000AF" w:usb1="4000204A" w:usb2="00000000" w:usb3="00000000" w:csb0="00000001" w:csb1="00000000"/>
  </w:font>
  <w:font w:name="Zurich BT">
    <w:altName w:val="Trebuchet MS"/>
    <w:charset w:val="00"/>
    <w:family w:val="swiss"/>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1" w:type="pct"/>
      <w:tblCellMar>
        <w:top w:w="72" w:type="dxa"/>
        <w:left w:w="115" w:type="dxa"/>
        <w:bottom w:w="72" w:type="dxa"/>
        <w:right w:w="115" w:type="dxa"/>
      </w:tblCellMar>
      <w:tblLook w:val="04A0" w:firstRow="1" w:lastRow="0" w:firstColumn="1" w:lastColumn="0" w:noHBand="0" w:noVBand="1"/>
    </w:tblPr>
    <w:tblGrid>
      <w:gridCol w:w="874"/>
      <w:gridCol w:w="7862"/>
    </w:tblGrid>
    <w:tr w:rsidR="005F1279" w:rsidRPr="00E60EA6" w:rsidTr="00E60EA6">
      <w:tc>
        <w:tcPr>
          <w:tcW w:w="500" w:type="pct"/>
          <w:tcBorders>
            <w:top w:val="single" w:sz="4" w:space="0" w:color="943634"/>
          </w:tcBorders>
          <w:shd w:val="clear" w:color="auto" w:fill="auto"/>
        </w:tcPr>
        <w:p w:rsidR="005F1279" w:rsidRPr="00E60EA6" w:rsidRDefault="005F1279" w:rsidP="009C5155">
          <w:pPr>
            <w:pStyle w:val="Footer"/>
            <w:rPr>
              <w:b/>
              <w:color w:val="0070C0"/>
            </w:rPr>
          </w:pPr>
          <w:r w:rsidRPr="00E60EA6">
            <w:rPr>
              <w:color w:val="0070C0"/>
            </w:rPr>
            <w:fldChar w:fldCharType="begin"/>
          </w:r>
          <w:r w:rsidRPr="00E60EA6">
            <w:rPr>
              <w:color w:val="0070C0"/>
            </w:rPr>
            <w:instrText xml:space="preserve"> PAGE   \* MERGEFORMAT </w:instrText>
          </w:r>
          <w:r w:rsidRPr="00E60EA6">
            <w:rPr>
              <w:color w:val="0070C0"/>
            </w:rPr>
            <w:fldChar w:fldCharType="separate"/>
          </w:r>
          <w:r w:rsidRPr="00E60EA6">
            <w:rPr>
              <w:noProof/>
              <w:color w:val="0070C0"/>
            </w:rPr>
            <w:t>30</w:t>
          </w:r>
          <w:r w:rsidRPr="00E60EA6">
            <w:rPr>
              <w:color w:val="0070C0"/>
            </w:rPr>
            <w:fldChar w:fldCharType="end"/>
          </w:r>
        </w:p>
      </w:tc>
      <w:tc>
        <w:tcPr>
          <w:tcW w:w="4499" w:type="pct"/>
          <w:tcBorders>
            <w:top w:val="single" w:sz="4" w:space="0" w:color="auto"/>
          </w:tcBorders>
        </w:tcPr>
        <w:p w:rsidR="005F1279" w:rsidRPr="00E60EA6" w:rsidRDefault="005F1279" w:rsidP="0091536E">
          <w:pPr>
            <w:pStyle w:val="Footer"/>
          </w:pPr>
          <w:r w:rsidRPr="00E60EA6">
            <w:rPr>
              <w:sz w:val="18"/>
            </w:rPr>
            <w:t xml:space="preserve">ATTACHMENT 1: 2015-2016 RATING STRATEGY </w:t>
          </w:r>
          <w:r w:rsidRPr="00E60EA6">
            <w:rPr>
              <w:color w:val="0070C0"/>
              <w:sz w:val="18"/>
            </w:rPr>
            <w:t>| City of Greater Geelong</w:t>
          </w:r>
        </w:p>
      </w:tc>
    </w:tr>
  </w:tbl>
  <w:p w:rsidR="005F1279" w:rsidRDefault="005F1279">
    <w:pPr>
      <w:pStyle w:val="Footer"/>
    </w:pPr>
  </w:p>
  <w:p w:rsidR="005F1279" w:rsidRDefault="005F127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1" w:type="pct"/>
      <w:tblCellMar>
        <w:top w:w="72" w:type="dxa"/>
        <w:left w:w="115" w:type="dxa"/>
        <w:bottom w:w="72" w:type="dxa"/>
        <w:right w:w="115" w:type="dxa"/>
      </w:tblCellMar>
      <w:tblLook w:val="04A0" w:firstRow="1" w:lastRow="0" w:firstColumn="1" w:lastColumn="0" w:noHBand="0" w:noVBand="1"/>
    </w:tblPr>
    <w:tblGrid>
      <w:gridCol w:w="7703"/>
      <w:gridCol w:w="803"/>
    </w:tblGrid>
    <w:tr w:rsidR="005F1279" w:rsidRPr="00E60EA6" w:rsidTr="009C5155">
      <w:tc>
        <w:tcPr>
          <w:tcW w:w="4528" w:type="pct"/>
          <w:tcBorders>
            <w:top w:val="single" w:sz="4" w:space="0" w:color="auto"/>
          </w:tcBorders>
        </w:tcPr>
        <w:p w:rsidR="005F1279" w:rsidRPr="00E60EA6" w:rsidRDefault="005F1279" w:rsidP="00BF32EE">
          <w:pPr>
            <w:pStyle w:val="Footer"/>
          </w:pPr>
          <w:r>
            <w:rPr>
              <w:sz w:val="18"/>
            </w:rPr>
            <w:t>2019-20</w:t>
          </w:r>
          <w:r w:rsidRPr="00E60EA6">
            <w:rPr>
              <w:sz w:val="18"/>
            </w:rPr>
            <w:t xml:space="preserve"> RATING STRATEGY </w:t>
          </w:r>
          <w:r w:rsidRPr="00E60EA6">
            <w:rPr>
              <w:color w:val="0070C0"/>
              <w:sz w:val="18"/>
            </w:rPr>
            <w:t>| City of Greater Geelong</w:t>
          </w:r>
        </w:p>
      </w:tc>
      <w:tc>
        <w:tcPr>
          <w:tcW w:w="472" w:type="pct"/>
          <w:tcBorders>
            <w:top w:val="single" w:sz="4" w:space="0" w:color="auto"/>
          </w:tcBorders>
          <w:shd w:val="clear" w:color="auto" w:fill="auto"/>
        </w:tcPr>
        <w:p w:rsidR="005F1279" w:rsidRPr="00E60EA6" w:rsidRDefault="005F1279" w:rsidP="00CC2A37">
          <w:pPr>
            <w:pStyle w:val="Footer"/>
            <w:jc w:val="right"/>
            <w:rPr>
              <w:color w:val="0070C0"/>
            </w:rPr>
          </w:pPr>
          <w:r w:rsidRPr="00E60EA6">
            <w:rPr>
              <w:color w:val="0070C0"/>
            </w:rPr>
            <w:fldChar w:fldCharType="begin"/>
          </w:r>
          <w:r w:rsidRPr="00E60EA6">
            <w:rPr>
              <w:color w:val="0070C0"/>
            </w:rPr>
            <w:instrText xml:space="preserve"> PAGE   \* MERGEFORMAT </w:instrText>
          </w:r>
          <w:r w:rsidRPr="00E60EA6">
            <w:rPr>
              <w:color w:val="0070C0"/>
            </w:rPr>
            <w:fldChar w:fldCharType="separate"/>
          </w:r>
          <w:r w:rsidR="00A35936">
            <w:rPr>
              <w:noProof/>
              <w:color w:val="0070C0"/>
            </w:rPr>
            <w:t>69</w:t>
          </w:r>
          <w:r w:rsidRPr="00E60EA6">
            <w:rPr>
              <w:color w:val="0070C0"/>
            </w:rPr>
            <w:fldChar w:fldCharType="end"/>
          </w:r>
        </w:p>
      </w:tc>
    </w:tr>
  </w:tbl>
  <w:p w:rsidR="005F1279" w:rsidRDefault="005F1279">
    <w:pPr>
      <w:pStyle w:val="Footer"/>
    </w:pPr>
  </w:p>
  <w:p w:rsidR="005F1279" w:rsidRDefault="005F127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2" w:type="pct"/>
      <w:tblCellMar>
        <w:top w:w="72" w:type="dxa"/>
        <w:left w:w="115" w:type="dxa"/>
        <w:bottom w:w="72" w:type="dxa"/>
        <w:right w:w="115" w:type="dxa"/>
      </w:tblCellMar>
      <w:tblLook w:val="04A0" w:firstRow="1" w:lastRow="0" w:firstColumn="1" w:lastColumn="0" w:noHBand="0" w:noVBand="1"/>
    </w:tblPr>
    <w:tblGrid>
      <w:gridCol w:w="12173"/>
      <w:gridCol w:w="1269"/>
    </w:tblGrid>
    <w:tr w:rsidR="005F1279" w:rsidRPr="00E60EA6" w:rsidTr="00A861AD">
      <w:tc>
        <w:tcPr>
          <w:tcW w:w="4528" w:type="pct"/>
          <w:tcBorders>
            <w:top w:val="single" w:sz="4" w:space="0" w:color="auto"/>
          </w:tcBorders>
        </w:tcPr>
        <w:p w:rsidR="005F1279" w:rsidRPr="00E60EA6" w:rsidRDefault="005F1279" w:rsidP="00AE156B">
          <w:pPr>
            <w:pStyle w:val="Footer"/>
          </w:pPr>
          <w:r w:rsidRPr="00E60EA6">
            <w:rPr>
              <w:sz w:val="18"/>
            </w:rPr>
            <w:t xml:space="preserve">ATTACHMENT </w:t>
          </w:r>
          <w:r>
            <w:rPr>
              <w:sz w:val="18"/>
            </w:rPr>
            <w:t>1</w:t>
          </w:r>
          <w:r w:rsidRPr="00E60EA6">
            <w:rPr>
              <w:sz w:val="18"/>
            </w:rPr>
            <w:t xml:space="preserve">: </w:t>
          </w:r>
          <w:r>
            <w:rPr>
              <w:sz w:val="18"/>
            </w:rPr>
            <w:t>2019-20</w:t>
          </w:r>
          <w:r w:rsidRPr="00E60EA6">
            <w:rPr>
              <w:sz w:val="18"/>
            </w:rPr>
            <w:t xml:space="preserve"> RATING STRATEGY </w:t>
          </w:r>
          <w:r w:rsidRPr="00E60EA6">
            <w:rPr>
              <w:color w:val="0070C0"/>
              <w:sz w:val="18"/>
            </w:rPr>
            <w:t>| City of Greater Geelong</w:t>
          </w:r>
        </w:p>
      </w:tc>
      <w:tc>
        <w:tcPr>
          <w:tcW w:w="472" w:type="pct"/>
          <w:tcBorders>
            <w:top w:val="single" w:sz="4" w:space="0" w:color="auto"/>
          </w:tcBorders>
          <w:shd w:val="clear" w:color="auto" w:fill="auto"/>
        </w:tcPr>
        <w:p w:rsidR="005F1279" w:rsidRPr="00E60EA6" w:rsidRDefault="005F1279" w:rsidP="00A861AD">
          <w:pPr>
            <w:pStyle w:val="Footer"/>
            <w:jc w:val="right"/>
            <w:rPr>
              <w:color w:val="0070C0"/>
            </w:rPr>
          </w:pPr>
          <w:r w:rsidRPr="00E60EA6">
            <w:rPr>
              <w:color w:val="0070C0"/>
            </w:rPr>
            <w:fldChar w:fldCharType="begin"/>
          </w:r>
          <w:r w:rsidRPr="00E60EA6">
            <w:rPr>
              <w:color w:val="0070C0"/>
            </w:rPr>
            <w:instrText xml:space="preserve"> PAGE   \* MERGEFORMAT </w:instrText>
          </w:r>
          <w:r w:rsidRPr="00E60EA6">
            <w:rPr>
              <w:color w:val="0070C0"/>
            </w:rPr>
            <w:fldChar w:fldCharType="separate"/>
          </w:r>
          <w:r w:rsidR="00A35936">
            <w:rPr>
              <w:noProof/>
              <w:color w:val="0070C0"/>
            </w:rPr>
            <w:t>1</w:t>
          </w:r>
          <w:r w:rsidRPr="00E60EA6">
            <w:rPr>
              <w:color w:val="0070C0"/>
            </w:rPr>
            <w:fldChar w:fldCharType="end"/>
          </w:r>
        </w:p>
      </w:tc>
    </w:tr>
  </w:tbl>
  <w:p w:rsidR="005F1279" w:rsidRDefault="005F12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2" w:type="pct"/>
      <w:tblCellMar>
        <w:top w:w="72" w:type="dxa"/>
        <w:left w:w="115" w:type="dxa"/>
        <w:bottom w:w="72" w:type="dxa"/>
        <w:right w:w="115" w:type="dxa"/>
      </w:tblCellMar>
      <w:tblLook w:val="04A0" w:firstRow="1" w:lastRow="0" w:firstColumn="1" w:lastColumn="0" w:noHBand="0" w:noVBand="1"/>
    </w:tblPr>
    <w:tblGrid>
      <w:gridCol w:w="7704"/>
      <w:gridCol w:w="803"/>
    </w:tblGrid>
    <w:tr w:rsidR="005F1279" w:rsidRPr="00E60EA6" w:rsidTr="00A861AD">
      <w:tc>
        <w:tcPr>
          <w:tcW w:w="4528" w:type="pct"/>
          <w:tcBorders>
            <w:top w:val="single" w:sz="4" w:space="0" w:color="auto"/>
          </w:tcBorders>
        </w:tcPr>
        <w:p w:rsidR="005F1279" w:rsidRPr="00E60EA6" w:rsidRDefault="005F1279" w:rsidP="00AE156B">
          <w:pPr>
            <w:pStyle w:val="Footer"/>
          </w:pPr>
          <w:r w:rsidRPr="00E60EA6">
            <w:rPr>
              <w:sz w:val="18"/>
            </w:rPr>
            <w:t xml:space="preserve">ATTACHMENT </w:t>
          </w:r>
          <w:r>
            <w:rPr>
              <w:sz w:val="18"/>
            </w:rPr>
            <w:t>2</w:t>
          </w:r>
          <w:r w:rsidRPr="00E60EA6">
            <w:rPr>
              <w:sz w:val="18"/>
            </w:rPr>
            <w:t xml:space="preserve">: </w:t>
          </w:r>
          <w:r>
            <w:rPr>
              <w:sz w:val="18"/>
            </w:rPr>
            <w:t>2019-20</w:t>
          </w:r>
          <w:r w:rsidRPr="00E60EA6">
            <w:rPr>
              <w:sz w:val="18"/>
            </w:rPr>
            <w:t xml:space="preserve"> RATING STRATEGY </w:t>
          </w:r>
          <w:r w:rsidRPr="00E60EA6">
            <w:rPr>
              <w:color w:val="0070C0"/>
              <w:sz w:val="18"/>
            </w:rPr>
            <w:t>| City of Greater Geelong</w:t>
          </w:r>
        </w:p>
      </w:tc>
      <w:tc>
        <w:tcPr>
          <w:tcW w:w="472" w:type="pct"/>
          <w:tcBorders>
            <w:top w:val="single" w:sz="4" w:space="0" w:color="auto"/>
          </w:tcBorders>
          <w:shd w:val="clear" w:color="auto" w:fill="auto"/>
        </w:tcPr>
        <w:p w:rsidR="005F1279" w:rsidRPr="00E60EA6" w:rsidRDefault="005F1279" w:rsidP="00A861AD">
          <w:pPr>
            <w:pStyle w:val="Footer"/>
            <w:jc w:val="right"/>
            <w:rPr>
              <w:color w:val="0070C0"/>
            </w:rPr>
          </w:pPr>
          <w:r w:rsidRPr="00E60EA6">
            <w:rPr>
              <w:color w:val="0070C0"/>
            </w:rPr>
            <w:fldChar w:fldCharType="begin"/>
          </w:r>
          <w:r w:rsidRPr="00E60EA6">
            <w:rPr>
              <w:color w:val="0070C0"/>
            </w:rPr>
            <w:instrText xml:space="preserve"> PAGE   \* MERGEFORMAT </w:instrText>
          </w:r>
          <w:r w:rsidRPr="00E60EA6">
            <w:rPr>
              <w:color w:val="0070C0"/>
            </w:rPr>
            <w:fldChar w:fldCharType="separate"/>
          </w:r>
          <w:r w:rsidR="00A35936">
            <w:rPr>
              <w:noProof/>
              <w:color w:val="0070C0"/>
            </w:rPr>
            <w:t>15</w:t>
          </w:r>
          <w:r w:rsidRPr="00E60EA6">
            <w:rPr>
              <w:color w:val="0070C0"/>
            </w:rPr>
            <w:fldChar w:fldCharType="end"/>
          </w:r>
        </w:p>
      </w:tc>
    </w:tr>
  </w:tbl>
  <w:p w:rsidR="005F1279" w:rsidRDefault="005F127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2" w:type="pct"/>
      <w:tblCellMar>
        <w:top w:w="72" w:type="dxa"/>
        <w:left w:w="115" w:type="dxa"/>
        <w:bottom w:w="72" w:type="dxa"/>
        <w:right w:w="115" w:type="dxa"/>
      </w:tblCellMar>
      <w:tblLook w:val="04A0" w:firstRow="1" w:lastRow="0" w:firstColumn="1" w:lastColumn="0" w:noHBand="0" w:noVBand="1"/>
    </w:tblPr>
    <w:tblGrid>
      <w:gridCol w:w="7704"/>
      <w:gridCol w:w="803"/>
    </w:tblGrid>
    <w:tr w:rsidR="005F1279" w:rsidRPr="00E60EA6" w:rsidTr="00A861AD">
      <w:tc>
        <w:tcPr>
          <w:tcW w:w="4528" w:type="pct"/>
          <w:tcBorders>
            <w:top w:val="single" w:sz="4" w:space="0" w:color="auto"/>
          </w:tcBorders>
        </w:tcPr>
        <w:p w:rsidR="005F1279" w:rsidRPr="00E60EA6" w:rsidRDefault="005F1279" w:rsidP="00AE156B">
          <w:pPr>
            <w:pStyle w:val="Footer"/>
          </w:pPr>
          <w:r w:rsidRPr="00E60EA6">
            <w:rPr>
              <w:sz w:val="18"/>
            </w:rPr>
            <w:t xml:space="preserve">ATTACHMENT </w:t>
          </w:r>
          <w:r>
            <w:rPr>
              <w:sz w:val="18"/>
            </w:rPr>
            <w:t>3</w:t>
          </w:r>
          <w:r w:rsidRPr="00E60EA6">
            <w:rPr>
              <w:sz w:val="18"/>
            </w:rPr>
            <w:t xml:space="preserve">: </w:t>
          </w:r>
          <w:r>
            <w:rPr>
              <w:sz w:val="18"/>
            </w:rPr>
            <w:t>2019-20</w:t>
          </w:r>
          <w:r w:rsidRPr="00E60EA6">
            <w:rPr>
              <w:sz w:val="18"/>
            </w:rPr>
            <w:t xml:space="preserve"> RATING STRATEGY </w:t>
          </w:r>
          <w:r w:rsidRPr="00E60EA6">
            <w:rPr>
              <w:color w:val="0070C0"/>
              <w:sz w:val="18"/>
            </w:rPr>
            <w:t>| City of Greater Geelong</w:t>
          </w:r>
        </w:p>
      </w:tc>
      <w:tc>
        <w:tcPr>
          <w:tcW w:w="472" w:type="pct"/>
          <w:tcBorders>
            <w:top w:val="single" w:sz="4" w:space="0" w:color="auto"/>
          </w:tcBorders>
          <w:shd w:val="clear" w:color="auto" w:fill="auto"/>
        </w:tcPr>
        <w:p w:rsidR="005F1279" w:rsidRPr="00E60EA6" w:rsidRDefault="005F1279" w:rsidP="00A861AD">
          <w:pPr>
            <w:pStyle w:val="Footer"/>
            <w:jc w:val="right"/>
            <w:rPr>
              <w:color w:val="0070C0"/>
            </w:rPr>
          </w:pPr>
          <w:r w:rsidRPr="00E60EA6">
            <w:rPr>
              <w:color w:val="0070C0"/>
            </w:rPr>
            <w:fldChar w:fldCharType="begin"/>
          </w:r>
          <w:r w:rsidRPr="00E60EA6">
            <w:rPr>
              <w:color w:val="0070C0"/>
            </w:rPr>
            <w:instrText xml:space="preserve"> PAGE   \* MERGEFORMAT </w:instrText>
          </w:r>
          <w:r w:rsidRPr="00E60EA6">
            <w:rPr>
              <w:color w:val="0070C0"/>
            </w:rPr>
            <w:fldChar w:fldCharType="separate"/>
          </w:r>
          <w:r w:rsidR="00A35936">
            <w:rPr>
              <w:noProof/>
              <w:color w:val="0070C0"/>
            </w:rPr>
            <w:t>14</w:t>
          </w:r>
          <w:r w:rsidRPr="00E60EA6">
            <w:rPr>
              <w:color w:val="0070C0"/>
            </w:rPr>
            <w:fldChar w:fldCharType="end"/>
          </w:r>
        </w:p>
      </w:tc>
    </w:tr>
  </w:tbl>
  <w:p w:rsidR="005F1279" w:rsidRDefault="005F127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1" w:type="pct"/>
      <w:tblCellMar>
        <w:top w:w="72" w:type="dxa"/>
        <w:left w:w="115" w:type="dxa"/>
        <w:bottom w:w="72" w:type="dxa"/>
        <w:right w:w="115" w:type="dxa"/>
      </w:tblCellMar>
      <w:tblLook w:val="04A0" w:firstRow="1" w:lastRow="0" w:firstColumn="1" w:lastColumn="0" w:noHBand="0" w:noVBand="1"/>
    </w:tblPr>
    <w:tblGrid>
      <w:gridCol w:w="8346"/>
      <w:gridCol w:w="870"/>
    </w:tblGrid>
    <w:tr w:rsidR="005F1279" w:rsidRPr="00E60EA6" w:rsidTr="009C5155">
      <w:tc>
        <w:tcPr>
          <w:tcW w:w="4528" w:type="pct"/>
          <w:tcBorders>
            <w:top w:val="single" w:sz="4" w:space="0" w:color="auto"/>
          </w:tcBorders>
        </w:tcPr>
        <w:p w:rsidR="005F1279" w:rsidRPr="00E60EA6" w:rsidRDefault="005F1279" w:rsidP="00AE156B">
          <w:pPr>
            <w:pStyle w:val="Footer"/>
          </w:pPr>
          <w:r w:rsidRPr="00E60EA6">
            <w:rPr>
              <w:sz w:val="18"/>
            </w:rPr>
            <w:t xml:space="preserve">ATTACHMENT 4: </w:t>
          </w:r>
          <w:r>
            <w:rPr>
              <w:sz w:val="18"/>
            </w:rPr>
            <w:t>2019-20</w:t>
          </w:r>
          <w:r w:rsidRPr="00E60EA6">
            <w:rPr>
              <w:sz w:val="18"/>
            </w:rPr>
            <w:t xml:space="preserve"> RATING STRATEGY </w:t>
          </w:r>
          <w:r w:rsidRPr="00E60EA6">
            <w:rPr>
              <w:color w:val="0070C0"/>
              <w:sz w:val="18"/>
            </w:rPr>
            <w:t>| City of Greater Geelong</w:t>
          </w:r>
        </w:p>
      </w:tc>
      <w:tc>
        <w:tcPr>
          <w:tcW w:w="472" w:type="pct"/>
          <w:tcBorders>
            <w:top w:val="single" w:sz="4" w:space="0" w:color="auto"/>
          </w:tcBorders>
          <w:shd w:val="clear" w:color="auto" w:fill="auto"/>
        </w:tcPr>
        <w:p w:rsidR="005F1279" w:rsidRPr="00E60EA6" w:rsidRDefault="005F1279" w:rsidP="002876DA">
          <w:pPr>
            <w:pStyle w:val="Footer"/>
            <w:jc w:val="right"/>
            <w:rPr>
              <w:color w:val="0070C0"/>
            </w:rPr>
          </w:pPr>
          <w:r w:rsidRPr="00E60EA6">
            <w:rPr>
              <w:color w:val="0070C0"/>
            </w:rPr>
            <w:fldChar w:fldCharType="begin"/>
          </w:r>
          <w:r w:rsidRPr="00E60EA6">
            <w:rPr>
              <w:color w:val="0070C0"/>
            </w:rPr>
            <w:instrText xml:space="preserve"> PAGE   \* MERGEFORMAT </w:instrText>
          </w:r>
          <w:r w:rsidRPr="00E60EA6">
            <w:rPr>
              <w:color w:val="0070C0"/>
            </w:rPr>
            <w:fldChar w:fldCharType="separate"/>
          </w:r>
          <w:r w:rsidR="00A35936">
            <w:rPr>
              <w:noProof/>
              <w:color w:val="0070C0"/>
            </w:rPr>
            <w:t>17</w:t>
          </w:r>
          <w:r w:rsidRPr="00E60EA6">
            <w:rPr>
              <w:color w:val="0070C0"/>
            </w:rPr>
            <w:fldChar w:fldCharType="end"/>
          </w:r>
        </w:p>
      </w:tc>
    </w:tr>
  </w:tbl>
  <w:p w:rsidR="005F1279" w:rsidRPr="002A07B0" w:rsidRDefault="005F1279" w:rsidP="002A07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279" w:rsidRDefault="005F1279">
      <w:r>
        <w:separator/>
      </w:r>
    </w:p>
  </w:footnote>
  <w:footnote w:type="continuationSeparator" w:id="0">
    <w:p w:rsidR="005F1279" w:rsidRDefault="005F1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63C9584"/>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29B0C0E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80A034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B99C2E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B"/>
    <w:multiLevelType w:val="multilevel"/>
    <w:tmpl w:val="A8CC3E2A"/>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5" w15:restartNumberingAfterBreak="0">
    <w:nsid w:val="00526A1F"/>
    <w:multiLevelType w:val="hybridMultilevel"/>
    <w:tmpl w:val="E8802EAA"/>
    <w:lvl w:ilvl="0" w:tplc="C2CEE2B8">
      <w:start w:val="1"/>
      <w:numFmt w:val="lowerRoman"/>
      <w:lvlText w:val="%1."/>
      <w:lvlJc w:val="left"/>
      <w:pPr>
        <w:tabs>
          <w:tab w:val="num" w:pos="720"/>
        </w:tabs>
        <w:ind w:left="360" w:hanging="360"/>
      </w:pPr>
      <w:rPr>
        <w:rFonts w:ascii="Arial" w:hAnsi="Arial" w:hint="default"/>
      </w:rPr>
    </w:lvl>
    <w:lvl w:ilvl="1" w:tplc="5DE6C006">
      <w:start w:val="1"/>
      <w:numFmt w:val="lowerLetter"/>
      <w:lvlText w:val="%2)"/>
      <w:lvlJc w:val="left"/>
      <w:pPr>
        <w:tabs>
          <w:tab w:val="num" w:pos="1440"/>
        </w:tabs>
        <w:ind w:left="1440" w:hanging="360"/>
      </w:pPr>
      <w:rPr>
        <w:rFonts w:hint="default"/>
      </w:rPr>
    </w:lvl>
    <w:lvl w:ilvl="2" w:tplc="F8E62ABA" w:tentative="1">
      <w:start w:val="1"/>
      <w:numFmt w:val="lowerRoman"/>
      <w:lvlText w:val="%3."/>
      <w:lvlJc w:val="right"/>
      <w:pPr>
        <w:tabs>
          <w:tab w:val="num" w:pos="2160"/>
        </w:tabs>
        <w:ind w:left="2160" w:hanging="180"/>
      </w:pPr>
    </w:lvl>
    <w:lvl w:ilvl="3" w:tplc="A288E2DC" w:tentative="1">
      <w:start w:val="1"/>
      <w:numFmt w:val="decimal"/>
      <w:lvlText w:val="%4."/>
      <w:lvlJc w:val="left"/>
      <w:pPr>
        <w:tabs>
          <w:tab w:val="num" w:pos="2880"/>
        </w:tabs>
        <w:ind w:left="2880" w:hanging="360"/>
      </w:pPr>
    </w:lvl>
    <w:lvl w:ilvl="4" w:tplc="D416C8E8" w:tentative="1">
      <w:start w:val="1"/>
      <w:numFmt w:val="lowerLetter"/>
      <w:lvlText w:val="%5."/>
      <w:lvlJc w:val="left"/>
      <w:pPr>
        <w:tabs>
          <w:tab w:val="num" w:pos="3600"/>
        </w:tabs>
        <w:ind w:left="3600" w:hanging="360"/>
      </w:pPr>
    </w:lvl>
    <w:lvl w:ilvl="5" w:tplc="12DAAE1A" w:tentative="1">
      <w:start w:val="1"/>
      <w:numFmt w:val="lowerRoman"/>
      <w:lvlText w:val="%6."/>
      <w:lvlJc w:val="right"/>
      <w:pPr>
        <w:tabs>
          <w:tab w:val="num" w:pos="4320"/>
        </w:tabs>
        <w:ind w:left="4320" w:hanging="180"/>
      </w:pPr>
    </w:lvl>
    <w:lvl w:ilvl="6" w:tplc="8F6830D4" w:tentative="1">
      <w:start w:val="1"/>
      <w:numFmt w:val="decimal"/>
      <w:lvlText w:val="%7."/>
      <w:lvlJc w:val="left"/>
      <w:pPr>
        <w:tabs>
          <w:tab w:val="num" w:pos="5040"/>
        </w:tabs>
        <w:ind w:left="5040" w:hanging="360"/>
      </w:pPr>
    </w:lvl>
    <w:lvl w:ilvl="7" w:tplc="90FC9F82" w:tentative="1">
      <w:start w:val="1"/>
      <w:numFmt w:val="lowerLetter"/>
      <w:lvlText w:val="%8."/>
      <w:lvlJc w:val="left"/>
      <w:pPr>
        <w:tabs>
          <w:tab w:val="num" w:pos="5760"/>
        </w:tabs>
        <w:ind w:left="5760" w:hanging="360"/>
      </w:pPr>
    </w:lvl>
    <w:lvl w:ilvl="8" w:tplc="E0442668" w:tentative="1">
      <w:start w:val="1"/>
      <w:numFmt w:val="lowerRoman"/>
      <w:lvlText w:val="%9."/>
      <w:lvlJc w:val="right"/>
      <w:pPr>
        <w:tabs>
          <w:tab w:val="num" w:pos="6480"/>
        </w:tabs>
        <w:ind w:left="6480" w:hanging="180"/>
      </w:pPr>
    </w:lvl>
  </w:abstractNum>
  <w:abstractNum w:abstractNumId="6" w15:restartNumberingAfterBreak="0">
    <w:nsid w:val="00921B26"/>
    <w:multiLevelType w:val="hybridMultilevel"/>
    <w:tmpl w:val="F870A382"/>
    <w:lvl w:ilvl="0" w:tplc="DC7C161A">
      <w:start w:val="1"/>
      <w:numFmt w:val="lowerRoman"/>
      <w:lvlText w:val="%1."/>
      <w:lvlJc w:val="left"/>
      <w:pPr>
        <w:ind w:left="149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0117737F"/>
    <w:multiLevelType w:val="hybridMultilevel"/>
    <w:tmpl w:val="51B854CA"/>
    <w:lvl w:ilvl="0" w:tplc="5DE6C006">
      <w:start w:val="1"/>
      <w:numFmt w:val="lowerLetter"/>
      <w:lvlText w:val="%1)"/>
      <w:lvlJc w:val="left"/>
      <w:pPr>
        <w:tabs>
          <w:tab w:val="num" w:pos="1440"/>
        </w:tabs>
        <w:ind w:left="1440" w:hanging="360"/>
      </w:pPr>
      <w:rPr>
        <w:rFonts w:hint="default"/>
      </w:rPr>
    </w:lvl>
    <w:lvl w:ilvl="1" w:tplc="60087AB8" w:tentative="1">
      <w:start w:val="1"/>
      <w:numFmt w:val="lowerLetter"/>
      <w:lvlText w:val="%2."/>
      <w:lvlJc w:val="left"/>
      <w:pPr>
        <w:ind w:left="1440" w:hanging="360"/>
      </w:pPr>
    </w:lvl>
    <w:lvl w:ilvl="2" w:tplc="74322C6A" w:tentative="1">
      <w:start w:val="1"/>
      <w:numFmt w:val="lowerRoman"/>
      <w:lvlText w:val="%3."/>
      <w:lvlJc w:val="right"/>
      <w:pPr>
        <w:ind w:left="2160" w:hanging="180"/>
      </w:pPr>
    </w:lvl>
    <w:lvl w:ilvl="3" w:tplc="40AC7072" w:tentative="1">
      <w:start w:val="1"/>
      <w:numFmt w:val="decimal"/>
      <w:lvlText w:val="%4."/>
      <w:lvlJc w:val="left"/>
      <w:pPr>
        <w:ind w:left="2880" w:hanging="360"/>
      </w:pPr>
    </w:lvl>
    <w:lvl w:ilvl="4" w:tplc="58286F84" w:tentative="1">
      <w:start w:val="1"/>
      <w:numFmt w:val="lowerLetter"/>
      <w:lvlText w:val="%5."/>
      <w:lvlJc w:val="left"/>
      <w:pPr>
        <w:ind w:left="3600" w:hanging="360"/>
      </w:pPr>
    </w:lvl>
    <w:lvl w:ilvl="5" w:tplc="BAFA9D98" w:tentative="1">
      <w:start w:val="1"/>
      <w:numFmt w:val="lowerRoman"/>
      <w:lvlText w:val="%6."/>
      <w:lvlJc w:val="right"/>
      <w:pPr>
        <w:ind w:left="4320" w:hanging="180"/>
      </w:pPr>
    </w:lvl>
    <w:lvl w:ilvl="6" w:tplc="6B18E62C" w:tentative="1">
      <w:start w:val="1"/>
      <w:numFmt w:val="decimal"/>
      <w:lvlText w:val="%7."/>
      <w:lvlJc w:val="left"/>
      <w:pPr>
        <w:ind w:left="5040" w:hanging="360"/>
      </w:pPr>
    </w:lvl>
    <w:lvl w:ilvl="7" w:tplc="C42688A8" w:tentative="1">
      <w:start w:val="1"/>
      <w:numFmt w:val="lowerLetter"/>
      <w:lvlText w:val="%8."/>
      <w:lvlJc w:val="left"/>
      <w:pPr>
        <w:ind w:left="5760" w:hanging="360"/>
      </w:pPr>
    </w:lvl>
    <w:lvl w:ilvl="8" w:tplc="2D9E8C7A" w:tentative="1">
      <w:start w:val="1"/>
      <w:numFmt w:val="lowerRoman"/>
      <w:lvlText w:val="%9."/>
      <w:lvlJc w:val="right"/>
      <w:pPr>
        <w:ind w:left="6480" w:hanging="180"/>
      </w:pPr>
    </w:lvl>
  </w:abstractNum>
  <w:abstractNum w:abstractNumId="8" w15:restartNumberingAfterBreak="0">
    <w:nsid w:val="028271E7"/>
    <w:multiLevelType w:val="singleLevel"/>
    <w:tmpl w:val="B602E186"/>
    <w:lvl w:ilvl="0">
      <w:start w:val="1"/>
      <w:numFmt w:val="bullet"/>
      <w:pStyle w:val="SumPoint"/>
      <w:lvlText w:val=""/>
      <w:lvlJc w:val="left"/>
      <w:pPr>
        <w:tabs>
          <w:tab w:val="num" w:pos="360"/>
        </w:tabs>
        <w:ind w:left="340" w:hanging="340"/>
      </w:pPr>
      <w:rPr>
        <w:rFonts w:ascii="Symbol" w:hAnsi="Symbol" w:hint="default"/>
      </w:rPr>
    </w:lvl>
  </w:abstractNum>
  <w:abstractNum w:abstractNumId="9" w15:restartNumberingAfterBreak="0">
    <w:nsid w:val="03EF1EF2"/>
    <w:multiLevelType w:val="multilevel"/>
    <w:tmpl w:val="E7345890"/>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lvl>
    <w:lvl w:ilvl="2">
      <w:start w:val="1"/>
      <w:numFmt w:val="decimal"/>
      <w:pStyle w:val="NumberedPara2"/>
      <w:lvlText w:val="%1.%2.%3."/>
      <w:lvlJc w:val="left"/>
      <w:pPr>
        <w:tabs>
          <w:tab w:val="num" w:pos="1588"/>
        </w:tabs>
        <w:ind w:left="1588" w:hanging="794"/>
      </w:pPr>
      <w:rPr>
        <w:b w:val="0"/>
      </w:r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042F2FE8"/>
    <w:multiLevelType w:val="hybridMultilevel"/>
    <w:tmpl w:val="2BEA3B46"/>
    <w:lvl w:ilvl="0" w:tplc="718C8612">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73578A"/>
    <w:multiLevelType w:val="hybridMultilevel"/>
    <w:tmpl w:val="0112680C"/>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50B27F8"/>
    <w:multiLevelType w:val="hybridMultilevel"/>
    <w:tmpl w:val="E77032D8"/>
    <w:lvl w:ilvl="0" w:tplc="8BAE3134">
      <w:start w:val="1"/>
      <w:numFmt w:val="bullet"/>
      <w:lvlText w:val="▌"/>
      <w:lvlJc w:val="left"/>
      <w:pPr>
        <w:tabs>
          <w:tab w:val="num" w:pos="1440"/>
        </w:tabs>
        <w:ind w:left="1440" w:hanging="360"/>
      </w:pPr>
      <w:rPr>
        <w:rFonts w:ascii="SimSun" w:eastAsia="SimSun" w:hAnsi="SimSun" w:hint="eastAsia"/>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8A2BA5"/>
    <w:multiLevelType w:val="hybridMultilevel"/>
    <w:tmpl w:val="1A603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6DD08CC"/>
    <w:multiLevelType w:val="singleLevel"/>
    <w:tmpl w:val="E5069980"/>
    <w:lvl w:ilvl="0">
      <w:start w:val="1"/>
      <w:numFmt w:val="bullet"/>
      <w:pStyle w:val="Sumpoint2"/>
      <w:lvlText w:val=""/>
      <w:lvlJc w:val="left"/>
      <w:pPr>
        <w:tabs>
          <w:tab w:val="num" w:pos="794"/>
        </w:tabs>
        <w:ind w:left="794" w:hanging="397"/>
      </w:pPr>
      <w:rPr>
        <w:rFonts w:ascii="Symbol" w:hAnsi="Symbol" w:hint="default"/>
      </w:rPr>
    </w:lvl>
  </w:abstractNum>
  <w:abstractNum w:abstractNumId="15" w15:restartNumberingAfterBreak="0">
    <w:nsid w:val="070C05FC"/>
    <w:multiLevelType w:val="hybridMultilevel"/>
    <w:tmpl w:val="903254AA"/>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889119A"/>
    <w:multiLevelType w:val="hybridMultilevel"/>
    <w:tmpl w:val="FD5C633A"/>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96A6573"/>
    <w:multiLevelType w:val="hybridMultilevel"/>
    <w:tmpl w:val="783865E0"/>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A0337D9"/>
    <w:multiLevelType w:val="hybridMultilevel"/>
    <w:tmpl w:val="5DCAA7A0"/>
    <w:lvl w:ilvl="0" w:tplc="8BAE3134">
      <w:start w:val="1"/>
      <w:numFmt w:val="bullet"/>
      <w:lvlText w:val="▌"/>
      <w:lvlJc w:val="left"/>
      <w:pPr>
        <w:tabs>
          <w:tab w:val="num" w:pos="502"/>
        </w:tabs>
        <w:ind w:left="502" w:hanging="360"/>
      </w:pPr>
      <w:rPr>
        <w:rFonts w:ascii="SimSun" w:eastAsia="SimSun" w:hAnsi="SimSun" w:hint="eastAsia"/>
        <w:sz w:val="20"/>
        <w:szCs w:val="20"/>
      </w:rPr>
    </w:lvl>
    <w:lvl w:ilvl="1" w:tplc="0C090019">
      <w:start w:val="1"/>
      <w:numFmt w:val="lowerLetter"/>
      <w:lvlText w:val="%2."/>
      <w:lvlJc w:val="left"/>
      <w:pPr>
        <w:tabs>
          <w:tab w:val="num" w:pos="1222"/>
        </w:tabs>
        <w:ind w:left="1222" w:hanging="360"/>
      </w:pPr>
      <w:rPr>
        <w:rFonts w:cs="Times New Roman"/>
      </w:rPr>
    </w:lvl>
    <w:lvl w:ilvl="2" w:tplc="0C09001B" w:tentative="1">
      <w:start w:val="1"/>
      <w:numFmt w:val="lowerRoman"/>
      <w:lvlText w:val="%3."/>
      <w:lvlJc w:val="right"/>
      <w:pPr>
        <w:tabs>
          <w:tab w:val="num" w:pos="1942"/>
        </w:tabs>
        <w:ind w:left="1942" w:hanging="180"/>
      </w:pPr>
      <w:rPr>
        <w:rFonts w:cs="Times New Roman"/>
      </w:rPr>
    </w:lvl>
    <w:lvl w:ilvl="3" w:tplc="0C09000F" w:tentative="1">
      <w:start w:val="1"/>
      <w:numFmt w:val="decimal"/>
      <w:lvlText w:val="%4."/>
      <w:lvlJc w:val="left"/>
      <w:pPr>
        <w:tabs>
          <w:tab w:val="num" w:pos="2662"/>
        </w:tabs>
        <w:ind w:left="2662" w:hanging="360"/>
      </w:pPr>
      <w:rPr>
        <w:rFonts w:cs="Times New Roman"/>
      </w:rPr>
    </w:lvl>
    <w:lvl w:ilvl="4" w:tplc="0C090019" w:tentative="1">
      <w:start w:val="1"/>
      <w:numFmt w:val="lowerLetter"/>
      <w:lvlText w:val="%5."/>
      <w:lvlJc w:val="left"/>
      <w:pPr>
        <w:tabs>
          <w:tab w:val="num" w:pos="3382"/>
        </w:tabs>
        <w:ind w:left="3382" w:hanging="360"/>
      </w:pPr>
      <w:rPr>
        <w:rFonts w:cs="Times New Roman"/>
      </w:rPr>
    </w:lvl>
    <w:lvl w:ilvl="5" w:tplc="0C09001B" w:tentative="1">
      <w:start w:val="1"/>
      <w:numFmt w:val="lowerRoman"/>
      <w:lvlText w:val="%6."/>
      <w:lvlJc w:val="right"/>
      <w:pPr>
        <w:tabs>
          <w:tab w:val="num" w:pos="4102"/>
        </w:tabs>
        <w:ind w:left="4102" w:hanging="180"/>
      </w:pPr>
      <w:rPr>
        <w:rFonts w:cs="Times New Roman"/>
      </w:rPr>
    </w:lvl>
    <w:lvl w:ilvl="6" w:tplc="0C09000F" w:tentative="1">
      <w:start w:val="1"/>
      <w:numFmt w:val="decimal"/>
      <w:lvlText w:val="%7."/>
      <w:lvlJc w:val="left"/>
      <w:pPr>
        <w:tabs>
          <w:tab w:val="num" w:pos="4822"/>
        </w:tabs>
        <w:ind w:left="4822" w:hanging="360"/>
      </w:pPr>
      <w:rPr>
        <w:rFonts w:cs="Times New Roman"/>
      </w:rPr>
    </w:lvl>
    <w:lvl w:ilvl="7" w:tplc="0C090019" w:tentative="1">
      <w:start w:val="1"/>
      <w:numFmt w:val="lowerLetter"/>
      <w:lvlText w:val="%8."/>
      <w:lvlJc w:val="left"/>
      <w:pPr>
        <w:tabs>
          <w:tab w:val="num" w:pos="5542"/>
        </w:tabs>
        <w:ind w:left="5542" w:hanging="360"/>
      </w:pPr>
      <w:rPr>
        <w:rFonts w:cs="Times New Roman"/>
      </w:rPr>
    </w:lvl>
    <w:lvl w:ilvl="8" w:tplc="0C09001B" w:tentative="1">
      <w:start w:val="1"/>
      <w:numFmt w:val="lowerRoman"/>
      <w:lvlText w:val="%9."/>
      <w:lvlJc w:val="right"/>
      <w:pPr>
        <w:tabs>
          <w:tab w:val="num" w:pos="6262"/>
        </w:tabs>
        <w:ind w:left="6262" w:hanging="180"/>
      </w:pPr>
      <w:rPr>
        <w:rFonts w:cs="Times New Roman"/>
      </w:rPr>
    </w:lvl>
  </w:abstractNum>
  <w:abstractNum w:abstractNumId="19" w15:restartNumberingAfterBreak="0">
    <w:nsid w:val="0C5959B5"/>
    <w:multiLevelType w:val="hybridMultilevel"/>
    <w:tmpl w:val="9350E6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D8F57AE"/>
    <w:multiLevelType w:val="hybridMultilevel"/>
    <w:tmpl w:val="12D6D7C6"/>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0E43566C"/>
    <w:multiLevelType w:val="hybridMultilevel"/>
    <w:tmpl w:val="CABC496E"/>
    <w:lvl w:ilvl="0" w:tplc="64B606E4">
      <w:start w:val="1"/>
      <w:numFmt w:val="decimal"/>
      <w:lvlText w:val="%1."/>
      <w:lvlJc w:val="left"/>
      <w:pPr>
        <w:ind w:left="720" w:hanging="360"/>
      </w:pPr>
      <w:rPr>
        <w:rFonts w:hint="eastAsia"/>
        <w:sz w:val="22"/>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0F380B67"/>
    <w:multiLevelType w:val="hybridMultilevel"/>
    <w:tmpl w:val="55FE6CFC"/>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F58575D"/>
    <w:multiLevelType w:val="hybridMultilevel"/>
    <w:tmpl w:val="A96AC0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F904248"/>
    <w:multiLevelType w:val="hybridMultilevel"/>
    <w:tmpl w:val="F59CEF1A"/>
    <w:lvl w:ilvl="0" w:tplc="7276A486">
      <w:start w:val="1"/>
      <w:numFmt w:val="bullet"/>
      <w:lvlText w:val="o"/>
      <w:lvlJc w:val="left"/>
      <w:pPr>
        <w:ind w:left="3025" w:hanging="360"/>
      </w:pPr>
      <w:rPr>
        <w:rFonts w:ascii="Courier New" w:hAnsi="Courier New" w:cs="Courier New" w:hint="default"/>
      </w:rPr>
    </w:lvl>
    <w:lvl w:ilvl="1" w:tplc="0C090003" w:tentative="1">
      <w:start w:val="1"/>
      <w:numFmt w:val="bullet"/>
      <w:lvlText w:val="o"/>
      <w:lvlJc w:val="left"/>
      <w:pPr>
        <w:ind w:left="3745" w:hanging="360"/>
      </w:pPr>
      <w:rPr>
        <w:rFonts w:ascii="Courier New" w:hAnsi="Courier New" w:cs="Courier New" w:hint="default"/>
      </w:rPr>
    </w:lvl>
    <w:lvl w:ilvl="2" w:tplc="0C090005" w:tentative="1">
      <w:start w:val="1"/>
      <w:numFmt w:val="bullet"/>
      <w:lvlText w:val=""/>
      <w:lvlJc w:val="left"/>
      <w:pPr>
        <w:ind w:left="4465" w:hanging="360"/>
      </w:pPr>
      <w:rPr>
        <w:rFonts w:ascii="Wingdings" w:hAnsi="Wingdings" w:hint="default"/>
      </w:rPr>
    </w:lvl>
    <w:lvl w:ilvl="3" w:tplc="0C090001" w:tentative="1">
      <w:start w:val="1"/>
      <w:numFmt w:val="bullet"/>
      <w:lvlText w:val=""/>
      <w:lvlJc w:val="left"/>
      <w:pPr>
        <w:ind w:left="5185" w:hanging="360"/>
      </w:pPr>
      <w:rPr>
        <w:rFonts w:ascii="Symbol" w:hAnsi="Symbol" w:hint="default"/>
      </w:rPr>
    </w:lvl>
    <w:lvl w:ilvl="4" w:tplc="0C090003" w:tentative="1">
      <w:start w:val="1"/>
      <w:numFmt w:val="bullet"/>
      <w:lvlText w:val="o"/>
      <w:lvlJc w:val="left"/>
      <w:pPr>
        <w:ind w:left="5905" w:hanging="360"/>
      </w:pPr>
      <w:rPr>
        <w:rFonts w:ascii="Courier New" w:hAnsi="Courier New" w:cs="Courier New" w:hint="default"/>
      </w:rPr>
    </w:lvl>
    <w:lvl w:ilvl="5" w:tplc="0C090005" w:tentative="1">
      <w:start w:val="1"/>
      <w:numFmt w:val="bullet"/>
      <w:lvlText w:val=""/>
      <w:lvlJc w:val="left"/>
      <w:pPr>
        <w:ind w:left="6625" w:hanging="360"/>
      </w:pPr>
      <w:rPr>
        <w:rFonts w:ascii="Wingdings" w:hAnsi="Wingdings" w:hint="default"/>
      </w:rPr>
    </w:lvl>
    <w:lvl w:ilvl="6" w:tplc="0C090001" w:tentative="1">
      <w:start w:val="1"/>
      <w:numFmt w:val="bullet"/>
      <w:lvlText w:val=""/>
      <w:lvlJc w:val="left"/>
      <w:pPr>
        <w:ind w:left="7345" w:hanging="360"/>
      </w:pPr>
      <w:rPr>
        <w:rFonts w:ascii="Symbol" w:hAnsi="Symbol" w:hint="default"/>
      </w:rPr>
    </w:lvl>
    <w:lvl w:ilvl="7" w:tplc="0C090003" w:tentative="1">
      <w:start w:val="1"/>
      <w:numFmt w:val="bullet"/>
      <w:lvlText w:val="o"/>
      <w:lvlJc w:val="left"/>
      <w:pPr>
        <w:ind w:left="8065" w:hanging="360"/>
      </w:pPr>
      <w:rPr>
        <w:rFonts w:ascii="Courier New" w:hAnsi="Courier New" w:cs="Courier New" w:hint="default"/>
      </w:rPr>
    </w:lvl>
    <w:lvl w:ilvl="8" w:tplc="0C090005" w:tentative="1">
      <w:start w:val="1"/>
      <w:numFmt w:val="bullet"/>
      <w:lvlText w:val=""/>
      <w:lvlJc w:val="left"/>
      <w:pPr>
        <w:ind w:left="8785" w:hanging="360"/>
      </w:pPr>
      <w:rPr>
        <w:rFonts w:ascii="Wingdings" w:hAnsi="Wingdings" w:hint="default"/>
      </w:rPr>
    </w:lvl>
  </w:abstractNum>
  <w:abstractNum w:abstractNumId="25" w15:restartNumberingAfterBreak="0">
    <w:nsid w:val="10012E2B"/>
    <w:multiLevelType w:val="singleLevel"/>
    <w:tmpl w:val="6E182CE2"/>
    <w:lvl w:ilvl="0">
      <w:start w:val="1"/>
      <w:numFmt w:val="lowerLetter"/>
      <w:pStyle w:val="ListLetter"/>
      <w:lvlText w:val="%1)"/>
      <w:lvlJc w:val="left"/>
      <w:pPr>
        <w:tabs>
          <w:tab w:val="num" w:pos="927"/>
        </w:tabs>
        <w:ind w:left="924" w:hanging="357"/>
      </w:pPr>
    </w:lvl>
  </w:abstractNum>
  <w:abstractNum w:abstractNumId="26" w15:restartNumberingAfterBreak="0">
    <w:nsid w:val="118D05BB"/>
    <w:multiLevelType w:val="hybridMultilevel"/>
    <w:tmpl w:val="1B865BEC"/>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2C00760"/>
    <w:multiLevelType w:val="hybridMultilevel"/>
    <w:tmpl w:val="5DB0857A"/>
    <w:lvl w:ilvl="0" w:tplc="718C8612">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4EF47D7"/>
    <w:multiLevelType w:val="multilevel"/>
    <w:tmpl w:val="4BD80796"/>
    <w:lvl w:ilvl="0">
      <w:start w:val="1"/>
      <w:numFmt w:val="decimal"/>
      <w:pStyle w:val="num"/>
      <w:lvlText w:val="%1."/>
      <w:lvlJc w:val="left"/>
      <w:pPr>
        <w:tabs>
          <w:tab w:val="num" w:pos="360"/>
        </w:tabs>
        <w:ind w:left="340" w:hanging="340"/>
      </w:pPr>
    </w:lvl>
    <w:lvl w:ilvl="1">
      <w:start w:val="1"/>
      <w:numFmt w:val="decimal"/>
      <w:lvlText w:val="5.%2"/>
      <w:lvlJc w:val="left"/>
      <w:pPr>
        <w:tabs>
          <w:tab w:val="num" w:pos="792"/>
        </w:tabs>
        <w:ind w:left="792" w:hanging="395"/>
      </w:pPr>
    </w:lvl>
    <w:lvl w:ilvl="2">
      <w:start w:val="4"/>
      <w:numFmt w:val="none"/>
      <w:lvlText w:val="4.2.2"/>
      <w:lvlJc w:val="left"/>
      <w:pPr>
        <w:tabs>
          <w:tab w:val="num" w:pos="1874"/>
        </w:tabs>
        <w:ind w:left="1588" w:hanging="794"/>
      </w:pPr>
    </w:lvl>
    <w:lvl w:ilvl="3">
      <w:start w:val="1"/>
      <w:numFmt w:val="decimal"/>
      <w:lvlText w:val="%1.%2.%3.%4."/>
      <w:lvlJc w:val="left"/>
      <w:pPr>
        <w:tabs>
          <w:tab w:val="num" w:pos="3028"/>
        </w:tabs>
        <w:ind w:left="2552" w:hanging="964"/>
      </w:pPr>
      <w:rPr>
        <w:b w:val="0"/>
        <w:i w:val="0"/>
      </w:rPr>
    </w:lvl>
    <w:lvl w:ilvl="4">
      <w:start w:val="1"/>
      <w:numFmt w:val="decimal"/>
      <w:lvlText w:val="%1.%2.%3.%4.%5."/>
      <w:lvlJc w:val="left"/>
      <w:pPr>
        <w:tabs>
          <w:tab w:val="num" w:pos="3969"/>
        </w:tabs>
        <w:ind w:left="3969" w:hanging="1417"/>
      </w:pPr>
    </w:lvl>
    <w:lvl w:ilvl="5">
      <w:start w:val="1"/>
      <w:numFmt w:val="decimal"/>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1532474F"/>
    <w:multiLevelType w:val="hybridMultilevel"/>
    <w:tmpl w:val="AC9690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7BC4B49"/>
    <w:multiLevelType w:val="hybridMultilevel"/>
    <w:tmpl w:val="0BE47D8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A5B3EAE"/>
    <w:multiLevelType w:val="singleLevel"/>
    <w:tmpl w:val="1D6AEE3C"/>
    <w:lvl w:ilvl="0">
      <w:start w:val="1"/>
      <w:numFmt w:val="bullet"/>
      <w:pStyle w:val="Sumpoint35"/>
      <w:lvlText w:val=""/>
      <w:lvlJc w:val="left"/>
      <w:pPr>
        <w:tabs>
          <w:tab w:val="num" w:pos="3062"/>
        </w:tabs>
        <w:ind w:left="3062" w:hanging="397"/>
      </w:pPr>
      <w:rPr>
        <w:rFonts w:ascii="Symbol" w:hAnsi="Symbol" w:hint="default"/>
      </w:rPr>
    </w:lvl>
  </w:abstractNum>
  <w:abstractNum w:abstractNumId="32" w15:restartNumberingAfterBreak="0">
    <w:nsid w:val="1B596DB7"/>
    <w:multiLevelType w:val="hybridMultilevel"/>
    <w:tmpl w:val="82E4E44A"/>
    <w:lvl w:ilvl="0" w:tplc="5DE6C0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BC74A9D"/>
    <w:multiLevelType w:val="hybridMultilevel"/>
    <w:tmpl w:val="5B16F5B8"/>
    <w:lvl w:ilvl="0" w:tplc="B38EFB24">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1CCF70A8"/>
    <w:multiLevelType w:val="singleLevel"/>
    <w:tmpl w:val="3100222C"/>
    <w:lvl w:ilvl="0">
      <w:start w:val="1"/>
      <w:numFmt w:val="bullet"/>
      <w:pStyle w:val="SummaryPointsIndent"/>
      <w:lvlText w:val=""/>
      <w:lvlJc w:val="left"/>
      <w:pPr>
        <w:tabs>
          <w:tab w:val="num" w:pos="360"/>
        </w:tabs>
        <w:ind w:left="360" w:hanging="360"/>
      </w:pPr>
      <w:rPr>
        <w:rFonts w:ascii="Symbol" w:hAnsi="Symbol" w:hint="default"/>
      </w:rPr>
    </w:lvl>
  </w:abstractNum>
  <w:abstractNum w:abstractNumId="35" w15:restartNumberingAfterBreak="0">
    <w:nsid w:val="1DDD7129"/>
    <w:multiLevelType w:val="hybridMultilevel"/>
    <w:tmpl w:val="15409168"/>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1E98553F"/>
    <w:multiLevelType w:val="hybridMultilevel"/>
    <w:tmpl w:val="4EACA7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009357C"/>
    <w:multiLevelType w:val="hybridMultilevel"/>
    <w:tmpl w:val="27206EDA"/>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06E60F1"/>
    <w:multiLevelType w:val="singleLevel"/>
    <w:tmpl w:val="0720A5EE"/>
    <w:lvl w:ilvl="0">
      <w:start w:val="1"/>
      <w:numFmt w:val="bullet"/>
      <w:pStyle w:val="SummaryPoints"/>
      <w:lvlText w:val=""/>
      <w:lvlJc w:val="left"/>
      <w:pPr>
        <w:tabs>
          <w:tab w:val="num" w:pos="794"/>
        </w:tabs>
        <w:ind w:left="794" w:hanging="397"/>
      </w:pPr>
      <w:rPr>
        <w:rFonts w:ascii="Symbol" w:hAnsi="Symbol" w:hint="default"/>
      </w:rPr>
    </w:lvl>
  </w:abstractNum>
  <w:abstractNum w:abstractNumId="39" w15:restartNumberingAfterBreak="0">
    <w:nsid w:val="21F84E5F"/>
    <w:multiLevelType w:val="hybridMultilevel"/>
    <w:tmpl w:val="A394D3D4"/>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1FA3670"/>
    <w:multiLevelType w:val="hybridMultilevel"/>
    <w:tmpl w:val="3D1607F2"/>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2932B77"/>
    <w:multiLevelType w:val="hybridMultilevel"/>
    <w:tmpl w:val="4B80035E"/>
    <w:lvl w:ilvl="0" w:tplc="1CC4DEAA">
      <w:start w:val="1"/>
      <w:numFmt w:val="lowerLetter"/>
      <w:lvlText w:val="%1)"/>
      <w:lvlJc w:val="left"/>
      <w:pPr>
        <w:ind w:left="720" w:hanging="360"/>
      </w:pPr>
      <w:rPr>
        <w:rFonts w:hint="default"/>
      </w:rPr>
    </w:lvl>
    <w:lvl w:ilvl="1" w:tplc="B6E62CA8" w:tentative="1">
      <w:start w:val="1"/>
      <w:numFmt w:val="lowerLetter"/>
      <w:lvlText w:val="%2."/>
      <w:lvlJc w:val="left"/>
      <w:pPr>
        <w:ind w:left="1440" w:hanging="360"/>
      </w:pPr>
    </w:lvl>
    <w:lvl w:ilvl="2" w:tplc="B2FE64DE" w:tentative="1">
      <w:start w:val="1"/>
      <w:numFmt w:val="lowerRoman"/>
      <w:lvlText w:val="%3."/>
      <w:lvlJc w:val="right"/>
      <w:pPr>
        <w:ind w:left="2160" w:hanging="180"/>
      </w:pPr>
    </w:lvl>
    <w:lvl w:ilvl="3" w:tplc="F7AC4782" w:tentative="1">
      <w:start w:val="1"/>
      <w:numFmt w:val="decimal"/>
      <w:lvlText w:val="%4."/>
      <w:lvlJc w:val="left"/>
      <w:pPr>
        <w:ind w:left="2880" w:hanging="360"/>
      </w:pPr>
    </w:lvl>
    <w:lvl w:ilvl="4" w:tplc="B4D85CC2" w:tentative="1">
      <w:start w:val="1"/>
      <w:numFmt w:val="lowerLetter"/>
      <w:lvlText w:val="%5."/>
      <w:lvlJc w:val="left"/>
      <w:pPr>
        <w:ind w:left="3600" w:hanging="360"/>
      </w:pPr>
    </w:lvl>
    <w:lvl w:ilvl="5" w:tplc="1528079A" w:tentative="1">
      <w:start w:val="1"/>
      <w:numFmt w:val="lowerRoman"/>
      <w:lvlText w:val="%6."/>
      <w:lvlJc w:val="right"/>
      <w:pPr>
        <w:ind w:left="4320" w:hanging="180"/>
      </w:pPr>
    </w:lvl>
    <w:lvl w:ilvl="6" w:tplc="E70A2FF6" w:tentative="1">
      <w:start w:val="1"/>
      <w:numFmt w:val="decimal"/>
      <w:lvlText w:val="%7."/>
      <w:lvlJc w:val="left"/>
      <w:pPr>
        <w:ind w:left="5040" w:hanging="360"/>
      </w:pPr>
    </w:lvl>
    <w:lvl w:ilvl="7" w:tplc="5A26CC02" w:tentative="1">
      <w:start w:val="1"/>
      <w:numFmt w:val="lowerLetter"/>
      <w:lvlText w:val="%8."/>
      <w:lvlJc w:val="left"/>
      <w:pPr>
        <w:ind w:left="5760" w:hanging="360"/>
      </w:pPr>
    </w:lvl>
    <w:lvl w:ilvl="8" w:tplc="ED9648CC" w:tentative="1">
      <w:start w:val="1"/>
      <w:numFmt w:val="lowerRoman"/>
      <w:lvlText w:val="%9."/>
      <w:lvlJc w:val="right"/>
      <w:pPr>
        <w:ind w:left="6480" w:hanging="180"/>
      </w:pPr>
    </w:lvl>
  </w:abstractNum>
  <w:abstractNum w:abstractNumId="42" w15:restartNumberingAfterBreak="0">
    <w:nsid w:val="22C465EA"/>
    <w:multiLevelType w:val="hybridMultilevel"/>
    <w:tmpl w:val="FAAE9308"/>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2D03620"/>
    <w:multiLevelType w:val="hybridMultilevel"/>
    <w:tmpl w:val="526ED8B2"/>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62A4624"/>
    <w:multiLevelType w:val="hybridMultilevel"/>
    <w:tmpl w:val="1860619C"/>
    <w:lvl w:ilvl="0" w:tplc="2B68A5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C0D2678"/>
    <w:multiLevelType w:val="hybridMultilevel"/>
    <w:tmpl w:val="27AEBD68"/>
    <w:lvl w:ilvl="0" w:tplc="04D83A64">
      <w:start w:val="1"/>
      <w:numFmt w:val="lowerRoman"/>
      <w:pStyle w:val="Bulle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2D35732E"/>
    <w:multiLevelType w:val="hybridMultilevel"/>
    <w:tmpl w:val="13BA2B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21C1C93"/>
    <w:multiLevelType w:val="singleLevel"/>
    <w:tmpl w:val="F78412E4"/>
    <w:lvl w:ilvl="0">
      <w:start w:val="1"/>
      <w:numFmt w:val="bullet"/>
      <w:pStyle w:val="bullet10"/>
      <w:lvlText w:val=""/>
      <w:lvlJc w:val="left"/>
      <w:pPr>
        <w:tabs>
          <w:tab w:val="num" w:pos="360"/>
        </w:tabs>
        <w:ind w:left="113" w:hanging="113"/>
      </w:pPr>
      <w:rPr>
        <w:rFonts w:ascii="Monotype Sorts" w:hAnsi="Monotype Sorts" w:hint="default"/>
        <w:sz w:val="16"/>
      </w:rPr>
    </w:lvl>
  </w:abstractNum>
  <w:abstractNum w:abstractNumId="48" w15:restartNumberingAfterBreak="0">
    <w:nsid w:val="338C4C17"/>
    <w:multiLevelType w:val="singleLevel"/>
    <w:tmpl w:val="81947000"/>
    <w:lvl w:ilvl="0">
      <w:start w:val="1"/>
      <w:numFmt w:val="bullet"/>
      <w:pStyle w:val="BodyTextIdentBullet"/>
      <w:lvlText w:val=""/>
      <w:lvlJc w:val="left"/>
      <w:pPr>
        <w:tabs>
          <w:tab w:val="num" w:pos="360"/>
        </w:tabs>
        <w:ind w:left="360" w:hanging="360"/>
      </w:pPr>
      <w:rPr>
        <w:rFonts w:ascii="Symbol" w:hAnsi="Symbol" w:hint="default"/>
      </w:rPr>
    </w:lvl>
  </w:abstractNum>
  <w:abstractNum w:abstractNumId="49" w15:restartNumberingAfterBreak="0">
    <w:nsid w:val="342F3552"/>
    <w:multiLevelType w:val="hybridMultilevel"/>
    <w:tmpl w:val="794E2A7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4CE6ECC"/>
    <w:multiLevelType w:val="hybridMultilevel"/>
    <w:tmpl w:val="BE1238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6BE4FE7"/>
    <w:multiLevelType w:val="hybridMultilevel"/>
    <w:tmpl w:val="2B304CB8"/>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7EE652A"/>
    <w:multiLevelType w:val="hybridMultilevel"/>
    <w:tmpl w:val="8E62A762"/>
    <w:lvl w:ilvl="0" w:tplc="B7861C3E">
      <w:start w:val="1"/>
      <w:numFmt w:val="lowerRoman"/>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C677048"/>
    <w:multiLevelType w:val="multilevel"/>
    <w:tmpl w:val="8576715E"/>
    <w:lvl w:ilvl="0">
      <w:start w:val="1"/>
      <w:numFmt w:val="decimal"/>
      <w:pStyle w:val="NumIndentBold"/>
      <w:lvlText w:val="%1"/>
      <w:lvlJc w:val="left"/>
      <w:pPr>
        <w:tabs>
          <w:tab w:val="num" w:pos="510"/>
        </w:tabs>
        <w:ind w:left="510" w:hanging="510"/>
      </w:pPr>
    </w:lvl>
    <w:lvl w:ilvl="1">
      <w:start w:val="1"/>
      <w:numFmt w:val="decimal"/>
      <w:lvlText w:val="%1.%2"/>
      <w:lvlJc w:val="left"/>
      <w:pPr>
        <w:tabs>
          <w:tab w:val="num" w:pos="1021"/>
        </w:tabs>
        <w:ind w:left="1021" w:hanging="511"/>
      </w:pPr>
    </w:lvl>
    <w:lvl w:ilvl="2">
      <w:start w:val="1"/>
      <w:numFmt w:val="decimal"/>
      <w:lvlText w:val="%1.%2.%3"/>
      <w:lvlJc w:val="left"/>
      <w:pPr>
        <w:tabs>
          <w:tab w:val="num" w:pos="1701"/>
        </w:tabs>
        <w:ind w:left="1701" w:hanging="680"/>
      </w:pPr>
    </w:lvl>
    <w:lvl w:ilvl="3">
      <w:start w:val="1"/>
      <w:numFmt w:val="decimal"/>
      <w:lvlText w:val="%1.%2.%3.%4."/>
      <w:lvlJc w:val="left"/>
      <w:pPr>
        <w:tabs>
          <w:tab w:val="num" w:pos="2552"/>
        </w:tabs>
        <w:ind w:left="2552" w:hanging="964"/>
      </w:pPr>
    </w:lvl>
    <w:lvl w:ilvl="4">
      <w:start w:val="1"/>
      <w:numFmt w:val="decimal"/>
      <w:lvlText w:val="%1.%2.%3.%4.%5."/>
      <w:lvlJc w:val="left"/>
      <w:pPr>
        <w:tabs>
          <w:tab w:val="num" w:pos="3969"/>
        </w:tabs>
        <w:ind w:left="3969" w:hanging="1417"/>
      </w:pPr>
    </w:lvl>
    <w:lvl w:ilvl="5">
      <w:start w:val="1"/>
      <w:numFmt w:val="decimal"/>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4" w15:restartNumberingAfterBreak="0">
    <w:nsid w:val="3E032F0C"/>
    <w:multiLevelType w:val="hybridMultilevel"/>
    <w:tmpl w:val="49FC9E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E963F5B"/>
    <w:multiLevelType w:val="hybridMultilevel"/>
    <w:tmpl w:val="989E715A"/>
    <w:lvl w:ilvl="0" w:tplc="8A7AE764">
      <w:start w:val="1"/>
      <w:numFmt w:val="lowerRoman"/>
      <w:lvlText w:val="%1."/>
      <w:lvlJc w:val="left"/>
      <w:pPr>
        <w:tabs>
          <w:tab w:val="num" w:pos="720"/>
        </w:tabs>
        <w:ind w:left="360" w:hanging="360"/>
      </w:pPr>
      <w:rPr>
        <w:rFonts w:hint="default"/>
      </w:rPr>
    </w:lvl>
    <w:lvl w:ilvl="1" w:tplc="0C090017">
      <w:start w:val="1"/>
      <w:numFmt w:val="lowerLetter"/>
      <w:lvlText w:val="%2)"/>
      <w:lvlJc w:val="left"/>
      <w:pPr>
        <w:tabs>
          <w:tab w:val="num" w:pos="1440"/>
        </w:tabs>
        <w:ind w:left="1440" w:hanging="360"/>
      </w:pPr>
      <w:rPr>
        <w:rFonts w:hint="default"/>
      </w:rPr>
    </w:lvl>
    <w:lvl w:ilvl="2" w:tplc="D07818EA" w:tentative="1">
      <w:start w:val="1"/>
      <w:numFmt w:val="lowerRoman"/>
      <w:lvlText w:val="%3."/>
      <w:lvlJc w:val="right"/>
      <w:pPr>
        <w:tabs>
          <w:tab w:val="num" w:pos="2160"/>
        </w:tabs>
        <w:ind w:left="2160" w:hanging="180"/>
      </w:pPr>
    </w:lvl>
    <w:lvl w:ilvl="3" w:tplc="17F4382A" w:tentative="1">
      <w:start w:val="1"/>
      <w:numFmt w:val="decimal"/>
      <w:lvlText w:val="%4."/>
      <w:lvlJc w:val="left"/>
      <w:pPr>
        <w:tabs>
          <w:tab w:val="num" w:pos="2880"/>
        </w:tabs>
        <w:ind w:left="2880" w:hanging="360"/>
      </w:pPr>
    </w:lvl>
    <w:lvl w:ilvl="4" w:tplc="F1C6DECE" w:tentative="1">
      <w:start w:val="1"/>
      <w:numFmt w:val="lowerLetter"/>
      <w:lvlText w:val="%5."/>
      <w:lvlJc w:val="left"/>
      <w:pPr>
        <w:tabs>
          <w:tab w:val="num" w:pos="3600"/>
        </w:tabs>
        <w:ind w:left="3600" w:hanging="360"/>
      </w:pPr>
    </w:lvl>
    <w:lvl w:ilvl="5" w:tplc="06BCD110" w:tentative="1">
      <w:start w:val="1"/>
      <w:numFmt w:val="lowerRoman"/>
      <w:lvlText w:val="%6."/>
      <w:lvlJc w:val="right"/>
      <w:pPr>
        <w:tabs>
          <w:tab w:val="num" w:pos="4320"/>
        </w:tabs>
        <w:ind w:left="4320" w:hanging="180"/>
      </w:pPr>
    </w:lvl>
    <w:lvl w:ilvl="6" w:tplc="1326DD7A" w:tentative="1">
      <w:start w:val="1"/>
      <w:numFmt w:val="decimal"/>
      <w:lvlText w:val="%7."/>
      <w:lvlJc w:val="left"/>
      <w:pPr>
        <w:tabs>
          <w:tab w:val="num" w:pos="5040"/>
        </w:tabs>
        <w:ind w:left="5040" w:hanging="360"/>
      </w:pPr>
    </w:lvl>
    <w:lvl w:ilvl="7" w:tplc="0C626E36" w:tentative="1">
      <w:start w:val="1"/>
      <w:numFmt w:val="lowerLetter"/>
      <w:lvlText w:val="%8."/>
      <w:lvlJc w:val="left"/>
      <w:pPr>
        <w:tabs>
          <w:tab w:val="num" w:pos="5760"/>
        </w:tabs>
        <w:ind w:left="5760" w:hanging="360"/>
      </w:pPr>
    </w:lvl>
    <w:lvl w:ilvl="8" w:tplc="AD506B74" w:tentative="1">
      <w:start w:val="1"/>
      <w:numFmt w:val="lowerRoman"/>
      <w:lvlText w:val="%9."/>
      <w:lvlJc w:val="right"/>
      <w:pPr>
        <w:tabs>
          <w:tab w:val="num" w:pos="6480"/>
        </w:tabs>
        <w:ind w:left="6480" w:hanging="180"/>
      </w:pPr>
    </w:lvl>
  </w:abstractNum>
  <w:abstractNum w:abstractNumId="56" w15:restartNumberingAfterBreak="0">
    <w:nsid w:val="3FAC5B14"/>
    <w:multiLevelType w:val="hybridMultilevel"/>
    <w:tmpl w:val="90EC2FFC"/>
    <w:lvl w:ilvl="0" w:tplc="DFC06714">
      <w:start w:val="1"/>
      <w:numFmt w:val="lowerRoman"/>
      <w:lvlText w:val="%1."/>
      <w:lvlJc w:val="left"/>
      <w:pPr>
        <w:ind w:left="720" w:hanging="360"/>
      </w:pPr>
    </w:lvl>
    <w:lvl w:ilvl="1" w:tplc="E162E784" w:tentative="1">
      <w:start w:val="1"/>
      <w:numFmt w:val="lowerLetter"/>
      <w:lvlText w:val="%2."/>
      <w:lvlJc w:val="left"/>
      <w:pPr>
        <w:ind w:left="1440" w:hanging="360"/>
      </w:pPr>
    </w:lvl>
    <w:lvl w:ilvl="2" w:tplc="3C0CF8F6" w:tentative="1">
      <w:start w:val="1"/>
      <w:numFmt w:val="lowerRoman"/>
      <w:lvlText w:val="%3."/>
      <w:lvlJc w:val="right"/>
      <w:pPr>
        <w:ind w:left="2160" w:hanging="180"/>
      </w:pPr>
    </w:lvl>
    <w:lvl w:ilvl="3" w:tplc="BDE69C06" w:tentative="1">
      <w:start w:val="1"/>
      <w:numFmt w:val="decimal"/>
      <w:lvlText w:val="%4."/>
      <w:lvlJc w:val="left"/>
      <w:pPr>
        <w:ind w:left="2880" w:hanging="360"/>
      </w:pPr>
    </w:lvl>
    <w:lvl w:ilvl="4" w:tplc="2FAC4356" w:tentative="1">
      <w:start w:val="1"/>
      <w:numFmt w:val="lowerLetter"/>
      <w:lvlText w:val="%5."/>
      <w:lvlJc w:val="left"/>
      <w:pPr>
        <w:ind w:left="3600" w:hanging="360"/>
      </w:pPr>
    </w:lvl>
    <w:lvl w:ilvl="5" w:tplc="AA0070C2" w:tentative="1">
      <w:start w:val="1"/>
      <w:numFmt w:val="lowerRoman"/>
      <w:lvlText w:val="%6."/>
      <w:lvlJc w:val="right"/>
      <w:pPr>
        <w:ind w:left="4320" w:hanging="180"/>
      </w:pPr>
    </w:lvl>
    <w:lvl w:ilvl="6" w:tplc="3FC84A7A" w:tentative="1">
      <w:start w:val="1"/>
      <w:numFmt w:val="decimal"/>
      <w:lvlText w:val="%7."/>
      <w:lvlJc w:val="left"/>
      <w:pPr>
        <w:ind w:left="5040" w:hanging="360"/>
      </w:pPr>
    </w:lvl>
    <w:lvl w:ilvl="7" w:tplc="BF96865C" w:tentative="1">
      <w:start w:val="1"/>
      <w:numFmt w:val="lowerLetter"/>
      <w:lvlText w:val="%8."/>
      <w:lvlJc w:val="left"/>
      <w:pPr>
        <w:ind w:left="5760" w:hanging="360"/>
      </w:pPr>
    </w:lvl>
    <w:lvl w:ilvl="8" w:tplc="FE9E963A" w:tentative="1">
      <w:start w:val="1"/>
      <w:numFmt w:val="lowerRoman"/>
      <w:lvlText w:val="%9."/>
      <w:lvlJc w:val="right"/>
      <w:pPr>
        <w:ind w:left="6480" w:hanging="180"/>
      </w:pPr>
    </w:lvl>
  </w:abstractNum>
  <w:abstractNum w:abstractNumId="57" w15:restartNumberingAfterBreak="0">
    <w:nsid w:val="444540AB"/>
    <w:multiLevelType w:val="hybridMultilevel"/>
    <w:tmpl w:val="5C1E4612"/>
    <w:lvl w:ilvl="0" w:tplc="4CE2CAF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5DB1617"/>
    <w:multiLevelType w:val="hybridMultilevel"/>
    <w:tmpl w:val="6F22FC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467E05F8"/>
    <w:multiLevelType w:val="hybridMultilevel"/>
    <w:tmpl w:val="5CF21244"/>
    <w:lvl w:ilvl="0" w:tplc="9E06B9BE">
      <w:start w:val="1"/>
      <w:numFmt w:val="lowerLetter"/>
      <w:lvlText w:val="%1)"/>
      <w:lvlJc w:val="left"/>
      <w:pPr>
        <w:ind w:left="720" w:hanging="360"/>
      </w:pPr>
      <w:rPr>
        <w:rFonts w:hint="default"/>
      </w:rPr>
    </w:lvl>
    <w:lvl w:ilvl="1" w:tplc="1D06C170" w:tentative="1">
      <w:start w:val="1"/>
      <w:numFmt w:val="lowerLetter"/>
      <w:lvlText w:val="%2."/>
      <w:lvlJc w:val="left"/>
      <w:pPr>
        <w:ind w:left="1440" w:hanging="360"/>
      </w:pPr>
    </w:lvl>
    <w:lvl w:ilvl="2" w:tplc="931E6DCE" w:tentative="1">
      <w:start w:val="1"/>
      <w:numFmt w:val="lowerRoman"/>
      <w:lvlText w:val="%3."/>
      <w:lvlJc w:val="right"/>
      <w:pPr>
        <w:ind w:left="2160" w:hanging="180"/>
      </w:pPr>
    </w:lvl>
    <w:lvl w:ilvl="3" w:tplc="E1586AC2" w:tentative="1">
      <w:start w:val="1"/>
      <w:numFmt w:val="decimal"/>
      <w:lvlText w:val="%4."/>
      <w:lvlJc w:val="left"/>
      <w:pPr>
        <w:ind w:left="2880" w:hanging="360"/>
      </w:pPr>
    </w:lvl>
    <w:lvl w:ilvl="4" w:tplc="ED2C453A" w:tentative="1">
      <w:start w:val="1"/>
      <w:numFmt w:val="lowerLetter"/>
      <w:lvlText w:val="%5."/>
      <w:lvlJc w:val="left"/>
      <w:pPr>
        <w:ind w:left="3600" w:hanging="360"/>
      </w:pPr>
    </w:lvl>
    <w:lvl w:ilvl="5" w:tplc="349CAB82" w:tentative="1">
      <w:start w:val="1"/>
      <w:numFmt w:val="lowerRoman"/>
      <w:lvlText w:val="%6."/>
      <w:lvlJc w:val="right"/>
      <w:pPr>
        <w:ind w:left="4320" w:hanging="180"/>
      </w:pPr>
    </w:lvl>
    <w:lvl w:ilvl="6" w:tplc="0750F718" w:tentative="1">
      <w:start w:val="1"/>
      <w:numFmt w:val="decimal"/>
      <w:lvlText w:val="%7."/>
      <w:lvlJc w:val="left"/>
      <w:pPr>
        <w:ind w:left="5040" w:hanging="360"/>
      </w:pPr>
    </w:lvl>
    <w:lvl w:ilvl="7" w:tplc="D89C7938" w:tentative="1">
      <w:start w:val="1"/>
      <w:numFmt w:val="lowerLetter"/>
      <w:lvlText w:val="%8."/>
      <w:lvlJc w:val="left"/>
      <w:pPr>
        <w:ind w:left="5760" w:hanging="360"/>
      </w:pPr>
    </w:lvl>
    <w:lvl w:ilvl="8" w:tplc="BA1437FA" w:tentative="1">
      <w:start w:val="1"/>
      <w:numFmt w:val="lowerRoman"/>
      <w:lvlText w:val="%9."/>
      <w:lvlJc w:val="right"/>
      <w:pPr>
        <w:ind w:left="6480" w:hanging="180"/>
      </w:pPr>
    </w:lvl>
  </w:abstractNum>
  <w:abstractNum w:abstractNumId="60" w15:restartNumberingAfterBreak="0">
    <w:nsid w:val="46C250D6"/>
    <w:multiLevelType w:val="hybridMultilevel"/>
    <w:tmpl w:val="ACAA6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8120F4F"/>
    <w:multiLevelType w:val="hybridMultilevel"/>
    <w:tmpl w:val="ED94DAB0"/>
    <w:lvl w:ilvl="0" w:tplc="C2CEE2B8">
      <w:start w:val="1"/>
      <w:numFmt w:val="lowerRoman"/>
      <w:lvlText w:val="%1."/>
      <w:lvlJc w:val="left"/>
      <w:pPr>
        <w:tabs>
          <w:tab w:val="num" w:pos="720"/>
        </w:tabs>
        <w:ind w:left="360" w:hanging="360"/>
      </w:pPr>
      <w:rPr>
        <w:rFonts w:ascii="Arial" w:hAnsi="Arial" w:hint="default"/>
      </w:rPr>
    </w:lvl>
    <w:lvl w:ilvl="1" w:tplc="5DE6C006">
      <w:start w:val="1"/>
      <w:numFmt w:val="lowerLetter"/>
      <w:lvlText w:val="%2)"/>
      <w:lvlJc w:val="left"/>
      <w:pPr>
        <w:tabs>
          <w:tab w:val="num" w:pos="1440"/>
        </w:tabs>
        <w:ind w:left="1440" w:hanging="360"/>
      </w:pPr>
      <w:rPr>
        <w:rFonts w:hint="default"/>
      </w:rPr>
    </w:lvl>
    <w:lvl w:ilvl="2" w:tplc="F8E62ABA" w:tentative="1">
      <w:start w:val="1"/>
      <w:numFmt w:val="lowerRoman"/>
      <w:lvlText w:val="%3."/>
      <w:lvlJc w:val="right"/>
      <w:pPr>
        <w:tabs>
          <w:tab w:val="num" w:pos="2160"/>
        </w:tabs>
        <w:ind w:left="2160" w:hanging="180"/>
      </w:pPr>
    </w:lvl>
    <w:lvl w:ilvl="3" w:tplc="A288E2DC" w:tentative="1">
      <w:start w:val="1"/>
      <w:numFmt w:val="decimal"/>
      <w:lvlText w:val="%4."/>
      <w:lvlJc w:val="left"/>
      <w:pPr>
        <w:tabs>
          <w:tab w:val="num" w:pos="2880"/>
        </w:tabs>
        <w:ind w:left="2880" w:hanging="360"/>
      </w:pPr>
    </w:lvl>
    <w:lvl w:ilvl="4" w:tplc="D416C8E8" w:tentative="1">
      <w:start w:val="1"/>
      <w:numFmt w:val="lowerLetter"/>
      <w:lvlText w:val="%5."/>
      <w:lvlJc w:val="left"/>
      <w:pPr>
        <w:tabs>
          <w:tab w:val="num" w:pos="3600"/>
        </w:tabs>
        <w:ind w:left="3600" w:hanging="360"/>
      </w:pPr>
    </w:lvl>
    <w:lvl w:ilvl="5" w:tplc="12DAAE1A" w:tentative="1">
      <w:start w:val="1"/>
      <w:numFmt w:val="lowerRoman"/>
      <w:lvlText w:val="%6."/>
      <w:lvlJc w:val="right"/>
      <w:pPr>
        <w:tabs>
          <w:tab w:val="num" w:pos="4320"/>
        </w:tabs>
        <w:ind w:left="4320" w:hanging="180"/>
      </w:pPr>
    </w:lvl>
    <w:lvl w:ilvl="6" w:tplc="8F6830D4" w:tentative="1">
      <w:start w:val="1"/>
      <w:numFmt w:val="decimal"/>
      <w:lvlText w:val="%7."/>
      <w:lvlJc w:val="left"/>
      <w:pPr>
        <w:tabs>
          <w:tab w:val="num" w:pos="5040"/>
        </w:tabs>
        <w:ind w:left="5040" w:hanging="360"/>
      </w:pPr>
    </w:lvl>
    <w:lvl w:ilvl="7" w:tplc="90FC9F82" w:tentative="1">
      <w:start w:val="1"/>
      <w:numFmt w:val="lowerLetter"/>
      <w:lvlText w:val="%8."/>
      <w:lvlJc w:val="left"/>
      <w:pPr>
        <w:tabs>
          <w:tab w:val="num" w:pos="5760"/>
        </w:tabs>
        <w:ind w:left="5760" w:hanging="360"/>
      </w:pPr>
    </w:lvl>
    <w:lvl w:ilvl="8" w:tplc="E0442668" w:tentative="1">
      <w:start w:val="1"/>
      <w:numFmt w:val="lowerRoman"/>
      <w:lvlText w:val="%9."/>
      <w:lvlJc w:val="right"/>
      <w:pPr>
        <w:tabs>
          <w:tab w:val="num" w:pos="6480"/>
        </w:tabs>
        <w:ind w:left="6480" w:hanging="180"/>
      </w:pPr>
    </w:lvl>
  </w:abstractNum>
  <w:abstractNum w:abstractNumId="62" w15:restartNumberingAfterBreak="0">
    <w:nsid w:val="48593CDB"/>
    <w:multiLevelType w:val="hybridMultilevel"/>
    <w:tmpl w:val="E0F483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9B903F3"/>
    <w:multiLevelType w:val="hybridMultilevel"/>
    <w:tmpl w:val="48DA4A2C"/>
    <w:lvl w:ilvl="0" w:tplc="718C8612">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A4B5F8C"/>
    <w:multiLevelType w:val="hybridMultilevel"/>
    <w:tmpl w:val="0C9AC456"/>
    <w:lvl w:ilvl="0" w:tplc="FA80A10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4A81765D"/>
    <w:multiLevelType w:val="hybridMultilevel"/>
    <w:tmpl w:val="22BCDB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B4D1377"/>
    <w:multiLevelType w:val="hybridMultilevel"/>
    <w:tmpl w:val="D610CD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B6C2511"/>
    <w:multiLevelType w:val="hybridMultilevel"/>
    <w:tmpl w:val="78F6E166"/>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4BA70E54"/>
    <w:multiLevelType w:val="hybridMultilevel"/>
    <w:tmpl w:val="9AB0F204"/>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4C1E64DF"/>
    <w:multiLevelType w:val="hybridMultilevel"/>
    <w:tmpl w:val="22AEEDBA"/>
    <w:lvl w:ilvl="0" w:tplc="7BBA009E">
      <w:start w:val="1"/>
      <w:numFmt w:val="lowerRoman"/>
      <w:lvlText w:val="%1."/>
      <w:lvlJc w:val="left"/>
      <w:pPr>
        <w:ind w:left="1494" w:hanging="360"/>
      </w:pPr>
      <w:rPr>
        <w:rFonts w:hint="default"/>
      </w:rPr>
    </w:lvl>
    <w:lvl w:ilvl="1" w:tplc="2C36A318" w:tentative="1">
      <w:start w:val="1"/>
      <w:numFmt w:val="lowerLetter"/>
      <w:lvlText w:val="%2."/>
      <w:lvlJc w:val="left"/>
      <w:pPr>
        <w:ind w:left="2574" w:hanging="360"/>
      </w:pPr>
    </w:lvl>
    <w:lvl w:ilvl="2" w:tplc="5D306F3A" w:tentative="1">
      <w:start w:val="1"/>
      <w:numFmt w:val="lowerRoman"/>
      <w:lvlText w:val="%3."/>
      <w:lvlJc w:val="right"/>
      <w:pPr>
        <w:ind w:left="3294" w:hanging="180"/>
      </w:pPr>
    </w:lvl>
    <w:lvl w:ilvl="3" w:tplc="77CC4D40" w:tentative="1">
      <w:start w:val="1"/>
      <w:numFmt w:val="decimal"/>
      <w:lvlText w:val="%4."/>
      <w:lvlJc w:val="left"/>
      <w:pPr>
        <w:ind w:left="4014" w:hanging="360"/>
      </w:pPr>
    </w:lvl>
    <w:lvl w:ilvl="4" w:tplc="F0406022" w:tentative="1">
      <w:start w:val="1"/>
      <w:numFmt w:val="lowerLetter"/>
      <w:lvlText w:val="%5."/>
      <w:lvlJc w:val="left"/>
      <w:pPr>
        <w:ind w:left="4734" w:hanging="360"/>
      </w:pPr>
    </w:lvl>
    <w:lvl w:ilvl="5" w:tplc="71CAE784" w:tentative="1">
      <w:start w:val="1"/>
      <w:numFmt w:val="lowerRoman"/>
      <w:lvlText w:val="%6."/>
      <w:lvlJc w:val="right"/>
      <w:pPr>
        <w:ind w:left="5454" w:hanging="180"/>
      </w:pPr>
    </w:lvl>
    <w:lvl w:ilvl="6" w:tplc="6570F756" w:tentative="1">
      <w:start w:val="1"/>
      <w:numFmt w:val="decimal"/>
      <w:lvlText w:val="%7."/>
      <w:lvlJc w:val="left"/>
      <w:pPr>
        <w:ind w:left="6174" w:hanging="360"/>
      </w:pPr>
    </w:lvl>
    <w:lvl w:ilvl="7" w:tplc="55645066" w:tentative="1">
      <w:start w:val="1"/>
      <w:numFmt w:val="lowerLetter"/>
      <w:lvlText w:val="%8."/>
      <w:lvlJc w:val="left"/>
      <w:pPr>
        <w:ind w:left="6894" w:hanging="360"/>
      </w:pPr>
    </w:lvl>
    <w:lvl w:ilvl="8" w:tplc="BF26B3AC" w:tentative="1">
      <w:start w:val="1"/>
      <w:numFmt w:val="lowerRoman"/>
      <w:lvlText w:val="%9."/>
      <w:lvlJc w:val="right"/>
      <w:pPr>
        <w:ind w:left="7614" w:hanging="180"/>
      </w:pPr>
    </w:lvl>
  </w:abstractNum>
  <w:abstractNum w:abstractNumId="70" w15:restartNumberingAfterBreak="0">
    <w:nsid w:val="4DB13F93"/>
    <w:multiLevelType w:val="hybridMultilevel"/>
    <w:tmpl w:val="479A4414"/>
    <w:lvl w:ilvl="0" w:tplc="4CE2CAF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ED33C42"/>
    <w:multiLevelType w:val="hybridMultilevel"/>
    <w:tmpl w:val="03C84AE4"/>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4FDC5F1F"/>
    <w:multiLevelType w:val="hybridMultilevel"/>
    <w:tmpl w:val="C582AB12"/>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4FF955E9"/>
    <w:multiLevelType w:val="hybridMultilevel"/>
    <w:tmpl w:val="2856C9A4"/>
    <w:lvl w:ilvl="0" w:tplc="0C090017">
      <w:start w:val="1"/>
      <w:numFmt w:val="lowerLetter"/>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74" w15:restartNumberingAfterBreak="0">
    <w:nsid w:val="504077E8"/>
    <w:multiLevelType w:val="hybridMultilevel"/>
    <w:tmpl w:val="946A32EC"/>
    <w:lvl w:ilvl="0" w:tplc="CF78E4B6">
      <w:start w:val="1"/>
      <w:numFmt w:val="lowerLetter"/>
      <w:pStyle w:val="Bullet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0CC63E9"/>
    <w:multiLevelType w:val="hybridMultilevel"/>
    <w:tmpl w:val="3AAC49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43237EB"/>
    <w:multiLevelType w:val="hybridMultilevel"/>
    <w:tmpl w:val="C31ED32C"/>
    <w:lvl w:ilvl="0" w:tplc="E0524E9C">
      <w:start w:val="1"/>
      <w:numFmt w:val="bullet"/>
      <w:lvlText w:val="▮"/>
      <w:lvlJc w:val="left"/>
      <w:pPr>
        <w:ind w:left="1440" w:hanging="360"/>
      </w:pPr>
      <w:rPr>
        <w:rFonts w:ascii="MS Reference Sans Serif" w:hAnsi="MS Reference Sans Serif"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7" w15:restartNumberingAfterBreak="0">
    <w:nsid w:val="548A76F3"/>
    <w:multiLevelType w:val="hybridMultilevel"/>
    <w:tmpl w:val="1BDE94DA"/>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51A10FE"/>
    <w:multiLevelType w:val="hybridMultilevel"/>
    <w:tmpl w:val="49D2927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7953BE6"/>
    <w:multiLevelType w:val="hybridMultilevel"/>
    <w:tmpl w:val="72440262"/>
    <w:lvl w:ilvl="0" w:tplc="4CE2CAFA">
      <w:start w:val="1"/>
      <w:numFmt w:val="lowerRoman"/>
      <w:lvlText w:val="%1."/>
      <w:lvlJc w:val="left"/>
      <w:pPr>
        <w:tabs>
          <w:tab w:val="num" w:pos="720"/>
        </w:tabs>
        <w:ind w:left="360" w:hanging="360"/>
      </w:pPr>
      <w:rPr>
        <w:rFonts w:hint="default"/>
      </w:rPr>
    </w:lvl>
    <w:lvl w:ilvl="1" w:tplc="712C03D0" w:tentative="1">
      <w:start w:val="1"/>
      <w:numFmt w:val="lowerLetter"/>
      <w:lvlText w:val="%2."/>
      <w:lvlJc w:val="left"/>
      <w:pPr>
        <w:tabs>
          <w:tab w:val="num" w:pos="1440"/>
        </w:tabs>
        <w:ind w:left="1440" w:hanging="360"/>
      </w:pPr>
    </w:lvl>
    <w:lvl w:ilvl="2" w:tplc="C2BE7C30" w:tentative="1">
      <w:start w:val="1"/>
      <w:numFmt w:val="lowerRoman"/>
      <w:lvlText w:val="%3."/>
      <w:lvlJc w:val="right"/>
      <w:pPr>
        <w:tabs>
          <w:tab w:val="num" w:pos="2160"/>
        </w:tabs>
        <w:ind w:left="2160" w:hanging="180"/>
      </w:pPr>
    </w:lvl>
    <w:lvl w:ilvl="3" w:tplc="D206C9A0" w:tentative="1">
      <w:start w:val="1"/>
      <w:numFmt w:val="decimal"/>
      <w:lvlText w:val="%4."/>
      <w:lvlJc w:val="left"/>
      <w:pPr>
        <w:tabs>
          <w:tab w:val="num" w:pos="2880"/>
        </w:tabs>
        <w:ind w:left="2880" w:hanging="360"/>
      </w:pPr>
    </w:lvl>
    <w:lvl w:ilvl="4" w:tplc="7D64CA12" w:tentative="1">
      <w:start w:val="1"/>
      <w:numFmt w:val="lowerLetter"/>
      <w:lvlText w:val="%5."/>
      <w:lvlJc w:val="left"/>
      <w:pPr>
        <w:tabs>
          <w:tab w:val="num" w:pos="3600"/>
        </w:tabs>
        <w:ind w:left="3600" w:hanging="360"/>
      </w:pPr>
    </w:lvl>
    <w:lvl w:ilvl="5" w:tplc="9ACCF32C" w:tentative="1">
      <w:start w:val="1"/>
      <w:numFmt w:val="lowerRoman"/>
      <w:lvlText w:val="%6."/>
      <w:lvlJc w:val="right"/>
      <w:pPr>
        <w:tabs>
          <w:tab w:val="num" w:pos="4320"/>
        </w:tabs>
        <w:ind w:left="4320" w:hanging="180"/>
      </w:pPr>
    </w:lvl>
    <w:lvl w:ilvl="6" w:tplc="A480479A" w:tentative="1">
      <w:start w:val="1"/>
      <w:numFmt w:val="decimal"/>
      <w:lvlText w:val="%7."/>
      <w:lvlJc w:val="left"/>
      <w:pPr>
        <w:tabs>
          <w:tab w:val="num" w:pos="5040"/>
        </w:tabs>
        <w:ind w:left="5040" w:hanging="360"/>
      </w:pPr>
    </w:lvl>
    <w:lvl w:ilvl="7" w:tplc="4DD0867C" w:tentative="1">
      <w:start w:val="1"/>
      <w:numFmt w:val="lowerLetter"/>
      <w:lvlText w:val="%8."/>
      <w:lvlJc w:val="left"/>
      <w:pPr>
        <w:tabs>
          <w:tab w:val="num" w:pos="5760"/>
        </w:tabs>
        <w:ind w:left="5760" w:hanging="360"/>
      </w:pPr>
    </w:lvl>
    <w:lvl w:ilvl="8" w:tplc="AC8C279E" w:tentative="1">
      <w:start w:val="1"/>
      <w:numFmt w:val="lowerRoman"/>
      <w:lvlText w:val="%9."/>
      <w:lvlJc w:val="right"/>
      <w:pPr>
        <w:tabs>
          <w:tab w:val="num" w:pos="6480"/>
        </w:tabs>
        <w:ind w:left="6480" w:hanging="180"/>
      </w:pPr>
    </w:lvl>
  </w:abstractNum>
  <w:abstractNum w:abstractNumId="80" w15:restartNumberingAfterBreak="0">
    <w:nsid w:val="586D0820"/>
    <w:multiLevelType w:val="hybridMultilevel"/>
    <w:tmpl w:val="E3802F30"/>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586E3BC2"/>
    <w:multiLevelType w:val="hybridMultilevel"/>
    <w:tmpl w:val="7464C00A"/>
    <w:lvl w:ilvl="0" w:tplc="621AFB2A">
      <w:start w:val="1"/>
      <w:numFmt w:val="lowerRoman"/>
      <w:lvlText w:val="%1."/>
      <w:lvlJc w:val="left"/>
      <w:pPr>
        <w:ind w:left="720" w:hanging="360"/>
      </w:pPr>
    </w:lvl>
    <w:lvl w:ilvl="1" w:tplc="351E427C" w:tentative="1">
      <w:start w:val="1"/>
      <w:numFmt w:val="lowerLetter"/>
      <w:lvlText w:val="%2."/>
      <w:lvlJc w:val="left"/>
      <w:pPr>
        <w:ind w:left="1440" w:hanging="360"/>
      </w:pPr>
    </w:lvl>
    <w:lvl w:ilvl="2" w:tplc="E60AD3DC" w:tentative="1">
      <w:start w:val="1"/>
      <w:numFmt w:val="lowerRoman"/>
      <w:lvlText w:val="%3."/>
      <w:lvlJc w:val="right"/>
      <w:pPr>
        <w:ind w:left="2160" w:hanging="180"/>
      </w:pPr>
    </w:lvl>
    <w:lvl w:ilvl="3" w:tplc="25FCAE2C" w:tentative="1">
      <w:start w:val="1"/>
      <w:numFmt w:val="decimal"/>
      <w:lvlText w:val="%4."/>
      <w:lvlJc w:val="left"/>
      <w:pPr>
        <w:ind w:left="2880" w:hanging="360"/>
      </w:pPr>
    </w:lvl>
    <w:lvl w:ilvl="4" w:tplc="6BFC1BA0" w:tentative="1">
      <w:start w:val="1"/>
      <w:numFmt w:val="lowerLetter"/>
      <w:lvlText w:val="%5."/>
      <w:lvlJc w:val="left"/>
      <w:pPr>
        <w:ind w:left="3600" w:hanging="360"/>
      </w:pPr>
    </w:lvl>
    <w:lvl w:ilvl="5" w:tplc="2CD430F8" w:tentative="1">
      <w:start w:val="1"/>
      <w:numFmt w:val="lowerRoman"/>
      <w:lvlText w:val="%6."/>
      <w:lvlJc w:val="right"/>
      <w:pPr>
        <w:ind w:left="4320" w:hanging="180"/>
      </w:pPr>
    </w:lvl>
    <w:lvl w:ilvl="6" w:tplc="174AEC80" w:tentative="1">
      <w:start w:val="1"/>
      <w:numFmt w:val="decimal"/>
      <w:lvlText w:val="%7."/>
      <w:lvlJc w:val="left"/>
      <w:pPr>
        <w:ind w:left="5040" w:hanging="360"/>
      </w:pPr>
    </w:lvl>
    <w:lvl w:ilvl="7" w:tplc="94C23E20" w:tentative="1">
      <w:start w:val="1"/>
      <w:numFmt w:val="lowerLetter"/>
      <w:lvlText w:val="%8."/>
      <w:lvlJc w:val="left"/>
      <w:pPr>
        <w:ind w:left="5760" w:hanging="360"/>
      </w:pPr>
    </w:lvl>
    <w:lvl w:ilvl="8" w:tplc="DFF445B2" w:tentative="1">
      <w:start w:val="1"/>
      <w:numFmt w:val="lowerRoman"/>
      <w:lvlText w:val="%9."/>
      <w:lvlJc w:val="right"/>
      <w:pPr>
        <w:ind w:left="6480" w:hanging="180"/>
      </w:pPr>
    </w:lvl>
  </w:abstractNum>
  <w:abstractNum w:abstractNumId="82" w15:restartNumberingAfterBreak="0">
    <w:nsid w:val="5955482F"/>
    <w:multiLevelType w:val="multilevel"/>
    <w:tmpl w:val="313AF308"/>
    <w:lvl w:ilvl="0">
      <w:start w:val="1"/>
      <w:numFmt w:val="decimal"/>
      <w:pStyle w:val="Style1"/>
      <w:lvlText w:val="%1."/>
      <w:lvlJc w:val="left"/>
      <w:pPr>
        <w:tabs>
          <w:tab w:val="num" w:pos="709"/>
        </w:tabs>
        <w:ind w:left="709" w:hanging="709"/>
      </w:pPr>
    </w:lvl>
    <w:lvl w:ilvl="1">
      <w:start w:val="1"/>
      <w:numFmt w:val="decimal"/>
      <w:isLgl/>
      <w:lvlText w:val="%1.%2"/>
      <w:lvlJc w:val="left"/>
      <w:pPr>
        <w:tabs>
          <w:tab w:val="num" w:pos="1444"/>
        </w:tabs>
        <w:ind w:left="1444" w:hanging="735"/>
      </w:pPr>
      <w:rPr>
        <w:rFonts w:hint="default"/>
      </w:rPr>
    </w:lvl>
    <w:lvl w:ilvl="2">
      <w:start w:val="1"/>
      <w:numFmt w:val="decimal"/>
      <w:isLgl/>
      <w:lvlText w:val="%1.%2.%3"/>
      <w:lvlJc w:val="left"/>
      <w:pPr>
        <w:tabs>
          <w:tab w:val="num" w:pos="2153"/>
        </w:tabs>
        <w:ind w:left="2153" w:hanging="735"/>
      </w:pPr>
      <w:rPr>
        <w:rFonts w:hint="default"/>
      </w:rPr>
    </w:lvl>
    <w:lvl w:ilvl="3">
      <w:start w:val="1"/>
      <w:numFmt w:val="decimal"/>
      <w:isLgl/>
      <w:lvlText w:val="%1.%2.%3.%4"/>
      <w:lvlJc w:val="left"/>
      <w:pPr>
        <w:tabs>
          <w:tab w:val="num" w:pos="2862"/>
        </w:tabs>
        <w:ind w:left="2862" w:hanging="735"/>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625"/>
        </w:tabs>
        <w:ind w:left="4625" w:hanging="108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403"/>
        </w:tabs>
        <w:ind w:left="6403" w:hanging="1440"/>
      </w:pPr>
      <w:rPr>
        <w:rFonts w:hint="default"/>
      </w:rPr>
    </w:lvl>
    <w:lvl w:ilvl="8">
      <w:start w:val="1"/>
      <w:numFmt w:val="decimal"/>
      <w:isLgl/>
      <w:lvlText w:val="%1.%2.%3.%4.%5.%6.%7.%8.%9"/>
      <w:lvlJc w:val="left"/>
      <w:pPr>
        <w:tabs>
          <w:tab w:val="num" w:pos="7472"/>
        </w:tabs>
        <w:ind w:left="7472" w:hanging="1800"/>
      </w:pPr>
      <w:rPr>
        <w:rFonts w:hint="default"/>
      </w:rPr>
    </w:lvl>
  </w:abstractNum>
  <w:abstractNum w:abstractNumId="83" w15:restartNumberingAfterBreak="0">
    <w:nsid w:val="597A6766"/>
    <w:multiLevelType w:val="hybridMultilevel"/>
    <w:tmpl w:val="03AC22C2"/>
    <w:lvl w:ilvl="0" w:tplc="946C9D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5A5B1DE0"/>
    <w:multiLevelType w:val="hybridMultilevel"/>
    <w:tmpl w:val="AC70E45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5A8735F3"/>
    <w:multiLevelType w:val="hybridMultilevel"/>
    <w:tmpl w:val="CB389C4A"/>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5ED31066"/>
    <w:multiLevelType w:val="hybridMultilevel"/>
    <w:tmpl w:val="91FE266A"/>
    <w:lvl w:ilvl="0" w:tplc="5DE6C006">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5EDA1084"/>
    <w:multiLevelType w:val="hybridMultilevel"/>
    <w:tmpl w:val="BB3C6C1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15E1B6A"/>
    <w:multiLevelType w:val="hybridMultilevel"/>
    <w:tmpl w:val="D8ACF41A"/>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2103CE7"/>
    <w:multiLevelType w:val="hybridMultilevel"/>
    <w:tmpl w:val="749CE246"/>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25E75E8"/>
    <w:multiLevelType w:val="hybridMultilevel"/>
    <w:tmpl w:val="8BD4D390"/>
    <w:lvl w:ilvl="0" w:tplc="27EE4926">
      <w:start w:val="1"/>
      <w:numFmt w:val="bullet"/>
      <w:pStyle w:val="Style2"/>
      <w:lvlText w:val=""/>
      <w:lvlJc w:val="left"/>
      <w:pPr>
        <w:ind w:left="720" w:hanging="360"/>
      </w:pPr>
      <w:rPr>
        <w:rFonts w:ascii="Symbol" w:hAnsi="Symbol" w:hint="default"/>
        <w:color w:val="000000"/>
      </w:rPr>
    </w:lvl>
    <w:lvl w:ilvl="1" w:tplc="B86C9E9A" w:tentative="1">
      <w:start w:val="1"/>
      <w:numFmt w:val="bullet"/>
      <w:lvlText w:val="o"/>
      <w:lvlJc w:val="left"/>
      <w:pPr>
        <w:ind w:left="1440" w:hanging="360"/>
      </w:pPr>
      <w:rPr>
        <w:rFonts w:ascii="Courier New" w:hAnsi="Courier New" w:cs="Courier New" w:hint="default"/>
      </w:rPr>
    </w:lvl>
    <w:lvl w:ilvl="2" w:tplc="1F986D56" w:tentative="1">
      <w:start w:val="1"/>
      <w:numFmt w:val="bullet"/>
      <w:lvlText w:val=""/>
      <w:lvlJc w:val="left"/>
      <w:pPr>
        <w:ind w:left="2160" w:hanging="360"/>
      </w:pPr>
      <w:rPr>
        <w:rFonts w:ascii="Wingdings" w:hAnsi="Wingdings" w:hint="default"/>
      </w:rPr>
    </w:lvl>
    <w:lvl w:ilvl="3" w:tplc="05E45268" w:tentative="1">
      <w:start w:val="1"/>
      <w:numFmt w:val="bullet"/>
      <w:lvlText w:val=""/>
      <w:lvlJc w:val="left"/>
      <w:pPr>
        <w:ind w:left="2880" w:hanging="360"/>
      </w:pPr>
      <w:rPr>
        <w:rFonts w:ascii="Symbol" w:hAnsi="Symbol" w:hint="default"/>
      </w:rPr>
    </w:lvl>
    <w:lvl w:ilvl="4" w:tplc="E95E5C70" w:tentative="1">
      <w:start w:val="1"/>
      <w:numFmt w:val="bullet"/>
      <w:lvlText w:val="o"/>
      <w:lvlJc w:val="left"/>
      <w:pPr>
        <w:ind w:left="3600" w:hanging="360"/>
      </w:pPr>
      <w:rPr>
        <w:rFonts w:ascii="Courier New" w:hAnsi="Courier New" w:cs="Courier New" w:hint="default"/>
      </w:rPr>
    </w:lvl>
    <w:lvl w:ilvl="5" w:tplc="BBC28EB8" w:tentative="1">
      <w:start w:val="1"/>
      <w:numFmt w:val="bullet"/>
      <w:lvlText w:val=""/>
      <w:lvlJc w:val="left"/>
      <w:pPr>
        <w:ind w:left="4320" w:hanging="360"/>
      </w:pPr>
      <w:rPr>
        <w:rFonts w:ascii="Wingdings" w:hAnsi="Wingdings" w:hint="default"/>
      </w:rPr>
    </w:lvl>
    <w:lvl w:ilvl="6" w:tplc="A6D4B222" w:tentative="1">
      <w:start w:val="1"/>
      <w:numFmt w:val="bullet"/>
      <w:lvlText w:val=""/>
      <w:lvlJc w:val="left"/>
      <w:pPr>
        <w:ind w:left="5040" w:hanging="360"/>
      </w:pPr>
      <w:rPr>
        <w:rFonts w:ascii="Symbol" w:hAnsi="Symbol" w:hint="default"/>
      </w:rPr>
    </w:lvl>
    <w:lvl w:ilvl="7" w:tplc="748A4AC6" w:tentative="1">
      <w:start w:val="1"/>
      <w:numFmt w:val="bullet"/>
      <w:lvlText w:val="o"/>
      <w:lvlJc w:val="left"/>
      <w:pPr>
        <w:ind w:left="5760" w:hanging="360"/>
      </w:pPr>
      <w:rPr>
        <w:rFonts w:ascii="Courier New" w:hAnsi="Courier New" w:cs="Courier New" w:hint="default"/>
      </w:rPr>
    </w:lvl>
    <w:lvl w:ilvl="8" w:tplc="1AE66AF4" w:tentative="1">
      <w:start w:val="1"/>
      <w:numFmt w:val="bullet"/>
      <w:lvlText w:val=""/>
      <w:lvlJc w:val="left"/>
      <w:pPr>
        <w:ind w:left="6480" w:hanging="360"/>
      </w:pPr>
      <w:rPr>
        <w:rFonts w:ascii="Wingdings" w:hAnsi="Wingdings" w:hint="default"/>
      </w:rPr>
    </w:lvl>
  </w:abstractNum>
  <w:abstractNum w:abstractNumId="91" w15:restartNumberingAfterBreak="0">
    <w:nsid w:val="62AB16A6"/>
    <w:multiLevelType w:val="hybridMultilevel"/>
    <w:tmpl w:val="1BE220D0"/>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5A65B55"/>
    <w:multiLevelType w:val="hybridMultilevel"/>
    <w:tmpl w:val="4CD29BD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66C573AE"/>
    <w:multiLevelType w:val="hybridMultilevel"/>
    <w:tmpl w:val="4B0C95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66FE70E4"/>
    <w:multiLevelType w:val="hybridMultilevel"/>
    <w:tmpl w:val="75A808C2"/>
    <w:lvl w:ilvl="0" w:tplc="4CE2CAFA">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5" w15:restartNumberingAfterBreak="0">
    <w:nsid w:val="678D4DEA"/>
    <w:multiLevelType w:val="hybridMultilevel"/>
    <w:tmpl w:val="C54EEE08"/>
    <w:lvl w:ilvl="0" w:tplc="E0524E9C">
      <w:start w:val="1"/>
      <w:numFmt w:val="bullet"/>
      <w:lvlText w:val="▮"/>
      <w:lvlJc w:val="left"/>
      <w:pPr>
        <w:ind w:left="1440" w:hanging="360"/>
      </w:pPr>
      <w:rPr>
        <w:rFonts w:ascii="MS Reference Sans Serif" w:hAnsi="MS Reference Sans Serif"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6" w15:restartNumberingAfterBreak="0">
    <w:nsid w:val="69A06232"/>
    <w:multiLevelType w:val="hybridMultilevel"/>
    <w:tmpl w:val="03427B5E"/>
    <w:lvl w:ilvl="0" w:tplc="8BAE3134">
      <w:start w:val="1"/>
      <w:numFmt w:val="bullet"/>
      <w:lvlText w:val="▌"/>
      <w:lvlJc w:val="left"/>
      <w:pPr>
        <w:ind w:left="720" w:hanging="360"/>
      </w:pPr>
      <w:rPr>
        <w:rFonts w:ascii="SimSun" w:eastAsia="SimSun" w:hAnsi="SimSun" w:hint="eastAsia"/>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6A6A4412"/>
    <w:multiLevelType w:val="hybridMultilevel"/>
    <w:tmpl w:val="63AC13B8"/>
    <w:lvl w:ilvl="0" w:tplc="C720D412">
      <w:start w:val="1"/>
      <w:numFmt w:val="decimal"/>
      <w:pStyle w:val="Numbering"/>
      <w:lvlText w:val="%1."/>
      <w:lvlJc w:val="left"/>
      <w:pPr>
        <w:tabs>
          <w:tab w:val="num" w:pos="2771"/>
        </w:tabs>
        <w:ind w:left="2771"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98" w15:restartNumberingAfterBreak="0">
    <w:nsid w:val="6A9E7EA5"/>
    <w:multiLevelType w:val="hybridMultilevel"/>
    <w:tmpl w:val="B8004C84"/>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6B16078E"/>
    <w:multiLevelType w:val="hybridMultilevel"/>
    <w:tmpl w:val="FB06A9B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6B9513AF"/>
    <w:multiLevelType w:val="hybridMultilevel"/>
    <w:tmpl w:val="F514A96C"/>
    <w:lvl w:ilvl="0" w:tplc="DF16F6E6">
      <w:start w:val="1"/>
      <w:numFmt w:val="bullet"/>
      <w:pStyle w:val="Style4"/>
      <w:lvlText w:val=""/>
      <w:lvlJc w:val="left"/>
      <w:pPr>
        <w:ind w:left="720" w:hanging="360"/>
      </w:pPr>
      <w:rPr>
        <w:rFonts w:ascii="Symbol" w:hAnsi="Symbol" w:hint="default"/>
      </w:rPr>
    </w:lvl>
    <w:lvl w:ilvl="1" w:tplc="9D1CD27E" w:tentative="1">
      <w:start w:val="1"/>
      <w:numFmt w:val="bullet"/>
      <w:lvlText w:val="o"/>
      <w:lvlJc w:val="left"/>
      <w:pPr>
        <w:ind w:left="1440" w:hanging="360"/>
      </w:pPr>
      <w:rPr>
        <w:rFonts w:ascii="Courier New" w:hAnsi="Courier New" w:cs="Courier New" w:hint="default"/>
      </w:rPr>
    </w:lvl>
    <w:lvl w:ilvl="2" w:tplc="A2B80BEC" w:tentative="1">
      <w:start w:val="1"/>
      <w:numFmt w:val="bullet"/>
      <w:lvlText w:val=""/>
      <w:lvlJc w:val="left"/>
      <w:pPr>
        <w:ind w:left="2160" w:hanging="360"/>
      </w:pPr>
      <w:rPr>
        <w:rFonts w:ascii="Wingdings" w:hAnsi="Wingdings" w:hint="default"/>
      </w:rPr>
    </w:lvl>
    <w:lvl w:ilvl="3" w:tplc="C2061132" w:tentative="1">
      <w:start w:val="1"/>
      <w:numFmt w:val="bullet"/>
      <w:lvlText w:val=""/>
      <w:lvlJc w:val="left"/>
      <w:pPr>
        <w:ind w:left="2880" w:hanging="360"/>
      </w:pPr>
      <w:rPr>
        <w:rFonts w:ascii="Symbol" w:hAnsi="Symbol" w:hint="default"/>
      </w:rPr>
    </w:lvl>
    <w:lvl w:ilvl="4" w:tplc="17D22080" w:tentative="1">
      <w:start w:val="1"/>
      <w:numFmt w:val="bullet"/>
      <w:lvlText w:val="o"/>
      <w:lvlJc w:val="left"/>
      <w:pPr>
        <w:ind w:left="3600" w:hanging="360"/>
      </w:pPr>
      <w:rPr>
        <w:rFonts w:ascii="Courier New" w:hAnsi="Courier New" w:cs="Courier New" w:hint="default"/>
      </w:rPr>
    </w:lvl>
    <w:lvl w:ilvl="5" w:tplc="586CA8C0" w:tentative="1">
      <w:start w:val="1"/>
      <w:numFmt w:val="bullet"/>
      <w:lvlText w:val=""/>
      <w:lvlJc w:val="left"/>
      <w:pPr>
        <w:ind w:left="4320" w:hanging="360"/>
      </w:pPr>
      <w:rPr>
        <w:rFonts w:ascii="Wingdings" w:hAnsi="Wingdings" w:hint="default"/>
      </w:rPr>
    </w:lvl>
    <w:lvl w:ilvl="6" w:tplc="5748F78E" w:tentative="1">
      <w:start w:val="1"/>
      <w:numFmt w:val="bullet"/>
      <w:lvlText w:val=""/>
      <w:lvlJc w:val="left"/>
      <w:pPr>
        <w:ind w:left="5040" w:hanging="360"/>
      </w:pPr>
      <w:rPr>
        <w:rFonts w:ascii="Symbol" w:hAnsi="Symbol" w:hint="default"/>
      </w:rPr>
    </w:lvl>
    <w:lvl w:ilvl="7" w:tplc="BF84A7B8" w:tentative="1">
      <w:start w:val="1"/>
      <w:numFmt w:val="bullet"/>
      <w:lvlText w:val="o"/>
      <w:lvlJc w:val="left"/>
      <w:pPr>
        <w:ind w:left="5760" w:hanging="360"/>
      </w:pPr>
      <w:rPr>
        <w:rFonts w:ascii="Courier New" w:hAnsi="Courier New" w:cs="Courier New" w:hint="default"/>
      </w:rPr>
    </w:lvl>
    <w:lvl w:ilvl="8" w:tplc="A76C4FCA" w:tentative="1">
      <w:start w:val="1"/>
      <w:numFmt w:val="bullet"/>
      <w:lvlText w:val=""/>
      <w:lvlJc w:val="left"/>
      <w:pPr>
        <w:ind w:left="6480" w:hanging="360"/>
      </w:pPr>
      <w:rPr>
        <w:rFonts w:ascii="Wingdings" w:hAnsi="Wingdings" w:hint="default"/>
      </w:rPr>
    </w:lvl>
  </w:abstractNum>
  <w:abstractNum w:abstractNumId="101" w15:restartNumberingAfterBreak="0">
    <w:nsid w:val="6D9949AD"/>
    <w:multiLevelType w:val="hybridMultilevel"/>
    <w:tmpl w:val="8592BF48"/>
    <w:lvl w:ilvl="0" w:tplc="718C8612">
      <w:start w:val="1"/>
      <w:numFmt w:val="lowerRoman"/>
      <w:lvlText w:val="%1."/>
      <w:lvlJc w:val="left"/>
      <w:pPr>
        <w:tabs>
          <w:tab w:val="num" w:pos="720"/>
        </w:tabs>
        <w:ind w:left="360" w:hanging="360"/>
      </w:pPr>
      <w:rPr>
        <w:rFonts w:hint="default"/>
      </w:rPr>
    </w:lvl>
    <w:lvl w:ilvl="1" w:tplc="DA8CEC12">
      <w:start w:val="1"/>
      <w:numFmt w:val="lowerLetter"/>
      <w:lvlText w:val="%2)"/>
      <w:lvlJc w:val="left"/>
      <w:pPr>
        <w:tabs>
          <w:tab w:val="num" w:pos="1440"/>
        </w:tabs>
        <w:ind w:left="1440" w:hanging="360"/>
      </w:pPr>
      <w:rPr>
        <w:rFonts w:ascii="Arial" w:hAnsi="Aria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2" w15:restartNumberingAfterBreak="0">
    <w:nsid w:val="6E6F63FC"/>
    <w:multiLevelType w:val="hybridMultilevel"/>
    <w:tmpl w:val="E7CC06CA"/>
    <w:lvl w:ilvl="0" w:tplc="22766716">
      <w:start w:val="1"/>
      <w:numFmt w:val="lowerLetter"/>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03" w15:restartNumberingAfterBreak="0">
    <w:nsid w:val="6ED418FF"/>
    <w:multiLevelType w:val="hybridMultilevel"/>
    <w:tmpl w:val="535087EA"/>
    <w:lvl w:ilvl="0" w:tplc="726867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6F710A31"/>
    <w:multiLevelType w:val="hybridMultilevel"/>
    <w:tmpl w:val="370E8F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0B92BBB"/>
    <w:multiLevelType w:val="hybridMultilevel"/>
    <w:tmpl w:val="C3F655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11D3D6A"/>
    <w:multiLevelType w:val="hybridMultilevel"/>
    <w:tmpl w:val="828E27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46104CE"/>
    <w:multiLevelType w:val="hybridMultilevel"/>
    <w:tmpl w:val="7F8A7370"/>
    <w:lvl w:ilvl="0" w:tplc="0FC2C822">
      <w:start w:val="1"/>
      <w:numFmt w:val="bullet"/>
      <w:pStyle w:val="Bullet1"/>
      <w:lvlText w:val="▮"/>
      <w:lvlJc w:val="left"/>
      <w:pPr>
        <w:ind w:left="1080" w:hanging="360"/>
      </w:pPr>
      <w:rPr>
        <w:rFonts w:ascii="MS Reference Sans Serif" w:hAnsi="MS Reference Sans Serif"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8" w15:restartNumberingAfterBreak="0">
    <w:nsid w:val="74843BC3"/>
    <w:multiLevelType w:val="hybridMultilevel"/>
    <w:tmpl w:val="EE0026F0"/>
    <w:lvl w:ilvl="0" w:tplc="5DE6C006">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9" w15:restartNumberingAfterBreak="0">
    <w:nsid w:val="752D048C"/>
    <w:multiLevelType w:val="hybridMultilevel"/>
    <w:tmpl w:val="35685916"/>
    <w:lvl w:ilvl="0" w:tplc="E0524E9C">
      <w:start w:val="1"/>
      <w:numFmt w:val="bullet"/>
      <w:lvlText w:val="▮"/>
      <w:lvlJc w:val="left"/>
      <w:pPr>
        <w:ind w:left="1440" w:hanging="360"/>
      </w:pPr>
      <w:rPr>
        <w:rFonts w:ascii="MS Reference Sans Serif" w:hAnsi="MS Reference Sans Serif"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0" w15:restartNumberingAfterBreak="0">
    <w:nsid w:val="756D2156"/>
    <w:multiLevelType w:val="hybridMultilevel"/>
    <w:tmpl w:val="4036AAEE"/>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75867467"/>
    <w:multiLevelType w:val="hybridMultilevel"/>
    <w:tmpl w:val="D97AD36E"/>
    <w:lvl w:ilvl="0" w:tplc="B7861C3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77C34456"/>
    <w:multiLevelType w:val="singleLevel"/>
    <w:tmpl w:val="FE76A518"/>
    <w:lvl w:ilvl="0">
      <w:start w:val="1"/>
      <w:numFmt w:val="bullet"/>
      <w:pStyle w:val="Sumpoint3"/>
      <w:lvlText w:val=""/>
      <w:lvlJc w:val="left"/>
      <w:pPr>
        <w:tabs>
          <w:tab w:val="num" w:pos="2665"/>
        </w:tabs>
        <w:ind w:left="2665" w:hanging="397"/>
      </w:pPr>
      <w:rPr>
        <w:rFonts w:ascii="Symbol" w:hAnsi="Symbol" w:hint="default"/>
      </w:rPr>
    </w:lvl>
  </w:abstractNum>
  <w:abstractNum w:abstractNumId="113" w15:restartNumberingAfterBreak="0">
    <w:nsid w:val="79F4674A"/>
    <w:multiLevelType w:val="hybridMultilevel"/>
    <w:tmpl w:val="BEFECF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7A3E72EF"/>
    <w:multiLevelType w:val="singleLevel"/>
    <w:tmpl w:val="2FCABED0"/>
    <w:lvl w:ilvl="0">
      <w:start w:val="1"/>
      <w:numFmt w:val="bullet"/>
      <w:pStyle w:val="Style3"/>
      <w:lvlText w:val=""/>
      <w:lvlJc w:val="left"/>
      <w:pPr>
        <w:tabs>
          <w:tab w:val="num" w:pos="360"/>
        </w:tabs>
        <w:ind w:left="360" w:hanging="360"/>
      </w:pPr>
      <w:rPr>
        <w:rFonts w:ascii="Symbol" w:hAnsi="Symbol" w:hint="default"/>
      </w:rPr>
    </w:lvl>
  </w:abstractNum>
  <w:abstractNum w:abstractNumId="115" w15:restartNumberingAfterBreak="0">
    <w:nsid w:val="7BA654B9"/>
    <w:multiLevelType w:val="hybridMultilevel"/>
    <w:tmpl w:val="0F44F39C"/>
    <w:lvl w:ilvl="0" w:tplc="1D0CA5BE">
      <w:start w:val="1"/>
      <w:numFmt w:val="lowerRoman"/>
      <w:lvlText w:val="%1."/>
      <w:lvlJc w:val="left"/>
      <w:pPr>
        <w:tabs>
          <w:tab w:val="num" w:pos="720"/>
        </w:tabs>
        <w:ind w:left="360" w:hanging="360"/>
      </w:pPr>
      <w:rPr>
        <w:rFonts w:hint="default"/>
      </w:rPr>
    </w:lvl>
    <w:lvl w:ilvl="1" w:tplc="045A2F3C" w:tentative="1">
      <w:start w:val="1"/>
      <w:numFmt w:val="lowerLetter"/>
      <w:lvlText w:val="%2."/>
      <w:lvlJc w:val="left"/>
      <w:pPr>
        <w:tabs>
          <w:tab w:val="num" w:pos="1440"/>
        </w:tabs>
        <w:ind w:left="1440" w:hanging="360"/>
      </w:pPr>
    </w:lvl>
    <w:lvl w:ilvl="2" w:tplc="5A642598" w:tentative="1">
      <w:start w:val="1"/>
      <w:numFmt w:val="lowerRoman"/>
      <w:lvlText w:val="%3."/>
      <w:lvlJc w:val="right"/>
      <w:pPr>
        <w:tabs>
          <w:tab w:val="num" w:pos="2160"/>
        </w:tabs>
        <w:ind w:left="2160" w:hanging="180"/>
      </w:pPr>
    </w:lvl>
    <w:lvl w:ilvl="3" w:tplc="81C4ADA2" w:tentative="1">
      <w:start w:val="1"/>
      <w:numFmt w:val="decimal"/>
      <w:lvlText w:val="%4."/>
      <w:lvlJc w:val="left"/>
      <w:pPr>
        <w:tabs>
          <w:tab w:val="num" w:pos="2880"/>
        </w:tabs>
        <w:ind w:left="2880" w:hanging="360"/>
      </w:pPr>
    </w:lvl>
    <w:lvl w:ilvl="4" w:tplc="CB007366" w:tentative="1">
      <w:start w:val="1"/>
      <w:numFmt w:val="lowerLetter"/>
      <w:lvlText w:val="%5."/>
      <w:lvlJc w:val="left"/>
      <w:pPr>
        <w:tabs>
          <w:tab w:val="num" w:pos="3600"/>
        </w:tabs>
        <w:ind w:left="3600" w:hanging="360"/>
      </w:pPr>
    </w:lvl>
    <w:lvl w:ilvl="5" w:tplc="8BF4A3E6" w:tentative="1">
      <w:start w:val="1"/>
      <w:numFmt w:val="lowerRoman"/>
      <w:lvlText w:val="%6."/>
      <w:lvlJc w:val="right"/>
      <w:pPr>
        <w:tabs>
          <w:tab w:val="num" w:pos="4320"/>
        </w:tabs>
        <w:ind w:left="4320" w:hanging="180"/>
      </w:pPr>
    </w:lvl>
    <w:lvl w:ilvl="6" w:tplc="40E897BE" w:tentative="1">
      <w:start w:val="1"/>
      <w:numFmt w:val="decimal"/>
      <w:lvlText w:val="%7."/>
      <w:lvlJc w:val="left"/>
      <w:pPr>
        <w:tabs>
          <w:tab w:val="num" w:pos="5040"/>
        </w:tabs>
        <w:ind w:left="5040" w:hanging="360"/>
      </w:pPr>
    </w:lvl>
    <w:lvl w:ilvl="7" w:tplc="FA1EFFC8" w:tentative="1">
      <w:start w:val="1"/>
      <w:numFmt w:val="lowerLetter"/>
      <w:lvlText w:val="%8."/>
      <w:lvlJc w:val="left"/>
      <w:pPr>
        <w:tabs>
          <w:tab w:val="num" w:pos="5760"/>
        </w:tabs>
        <w:ind w:left="5760" w:hanging="360"/>
      </w:pPr>
    </w:lvl>
    <w:lvl w:ilvl="8" w:tplc="1EB20B78" w:tentative="1">
      <w:start w:val="1"/>
      <w:numFmt w:val="lowerRoman"/>
      <w:lvlText w:val="%9."/>
      <w:lvlJc w:val="right"/>
      <w:pPr>
        <w:tabs>
          <w:tab w:val="num" w:pos="6480"/>
        </w:tabs>
        <w:ind w:left="6480" w:hanging="180"/>
      </w:pPr>
    </w:lvl>
  </w:abstractNum>
  <w:abstractNum w:abstractNumId="116" w15:restartNumberingAfterBreak="0">
    <w:nsid w:val="7C632CDD"/>
    <w:multiLevelType w:val="hybridMultilevel"/>
    <w:tmpl w:val="9FEE091C"/>
    <w:lvl w:ilvl="0" w:tplc="AD74E56A">
      <w:start w:val="1"/>
      <w:numFmt w:val="lowerRoman"/>
      <w:lvlText w:val="%1."/>
      <w:lvlJc w:val="left"/>
      <w:pPr>
        <w:ind w:left="720" w:hanging="360"/>
      </w:pPr>
    </w:lvl>
    <w:lvl w:ilvl="1" w:tplc="A4C476EE" w:tentative="1">
      <w:start w:val="1"/>
      <w:numFmt w:val="lowerLetter"/>
      <w:lvlText w:val="%2."/>
      <w:lvlJc w:val="left"/>
      <w:pPr>
        <w:ind w:left="1440" w:hanging="360"/>
      </w:pPr>
    </w:lvl>
    <w:lvl w:ilvl="2" w:tplc="EAF69218" w:tentative="1">
      <w:start w:val="1"/>
      <w:numFmt w:val="lowerRoman"/>
      <w:lvlText w:val="%3."/>
      <w:lvlJc w:val="right"/>
      <w:pPr>
        <w:ind w:left="2160" w:hanging="180"/>
      </w:pPr>
    </w:lvl>
    <w:lvl w:ilvl="3" w:tplc="2D6E4EC4" w:tentative="1">
      <w:start w:val="1"/>
      <w:numFmt w:val="decimal"/>
      <w:lvlText w:val="%4."/>
      <w:lvlJc w:val="left"/>
      <w:pPr>
        <w:ind w:left="2880" w:hanging="360"/>
      </w:pPr>
    </w:lvl>
    <w:lvl w:ilvl="4" w:tplc="032063A4" w:tentative="1">
      <w:start w:val="1"/>
      <w:numFmt w:val="lowerLetter"/>
      <w:lvlText w:val="%5."/>
      <w:lvlJc w:val="left"/>
      <w:pPr>
        <w:ind w:left="3600" w:hanging="360"/>
      </w:pPr>
    </w:lvl>
    <w:lvl w:ilvl="5" w:tplc="0342648E" w:tentative="1">
      <w:start w:val="1"/>
      <w:numFmt w:val="lowerRoman"/>
      <w:lvlText w:val="%6."/>
      <w:lvlJc w:val="right"/>
      <w:pPr>
        <w:ind w:left="4320" w:hanging="180"/>
      </w:pPr>
    </w:lvl>
    <w:lvl w:ilvl="6" w:tplc="106A2674" w:tentative="1">
      <w:start w:val="1"/>
      <w:numFmt w:val="decimal"/>
      <w:lvlText w:val="%7."/>
      <w:lvlJc w:val="left"/>
      <w:pPr>
        <w:ind w:left="5040" w:hanging="360"/>
      </w:pPr>
    </w:lvl>
    <w:lvl w:ilvl="7" w:tplc="7E3AEDF0" w:tentative="1">
      <w:start w:val="1"/>
      <w:numFmt w:val="lowerLetter"/>
      <w:lvlText w:val="%8."/>
      <w:lvlJc w:val="left"/>
      <w:pPr>
        <w:ind w:left="5760" w:hanging="360"/>
      </w:pPr>
    </w:lvl>
    <w:lvl w:ilvl="8" w:tplc="CAA25C58" w:tentative="1">
      <w:start w:val="1"/>
      <w:numFmt w:val="lowerRoman"/>
      <w:lvlText w:val="%9."/>
      <w:lvlJc w:val="right"/>
      <w:pPr>
        <w:ind w:left="6480" w:hanging="180"/>
      </w:pPr>
    </w:lvl>
  </w:abstractNum>
  <w:abstractNum w:abstractNumId="117" w15:restartNumberingAfterBreak="0">
    <w:nsid w:val="7D127AEA"/>
    <w:multiLevelType w:val="hybridMultilevel"/>
    <w:tmpl w:val="69125C8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7D4D3A6D"/>
    <w:multiLevelType w:val="singleLevel"/>
    <w:tmpl w:val="AA8AE748"/>
    <w:lvl w:ilvl="0">
      <w:start w:val="1"/>
      <w:numFmt w:val="decimal"/>
      <w:pStyle w:val="MLstyle"/>
      <w:lvlText w:val="%1)"/>
      <w:lvlJc w:val="left"/>
      <w:pPr>
        <w:tabs>
          <w:tab w:val="num" w:pos="927"/>
        </w:tabs>
        <w:ind w:left="924" w:hanging="357"/>
      </w:pPr>
    </w:lvl>
  </w:abstractNum>
  <w:abstractNum w:abstractNumId="119" w15:restartNumberingAfterBreak="0">
    <w:nsid w:val="7D587E14"/>
    <w:multiLevelType w:val="singleLevel"/>
    <w:tmpl w:val="B478F80C"/>
    <w:lvl w:ilvl="0">
      <w:start w:val="1"/>
      <w:numFmt w:val="bullet"/>
      <w:pStyle w:val="SumPoint1"/>
      <w:lvlText w:val=""/>
      <w:lvlJc w:val="left"/>
      <w:pPr>
        <w:tabs>
          <w:tab w:val="num" w:pos="360"/>
        </w:tabs>
        <w:ind w:left="340" w:hanging="340"/>
      </w:pPr>
      <w:rPr>
        <w:rFonts w:ascii="Symbol" w:hAnsi="Symbol" w:hint="default"/>
      </w:rPr>
    </w:lvl>
  </w:abstractNum>
  <w:abstractNum w:abstractNumId="120" w15:restartNumberingAfterBreak="0">
    <w:nsid w:val="7DF4402F"/>
    <w:multiLevelType w:val="hybridMultilevel"/>
    <w:tmpl w:val="05E2EBB4"/>
    <w:lvl w:ilvl="0" w:tplc="718C8612">
      <w:start w:val="1"/>
      <w:numFmt w:val="lowerLetter"/>
      <w:lvlText w:val="%1)"/>
      <w:lvlJc w:val="left"/>
      <w:pPr>
        <w:ind w:left="720" w:hanging="360"/>
      </w:pPr>
      <w:rPr>
        <w:rFonts w:hint="default"/>
      </w:rPr>
    </w:lvl>
    <w:lvl w:ilvl="1" w:tplc="92962DB2" w:tentative="1">
      <w:start w:val="1"/>
      <w:numFmt w:val="lowerLetter"/>
      <w:lvlText w:val="%2."/>
      <w:lvlJc w:val="left"/>
      <w:pPr>
        <w:ind w:left="1440" w:hanging="360"/>
      </w:pPr>
    </w:lvl>
    <w:lvl w:ilvl="2" w:tplc="79B0E1CA" w:tentative="1">
      <w:start w:val="1"/>
      <w:numFmt w:val="lowerRoman"/>
      <w:lvlText w:val="%3."/>
      <w:lvlJc w:val="right"/>
      <w:pPr>
        <w:ind w:left="2160" w:hanging="180"/>
      </w:pPr>
    </w:lvl>
    <w:lvl w:ilvl="3" w:tplc="88D6047C" w:tentative="1">
      <w:start w:val="1"/>
      <w:numFmt w:val="decimal"/>
      <w:lvlText w:val="%4."/>
      <w:lvlJc w:val="left"/>
      <w:pPr>
        <w:ind w:left="2880" w:hanging="360"/>
      </w:pPr>
    </w:lvl>
    <w:lvl w:ilvl="4" w:tplc="502C418E" w:tentative="1">
      <w:start w:val="1"/>
      <w:numFmt w:val="lowerLetter"/>
      <w:lvlText w:val="%5."/>
      <w:lvlJc w:val="left"/>
      <w:pPr>
        <w:ind w:left="3600" w:hanging="360"/>
      </w:pPr>
    </w:lvl>
    <w:lvl w:ilvl="5" w:tplc="4560D98A" w:tentative="1">
      <w:start w:val="1"/>
      <w:numFmt w:val="lowerRoman"/>
      <w:lvlText w:val="%6."/>
      <w:lvlJc w:val="right"/>
      <w:pPr>
        <w:ind w:left="4320" w:hanging="180"/>
      </w:pPr>
    </w:lvl>
    <w:lvl w:ilvl="6" w:tplc="15A25B4E" w:tentative="1">
      <w:start w:val="1"/>
      <w:numFmt w:val="decimal"/>
      <w:lvlText w:val="%7."/>
      <w:lvlJc w:val="left"/>
      <w:pPr>
        <w:ind w:left="5040" w:hanging="360"/>
      </w:pPr>
    </w:lvl>
    <w:lvl w:ilvl="7" w:tplc="4C9C8BCE" w:tentative="1">
      <w:start w:val="1"/>
      <w:numFmt w:val="lowerLetter"/>
      <w:lvlText w:val="%8."/>
      <w:lvlJc w:val="left"/>
      <w:pPr>
        <w:ind w:left="5760" w:hanging="360"/>
      </w:pPr>
    </w:lvl>
    <w:lvl w:ilvl="8" w:tplc="F9E8D8F6" w:tentative="1">
      <w:start w:val="1"/>
      <w:numFmt w:val="lowerRoman"/>
      <w:lvlText w:val="%9."/>
      <w:lvlJc w:val="right"/>
      <w:pPr>
        <w:ind w:left="6480" w:hanging="180"/>
      </w:pPr>
    </w:lvl>
  </w:abstractNum>
  <w:abstractNum w:abstractNumId="121" w15:restartNumberingAfterBreak="0">
    <w:nsid w:val="7F733BB5"/>
    <w:multiLevelType w:val="hybridMultilevel"/>
    <w:tmpl w:val="C2F003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8"/>
  </w:num>
  <w:num w:numId="2">
    <w:abstractNumId w:val="119"/>
  </w:num>
  <w:num w:numId="3">
    <w:abstractNumId w:val="47"/>
  </w:num>
  <w:num w:numId="4">
    <w:abstractNumId w:val="3"/>
  </w:num>
  <w:num w:numId="5">
    <w:abstractNumId w:val="1"/>
  </w:num>
  <w:num w:numId="6">
    <w:abstractNumId w:val="2"/>
  </w:num>
  <w:num w:numId="7">
    <w:abstractNumId w:val="0"/>
  </w:num>
  <w:num w:numId="8">
    <w:abstractNumId w:val="82"/>
  </w:num>
  <w:num w:numId="9">
    <w:abstractNumId w:val="114"/>
  </w:num>
  <w:num w:numId="10">
    <w:abstractNumId w:val="9"/>
  </w:num>
  <w:num w:numId="11">
    <w:abstractNumId w:val="53"/>
  </w:num>
  <w:num w:numId="12">
    <w:abstractNumId w:val="34"/>
  </w:num>
  <w:num w:numId="13">
    <w:abstractNumId w:val="4"/>
  </w:num>
  <w:num w:numId="14">
    <w:abstractNumId w:val="8"/>
  </w:num>
  <w:num w:numId="15">
    <w:abstractNumId w:val="14"/>
  </w:num>
  <w:num w:numId="16">
    <w:abstractNumId w:val="112"/>
  </w:num>
  <w:num w:numId="17">
    <w:abstractNumId w:val="31"/>
  </w:num>
  <w:num w:numId="18">
    <w:abstractNumId w:val="38"/>
  </w:num>
  <w:num w:numId="19">
    <w:abstractNumId w:val="25"/>
  </w:num>
  <w:num w:numId="20">
    <w:abstractNumId w:val="118"/>
  </w:num>
  <w:num w:numId="21">
    <w:abstractNumId w:val="28"/>
  </w:num>
  <w:num w:numId="22">
    <w:abstractNumId w:val="97"/>
  </w:num>
  <w:num w:numId="23">
    <w:abstractNumId w:val="24"/>
  </w:num>
  <w:num w:numId="24">
    <w:abstractNumId w:val="90"/>
  </w:num>
  <w:num w:numId="25">
    <w:abstractNumId w:val="100"/>
  </w:num>
  <w:num w:numId="26">
    <w:abstractNumId w:val="33"/>
  </w:num>
  <w:num w:numId="27">
    <w:abstractNumId w:val="115"/>
  </w:num>
  <w:num w:numId="28">
    <w:abstractNumId w:val="103"/>
  </w:num>
  <w:num w:numId="29">
    <w:abstractNumId w:val="81"/>
  </w:num>
  <w:num w:numId="30">
    <w:abstractNumId w:val="44"/>
  </w:num>
  <w:num w:numId="31">
    <w:abstractNumId w:val="116"/>
  </w:num>
  <w:num w:numId="32">
    <w:abstractNumId w:val="120"/>
  </w:num>
  <w:num w:numId="33">
    <w:abstractNumId w:val="41"/>
  </w:num>
  <w:num w:numId="34">
    <w:abstractNumId w:val="56"/>
  </w:num>
  <w:num w:numId="35">
    <w:abstractNumId w:val="6"/>
  </w:num>
  <w:num w:numId="36">
    <w:abstractNumId w:val="102"/>
  </w:num>
  <w:num w:numId="37">
    <w:abstractNumId w:val="59"/>
  </w:num>
  <w:num w:numId="38">
    <w:abstractNumId w:val="69"/>
  </w:num>
  <w:num w:numId="39">
    <w:abstractNumId w:val="107"/>
  </w:num>
  <w:num w:numId="40">
    <w:abstractNumId w:val="29"/>
  </w:num>
  <w:num w:numId="41">
    <w:abstractNumId w:val="45"/>
  </w:num>
  <w:num w:numId="42">
    <w:abstractNumId w:val="74"/>
  </w:num>
  <w:num w:numId="43">
    <w:abstractNumId w:val="96"/>
  </w:num>
  <w:num w:numId="44">
    <w:abstractNumId w:val="16"/>
  </w:num>
  <w:num w:numId="45">
    <w:abstractNumId w:val="93"/>
  </w:num>
  <w:num w:numId="46">
    <w:abstractNumId w:val="80"/>
  </w:num>
  <w:num w:numId="47">
    <w:abstractNumId w:val="72"/>
  </w:num>
  <w:num w:numId="48">
    <w:abstractNumId w:val="117"/>
  </w:num>
  <w:num w:numId="49">
    <w:abstractNumId w:val="106"/>
  </w:num>
  <w:num w:numId="50">
    <w:abstractNumId w:val="52"/>
  </w:num>
  <w:num w:numId="51">
    <w:abstractNumId w:val="77"/>
  </w:num>
  <w:num w:numId="52">
    <w:abstractNumId w:val="35"/>
  </w:num>
  <w:num w:numId="53">
    <w:abstractNumId w:val="105"/>
  </w:num>
  <w:num w:numId="54">
    <w:abstractNumId w:val="39"/>
  </w:num>
  <w:num w:numId="55">
    <w:abstractNumId w:val="84"/>
  </w:num>
  <w:num w:numId="56">
    <w:abstractNumId w:val="26"/>
  </w:num>
  <w:num w:numId="57">
    <w:abstractNumId w:val="99"/>
  </w:num>
  <w:num w:numId="58">
    <w:abstractNumId w:val="37"/>
  </w:num>
  <w:num w:numId="59">
    <w:abstractNumId w:val="121"/>
  </w:num>
  <w:num w:numId="60">
    <w:abstractNumId w:val="15"/>
  </w:num>
  <w:num w:numId="61">
    <w:abstractNumId w:val="87"/>
  </w:num>
  <w:num w:numId="62">
    <w:abstractNumId w:val="36"/>
  </w:num>
  <w:num w:numId="63">
    <w:abstractNumId w:val="89"/>
  </w:num>
  <w:num w:numId="64">
    <w:abstractNumId w:val="54"/>
  </w:num>
  <w:num w:numId="65">
    <w:abstractNumId w:val="17"/>
  </w:num>
  <w:num w:numId="66">
    <w:abstractNumId w:val="66"/>
  </w:num>
  <w:num w:numId="67">
    <w:abstractNumId w:val="43"/>
  </w:num>
  <w:num w:numId="68">
    <w:abstractNumId w:val="78"/>
  </w:num>
  <w:num w:numId="69">
    <w:abstractNumId w:val="110"/>
  </w:num>
  <w:num w:numId="70">
    <w:abstractNumId w:val="104"/>
  </w:num>
  <w:num w:numId="71">
    <w:abstractNumId w:val="58"/>
  </w:num>
  <w:num w:numId="72">
    <w:abstractNumId w:val="20"/>
  </w:num>
  <w:num w:numId="73">
    <w:abstractNumId w:val="23"/>
  </w:num>
  <w:num w:numId="74">
    <w:abstractNumId w:val="40"/>
  </w:num>
  <w:num w:numId="75">
    <w:abstractNumId w:val="73"/>
  </w:num>
  <w:num w:numId="76">
    <w:abstractNumId w:val="111"/>
  </w:num>
  <w:num w:numId="77">
    <w:abstractNumId w:val="65"/>
  </w:num>
  <w:num w:numId="78">
    <w:abstractNumId w:val="46"/>
  </w:num>
  <w:num w:numId="79">
    <w:abstractNumId w:val="88"/>
  </w:num>
  <w:num w:numId="80">
    <w:abstractNumId w:val="19"/>
  </w:num>
  <w:num w:numId="81">
    <w:abstractNumId w:val="85"/>
  </w:num>
  <w:num w:numId="82">
    <w:abstractNumId w:val="68"/>
  </w:num>
  <w:num w:numId="83">
    <w:abstractNumId w:val="92"/>
  </w:num>
  <w:num w:numId="84">
    <w:abstractNumId w:val="67"/>
  </w:num>
  <w:num w:numId="85">
    <w:abstractNumId w:val="75"/>
  </w:num>
  <w:num w:numId="86">
    <w:abstractNumId w:val="49"/>
  </w:num>
  <w:num w:numId="87">
    <w:abstractNumId w:val="51"/>
  </w:num>
  <w:num w:numId="88">
    <w:abstractNumId w:val="113"/>
  </w:num>
  <w:num w:numId="89">
    <w:abstractNumId w:val="42"/>
  </w:num>
  <w:num w:numId="90">
    <w:abstractNumId w:val="30"/>
  </w:num>
  <w:num w:numId="91">
    <w:abstractNumId w:val="98"/>
  </w:num>
  <w:num w:numId="92">
    <w:abstractNumId w:val="62"/>
  </w:num>
  <w:num w:numId="93">
    <w:abstractNumId w:val="22"/>
  </w:num>
  <w:num w:numId="94">
    <w:abstractNumId w:val="50"/>
  </w:num>
  <w:num w:numId="95">
    <w:abstractNumId w:val="71"/>
  </w:num>
  <w:num w:numId="96">
    <w:abstractNumId w:val="91"/>
  </w:num>
  <w:num w:numId="97">
    <w:abstractNumId w:val="11"/>
  </w:num>
  <w:num w:numId="98">
    <w:abstractNumId w:val="94"/>
  </w:num>
  <w:num w:numId="99">
    <w:abstractNumId w:val="32"/>
  </w:num>
  <w:num w:numId="100">
    <w:abstractNumId w:val="64"/>
  </w:num>
  <w:num w:numId="101">
    <w:abstractNumId w:val="55"/>
  </w:num>
  <w:num w:numId="102">
    <w:abstractNumId w:val="86"/>
  </w:num>
  <w:num w:numId="103">
    <w:abstractNumId w:val="61"/>
  </w:num>
  <w:num w:numId="104">
    <w:abstractNumId w:val="101"/>
  </w:num>
  <w:num w:numId="105">
    <w:abstractNumId w:val="5"/>
  </w:num>
  <w:num w:numId="106">
    <w:abstractNumId w:val="63"/>
  </w:num>
  <w:num w:numId="107">
    <w:abstractNumId w:val="108"/>
  </w:num>
  <w:num w:numId="108">
    <w:abstractNumId w:val="10"/>
  </w:num>
  <w:num w:numId="109">
    <w:abstractNumId w:val="7"/>
  </w:num>
  <w:num w:numId="110">
    <w:abstractNumId w:val="27"/>
  </w:num>
  <w:num w:numId="111">
    <w:abstractNumId w:val="70"/>
  </w:num>
  <w:num w:numId="112">
    <w:abstractNumId w:val="83"/>
  </w:num>
  <w:num w:numId="113">
    <w:abstractNumId w:val="79"/>
  </w:num>
  <w:num w:numId="114">
    <w:abstractNumId w:val="57"/>
  </w:num>
  <w:num w:numId="115">
    <w:abstractNumId w:val="60"/>
  </w:num>
  <w:num w:numId="116">
    <w:abstractNumId w:val="13"/>
  </w:num>
  <w:num w:numId="117">
    <w:abstractNumId w:val="107"/>
  </w:num>
  <w:num w:numId="118">
    <w:abstractNumId w:val="107"/>
  </w:num>
  <w:num w:numId="119">
    <w:abstractNumId w:val="107"/>
  </w:num>
  <w:num w:numId="120">
    <w:abstractNumId w:val="107"/>
  </w:num>
  <w:num w:numId="121">
    <w:abstractNumId w:val="109"/>
  </w:num>
  <w:num w:numId="122">
    <w:abstractNumId w:val="76"/>
  </w:num>
  <w:num w:numId="123">
    <w:abstractNumId w:val="95"/>
  </w:num>
  <w:num w:numId="124">
    <w:abstractNumId w:val="12"/>
  </w:num>
  <w:num w:numId="125">
    <w:abstractNumId w:val="18"/>
  </w:num>
  <w:num w:numId="126">
    <w:abstractNumId w:val="21"/>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activeWritingStyle w:appName="MSWord" w:lang="en-US" w:vendorID="8" w:dllVersion="513" w:checkStyle="1"/>
  <w:activeWritingStyle w:appName="MSWord" w:lang="en-AU" w:vendorID="8" w:dllVersion="513" w:checkStyle="1"/>
  <w:stylePaneFormatFilter w:val="0721" w:allStyles="1" w:customStyles="0" w:latentStyles="0" w:stylesInUse="0" w:headingStyles="1" w:numberingStyles="0" w:tableStyles="0" w:directFormattingOnRuns="1" w:directFormattingOnParagraphs="1" w:directFormattingOnNumbering="1" w:directFormattingOnTables="0" w:clearFormatting="0" w:top3HeadingStyles="0" w:visibleStyles="0" w:alternateStyleNames="0"/>
  <w:stylePaneSortMethod w:val="0000"/>
  <w:defaultTabStop w:val="567"/>
  <w:drawingGridHorizontalSpacing w:val="100"/>
  <w:displayHorizontalDrawingGridEvery w:val="0"/>
  <w:displayVerticalDrawingGridEvery w:val="0"/>
  <w:noPunctuationKerning/>
  <w:characterSpacingControl w:val="doNotCompress"/>
  <w:hdrShapeDefaults>
    <o:shapedefaults v:ext="edit" spidmax="27649" fill="f" fillcolor="white">
      <v:fill color="white" on="f"/>
      <o:colormru v:ext="edit" colors="#f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DE"/>
    <w:rsid w:val="00002BAD"/>
    <w:rsid w:val="00002FA5"/>
    <w:rsid w:val="000038E2"/>
    <w:rsid w:val="0000406A"/>
    <w:rsid w:val="000041A8"/>
    <w:rsid w:val="00005292"/>
    <w:rsid w:val="00005B4D"/>
    <w:rsid w:val="000062C9"/>
    <w:rsid w:val="000064D5"/>
    <w:rsid w:val="0000717E"/>
    <w:rsid w:val="00007784"/>
    <w:rsid w:val="00010813"/>
    <w:rsid w:val="00011D00"/>
    <w:rsid w:val="000126B8"/>
    <w:rsid w:val="00013683"/>
    <w:rsid w:val="000137BE"/>
    <w:rsid w:val="00014C1B"/>
    <w:rsid w:val="000162FC"/>
    <w:rsid w:val="00017BEB"/>
    <w:rsid w:val="0002022A"/>
    <w:rsid w:val="00020897"/>
    <w:rsid w:val="00021555"/>
    <w:rsid w:val="0002210C"/>
    <w:rsid w:val="00022A97"/>
    <w:rsid w:val="00022F46"/>
    <w:rsid w:val="000232CD"/>
    <w:rsid w:val="00023DE6"/>
    <w:rsid w:val="00024AB0"/>
    <w:rsid w:val="00024E14"/>
    <w:rsid w:val="00026F67"/>
    <w:rsid w:val="00027728"/>
    <w:rsid w:val="00027EB8"/>
    <w:rsid w:val="00030019"/>
    <w:rsid w:val="00031EBC"/>
    <w:rsid w:val="00032424"/>
    <w:rsid w:val="00032543"/>
    <w:rsid w:val="000330AF"/>
    <w:rsid w:val="00035F98"/>
    <w:rsid w:val="00036432"/>
    <w:rsid w:val="00037435"/>
    <w:rsid w:val="0004022E"/>
    <w:rsid w:val="000402B0"/>
    <w:rsid w:val="0004090C"/>
    <w:rsid w:val="00041C93"/>
    <w:rsid w:val="00043014"/>
    <w:rsid w:val="0004386A"/>
    <w:rsid w:val="00043B20"/>
    <w:rsid w:val="00044B99"/>
    <w:rsid w:val="00044CAE"/>
    <w:rsid w:val="00045A97"/>
    <w:rsid w:val="00046DD9"/>
    <w:rsid w:val="00046FD8"/>
    <w:rsid w:val="000471E5"/>
    <w:rsid w:val="00050D89"/>
    <w:rsid w:val="00051A5D"/>
    <w:rsid w:val="000521D2"/>
    <w:rsid w:val="00052921"/>
    <w:rsid w:val="000539F8"/>
    <w:rsid w:val="00054725"/>
    <w:rsid w:val="00055F24"/>
    <w:rsid w:val="0006114C"/>
    <w:rsid w:val="00062015"/>
    <w:rsid w:val="00062418"/>
    <w:rsid w:val="00063439"/>
    <w:rsid w:val="00064D04"/>
    <w:rsid w:val="00065F78"/>
    <w:rsid w:val="0006635C"/>
    <w:rsid w:val="000671CC"/>
    <w:rsid w:val="00070874"/>
    <w:rsid w:val="00072834"/>
    <w:rsid w:val="00072D62"/>
    <w:rsid w:val="000744A6"/>
    <w:rsid w:val="00074B80"/>
    <w:rsid w:val="00074F05"/>
    <w:rsid w:val="0007553B"/>
    <w:rsid w:val="000756D1"/>
    <w:rsid w:val="000759E2"/>
    <w:rsid w:val="000759F6"/>
    <w:rsid w:val="00076A44"/>
    <w:rsid w:val="00080D46"/>
    <w:rsid w:val="00081F54"/>
    <w:rsid w:val="0008242B"/>
    <w:rsid w:val="0008270C"/>
    <w:rsid w:val="0008675A"/>
    <w:rsid w:val="0009040A"/>
    <w:rsid w:val="00090763"/>
    <w:rsid w:val="00090AD5"/>
    <w:rsid w:val="00092695"/>
    <w:rsid w:val="00094A5D"/>
    <w:rsid w:val="00095E27"/>
    <w:rsid w:val="00096454"/>
    <w:rsid w:val="000A0485"/>
    <w:rsid w:val="000A1681"/>
    <w:rsid w:val="000A1EC7"/>
    <w:rsid w:val="000A245D"/>
    <w:rsid w:val="000A369C"/>
    <w:rsid w:val="000A4893"/>
    <w:rsid w:val="000A6BA0"/>
    <w:rsid w:val="000A73E3"/>
    <w:rsid w:val="000A7B91"/>
    <w:rsid w:val="000B16D8"/>
    <w:rsid w:val="000B2086"/>
    <w:rsid w:val="000B525E"/>
    <w:rsid w:val="000B630F"/>
    <w:rsid w:val="000B6424"/>
    <w:rsid w:val="000B7C37"/>
    <w:rsid w:val="000C05BA"/>
    <w:rsid w:val="000C05FB"/>
    <w:rsid w:val="000C1156"/>
    <w:rsid w:val="000C12E4"/>
    <w:rsid w:val="000C1715"/>
    <w:rsid w:val="000C3744"/>
    <w:rsid w:val="000C39E7"/>
    <w:rsid w:val="000C5109"/>
    <w:rsid w:val="000C5CCE"/>
    <w:rsid w:val="000C7971"/>
    <w:rsid w:val="000D2898"/>
    <w:rsid w:val="000D3ACD"/>
    <w:rsid w:val="000D3DC8"/>
    <w:rsid w:val="000D535F"/>
    <w:rsid w:val="000D53FA"/>
    <w:rsid w:val="000D6BF7"/>
    <w:rsid w:val="000D72B8"/>
    <w:rsid w:val="000D770A"/>
    <w:rsid w:val="000D7C43"/>
    <w:rsid w:val="000E1108"/>
    <w:rsid w:val="000E2511"/>
    <w:rsid w:val="000E2520"/>
    <w:rsid w:val="000E28C2"/>
    <w:rsid w:val="000E401F"/>
    <w:rsid w:val="000E468F"/>
    <w:rsid w:val="000E6C18"/>
    <w:rsid w:val="000F0B1A"/>
    <w:rsid w:val="000F150E"/>
    <w:rsid w:val="000F1CEC"/>
    <w:rsid w:val="000F260A"/>
    <w:rsid w:val="000F266D"/>
    <w:rsid w:val="000F284C"/>
    <w:rsid w:val="000F2A1D"/>
    <w:rsid w:val="000F3526"/>
    <w:rsid w:val="000F360F"/>
    <w:rsid w:val="000F3C09"/>
    <w:rsid w:val="000F40ED"/>
    <w:rsid w:val="000F4586"/>
    <w:rsid w:val="000F46C8"/>
    <w:rsid w:val="000F5002"/>
    <w:rsid w:val="000F53A2"/>
    <w:rsid w:val="000F60D5"/>
    <w:rsid w:val="000F7EC2"/>
    <w:rsid w:val="00100474"/>
    <w:rsid w:val="00100BA2"/>
    <w:rsid w:val="00100CBB"/>
    <w:rsid w:val="00103E9D"/>
    <w:rsid w:val="00103FBB"/>
    <w:rsid w:val="00106464"/>
    <w:rsid w:val="00107338"/>
    <w:rsid w:val="00110B4C"/>
    <w:rsid w:val="001115FC"/>
    <w:rsid w:val="00111DCA"/>
    <w:rsid w:val="00112132"/>
    <w:rsid w:val="0011331E"/>
    <w:rsid w:val="00113DBC"/>
    <w:rsid w:val="00113FD6"/>
    <w:rsid w:val="00121BA9"/>
    <w:rsid w:val="00122CCB"/>
    <w:rsid w:val="001235C0"/>
    <w:rsid w:val="0012567E"/>
    <w:rsid w:val="00126516"/>
    <w:rsid w:val="001265C6"/>
    <w:rsid w:val="00127D67"/>
    <w:rsid w:val="0013063B"/>
    <w:rsid w:val="00130D68"/>
    <w:rsid w:val="00132FCB"/>
    <w:rsid w:val="001332C3"/>
    <w:rsid w:val="00133CAC"/>
    <w:rsid w:val="00134D38"/>
    <w:rsid w:val="00136FFD"/>
    <w:rsid w:val="00137DCB"/>
    <w:rsid w:val="00137E0E"/>
    <w:rsid w:val="00140957"/>
    <w:rsid w:val="00141013"/>
    <w:rsid w:val="00142A1F"/>
    <w:rsid w:val="001434F1"/>
    <w:rsid w:val="00143942"/>
    <w:rsid w:val="00145814"/>
    <w:rsid w:val="00145A40"/>
    <w:rsid w:val="001469AA"/>
    <w:rsid w:val="00147619"/>
    <w:rsid w:val="00151547"/>
    <w:rsid w:val="0015283E"/>
    <w:rsid w:val="001537D1"/>
    <w:rsid w:val="00155EFD"/>
    <w:rsid w:val="00156426"/>
    <w:rsid w:val="001607BB"/>
    <w:rsid w:val="00160910"/>
    <w:rsid w:val="00161817"/>
    <w:rsid w:val="00163C41"/>
    <w:rsid w:val="00167047"/>
    <w:rsid w:val="00167613"/>
    <w:rsid w:val="00170CF3"/>
    <w:rsid w:val="00171550"/>
    <w:rsid w:val="0017221A"/>
    <w:rsid w:val="001724CB"/>
    <w:rsid w:val="001724E2"/>
    <w:rsid w:val="0017382C"/>
    <w:rsid w:val="00174178"/>
    <w:rsid w:val="001750FF"/>
    <w:rsid w:val="001765A4"/>
    <w:rsid w:val="00177347"/>
    <w:rsid w:val="00182AA6"/>
    <w:rsid w:val="0018318E"/>
    <w:rsid w:val="001848C2"/>
    <w:rsid w:val="00186A23"/>
    <w:rsid w:val="00186A62"/>
    <w:rsid w:val="00187B4C"/>
    <w:rsid w:val="00187FFA"/>
    <w:rsid w:val="0019071A"/>
    <w:rsid w:val="0019156C"/>
    <w:rsid w:val="00191FE2"/>
    <w:rsid w:val="001920B1"/>
    <w:rsid w:val="00192151"/>
    <w:rsid w:val="0019240F"/>
    <w:rsid w:val="001924E7"/>
    <w:rsid w:val="0019482D"/>
    <w:rsid w:val="0019531A"/>
    <w:rsid w:val="00196696"/>
    <w:rsid w:val="00196C01"/>
    <w:rsid w:val="00197910"/>
    <w:rsid w:val="001979E9"/>
    <w:rsid w:val="001A008B"/>
    <w:rsid w:val="001A1049"/>
    <w:rsid w:val="001A15C7"/>
    <w:rsid w:val="001A164A"/>
    <w:rsid w:val="001A1FFB"/>
    <w:rsid w:val="001A31AA"/>
    <w:rsid w:val="001A57E2"/>
    <w:rsid w:val="001A5D13"/>
    <w:rsid w:val="001A72F6"/>
    <w:rsid w:val="001A79F8"/>
    <w:rsid w:val="001B1CDE"/>
    <w:rsid w:val="001B20CE"/>
    <w:rsid w:val="001B31BD"/>
    <w:rsid w:val="001B4E3A"/>
    <w:rsid w:val="001B61DE"/>
    <w:rsid w:val="001B6BA3"/>
    <w:rsid w:val="001B6D5F"/>
    <w:rsid w:val="001B7598"/>
    <w:rsid w:val="001C21EE"/>
    <w:rsid w:val="001C2457"/>
    <w:rsid w:val="001C38CE"/>
    <w:rsid w:val="001C4E3A"/>
    <w:rsid w:val="001C5736"/>
    <w:rsid w:val="001C5B5B"/>
    <w:rsid w:val="001C6DDB"/>
    <w:rsid w:val="001C71D8"/>
    <w:rsid w:val="001C72EA"/>
    <w:rsid w:val="001C7838"/>
    <w:rsid w:val="001C7D3D"/>
    <w:rsid w:val="001D3ABF"/>
    <w:rsid w:val="001D3BAE"/>
    <w:rsid w:val="001D4D65"/>
    <w:rsid w:val="001D734C"/>
    <w:rsid w:val="001D7FFA"/>
    <w:rsid w:val="001E0DE5"/>
    <w:rsid w:val="001E0EE0"/>
    <w:rsid w:val="001E23ED"/>
    <w:rsid w:val="001E4182"/>
    <w:rsid w:val="001E47D8"/>
    <w:rsid w:val="001E62E6"/>
    <w:rsid w:val="001F186A"/>
    <w:rsid w:val="001F1E3B"/>
    <w:rsid w:val="001F2278"/>
    <w:rsid w:val="001F31AB"/>
    <w:rsid w:val="001F3E7D"/>
    <w:rsid w:val="001F457F"/>
    <w:rsid w:val="001F4DDB"/>
    <w:rsid w:val="001F553C"/>
    <w:rsid w:val="00201758"/>
    <w:rsid w:val="00203988"/>
    <w:rsid w:val="0020451D"/>
    <w:rsid w:val="002046CE"/>
    <w:rsid w:val="0020645A"/>
    <w:rsid w:val="00206914"/>
    <w:rsid w:val="00207B30"/>
    <w:rsid w:val="00211650"/>
    <w:rsid w:val="00213A5A"/>
    <w:rsid w:val="00215596"/>
    <w:rsid w:val="00215EFD"/>
    <w:rsid w:val="00217FD3"/>
    <w:rsid w:val="0022085C"/>
    <w:rsid w:val="002226C5"/>
    <w:rsid w:val="00224412"/>
    <w:rsid w:val="002258C7"/>
    <w:rsid w:val="00225FFE"/>
    <w:rsid w:val="0022663C"/>
    <w:rsid w:val="00227352"/>
    <w:rsid w:val="002301EA"/>
    <w:rsid w:val="00232FA4"/>
    <w:rsid w:val="0023351F"/>
    <w:rsid w:val="00233BDB"/>
    <w:rsid w:val="00233FA1"/>
    <w:rsid w:val="00234059"/>
    <w:rsid w:val="0023588F"/>
    <w:rsid w:val="00237AB9"/>
    <w:rsid w:val="002414B3"/>
    <w:rsid w:val="002416FE"/>
    <w:rsid w:val="00243EF8"/>
    <w:rsid w:val="002450CA"/>
    <w:rsid w:val="00246B5A"/>
    <w:rsid w:val="00247318"/>
    <w:rsid w:val="002508AC"/>
    <w:rsid w:val="00250F67"/>
    <w:rsid w:val="00251178"/>
    <w:rsid w:val="00251B09"/>
    <w:rsid w:val="00252FC6"/>
    <w:rsid w:val="00253370"/>
    <w:rsid w:val="00253CDE"/>
    <w:rsid w:val="002545A0"/>
    <w:rsid w:val="002556F5"/>
    <w:rsid w:val="00256110"/>
    <w:rsid w:val="0025682F"/>
    <w:rsid w:val="00257117"/>
    <w:rsid w:val="002604FA"/>
    <w:rsid w:val="00262085"/>
    <w:rsid w:val="00262C4A"/>
    <w:rsid w:val="00263D9A"/>
    <w:rsid w:val="002656B6"/>
    <w:rsid w:val="0026582E"/>
    <w:rsid w:val="00265E47"/>
    <w:rsid w:val="00265F7D"/>
    <w:rsid w:val="00266514"/>
    <w:rsid w:val="0027081E"/>
    <w:rsid w:val="00270C93"/>
    <w:rsid w:val="00270CB3"/>
    <w:rsid w:val="002735D4"/>
    <w:rsid w:val="002748E3"/>
    <w:rsid w:val="002754EF"/>
    <w:rsid w:val="00281CFA"/>
    <w:rsid w:val="00281E8A"/>
    <w:rsid w:val="002828B7"/>
    <w:rsid w:val="00284E5A"/>
    <w:rsid w:val="00284F29"/>
    <w:rsid w:val="00284F4F"/>
    <w:rsid w:val="00284F98"/>
    <w:rsid w:val="00285B9A"/>
    <w:rsid w:val="00285ED7"/>
    <w:rsid w:val="0028659B"/>
    <w:rsid w:val="00286B6E"/>
    <w:rsid w:val="002876DA"/>
    <w:rsid w:val="00287790"/>
    <w:rsid w:val="00290A67"/>
    <w:rsid w:val="00291AAE"/>
    <w:rsid w:val="002939B6"/>
    <w:rsid w:val="00294559"/>
    <w:rsid w:val="00295686"/>
    <w:rsid w:val="0029784C"/>
    <w:rsid w:val="002A03DE"/>
    <w:rsid w:val="002A07B0"/>
    <w:rsid w:val="002A0B32"/>
    <w:rsid w:val="002A0FE4"/>
    <w:rsid w:val="002A2D87"/>
    <w:rsid w:val="002A3FF6"/>
    <w:rsid w:val="002A4AFC"/>
    <w:rsid w:val="002A4E1F"/>
    <w:rsid w:val="002A5658"/>
    <w:rsid w:val="002A602A"/>
    <w:rsid w:val="002A6459"/>
    <w:rsid w:val="002B0B34"/>
    <w:rsid w:val="002B3FFB"/>
    <w:rsid w:val="002B4434"/>
    <w:rsid w:val="002B560F"/>
    <w:rsid w:val="002B6F80"/>
    <w:rsid w:val="002B7B09"/>
    <w:rsid w:val="002C0803"/>
    <w:rsid w:val="002C0912"/>
    <w:rsid w:val="002C169B"/>
    <w:rsid w:val="002C2A64"/>
    <w:rsid w:val="002C2BD5"/>
    <w:rsid w:val="002C3FDB"/>
    <w:rsid w:val="002C6B2F"/>
    <w:rsid w:val="002C6DDE"/>
    <w:rsid w:val="002D230A"/>
    <w:rsid w:val="002D23F8"/>
    <w:rsid w:val="002D247D"/>
    <w:rsid w:val="002D2DC1"/>
    <w:rsid w:val="002D33F1"/>
    <w:rsid w:val="002D36DA"/>
    <w:rsid w:val="002D3C63"/>
    <w:rsid w:val="002D4C97"/>
    <w:rsid w:val="002D5707"/>
    <w:rsid w:val="002D5E54"/>
    <w:rsid w:val="002D6617"/>
    <w:rsid w:val="002D713A"/>
    <w:rsid w:val="002D7147"/>
    <w:rsid w:val="002D7692"/>
    <w:rsid w:val="002E0415"/>
    <w:rsid w:val="002E32AF"/>
    <w:rsid w:val="002E3FBA"/>
    <w:rsid w:val="002E44CA"/>
    <w:rsid w:val="002E4E14"/>
    <w:rsid w:val="002E5948"/>
    <w:rsid w:val="002E6756"/>
    <w:rsid w:val="002E6882"/>
    <w:rsid w:val="002E6C1F"/>
    <w:rsid w:val="002E6E4B"/>
    <w:rsid w:val="002E75E1"/>
    <w:rsid w:val="002F0D01"/>
    <w:rsid w:val="002F17F3"/>
    <w:rsid w:val="002F2C64"/>
    <w:rsid w:val="002F405F"/>
    <w:rsid w:val="002F574F"/>
    <w:rsid w:val="002F58F1"/>
    <w:rsid w:val="002F5B13"/>
    <w:rsid w:val="002F5E82"/>
    <w:rsid w:val="002F6CEB"/>
    <w:rsid w:val="002F784F"/>
    <w:rsid w:val="00300E52"/>
    <w:rsid w:val="003018E0"/>
    <w:rsid w:val="00302ABF"/>
    <w:rsid w:val="00302DAF"/>
    <w:rsid w:val="00302E1F"/>
    <w:rsid w:val="00305A7E"/>
    <w:rsid w:val="00310718"/>
    <w:rsid w:val="00310D8E"/>
    <w:rsid w:val="00311BBB"/>
    <w:rsid w:val="00312A6B"/>
    <w:rsid w:val="00312E0F"/>
    <w:rsid w:val="003135EE"/>
    <w:rsid w:val="003136C1"/>
    <w:rsid w:val="00314AC8"/>
    <w:rsid w:val="00316155"/>
    <w:rsid w:val="0031688A"/>
    <w:rsid w:val="00316E65"/>
    <w:rsid w:val="0031731D"/>
    <w:rsid w:val="00320EA8"/>
    <w:rsid w:val="00323854"/>
    <w:rsid w:val="003238D8"/>
    <w:rsid w:val="003252BF"/>
    <w:rsid w:val="00325AF6"/>
    <w:rsid w:val="00325ECB"/>
    <w:rsid w:val="003271B3"/>
    <w:rsid w:val="003277C7"/>
    <w:rsid w:val="00330BC3"/>
    <w:rsid w:val="003332F8"/>
    <w:rsid w:val="00333515"/>
    <w:rsid w:val="00333A9F"/>
    <w:rsid w:val="00334061"/>
    <w:rsid w:val="00334385"/>
    <w:rsid w:val="0033614D"/>
    <w:rsid w:val="003361D1"/>
    <w:rsid w:val="00337FA2"/>
    <w:rsid w:val="00340745"/>
    <w:rsid w:val="0034147F"/>
    <w:rsid w:val="003422DD"/>
    <w:rsid w:val="00342772"/>
    <w:rsid w:val="00342EC4"/>
    <w:rsid w:val="0034376D"/>
    <w:rsid w:val="003438FC"/>
    <w:rsid w:val="0034666A"/>
    <w:rsid w:val="0034723C"/>
    <w:rsid w:val="003522DB"/>
    <w:rsid w:val="00352B48"/>
    <w:rsid w:val="00352D4D"/>
    <w:rsid w:val="003539DF"/>
    <w:rsid w:val="00356987"/>
    <w:rsid w:val="00356AE1"/>
    <w:rsid w:val="00357EBA"/>
    <w:rsid w:val="00362250"/>
    <w:rsid w:val="00363A3A"/>
    <w:rsid w:val="0036562C"/>
    <w:rsid w:val="00367848"/>
    <w:rsid w:val="003700AB"/>
    <w:rsid w:val="003723F5"/>
    <w:rsid w:val="003726DA"/>
    <w:rsid w:val="0037358B"/>
    <w:rsid w:val="00373779"/>
    <w:rsid w:val="00373EA7"/>
    <w:rsid w:val="0037460C"/>
    <w:rsid w:val="003752A4"/>
    <w:rsid w:val="00375428"/>
    <w:rsid w:val="00376036"/>
    <w:rsid w:val="003777BA"/>
    <w:rsid w:val="00377850"/>
    <w:rsid w:val="00377C6D"/>
    <w:rsid w:val="003802A4"/>
    <w:rsid w:val="00380D17"/>
    <w:rsid w:val="00381E11"/>
    <w:rsid w:val="00381E84"/>
    <w:rsid w:val="00382918"/>
    <w:rsid w:val="00382D77"/>
    <w:rsid w:val="003838DC"/>
    <w:rsid w:val="00385D36"/>
    <w:rsid w:val="0038626A"/>
    <w:rsid w:val="00386D53"/>
    <w:rsid w:val="00390283"/>
    <w:rsid w:val="003908D1"/>
    <w:rsid w:val="00390ABE"/>
    <w:rsid w:val="00391480"/>
    <w:rsid w:val="00391A01"/>
    <w:rsid w:val="00392F4A"/>
    <w:rsid w:val="00394426"/>
    <w:rsid w:val="00395DF0"/>
    <w:rsid w:val="003960BB"/>
    <w:rsid w:val="003A0174"/>
    <w:rsid w:val="003A1BF0"/>
    <w:rsid w:val="003A2A12"/>
    <w:rsid w:val="003A5123"/>
    <w:rsid w:val="003A52D2"/>
    <w:rsid w:val="003A5C09"/>
    <w:rsid w:val="003A5F0F"/>
    <w:rsid w:val="003A797E"/>
    <w:rsid w:val="003B001F"/>
    <w:rsid w:val="003B04B4"/>
    <w:rsid w:val="003B4182"/>
    <w:rsid w:val="003B5206"/>
    <w:rsid w:val="003B5A84"/>
    <w:rsid w:val="003B6A14"/>
    <w:rsid w:val="003C0AF6"/>
    <w:rsid w:val="003C137D"/>
    <w:rsid w:val="003C1FFC"/>
    <w:rsid w:val="003C25B7"/>
    <w:rsid w:val="003C2620"/>
    <w:rsid w:val="003C2DAE"/>
    <w:rsid w:val="003C2F80"/>
    <w:rsid w:val="003C3CBD"/>
    <w:rsid w:val="003C41FE"/>
    <w:rsid w:val="003C4EAA"/>
    <w:rsid w:val="003C5FDD"/>
    <w:rsid w:val="003C6894"/>
    <w:rsid w:val="003C6D0C"/>
    <w:rsid w:val="003D0105"/>
    <w:rsid w:val="003D0162"/>
    <w:rsid w:val="003D27C6"/>
    <w:rsid w:val="003D2EE8"/>
    <w:rsid w:val="003D4053"/>
    <w:rsid w:val="003D6121"/>
    <w:rsid w:val="003D662B"/>
    <w:rsid w:val="003D72A5"/>
    <w:rsid w:val="003D762D"/>
    <w:rsid w:val="003D780B"/>
    <w:rsid w:val="003D7AA1"/>
    <w:rsid w:val="003D7F35"/>
    <w:rsid w:val="003E15C4"/>
    <w:rsid w:val="003E1C78"/>
    <w:rsid w:val="003E201E"/>
    <w:rsid w:val="003E29BE"/>
    <w:rsid w:val="003E636B"/>
    <w:rsid w:val="003E7CF1"/>
    <w:rsid w:val="003F1593"/>
    <w:rsid w:val="003F181F"/>
    <w:rsid w:val="003F2D18"/>
    <w:rsid w:val="003F4334"/>
    <w:rsid w:val="003F455F"/>
    <w:rsid w:val="003F473F"/>
    <w:rsid w:val="003F48FC"/>
    <w:rsid w:val="003F56B9"/>
    <w:rsid w:val="003F5798"/>
    <w:rsid w:val="003F73E1"/>
    <w:rsid w:val="00401AB5"/>
    <w:rsid w:val="004026CC"/>
    <w:rsid w:val="004026E5"/>
    <w:rsid w:val="00403F2F"/>
    <w:rsid w:val="0041080B"/>
    <w:rsid w:val="00410CD0"/>
    <w:rsid w:val="00412E73"/>
    <w:rsid w:val="00414C62"/>
    <w:rsid w:val="00420650"/>
    <w:rsid w:val="004258AF"/>
    <w:rsid w:val="00425A51"/>
    <w:rsid w:val="00425F56"/>
    <w:rsid w:val="00431B8D"/>
    <w:rsid w:val="004324C1"/>
    <w:rsid w:val="00434398"/>
    <w:rsid w:val="00434E0B"/>
    <w:rsid w:val="004367C9"/>
    <w:rsid w:val="00436B23"/>
    <w:rsid w:val="00436D23"/>
    <w:rsid w:val="00437E6A"/>
    <w:rsid w:val="0044084C"/>
    <w:rsid w:val="00442592"/>
    <w:rsid w:val="00442636"/>
    <w:rsid w:val="00442D84"/>
    <w:rsid w:val="00443154"/>
    <w:rsid w:val="0044670D"/>
    <w:rsid w:val="00447272"/>
    <w:rsid w:val="00450C60"/>
    <w:rsid w:val="00451C2B"/>
    <w:rsid w:val="00452130"/>
    <w:rsid w:val="004523AD"/>
    <w:rsid w:val="004532DD"/>
    <w:rsid w:val="00454457"/>
    <w:rsid w:val="00454E06"/>
    <w:rsid w:val="00455EEE"/>
    <w:rsid w:val="004567DE"/>
    <w:rsid w:val="00457E42"/>
    <w:rsid w:val="0046126F"/>
    <w:rsid w:val="004614DE"/>
    <w:rsid w:val="004616BC"/>
    <w:rsid w:val="004616F1"/>
    <w:rsid w:val="00463ADD"/>
    <w:rsid w:val="00463D7D"/>
    <w:rsid w:val="00463E11"/>
    <w:rsid w:val="00464897"/>
    <w:rsid w:val="00464A7F"/>
    <w:rsid w:val="00464BF0"/>
    <w:rsid w:val="00464E96"/>
    <w:rsid w:val="00464FB7"/>
    <w:rsid w:val="00465CD6"/>
    <w:rsid w:val="00466527"/>
    <w:rsid w:val="004673AF"/>
    <w:rsid w:val="00467648"/>
    <w:rsid w:val="0046769B"/>
    <w:rsid w:val="00467ED7"/>
    <w:rsid w:val="00470099"/>
    <w:rsid w:val="00473AEE"/>
    <w:rsid w:val="00482D18"/>
    <w:rsid w:val="00483231"/>
    <w:rsid w:val="00483E1D"/>
    <w:rsid w:val="004842B1"/>
    <w:rsid w:val="0048536C"/>
    <w:rsid w:val="00486857"/>
    <w:rsid w:val="0049028D"/>
    <w:rsid w:val="00494F77"/>
    <w:rsid w:val="00495A65"/>
    <w:rsid w:val="004A0242"/>
    <w:rsid w:val="004A0261"/>
    <w:rsid w:val="004A034A"/>
    <w:rsid w:val="004A1C1D"/>
    <w:rsid w:val="004A382E"/>
    <w:rsid w:val="004A446B"/>
    <w:rsid w:val="004A450B"/>
    <w:rsid w:val="004A6383"/>
    <w:rsid w:val="004A773F"/>
    <w:rsid w:val="004A7FB1"/>
    <w:rsid w:val="004B0FEC"/>
    <w:rsid w:val="004B1CEA"/>
    <w:rsid w:val="004B2297"/>
    <w:rsid w:val="004B2974"/>
    <w:rsid w:val="004B36CC"/>
    <w:rsid w:val="004B3DF9"/>
    <w:rsid w:val="004B3F5B"/>
    <w:rsid w:val="004B42EE"/>
    <w:rsid w:val="004B58D4"/>
    <w:rsid w:val="004B6A0B"/>
    <w:rsid w:val="004B775E"/>
    <w:rsid w:val="004B7AB7"/>
    <w:rsid w:val="004B7E7D"/>
    <w:rsid w:val="004C01E8"/>
    <w:rsid w:val="004C1F10"/>
    <w:rsid w:val="004C24F0"/>
    <w:rsid w:val="004C2F0A"/>
    <w:rsid w:val="004C342A"/>
    <w:rsid w:val="004C6C95"/>
    <w:rsid w:val="004C7A18"/>
    <w:rsid w:val="004C7A35"/>
    <w:rsid w:val="004D1D7F"/>
    <w:rsid w:val="004D2130"/>
    <w:rsid w:val="004D2201"/>
    <w:rsid w:val="004D39A1"/>
    <w:rsid w:val="004D3C75"/>
    <w:rsid w:val="004D3E27"/>
    <w:rsid w:val="004D5260"/>
    <w:rsid w:val="004D5B14"/>
    <w:rsid w:val="004D654E"/>
    <w:rsid w:val="004D7A72"/>
    <w:rsid w:val="004D7CE9"/>
    <w:rsid w:val="004E0B65"/>
    <w:rsid w:val="004E0D94"/>
    <w:rsid w:val="004E2472"/>
    <w:rsid w:val="004E2A2B"/>
    <w:rsid w:val="004E2ACF"/>
    <w:rsid w:val="004E36B1"/>
    <w:rsid w:val="004E59C1"/>
    <w:rsid w:val="004E6CF2"/>
    <w:rsid w:val="004E7B9A"/>
    <w:rsid w:val="004F1886"/>
    <w:rsid w:val="004F2725"/>
    <w:rsid w:val="004F361C"/>
    <w:rsid w:val="004F509C"/>
    <w:rsid w:val="004F7B85"/>
    <w:rsid w:val="005004E0"/>
    <w:rsid w:val="00501645"/>
    <w:rsid w:val="0050238F"/>
    <w:rsid w:val="005029BB"/>
    <w:rsid w:val="00502E41"/>
    <w:rsid w:val="00503D31"/>
    <w:rsid w:val="0050411D"/>
    <w:rsid w:val="005067F5"/>
    <w:rsid w:val="005069F9"/>
    <w:rsid w:val="00507807"/>
    <w:rsid w:val="00507869"/>
    <w:rsid w:val="005109F2"/>
    <w:rsid w:val="0051123B"/>
    <w:rsid w:val="00511705"/>
    <w:rsid w:val="0051216F"/>
    <w:rsid w:val="00512261"/>
    <w:rsid w:val="00512A06"/>
    <w:rsid w:val="00513CC7"/>
    <w:rsid w:val="00514AA8"/>
    <w:rsid w:val="00516124"/>
    <w:rsid w:val="005165A8"/>
    <w:rsid w:val="005167B1"/>
    <w:rsid w:val="00517A30"/>
    <w:rsid w:val="00520206"/>
    <w:rsid w:val="00521FAB"/>
    <w:rsid w:val="005248F2"/>
    <w:rsid w:val="00524F13"/>
    <w:rsid w:val="0052611C"/>
    <w:rsid w:val="00526871"/>
    <w:rsid w:val="005304C5"/>
    <w:rsid w:val="0053141D"/>
    <w:rsid w:val="00532590"/>
    <w:rsid w:val="005326D1"/>
    <w:rsid w:val="005326E2"/>
    <w:rsid w:val="00533316"/>
    <w:rsid w:val="00533734"/>
    <w:rsid w:val="0053405D"/>
    <w:rsid w:val="0053406D"/>
    <w:rsid w:val="005350E5"/>
    <w:rsid w:val="0053636D"/>
    <w:rsid w:val="00536D4F"/>
    <w:rsid w:val="005410E2"/>
    <w:rsid w:val="0054120D"/>
    <w:rsid w:val="00541D36"/>
    <w:rsid w:val="005421FB"/>
    <w:rsid w:val="00542AD1"/>
    <w:rsid w:val="00545497"/>
    <w:rsid w:val="00546231"/>
    <w:rsid w:val="0054734E"/>
    <w:rsid w:val="0055022C"/>
    <w:rsid w:val="00550BD9"/>
    <w:rsid w:val="00550F8A"/>
    <w:rsid w:val="0055268D"/>
    <w:rsid w:val="00552AA4"/>
    <w:rsid w:val="005534B1"/>
    <w:rsid w:val="00553CE3"/>
    <w:rsid w:val="00554927"/>
    <w:rsid w:val="00554AAB"/>
    <w:rsid w:val="00554FD5"/>
    <w:rsid w:val="00555B96"/>
    <w:rsid w:val="00556074"/>
    <w:rsid w:val="00557BAD"/>
    <w:rsid w:val="00560D63"/>
    <w:rsid w:val="00562A2F"/>
    <w:rsid w:val="0056474C"/>
    <w:rsid w:val="00564ED6"/>
    <w:rsid w:val="00565521"/>
    <w:rsid w:val="00566A74"/>
    <w:rsid w:val="00566B4D"/>
    <w:rsid w:val="005726D2"/>
    <w:rsid w:val="00572F16"/>
    <w:rsid w:val="0057338B"/>
    <w:rsid w:val="005741AC"/>
    <w:rsid w:val="00574E9B"/>
    <w:rsid w:val="005769D7"/>
    <w:rsid w:val="0057754B"/>
    <w:rsid w:val="00577767"/>
    <w:rsid w:val="0057787A"/>
    <w:rsid w:val="00581427"/>
    <w:rsid w:val="0058229C"/>
    <w:rsid w:val="00583613"/>
    <w:rsid w:val="00583AE6"/>
    <w:rsid w:val="00592012"/>
    <w:rsid w:val="00592B5E"/>
    <w:rsid w:val="00592F32"/>
    <w:rsid w:val="005933E8"/>
    <w:rsid w:val="00593715"/>
    <w:rsid w:val="00593E1E"/>
    <w:rsid w:val="00594240"/>
    <w:rsid w:val="00595315"/>
    <w:rsid w:val="0059597A"/>
    <w:rsid w:val="00595ADB"/>
    <w:rsid w:val="0059611F"/>
    <w:rsid w:val="00596A9A"/>
    <w:rsid w:val="005970C5"/>
    <w:rsid w:val="005A02E4"/>
    <w:rsid w:val="005A1287"/>
    <w:rsid w:val="005A2AD5"/>
    <w:rsid w:val="005A32EB"/>
    <w:rsid w:val="005A3939"/>
    <w:rsid w:val="005A3AEA"/>
    <w:rsid w:val="005A7421"/>
    <w:rsid w:val="005B2939"/>
    <w:rsid w:val="005B361F"/>
    <w:rsid w:val="005B41B5"/>
    <w:rsid w:val="005B4BD9"/>
    <w:rsid w:val="005B4D00"/>
    <w:rsid w:val="005B700D"/>
    <w:rsid w:val="005B7405"/>
    <w:rsid w:val="005C0CCB"/>
    <w:rsid w:val="005C1D20"/>
    <w:rsid w:val="005C23D8"/>
    <w:rsid w:val="005C3493"/>
    <w:rsid w:val="005C35D6"/>
    <w:rsid w:val="005C4DD1"/>
    <w:rsid w:val="005C67E5"/>
    <w:rsid w:val="005C77F5"/>
    <w:rsid w:val="005C7872"/>
    <w:rsid w:val="005D08D3"/>
    <w:rsid w:val="005D12F0"/>
    <w:rsid w:val="005D1A2A"/>
    <w:rsid w:val="005D1A2C"/>
    <w:rsid w:val="005D4EAA"/>
    <w:rsid w:val="005D5735"/>
    <w:rsid w:val="005D69A6"/>
    <w:rsid w:val="005D7448"/>
    <w:rsid w:val="005D7CD0"/>
    <w:rsid w:val="005E04E4"/>
    <w:rsid w:val="005E099E"/>
    <w:rsid w:val="005E117F"/>
    <w:rsid w:val="005E1304"/>
    <w:rsid w:val="005E1BDA"/>
    <w:rsid w:val="005E2D72"/>
    <w:rsid w:val="005E4BB3"/>
    <w:rsid w:val="005E4CD4"/>
    <w:rsid w:val="005E5B37"/>
    <w:rsid w:val="005E5E27"/>
    <w:rsid w:val="005E6489"/>
    <w:rsid w:val="005E7284"/>
    <w:rsid w:val="005F1170"/>
    <w:rsid w:val="005F1279"/>
    <w:rsid w:val="005F12D2"/>
    <w:rsid w:val="005F1DB2"/>
    <w:rsid w:val="005F213A"/>
    <w:rsid w:val="005F27F2"/>
    <w:rsid w:val="005F2FC1"/>
    <w:rsid w:val="005F443A"/>
    <w:rsid w:val="005F4510"/>
    <w:rsid w:val="005F672A"/>
    <w:rsid w:val="005F7224"/>
    <w:rsid w:val="005F7784"/>
    <w:rsid w:val="005F7C5E"/>
    <w:rsid w:val="006023E8"/>
    <w:rsid w:val="006024D1"/>
    <w:rsid w:val="006048EA"/>
    <w:rsid w:val="006049D1"/>
    <w:rsid w:val="00605CC7"/>
    <w:rsid w:val="006061EE"/>
    <w:rsid w:val="00606804"/>
    <w:rsid w:val="00606DBB"/>
    <w:rsid w:val="0061049C"/>
    <w:rsid w:val="00611B76"/>
    <w:rsid w:val="00613301"/>
    <w:rsid w:val="0061430F"/>
    <w:rsid w:val="00614700"/>
    <w:rsid w:val="00614EB0"/>
    <w:rsid w:val="0061546D"/>
    <w:rsid w:val="0061592F"/>
    <w:rsid w:val="00615E77"/>
    <w:rsid w:val="00616197"/>
    <w:rsid w:val="00616C69"/>
    <w:rsid w:val="00617674"/>
    <w:rsid w:val="00617B3C"/>
    <w:rsid w:val="006201DF"/>
    <w:rsid w:val="0062453F"/>
    <w:rsid w:val="00624E87"/>
    <w:rsid w:val="006260A7"/>
    <w:rsid w:val="00626BBE"/>
    <w:rsid w:val="006273CA"/>
    <w:rsid w:val="00630265"/>
    <w:rsid w:val="0063390A"/>
    <w:rsid w:val="00633B5B"/>
    <w:rsid w:val="00633DF8"/>
    <w:rsid w:val="006347CA"/>
    <w:rsid w:val="0063500D"/>
    <w:rsid w:val="0063541B"/>
    <w:rsid w:val="00635FE8"/>
    <w:rsid w:val="00636A4B"/>
    <w:rsid w:val="006373A8"/>
    <w:rsid w:val="006377B9"/>
    <w:rsid w:val="00637C83"/>
    <w:rsid w:val="006400C3"/>
    <w:rsid w:val="006402F6"/>
    <w:rsid w:val="00640F7F"/>
    <w:rsid w:val="00641BE4"/>
    <w:rsid w:val="00643F64"/>
    <w:rsid w:val="006447E1"/>
    <w:rsid w:val="00645318"/>
    <w:rsid w:val="00645388"/>
    <w:rsid w:val="00645EB6"/>
    <w:rsid w:val="00646C66"/>
    <w:rsid w:val="00646C73"/>
    <w:rsid w:val="006470EB"/>
    <w:rsid w:val="00652394"/>
    <w:rsid w:val="00652DB2"/>
    <w:rsid w:val="00652E57"/>
    <w:rsid w:val="00653B9C"/>
    <w:rsid w:val="00654241"/>
    <w:rsid w:val="0065558A"/>
    <w:rsid w:val="006564DF"/>
    <w:rsid w:val="00657874"/>
    <w:rsid w:val="006613B3"/>
    <w:rsid w:val="006616A1"/>
    <w:rsid w:val="00661FD0"/>
    <w:rsid w:val="0066225D"/>
    <w:rsid w:val="00662772"/>
    <w:rsid w:val="00663F38"/>
    <w:rsid w:val="0066426E"/>
    <w:rsid w:val="006651B9"/>
    <w:rsid w:val="00665CAB"/>
    <w:rsid w:val="00666994"/>
    <w:rsid w:val="0067023E"/>
    <w:rsid w:val="006704E6"/>
    <w:rsid w:val="00671084"/>
    <w:rsid w:val="0067114F"/>
    <w:rsid w:val="00671F60"/>
    <w:rsid w:val="006723BE"/>
    <w:rsid w:val="00672640"/>
    <w:rsid w:val="00673492"/>
    <w:rsid w:val="00673958"/>
    <w:rsid w:val="00674CC6"/>
    <w:rsid w:val="006764BE"/>
    <w:rsid w:val="006768DA"/>
    <w:rsid w:val="006807F4"/>
    <w:rsid w:val="00680EF5"/>
    <w:rsid w:val="006839A3"/>
    <w:rsid w:val="00683CDE"/>
    <w:rsid w:val="0068414C"/>
    <w:rsid w:val="00684E2B"/>
    <w:rsid w:val="00691FA3"/>
    <w:rsid w:val="00694F03"/>
    <w:rsid w:val="00697FA8"/>
    <w:rsid w:val="006A02CD"/>
    <w:rsid w:val="006A14B4"/>
    <w:rsid w:val="006A1B77"/>
    <w:rsid w:val="006A237B"/>
    <w:rsid w:val="006A49A5"/>
    <w:rsid w:val="006A55CC"/>
    <w:rsid w:val="006A5FD5"/>
    <w:rsid w:val="006A5FF7"/>
    <w:rsid w:val="006B0798"/>
    <w:rsid w:val="006B0939"/>
    <w:rsid w:val="006B0F55"/>
    <w:rsid w:val="006B13B1"/>
    <w:rsid w:val="006B1ECC"/>
    <w:rsid w:val="006B2C22"/>
    <w:rsid w:val="006B44D4"/>
    <w:rsid w:val="006B5760"/>
    <w:rsid w:val="006B6CB8"/>
    <w:rsid w:val="006C01A5"/>
    <w:rsid w:val="006C2980"/>
    <w:rsid w:val="006C2E95"/>
    <w:rsid w:val="006C539B"/>
    <w:rsid w:val="006C66B1"/>
    <w:rsid w:val="006C6E5B"/>
    <w:rsid w:val="006C75F9"/>
    <w:rsid w:val="006D15E6"/>
    <w:rsid w:val="006D2EBD"/>
    <w:rsid w:val="006D418B"/>
    <w:rsid w:val="006D6A25"/>
    <w:rsid w:val="006D6FBF"/>
    <w:rsid w:val="006D77C3"/>
    <w:rsid w:val="006D7D13"/>
    <w:rsid w:val="006D7F58"/>
    <w:rsid w:val="006E298A"/>
    <w:rsid w:val="006E36B3"/>
    <w:rsid w:val="006E379A"/>
    <w:rsid w:val="006E5025"/>
    <w:rsid w:val="006E71E0"/>
    <w:rsid w:val="006F02D2"/>
    <w:rsid w:val="006F165E"/>
    <w:rsid w:val="006F1667"/>
    <w:rsid w:val="006F170A"/>
    <w:rsid w:val="006F34A6"/>
    <w:rsid w:val="006F6D68"/>
    <w:rsid w:val="006F6E06"/>
    <w:rsid w:val="006F7205"/>
    <w:rsid w:val="00700729"/>
    <w:rsid w:val="007028EE"/>
    <w:rsid w:val="00702F3B"/>
    <w:rsid w:val="00704517"/>
    <w:rsid w:val="00705C42"/>
    <w:rsid w:val="00706207"/>
    <w:rsid w:val="00714FBD"/>
    <w:rsid w:val="0071593C"/>
    <w:rsid w:val="00716801"/>
    <w:rsid w:val="007169EB"/>
    <w:rsid w:val="00716FB2"/>
    <w:rsid w:val="00717A0E"/>
    <w:rsid w:val="00717DA5"/>
    <w:rsid w:val="00720578"/>
    <w:rsid w:val="0072121A"/>
    <w:rsid w:val="00721861"/>
    <w:rsid w:val="0072504D"/>
    <w:rsid w:val="00725B2B"/>
    <w:rsid w:val="00725D7B"/>
    <w:rsid w:val="007274A5"/>
    <w:rsid w:val="00727FA0"/>
    <w:rsid w:val="00732C23"/>
    <w:rsid w:val="00732CBA"/>
    <w:rsid w:val="007342E1"/>
    <w:rsid w:val="00734D3D"/>
    <w:rsid w:val="00734EBB"/>
    <w:rsid w:val="00735064"/>
    <w:rsid w:val="00737213"/>
    <w:rsid w:val="0074094F"/>
    <w:rsid w:val="00740A28"/>
    <w:rsid w:val="00741820"/>
    <w:rsid w:val="00743115"/>
    <w:rsid w:val="007436D1"/>
    <w:rsid w:val="00743957"/>
    <w:rsid w:val="00744737"/>
    <w:rsid w:val="0074600B"/>
    <w:rsid w:val="00746F37"/>
    <w:rsid w:val="007518E4"/>
    <w:rsid w:val="00751D6D"/>
    <w:rsid w:val="00752BB1"/>
    <w:rsid w:val="0075415F"/>
    <w:rsid w:val="007559CC"/>
    <w:rsid w:val="007561B4"/>
    <w:rsid w:val="0076072B"/>
    <w:rsid w:val="00760D3C"/>
    <w:rsid w:val="00760FF7"/>
    <w:rsid w:val="00761BE9"/>
    <w:rsid w:val="00761EE6"/>
    <w:rsid w:val="007647E3"/>
    <w:rsid w:val="00764F06"/>
    <w:rsid w:val="00765699"/>
    <w:rsid w:val="00765D54"/>
    <w:rsid w:val="00771BA3"/>
    <w:rsid w:val="0077210A"/>
    <w:rsid w:val="00772DC3"/>
    <w:rsid w:val="00774484"/>
    <w:rsid w:val="00774679"/>
    <w:rsid w:val="00774B3A"/>
    <w:rsid w:val="00775998"/>
    <w:rsid w:val="00775CDE"/>
    <w:rsid w:val="00777A33"/>
    <w:rsid w:val="0078053F"/>
    <w:rsid w:val="007805CB"/>
    <w:rsid w:val="007816F5"/>
    <w:rsid w:val="0078370D"/>
    <w:rsid w:val="00783E99"/>
    <w:rsid w:val="00783F19"/>
    <w:rsid w:val="00784397"/>
    <w:rsid w:val="007850B3"/>
    <w:rsid w:val="00785FE4"/>
    <w:rsid w:val="00786458"/>
    <w:rsid w:val="00786A03"/>
    <w:rsid w:val="007874CE"/>
    <w:rsid w:val="007877B7"/>
    <w:rsid w:val="00787FD1"/>
    <w:rsid w:val="00791F06"/>
    <w:rsid w:val="00792541"/>
    <w:rsid w:val="007942F5"/>
    <w:rsid w:val="00794D71"/>
    <w:rsid w:val="00794E57"/>
    <w:rsid w:val="0079577D"/>
    <w:rsid w:val="00795987"/>
    <w:rsid w:val="00795EE3"/>
    <w:rsid w:val="00795F49"/>
    <w:rsid w:val="00796359"/>
    <w:rsid w:val="007972DD"/>
    <w:rsid w:val="007976D4"/>
    <w:rsid w:val="00797C34"/>
    <w:rsid w:val="007A009B"/>
    <w:rsid w:val="007A0CE8"/>
    <w:rsid w:val="007A126D"/>
    <w:rsid w:val="007A128E"/>
    <w:rsid w:val="007A1691"/>
    <w:rsid w:val="007A1A36"/>
    <w:rsid w:val="007A3B86"/>
    <w:rsid w:val="007A3E75"/>
    <w:rsid w:val="007A4134"/>
    <w:rsid w:val="007A4996"/>
    <w:rsid w:val="007A6541"/>
    <w:rsid w:val="007A689C"/>
    <w:rsid w:val="007A6F86"/>
    <w:rsid w:val="007B04D8"/>
    <w:rsid w:val="007B082F"/>
    <w:rsid w:val="007B1CFE"/>
    <w:rsid w:val="007B27EA"/>
    <w:rsid w:val="007B2F86"/>
    <w:rsid w:val="007B316F"/>
    <w:rsid w:val="007B3C52"/>
    <w:rsid w:val="007B5A25"/>
    <w:rsid w:val="007B5F33"/>
    <w:rsid w:val="007B7529"/>
    <w:rsid w:val="007C26EC"/>
    <w:rsid w:val="007C2D5B"/>
    <w:rsid w:val="007C3823"/>
    <w:rsid w:val="007C4387"/>
    <w:rsid w:val="007C4536"/>
    <w:rsid w:val="007C4BCC"/>
    <w:rsid w:val="007C4D61"/>
    <w:rsid w:val="007C4F1F"/>
    <w:rsid w:val="007C516A"/>
    <w:rsid w:val="007C6D8E"/>
    <w:rsid w:val="007C7C5F"/>
    <w:rsid w:val="007D0256"/>
    <w:rsid w:val="007D22EF"/>
    <w:rsid w:val="007D2B03"/>
    <w:rsid w:val="007D3797"/>
    <w:rsid w:val="007D50B5"/>
    <w:rsid w:val="007D584F"/>
    <w:rsid w:val="007D6C2A"/>
    <w:rsid w:val="007D7623"/>
    <w:rsid w:val="007E0AAB"/>
    <w:rsid w:val="007E0ED4"/>
    <w:rsid w:val="007E2AC5"/>
    <w:rsid w:val="007E5222"/>
    <w:rsid w:val="007E55F7"/>
    <w:rsid w:val="007E626C"/>
    <w:rsid w:val="007E64A2"/>
    <w:rsid w:val="007E7755"/>
    <w:rsid w:val="007E7F1A"/>
    <w:rsid w:val="007F0CC8"/>
    <w:rsid w:val="007F0DD7"/>
    <w:rsid w:val="007F1563"/>
    <w:rsid w:val="007F2198"/>
    <w:rsid w:val="007F3D8D"/>
    <w:rsid w:val="007F46BA"/>
    <w:rsid w:val="007F586E"/>
    <w:rsid w:val="00800AA9"/>
    <w:rsid w:val="00803CAB"/>
    <w:rsid w:val="008065B2"/>
    <w:rsid w:val="00806623"/>
    <w:rsid w:val="00806DB7"/>
    <w:rsid w:val="008108A1"/>
    <w:rsid w:val="0081428B"/>
    <w:rsid w:val="00816225"/>
    <w:rsid w:val="0082009D"/>
    <w:rsid w:val="0082092E"/>
    <w:rsid w:val="00821295"/>
    <w:rsid w:val="00823637"/>
    <w:rsid w:val="00824585"/>
    <w:rsid w:val="00825665"/>
    <w:rsid w:val="00825833"/>
    <w:rsid w:val="00831CC1"/>
    <w:rsid w:val="00831CD3"/>
    <w:rsid w:val="008320D5"/>
    <w:rsid w:val="008329EF"/>
    <w:rsid w:val="00832FF5"/>
    <w:rsid w:val="00834022"/>
    <w:rsid w:val="00834C1D"/>
    <w:rsid w:val="00835175"/>
    <w:rsid w:val="008355A4"/>
    <w:rsid w:val="00837637"/>
    <w:rsid w:val="0083780B"/>
    <w:rsid w:val="00837C9E"/>
    <w:rsid w:val="008413DC"/>
    <w:rsid w:val="00841D51"/>
    <w:rsid w:val="008426C6"/>
    <w:rsid w:val="00842D11"/>
    <w:rsid w:val="008431EE"/>
    <w:rsid w:val="008444E2"/>
    <w:rsid w:val="00844B69"/>
    <w:rsid w:val="008464FB"/>
    <w:rsid w:val="00847183"/>
    <w:rsid w:val="0084793A"/>
    <w:rsid w:val="00847EA5"/>
    <w:rsid w:val="00847EE8"/>
    <w:rsid w:val="00850525"/>
    <w:rsid w:val="00850FDD"/>
    <w:rsid w:val="00854FD1"/>
    <w:rsid w:val="00856DAA"/>
    <w:rsid w:val="00860189"/>
    <w:rsid w:val="00861186"/>
    <w:rsid w:val="00861464"/>
    <w:rsid w:val="00861C28"/>
    <w:rsid w:val="00862E6E"/>
    <w:rsid w:val="0086605C"/>
    <w:rsid w:val="00866481"/>
    <w:rsid w:val="008669D8"/>
    <w:rsid w:val="00870DC6"/>
    <w:rsid w:val="00872A72"/>
    <w:rsid w:val="00873E34"/>
    <w:rsid w:val="00873E4A"/>
    <w:rsid w:val="0087430D"/>
    <w:rsid w:val="00875D43"/>
    <w:rsid w:val="00877C4D"/>
    <w:rsid w:val="00880CCD"/>
    <w:rsid w:val="00880FD1"/>
    <w:rsid w:val="00882BAC"/>
    <w:rsid w:val="00884141"/>
    <w:rsid w:val="00884FD4"/>
    <w:rsid w:val="00885CCC"/>
    <w:rsid w:val="00886702"/>
    <w:rsid w:val="008870FB"/>
    <w:rsid w:val="00890446"/>
    <w:rsid w:val="00891C2D"/>
    <w:rsid w:val="00892606"/>
    <w:rsid w:val="008932D9"/>
    <w:rsid w:val="00893663"/>
    <w:rsid w:val="00893ADE"/>
    <w:rsid w:val="00894346"/>
    <w:rsid w:val="00894C4F"/>
    <w:rsid w:val="00895035"/>
    <w:rsid w:val="00895753"/>
    <w:rsid w:val="00895FC6"/>
    <w:rsid w:val="008964EC"/>
    <w:rsid w:val="008975FB"/>
    <w:rsid w:val="008976AA"/>
    <w:rsid w:val="008A003B"/>
    <w:rsid w:val="008A2C9C"/>
    <w:rsid w:val="008A2E20"/>
    <w:rsid w:val="008A3658"/>
    <w:rsid w:val="008A4C65"/>
    <w:rsid w:val="008A4F3D"/>
    <w:rsid w:val="008A5E40"/>
    <w:rsid w:val="008B06B6"/>
    <w:rsid w:val="008B0BD1"/>
    <w:rsid w:val="008B229D"/>
    <w:rsid w:val="008B24C6"/>
    <w:rsid w:val="008B363D"/>
    <w:rsid w:val="008B5D0A"/>
    <w:rsid w:val="008B6423"/>
    <w:rsid w:val="008B6966"/>
    <w:rsid w:val="008B6E18"/>
    <w:rsid w:val="008C045F"/>
    <w:rsid w:val="008C0931"/>
    <w:rsid w:val="008C1C84"/>
    <w:rsid w:val="008C26E8"/>
    <w:rsid w:val="008C478E"/>
    <w:rsid w:val="008C489F"/>
    <w:rsid w:val="008C6464"/>
    <w:rsid w:val="008C71FF"/>
    <w:rsid w:val="008C762E"/>
    <w:rsid w:val="008D092C"/>
    <w:rsid w:val="008D2DEE"/>
    <w:rsid w:val="008D3FC6"/>
    <w:rsid w:val="008D49EB"/>
    <w:rsid w:val="008D4BB0"/>
    <w:rsid w:val="008D54C5"/>
    <w:rsid w:val="008D6E27"/>
    <w:rsid w:val="008E07CA"/>
    <w:rsid w:val="008E0BEC"/>
    <w:rsid w:val="008E0FD7"/>
    <w:rsid w:val="008E153E"/>
    <w:rsid w:val="008E1ACF"/>
    <w:rsid w:val="008E1C23"/>
    <w:rsid w:val="008E2507"/>
    <w:rsid w:val="008E3271"/>
    <w:rsid w:val="008E3785"/>
    <w:rsid w:val="008E3F8F"/>
    <w:rsid w:val="008E5118"/>
    <w:rsid w:val="008E66EE"/>
    <w:rsid w:val="008E6D19"/>
    <w:rsid w:val="008E7D3D"/>
    <w:rsid w:val="008F1202"/>
    <w:rsid w:val="008F1381"/>
    <w:rsid w:val="008F13C5"/>
    <w:rsid w:val="008F2FE5"/>
    <w:rsid w:val="008F3ACB"/>
    <w:rsid w:val="008F534A"/>
    <w:rsid w:val="008F6B4F"/>
    <w:rsid w:val="008F6F45"/>
    <w:rsid w:val="008F75DC"/>
    <w:rsid w:val="0090025D"/>
    <w:rsid w:val="00902897"/>
    <w:rsid w:val="00902D51"/>
    <w:rsid w:val="00903913"/>
    <w:rsid w:val="00903E11"/>
    <w:rsid w:val="00904D2E"/>
    <w:rsid w:val="00905418"/>
    <w:rsid w:val="009055AD"/>
    <w:rsid w:val="0090659B"/>
    <w:rsid w:val="00906C20"/>
    <w:rsid w:val="009074EF"/>
    <w:rsid w:val="0091042F"/>
    <w:rsid w:val="0091173D"/>
    <w:rsid w:val="00911D62"/>
    <w:rsid w:val="0091536E"/>
    <w:rsid w:val="009156BC"/>
    <w:rsid w:val="0091633A"/>
    <w:rsid w:val="00916F54"/>
    <w:rsid w:val="00917433"/>
    <w:rsid w:val="009178DF"/>
    <w:rsid w:val="00917FA7"/>
    <w:rsid w:val="009205AF"/>
    <w:rsid w:val="00921298"/>
    <w:rsid w:val="0092185B"/>
    <w:rsid w:val="0092246B"/>
    <w:rsid w:val="009241AF"/>
    <w:rsid w:val="009241D1"/>
    <w:rsid w:val="009241FC"/>
    <w:rsid w:val="0092769C"/>
    <w:rsid w:val="009305A6"/>
    <w:rsid w:val="009325AA"/>
    <w:rsid w:val="00932995"/>
    <w:rsid w:val="00932C4E"/>
    <w:rsid w:val="0093485A"/>
    <w:rsid w:val="009352A7"/>
    <w:rsid w:val="009352BD"/>
    <w:rsid w:val="009406CF"/>
    <w:rsid w:val="009411F1"/>
    <w:rsid w:val="00942666"/>
    <w:rsid w:val="0094394D"/>
    <w:rsid w:val="00945C57"/>
    <w:rsid w:val="00946FCE"/>
    <w:rsid w:val="00950877"/>
    <w:rsid w:val="0095099A"/>
    <w:rsid w:val="00950B89"/>
    <w:rsid w:val="00952291"/>
    <w:rsid w:val="00952B0E"/>
    <w:rsid w:val="009531D4"/>
    <w:rsid w:val="009536BD"/>
    <w:rsid w:val="00956057"/>
    <w:rsid w:val="0095643B"/>
    <w:rsid w:val="00957AD1"/>
    <w:rsid w:val="00957B4B"/>
    <w:rsid w:val="00960544"/>
    <w:rsid w:val="00961998"/>
    <w:rsid w:val="00961F60"/>
    <w:rsid w:val="00962E7E"/>
    <w:rsid w:val="00962F20"/>
    <w:rsid w:val="0096359F"/>
    <w:rsid w:val="00963D6D"/>
    <w:rsid w:val="00964039"/>
    <w:rsid w:val="00964B8C"/>
    <w:rsid w:val="00966147"/>
    <w:rsid w:val="00966E13"/>
    <w:rsid w:val="0096730B"/>
    <w:rsid w:val="00967520"/>
    <w:rsid w:val="00971537"/>
    <w:rsid w:val="00975F54"/>
    <w:rsid w:val="00976453"/>
    <w:rsid w:val="00977C1B"/>
    <w:rsid w:val="00980290"/>
    <w:rsid w:val="00980F1C"/>
    <w:rsid w:val="0098113A"/>
    <w:rsid w:val="0098189D"/>
    <w:rsid w:val="00982D3B"/>
    <w:rsid w:val="009841F7"/>
    <w:rsid w:val="00985AB3"/>
    <w:rsid w:val="0098625E"/>
    <w:rsid w:val="00987B1D"/>
    <w:rsid w:val="00987B62"/>
    <w:rsid w:val="00987C64"/>
    <w:rsid w:val="009900E2"/>
    <w:rsid w:val="00992042"/>
    <w:rsid w:val="00993582"/>
    <w:rsid w:val="0099366A"/>
    <w:rsid w:val="00993E15"/>
    <w:rsid w:val="00993E7D"/>
    <w:rsid w:val="009A1241"/>
    <w:rsid w:val="009A144D"/>
    <w:rsid w:val="009A1812"/>
    <w:rsid w:val="009A386B"/>
    <w:rsid w:val="009A58DA"/>
    <w:rsid w:val="009A5D3A"/>
    <w:rsid w:val="009A69A6"/>
    <w:rsid w:val="009B00E4"/>
    <w:rsid w:val="009B21E0"/>
    <w:rsid w:val="009B24E7"/>
    <w:rsid w:val="009B41B0"/>
    <w:rsid w:val="009B4700"/>
    <w:rsid w:val="009B502D"/>
    <w:rsid w:val="009B6518"/>
    <w:rsid w:val="009B6526"/>
    <w:rsid w:val="009B7B17"/>
    <w:rsid w:val="009C1B68"/>
    <w:rsid w:val="009C29EF"/>
    <w:rsid w:val="009C3265"/>
    <w:rsid w:val="009C42CB"/>
    <w:rsid w:val="009C4A0B"/>
    <w:rsid w:val="009C5155"/>
    <w:rsid w:val="009C5B93"/>
    <w:rsid w:val="009C619A"/>
    <w:rsid w:val="009C7B8C"/>
    <w:rsid w:val="009D0042"/>
    <w:rsid w:val="009D0442"/>
    <w:rsid w:val="009D06E2"/>
    <w:rsid w:val="009D382E"/>
    <w:rsid w:val="009D3941"/>
    <w:rsid w:val="009D3A84"/>
    <w:rsid w:val="009D51D8"/>
    <w:rsid w:val="009D6C16"/>
    <w:rsid w:val="009D78A2"/>
    <w:rsid w:val="009E00AA"/>
    <w:rsid w:val="009E0D61"/>
    <w:rsid w:val="009E1ACE"/>
    <w:rsid w:val="009E2D02"/>
    <w:rsid w:val="009E4300"/>
    <w:rsid w:val="009E699C"/>
    <w:rsid w:val="009E75C3"/>
    <w:rsid w:val="009E7837"/>
    <w:rsid w:val="009F060C"/>
    <w:rsid w:val="009F0A20"/>
    <w:rsid w:val="009F1332"/>
    <w:rsid w:val="009F180F"/>
    <w:rsid w:val="009F2273"/>
    <w:rsid w:val="009F3E1F"/>
    <w:rsid w:val="009F468D"/>
    <w:rsid w:val="009F5CF2"/>
    <w:rsid w:val="009F7CEB"/>
    <w:rsid w:val="00A0032F"/>
    <w:rsid w:val="00A016D0"/>
    <w:rsid w:val="00A01CDB"/>
    <w:rsid w:val="00A01D8C"/>
    <w:rsid w:val="00A01DF6"/>
    <w:rsid w:val="00A02970"/>
    <w:rsid w:val="00A02989"/>
    <w:rsid w:val="00A04064"/>
    <w:rsid w:val="00A051FA"/>
    <w:rsid w:val="00A06611"/>
    <w:rsid w:val="00A06B32"/>
    <w:rsid w:val="00A07718"/>
    <w:rsid w:val="00A07992"/>
    <w:rsid w:val="00A07AC7"/>
    <w:rsid w:val="00A10B73"/>
    <w:rsid w:val="00A11071"/>
    <w:rsid w:val="00A122B1"/>
    <w:rsid w:val="00A13D6A"/>
    <w:rsid w:val="00A13E5E"/>
    <w:rsid w:val="00A13E8D"/>
    <w:rsid w:val="00A1429A"/>
    <w:rsid w:val="00A15906"/>
    <w:rsid w:val="00A16249"/>
    <w:rsid w:val="00A16B8C"/>
    <w:rsid w:val="00A16F7F"/>
    <w:rsid w:val="00A17087"/>
    <w:rsid w:val="00A200AC"/>
    <w:rsid w:val="00A20824"/>
    <w:rsid w:val="00A212F9"/>
    <w:rsid w:val="00A21C9C"/>
    <w:rsid w:val="00A2201D"/>
    <w:rsid w:val="00A22087"/>
    <w:rsid w:val="00A222F0"/>
    <w:rsid w:val="00A228D1"/>
    <w:rsid w:val="00A22A39"/>
    <w:rsid w:val="00A22BFA"/>
    <w:rsid w:val="00A22E11"/>
    <w:rsid w:val="00A23966"/>
    <w:rsid w:val="00A2419A"/>
    <w:rsid w:val="00A25CC8"/>
    <w:rsid w:val="00A2612B"/>
    <w:rsid w:val="00A26C4A"/>
    <w:rsid w:val="00A306B0"/>
    <w:rsid w:val="00A30AA0"/>
    <w:rsid w:val="00A3211E"/>
    <w:rsid w:val="00A3242D"/>
    <w:rsid w:val="00A325BF"/>
    <w:rsid w:val="00A34478"/>
    <w:rsid w:val="00A3457A"/>
    <w:rsid w:val="00A35936"/>
    <w:rsid w:val="00A37A4D"/>
    <w:rsid w:val="00A37B76"/>
    <w:rsid w:val="00A37BF3"/>
    <w:rsid w:val="00A40400"/>
    <w:rsid w:val="00A431FC"/>
    <w:rsid w:val="00A4380B"/>
    <w:rsid w:val="00A44709"/>
    <w:rsid w:val="00A45CB3"/>
    <w:rsid w:val="00A46EBC"/>
    <w:rsid w:val="00A503C7"/>
    <w:rsid w:val="00A508EF"/>
    <w:rsid w:val="00A50BA2"/>
    <w:rsid w:val="00A523D0"/>
    <w:rsid w:val="00A53170"/>
    <w:rsid w:val="00A5341B"/>
    <w:rsid w:val="00A53521"/>
    <w:rsid w:val="00A54302"/>
    <w:rsid w:val="00A5452F"/>
    <w:rsid w:val="00A576DC"/>
    <w:rsid w:val="00A609BB"/>
    <w:rsid w:val="00A61988"/>
    <w:rsid w:val="00A64EA4"/>
    <w:rsid w:val="00A65DFA"/>
    <w:rsid w:val="00A70869"/>
    <w:rsid w:val="00A7544C"/>
    <w:rsid w:val="00A75E06"/>
    <w:rsid w:val="00A77DAF"/>
    <w:rsid w:val="00A812BD"/>
    <w:rsid w:val="00A82550"/>
    <w:rsid w:val="00A826DB"/>
    <w:rsid w:val="00A84825"/>
    <w:rsid w:val="00A84FD3"/>
    <w:rsid w:val="00A8548A"/>
    <w:rsid w:val="00A858C6"/>
    <w:rsid w:val="00A86080"/>
    <w:rsid w:val="00A861AD"/>
    <w:rsid w:val="00A90BA6"/>
    <w:rsid w:val="00A9300E"/>
    <w:rsid w:val="00A934CE"/>
    <w:rsid w:val="00A93FCB"/>
    <w:rsid w:val="00A94EDF"/>
    <w:rsid w:val="00A96587"/>
    <w:rsid w:val="00A96B20"/>
    <w:rsid w:val="00A97247"/>
    <w:rsid w:val="00AA001D"/>
    <w:rsid w:val="00AA06D8"/>
    <w:rsid w:val="00AA08DC"/>
    <w:rsid w:val="00AA359A"/>
    <w:rsid w:val="00AA3816"/>
    <w:rsid w:val="00AA4ADD"/>
    <w:rsid w:val="00AA7796"/>
    <w:rsid w:val="00AB07CF"/>
    <w:rsid w:val="00AB21BD"/>
    <w:rsid w:val="00AB3005"/>
    <w:rsid w:val="00AB37C6"/>
    <w:rsid w:val="00AB3A50"/>
    <w:rsid w:val="00AB3B8F"/>
    <w:rsid w:val="00AB3CB7"/>
    <w:rsid w:val="00AB3F59"/>
    <w:rsid w:val="00AB4F66"/>
    <w:rsid w:val="00AB55DD"/>
    <w:rsid w:val="00AB599C"/>
    <w:rsid w:val="00AB62F0"/>
    <w:rsid w:val="00AB65EF"/>
    <w:rsid w:val="00AB693C"/>
    <w:rsid w:val="00AC2E4D"/>
    <w:rsid w:val="00AC54BC"/>
    <w:rsid w:val="00AC6AA4"/>
    <w:rsid w:val="00AC7135"/>
    <w:rsid w:val="00AD0321"/>
    <w:rsid w:val="00AD1438"/>
    <w:rsid w:val="00AD186D"/>
    <w:rsid w:val="00AD1DA6"/>
    <w:rsid w:val="00AD1ECB"/>
    <w:rsid w:val="00AD4C2D"/>
    <w:rsid w:val="00AD53FF"/>
    <w:rsid w:val="00AD672E"/>
    <w:rsid w:val="00AD6A17"/>
    <w:rsid w:val="00AD76ED"/>
    <w:rsid w:val="00AD7C01"/>
    <w:rsid w:val="00AE156B"/>
    <w:rsid w:val="00AE25E6"/>
    <w:rsid w:val="00AE29A8"/>
    <w:rsid w:val="00AE5EAB"/>
    <w:rsid w:val="00AE74BB"/>
    <w:rsid w:val="00AE7740"/>
    <w:rsid w:val="00AF0318"/>
    <w:rsid w:val="00AF30EC"/>
    <w:rsid w:val="00AF46D9"/>
    <w:rsid w:val="00AF6B9D"/>
    <w:rsid w:val="00B007F3"/>
    <w:rsid w:val="00B00E7F"/>
    <w:rsid w:val="00B01D53"/>
    <w:rsid w:val="00B022A8"/>
    <w:rsid w:val="00B02AF4"/>
    <w:rsid w:val="00B036A7"/>
    <w:rsid w:val="00B04EBE"/>
    <w:rsid w:val="00B05679"/>
    <w:rsid w:val="00B056C4"/>
    <w:rsid w:val="00B10137"/>
    <w:rsid w:val="00B104A0"/>
    <w:rsid w:val="00B10BB9"/>
    <w:rsid w:val="00B11071"/>
    <w:rsid w:val="00B11207"/>
    <w:rsid w:val="00B114DB"/>
    <w:rsid w:val="00B12102"/>
    <w:rsid w:val="00B13095"/>
    <w:rsid w:val="00B130D5"/>
    <w:rsid w:val="00B139E0"/>
    <w:rsid w:val="00B156B6"/>
    <w:rsid w:val="00B1645A"/>
    <w:rsid w:val="00B16AD4"/>
    <w:rsid w:val="00B16D30"/>
    <w:rsid w:val="00B17093"/>
    <w:rsid w:val="00B2064E"/>
    <w:rsid w:val="00B20FBA"/>
    <w:rsid w:val="00B22C55"/>
    <w:rsid w:val="00B23504"/>
    <w:rsid w:val="00B23900"/>
    <w:rsid w:val="00B2394F"/>
    <w:rsid w:val="00B240ED"/>
    <w:rsid w:val="00B24578"/>
    <w:rsid w:val="00B245B4"/>
    <w:rsid w:val="00B26E8C"/>
    <w:rsid w:val="00B27303"/>
    <w:rsid w:val="00B27354"/>
    <w:rsid w:val="00B30060"/>
    <w:rsid w:val="00B3015B"/>
    <w:rsid w:val="00B311D6"/>
    <w:rsid w:val="00B32087"/>
    <w:rsid w:val="00B32490"/>
    <w:rsid w:val="00B332C6"/>
    <w:rsid w:val="00B33814"/>
    <w:rsid w:val="00B344EF"/>
    <w:rsid w:val="00B347F4"/>
    <w:rsid w:val="00B34EE3"/>
    <w:rsid w:val="00B354EC"/>
    <w:rsid w:val="00B367E7"/>
    <w:rsid w:val="00B3769C"/>
    <w:rsid w:val="00B410F5"/>
    <w:rsid w:val="00B41438"/>
    <w:rsid w:val="00B41589"/>
    <w:rsid w:val="00B41C68"/>
    <w:rsid w:val="00B4263B"/>
    <w:rsid w:val="00B42765"/>
    <w:rsid w:val="00B42A45"/>
    <w:rsid w:val="00B43FEF"/>
    <w:rsid w:val="00B443C9"/>
    <w:rsid w:val="00B444F8"/>
    <w:rsid w:val="00B45C16"/>
    <w:rsid w:val="00B473AE"/>
    <w:rsid w:val="00B47FB0"/>
    <w:rsid w:val="00B50941"/>
    <w:rsid w:val="00B515AF"/>
    <w:rsid w:val="00B542A7"/>
    <w:rsid w:val="00B54E7D"/>
    <w:rsid w:val="00B55652"/>
    <w:rsid w:val="00B568F0"/>
    <w:rsid w:val="00B57A5E"/>
    <w:rsid w:val="00B60968"/>
    <w:rsid w:val="00B611A5"/>
    <w:rsid w:val="00B623C2"/>
    <w:rsid w:val="00B636AB"/>
    <w:rsid w:val="00B636D7"/>
    <w:rsid w:val="00B6397F"/>
    <w:rsid w:val="00B63FF0"/>
    <w:rsid w:val="00B65738"/>
    <w:rsid w:val="00B66784"/>
    <w:rsid w:val="00B66895"/>
    <w:rsid w:val="00B756FD"/>
    <w:rsid w:val="00B774BA"/>
    <w:rsid w:val="00B77CC2"/>
    <w:rsid w:val="00B80D45"/>
    <w:rsid w:val="00B819D3"/>
    <w:rsid w:val="00B85A1A"/>
    <w:rsid w:val="00B85F78"/>
    <w:rsid w:val="00B862F4"/>
    <w:rsid w:val="00B9103B"/>
    <w:rsid w:val="00B9109C"/>
    <w:rsid w:val="00B9142A"/>
    <w:rsid w:val="00B928DF"/>
    <w:rsid w:val="00B931DD"/>
    <w:rsid w:val="00B93660"/>
    <w:rsid w:val="00B94DE8"/>
    <w:rsid w:val="00B95AFF"/>
    <w:rsid w:val="00B964C0"/>
    <w:rsid w:val="00B971DF"/>
    <w:rsid w:val="00B976F7"/>
    <w:rsid w:val="00B97D26"/>
    <w:rsid w:val="00BA04B3"/>
    <w:rsid w:val="00BA0901"/>
    <w:rsid w:val="00BA2036"/>
    <w:rsid w:val="00BA2077"/>
    <w:rsid w:val="00BA32D8"/>
    <w:rsid w:val="00BA335D"/>
    <w:rsid w:val="00BA3A49"/>
    <w:rsid w:val="00BA42F5"/>
    <w:rsid w:val="00BA4451"/>
    <w:rsid w:val="00BA57D7"/>
    <w:rsid w:val="00BA5B67"/>
    <w:rsid w:val="00BA5D86"/>
    <w:rsid w:val="00BA623E"/>
    <w:rsid w:val="00BA62CD"/>
    <w:rsid w:val="00BA68FB"/>
    <w:rsid w:val="00BA7460"/>
    <w:rsid w:val="00BB0A9D"/>
    <w:rsid w:val="00BB1AB2"/>
    <w:rsid w:val="00BB23FF"/>
    <w:rsid w:val="00BB325A"/>
    <w:rsid w:val="00BB64B7"/>
    <w:rsid w:val="00BB7550"/>
    <w:rsid w:val="00BB7DCF"/>
    <w:rsid w:val="00BC0076"/>
    <w:rsid w:val="00BC01BA"/>
    <w:rsid w:val="00BC0300"/>
    <w:rsid w:val="00BC31DA"/>
    <w:rsid w:val="00BC3A4C"/>
    <w:rsid w:val="00BC55A9"/>
    <w:rsid w:val="00BC58BC"/>
    <w:rsid w:val="00BC62E2"/>
    <w:rsid w:val="00BC64D1"/>
    <w:rsid w:val="00BC6614"/>
    <w:rsid w:val="00BC73FD"/>
    <w:rsid w:val="00BC7EDA"/>
    <w:rsid w:val="00BD00F2"/>
    <w:rsid w:val="00BD2769"/>
    <w:rsid w:val="00BD29AF"/>
    <w:rsid w:val="00BD3128"/>
    <w:rsid w:val="00BD3401"/>
    <w:rsid w:val="00BD480C"/>
    <w:rsid w:val="00BD51F0"/>
    <w:rsid w:val="00BD599D"/>
    <w:rsid w:val="00BD5CC1"/>
    <w:rsid w:val="00BD5E11"/>
    <w:rsid w:val="00BE1A80"/>
    <w:rsid w:val="00BE49FF"/>
    <w:rsid w:val="00BE64D2"/>
    <w:rsid w:val="00BE68CA"/>
    <w:rsid w:val="00BE7287"/>
    <w:rsid w:val="00BF0655"/>
    <w:rsid w:val="00BF1CA5"/>
    <w:rsid w:val="00BF224A"/>
    <w:rsid w:val="00BF281E"/>
    <w:rsid w:val="00BF32EE"/>
    <w:rsid w:val="00BF3522"/>
    <w:rsid w:val="00C00197"/>
    <w:rsid w:val="00C00816"/>
    <w:rsid w:val="00C0272C"/>
    <w:rsid w:val="00C037C4"/>
    <w:rsid w:val="00C042FE"/>
    <w:rsid w:val="00C0444D"/>
    <w:rsid w:val="00C05662"/>
    <w:rsid w:val="00C06631"/>
    <w:rsid w:val="00C07007"/>
    <w:rsid w:val="00C07419"/>
    <w:rsid w:val="00C07870"/>
    <w:rsid w:val="00C10C1D"/>
    <w:rsid w:val="00C118C5"/>
    <w:rsid w:val="00C13E83"/>
    <w:rsid w:val="00C15539"/>
    <w:rsid w:val="00C17F79"/>
    <w:rsid w:val="00C202ED"/>
    <w:rsid w:val="00C2050B"/>
    <w:rsid w:val="00C205DA"/>
    <w:rsid w:val="00C20B8E"/>
    <w:rsid w:val="00C2105C"/>
    <w:rsid w:val="00C21839"/>
    <w:rsid w:val="00C221FF"/>
    <w:rsid w:val="00C23256"/>
    <w:rsid w:val="00C2469D"/>
    <w:rsid w:val="00C24849"/>
    <w:rsid w:val="00C251F4"/>
    <w:rsid w:val="00C260E5"/>
    <w:rsid w:val="00C269D8"/>
    <w:rsid w:val="00C27A8A"/>
    <w:rsid w:val="00C27C42"/>
    <w:rsid w:val="00C30117"/>
    <w:rsid w:val="00C308BB"/>
    <w:rsid w:val="00C30AD9"/>
    <w:rsid w:val="00C31965"/>
    <w:rsid w:val="00C325A9"/>
    <w:rsid w:val="00C33198"/>
    <w:rsid w:val="00C33CCB"/>
    <w:rsid w:val="00C33E7E"/>
    <w:rsid w:val="00C34652"/>
    <w:rsid w:val="00C34A5B"/>
    <w:rsid w:val="00C34D2F"/>
    <w:rsid w:val="00C3581A"/>
    <w:rsid w:val="00C35ECA"/>
    <w:rsid w:val="00C366A4"/>
    <w:rsid w:val="00C40933"/>
    <w:rsid w:val="00C41246"/>
    <w:rsid w:val="00C4168F"/>
    <w:rsid w:val="00C42210"/>
    <w:rsid w:val="00C42BCF"/>
    <w:rsid w:val="00C43041"/>
    <w:rsid w:val="00C43625"/>
    <w:rsid w:val="00C43BDB"/>
    <w:rsid w:val="00C4400D"/>
    <w:rsid w:val="00C45260"/>
    <w:rsid w:val="00C453E2"/>
    <w:rsid w:val="00C454DD"/>
    <w:rsid w:val="00C4571F"/>
    <w:rsid w:val="00C464DB"/>
    <w:rsid w:val="00C4699C"/>
    <w:rsid w:val="00C46E5D"/>
    <w:rsid w:val="00C475DB"/>
    <w:rsid w:val="00C47A18"/>
    <w:rsid w:val="00C52306"/>
    <w:rsid w:val="00C52F10"/>
    <w:rsid w:val="00C547E4"/>
    <w:rsid w:val="00C5532E"/>
    <w:rsid w:val="00C56A1D"/>
    <w:rsid w:val="00C571C1"/>
    <w:rsid w:val="00C57B8B"/>
    <w:rsid w:val="00C612FE"/>
    <w:rsid w:val="00C61F99"/>
    <w:rsid w:val="00C63906"/>
    <w:rsid w:val="00C63BDC"/>
    <w:rsid w:val="00C64B76"/>
    <w:rsid w:val="00C659BA"/>
    <w:rsid w:val="00C6654C"/>
    <w:rsid w:val="00C67869"/>
    <w:rsid w:val="00C67B5D"/>
    <w:rsid w:val="00C701EF"/>
    <w:rsid w:val="00C70223"/>
    <w:rsid w:val="00C71502"/>
    <w:rsid w:val="00C729AF"/>
    <w:rsid w:val="00C73645"/>
    <w:rsid w:val="00C739D8"/>
    <w:rsid w:val="00C74C52"/>
    <w:rsid w:val="00C74FC9"/>
    <w:rsid w:val="00C76985"/>
    <w:rsid w:val="00C76B9B"/>
    <w:rsid w:val="00C77307"/>
    <w:rsid w:val="00C809AB"/>
    <w:rsid w:val="00C80DFC"/>
    <w:rsid w:val="00C8100F"/>
    <w:rsid w:val="00C83008"/>
    <w:rsid w:val="00C8381C"/>
    <w:rsid w:val="00C83E42"/>
    <w:rsid w:val="00C84EC0"/>
    <w:rsid w:val="00C862A5"/>
    <w:rsid w:val="00C8780A"/>
    <w:rsid w:val="00C87C24"/>
    <w:rsid w:val="00C9114E"/>
    <w:rsid w:val="00C93310"/>
    <w:rsid w:val="00C93480"/>
    <w:rsid w:val="00C93983"/>
    <w:rsid w:val="00C94C23"/>
    <w:rsid w:val="00C95673"/>
    <w:rsid w:val="00C956B7"/>
    <w:rsid w:val="00C95B43"/>
    <w:rsid w:val="00C97377"/>
    <w:rsid w:val="00C97D96"/>
    <w:rsid w:val="00CA263C"/>
    <w:rsid w:val="00CA26CB"/>
    <w:rsid w:val="00CA3B4F"/>
    <w:rsid w:val="00CA45A8"/>
    <w:rsid w:val="00CA47C0"/>
    <w:rsid w:val="00CA4DB7"/>
    <w:rsid w:val="00CA5338"/>
    <w:rsid w:val="00CA5A75"/>
    <w:rsid w:val="00CA6A0E"/>
    <w:rsid w:val="00CB3D9D"/>
    <w:rsid w:val="00CB43CB"/>
    <w:rsid w:val="00CB45C9"/>
    <w:rsid w:val="00CB518F"/>
    <w:rsid w:val="00CB544C"/>
    <w:rsid w:val="00CB5F73"/>
    <w:rsid w:val="00CB6061"/>
    <w:rsid w:val="00CB64FC"/>
    <w:rsid w:val="00CB664C"/>
    <w:rsid w:val="00CB7063"/>
    <w:rsid w:val="00CB751F"/>
    <w:rsid w:val="00CC2A37"/>
    <w:rsid w:val="00CC5A4F"/>
    <w:rsid w:val="00CC5A5E"/>
    <w:rsid w:val="00CC5B49"/>
    <w:rsid w:val="00CC5F82"/>
    <w:rsid w:val="00CC6517"/>
    <w:rsid w:val="00CC7BD5"/>
    <w:rsid w:val="00CD315E"/>
    <w:rsid w:val="00CD39BE"/>
    <w:rsid w:val="00CD3C9A"/>
    <w:rsid w:val="00CD5482"/>
    <w:rsid w:val="00CD5719"/>
    <w:rsid w:val="00CD5843"/>
    <w:rsid w:val="00CE0221"/>
    <w:rsid w:val="00CE08E8"/>
    <w:rsid w:val="00CE0920"/>
    <w:rsid w:val="00CE1714"/>
    <w:rsid w:val="00CE47CD"/>
    <w:rsid w:val="00CE47EC"/>
    <w:rsid w:val="00CE485C"/>
    <w:rsid w:val="00CE66EE"/>
    <w:rsid w:val="00CE6DF8"/>
    <w:rsid w:val="00CE733A"/>
    <w:rsid w:val="00CE7921"/>
    <w:rsid w:val="00CF18A5"/>
    <w:rsid w:val="00CF5053"/>
    <w:rsid w:val="00CF5547"/>
    <w:rsid w:val="00CF683D"/>
    <w:rsid w:val="00D01CE0"/>
    <w:rsid w:val="00D01E49"/>
    <w:rsid w:val="00D0307B"/>
    <w:rsid w:val="00D03839"/>
    <w:rsid w:val="00D03ECA"/>
    <w:rsid w:val="00D04338"/>
    <w:rsid w:val="00D04FC7"/>
    <w:rsid w:val="00D053ED"/>
    <w:rsid w:val="00D11C2F"/>
    <w:rsid w:val="00D12269"/>
    <w:rsid w:val="00D14549"/>
    <w:rsid w:val="00D20D78"/>
    <w:rsid w:val="00D214FF"/>
    <w:rsid w:val="00D21F72"/>
    <w:rsid w:val="00D221C5"/>
    <w:rsid w:val="00D226CB"/>
    <w:rsid w:val="00D234BD"/>
    <w:rsid w:val="00D23914"/>
    <w:rsid w:val="00D24CB2"/>
    <w:rsid w:val="00D25B8D"/>
    <w:rsid w:val="00D26798"/>
    <w:rsid w:val="00D26F87"/>
    <w:rsid w:val="00D271DC"/>
    <w:rsid w:val="00D307AD"/>
    <w:rsid w:val="00D31AEE"/>
    <w:rsid w:val="00D33575"/>
    <w:rsid w:val="00D33945"/>
    <w:rsid w:val="00D3410B"/>
    <w:rsid w:val="00D3479B"/>
    <w:rsid w:val="00D3561F"/>
    <w:rsid w:val="00D35956"/>
    <w:rsid w:val="00D36A0F"/>
    <w:rsid w:val="00D40D65"/>
    <w:rsid w:val="00D4115F"/>
    <w:rsid w:val="00D418EE"/>
    <w:rsid w:val="00D41999"/>
    <w:rsid w:val="00D421EB"/>
    <w:rsid w:val="00D42BC9"/>
    <w:rsid w:val="00D431FE"/>
    <w:rsid w:val="00D43F06"/>
    <w:rsid w:val="00D44DE3"/>
    <w:rsid w:val="00D52E7D"/>
    <w:rsid w:val="00D5337C"/>
    <w:rsid w:val="00D533D2"/>
    <w:rsid w:val="00D53AE2"/>
    <w:rsid w:val="00D55B07"/>
    <w:rsid w:val="00D564E5"/>
    <w:rsid w:val="00D56CE4"/>
    <w:rsid w:val="00D576C5"/>
    <w:rsid w:val="00D60342"/>
    <w:rsid w:val="00D608D2"/>
    <w:rsid w:val="00D61445"/>
    <w:rsid w:val="00D61DFC"/>
    <w:rsid w:val="00D6252C"/>
    <w:rsid w:val="00D643A2"/>
    <w:rsid w:val="00D64B63"/>
    <w:rsid w:val="00D666F4"/>
    <w:rsid w:val="00D67232"/>
    <w:rsid w:val="00D7045C"/>
    <w:rsid w:val="00D71AB0"/>
    <w:rsid w:val="00D732D1"/>
    <w:rsid w:val="00D74FE5"/>
    <w:rsid w:val="00D75A86"/>
    <w:rsid w:val="00D75E2F"/>
    <w:rsid w:val="00D779D2"/>
    <w:rsid w:val="00D80BB2"/>
    <w:rsid w:val="00D811FD"/>
    <w:rsid w:val="00D81A26"/>
    <w:rsid w:val="00D83CA6"/>
    <w:rsid w:val="00D83D71"/>
    <w:rsid w:val="00D84722"/>
    <w:rsid w:val="00D876A6"/>
    <w:rsid w:val="00D87C56"/>
    <w:rsid w:val="00D9000B"/>
    <w:rsid w:val="00D919FD"/>
    <w:rsid w:val="00D91B6F"/>
    <w:rsid w:val="00D920CF"/>
    <w:rsid w:val="00D931E5"/>
    <w:rsid w:val="00D9400C"/>
    <w:rsid w:val="00DA0D2A"/>
    <w:rsid w:val="00DA36E4"/>
    <w:rsid w:val="00DA3B48"/>
    <w:rsid w:val="00DA40FC"/>
    <w:rsid w:val="00DA481E"/>
    <w:rsid w:val="00DA4BF4"/>
    <w:rsid w:val="00DA59D9"/>
    <w:rsid w:val="00DA5DDD"/>
    <w:rsid w:val="00DB043C"/>
    <w:rsid w:val="00DB0454"/>
    <w:rsid w:val="00DB051C"/>
    <w:rsid w:val="00DB09CC"/>
    <w:rsid w:val="00DB1D41"/>
    <w:rsid w:val="00DB26E7"/>
    <w:rsid w:val="00DB51E1"/>
    <w:rsid w:val="00DB526A"/>
    <w:rsid w:val="00DB5EFC"/>
    <w:rsid w:val="00DB6EE4"/>
    <w:rsid w:val="00DC25A8"/>
    <w:rsid w:val="00DC3587"/>
    <w:rsid w:val="00DC4385"/>
    <w:rsid w:val="00DD0477"/>
    <w:rsid w:val="00DD58EC"/>
    <w:rsid w:val="00DD70D7"/>
    <w:rsid w:val="00DD72AA"/>
    <w:rsid w:val="00DE0800"/>
    <w:rsid w:val="00DE1583"/>
    <w:rsid w:val="00DE5829"/>
    <w:rsid w:val="00DE636E"/>
    <w:rsid w:val="00DE7FCB"/>
    <w:rsid w:val="00DF162B"/>
    <w:rsid w:val="00DF41E4"/>
    <w:rsid w:val="00DF4634"/>
    <w:rsid w:val="00DF4935"/>
    <w:rsid w:val="00DF673F"/>
    <w:rsid w:val="00DF7230"/>
    <w:rsid w:val="00E00707"/>
    <w:rsid w:val="00E00E31"/>
    <w:rsid w:val="00E0258C"/>
    <w:rsid w:val="00E02BE6"/>
    <w:rsid w:val="00E057E4"/>
    <w:rsid w:val="00E13595"/>
    <w:rsid w:val="00E135CF"/>
    <w:rsid w:val="00E14358"/>
    <w:rsid w:val="00E14375"/>
    <w:rsid w:val="00E16450"/>
    <w:rsid w:val="00E1760D"/>
    <w:rsid w:val="00E178F1"/>
    <w:rsid w:val="00E20084"/>
    <w:rsid w:val="00E21BD1"/>
    <w:rsid w:val="00E21EEB"/>
    <w:rsid w:val="00E2244B"/>
    <w:rsid w:val="00E23C6C"/>
    <w:rsid w:val="00E240AD"/>
    <w:rsid w:val="00E24B07"/>
    <w:rsid w:val="00E25734"/>
    <w:rsid w:val="00E3143F"/>
    <w:rsid w:val="00E332FE"/>
    <w:rsid w:val="00E34A15"/>
    <w:rsid w:val="00E34D43"/>
    <w:rsid w:val="00E354FB"/>
    <w:rsid w:val="00E358D3"/>
    <w:rsid w:val="00E36665"/>
    <w:rsid w:val="00E36BE5"/>
    <w:rsid w:val="00E37A3F"/>
    <w:rsid w:val="00E40608"/>
    <w:rsid w:val="00E409A1"/>
    <w:rsid w:val="00E40B3E"/>
    <w:rsid w:val="00E40F40"/>
    <w:rsid w:val="00E41A82"/>
    <w:rsid w:val="00E41B72"/>
    <w:rsid w:val="00E42343"/>
    <w:rsid w:val="00E44226"/>
    <w:rsid w:val="00E45B17"/>
    <w:rsid w:val="00E46846"/>
    <w:rsid w:val="00E46DC6"/>
    <w:rsid w:val="00E4783F"/>
    <w:rsid w:val="00E51217"/>
    <w:rsid w:val="00E51844"/>
    <w:rsid w:val="00E520DF"/>
    <w:rsid w:val="00E52296"/>
    <w:rsid w:val="00E5347F"/>
    <w:rsid w:val="00E5510D"/>
    <w:rsid w:val="00E5570E"/>
    <w:rsid w:val="00E56357"/>
    <w:rsid w:val="00E56C6D"/>
    <w:rsid w:val="00E5704D"/>
    <w:rsid w:val="00E57796"/>
    <w:rsid w:val="00E6018B"/>
    <w:rsid w:val="00E60544"/>
    <w:rsid w:val="00E605A5"/>
    <w:rsid w:val="00E60DAA"/>
    <w:rsid w:val="00E60EA6"/>
    <w:rsid w:val="00E625FD"/>
    <w:rsid w:val="00E62C80"/>
    <w:rsid w:val="00E63589"/>
    <w:rsid w:val="00E645AA"/>
    <w:rsid w:val="00E65C36"/>
    <w:rsid w:val="00E66232"/>
    <w:rsid w:val="00E66464"/>
    <w:rsid w:val="00E6695B"/>
    <w:rsid w:val="00E7196F"/>
    <w:rsid w:val="00E73107"/>
    <w:rsid w:val="00E73689"/>
    <w:rsid w:val="00E73E46"/>
    <w:rsid w:val="00E73FE1"/>
    <w:rsid w:val="00E74929"/>
    <w:rsid w:val="00E75AF1"/>
    <w:rsid w:val="00E75C76"/>
    <w:rsid w:val="00E76B7F"/>
    <w:rsid w:val="00E7717B"/>
    <w:rsid w:val="00E82A56"/>
    <w:rsid w:val="00E82FFE"/>
    <w:rsid w:val="00E85230"/>
    <w:rsid w:val="00E8606B"/>
    <w:rsid w:val="00E860B2"/>
    <w:rsid w:val="00E86202"/>
    <w:rsid w:val="00E862BA"/>
    <w:rsid w:val="00E86AD1"/>
    <w:rsid w:val="00E86B96"/>
    <w:rsid w:val="00E902E2"/>
    <w:rsid w:val="00E904A6"/>
    <w:rsid w:val="00E910A0"/>
    <w:rsid w:val="00E91CBD"/>
    <w:rsid w:val="00E97042"/>
    <w:rsid w:val="00EA203B"/>
    <w:rsid w:val="00EA4291"/>
    <w:rsid w:val="00EA4CC0"/>
    <w:rsid w:val="00EA7576"/>
    <w:rsid w:val="00EB024B"/>
    <w:rsid w:val="00EB065C"/>
    <w:rsid w:val="00EB0AA5"/>
    <w:rsid w:val="00EB166E"/>
    <w:rsid w:val="00EB19A4"/>
    <w:rsid w:val="00EB2886"/>
    <w:rsid w:val="00EB293C"/>
    <w:rsid w:val="00EB2CD9"/>
    <w:rsid w:val="00EB3A6D"/>
    <w:rsid w:val="00EB5056"/>
    <w:rsid w:val="00EB59E8"/>
    <w:rsid w:val="00EB5B89"/>
    <w:rsid w:val="00EB60DF"/>
    <w:rsid w:val="00EB6DE9"/>
    <w:rsid w:val="00EB7306"/>
    <w:rsid w:val="00EC0A85"/>
    <w:rsid w:val="00EC0FFD"/>
    <w:rsid w:val="00EC16BA"/>
    <w:rsid w:val="00EC26DE"/>
    <w:rsid w:val="00EC358D"/>
    <w:rsid w:val="00EC46C2"/>
    <w:rsid w:val="00EC5D41"/>
    <w:rsid w:val="00ED0581"/>
    <w:rsid w:val="00ED0A3C"/>
    <w:rsid w:val="00ED0B04"/>
    <w:rsid w:val="00ED3FF7"/>
    <w:rsid w:val="00ED5D0D"/>
    <w:rsid w:val="00ED6D52"/>
    <w:rsid w:val="00ED6EF8"/>
    <w:rsid w:val="00ED71B0"/>
    <w:rsid w:val="00ED75DC"/>
    <w:rsid w:val="00ED7737"/>
    <w:rsid w:val="00ED7875"/>
    <w:rsid w:val="00EE0AC3"/>
    <w:rsid w:val="00EE0B86"/>
    <w:rsid w:val="00EE11EA"/>
    <w:rsid w:val="00EE12BC"/>
    <w:rsid w:val="00EE3300"/>
    <w:rsid w:val="00EE7142"/>
    <w:rsid w:val="00EE7395"/>
    <w:rsid w:val="00EE7471"/>
    <w:rsid w:val="00EE7E48"/>
    <w:rsid w:val="00EF0660"/>
    <w:rsid w:val="00EF0B06"/>
    <w:rsid w:val="00EF1854"/>
    <w:rsid w:val="00EF1879"/>
    <w:rsid w:val="00EF1F6F"/>
    <w:rsid w:val="00EF3502"/>
    <w:rsid w:val="00EF67F0"/>
    <w:rsid w:val="00EF69CC"/>
    <w:rsid w:val="00EF7441"/>
    <w:rsid w:val="00F003E8"/>
    <w:rsid w:val="00F00549"/>
    <w:rsid w:val="00F007E8"/>
    <w:rsid w:val="00F01518"/>
    <w:rsid w:val="00F016B3"/>
    <w:rsid w:val="00F01CC8"/>
    <w:rsid w:val="00F02381"/>
    <w:rsid w:val="00F027B9"/>
    <w:rsid w:val="00F0490E"/>
    <w:rsid w:val="00F04B20"/>
    <w:rsid w:val="00F0513D"/>
    <w:rsid w:val="00F05304"/>
    <w:rsid w:val="00F05379"/>
    <w:rsid w:val="00F06991"/>
    <w:rsid w:val="00F07360"/>
    <w:rsid w:val="00F07678"/>
    <w:rsid w:val="00F07D9A"/>
    <w:rsid w:val="00F107B0"/>
    <w:rsid w:val="00F10AF4"/>
    <w:rsid w:val="00F10BB0"/>
    <w:rsid w:val="00F1263E"/>
    <w:rsid w:val="00F132BE"/>
    <w:rsid w:val="00F20570"/>
    <w:rsid w:val="00F20A52"/>
    <w:rsid w:val="00F20BB2"/>
    <w:rsid w:val="00F20D6B"/>
    <w:rsid w:val="00F22CE8"/>
    <w:rsid w:val="00F2387E"/>
    <w:rsid w:val="00F2483C"/>
    <w:rsid w:val="00F24EA9"/>
    <w:rsid w:val="00F25024"/>
    <w:rsid w:val="00F26EDE"/>
    <w:rsid w:val="00F2779F"/>
    <w:rsid w:val="00F30E02"/>
    <w:rsid w:val="00F33AF1"/>
    <w:rsid w:val="00F33D97"/>
    <w:rsid w:val="00F33F45"/>
    <w:rsid w:val="00F3432C"/>
    <w:rsid w:val="00F3489E"/>
    <w:rsid w:val="00F34A83"/>
    <w:rsid w:val="00F36C48"/>
    <w:rsid w:val="00F3797C"/>
    <w:rsid w:val="00F401F2"/>
    <w:rsid w:val="00F4122F"/>
    <w:rsid w:val="00F42BAD"/>
    <w:rsid w:val="00F44801"/>
    <w:rsid w:val="00F44D3B"/>
    <w:rsid w:val="00F45741"/>
    <w:rsid w:val="00F45E15"/>
    <w:rsid w:val="00F462EA"/>
    <w:rsid w:val="00F4668F"/>
    <w:rsid w:val="00F47439"/>
    <w:rsid w:val="00F54797"/>
    <w:rsid w:val="00F55D50"/>
    <w:rsid w:val="00F567B1"/>
    <w:rsid w:val="00F57930"/>
    <w:rsid w:val="00F57EFC"/>
    <w:rsid w:val="00F607BE"/>
    <w:rsid w:val="00F60FC6"/>
    <w:rsid w:val="00F61495"/>
    <w:rsid w:val="00F62837"/>
    <w:rsid w:val="00F62A1A"/>
    <w:rsid w:val="00F63448"/>
    <w:rsid w:val="00F6545E"/>
    <w:rsid w:val="00F661B9"/>
    <w:rsid w:val="00F66B99"/>
    <w:rsid w:val="00F66E9E"/>
    <w:rsid w:val="00F670D6"/>
    <w:rsid w:val="00F676EA"/>
    <w:rsid w:val="00F71519"/>
    <w:rsid w:val="00F71AB5"/>
    <w:rsid w:val="00F73AD9"/>
    <w:rsid w:val="00F73BC0"/>
    <w:rsid w:val="00F74531"/>
    <w:rsid w:val="00F74BDE"/>
    <w:rsid w:val="00F75584"/>
    <w:rsid w:val="00F755BD"/>
    <w:rsid w:val="00F75F5F"/>
    <w:rsid w:val="00F76535"/>
    <w:rsid w:val="00F76E98"/>
    <w:rsid w:val="00F803DA"/>
    <w:rsid w:val="00F814B8"/>
    <w:rsid w:val="00F81B26"/>
    <w:rsid w:val="00F836D5"/>
    <w:rsid w:val="00F85A1E"/>
    <w:rsid w:val="00F86533"/>
    <w:rsid w:val="00F90712"/>
    <w:rsid w:val="00F9136A"/>
    <w:rsid w:val="00F91A76"/>
    <w:rsid w:val="00F923E6"/>
    <w:rsid w:val="00F92715"/>
    <w:rsid w:val="00F9358A"/>
    <w:rsid w:val="00F94626"/>
    <w:rsid w:val="00F953FC"/>
    <w:rsid w:val="00F95789"/>
    <w:rsid w:val="00F97FA9"/>
    <w:rsid w:val="00FA33F5"/>
    <w:rsid w:val="00FA34E4"/>
    <w:rsid w:val="00FA3854"/>
    <w:rsid w:val="00FA44C6"/>
    <w:rsid w:val="00FA673B"/>
    <w:rsid w:val="00FA74C5"/>
    <w:rsid w:val="00FB01F0"/>
    <w:rsid w:val="00FB07AB"/>
    <w:rsid w:val="00FB2431"/>
    <w:rsid w:val="00FB297D"/>
    <w:rsid w:val="00FB3517"/>
    <w:rsid w:val="00FB36CD"/>
    <w:rsid w:val="00FB435D"/>
    <w:rsid w:val="00FB4D1F"/>
    <w:rsid w:val="00FB50C6"/>
    <w:rsid w:val="00FB5313"/>
    <w:rsid w:val="00FB549B"/>
    <w:rsid w:val="00FB54D1"/>
    <w:rsid w:val="00FB5600"/>
    <w:rsid w:val="00FB6110"/>
    <w:rsid w:val="00FB70A6"/>
    <w:rsid w:val="00FB713E"/>
    <w:rsid w:val="00FB73BD"/>
    <w:rsid w:val="00FB7D66"/>
    <w:rsid w:val="00FC0975"/>
    <w:rsid w:val="00FC09BF"/>
    <w:rsid w:val="00FC16A8"/>
    <w:rsid w:val="00FC1851"/>
    <w:rsid w:val="00FC2BE9"/>
    <w:rsid w:val="00FC697E"/>
    <w:rsid w:val="00FC7C84"/>
    <w:rsid w:val="00FD08B6"/>
    <w:rsid w:val="00FD098C"/>
    <w:rsid w:val="00FD11ED"/>
    <w:rsid w:val="00FD2604"/>
    <w:rsid w:val="00FD2CE1"/>
    <w:rsid w:val="00FD5012"/>
    <w:rsid w:val="00FD5151"/>
    <w:rsid w:val="00FD5D21"/>
    <w:rsid w:val="00FD62E8"/>
    <w:rsid w:val="00FD767B"/>
    <w:rsid w:val="00FD7DC5"/>
    <w:rsid w:val="00FE292B"/>
    <w:rsid w:val="00FE33D4"/>
    <w:rsid w:val="00FE3AE1"/>
    <w:rsid w:val="00FE42BA"/>
    <w:rsid w:val="00FE5437"/>
    <w:rsid w:val="00FE5B37"/>
    <w:rsid w:val="00FE70F7"/>
    <w:rsid w:val="00FF1E5F"/>
    <w:rsid w:val="00FF20F5"/>
    <w:rsid w:val="00FF39A1"/>
    <w:rsid w:val="00FF4486"/>
    <w:rsid w:val="00FF5288"/>
    <w:rsid w:val="00FF5F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7649" fill="f" fillcolor="white">
      <v:fill color="white" on="f"/>
      <o:colormru v:ext="edit" colors="#fc6"/>
    </o:shapedefaults>
    <o:shapelayout v:ext="edit">
      <o:idmap v:ext="edit" data="1"/>
    </o:shapelayout>
  </w:shapeDefaults>
  <w:decimalSymbol w:val="."/>
  <w:listSeparator w:val=","/>
  <w15:docId w15:val="{841E3574-582D-4587-AD3F-42262907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543"/>
    <w:pPr>
      <w:spacing w:before="40" w:after="160"/>
    </w:pPr>
    <w:rPr>
      <w:rFonts w:ascii="Lucida Sans Unicode" w:hAnsi="Lucida Sans Unicode"/>
      <w:sz w:val="22"/>
      <w:lang w:eastAsia="en-US"/>
    </w:rPr>
  </w:style>
  <w:style w:type="paragraph" w:styleId="Heading1">
    <w:name w:val="heading 1"/>
    <w:basedOn w:val="Normal"/>
    <w:next w:val="Normal"/>
    <w:qFormat/>
    <w:rsid w:val="008C045F"/>
    <w:pPr>
      <w:keepNext/>
      <w:outlineLvl w:val="0"/>
    </w:pPr>
    <w:rPr>
      <w:rFonts w:ascii="Zurich Ex BT" w:hAnsi="Zurich Ex BT"/>
      <w:sz w:val="44"/>
    </w:rPr>
  </w:style>
  <w:style w:type="paragraph" w:styleId="Heading2">
    <w:name w:val="heading 2"/>
    <w:basedOn w:val="Normal"/>
    <w:next w:val="Normal"/>
    <w:link w:val="Heading2Char"/>
    <w:autoRedefine/>
    <w:qFormat/>
    <w:rsid w:val="005F1170"/>
    <w:pPr>
      <w:keepNext/>
      <w:keepLines/>
      <w:spacing w:before="240" w:after="360"/>
      <w:outlineLvl w:val="1"/>
    </w:pPr>
    <w:rPr>
      <w:rFonts w:ascii="News Gothic Std" w:hAnsi="News Gothic Std" w:cs="Arial"/>
      <w:color w:val="0070C0"/>
      <w:sz w:val="64"/>
      <w:szCs w:val="64"/>
    </w:rPr>
  </w:style>
  <w:style w:type="paragraph" w:styleId="Heading3">
    <w:name w:val="heading 3"/>
    <w:basedOn w:val="Normal"/>
    <w:next w:val="Normal"/>
    <w:link w:val="Heading3Char"/>
    <w:autoRedefine/>
    <w:qFormat/>
    <w:rsid w:val="00D35956"/>
    <w:pPr>
      <w:keepNext/>
      <w:keepLines/>
      <w:spacing w:before="320" w:after="120"/>
      <w:jc w:val="both"/>
      <w:outlineLvl w:val="2"/>
    </w:pPr>
    <w:rPr>
      <w:rFonts w:ascii="News Gothic Std" w:hAnsi="News Gothic Std" w:cs="Arial"/>
      <w:color w:val="0070C0"/>
      <w:sz w:val="32"/>
      <w:szCs w:val="32"/>
    </w:rPr>
  </w:style>
  <w:style w:type="paragraph" w:styleId="Heading4">
    <w:name w:val="heading 4"/>
    <w:basedOn w:val="Normal"/>
    <w:next w:val="Normal"/>
    <w:link w:val="Heading4Char"/>
    <w:autoRedefine/>
    <w:qFormat/>
    <w:rsid w:val="00EE0AC3"/>
    <w:pPr>
      <w:keepNext/>
      <w:keepLines/>
      <w:spacing w:before="160"/>
      <w:outlineLvl w:val="3"/>
    </w:pPr>
    <w:rPr>
      <w:rFonts w:ascii="News Gothic Std" w:hAnsi="News Gothic Std" w:cs="Lucida Sans Unicode"/>
      <w:color w:val="0070C0"/>
      <w:sz w:val="24"/>
      <w:szCs w:val="24"/>
      <w:lang w:val="en-US"/>
    </w:rPr>
  </w:style>
  <w:style w:type="paragraph" w:styleId="Heading5">
    <w:name w:val="heading 5"/>
    <w:basedOn w:val="Normal"/>
    <w:next w:val="Normal"/>
    <w:link w:val="Heading5Char"/>
    <w:autoRedefine/>
    <w:qFormat/>
    <w:rsid w:val="00D43F06"/>
    <w:pPr>
      <w:keepNext/>
      <w:keepLines/>
      <w:tabs>
        <w:tab w:val="left" w:pos="2694"/>
      </w:tabs>
      <w:spacing w:before="120" w:after="120"/>
      <w:ind w:left="533" w:hanging="533"/>
      <w:outlineLvl w:val="4"/>
    </w:pPr>
    <w:rPr>
      <w:rFonts w:ascii="News Gothic Std" w:hAnsi="News Gothic Std"/>
      <w:color w:val="0070C0"/>
      <w:sz w:val="24"/>
      <w:szCs w:val="24"/>
    </w:rPr>
  </w:style>
  <w:style w:type="paragraph" w:styleId="Heading6">
    <w:name w:val="heading 6"/>
    <w:basedOn w:val="Heading3"/>
    <w:next w:val="Normal"/>
    <w:link w:val="Heading6Char"/>
    <w:qFormat/>
    <w:rsid w:val="00890446"/>
    <w:pPr>
      <w:outlineLvl w:val="5"/>
    </w:pPr>
  </w:style>
  <w:style w:type="paragraph" w:styleId="Heading7">
    <w:name w:val="heading 7"/>
    <w:basedOn w:val="Normal"/>
    <w:next w:val="Normal"/>
    <w:qFormat/>
    <w:rsid w:val="008C045F"/>
    <w:pPr>
      <w:spacing w:before="240" w:after="60"/>
      <w:outlineLvl w:val="6"/>
    </w:pPr>
  </w:style>
  <w:style w:type="paragraph" w:styleId="Heading8">
    <w:name w:val="heading 8"/>
    <w:basedOn w:val="Normal"/>
    <w:next w:val="Normal"/>
    <w:qFormat/>
    <w:rsid w:val="008C045F"/>
    <w:pPr>
      <w:keepNext/>
      <w:spacing w:after="0"/>
      <w:ind w:left="851"/>
      <w:outlineLvl w:val="7"/>
    </w:pPr>
    <w:rPr>
      <w:b/>
      <w:sz w:val="24"/>
    </w:rPr>
  </w:style>
  <w:style w:type="paragraph" w:styleId="Heading9">
    <w:name w:val="heading 9"/>
    <w:basedOn w:val="Heading5"/>
    <w:next w:val="Normal"/>
    <w:qFormat/>
    <w:rsid w:val="008C045F"/>
    <w:pPr>
      <w:numPr>
        <w:ilvl w:val="8"/>
        <w:numId w:val="13"/>
      </w:numPr>
      <w:tabs>
        <w:tab w:val="clear" w:pos="2694"/>
        <w:tab w:val="num" w:pos="360"/>
      </w:tabs>
      <w:spacing w:before="240"/>
      <w:ind w:left="360" w:hanging="360"/>
      <w:outlineLvl w:val="8"/>
    </w:pPr>
    <w:rPr>
      <w:rFonts w:ascii="Times New Roman" w:hAnsi="Times New Roman"/>
      <w:b/>
      <w:i/>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68414C"/>
    <w:pPr>
      <w:widowControl w:val="0"/>
      <w:tabs>
        <w:tab w:val="left" w:pos="1168"/>
      </w:tabs>
      <w:jc w:val="both"/>
    </w:pPr>
    <w:rPr>
      <w:rFonts w:cs="Lucida Sans Unicode"/>
      <w:bCs/>
      <w:noProof/>
      <w:snapToGrid w:val="0"/>
      <w:szCs w:val="22"/>
      <w:lang w:val="en-GB" w:eastAsia="en-AU"/>
    </w:rPr>
  </w:style>
  <w:style w:type="paragraph" w:customStyle="1" w:styleId="SubHead4">
    <w:name w:val="Sub_Head_4"/>
    <w:basedOn w:val="Normal"/>
    <w:autoRedefine/>
    <w:rsid w:val="008C045F"/>
    <w:pPr>
      <w:spacing w:after="40"/>
      <w:ind w:left="2160"/>
      <w:jc w:val="both"/>
    </w:pPr>
    <w:rPr>
      <w:rFonts w:ascii="Zurich BT" w:hAnsi="Zurich BT"/>
      <w:spacing w:val="200"/>
      <w:sz w:val="32"/>
    </w:rPr>
  </w:style>
  <w:style w:type="paragraph" w:customStyle="1" w:styleId="SubHead5">
    <w:name w:val="Sub_Head_5"/>
    <w:basedOn w:val="SubHead4"/>
    <w:autoRedefine/>
    <w:rsid w:val="008C045F"/>
    <w:rPr>
      <w:rFonts w:ascii="Zurich Ex BT" w:hAnsi="Zurich Ex BT"/>
      <w:b/>
    </w:rPr>
  </w:style>
  <w:style w:type="paragraph" w:customStyle="1" w:styleId="TableText10">
    <w:name w:val="Table_Text10"/>
    <w:basedOn w:val="Normal"/>
    <w:autoRedefine/>
    <w:rsid w:val="00562A2F"/>
    <w:pPr>
      <w:spacing w:after="0"/>
    </w:pPr>
    <w:rPr>
      <w:rFonts w:ascii="Arial Narrow" w:hAnsi="Arial Narrow"/>
      <w:color w:val="000000"/>
      <w:sz w:val="18"/>
    </w:rPr>
  </w:style>
  <w:style w:type="paragraph" w:customStyle="1" w:styleId="TableText12">
    <w:name w:val="Table_Text12"/>
    <w:basedOn w:val="TableText10"/>
    <w:autoRedefine/>
    <w:rsid w:val="008C045F"/>
  </w:style>
  <w:style w:type="paragraph" w:customStyle="1" w:styleId="SubHead1">
    <w:name w:val="Sub_Head_1"/>
    <w:basedOn w:val="Normal"/>
    <w:next w:val="Normal"/>
    <w:autoRedefine/>
    <w:rsid w:val="0019071A"/>
    <w:pPr>
      <w:pBdr>
        <w:bottom w:val="single" w:sz="18" w:space="1" w:color="auto"/>
      </w:pBdr>
      <w:tabs>
        <w:tab w:val="left" w:pos="2757"/>
      </w:tabs>
      <w:spacing w:before="360" w:after="240"/>
      <w:outlineLvl w:val="0"/>
    </w:pPr>
    <w:rPr>
      <w:rFonts w:ascii="Zurich Ex BT" w:hAnsi="Zurich Ex BT"/>
      <w:i/>
      <w:color w:val="000000"/>
      <w:spacing w:val="24"/>
      <w:sz w:val="44"/>
    </w:rPr>
  </w:style>
  <w:style w:type="paragraph" w:customStyle="1" w:styleId="SubHead2">
    <w:name w:val="Sub_Head_2"/>
    <w:basedOn w:val="Normal"/>
    <w:rsid w:val="008C045F"/>
    <w:pPr>
      <w:spacing w:before="240" w:after="120"/>
      <w:jc w:val="both"/>
    </w:pPr>
    <w:rPr>
      <w:rFonts w:ascii="Arial Black" w:hAnsi="Arial Black"/>
      <w:sz w:val="28"/>
    </w:rPr>
  </w:style>
  <w:style w:type="paragraph" w:customStyle="1" w:styleId="SubHead3">
    <w:name w:val="Sub_Head_3"/>
    <w:basedOn w:val="Normal"/>
    <w:rsid w:val="008C045F"/>
    <w:pPr>
      <w:spacing w:before="240" w:after="120"/>
      <w:jc w:val="both"/>
    </w:pPr>
    <w:rPr>
      <w:rFonts w:ascii="Arial Black" w:hAnsi="Arial Black"/>
      <w:sz w:val="24"/>
    </w:rPr>
  </w:style>
  <w:style w:type="paragraph" w:customStyle="1" w:styleId="TableTextHead">
    <w:name w:val="Table_Text_Head"/>
    <w:basedOn w:val="Heading7"/>
    <w:rsid w:val="008C045F"/>
    <w:pPr>
      <w:keepNext/>
      <w:spacing w:before="0" w:after="0"/>
      <w:jc w:val="right"/>
    </w:pPr>
    <w:rPr>
      <w:rFonts w:ascii="Arial Narrow" w:hAnsi="Arial Narrow"/>
      <w:b/>
      <w:snapToGrid w:val="0"/>
      <w:color w:val="000000"/>
    </w:rPr>
  </w:style>
  <w:style w:type="paragraph" w:customStyle="1" w:styleId="Question">
    <w:name w:val="Question"/>
    <w:basedOn w:val="Normal"/>
    <w:rsid w:val="008C045F"/>
    <w:rPr>
      <w:b/>
      <w:i/>
      <w:sz w:val="18"/>
    </w:rPr>
  </w:style>
  <w:style w:type="paragraph" w:styleId="MacroText">
    <w:name w:val="macro"/>
    <w:semiHidden/>
    <w:rsid w:val="008C045F"/>
    <w:pPr>
      <w:tabs>
        <w:tab w:val="left" w:pos="480"/>
        <w:tab w:val="left" w:pos="960"/>
        <w:tab w:val="left" w:pos="1440"/>
        <w:tab w:val="left" w:pos="1920"/>
        <w:tab w:val="left" w:pos="2400"/>
        <w:tab w:val="left" w:pos="2880"/>
        <w:tab w:val="left" w:pos="3360"/>
        <w:tab w:val="left" w:pos="3840"/>
        <w:tab w:val="left" w:pos="4320"/>
      </w:tabs>
    </w:pPr>
    <w:rPr>
      <w:rFonts w:ascii="Arial" w:hAnsi="Arial"/>
      <w:sz w:val="24"/>
      <w:lang w:eastAsia="en-US"/>
    </w:rPr>
  </w:style>
  <w:style w:type="paragraph" w:styleId="TOC2">
    <w:name w:val="toc 2"/>
    <w:basedOn w:val="BodyText"/>
    <w:next w:val="Normal"/>
    <w:autoRedefine/>
    <w:uiPriority w:val="39"/>
    <w:rsid w:val="000C05BA"/>
    <w:pPr>
      <w:tabs>
        <w:tab w:val="right" w:leader="dot" w:pos="8505"/>
      </w:tabs>
      <w:spacing w:after="80"/>
      <w:ind w:left="403"/>
    </w:pPr>
    <w:rPr>
      <w:rFonts w:ascii="News Gothic Std" w:hAnsi="News Gothic Std"/>
      <w:sz w:val="24"/>
      <w:szCs w:val="24"/>
      <w:lang w:val="en-AU" w:eastAsia="en-US"/>
    </w:rPr>
  </w:style>
  <w:style w:type="paragraph" w:styleId="TOC1">
    <w:name w:val="toc 1"/>
    <w:basedOn w:val="BodyText"/>
    <w:next w:val="Normal"/>
    <w:autoRedefine/>
    <w:uiPriority w:val="39"/>
    <w:rsid w:val="00390ABE"/>
    <w:pPr>
      <w:tabs>
        <w:tab w:val="left" w:pos="426"/>
        <w:tab w:val="right" w:leader="dot" w:pos="8505"/>
      </w:tabs>
      <w:spacing w:before="120"/>
    </w:pPr>
    <w:rPr>
      <w:rFonts w:ascii="News Gothic Std" w:hAnsi="News Gothic Std"/>
      <w:caps/>
      <w:sz w:val="28"/>
      <w:szCs w:val="28"/>
      <w:lang w:val="en-AU" w:eastAsia="en-US"/>
    </w:rPr>
  </w:style>
  <w:style w:type="paragraph" w:styleId="TOC3">
    <w:name w:val="toc 3"/>
    <w:basedOn w:val="Normal"/>
    <w:next w:val="Normal"/>
    <w:autoRedefine/>
    <w:uiPriority w:val="39"/>
    <w:rsid w:val="000C05BA"/>
    <w:pPr>
      <w:tabs>
        <w:tab w:val="right" w:leader="dot" w:pos="8080"/>
      </w:tabs>
      <w:spacing w:after="60"/>
      <w:ind w:left="1134"/>
    </w:pPr>
    <w:rPr>
      <w:rFonts w:ascii="News Gothic Std" w:hAnsi="News Gothic Std" w:cs="Lucida Sans Unicode"/>
      <w:iCs/>
      <w:noProof/>
    </w:rPr>
  </w:style>
  <w:style w:type="paragraph" w:customStyle="1" w:styleId="BodyTextIndentItalic">
    <w:name w:val="Body Text Indent Italic"/>
    <w:basedOn w:val="BodyTextIndent"/>
    <w:rsid w:val="008C045F"/>
    <w:pPr>
      <w:spacing w:after="0"/>
      <w:ind w:left="1134"/>
    </w:pPr>
    <w:rPr>
      <w:sz w:val="24"/>
    </w:rPr>
  </w:style>
  <w:style w:type="paragraph" w:styleId="BodyTextIndent">
    <w:name w:val="Body Text Indent"/>
    <w:basedOn w:val="Normal"/>
    <w:rsid w:val="008C045F"/>
    <w:pPr>
      <w:spacing w:after="120"/>
      <w:ind w:left="283"/>
    </w:pPr>
  </w:style>
  <w:style w:type="paragraph" w:customStyle="1" w:styleId="BodyTextIdentBullet">
    <w:name w:val="Body Text Ident Bullet"/>
    <w:basedOn w:val="BodyTextIndent"/>
    <w:rsid w:val="008C045F"/>
    <w:pPr>
      <w:numPr>
        <w:numId w:val="1"/>
      </w:numPr>
    </w:pPr>
    <w:rPr>
      <w:sz w:val="24"/>
    </w:rPr>
  </w:style>
  <w:style w:type="paragraph" w:customStyle="1" w:styleId="bullet10">
    <w:name w:val="bullet 10"/>
    <w:basedOn w:val="BodyText"/>
    <w:autoRedefine/>
    <w:rsid w:val="00111DCA"/>
    <w:pPr>
      <w:numPr>
        <w:numId w:val="3"/>
      </w:numPr>
      <w:spacing w:after="80"/>
    </w:pPr>
  </w:style>
  <w:style w:type="paragraph" w:customStyle="1" w:styleId="SubHead6">
    <w:name w:val="Sub_Head6"/>
    <w:basedOn w:val="Normal"/>
    <w:autoRedefine/>
    <w:rsid w:val="008C045F"/>
    <w:pPr>
      <w:spacing w:before="80"/>
    </w:pPr>
    <w:rPr>
      <w:b/>
      <w:i/>
    </w:rPr>
  </w:style>
  <w:style w:type="paragraph" w:customStyle="1" w:styleId="SumPoint1">
    <w:name w:val="Sum Point1"/>
    <w:basedOn w:val="Normal"/>
    <w:rsid w:val="008C045F"/>
    <w:pPr>
      <w:numPr>
        <w:numId w:val="2"/>
      </w:numPr>
      <w:spacing w:after="40"/>
    </w:pPr>
  </w:style>
  <w:style w:type="paragraph" w:styleId="Header">
    <w:name w:val="header"/>
    <w:basedOn w:val="Normal"/>
    <w:link w:val="HeaderChar"/>
    <w:uiPriority w:val="99"/>
    <w:rsid w:val="008C045F"/>
    <w:pPr>
      <w:tabs>
        <w:tab w:val="center" w:pos="4153"/>
        <w:tab w:val="right" w:pos="8306"/>
      </w:tabs>
    </w:pPr>
  </w:style>
  <w:style w:type="paragraph" w:styleId="Footer">
    <w:name w:val="footer"/>
    <w:basedOn w:val="Normal"/>
    <w:link w:val="FooterChar"/>
    <w:uiPriority w:val="99"/>
    <w:rsid w:val="008C045F"/>
    <w:pPr>
      <w:tabs>
        <w:tab w:val="center" w:pos="4153"/>
        <w:tab w:val="right" w:pos="8306"/>
      </w:tabs>
    </w:pPr>
  </w:style>
  <w:style w:type="character" w:styleId="Hyperlink">
    <w:name w:val="Hyperlink"/>
    <w:uiPriority w:val="99"/>
    <w:rsid w:val="008C045F"/>
    <w:rPr>
      <w:color w:val="0000FF"/>
      <w:u w:val="single"/>
    </w:rPr>
  </w:style>
  <w:style w:type="paragraph" w:customStyle="1" w:styleId="Numbering">
    <w:name w:val="Numbering"/>
    <w:basedOn w:val="BodyText"/>
    <w:autoRedefine/>
    <w:rsid w:val="00D576C5"/>
    <w:pPr>
      <w:numPr>
        <w:numId w:val="22"/>
      </w:numPr>
      <w:tabs>
        <w:tab w:val="clear" w:pos="2771"/>
        <w:tab w:val="num" w:pos="360"/>
      </w:tabs>
      <w:ind w:left="360"/>
    </w:pPr>
  </w:style>
  <w:style w:type="paragraph" w:styleId="TOC4">
    <w:name w:val="toc 4"/>
    <w:basedOn w:val="Normal"/>
    <w:next w:val="Normal"/>
    <w:autoRedefine/>
    <w:uiPriority w:val="39"/>
    <w:rsid w:val="008A3658"/>
    <w:pPr>
      <w:spacing w:after="0"/>
      <w:ind w:left="600"/>
    </w:pPr>
    <w:rPr>
      <w:rFonts w:ascii="Calibri" w:hAnsi="Calibri" w:cs="Calibri"/>
      <w:sz w:val="18"/>
      <w:szCs w:val="18"/>
    </w:rPr>
  </w:style>
  <w:style w:type="paragraph" w:styleId="TOC5">
    <w:name w:val="toc 5"/>
    <w:basedOn w:val="Normal"/>
    <w:next w:val="Normal"/>
    <w:autoRedefine/>
    <w:uiPriority w:val="39"/>
    <w:rsid w:val="008C045F"/>
    <w:pPr>
      <w:spacing w:after="0"/>
      <w:ind w:left="800"/>
    </w:pPr>
    <w:rPr>
      <w:rFonts w:ascii="Calibri" w:hAnsi="Calibri" w:cs="Calibri"/>
      <w:sz w:val="18"/>
      <w:szCs w:val="18"/>
    </w:rPr>
  </w:style>
  <w:style w:type="paragraph" w:styleId="TOC6">
    <w:name w:val="toc 6"/>
    <w:basedOn w:val="Normal"/>
    <w:next w:val="Normal"/>
    <w:autoRedefine/>
    <w:uiPriority w:val="39"/>
    <w:rsid w:val="008C045F"/>
    <w:pPr>
      <w:spacing w:after="0"/>
      <w:ind w:left="1000"/>
    </w:pPr>
    <w:rPr>
      <w:rFonts w:ascii="Calibri" w:hAnsi="Calibri" w:cs="Calibri"/>
      <w:sz w:val="18"/>
      <w:szCs w:val="18"/>
    </w:rPr>
  </w:style>
  <w:style w:type="paragraph" w:styleId="TOC7">
    <w:name w:val="toc 7"/>
    <w:basedOn w:val="Normal"/>
    <w:next w:val="Normal"/>
    <w:autoRedefine/>
    <w:uiPriority w:val="39"/>
    <w:rsid w:val="008C045F"/>
    <w:pPr>
      <w:spacing w:after="0"/>
      <w:ind w:left="1200"/>
    </w:pPr>
    <w:rPr>
      <w:rFonts w:ascii="Calibri" w:hAnsi="Calibri" w:cs="Calibri"/>
      <w:sz w:val="18"/>
      <w:szCs w:val="18"/>
    </w:rPr>
  </w:style>
  <w:style w:type="paragraph" w:styleId="TOC8">
    <w:name w:val="toc 8"/>
    <w:basedOn w:val="Normal"/>
    <w:next w:val="Normal"/>
    <w:autoRedefine/>
    <w:uiPriority w:val="39"/>
    <w:rsid w:val="008C045F"/>
    <w:pPr>
      <w:spacing w:after="0"/>
      <w:ind w:left="1400"/>
    </w:pPr>
    <w:rPr>
      <w:rFonts w:ascii="Calibri" w:hAnsi="Calibri" w:cs="Calibri"/>
      <w:sz w:val="18"/>
      <w:szCs w:val="18"/>
    </w:rPr>
  </w:style>
  <w:style w:type="paragraph" w:styleId="TOC9">
    <w:name w:val="toc 9"/>
    <w:basedOn w:val="Normal"/>
    <w:next w:val="Normal"/>
    <w:autoRedefine/>
    <w:uiPriority w:val="39"/>
    <w:rsid w:val="008C045F"/>
    <w:pPr>
      <w:spacing w:after="0"/>
      <w:ind w:left="1600"/>
    </w:pPr>
    <w:rPr>
      <w:rFonts w:ascii="Calibri" w:hAnsi="Calibri" w:cs="Calibri"/>
      <w:sz w:val="18"/>
      <w:szCs w:val="18"/>
    </w:rPr>
  </w:style>
  <w:style w:type="character" w:styleId="PageNumber">
    <w:name w:val="page number"/>
    <w:basedOn w:val="DefaultParagraphFont"/>
    <w:rsid w:val="008C045F"/>
  </w:style>
  <w:style w:type="paragraph" w:styleId="Caption">
    <w:name w:val="caption"/>
    <w:basedOn w:val="Normal"/>
    <w:next w:val="Normal"/>
    <w:qFormat/>
    <w:rsid w:val="008C045F"/>
    <w:rPr>
      <w:rFonts w:ascii="Zurich Ex BT" w:hAnsi="Zurich Ex BT"/>
      <w:sz w:val="44"/>
    </w:rPr>
  </w:style>
  <w:style w:type="paragraph" w:styleId="ListBullet">
    <w:name w:val="List Bullet"/>
    <w:basedOn w:val="Normal"/>
    <w:autoRedefine/>
    <w:rsid w:val="008C045F"/>
    <w:pPr>
      <w:numPr>
        <w:numId w:val="4"/>
      </w:numPr>
      <w:tabs>
        <w:tab w:val="clear" w:pos="360"/>
        <w:tab w:val="num" w:pos="3005"/>
      </w:tabs>
      <w:spacing w:after="0"/>
      <w:ind w:left="3005" w:hanging="453"/>
    </w:pPr>
    <w:rPr>
      <w:sz w:val="24"/>
    </w:rPr>
  </w:style>
  <w:style w:type="paragraph" w:customStyle="1" w:styleId="NumberedPara">
    <w:name w:val="Numbered Para"/>
    <w:basedOn w:val="Normal"/>
    <w:next w:val="Normal"/>
    <w:rsid w:val="008C045F"/>
    <w:pPr>
      <w:numPr>
        <w:numId w:val="10"/>
      </w:numPr>
      <w:spacing w:before="120" w:after="120"/>
    </w:pPr>
    <w:rPr>
      <w:b/>
      <w:sz w:val="24"/>
    </w:rPr>
  </w:style>
  <w:style w:type="paragraph" w:styleId="ListBullet2">
    <w:name w:val="List Bullet 2"/>
    <w:basedOn w:val="Normal"/>
    <w:autoRedefine/>
    <w:rsid w:val="008C045F"/>
    <w:pPr>
      <w:numPr>
        <w:numId w:val="5"/>
      </w:numPr>
      <w:tabs>
        <w:tab w:val="clear" w:pos="643"/>
        <w:tab w:val="num" w:pos="644"/>
      </w:tabs>
      <w:spacing w:after="0"/>
      <w:ind w:left="641" w:hanging="357"/>
    </w:pPr>
    <w:rPr>
      <w:sz w:val="24"/>
    </w:rPr>
  </w:style>
  <w:style w:type="paragraph" w:styleId="ListNumber">
    <w:name w:val="List Number"/>
    <w:basedOn w:val="Normal"/>
    <w:rsid w:val="008C045F"/>
    <w:pPr>
      <w:numPr>
        <w:numId w:val="6"/>
      </w:numPr>
      <w:tabs>
        <w:tab w:val="clear" w:pos="360"/>
        <w:tab w:val="num" w:pos="927"/>
      </w:tabs>
      <w:spacing w:after="60"/>
      <w:ind w:left="924" w:hanging="357"/>
    </w:pPr>
    <w:rPr>
      <w:sz w:val="24"/>
    </w:rPr>
  </w:style>
  <w:style w:type="paragraph" w:styleId="BodyTextIndent2">
    <w:name w:val="Body Text Indent 2"/>
    <w:basedOn w:val="Normal"/>
    <w:rsid w:val="008C045F"/>
    <w:pPr>
      <w:spacing w:after="0"/>
      <w:ind w:left="794"/>
    </w:pPr>
    <w:rPr>
      <w:sz w:val="24"/>
    </w:rPr>
  </w:style>
  <w:style w:type="paragraph" w:styleId="NormalIndent">
    <w:name w:val="Normal Indent"/>
    <w:basedOn w:val="Normal"/>
    <w:rsid w:val="008C045F"/>
    <w:pPr>
      <w:spacing w:after="120"/>
      <w:ind w:left="397"/>
    </w:pPr>
    <w:rPr>
      <w:sz w:val="24"/>
    </w:rPr>
  </w:style>
  <w:style w:type="paragraph" w:customStyle="1" w:styleId="NormalIndent1">
    <w:name w:val="Normal Indent 1"/>
    <w:basedOn w:val="NormalIndent"/>
    <w:rsid w:val="008C045F"/>
    <w:pPr>
      <w:ind w:left="1911"/>
    </w:pPr>
  </w:style>
  <w:style w:type="paragraph" w:customStyle="1" w:styleId="NumIndentBold">
    <w:name w:val="Num_Indent_Bold"/>
    <w:basedOn w:val="Normal"/>
    <w:rsid w:val="008C045F"/>
    <w:pPr>
      <w:numPr>
        <w:numId w:val="11"/>
      </w:numPr>
      <w:spacing w:after="0"/>
    </w:pPr>
    <w:rPr>
      <w:b/>
      <w:sz w:val="24"/>
    </w:rPr>
  </w:style>
  <w:style w:type="paragraph" w:customStyle="1" w:styleId="NumberedPara1">
    <w:name w:val="Numbered Para1"/>
    <w:basedOn w:val="Normal"/>
    <w:rsid w:val="008C045F"/>
    <w:pPr>
      <w:numPr>
        <w:ilvl w:val="1"/>
        <w:numId w:val="10"/>
      </w:numPr>
      <w:spacing w:before="120" w:after="120"/>
    </w:pPr>
    <w:rPr>
      <w:b/>
      <w:sz w:val="24"/>
    </w:rPr>
  </w:style>
  <w:style w:type="paragraph" w:customStyle="1" w:styleId="NumberedPara2">
    <w:name w:val="Numbered Para2"/>
    <w:basedOn w:val="Normal"/>
    <w:rsid w:val="008C045F"/>
    <w:pPr>
      <w:numPr>
        <w:ilvl w:val="2"/>
        <w:numId w:val="10"/>
      </w:numPr>
      <w:tabs>
        <w:tab w:val="left" w:pos="1134"/>
        <w:tab w:val="left" w:pos="1985"/>
      </w:tabs>
      <w:spacing w:before="120" w:after="120"/>
    </w:pPr>
    <w:rPr>
      <w:sz w:val="24"/>
    </w:rPr>
  </w:style>
  <w:style w:type="paragraph" w:customStyle="1" w:styleId="NumberedPara3">
    <w:name w:val="Numbered Para3"/>
    <w:basedOn w:val="Normal"/>
    <w:rsid w:val="008C045F"/>
    <w:pPr>
      <w:numPr>
        <w:ilvl w:val="3"/>
        <w:numId w:val="10"/>
      </w:numPr>
      <w:spacing w:before="120" w:after="120"/>
    </w:pPr>
    <w:rPr>
      <w:sz w:val="24"/>
    </w:rPr>
  </w:style>
  <w:style w:type="paragraph" w:customStyle="1" w:styleId="NumberedPara4">
    <w:name w:val="Numbered Para4"/>
    <w:basedOn w:val="Normal"/>
    <w:rsid w:val="008C045F"/>
    <w:pPr>
      <w:numPr>
        <w:ilvl w:val="4"/>
        <w:numId w:val="10"/>
      </w:numPr>
      <w:spacing w:before="120" w:after="120"/>
    </w:pPr>
    <w:rPr>
      <w:sz w:val="24"/>
    </w:rPr>
  </w:style>
  <w:style w:type="paragraph" w:customStyle="1" w:styleId="NumberedPara5">
    <w:name w:val="Numbered Para5"/>
    <w:basedOn w:val="Normal"/>
    <w:rsid w:val="008C045F"/>
    <w:pPr>
      <w:numPr>
        <w:ilvl w:val="5"/>
        <w:numId w:val="10"/>
      </w:numPr>
      <w:spacing w:before="120" w:after="120"/>
    </w:pPr>
    <w:rPr>
      <w:sz w:val="24"/>
    </w:rPr>
  </w:style>
  <w:style w:type="paragraph" w:customStyle="1" w:styleId="OfficerFile">
    <w:name w:val="Officer File"/>
    <w:basedOn w:val="Normal"/>
    <w:next w:val="Normal"/>
    <w:rsid w:val="008C045F"/>
    <w:pPr>
      <w:spacing w:after="0"/>
    </w:pPr>
    <w:rPr>
      <w:b/>
      <w:sz w:val="24"/>
    </w:rPr>
  </w:style>
  <w:style w:type="paragraph" w:customStyle="1" w:styleId="RecommendedBody">
    <w:name w:val="Recommended Body"/>
    <w:basedOn w:val="Normal"/>
    <w:rsid w:val="008C045F"/>
    <w:rPr>
      <w:sz w:val="24"/>
    </w:rPr>
  </w:style>
  <w:style w:type="paragraph" w:customStyle="1" w:styleId="SubHeading1">
    <w:name w:val="Sub_Heading 1"/>
    <w:basedOn w:val="Normal"/>
    <w:next w:val="Normal"/>
    <w:rsid w:val="008C045F"/>
    <w:rPr>
      <w:b/>
      <w:sz w:val="28"/>
    </w:rPr>
  </w:style>
  <w:style w:type="paragraph" w:customStyle="1" w:styleId="SubHeading2">
    <w:name w:val="Sub_Heading 2"/>
    <w:basedOn w:val="Normal"/>
    <w:next w:val="Normal"/>
    <w:rsid w:val="008C045F"/>
    <w:rPr>
      <w:b/>
      <w:i/>
      <w:sz w:val="24"/>
    </w:rPr>
  </w:style>
  <w:style w:type="paragraph" w:customStyle="1" w:styleId="SummaryPoints">
    <w:name w:val="Summary Points"/>
    <w:basedOn w:val="Normal"/>
    <w:link w:val="SummaryPointsChar"/>
    <w:qFormat/>
    <w:rsid w:val="008C045F"/>
    <w:pPr>
      <w:numPr>
        <w:numId w:val="18"/>
      </w:numPr>
    </w:pPr>
    <w:rPr>
      <w:sz w:val="24"/>
    </w:rPr>
  </w:style>
  <w:style w:type="paragraph" w:customStyle="1" w:styleId="SummaryPointsIndent">
    <w:name w:val="Summary Points_Indent"/>
    <w:basedOn w:val="SummaryPoints"/>
    <w:rsid w:val="008C045F"/>
    <w:pPr>
      <w:numPr>
        <w:numId w:val="12"/>
      </w:numPr>
      <w:ind w:left="714" w:hanging="357"/>
    </w:pPr>
  </w:style>
  <w:style w:type="character" w:styleId="CommentReference">
    <w:name w:val="annotation reference"/>
    <w:semiHidden/>
    <w:rsid w:val="008C045F"/>
    <w:rPr>
      <w:sz w:val="16"/>
    </w:rPr>
  </w:style>
  <w:style w:type="paragraph" w:styleId="CommentText">
    <w:name w:val="annotation text"/>
    <w:basedOn w:val="Normal"/>
    <w:link w:val="CommentTextChar"/>
    <w:semiHidden/>
    <w:rsid w:val="008C045F"/>
    <w:pPr>
      <w:spacing w:after="0"/>
    </w:pPr>
  </w:style>
  <w:style w:type="paragraph" w:customStyle="1" w:styleId="DocumentHeader">
    <w:name w:val="Document Header"/>
    <w:basedOn w:val="Normal"/>
    <w:rsid w:val="008C045F"/>
    <w:pPr>
      <w:spacing w:after="0"/>
      <w:jc w:val="center"/>
    </w:pPr>
    <w:rPr>
      <w:b/>
      <w:caps/>
      <w:sz w:val="36"/>
    </w:rPr>
  </w:style>
  <w:style w:type="paragraph" w:styleId="DocumentMap">
    <w:name w:val="Document Map"/>
    <w:basedOn w:val="Normal"/>
    <w:semiHidden/>
    <w:rsid w:val="008C045F"/>
    <w:pPr>
      <w:shd w:val="clear" w:color="auto" w:fill="000080"/>
      <w:spacing w:after="0"/>
    </w:pPr>
    <w:rPr>
      <w:rFonts w:ascii="Tahoma" w:hAnsi="Tahoma"/>
      <w:sz w:val="24"/>
    </w:rPr>
  </w:style>
  <w:style w:type="paragraph" w:customStyle="1" w:styleId="NormalPara1">
    <w:name w:val="Normal Para1"/>
    <w:basedOn w:val="NormalIndent"/>
    <w:rsid w:val="008C045F"/>
    <w:rPr>
      <w:b/>
    </w:rPr>
  </w:style>
  <w:style w:type="paragraph" w:customStyle="1" w:styleId="Style1">
    <w:name w:val="Style1"/>
    <w:basedOn w:val="Normal"/>
    <w:rsid w:val="008C045F"/>
    <w:pPr>
      <w:numPr>
        <w:numId w:val="8"/>
      </w:numPr>
      <w:spacing w:before="120" w:after="120"/>
    </w:pPr>
    <w:rPr>
      <w:rFonts w:ascii="Times New Roman" w:hAnsi="Times New Roman"/>
      <w:b/>
      <w:caps/>
      <w:sz w:val="24"/>
      <w:lang w:val="en-GB"/>
    </w:rPr>
  </w:style>
  <w:style w:type="paragraph" w:customStyle="1" w:styleId="Style3">
    <w:name w:val="Style3"/>
    <w:basedOn w:val="Normal"/>
    <w:rsid w:val="008C045F"/>
    <w:pPr>
      <w:numPr>
        <w:numId w:val="9"/>
      </w:numPr>
      <w:tabs>
        <w:tab w:val="clear" w:pos="360"/>
        <w:tab w:val="left" w:pos="709"/>
        <w:tab w:val="num" w:pos="2160"/>
        <w:tab w:val="left" w:pos="2268"/>
      </w:tabs>
      <w:spacing w:after="0"/>
      <w:ind w:left="2160"/>
    </w:pPr>
    <w:rPr>
      <w:rFonts w:ascii="Times New Roman" w:hAnsi="Times New Roman"/>
      <w:sz w:val="24"/>
      <w:lang w:val="en-GB"/>
    </w:rPr>
  </w:style>
  <w:style w:type="paragraph" w:customStyle="1" w:styleId="SumPointIndent1">
    <w:name w:val="Sum Point Indent1"/>
    <w:basedOn w:val="SummaryPointsIndent"/>
    <w:rsid w:val="008C045F"/>
    <w:pPr>
      <w:numPr>
        <w:numId w:val="0"/>
      </w:numPr>
      <w:tabs>
        <w:tab w:val="num" w:pos="360"/>
      </w:tabs>
      <w:ind w:left="714" w:hanging="357"/>
    </w:pPr>
  </w:style>
  <w:style w:type="paragraph" w:customStyle="1" w:styleId="SumPoint">
    <w:name w:val="Sum Point"/>
    <w:basedOn w:val="SumPointIndent1"/>
    <w:rsid w:val="008C045F"/>
    <w:pPr>
      <w:numPr>
        <w:numId w:val="14"/>
      </w:numPr>
    </w:pPr>
  </w:style>
  <w:style w:type="paragraph" w:customStyle="1" w:styleId="Sumpoint2">
    <w:name w:val="Sum point 2"/>
    <w:basedOn w:val="SummaryPoints"/>
    <w:rsid w:val="008C045F"/>
    <w:pPr>
      <w:numPr>
        <w:numId w:val="15"/>
      </w:numPr>
      <w:tabs>
        <w:tab w:val="clear" w:pos="794"/>
        <w:tab w:val="num" w:pos="360"/>
      </w:tabs>
    </w:pPr>
  </w:style>
  <w:style w:type="paragraph" w:customStyle="1" w:styleId="Sumpoint3">
    <w:name w:val="Sum point 3"/>
    <w:basedOn w:val="Normal"/>
    <w:rsid w:val="008C045F"/>
    <w:pPr>
      <w:numPr>
        <w:numId w:val="16"/>
      </w:numPr>
      <w:spacing w:after="0"/>
    </w:pPr>
    <w:rPr>
      <w:sz w:val="24"/>
    </w:rPr>
  </w:style>
  <w:style w:type="paragraph" w:customStyle="1" w:styleId="Sumpoint35">
    <w:name w:val="Sum point 3.5"/>
    <w:basedOn w:val="Normal"/>
    <w:rsid w:val="008C045F"/>
    <w:pPr>
      <w:numPr>
        <w:numId w:val="17"/>
      </w:numPr>
      <w:spacing w:after="40"/>
    </w:pPr>
    <w:rPr>
      <w:sz w:val="24"/>
    </w:rPr>
  </w:style>
  <w:style w:type="paragraph" w:customStyle="1" w:styleId="Table">
    <w:name w:val="Table"/>
    <w:basedOn w:val="Normal"/>
    <w:rsid w:val="008C045F"/>
    <w:pPr>
      <w:spacing w:after="0"/>
    </w:pPr>
    <w:rPr>
      <w:rFonts w:ascii="Times New Roman" w:hAnsi="Times New Roman"/>
      <w:sz w:val="24"/>
      <w:lang w:val="en-GB"/>
    </w:rPr>
  </w:style>
  <w:style w:type="paragraph" w:styleId="Title">
    <w:name w:val="Title"/>
    <w:basedOn w:val="Normal"/>
    <w:qFormat/>
    <w:rsid w:val="008C045F"/>
    <w:pPr>
      <w:spacing w:after="0"/>
      <w:jc w:val="center"/>
    </w:pPr>
    <w:rPr>
      <w:rFonts w:ascii="Times New Roman" w:hAnsi="Times New Roman"/>
      <w:b/>
      <w:caps/>
    </w:rPr>
  </w:style>
  <w:style w:type="paragraph" w:customStyle="1" w:styleId="ListLetter">
    <w:name w:val="List Letter"/>
    <w:basedOn w:val="ListNumber"/>
    <w:rsid w:val="008C045F"/>
    <w:pPr>
      <w:numPr>
        <w:numId w:val="19"/>
      </w:numPr>
    </w:pPr>
  </w:style>
  <w:style w:type="paragraph" w:styleId="BodyTextFirstIndent">
    <w:name w:val="Body Text First Indent"/>
    <w:basedOn w:val="BodyText"/>
    <w:rsid w:val="008C045F"/>
    <w:pPr>
      <w:ind w:left="794" w:right="794"/>
    </w:pPr>
    <w:rPr>
      <w:sz w:val="24"/>
      <w:lang w:val="en-AU"/>
    </w:rPr>
  </w:style>
  <w:style w:type="paragraph" w:styleId="BodyTextFirstIndent2">
    <w:name w:val="Body Text First Indent 2"/>
    <w:basedOn w:val="BodyTextIndent"/>
    <w:rsid w:val="008C045F"/>
    <w:pPr>
      <w:spacing w:after="0"/>
      <w:ind w:left="1588"/>
    </w:pPr>
    <w:rPr>
      <w:sz w:val="24"/>
    </w:rPr>
  </w:style>
  <w:style w:type="paragraph" w:customStyle="1" w:styleId="BodyTextFirstIndent3">
    <w:name w:val="Body Text First Indent 3"/>
    <w:basedOn w:val="BodyTextFirstIndent2"/>
    <w:rsid w:val="008C045F"/>
    <w:pPr>
      <w:ind w:left="2552"/>
    </w:pPr>
  </w:style>
  <w:style w:type="paragraph" w:customStyle="1" w:styleId="BodyTextFirstIndent4">
    <w:name w:val="Body Text First Indent 4"/>
    <w:basedOn w:val="BodyTextFirstIndent3"/>
    <w:rsid w:val="008C045F"/>
    <w:pPr>
      <w:ind w:left="3969"/>
    </w:pPr>
  </w:style>
  <w:style w:type="paragraph" w:customStyle="1" w:styleId="BodyTextFirstIndent5">
    <w:name w:val="Body Text First Indent 5"/>
    <w:basedOn w:val="BodyTextFirstIndent4"/>
    <w:rsid w:val="008C045F"/>
    <w:pPr>
      <w:ind w:left="5387"/>
    </w:pPr>
  </w:style>
  <w:style w:type="paragraph" w:styleId="BodyTextIndent3">
    <w:name w:val="Body Text Indent 3"/>
    <w:basedOn w:val="Normal"/>
    <w:rsid w:val="008C045F"/>
    <w:pPr>
      <w:spacing w:after="0"/>
      <w:ind w:left="426"/>
    </w:pPr>
    <w:rPr>
      <w:sz w:val="24"/>
    </w:rPr>
  </w:style>
  <w:style w:type="paragraph" w:styleId="ListNumber2">
    <w:name w:val="List Number 2"/>
    <w:basedOn w:val="Normal"/>
    <w:rsid w:val="008C045F"/>
    <w:pPr>
      <w:numPr>
        <w:numId w:val="7"/>
      </w:numPr>
      <w:spacing w:after="120"/>
    </w:pPr>
    <w:rPr>
      <w:sz w:val="24"/>
    </w:rPr>
  </w:style>
  <w:style w:type="paragraph" w:customStyle="1" w:styleId="TableNormal0">
    <w:name w:val="TableNormal"/>
    <w:rsid w:val="008C045F"/>
    <w:rPr>
      <w:rFonts w:ascii="Arial" w:hAnsi="Arial"/>
      <w:noProof/>
      <w:sz w:val="24"/>
      <w:lang w:val="en-US" w:eastAsia="en-US"/>
    </w:rPr>
  </w:style>
  <w:style w:type="paragraph" w:customStyle="1" w:styleId="LogoNorm">
    <w:name w:val="LogoNorm"/>
    <w:basedOn w:val="TableNormal0"/>
    <w:rsid w:val="008C045F"/>
  </w:style>
  <w:style w:type="paragraph" w:customStyle="1" w:styleId="MLstyle">
    <w:name w:val="MLstyle"/>
    <w:basedOn w:val="NumIndentBold"/>
    <w:next w:val="Normal"/>
    <w:rsid w:val="008C045F"/>
    <w:pPr>
      <w:numPr>
        <w:numId w:val="20"/>
      </w:numPr>
      <w:spacing w:after="160"/>
    </w:pPr>
    <w:rPr>
      <w:color w:val="000000"/>
      <w:sz w:val="28"/>
      <w:lang w:val="en-GB"/>
    </w:rPr>
  </w:style>
  <w:style w:type="paragraph" w:customStyle="1" w:styleId="NormalPara1bold">
    <w:name w:val="Normal Para1_bold"/>
    <w:basedOn w:val="NormalIndent"/>
    <w:rsid w:val="008C045F"/>
    <w:rPr>
      <w:b/>
    </w:rPr>
  </w:style>
  <w:style w:type="paragraph" w:customStyle="1" w:styleId="num">
    <w:name w:val="num"/>
    <w:basedOn w:val="Normal"/>
    <w:next w:val="Normal"/>
    <w:rsid w:val="008C045F"/>
    <w:pPr>
      <w:numPr>
        <w:numId w:val="21"/>
      </w:numPr>
      <w:spacing w:before="120" w:after="120"/>
    </w:pPr>
    <w:rPr>
      <w:sz w:val="24"/>
    </w:rPr>
  </w:style>
  <w:style w:type="paragraph" w:customStyle="1" w:styleId="NumberedPara10">
    <w:name w:val="Numbered Para 1"/>
    <w:basedOn w:val="Normal"/>
    <w:next w:val="BodyTextFirstIndent"/>
    <w:rsid w:val="008C045F"/>
    <w:pPr>
      <w:tabs>
        <w:tab w:val="left" w:pos="799"/>
      </w:tabs>
      <w:spacing w:before="120" w:after="120"/>
      <w:ind w:left="851" w:hanging="454"/>
    </w:pPr>
    <w:rPr>
      <w:b/>
      <w:sz w:val="24"/>
    </w:rPr>
  </w:style>
  <w:style w:type="character" w:styleId="Strong">
    <w:name w:val="Strong"/>
    <w:qFormat/>
    <w:rsid w:val="008C045F"/>
    <w:rPr>
      <w:b/>
    </w:rPr>
  </w:style>
  <w:style w:type="paragraph" w:customStyle="1" w:styleId="Sumpointindentindent">
    <w:name w:val="Sum point indent indent"/>
    <w:basedOn w:val="SummaryPointsIndent"/>
    <w:rsid w:val="008C045F"/>
    <w:pPr>
      <w:numPr>
        <w:numId w:val="0"/>
      </w:numPr>
      <w:tabs>
        <w:tab w:val="left" w:pos="1151"/>
      </w:tabs>
      <w:ind w:left="1151" w:hanging="357"/>
    </w:pPr>
  </w:style>
  <w:style w:type="paragraph" w:customStyle="1" w:styleId="SummaryPointsIndent2">
    <w:name w:val="Summary Points_Indent 2"/>
    <w:basedOn w:val="SummaryPointsIndent"/>
    <w:rsid w:val="008C045F"/>
    <w:pPr>
      <w:numPr>
        <w:numId w:val="0"/>
      </w:numPr>
      <w:tabs>
        <w:tab w:val="num" w:pos="1494"/>
      </w:tabs>
      <w:ind w:left="1491" w:hanging="357"/>
    </w:pPr>
  </w:style>
  <w:style w:type="paragraph" w:customStyle="1" w:styleId="BodyText0">
    <w:name w:val="Body_Text"/>
    <w:basedOn w:val="Normal"/>
    <w:rsid w:val="008C045F"/>
    <w:rPr>
      <w:rFonts w:ascii="Times New Roman" w:hAnsi="Times New Roman"/>
      <w:sz w:val="24"/>
    </w:rPr>
  </w:style>
  <w:style w:type="paragraph" w:customStyle="1" w:styleId="MainHeading">
    <w:name w:val="Main_Heading"/>
    <w:basedOn w:val="Normal"/>
    <w:next w:val="Normal"/>
    <w:rsid w:val="008C045F"/>
    <w:pPr>
      <w:spacing w:after="0"/>
      <w:ind w:left="567" w:hanging="567"/>
    </w:pPr>
    <w:rPr>
      <w:rFonts w:ascii="Times New Roman" w:hAnsi="Times New Roman"/>
      <w:b/>
      <w:caps/>
      <w:color w:val="000000"/>
      <w:sz w:val="24"/>
      <w:lang w:val="en-GB"/>
    </w:rPr>
  </w:style>
  <w:style w:type="paragraph" w:styleId="BodyText2">
    <w:name w:val="Body Text 2"/>
    <w:basedOn w:val="Normal"/>
    <w:rsid w:val="008C045F"/>
    <w:pPr>
      <w:spacing w:after="0"/>
    </w:pPr>
    <w:rPr>
      <w:rFonts w:ascii="Arial Narrow" w:hAnsi="Arial Narrow"/>
      <w:sz w:val="16"/>
    </w:rPr>
  </w:style>
  <w:style w:type="character" w:styleId="FollowedHyperlink">
    <w:name w:val="FollowedHyperlink"/>
    <w:uiPriority w:val="99"/>
    <w:rsid w:val="008C045F"/>
    <w:rPr>
      <w:color w:val="800080"/>
      <w:u w:val="single"/>
    </w:rPr>
  </w:style>
  <w:style w:type="paragraph" w:styleId="BalloonText">
    <w:name w:val="Balloon Text"/>
    <w:basedOn w:val="Normal"/>
    <w:link w:val="BalloonTextChar"/>
    <w:semiHidden/>
    <w:rsid w:val="0046126F"/>
    <w:rPr>
      <w:rFonts w:ascii="Tahoma" w:hAnsi="Tahoma" w:cs="Tahoma"/>
      <w:sz w:val="16"/>
      <w:szCs w:val="16"/>
    </w:rPr>
  </w:style>
  <w:style w:type="paragraph" w:customStyle="1" w:styleId="bullet10-level2">
    <w:name w:val="bullet 10 - level 2"/>
    <w:basedOn w:val="bullet10"/>
    <w:rsid w:val="00A523D0"/>
  </w:style>
  <w:style w:type="table" w:styleId="TableGrid">
    <w:name w:val="Table Grid"/>
    <w:basedOn w:val="TableNormal"/>
    <w:uiPriority w:val="59"/>
    <w:rsid w:val="00ED3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10">
    <w:name w:val="Sub_Heading1"/>
    <w:basedOn w:val="Normal"/>
    <w:next w:val="SummaryPoints0"/>
    <w:rsid w:val="009D0042"/>
    <w:pPr>
      <w:spacing w:before="320" w:after="0"/>
      <w:ind w:left="567"/>
    </w:pPr>
    <w:rPr>
      <w:b/>
      <w:color w:val="000000"/>
      <w:sz w:val="24"/>
      <w:lang w:val="en-GB" w:eastAsia="en-AU"/>
    </w:rPr>
  </w:style>
  <w:style w:type="paragraph" w:customStyle="1" w:styleId="SummaryPoints0">
    <w:name w:val="SummaryPoints"/>
    <w:basedOn w:val="Normal"/>
    <w:rsid w:val="009D0042"/>
    <w:pPr>
      <w:ind w:left="992" w:hanging="425"/>
      <w:jc w:val="both"/>
    </w:pPr>
    <w:rPr>
      <w:color w:val="000000"/>
      <w:lang w:val="en-GB" w:eastAsia="en-AU"/>
    </w:rPr>
  </w:style>
  <w:style w:type="paragraph" w:customStyle="1" w:styleId="NormInd">
    <w:name w:val="Norm_Ind"/>
    <w:basedOn w:val="Normal"/>
    <w:link w:val="NormIndChar"/>
    <w:rsid w:val="00A02989"/>
    <w:pPr>
      <w:ind w:left="567"/>
      <w:jc w:val="both"/>
    </w:pPr>
    <w:rPr>
      <w:color w:val="000000"/>
      <w:lang w:val="en-GB" w:eastAsia="en-AU"/>
    </w:rPr>
  </w:style>
  <w:style w:type="paragraph" w:styleId="HTMLPreformatted">
    <w:name w:val="HTML Preformatted"/>
    <w:basedOn w:val="Normal"/>
    <w:rsid w:val="00884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en-AU"/>
    </w:rPr>
  </w:style>
  <w:style w:type="paragraph" w:customStyle="1" w:styleId="CharChar">
    <w:name w:val="Char Char"/>
    <w:basedOn w:val="Normal"/>
    <w:rsid w:val="0029784C"/>
    <w:pPr>
      <w:spacing w:line="240" w:lineRule="exact"/>
    </w:pPr>
    <w:rPr>
      <w:rFonts w:ascii="Tahoma" w:hAnsi="Tahoma" w:cs="Tahoma"/>
      <w:lang w:val="en-US"/>
    </w:rPr>
  </w:style>
  <w:style w:type="paragraph" w:customStyle="1" w:styleId="CharCharCharCharCharCharCharChar">
    <w:name w:val="Char Char Char Char Char Char Char Char"/>
    <w:basedOn w:val="Normal"/>
    <w:rsid w:val="00464897"/>
    <w:pPr>
      <w:spacing w:line="240" w:lineRule="exact"/>
    </w:pPr>
    <w:rPr>
      <w:rFonts w:ascii="Tahoma" w:hAnsi="Tahoma" w:cs="Tahoma"/>
      <w:lang w:val="en-US"/>
    </w:rPr>
  </w:style>
  <w:style w:type="paragraph" w:styleId="NormalWeb">
    <w:name w:val="Normal (Web)"/>
    <w:basedOn w:val="Normal"/>
    <w:rsid w:val="002F784F"/>
    <w:pPr>
      <w:spacing w:before="100" w:beforeAutospacing="1" w:after="100" w:afterAutospacing="1"/>
    </w:pPr>
    <w:rPr>
      <w:rFonts w:ascii="Times New Roman" w:hAnsi="Times New Roman"/>
      <w:sz w:val="24"/>
      <w:szCs w:val="24"/>
      <w:lang w:eastAsia="en-AU"/>
    </w:rPr>
  </w:style>
  <w:style w:type="paragraph" w:customStyle="1" w:styleId="Level4">
    <w:name w:val="Level 4"/>
    <w:basedOn w:val="Heading4"/>
    <w:autoRedefine/>
    <w:rsid w:val="00030019"/>
  </w:style>
  <w:style w:type="paragraph" w:customStyle="1" w:styleId="Level3">
    <w:name w:val="Level 3"/>
    <w:basedOn w:val="Heading3"/>
    <w:autoRedefine/>
    <w:rsid w:val="00030019"/>
    <w:rPr>
      <w:color w:val="000000"/>
    </w:rPr>
  </w:style>
  <w:style w:type="paragraph" w:customStyle="1" w:styleId="Bullet1">
    <w:name w:val="Bullet 1"/>
    <w:basedOn w:val="bullet10"/>
    <w:autoRedefine/>
    <w:qFormat/>
    <w:rsid w:val="005B4D00"/>
    <w:pPr>
      <w:numPr>
        <w:numId w:val="39"/>
      </w:numPr>
      <w:ind w:left="1134" w:hanging="1134"/>
    </w:pPr>
  </w:style>
  <w:style w:type="paragraph" w:customStyle="1" w:styleId="Level2">
    <w:name w:val="Level 2"/>
    <w:basedOn w:val="Heading2"/>
    <w:autoRedefine/>
    <w:rsid w:val="003802A4"/>
    <w:rPr>
      <w:sz w:val="40"/>
      <w:szCs w:val="40"/>
    </w:rPr>
  </w:style>
  <w:style w:type="paragraph" w:customStyle="1" w:styleId="Text">
    <w:name w:val="Text"/>
    <w:basedOn w:val="BodyText"/>
    <w:autoRedefine/>
    <w:rsid w:val="0019071A"/>
  </w:style>
  <w:style w:type="paragraph" w:customStyle="1" w:styleId="ParagraphText">
    <w:name w:val="Paragraph Text"/>
    <w:basedOn w:val="NormInd"/>
    <w:autoRedefine/>
    <w:rsid w:val="003C25B7"/>
    <w:pPr>
      <w:ind w:left="0"/>
    </w:pPr>
    <w:rPr>
      <w:color w:val="FF0000"/>
      <w:sz w:val="20"/>
    </w:rPr>
  </w:style>
  <w:style w:type="paragraph" w:customStyle="1" w:styleId="A">
    <w:name w:val="A"/>
    <w:basedOn w:val="BodyText"/>
    <w:autoRedefine/>
    <w:rsid w:val="00CB45C9"/>
  </w:style>
  <w:style w:type="paragraph" w:customStyle="1" w:styleId="Level5">
    <w:name w:val="Level 5"/>
    <w:basedOn w:val="Heading4"/>
    <w:autoRedefine/>
    <w:rsid w:val="00A07718"/>
  </w:style>
  <w:style w:type="character" w:styleId="Emphasis">
    <w:name w:val="Emphasis"/>
    <w:uiPriority w:val="20"/>
    <w:qFormat/>
    <w:rsid w:val="00DF162B"/>
  </w:style>
  <w:style w:type="paragraph" w:styleId="Index1">
    <w:name w:val="index 1"/>
    <w:basedOn w:val="Level2"/>
    <w:next w:val="Normal"/>
    <w:autoRedefine/>
    <w:semiHidden/>
    <w:rsid w:val="00005292"/>
    <w:pPr>
      <w:ind w:left="200" w:hanging="200"/>
    </w:pPr>
  </w:style>
  <w:style w:type="paragraph" w:styleId="Index2">
    <w:name w:val="index 2"/>
    <w:basedOn w:val="Level3"/>
    <w:next w:val="Normal"/>
    <w:autoRedefine/>
    <w:semiHidden/>
    <w:rsid w:val="00005292"/>
    <w:pPr>
      <w:ind w:left="400" w:hanging="200"/>
    </w:pPr>
  </w:style>
  <w:style w:type="paragraph" w:styleId="Index3">
    <w:name w:val="index 3"/>
    <w:basedOn w:val="Level4"/>
    <w:next w:val="Normal"/>
    <w:autoRedefine/>
    <w:semiHidden/>
    <w:rsid w:val="00005292"/>
    <w:pPr>
      <w:ind w:left="600" w:hanging="200"/>
    </w:pPr>
  </w:style>
  <w:style w:type="character" w:customStyle="1" w:styleId="BodyTextChar">
    <w:name w:val="Body Text Char"/>
    <w:link w:val="BodyText"/>
    <w:rsid w:val="0068414C"/>
    <w:rPr>
      <w:rFonts w:ascii="Lucida Sans Unicode" w:hAnsi="Lucida Sans Unicode" w:cs="Lucida Sans Unicode"/>
      <w:bCs/>
      <w:noProof/>
      <w:snapToGrid w:val="0"/>
      <w:sz w:val="22"/>
      <w:szCs w:val="22"/>
      <w:lang w:val="en-GB"/>
    </w:rPr>
  </w:style>
  <w:style w:type="paragraph" w:customStyle="1" w:styleId="xl80">
    <w:name w:val="xl80"/>
    <w:basedOn w:val="Normal"/>
    <w:rsid w:val="00982D3B"/>
    <w:pPr>
      <w:spacing w:before="100" w:beforeAutospacing="1" w:after="100" w:afterAutospacing="1"/>
    </w:pPr>
    <w:rPr>
      <w:rFonts w:ascii="Times New Roman" w:hAnsi="Times New Roman"/>
      <w:sz w:val="24"/>
      <w:szCs w:val="24"/>
      <w:lang w:eastAsia="en-AU"/>
    </w:rPr>
  </w:style>
  <w:style w:type="paragraph" w:customStyle="1" w:styleId="xl81">
    <w:name w:val="xl81"/>
    <w:basedOn w:val="Normal"/>
    <w:rsid w:val="00982D3B"/>
    <w:pPr>
      <w:spacing w:before="100" w:beforeAutospacing="1" w:after="100" w:afterAutospacing="1"/>
    </w:pPr>
    <w:rPr>
      <w:rFonts w:ascii="Times New Roman" w:hAnsi="Times New Roman"/>
      <w:b/>
      <w:bCs/>
      <w:sz w:val="36"/>
      <w:szCs w:val="36"/>
      <w:lang w:eastAsia="en-AU"/>
    </w:rPr>
  </w:style>
  <w:style w:type="paragraph" w:customStyle="1" w:styleId="xl82">
    <w:name w:val="xl82"/>
    <w:basedOn w:val="Normal"/>
    <w:rsid w:val="00982D3B"/>
    <w:pPr>
      <w:spacing w:before="100" w:beforeAutospacing="1" w:after="100" w:afterAutospacing="1"/>
      <w:jc w:val="right"/>
    </w:pPr>
    <w:rPr>
      <w:rFonts w:ascii="Times New Roman" w:hAnsi="Times New Roman"/>
      <w:sz w:val="24"/>
      <w:szCs w:val="24"/>
      <w:lang w:eastAsia="en-AU"/>
    </w:rPr>
  </w:style>
  <w:style w:type="paragraph" w:customStyle="1" w:styleId="xl83">
    <w:name w:val="xl83"/>
    <w:basedOn w:val="Normal"/>
    <w:rsid w:val="00982D3B"/>
    <w:pPr>
      <w:spacing w:before="100" w:beforeAutospacing="1" w:after="100" w:afterAutospacing="1"/>
      <w:jc w:val="right"/>
    </w:pPr>
    <w:rPr>
      <w:rFonts w:ascii="Times New Roman" w:hAnsi="Times New Roman"/>
      <w:sz w:val="24"/>
      <w:szCs w:val="24"/>
      <w:lang w:eastAsia="en-AU"/>
    </w:rPr>
  </w:style>
  <w:style w:type="paragraph" w:customStyle="1" w:styleId="xl84">
    <w:name w:val="xl84"/>
    <w:basedOn w:val="Normal"/>
    <w:rsid w:val="00982D3B"/>
    <w:pPr>
      <w:spacing w:before="100" w:beforeAutospacing="1" w:after="100" w:afterAutospacing="1"/>
      <w:jc w:val="right"/>
    </w:pPr>
    <w:rPr>
      <w:rFonts w:ascii="Times New Roman" w:hAnsi="Times New Roman"/>
      <w:sz w:val="24"/>
      <w:szCs w:val="24"/>
      <w:lang w:eastAsia="en-AU"/>
    </w:rPr>
  </w:style>
  <w:style w:type="paragraph" w:customStyle="1" w:styleId="xl85">
    <w:name w:val="xl85"/>
    <w:basedOn w:val="Normal"/>
    <w:rsid w:val="00982D3B"/>
    <w:pPr>
      <w:spacing w:before="100" w:beforeAutospacing="1" w:after="100" w:afterAutospacing="1"/>
    </w:pPr>
    <w:rPr>
      <w:rFonts w:ascii="Times New Roman" w:hAnsi="Times New Roman"/>
      <w:sz w:val="24"/>
      <w:szCs w:val="24"/>
      <w:lang w:eastAsia="en-AU"/>
    </w:rPr>
  </w:style>
  <w:style w:type="paragraph" w:customStyle="1" w:styleId="xl86">
    <w:name w:val="xl86"/>
    <w:basedOn w:val="Normal"/>
    <w:rsid w:val="00982D3B"/>
    <w:pPr>
      <w:shd w:val="clear" w:color="DBE5F1" w:fill="DBE5F1"/>
      <w:spacing w:before="100" w:beforeAutospacing="1" w:after="100" w:afterAutospacing="1"/>
      <w:jc w:val="right"/>
    </w:pPr>
    <w:rPr>
      <w:rFonts w:ascii="Times New Roman" w:hAnsi="Times New Roman"/>
      <w:b/>
      <w:bCs/>
      <w:color w:val="000000"/>
      <w:sz w:val="24"/>
      <w:szCs w:val="24"/>
      <w:lang w:eastAsia="en-AU"/>
    </w:rPr>
  </w:style>
  <w:style w:type="paragraph" w:customStyle="1" w:styleId="xl87">
    <w:name w:val="xl87"/>
    <w:basedOn w:val="Normal"/>
    <w:rsid w:val="00982D3B"/>
    <w:pPr>
      <w:pBdr>
        <w:bottom w:val="single" w:sz="4" w:space="0" w:color="95B3D7"/>
      </w:pBdr>
      <w:shd w:val="clear" w:color="D8D8D8" w:fill="D8D8D8"/>
      <w:spacing w:before="100" w:beforeAutospacing="1" w:after="100" w:afterAutospacing="1"/>
      <w:jc w:val="right"/>
    </w:pPr>
    <w:rPr>
      <w:rFonts w:ascii="Times New Roman" w:hAnsi="Times New Roman"/>
      <w:b/>
      <w:bCs/>
      <w:color w:val="000000"/>
      <w:sz w:val="24"/>
      <w:szCs w:val="24"/>
      <w:lang w:eastAsia="en-AU"/>
    </w:rPr>
  </w:style>
  <w:style w:type="paragraph" w:customStyle="1" w:styleId="xl88">
    <w:name w:val="xl88"/>
    <w:basedOn w:val="Normal"/>
    <w:rsid w:val="00982D3B"/>
    <w:pPr>
      <w:spacing w:before="100" w:beforeAutospacing="1" w:after="100" w:afterAutospacing="1"/>
      <w:jc w:val="right"/>
    </w:pPr>
    <w:rPr>
      <w:rFonts w:ascii="Times New Roman" w:hAnsi="Times New Roman"/>
      <w:sz w:val="24"/>
      <w:szCs w:val="24"/>
      <w:lang w:eastAsia="en-AU"/>
    </w:rPr>
  </w:style>
  <w:style w:type="paragraph" w:customStyle="1" w:styleId="xl89">
    <w:name w:val="xl89"/>
    <w:basedOn w:val="Normal"/>
    <w:rsid w:val="00982D3B"/>
    <w:pPr>
      <w:shd w:val="clear" w:color="D8D8D8" w:fill="D8D8D8"/>
      <w:spacing w:before="100" w:beforeAutospacing="1" w:after="100" w:afterAutospacing="1"/>
      <w:jc w:val="right"/>
    </w:pPr>
    <w:rPr>
      <w:rFonts w:ascii="Times New Roman" w:hAnsi="Times New Roman"/>
      <w:sz w:val="24"/>
      <w:szCs w:val="24"/>
      <w:lang w:eastAsia="en-AU"/>
    </w:rPr>
  </w:style>
  <w:style w:type="paragraph" w:customStyle="1" w:styleId="xl90">
    <w:name w:val="xl90"/>
    <w:basedOn w:val="Normal"/>
    <w:rsid w:val="00982D3B"/>
    <w:pPr>
      <w:pBdr>
        <w:bottom w:val="single" w:sz="4" w:space="0" w:color="95B3D7"/>
      </w:pBdr>
      <w:spacing w:before="100" w:beforeAutospacing="1" w:after="100" w:afterAutospacing="1"/>
      <w:jc w:val="right"/>
    </w:pPr>
    <w:rPr>
      <w:rFonts w:ascii="Times New Roman" w:hAnsi="Times New Roman"/>
      <w:b/>
      <w:bCs/>
      <w:color w:val="000000"/>
      <w:sz w:val="24"/>
      <w:szCs w:val="24"/>
      <w:lang w:eastAsia="en-AU"/>
    </w:rPr>
  </w:style>
  <w:style w:type="paragraph" w:customStyle="1" w:styleId="xl91">
    <w:name w:val="xl91"/>
    <w:basedOn w:val="Normal"/>
    <w:rsid w:val="00982D3B"/>
    <w:pPr>
      <w:pBdr>
        <w:top w:val="single" w:sz="4" w:space="0" w:color="95B3D7"/>
      </w:pBdr>
      <w:shd w:val="clear" w:color="DBE5F1" w:fill="DBE5F1"/>
      <w:spacing w:before="100" w:beforeAutospacing="1" w:after="100" w:afterAutospacing="1"/>
      <w:jc w:val="right"/>
    </w:pPr>
    <w:rPr>
      <w:rFonts w:ascii="Times New Roman" w:hAnsi="Times New Roman"/>
      <w:b/>
      <w:bCs/>
      <w:color w:val="000000"/>
      <w:sz w:val="24"/>
      <w:szCs w:val="24"/>
      <w:lang w:eastAsia="en-AU"/>
    </w:rPr>
  </w:style>
  <w:style w:type="paragraph" w:customStyle="1" w:styleId="xl92">
    <w:name w:val="xl92"/>
    <w:basedOn w:val="Normal"/>
    <w:rsid w:val="00982D3B"/>
    <w:pPr>
      <w:pBdr>
        <w:bottom w:val="single" w:sz="4" w:space="0" w:color="95B3D7"/>
      </w:pBdr>
      <w:shd w:val="clear" w:color="DBE5F1" w:fill="DBE5F1"/>
      <w:spacing w:before="100" w:beforeAutospacing="1" w:after="100" w:afterAutospacing="1"/>
      <w:jc w:val="right"/>
    </w:pPr>
    <w:rPr>
      <w:rFonts w:ascii="Times New Roman" w:hAnsi="Times New Roman"/>
      <w:b/>
      <w:bCs/>
      <w:color w:val="000000"/>
      <w:sz w:val="24"/>
      <w:szCs w:val="24"/>
      <w:lang w:eastAsia="en-AU"/>
    </w:rPr>
  </w:style>
  <w:style w:type="paragraph" w:customStyle="1" w:styleId="xl93">
    <w:name w:val="xl93"/>
    <w:basedOn w:val="Normal"/>
    <w:rsid w:val="00982D3B"/>
    <w:pPr>
      <w:spacing w:before="100" w:beforeAutospacing="1" w:after="100" w:afterAutospacing="1"/>
      <w:ind w:firstLineChars="100" w:firstLine="100"/>
    </w:pPr>
    <w:rPr>
      <w:rFonts w:ascii="Times New Roman" w:hAnsi="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D214FF"/>
    <w:pPr>
      <w:spacing w:after="80"/>
    </w:pPr>
    <w:rPr>
      <w:b/>
      <w:bCs/>
    </w:rPr>
  </w:style>
  <w:style w:type="character" w:customStyle="1" w:styleId="CommentTextChar">
    <w:name w:val="Comment Text Char"/>
    <w:link w:val="CommentText"/>
    <w:semiHidden/>
    <w:rsid w:val="00D214FF"/>
    <w:rPr>
      <w:rFonts w:ascii="Arial" w:hAnsi="Arial"/>
      <w:lang w:eastAsia="en-US"/>
    </w:rPr>
  </w:style>
  <w:style w:type="character" w:customStyle="1" w:styleId="CommentSubjectChar">
    <w:name w:val="Comment Subject Char"/>
    <w:link w:val="CommentSubject"/>
    <w:rsid w:val="00D214FF"/>
    <w:rPr>
      <w:rFonts w:ascii="Arial" w:hAnsi="Arial"/>
      <w:lang w:eastAsia="en-US"/>
    </w:rPr>
  </w:style>
  <w:style w:type="paragraph" w:styleId="Revision">
    <w:name w:val="Revision"/>
    <w:hidden/>
    <w:uiPriority w:val="99"/>
    <w:semiHidden/>
    <w:rsid w:val="00D214FF"/>
    <w:rPr>
      <w:rFonts w:ascii="Arial" w:hAnsi="Arial"/>
      <w:lang w:eastAsia="en-US"/>
    </w:rPr>
  </w:style>
  <w:style w:type="character" w:customStyle="1" w:styleId="BalloonTextChar">
    <w:name w:val="Balloon Text Char"/>
    <w:link w:val="BalloonText"/>
    <w:uiPriority w:val="99"/>
    <w:semiHidden/>
    <w:rsid w:val="00A40400"/>
    <w:rPr>
      <w:rFonts w:ascii="Tahoma" w:hAnsi="Tahoma" w:cs="Tahoma"/>
      <w:sz w:val="16"/>
      <w:szCs w:val="16"/>
      <w:lang w:eastAsia="en-US"/>
    </w:rPr>
  </w:style>
  <w:style w:type="paragraph" w:styleId="ListParagraph">
    <w:name w:val="List Paragraph"/>
    <w:basedOn w:val="Normal"/>
    <w:uiPriority w:val="34"/>
    <w:qFormat/>
    <w:rsid w:val="001B7598"/>
    <w:pPr>
      <w:ind w:left="720"/>
    </w:pPr>
  </w:style>
  <w:style w:type="paragraph" w:styleId="EnvelopeAddress">
    <w:name w:val="envelope address"/>
    <w:basedOn w:val="Normal"/>
    <w:rsid w:val="004C01E8"/>
    <w:pPr>
      <w:framePr w:w="7920" w:h="1980" w:hRule="exact" w:hSpace="180" w:wrap="auto" w:hAnchor="page" w:xAlign="center" w:yAlign="bottom"/>
      <w:spacing w:after="0"/>
      <w:ind w:left="2880"/>
    </w:pPr>
    <w:rPr>
      <w:rFonts w:cs="Arial"/>
      <w:sz w:val="24"/>
      <w:szCs w:val="24"/>
    </w:rPr>
  </w:style>
  <w:style w:type="paragraph" w:customStyle="1" w:styleId="Style2">
    <w:name w:val="Style2"/>
    <w:basedOn w:val="Bullet1"/>
    <w:autoRedefine/>
    <w:qFormat/>
    <w:rsid w:val="00005B4D"/>
    <w:pPr>
      <w:numPr>
        <w:numId w:val="24"/>
      </w:numPr>
    </w:pPr>
  </w:style>
  <w:style w:type="paragraph" w:customStyle="1" w:styleId="Style4">
    <w:name w:val="Style4"/>
    <w:basedOn w:val="Bullet1"/>
    <w:autoRedefine/>
    <w:qFormat/>
    <w:rsid w:val="00005B4D"/>
    <w:pPr>
      <w:numPr>
        <w:numId w:val="25"/>
      </w:numPr>
      <w:ind w:left="284" w:hanging="284"/>
    </w:pPr>
  </w:style>
  <w:style w:type="paragraph" w:customStyle="1" w:styleId="BodyText1">
    <w:name w:val="BodyText"/>
    <w:basedOn w:val="BodyText"/>
    <w:qFormat/>
    <w:rsid w:val="00D6252C"/>
  </w:style>
  <w:style w:type="paragraph" w:styleId="TOCHeading">
    <w:name w:val="TOC Heading"/>
    <w:basedOn w:val="Heading1"/>
    <w:next w:val="Normal"/>
    <w:uiPriority w:val="39"/>
    <w:semiHidden/>
    <w:unhideWhenUsed/>
    <w:qFormat/>
    <w:rsid w:val="00532590"/>
    <w:pPr>
      <w:keepLines/>
      <w:spacing w:before="480" w:after="0" w:line="276" w:lineRule="auto"/>
      <w:outlineLvl w:val="9"/>
    </w:pPr>
    <w:rPr>
      <w:rFonts w:ascii="Cambria" w:hAnsi="Cambria"/>
      <w:b/>
      <w:bCs/>
      <w:color w:val="365F91"/>
      <w:sz w:val="28"/>
      <w:szCs w:val="28"/>
      <w:lang w:val="en-US"/>
    </w:rPr>
  </w:style>
  <w:style w:type="paragraph" w:customStyle="1" w:styleId="Style5">
    <w:name w:val="Style5"/>
    <w:basedOn w:val="TOC1"/>
    <w:qFormat/>
    <w:rsid w:val="00532590"/>
  </w:style>
  <w:style w:type="character" w:customStyle="1" w:styleId="FooterChar">
    <w:name w:val="Footer Char"/>
    <w:link w:val="Footer"/>
    <w:uiPriority w:val="99"/>
    <w:rsid w:val="00494F77"/>
    <w:rPr>
      <w:rFonts w:ascii="Arial" w:hAnsi="Arial"/>
      <w:lang w:eastAsia="en-US"/>
    </w:rPr>
  </w:style>
  <w:style w:type="paragraph" w:customStyle="1" w:styleId="xl66">
    <w:name w:val="xl66"/>
    <w:basedOn w:val="Normal"/>
    <w:rsid w:val="001750FF"/>
    <w:pPr>
      <w:spacing w:before="100" w:beforeAutospacing="1" w:after="100" w:afterAutospacing="1"/>
      <w:textAlignment w:val="top"/>
    </w:pPr>
    <w:rPr>
      <w:rFonts w:ascii="Arial Narrow" w:hAnsi="Arial Narrow"/>
      <w:b/>
      <w:bCs/>
      <w:sz w:val="32"/>
      <w:szCs w:val="32"/>
      <w:lang w:eastAsia="en-AU"/>
    </w:rPr>
  </w:style>
  <w:style w:type="paragraph" w:customStyle="1" w:styleId="xl67">
    <w:name w:val="xl67"/>
    <w:basedOn w:val="Normal"/>
    <w:rsid w:val="001750FF"/>
    <w:pPr>
      <w:spacing w:before="100" w:beforeAutospacing="1" w:after="100" w:afterAutospacing="1"/>
      <w:jc w:val="right"/>
      <w:textAlignment w:val="top"/>
    </w:pPr>
    <w:rPr>
      <w:rFonts w:ascii="Times New Roman" w:hAnsi="Times New Roman"/>
      <w:sz w:val="24"/>
      <w:szCs w:val="24"/>
      <w:lang w:eastAsia="en-AU"/>
    </w:rPr>
  </w:style>
  <w:style w:type="paragraph" w:customStyle="1" w:styleId="xl68">
    <w:name w:val="xl68"/>
    <w:basedOn w:val="Normal"/>
    <w:rsid w:val="001750FF"/>
    <w:pPr>
      <w:spacing w:before="100" w:beforeAutospacing="1" w:after="100" w:afterAutospacing="1"/>
      <w:jc w:val="right"/>
    </w:pPr>
    <w:rPr>
      <w:rFonts w:ascii="Arial Black" w:hAnsi="Arial Black"/>
      <w:sz w:val="32"/>
      <w:szCs w:val="32"/>
      <w:lang w:eastAsia="en-AU"/>
    </w:rPr>
  </w:style>
  <w:style w:type="paragraph" w:customStyle="1" w:styleId="xl69">
    <w:name w:val="xl69"/>
    <w:basedOn w:val="Normal"/>
    <w:rsid w:val="001750FF"/>
    <w:pPr>
      <w:spacing w:before="100" w:beforeAutospacing="1" w:after="100" w:afterAutospacing="1"/>
      <w:jc w:val="right"/>
    </w:pPr>
    <w:rPr>
      <w:rFonts w:ascii="Times New Roman" w:hAnsi="Times New Roman"/>
      <w:sz w:val="24"/>
      <w:szCs w:val="24"/>
      <w:lang w:eastAsia="en-AU"/>
    </w:rPr>
  </w:style>
  <w:style w:type="paragraph" w:customStyle="1" w:styleId="xl70">
    <w:name w:val="xl70"/>
    <w:basedOn w:val="Normal"/>
    <w:rsid w:val="001750FF"/>
    <w:pPr>
      <w:spacing w:before="100" w:beforeAutospacing="1" w:after="100" w:afterAutospacing="1"/>
      <w:jc w:val="right"/>
      <w:textAlignment w:val="top"/>
    </w:pPr>
    <w:rPr>
      <w:rFonts w:cs="Arial"/>
      <w:b/>
      <w:bCs/>
      <w:sz w:val="24"/>
      <w:szCs w:val="24"/>
      <w:lang w:eastAsia="en-AU"/>
    </w:rPr>
  </w:style>
  <w:style w:type="paragraph" w:customStyle="1" w:styleId="xl71">
    <w:name w:val="xl71"/>
    <w:basedOn w:val="Normal"/>
    <w:rsid w:val="001750FF"/>
    <w:pPr>
      <w:spacing w:before="100" w:beforeAutospacing="1" w:after="100" w:afterAutospacing="1"/>
    </w:pPr>
    <w:rPr>
      <w:rFonts w:cs="Arial"/>
      <w:b/>
      <w:bCs/>
      <w:sz w:val="24"/>
      <w:szCs w:val="24"/>
      <w:lang w:eastAsia="en-AU"/>
    </w:rPr>
  </w:style>
  <w:style w:type="paragraph" w:customStyle="1" w:styleId="xl72">
    <w:name w:val="xl72"/>
    <w:basedOn w:val="Normal"/>
    <w:rsid w:val="001750FF"/>
    <w:pPr>
      <w:spacing w:before="100" w:beforeAutospacing="1" w:after="100" w:afterAutospacing="1"/>
      <w:jc w:val="right"/>
    </w:pPr>
    <w:rPr>
      <w:rFonts w:cs="Arial"/>
      <w:b/>
      <w:bCs/>
      <w:sz w:val="24"/>
      <w:szCs w:val="24"/>
      <w:lang w:eastAsia="en-AU"/>
    </w:rPr>
  </w:style>
  <w:style w:type="paragraph" w:customStyle="1" w:styleId="xl73">
    <w:name w:val="xl73"/>
    <w:basedOn w:val="Normal"/>
    <w:rsid w:val="001750FF"/>
    <w:pPr>
      <w:spacing w:before="100" w:beforeAutospacing="1" w:after="100" w:afterAutospacing="1"/>
    </w:pPr>
    <w:rPr>
      <w:rFonts w:cs="Arial"/>
      <w:b/>
      <w:bCs/>
      <w:sz w:val="24"/>
      <w:szCs w:val="24"/>
      <w:lang w:eastAsia="en-AU"/>
    </w:rPr>
  </w:style>
  <w:style w:type="paragraph" w:customStyle="1" w:styleId="xl74">
    <w:name w:val="xl74"/>
    <w:basedOn w:val="Normal"/>
    <w:rsid w:val="001750FF"/>
    <w:pPr>
      <w:spacing w:before="100" w:beforeAutospacing="1" w:after="100" w:afterAutospacing="1"/>
      <w:jc w:val="right"/>
      <w:textAlignment w:val="top"/>
    </w:pPr>
    <w:rPr>
      <w:rFonts w:cs="Arial"/>
      <w:b/>
      <w:bCs/>
      <w:sz w:val="24"/>
      <w:szCs w:val="24"/>
      <w:lang w:eastAsia="en-AU"/>
    </w:rPr>
  </w:style>
  <w:style w:type="paragraph" w:customStyle="1" w:styleId="xl75">
    <w:name w:val="xl75"/>
    <w:basedOn w:val="Normal"/>
    <w:rsid w:val="001750FF"/>
    <w:pPr>
      <w:shd w:val="clear" w:color="000000" w:fill="FFFFFF"/>
      <w:spacing w:before="100" w:beforeAutospacing="1" w:after="100" w:afterAutospacing="1"/>
      <w:jc w:val="right"/>
      <w:textAlignment w:val="top"/>
    </w:pPr>
    <w:rPr>
      <w:rFonts w:cs="Arial"/>
      <w:b/>
      <w:bCs/>
      <w:sz w:val="24"/>
      <w:szCs w:val="24"/>
      <w:lang w:eastAsia="en-AU"/>
    </w:rPr>
  </w:style>
  <w:style w:type="paragraph" w:customStyle="1" w:styleId="xl76">
    <w:name w:val="xl76"/>
    <w:basedOn w:val="Normal"/>
    <w:rsid w:val="001750FF"/>
    <w:pPr>
      <w:spacing w:before="100" w:beforeAutospacing="1" w:after="100" w:afterAutospacing="1"/>
      <w:jc w:val="right"/>
    </w:pPr>
    <w:rPr>
      <w:rFonts w:cs="Arial"/>
      <w:b/>
      <w:bCs/>
      <w:sz w:val="24"/>
      <w:szCs w:val="24"/>
      <w:lang w:eastAsia="en-AU"/>
    </w:rPr>
  </w:style>
  <w:style w:type="paragraph" w:customStyle="1" w:styleId="xl77">
    <w:name w:val="xl77"/>
    <w:basedOn w:val="Normal"/>
    <w:rsid w:val="001750FF"/>
    <w:pPr>
      <w:spacing w:before="100" w:beforeAutospacing="1" w:after="100" w:afterAutospacing="1"/>
      <w:jc w:val="right"/>
      <w:textAlignment w:val="top"/>
    </w:pPr>
    <w:rPr>
      <w:rFonts w:cs="Arial"/>
      <w:b/>
      <w:bCs/>
      <w:sz w:val="24"/>
      <w:szCs w:val="24"/>
      <w:lang w:eastAsia="en-AU"/>
    </w:rPr>
  </w:style>
  <w:style w:type="paragraph" w:customStyle="1" w:styleId="xl78">
    <w:name w:val="xl78"/>
    <w:basedOn w:val="Normal"/>
    <w:rsid w:val="001750FF"/>
    <w:pPr>
      <w:spacing w:before="100" w:beforeAutospacing="1" w:after="100" w:afterAutospacing="1"/>
    </w:pPr>
    <w:rPr>
      <w:rFonts w:cs="Arial"/>
      <w:b/>
      <w:bCs/>
      <w:sz w:val="24"/>
      <w:szCs w:val="24"/>
      <w:lang w:eastAsia="en-AU"/>
    </w:rPr>
  </w:style>
  <w:style w:type="paragraph" w:customStyle="1" w:styleId="xl79">
    <w:name w:val="xl79"/>
    <w:basedOn w:val="Normal"/>
    <w:rsid w:val="001750FF"/>
    <w:pPr>
      <w:spacing w:before="100" w:beforeAutospacing="1" w:after="100" w:afterAutospacing="1"/>
      <w:textAlignment w:val="center"/>
    </w:pPr>
    <w:rPr>
      <w:rFonts w:ascii="Arial Narrow" w:hAnsi="Arial Narrow"/>
      <w:b/>
      <w:bCs/>
      <w:i/>
      <w:iCs/>
      <w:sz w:val="24"/>
      <w:szCs w:val="24"/>
      <w:lang w:eastAsia="en-AU"/>
    </w:rPr>
  </w:style>
  <w:style w:type="paragraph" w:customStyle="1" w:styleId="xl94">
    <w:name w:val="xl94"/>
    <w:basedOn w:val="Normal"/>
    <w:rsid w:val="001750FF"/>
    <w:pPr>
      <w:pBdr>
        <w:top w:val="single" w:sz="4" w:space="0" w:color="auto"/>
        <w:right w:val="single" w:sz="4" w:space="0" w:color="auto"/>
      </w:pBdr>
      <w:spacing w:before="100" w:beforeAutospacing="1" w:after="100" w:afterAutospacing="1"/>
      <w:jc w:val="right"/>
    </w:pPr>
    <w:rPr>
      <w:rFonts w:ascii="Arial Narrow" w:hAnsi="Arial Narrow"/>
      <w:b/>
      <w:bCs/>
      <w:sz w:val="18"/>
      <w:szCs w:val="18"/>
      <w:lang w:eastAsia="en-AU"/>
    </w:rPr>
  </w:style>
  <w:style w:type="paragraph" w:customStyle="1" w:styleId="xl95">
    <w:name w:val="xl95"/>
    <w:basedOn w:val="Normal"/>
    <w:rsid w:val="001750FF"/>
    <w:pPr>
      <w:spacing w:before="100" w:beforeAutospacing="1" w:after="100" w:afterAutospacing="1"/>
      <w:jc w:val="right"/>
    </w:pPr>
    <w:rPr>
      <w:rFonts w:ascii="Arial Narrow" w:hAnsi="Arial Narrow"/>
      <w:b/>
      <w:bCs/>
      <w:sz w:val="18"/>
      <w:szCs w:val="18"/>
      <w:lang w:eastAsia="en-AU"/>
    </w:rPr>
  </w:style>
  <w:style w:type="paragraph" w:customStyle="1" w:styleId="xl96">
    <w:name w:val="xl96"/>
    <w:basedOn w:val="Normal"/>
    <w:rsid w:val="001750FF"/>
    <w:pPr>
      <w:spacing w:before="100" w:beforeAutospacing="1" w:after="100" w:afterAutospacing="1"/>
      <w:jc w:val="right"/>
    </w:pPr>
    <w:rPr>
      <w:rFonts w:ascii="Arial Narrow" w:hAnsi="Arial Narrow"/>
      <w:b/>
      <w:bCs/>
      <w:sz w:val="18"/>
      <w:szCs w:val="18"/>
      <w:lang w:eastAsia="en-AU"/>
    </w:rPr>
  </w:style>
  <w:style w:type="paragraph" w:customStyle="1" w:styleId="xl97">
    <w:name w:val="xl97"/>
    <w:basedOn w:val="Normal"/>
    <w:rsid w:val="001750FF"/>
    <w:pPr>
      <w:spacing w:before="100" w:beforeAutospacing="1" w:after="100" w:afterAutospacing="1"/>
      <w:jc w:val="right"/>
    </w:pPr>
    <w:rPr>
      <w:rFonts w:ascii="Arial Narrow" w:hAnsi="Arial Narrow"/>
      <w:sz w:val="18"/>
      <w:szCs w:val="18"/>
      <w:lang w:eastAsia="en-AU"/>
    </w:rPr>
  </w:style>
  <w:style w:type="paragraph" w:customStyle="1" w:styleId="xl98">
    <w:name w:val="xl98"/>
    <w:basedOn w:val="Normal"/>
    <w:rsid w:val="001750FF"/>
    <w:pPr>
      <w:pBdr>
        <w:left w:val="single" w:sz="4" w:space="0" w:color="auto"/>
      </w:pBdr>
      <w:spacing w:before="100" w:beforeAutospacing="1" w:after="100" w:afterAutospacing="1"/>
      <w:jc w:val="right"/>
    </w:pPr>
    <w:rPr>
      <w:rFonts w:ascii="Arial Narrow" w:hAnsi="Arial Narrow"/>
      <w:sz w:val="18"/>
      <w:szCs w:val="18"/>
      <w:lang w:eastAsia="en-AU"/>
    </w:rPr>
  </w:style>
  <w:style w:type="paragraph" w:customStyle="1" w:styleId="xl99">
    <w:name w:val="xl99"/>
    <w:basedOn w:val="Normal"/>
    <w:rsid w:val="001750FF"/>
    <w:pPr>
      <w:pBdr>
        <w:right w:val="single" w:sz="4" w:space="0" w:color="auto"/>
      </w:pBdr>
      <w:spacing w:before="100" w:beforeAutospacing="1" w:after="100" w:afterAutospacing="1"/>
      <w:jc w:val="right"/>
    </w:pPr>
    <w:rPr>
      <w:rFonts w:ascii="Arial Narrow" w:hAnsi="Arial Narrow"/>
      <w:sz w:val="18"/>
      <w:szCs w:val="18"/>
      <w:lang w:eastAsia="en-AU"/>
    </w:rPr>
  </w:style>
  <w:style w:type="paragraph" w:customStyle="1" w:styleId="xl100">
    <w:name w:val="xl100"/>
    <w:basedOn w:val="Normal"/>
    <w:rsid w:val="001750FF"/>
    <w:pPr>
      <w:spacing w:before="100" w:beforeAutospacing="1" w:after="100" w:afterAutospacing="1"/>
    </w:pPr>
    <w:rPr>
      <w:rFonts w:ascii="Arial Narrow" w:hAnsi="Arial Narrow"/>
      <w:b/>
      <w:bCs/>
      <w:sz w:val="18"/>
      <w:szCs w:val="18"/>
      <w:lang w:eastAsia="en-AU"/>
    </w:rPr>
  </w:style>
  <w:style w:type="paragraph" w:customStyle="1" w:styleId="xl101">
    <w:name w:val="xl101"/>
    <w:basedOn w:val="Normal"/>
    <w:rsid w:val="001750FF"/>
    <w:pPr>
      <w:spacing w:before="100" w:beforeAutospacing="1" w:after="100" w:afterAutospacing="1"/>
      <w:jc w:val="right"/>
    </w:pPr>
    <w:rPr>
      <w:rFonts w:ascii="Arial Narrow" w:hAnsi="Arial Narrow"/>
      <w:b/>
      <w:bCs/>
      <w:sz w:val="18"/>
      <w:szCs w:val="18"/>
      <w:lang w:eastAsia="en-AU"/>
    </w:rPr>
  </w:style>
  <w:style w:type="paragraph" w:customStyle="1" w:styleId="xl102">
    <w:name w:val="xl102"/>
    <w:basedOn w:val="Normal"/>
    <w:rsid w:val="001750FF"/>
    <w:pPr>
      <w:spacing w:before="100" w:beforeAutospacing="1" w:after="100" w:afterAutospacing="1"/>
      <w:jc w:val="right"/>
      <w:textAlignment w:val="top"/>
    </w:pPr>
    <w:rPr>
      <w:rFonts w:ascii="Arial Narrow" w:hAnsi="Arial Narrow"/>
      <w:b/>
      <w:bCs/>
      <w:color w:val="FFFFFF"/>
      <w:sz w:val="18"/>
      <w:szCs w:val="18"/>
      <w:lang w:eastAsia="en-AU"/>
    </w:rPr>
  </w:style>
  <w:style w:type="paragraph" w:customStyle="1" w:styleId="xl103">
    <w:name w:val="xl103"/>
    <w:basedOn w:val="Normal"/>
    <w:rsid w:val="001750FF"/>
    <w:pPr>
      <w:spacing w:before="100" w:beforeAutospacing="1" w:after="100" w:afterAutospacing="1"/>
      <w:jc w:val="right"/>
      <w:textAlignment w:val="top"/>
    </w:pPr>
    <w:rPr>
      <w:rFonts w:ascii="Arial Narrow" w:hAnsi="Arial Narrow"/>
      <w:sz w:val="18"/>
      <w:szCs w:val="18"/>
      <w:lang w:eastAsia="en-AU"/>
    </w:rPr>
  </w:style>
  <w:style w:type="paragraph" w:customStyle="1" w:styleId="xl104">
    <w:name w:val="xl104"/>
    <w:basedOn w:val="Normal"/>
    <w:rsid w:val="001750FF"/>
    <w:pPr>
      <w:spacing w:before="100" w:beforeAutospacing="1" w:after="100" w:afterAutospacing="1"/>
    </w:pPr>
    <w:rPr>
      <w:rFonts w:ascii="Arial Narrow" w:hAnsi="Arial Narrow"/>
      <w:b/>
      <w:bCs/>
      <w:color w:val="FFFFFF"/>
      <w:sz w:val="18"/>
      <w:szCs w:val="18"/>
      <w:lang w:eastAsia="en-AU"/>
    </w:rPr>
  </w:style>
  <w:style w:type="paragraph" w:customStyle="1" w:styleId="xl105">
    <w:name w:val="xl105"/>
    <w:basedOn w:val="Normal"/>
    <w:rsid w:val="001750FF"/>
    <w:pPr>
      <w:spacing w:before="100" w:beforeAutospacing="1" w:after="100" w:afterAutospacing="1"/>
      <w:jc w:val="right"/>
    </w:pPr>
    <w:rPr>
      <w:rFonts w:ascii="Arial Narrow" w:hAnsi="Arial Narrow"/>
      <w:b/>
      <w:bCs/>
      <w:color w:val="FFFFFF"/>
      <w:sz w:val="18"/>
      <w:szCs w:val="18"/>
      <w:lang w:eastAsia="en-AU"/>
    </w:rPr>
  </w:style>
  <w:style w:type="paragraph" w:customStyle="1" w:styleId="xl106">
    <w:name w:val="xl106"/>
    <w:basedOn w:val="Normal"/>
    <w:rsid w:val="001750FF"/>
    <w:pPr>
      <w:pBdr>
        <w:left w:val="single" w:sz="4" w:space="0" w:color="auto"/>
      </w:pBdr>
      <w:spacing w:before="100" w:beforeAutospacing="1" w:after="100" w:afterAutospacing="1"/>
      <w:jc w:val="right"/>
    </w:pPr>
    <w:rPr>
      <w:rFonts w:ascii="Arial Narrow" w:hAnsi="Arial Narrow"/>
      <w:sz w:val="18"/>
      <w:szCs w:val="18"/>
      <w:lang w:eastAsia="en-AU"/>
    </w:rPr>
  </w:style>
  <w:style w:type="paragraph" w:customStyle="1" w:styleId="xl107">
    <w:name w:val="xl107"/>
    <w:basedOn w:val="Normal"/>
    <w:rsid w:val="001750FF"/>
    <w:pPr>
      <w:spacing w:before="100" w:beforeAutospacing="1" w:after="100" w:afterAutospacing="1"/>
      <w:jc w:val="right"/>
    </w:pPr>
    <w:rPr>
      <w:rFonts w:ascii="Arial Narrow" w:hAnsi="Arial Narrow"/>
      <w:sz w:val="18"/>
      <w:szCs w:val="18"/>
      <w:lang w:eastAsia="en-AU"/>
    </w:rPr>
  </w:style>
  <w:style w:type="paragraph" w:customStyle="1" w:styleId="xl108">
    <w:name w:val="xl108"/>
    <w:basedOn w:val="Normal"/>
    <w:rsid w:val="001750FF"/>
    <w:pPr>
      <w:pBdr>
        <w:right w:val="single" w:sz="4" w:space="0" w:color="auto"/>
      </w:pBdr>
      <w:spacing w:before="100" w:beforeAutospacing="1" w:after="100" w:afterAutospacing="1"/>
      <w:jc w:val="right"/>
    </w:pPr>
    <w:rPr>
      <w:rFonts w:ascii="Arial Narrow" w:hAnsi="Arial Narrow"/>
      <w:sz w:val="18"/>
      <w:szCs w:val="18"/>
      <w:lang w:eastAsia="en-AU"/>
    </w:rPr>
  </w:style>
  <w:style w:type="paragraph" w:customStyle="1" w:styleId="xl109">
    <w:name w:val="xl109"/>
    <w:basedOn w:val="Normal"/>
    <w:rsid w:val="001750FF"/>
    <w:pPr>
      <w:spacing w:before="100" w:beforeAutospacing="1" w:after="100" w:afterAutospacing="1"/>
      <w:jc w:val="right"/>
      <w:textAlignment w:val="top"/>
    </w:pPr>
    <w:rPr>
      <w:rFonts w:ascii="Arial Black" w:hAnsi="Arial Black"/>
      <w:sz w:val="18"/>
      <w:szCs w:val="18"/>
      <w:lang w:eastAsia="en-AU"/>
    </w:rPr>
  </w:style>
  <w:style w:type="paragraph" w:customStyle="1" w:styleId="xl110">
    <w:name w:val="xl110"/>
    <w:basedOn w:val="Normal"/>
    <w:rsid w:val="001750FF"/>
    <w:pPr>
      <w:spacing w:before="100" w:beforeAutospacing="1" w:after="100" w:afterAutospacing="1"/>
    </w:pPr>
    <w:rPr>
      <w:rFonts w:ascii="Arial Narrow" w:hAnsi="Arial Narrow"/>
      <w:sz w:val="18"/>
      <w:szCs w:val="18"/>
      <w:lang w:eastAsia="en-AU"/>
    </w:rPr>
  </w:style>
  <w:style w:type="paragraph" w:customStyle="1" w:styleId="xl111">
    <w:name w:val="xl111"/>
    <w:basedOn w:val="Normal"/>
    <w:rsid w:val="001750FF"/>
    <w:pPr>
      <w:spacing w:before="100" w:beforeAutospacing="1" w:after="100" w:afterAutospacing="1"/>
      <w:jc w:val="right"/>
      <w:textAlignment w:val="top"/>
    </w:pPr>
    <w:rPr>
      <w:rFonts w:ascii="Arial Black" w:hAnsi="Arial Black"/>
      <w:b/>
      <w:bCs/>
      <w:sz w:val="18"/>
      <w:szCs w:val="18"/>
      <w:lang w:eastAsia="en-AU"/>
    </w:rPr>
  </w:style>
  <w:style w:type="paragraph" w:customStyle="1" w:styleId="xl112">
    <w:name w:val="xl112"/>
    <w:basedOn w:val="Normal"/>
    <w:rsid w:val="001750FF"/>
    <w:pPr>
      <w:spacing w:before="100" w:beforeAutospacing="1" w:after="100" w:afterAutospacing="1"/>
      <w:textAlignment w:val="top"/>
    </w:pPr>
    <w:rPr>
      <w:rFonts w:ascii="Arial Narrow" w:hAnsi="Arial Narrow"/>
      <w:b/>
      <w:bCs/>
      <w:sz w:val="18"/>
      <w:szCs w:val="18"/>
      <w:lang w:eastAsia="en-AU"/>
    </w:rPr>
  </w:style>
  <w:style w:type="paragraph" w:customStyle="1" w:styleId="xl113">
    <w:name w:val="xl113"/>
    <w:basedOn w:val="Normal"/>
    <w:rsid w:val="001750FF"/>
    <w:pPr>
      <w:spacing w:before="100" w:beforeAutospacing="1" w:after="100" w:afterAutospacing="1"/>
      <w:jc w:val="right"/>
      <w:textAlignment w:val="top"/>
    </w:pPr>
    <w:rPr>
      <w:rFonts w:ascii="Arial Narrow" w:hAnsi="Arial Narrow"/>
      <w:b/>
      <w:bCs/>
      <w:sz w:val="17"/>
      <w:szCs w:val="17"/>
      <w:lang w:eastAsia="en-AU"/>
    </w:rPr>
  </w:style>
  <w:style w:type="paragraph" w:customStyle="1" w:styleId="xl114">
    <w:name w:val="xl114"/>
    <w:basedOn w:val="Normal"/>
    <w:rsid w:val="001750FF"/>
    <w:pPr>
      <w:spacing w:before="100" w:beforeAutospacing="1" w:after="100" w:afterAutospacing="1"/>
      <w:jc w:val="right"/>
      <w:textAlignment w:val="center"/>
    </w:pPr>
    <w:rPr>
      <w:rFonts w:cs="Arial"/>
      <w:b/>
      <w:bCs/>
      <w:sz w:val="18"/>
      <w:szCs w:val="18"/>
      <w:lang w:eastAsia="en-AU"/>
    </w:rPr>
  </w:style>
  <w:style w:type="paragraph" w:customStyle="1" w:styleId="xl115">
    <w:name w:val="xl115"/>
    <w:basedOn w:val="Normal"/>
    <w:rsid w:val="001750FF"/>
    <w:pPr>
      <w:pBdr>
        <w:left w:val="single" w:sz="4" w:space="0" w:color="auto"/>
        <w:bottom w:val="single" w:sz="4" w:space="0" w:color="auto"/>
      </w:pBdr>
      <w:spacing w:before="100" w:beforeAutospacing="1" w:after="100" w:afterAutospacing="1"/>
      <w:jc w:val="right"/>
    </w:pPr>
    <w:rPr>
      <w:rFonts w:ascii="Arial Narrow" w:hAnsi="Arial Narrow"/>
      <w:sz w:val="18"/>
      <w:szCs w:val="18"/>
      <w:lang w:eastAsia="en-AU"/>
    </w:rPr>
  </w:style>
  <w:style w:type="paragraph" w:customStyle="1" w:styleId="xl116">
    <w:name w:val="xl116"/>
    <w:basedOn w:val="Normal"/>
    <w:rsid w:val="001750FF"/>
    <w:pPr>
      <w:pBdr>
        <w:bottom w:val="single" w:sz="4" w:space="0" w:color="auto"/>
      </w:pBdr>
      <w:spacing w:before="100" w:beforeAutospacing="1" w:after="100" w:afterAutospacing="1"/>
      <w:jc w:val="right"/>
    </w:pPr>
    <w:rPr>
      <w:rFonts w:ascii="Arial Narrow" w:hAnsi="Arial Narrow"/>
      <w:b/>
      <w:bCs/>
      <w:sz w:val="18"/>
      <w:szCs w:val="18"/>
      <w:lang w:eastAsia="en-AU"/>
    </w:rPr>
  </w:style>
  <w:style w:type="paragraph" w:customStyle="1" w:styleId="xl117">
    <w:name w:val="xl117"/>
    <w:basedOn w:val="Normal"/>
    <w:rsid w:val="001750FF"/>
    <w:pPr>
      <w:pBdr>
        <w:bottom w:val="single" w:sz="4" w:space="0" w:color="auto"/>
        <w:right w:val="single" w:sz="4" w:space="0" w:color="auto"/>
      </w:pBdr>
      <w:spacing w:before="100" w:beforeAutospacing="1" w:after="100" w:afterAutospacing="1"/>
      <w:jc w:val="right"/>
    </w:pPr>
    <w:rPr>
      <w:rFonts w:ascii="Arial Narrow" w:hAnsi="Arial Narrow"/>
      <w:b/>
      <w:bCs/>
      <w:sz w:val="18"/>
      <w:szCs w:val="18"/>
      <w:lang w:eastAsia="en-AU"/>
    </w:rPr>
  </w:style>
  <w:style w:type="paragraph" w:customStyle="1" w:styleId="xl118">
    <w:name w:val="xl118"/>
    <w:basedOn w:val="Normal"/>
    <w:rsid w:val="001750FF"/>
    <w:pPr>
      <w:pBdr>
        <w:top w:val="single" w:sz="4" w:space="0" w:color="auto"/>
      </w:pBdr>
      <w:spacing w:before="100" w:beforeAutospacing="1" w:after="100" w:afterAutospacing="1"/>
      <w:jc w:val="right"/>
    </w:pPr>
    <w:rPr>
      <w:rFonts w:ascii="Arial Narrow" w:hAnsi="Arial Narrow"/>
      <w:b/>
      <w:bCs/>
      <w:sz w:val="18"/>
      <w:szCs w:val="18"/>
      <w:lang w:eastAsia="en-AU"/>
    </w:rPr>
  </w:style>
  <w:style w:type="paragraph" w:customStyle="1" w:styleId="xl119">
    <w:name w:val="xl119"/>
    <w:basedOn w:val="Normal"/>
    <w:rsid w:val="001750FF"/>
    <w:pPr>
      <w:pBdr>
        <w:top w:val="single" w:sz="4" w:space="0" w:color="auto"/>
        <w:right w:val="single" w:sz="4" w:space="0" w:color="auto"/>
      </w:pBdr>
      <w:spacing w:before="100" w:beforeAutospacing="1" w:after="100" w:afterAutospacing="1"/>
      <w:jc w:val="right"/>
    </w:pPr>
    <w:rPr>
      <w:rFonts w:ascii="Arial Narrow" w:hAnsi="Arial Narrow"/>
      <w:b/>
      <w:bCs/>
      <w:sz w:val="18"/>
      <w:szCs w:val="18"/>
      <w:lang w:eastAsia="en-AU"/>
    </w:rPr>
  </w:style>
  <w:style w:type="paragraph" w:customStyle="1" w:styleId="xl120">
    <w:name w:val="xl120"/>
    <w:basedOn w:val="Normal"/>
    <w:rsid w:val="001750FF"/>
    <w:pPr>
      <w:shd w:val="clear" w:color="000000" w:fill="FFCC99"/>
      <w:spacing w:before="100" w:beforeAutospacing="1" w:after="100" w:afterAutospacing="1"/>
      <w:jc w:val="right"/>
    </w:pPr>
    <w:rPr>
      <w:rFonts w:ascii="Times New Roman" w:hAnsi="Times New Roman"/>
      <w:sz w:val="24"/>
      <w:szCs w:val="24"/>
      <w:lang w:eastAsia="en-AU"/>
    </w:rPr>
  </w:style>
  <w:style w:type="paragraph" w:customStyle="1" w:styleId="xl121">
    <w:name w:val="xl121"/>
    <w:basedOn w:val="Normal"/>
    <w:rsid w:val="001750FF"/>
    <w:pPr>
      <w:shd w:val="clear" w:color="000000" w:fill="FFCC99"/>
      <w:spacing w:before="100" w:beforeAutospacing="1" w:after="100" w:afterAutospacing="1"/>
      <w:jc w:val="right"/>
      <w:textAlignment w:val="top"/>
    </w:pPr>
    <w:rPr>
      <w:rFonts w:ascii="Times New Roman" w:hAnsi="Times New Roman"/>
      <w:sz w:val="24"/>
      <w:szCs w:val="24"/>
      <w:lang w:eastAsia="en-AU"/>
    </w:rPr>
  </w:style>
  <w:style w:type="paragraph" w:customStyle="1" w:styleId="xl122">
    <w:name w:val="xl122"/>
    <w:basedOn w:val="Normal"/>
    <w:rsid w:val="001750FF"/>
    <w:pPr>
      <w:shd w:val="clear" w:color="000000" w:fill="CCFFFF"/>
      <w:spacing w:before="100" w:beforeAutospacing="1" w:after="100" w:afterAutospacing="1"/>
      <w:jc w:val="right"/>
      <w:textAlignment w:val="top"/>
    </w:pPr>
    <w:rPr>
      <w:rFonts w:ascii="Times New Roman" w:hAnsi="Times New Roman"/>
      <w:sz w:val="24"/>
      <w:szCs w:val="24"/>
      <w:lang w:eastAsia="en-AU"/>
    </w:rPr>
  </w:style>
  <w:style w:type="paragraph" w:customStyle="1" w:styleId="xl123">
    <w:name w:val="xl123"/>
    <w:basedOn w:val="Normal"/>
    <w:rsid w:val="001750F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Narrow" w:hAnsi="Arial Narrow"/>
      <w:b/>
      <w:bCs/>
      <w:color w:val="000000"/>
      <w:sz w:val="18"/>
      <w:szCs w:val="18"/>
      <w:lang w:eastAsia="en-AU"/>
    </w:rPr>
  </w:style>
  <w:style w:type="paragraph" w:customStyle="1" w:styleId="xl124">
    <w:name w:val="xl124"/>
    <w:basedOn w:val="Normal"/>
    <w:rsid w:val="001750F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Arial Narrow" w:hAnsi="Arial Narrow"/>
      <w:b/>
      <w:bCs/>
      <w:color w:val="000000"/>
      <w:sz w:val="18"/>
      <w:szCs w:val="18"/>
      <w:lang w:eastAsia="en-AU"/>
    </w:rPr>
  </w:style>
  <w:style w:type="paragraph" w:customStyle="1" w:styleId="xl125">
    <w:name w:val="xl125"/>
    <w:basedOn w:val="Normal"/>
    <w:rsid w:val="001750FF"/>
    <w:pPr>
      <w:spacing w:before="100" w:beforeAutospacing="1" w:after="100" w:afterAutospacing="1"/>
    </w:pPr>
    <w:rPr>
      <w:rFonts w:ascii="Arial Narrow" w:hAnsi="Arial Narrow"/>
      <w:color w:val="FF0000"/>
      <w:sz w:val="18"/>
      <w:szCs w:val="18"/>
      <w:lang w:eastAsia="en-AU"/>
    </w:rPr>
  </w:style>
  <w:style w:type="paragraph" w:customStyle="1" w:styleId="xl126">
    <w:name w:val="xl126"/>
    <w:basedOn w:val="Normal"/>
    <w:rsid w:val="001750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eastAsia="en-AU"/>
    </w:rPr>
  </w:style>
  <w:style w:type="paragraph" w:customStyle="1" w:styleId="xl127">
    <w:name w:val="xl127"/>
    <w:basedOn w:val="Normal"/>
    <w:rsid w:val="001750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8"/>
      <w:szCs w:val="18"/>
      <w:lang w:eastAsia="en-AU"/>
    </w:rPr>
  </w:style>
  <w:style w:type="paragraph" w:customStyle="1" w:styleId="xl128">
    <w:name w:val="xl128"/>
    <w:basedOn w:val="Normal"/>
    <w:rsid w:val="001750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29">
    <w:name w:val="xl129"/>
    <w:basedOn w:val="Normal"/>
    <w:rsid w:val="001750F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30">
    <w:name w:val="xl130"/>
    <w:basedOn w:val="Normal"/>
    <w:rsid w:val="001750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31">
    <w:name w:val="xl131"/>
    <w:basedOn w:val="Normal"/>
    <w:rsid w:val="001750F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32">
    <w:name w:val="xl132"/>
    <w:basedOn w:val="Normal"/>
    <w:rsid w:val="001750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33">
    <w:name w:val="xl133"/>
    <w:basedOn w:val="Normal"/>
    <w:rsid w:val="001750F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34">
    <w:name w:val="xl134"/>
    <w:basedOn w:val="Normal"/>
    <w:rsid w:val="001750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35">
    <w:name w:val="xl135"/>
    <w:basedOn w:val="Normal"/>
    <w:rsid w:val="001750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36">
    <w:name w:val="xl136"/>
    <w:basedOn w:val="Normal"/>
    <w:rsid w:val="001750F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37">
    <w:name w:val="xl137"/>
    <w:basedOn w:val="Normal"/>
    <w:rsid w:val="001750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38">
    <w:name w:val="xl138"/>
    <w:basedOn w:val="Normal"/>
    <w:rsid w:val="001750F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39">
    <w:name w:val="xl139"/>
    <w:basedOn w:val="Normal"/>
    <w:rsid w:val="001750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40">
    <w:name w:val="xl140"/>
    <w:basedOn w:val="Normal"/>
    <w:rsid w:val="001750F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41">
    <w:name w:val="xl141"/>
    <w:basedOn w:val="Normal"/>
    <w:rsid w:val="001750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42">
    <w:name w:val="xl142"/>
    <w:basedOn w:val="Normal"/>
    <w:rsid w:val="001750FF"/>
    <w:pPr>
      <w:spacing w:before="100" w:beforeAutospacing="1" w:after="100" w:afterAutospacing="1"/>
      <w:textAlignment w:val="center"/>
    </w:pPr>
    <w:rPr>
      <w:rFonts w:ascii="Arial Narrow" w:hAnsi="Arial Narrow"/>
      <w:sz w:val="18"/>
      <w:szCs w:val="18"/>
      <w:lang w:eastAsia="en-AU"/>
    </w:rPr>
  </w:style>
  <w:style w:type="paragraph" w:customStyle="1" w:styleId="xl143">
    <w:name w:val="xl143"/>
    <w:basedOn w:val="Normal"/>
    <w:rsid w:val="001750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8"/>
      <w:szCs w:val="18"/>
      <w:lang w:eastAsia="en-AU"/>
    </w:rPr>
  </w:style>
  <w:style w:type="paragraph" w:customStyle="1" w:styleId="xl144">
    <w:name w:val="xl144"/>
    <w:basedOn w:val="Normal"/>
    <w:rsid w:val="001750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45">
    <w:name w:val="xl145"/>
    <w:basedOn w:val="Normal"/>
    <w:rsid w:val="001750F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46">
    <w:name w:val="xl146"/>
    <w:basedOn w:val="Normal"/>
    <w:rsid w:val="001750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47">
    <w:name w:val="xl147"/>
    <w:basedOn w:val="Normal"/>
    <w:rsid w:val="001750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48">
    <w:name w:val="xl148"/>
    <w:basedOn w:val="Normal"/>
    <w:rsid w:val="001750F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49">
    <w:name w:val="xl149"/>
    <w:basedOn w:val="Normal"/>
    <w:rsid w:val="001750FF"/>
    <w:pPr>
      <w:spacing w:before="100" w:beforeAutospacing="1" w:after="100" w:afterAutospacing="1"/>
      <w:textAlignment w:val="center"/>
    </w:pPr>
    <w:rPr>
      <w:rFonts w:ascii="Arial Narrow" w:hAnsi="Arial Narrow"/>
      <w:sz w:val="18"/>
      <w:szCs w:val="18"/>
      <w:lang w:eastAsia="en-AU"/>
    </w:rPr>
  </w:style>
  <w:style w:type="paragraph" w:customStyle="1" w:styleId="xl150">
    <w:name w:val="xl150"/>
    <w:basedOn w:val="Normal"/>
    <w:rsid w:val="001750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8"/>
      <w:szCs w:val="18"/>
      <w:lang w:eastAsia="en-AU"/>
    </w:rPr>
  </w:style>
  <w:style w:type="paragraph" w:customStyle="1" w:styleId="xl151">
    <w:name w:val="xl151"/>
    <w:basedOn w:val="Normal"/>
    <w:rsid w:val="001750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52">
    <w:name w:val="xl152"/>
    <w:basedOn w:val="Normal"/>
    <w:rsid w:val="001750F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Narrow" w:hAnsi="Arial Narrow"/>
      <w:b/>
      <w:bCs/>
      <w:color w:val="000000"/>
      <w:sz w:val="18"/>
      <w:szCs w:val="18"/>
      <w:lang w:eastAsia="en-AU"/>
    </w:rPr>
  </w:style>
  <w:style w:type="paragraph" w:customStyle="1" w:styleId="xl153">
    <w:name w:val="xl153"/>
    <w:basedOn w:val="Normal"/>
    <w:rsid w:val="001750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color w:val="000000"/>
      <w:sz w:val="18"/>
      <w:szCs w:val="18"/>
      <w:lang w:eastAsia="en-AU"/>
    </w:rPr>
  </w:style>
  <w:style w:type="paragraph" w:customStyle="1" w:styleId="xl154">
    <w:name w:val="xl154"/>
    <w:basedOn w:val="Normal"/>
    <w:rsid w:val="001750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b/>
      <w:bCs/>
      <w:color w:val="000000"/>
      <w:sz w:val="18"/>
      <w:szCs w:val="18"/>
      <w:lang w:eastAsia="en-AU"/>
    </w:rPr>
  </w:style>
  <w:style w:type="paragraph" w:customStyle="1" w:styleId="xl155">
    <w:name w:val="xl155"/>
    <w:basedOn w:val="Normal"/>
    <w:rsid w:val="001750F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Narrow" w:hAnsi="Arial Narrow"/>
      <w:b/>
      <w:bCs/>
      <w:color w:val="000000"/>
      <w:sz w:val="18"/>
      <w:szCs w:val="18"/>
      <w:lang w:eastAsia="en-AU"/>
    </w:rPr>
  </w:style>
  <w:style w:type="paragraph" w:customStyle="1" w:styleId="xl156">
    <w:name w:val="xl156"/>
    <w:basedOn w:val="Normal"/>
    <w:rsid w:val="001750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b/>
      <w:bCs/>
      <w:color w:val="000000"/>
      <w:sz w:val="18"/>
      <w:szCs w:val="18"/>
      <w:lang w:eastAsia="en-AU"/>
    </w:rPr>
  </w:style>
  <w:style w:type="paragraph" w:customStyle="1" w:styleId="xl157">
    <w:name w:val="xl157"/>
    <w:basedOn w:val="Normal"/>
    <w:rsid w:val="001750F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Narrow" w:hAnsi="Arial Narrow"/>
      <w:b/>
      <w:bCs/>
      <w:color w:val="000000"/>
      <w:sz w:val="18"/>
      <w:szCs w:val="18"/>
      <w:lang w:eastAsia="en-AU"/>
    </w:rPr>
  </w:style>
  <w:style w:type="paragraph" w:customStyle="1" w:styleId="xl158">
    <w:name w:val="xl158"/>
    <w:basedOn w:val="Normal"/>
    <w:rsid w:val="001750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color w:val="000000"/>
      <w:sz w:val="18"/>
      <w:szCs w:val="18"/>
      <w:lang w:eastAsia="en-AU"/>
    </w:rPr>
  </w:style>
  <w:style w:type="paragraph" w:customStyle="1" w:styleId="xl159">
    <w:name w:val="xl159"/>
    <w:basedOn w:val="Normal"/>
    <w:rsid w:val="001750F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Narrow" w:hAnsi="Arial Narrow"/>
      <w:b/>
      <w:bCs/>
      <w:color w:val="000000"/>
      <w:sz w:val="18"/>
      <w:szCs w:val="18"/>
      <w:lang w:eastAsia="en-AU"/>
    </w:rPr>
  </w:style>
  <w:style w:type="paragraph" w:customStyle="1" w:styleId="xl160">
    <w:name w:val="xl160"/>
    <w:basedOn w:val="Normal"/>
    <w:rsid w:val="001750FF"/>
    <w:pPr>
      <w:spacing w:before="100" w:beforeAutospacing="1" w:after="100" w:afterAutospacing="1"/>
      <w:textAlignment w:val="center"/>
    </w:pPr>
    <w:rPr>
      <w:rFonts w:ascii="Arial Narrow" w:hAnsi="Arial Narrow"/>
      <w:b/>
      <w:bCs/>
      <w:sz w:val="18"/>
      <w:szCs w:val="18"/>
      <w:lang w:eastAsia="en-AU"/>
    </w:rPr>
  </w:style>
  <w:style w:type="paragraph" w:customStyle="1" w:styleId="xl161">
    <w:name w:val="xl161"/>
    <w:basedOn w:val="Normal"/>
    <w:rsid w:val="001750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62">
    <w:name w:val="xl162"/>
    <w:basedOn w:val="Normal"/>
    <w:rsid w:val="001750FF"/>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eastAsia="en-AU"/>
    </w:rPr>
  </w:style>
  <w:style w:type="paragraph" w:customStyle="1" w:styleId="xl163">
    <w:name w:val="xl163"/>
    <w:basedOn w:val="Normal"/>
    <w:rsid w:val="001750FF"/>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Narrow" w:hAnsi="Arial Narrow"/>
      <w:sz w:val="18"/>
      <w:szCs w:val="18"/>
      <w:lang w:eastAsia="en-AU"/>
    </w:rPr>
  </w:style>
  <w:style w:type="paragraph" w:customStyle="1" w:styleId="xl164">
    <w:name w:val="xl164"/>
    <w:basedOn w:val="Normal"/>
    <w:rsid w:val="001750FF"/>
    <w:pPr>
      <w:pBdr>
        <w:top w:val="single" w:sz="4" w:space="0" w:color="auto"/>
        <w:left w:val="single" w:sz="4" w:space="0" w:color="auto"/>
        <w:right w:val="single" w:sz="4" w:space="0" w:color="auto"/>
      </w:pBdr>
      <w:shd w:val="clear" w:color="000000" w:fill="BFBFBF"/>
      <w:spacing w:before="100" w:beforeAutospacing="1" w:after="100" w:afterAutospacing="1"/>
      <w:jc w:val="right"/>
      <w:textAlignment w:val="top"/>
    </w:pPr>
    <w:rPr>
      <w:rFonts w:ascii="Arial Narrow" w:hAnsi="Arial Narrow"/>
      <w:color w:val="000000"/>
      <w:sz w:val="18"/>
      <w:szCs w:val="18"/>
      <w:lang w:eastAsia="en-AU"/>
    </w:rPr>
  </w:style>
  <w:style w:type="paragraph" w:customStyle="1" w:styleId="xl165">
    <w:name w:val="xl165"/>
    <w:basedOn w:val="Normal"/>
    <w:rsid w:val="001750FF"/>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66">
    <w:name w:val="xl166"/>
    <w:basedOn w:val="Normal"/>
    <w:rsid w:val="001750FF"/>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67">
    <w:name w:val="xl167"/>
    <w:basedOn w:val="Normal"/>
    <w:rsid w:val="001750FF"/>
    <w:pPr>
      <w:pBdr>
        <w:top w:val="single" w:sz="4" w:space="0" w:color="auto"/>
        <w:left w:val="single" w:sz="4" w:space="0" w:color="auto"/>
        <w:right w:val="single" w:sz="4" w:space="0" w:color="auto"/>
      </w:pBdr>
      <w:shd w:val="clear" w:color="000000" w:fill="BFBFB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68">
    <w:name w:val="xl168"/>
    <w:basedOn w:val="Normal"/>
    <w:rsid w:val="001750FF"/>
    <w:pPr>
      <w:pBdr>
        <w:top w:val="single" w:sz="4" w:space="0" w:color="auto"/>
        <w:left w:val="single" w:sz="4" w:space="0" w:color="auto"/>
        <w:right w:val="single" w:sz="4" w:space="0" w:color="auto"/>
      </w:pBdr>
      <w:shd w:val="clear" w:color="000000" w:fill="C0C0C0"/>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69">
    <w:name w:val="xl169"/>
    <w:basedOn w:val="Normal"/>
    <w:rsid w:val="001750FF"/>
    <w:pPr>
      <w:pBdr>
        <w:top w:val="single" w:sz="4" w:space="0" w:color="auto"/>
        <w:left w:val="single" w:sz="4" w:space="0" w:color="auto"/>
        <w:right w:val="single" w:sz="4" w:space="0" w:color="auto"/>
      </w:pBdr>
      <w:shd w:val="clear" w:color="000000" w:fill="BFBFB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70">
    <w:name w:val="xl170"/>
    <w:basedOn w:val="Normal"/>
    <w:rsid w:val="001750FF"/>
    <w:pPr>
      <w:pBdr>
        <w:top w:val="single" w:sz="4" w:space="0" w:color="auto"/>
        <w:left w:val="single" w:sz="4" w:space="0" w:color="auto"/>
        <w:right w:val="single" w:sz="4" w:space="0" w:color="auto"/>
      </w:pBdr>
      <w:shd w:val="clear" w:color="000000" w:fill="C0C0C0"/>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71">
    <w:name w:val="xl171"/>
    <w:basedOn w:val="Normal"/>
    <w:rsid w:val="001750FF"/>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72">
    <w:name w:val="xl172"/>
    <w:basedOn w:val="Normal"/>
    <w:rsid w:val="001750FF"/>
    <w:pPr>
      <w:pBdr>
        <w:top w:val="single" w:sz="4" w:space="0" w:color="auto"/>
        <w:left w:val="single" w:sz="4" w:space="0" w:color="auto"/>
        <w:right w:val="single" w:sz="4" w:space="0" w:color="auto"/>
      </w:pBdr>
      <w:shd w:val="clear" w:color="000000" w:fill="BFBFB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73">
    <w:name w:val="xl173"/>
    <w:basedOn w:val="Normal"/>
    <w:rsid w:val="001750FF"/>
    <w:pPr>
      <w:pBdr>
        <w:top w:val="single" w:sz="4" w:space="0" w:color="auto"/>
        <w:left w:val="single" w:sz="4" w:space="0" w:color="auto"/>
        <w:bottom w:val="double" w:sz="6" w:space="0" w:color="auto"/>
        <w:right w:val="single" w:sz="4" w:space="0" w:color="auto"/>
      </w:pBdr>
      <w:spacing w:before="100" w:beforeAutospacing="1" w:after="100" w:afterAutospacing="1"/>
      <w:textAlignment w:val="center"/>
    </w:pPr>
    <w:rPr>
      <w:rFonts w:ascii="Arial Narrow" w:hAnsi="Arial Narrow"/>
      <w:b/>
      <w:bCs/>
      <w:sz w:val="18"/>
      <w:szCs w:val="18"/>
      <w:lang w:eastAsia="en-AU"/>
    </w:rPr>
  </w:style>
  <w:style w:type="paragraph" w:customStyle="1" w:styleId="xl174">
    <w:name w:val="xl174"/>
    <w:basedOn w:val="Normal"/>
    <w:rsid w:val="001750FF"/>
    <w:pPr>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ascii="Arial Narrow" w:hAnsi="Arial Narrow"/>
      <w:b/>
      <w:bCs/>
      <w:sz w:val="18"/>
      <w:szCs w:val="18"/>
      <w:lang w:eastAsia="en-AU"/>
    </w:rPr>
  </w:style>
  <w:style w:type="paragraph" w:customStyle="1" w:styleId="xl175">
    <w:name w:val="xl175"/>
    <w:basedOn w:val="Normal"/>
    <w:rsid w:val="001750FF"/>
    <w:pPr>
      <w:pBdr>
        <w:top w:val="single" w:sz="4" w:space="0" w:color="auto"/>
        <w:left w:val="single" w:sz="4" w:space="0" w:color="auto"/>
        <w:bottom w:val="double" w:sz="6" w:space="0" w:color="auto"/>
        <w:right w:val="single" w:sz="4" w:space="0" w:color="auto"/>
      </w:pBdr>
      <w:shd w:val="clear" w:color="000000" w:fill="BFBFBF"/>
      <w:spacing w:before="100" w:beforeAutospacing="1" w:after="100" w:afterAutospacing="1"/>
      <w:jc w:val="right"/>
      <w:textAlignment w:val="center"/>
    </w:pPr>
    <w:rPr>
      <w:rFonts w:ascii="Arial Narrow" w:hAnsi="Arial Narrow"/>
      <w:b/>
      <w:bCs/>
      <w:color w:val="000000"/>
      <w:sz w:val="18"/>
      <w:szCs w:val="18"/>
      <w:lang w:eastAsia="en-AU"/>
    </w:rPr>
  </w:style>
  <w:style w:type="paragraph" w:customStyle="1" w:styleId="xl176">
    <w:name w:val="xl176"/>
    <w:basedOn w:val="Normal"/>
    <w:rsid w:val="001750FF"/>
    <w:pPr>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ascii="Arial Narrow" w:hAnsi="Arial Narrow"/>
      <w:b/>
      <w:bCs/>
      <w:color w:val="000000"/>
      <w:sz w:val="18"/>
      <w:szCs w:val="18"/>
      <w:lang w:eastAsia="en-AU"/>
    </w:rPr>
  </w:style>
  <w:style w:type="paragraph" w:customStyle="1" w:styleId="xl177">
    <w:name w:val="xl177"/>
    <w:basedOn w:val="Normal"/>
    <w:rsid w:val="001750FF"/>
    <w:pPr>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ascii="Arial Narrow" w:hAnsi="Arial Narrow"/>
      <w:b/>
      <w:bCs/>
      <w:color w:val="000000"/>
      <w:sz w:val="18"/>
      <w:szCs w:val="18"/>
      <w:lang w:eastAsia="en-AU"/>
    </w:rPr>
  </w:style>
  <w:style w:type="paragraph" w:customStyle="1" w:styleId="xl178">
    <w:name w:val="xl178"/>
    <w:basedOn w:val="Normal"/>
    <w:rsid w:val="001750FF"/>
    <w:pPr>
      <w:pBdr>
        <w:top w:val="single" w:sz="4" w:space="0" w:color="auto"/>
        <w:left w:val="single" w:sz="4" w:space="0" w:color="auto"/>
        <w:bottom w:val="double" w:sz="6" w:space="0" w:color="auto"/>
        <w:right w:val="single" w:sz="4" w:space="0" w:color="auto"/>
      </w:pBdr>
      <w:shd w:val="clear" w:color="000000" w:fill="BFBFBF"/>
      <w:spacing w:before="100" w:beforeAutospacing="1" w:after="100" w:afterAutospacing="1"/>
      <w:jc w:val="right"/>
      <w:textAlignment w:val="center"/>
    </w:pPr>
    <w:rPr>
      <w:rFonts w:ascii="Arial Narrow" w:hAnsi="Arial Narrow"/>
      <w:b/>
      <w:bCs/>
      <w:color w:val="000000"/>
      <w:sz w:val="18"/>
      <w:szCs w:val="18"/>
      <w:lang w:eastAsia="en-AU"/>
    </w:rPr>
  </w:style>
  <w:style w:type="paragraph" w:customStyle="1" w:styleId="xl179">
    <w:name w:val="xl179"/>
    <w:basedOn w:val="Normal"/>
    <w:rsid w:val="001750FF"/>
    <w:pPr>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ascii="Arial Narrow" w:hAnsi="Arial Narrow"/>
      <w:b/>
      <w:bCs/>
      <w:color w:val="000000"/>
      <w:sz w:val="18"/>
      <w:szCs w:val="18"/>
      <w:lang w:eastAsia="en-AU"/>
    </w:rPr>
  </w:style>
  <w:style w:type="paragraph" w:customStyle="1" w:styleId="xl180">
    <w:name w:val="xl180"/>
    <w:basedOn w:val="Normal"/>
    <w:rsid w:val="001750FF"/>
    <w:pPr>
      <w:pBdr>
        <w:top w:val="single" w:sz="4" w:space="0" w:color="auto"/>
        <w:left w:val="single" w:sz="4" w:space="0" w:color="auto"/>
        <w:bottom w:val="double" w:sz="6" w:space="0" w:color="auto"/>
        <w:right w:val="single" w:sz="4" w:space="0" w:color="auto"/>
      </w:pBdr>
      <w:shd w:val="clear" w:color="000000" w:fill="BFBFBF"/>
      <w:spacing w:before="100" w:beforeAutospacing="1" w:after="100" w:afterAutospacing="1"/>
      <w:jc w:val="right"/>
      <w:textAlignment w:val="center"/>
    </w:pPr>
    <w:rPr>
      <w:rFonts w:ascii="Arial Narrow" w:hAnsi="Arial Narrow"/>
      <w:b/>
      <w:bCs/>
      <w:color w:val="000000"/>
      <w:sz w:val="18"/>
      <w:szCs w:val="18"/>
      <w:lang w:eastAsia="en-AU"/>
    </w:rPr>
  </w:style>
  <w:style w:type="paragraph" w:customStyle="1" w:styleId="xl181">
    <w:name w:val="xl181"/>
    <w:basedOn w:val="Normal"/>
    <w:rsid w:val="001750FF"/>
    <w:pPr>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ascii="Arial Narrow" w:hAnsi="Arial Narrow"/>
      <w:b/>
      <w:bCs/>
      <w:color w:val="000000"/>
      <w:sz w:val="18"/>
      <w:szCs w:val="18"/>
      <w:lang w:eastAsia="en-AU"/>
    </w:rPr>
  </w:style>
  <w:style w:type="paragraph" w:customStyle="1" w:styleId="xl182">
    <w:name w:val="xl182"/>
    <w:basedOn w:val="Normal"/>
    <w:rsid w:val="001750FF"/>
    <w:pPr>
      <w:pBdr>
        <w:top w:val="single" w:sz="4" w:space="0" w:color="auto"/>
        <w:left w:val="single" w:sz="4" w:space="0" w:color="auto"/>
        <w:bottom w:val="double" w:sz="6" w:space="0" w:color="auto"/>
        <w:right w:val="single" w:sz="4" w:space="0" w:color="auto"/>
      </w:pBdr>
      <w:shd w:val="clear" w:color="000000" w:fill="BFBFBF"/>
      <w:spacing w:before="100" w:beforeAutospacing="1" w:after="100" w:afterAutospacing="1"/>
      <w:jc w:val="right"/>
      <w:textAlignment w:val="center"/>
    </w:pPr>
    <w:rPr>
      <w:rFonts w:ascii="Arial Narrow" w:hAnsi="Arial Narrow"/>
      <w:b/>
      <w:bCs/>
      <w:color w:val="000000"/>
      <w:sz w:val="18"/>
      <w:szCs w:val="18"/>
      <w:lang w:eastAsia="en-AU"/>
    </w:rPr>
  </w:style>
  <w:style w:type="paragraph" w:customStyle="1" w:styleId="xl183">
    <w:name w:val="xl183"/>
    <w:basedOn w:val="Normal"/>
    <w:rsid w:val="001750FF"/>
    <w:pPr>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ascii="Arial Narrow" w:hAnsi="Arial Narrow"/>
      <w:b/>
      <w:bCs/>
      <w:color w:val="000000"/>
      <w:sz w:val="18"/>
      <w:szCs w:val="18"/>
      <w:lang w:eastAsia="en-AU"/>
    </w:rPr>
  </w:style>
  <w:style w:type="paragraph" w:customStyle="1" w:styleId="xl184">
    <w:name w:val="xl184"/>
    <w:basedOn w:val="Normal"/>
    <w:rsid w:val="001750FF"/>
    <w:pPr>
      <w:pBdr>
        <w:top w:val="single" w:sz="4" w:space="0" w:color="auto"/>
        <w:left w:val="single" w:sz="4" w:space="0" w:color="auto"/>
        <w:bottom w:val="double" w:sz="6" w:space="0" w:color="auto"/>
        <w:right w:val="single" w:sz="4" w:space="0" w:color="auto"/>
      </w:pBdr>
      <w:shd w:val="clear" w:color="000000" w:fill="BFBFBF"/>
      <w:spacing w:before="100" w:beforeAutospacing="1" w:after="100" w:afterAutospacing="1"/>
      <w:jc w:val="right"/>
      <w:textAlignment w:val="center"/>
    </w:pPr>
    <w:rPr>
      <w:rFonts w:ascii="Arial Narrow" w:hAnsi="Arial Narrow"/>
      <w:b/>
      <w:bCs/>
      <w:color w:val="000000"/>
      <w:sz w:val="18"/>
      <w:szCs w:val="18"/>
      <w:lang w:eastAsia="en-AU"/>
    </w:rPr>
  </w:style>
  <w:style w:type="paragraph" w:customStyle="1" w:styleId="xl185">
    <w:name w:val="xl185"/>
    <w:basedOn w:val="Normal"/>
    <w:rsid w:val="001750FF"/>
    <w:pPr>
      <w:spacing w:before="100" w:beforeAutospacing="1" w:after="100" w:afterAutospacing="1"/>
      <w:jc w:val="right"/>
      <w:textAlignment w:val="center"/>
    </w:pPr>
    <w:rPr>
      <w:rFonts w:ascii="Arial Narrow" w:hAnsi="Arial Narrow"/>
      <w:b/>
      <w:bCs/>
      <w:sz w:val="18"/>
      <w:szCs w:val="18"/>
      <w:lang w:eastAsia="en-AU"/>
    </w:rPr>
  </w:style>
  <w:style w:type="paragraph" w:customStyle="1" w:styleId="xl186">
    <w:name w:val="xl186"/>
    <w:basedOn w:val="Normal"/>
    <w:rsid w:val="001750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87">
    <w:name w:val="xl187"/>
    <w:basedOn w:val="Normal"/>
    <w:rsid w:val="001750F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88">
    <w:name w:val="xl188"/>
    <w:basedOn w:val="Normal"/>
    <w:rsid w:val="001750FF"/>
    <w:pPr>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ascii="Arial Narrow" w:hAnsi="Arial Narrow"/>
      <w:b/>
      <w:bCs/>
      <w:color w:val="000000"/>
      <w:sz w:val="18"/>
      <w:szCs w:val="18"/>
      <w:lang w:eastAsia="en-AU"/>
    </w:rPr>
  </w:style>
  <w:style w:type="paragraph" w:customStyle="1" w:styleId="xl189">
    <w:name w:val="xl189"/>
    <w:basedOn w:val="Normal"/>
    <w:rsid w:val="001750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90">
    <w:name w:val="xl190"/>
    <w:basedOn w:val="Normal"/>
    <w:rsid w:val="001750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91">
    <w:name w:val="xl191"/>
    <w:basedOn w:val="Normal"/>
    <w:rsid w:val="001750FF"/>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92">
    <w:name w:val="xl192"/>
    <w:basedOn w:val="Normal"/>
    <w:rsid w:val="001750FF"/>
    <w:pPr>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ascii="Arial Narrow" w:hAnsi="Arial Narrow"/>
      <w:b/>
      <w:bCs/>
      <w:color w:val="000000"/>
      <w:sz w:val="18"/>
      <w:szCs w:val="18"/>
      <w:lang w:eastAsia="en-AU"/>
    </w:rPr>
  </w:style>
  <w:style w:type="paragraph" w:customStyle="1" w:styleId="xl193">
    <w:name w:val="xl193"/>
    <w:basedOn w:val="Normal"/>
    <w:rsid w:val="001750F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94">
    <w:name w:val="xl194"/>
    <w:basedOn w:val="Normal"/>
    <w:rsid w:val="001750FF"/>
    <w:pPr>
      <w:pBdr>
        <w:top w:val="single" w:sz="4" w:space="0" w:color="auto"/>
        <w:left w:val="single" w:sz="4" w:space="0" w:color="auto"/>
        <w:right w:val="single" w:sz="4" w:space="0" w:color="auto"/>
      </w:pBdr>
      <w:shd w:val="clear" w:color="000000" w:fill="BFBFB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195">
    <w:name w:val="xl195"/>
    <w:basedOn w:val="Normal"/>
    <w:rsid w:val="001750FF"/>
    <w:pPr>
      <w:pBdr>
        <w:top w:val="single" w:sz="4" w:space="0" w:color="auto"/>
        <w:left w:val="single" w:sz="4" w:space="0" w:color="auto"/>
        <w:bottom w:val="double" w:sz="6" w:space="0" w:color="auto"/>
        <w:right w:val="single" w:sz="4" w:space="0" w:color="auto"/>
      </w:pBdr>
      <w:shd w:val="clear" w:color="000000" w:fill="BFBFBF"/>
      <w:spacing w:before="100" w:beforeAutospacing="1" w:after="100" w:afterAutospacing="1"/>
      <w:jc w:val="right"/>
      <w:textAlignment w:val="center"/>
    </w:pPr>
    <w:rPr>
      <w:rFonts w:ascii="Arial Narrow" w:hAnsi="Arial Narrow"/>
      <w:b/>
      <w:bCs/>
      <w:color w:val="000000"/>
      <w:sz w:val="18"/>
      <w:szCs w:val="18"/>
      <w:lang w:eastAsia="en-AU"/>
    </w:rPr>
  </w:style>
  <w:style w:type="paragraph" w:customStyle="1" w:styleId="xl196">
    <w:name w:val="xl196"/>
    <w:basedOn w:val="Normal"/>
    <w:rsid w:val="001750F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Narrow" w:hAnsi="Arial Narrow"/>
      <w:sz w:val="18"/>
      <w:szCs w:val="18"/>
      <w:lang w:eastAsia="en-AU"/>
    </w:rPr>
  </w:style>
  <w:style w:type="paragraph" w:customStyle="1" w:styleId="xl197">
    <w:name w:val="xl197"/>
    <w:basedOn w:val="Normal"/>
    <w:rsid w:val="001750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8"/>
      <w:szCs w:val="18"/>
      <w:lang w:eastAsia="en-AU"/>
    </w:rPr>
  </w:style>
  <w:style w:type="paragraph" w:customStyle="1" w:styleId="xl198">
    <w:name w:val="xl198"/>
    <w:basedOn w:val="Normal"/>
    <w:rsid w:val="001750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8"/>
      <w:szCs w:val="18"/>
      <w:lang w:eastAsia="en-AU"/>
    </w:rPr>
  </w:style>
  <w:style w:type="paragraph" w:customStyle="1" w:styleId="xl199">
    <w:name w:val="xl199"/>
    <w:basedOn w:val="Normal"/>
    <w:rsid w:val="001750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8"/>
      <w:szCs w:val="18"/>
      <w:lang w:eastAsia="en-AU"/>
    </w:rPr>
  </w:style>
  <w:style w:type="paragraph" w:customStyle="1" w:styleId="xl200">
    <w:name w:val="xl200"/>
    <w:basedOn w:val="Normal"/>
    <w:rsid w:val="001750F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Narrow" w:hAnsi="Arial Narrow"/>
      <w:color w:val="000000"/>
      <w:sz w:val="18"/>
      <w:szCs w:val="18"/>
      <w:lang w:eastAsia="en-AU"/>
    </w:rPr>
  </w:style>
  <w:style w:type="paragraph" w:customStyle="1" w:styleId="xl201">
    <w:name w:val="xl201"/>
    <w:basedOn w:val="Normal"/>
    <w:rsid w:val="001750FF"/>
    <w:pPr>
      <w:spacing w:before="100" w:beforeAutospacing="1" w:after="100" w:afterAutospacing="1"/>
      <w:textAlignment w:val="top"/>
    </w:pPr>
    <w:rPr>
      <w:rFonts w:ascii="Arial Narrow" w:hAnsi="Arial Narrow"/>
      <w:sz w:val="18"/>
      <w:szCs w:val="18"/>
      <w:lang w:eastAsia="en-AU"/>
    </w:rPr>
  </w:style>
  <w:style w:type="paragraph" w:customStyle="1" w:styleId="xl202">
    <w:name w:val="xl202"/>
    <w:basedOn w:val="Normal"/>
    <w:rsid w:val="001750FF"/>
    <w:pPr>
      <w:spacing w:before="100" w:beforeAutospacing="1" w:after="100" w:afterAutospacing="1"/>
      <w:jc w:val="center"/>
      <w:textAlignment w:val="top"/>
    </w:pPr>
    <w:rPr>
      <w:rFonts w:ascii="Arial Narrow" w:hAnsi="Arial Narrow"/>
      <w:b/>
      <w:bCs/>
      <w:sz w:val="18"/>
      <w:szCs w:val="18"/>
      <w:lang w:eastAsia="en-AU"/>
    </w:rPr>
  </w:style>
  <w:style w:type="paragraph" w:customStyle="1" w:styleId="xl203">
    <w:name w:val="xl203"/>
    <w:basedOn w:val="Normal"/>
    <w:rsid w:val="001750FF"/>
    <w:pPr>
      <w:spacing w:before="100" w:beforeAutospacing="1" w:after="100" w:afterAutospacing="1"/>
      <w:textAlignment w:val="top"/>
    </w:pPr>
    <w:rPr>
      <w:rFonts w:ascii="Arial Narrow" w:hAnsi="Arial Narrow"/>
      <w:b/>
      <w:bCs/>
      <w:sz w:val="18"/>
      <w:szCs w:val="18"/>
      <w:lang w:eastAsia="en-AU"/>
    </w:rPr>
  </w:style>
  <w:style w:type="paragraph" w:customStyle="1" w:styleId="xl65">
    <w:name w:val="xl65"/>
    <w:basedOn w:val="Normal"/>
    <w:rsid w:val="001750FF"/>
    <w:pPr>
      <w:spacing w:before="100" w:beforeAutospacing="1" w:after="100" w:afterAutospacing="1"/>
    </w:pPr>
    <w:rPr>
      <w:rFonts w:cs="Arial"/>
      <w:sz w:val="24"/>
      <w:szCs w:val="24"/>
      <w:lang w:eastAsia="en-AU"/>
    </w:rPr>
  </w:style>
  <w:style w:type="character" w:customStyle="1" w:styleId="NormIndChar">
    <w:name w:val="Norm_Ind Char"/>
    <w:link w:val="NormInd"/>
    <w:rsid w:val="003F473F"/>
    <w:rPr>
      <w:rFonts w:ascii="Arial" w:hAnsi="Arial"/>
      <w:color w:val="000000"/>
      <w:sz w:val="22"/>
      <w:lang w:val="en-GB"/>
    </w:rPr>
  </w:style>
  <w:style w:type="character" w:customStyle="1" w:styleId="SummaryPointsChar">
    <w:name w:val="Summary Points Char"/>
    <w:link w:val="SummaryPoints"/>
    <w:rsid w:val="004026E5"/>
    <w:rPr>
      <w:rFonts w:ascii="Lucida Sans Unicode" w:hAnsi="Lucida Sans Unicode"/>
      <w:color w:val="000000"/>
      <w:sz w:val="24"/>
      <w:lang w:val="en-GB" w:eastAsia="en-US"/>
    </w:rPr>
  </w:style>
  <w:style w:type="paragraph" w:customStyle="1" w:styleId="Default">
    <w:name w:val="Default"/>
    <w:rsid w:val="001E47D8"/>
    <w:pPr>
      <w:autoSpaceDE w:val="0"/>
      <w:autoSpaceDN w:val="0"/>
      <w:adjustRightInd w:val="0"/>
    </w:pPr>
    <w:rPr>
      <w:rFonts w:ascii="Arial" w:hAnsi="Arial" w:cs="Arial"/>
      <w:color w:val="000000"/>
      <w:sz w:val="24"/>
      <w:szCs w:val="24"/>
    </w:rPr>
  </w:style>
  <w:style w:type="paragraph" w:customStyle="1" w:styleId="Heading4A">
    <w:name w:val="Heading 4A"/>
    <w:basedOn w:val="Heading4"/>
    <w:link w:val="Heading4AChar"/>
    <w:autoRedefine/>
    <w:qFormat/>
    <w:rsid w:val="0098625E"/>
    <w:rPr>
      <w:rFonts w:ascii="Lucida Sans Unicode" w:hAnsi="Lucida Sans Unicode"/>
      <w:noProof/>
      <w:sz w:val="22"/>
    </w:rPr>
  </w:style>
  <w:style w:type="paragraph" w:customStyle="1" w:styleId="Heading3A">
    <w:name w:val="Heading 3A"/>
    <w:basedOn w:val="Heading6"/>
    <w:link w:val="Heading3AChar"/>
    <w:autoRedefine/>
    <w:qFormat/>
    <w:rsid w:val="00E7196F"/>
    <w:rPr>
      <w:rFonts w:ascii="Lucida Sans Unicode" w:hAnsi="Lucida Sans Unicode" w:cs="Lucida Sans Unicode"/>
      <w:sz w:val="22"/>
      <w:szCs w:val="22"/>
    </w:rPr>
  </w:style>
  <w:style w:type="character" w:customStyle="1" w:styleId="Heading4Char">
    <w:name w:val="Heading 4 Char"/>
    <w:link w:val="Heading4"/>
    <w:rsid w:val="00EE0AC3"/>
    <w:rPr>
      <w:rFonts w:ascii="News Gothic Std" w:hAnsi="News Gothic Std" w:cs="Lucida Sans Unicode"/>
      <w:color w:val="0070C0"/>
      <w:sz w:val="24"/>
      <w:szCs w:val="24"/>
      <w:lang w:val="en-US" w:eastAsia="en-US"/>
    </w:rPr>
  </w:style>
  <w:style w:type="character" w:customStyle="1" w:styleId="Heading4AChar">
    <w:name w:val="Heading 4A Char"/>
    <w:link w:val="Heading4A"/>
    <w:rsid w:val="0098625E"/>
    <w:rPr>
      <w:rFonts w:ascii="Lucida Sans Unicode" w:hAnsi="Lucida Sans Unicode" w:cs="Lucida Sans Unicode"/>
      <w:noProof/>
      <w:color w:val="0070C0"/>
      <w:sz w:val="22"/>
      <w:szCs w:val="24"/>
      <w:lang w:val="en-US" w:eastAsia="en-US"/>
    </w:rPr>
  </w:style>
  <w:style w:type="paragraph" w:customStyle="1" w:styleId="Heading5A">
    <w:name w:val="Heading 5A"/>
    <w:basedOn w:val="Heading5"/>
    <w:link w:val="Heading5AChar"/>
    <w:qFormat/>
    <w:rsid w:val="009D06E2"/>
    <w:rPr>
      <w:sz w:val="20"/>
      <w:lang w:val="en-US"/>
    </w:rPr>
  </w:style>
  <w:style w:type="character" w:customStyle="1" w:styleId="Heading3Char">
    <w:name w:val="Heading 3 Char"/>
    <w:link w:val="Heading3"/>
    <w:rsid w:val="00D35956"/>
    <w:rPr>
      <w:rFonts w:ascii="News Gothic Std" w:hAnsi="News Gothic Std" w:cs="Arial"/>
      <w:color w:val="0070C0"/>
      <w:sz w:val="32"/>
      <w:szCs w:val="32"/>
      <w:lang w:eastAsia="en-US"/>
    </w:rPr>
  </w:style>
  <w:style w:type="character" w:customStyle="1" w:styleId="Heading6Char">
    <w:name w:val="Heading 6 Char"/>
    <w:link w:val="Heading6"/>
    <w:rsid w:val="000C05BA"/>
    <w:rPr>
      <w:rFonts w:ascii="News Gothic Std" w:hAnsi="News Gothic Std" w:cs="Arial"/>
      <w:color w:val="0070C0"/>
      <w:sz w:val="32"/>
      <w:szCs w:val="32"/>
      <w:lang w:eastAsia="en-US"/>
    </w:rPr>
  </w:style>
  <w:style w:type="character" w:customStyle="1" w:styleId="Heading3AChar">
    <w:name w:val="Heading 3A Char"/>
    <w:link w:val="Heading3A"/>
    <w:rsid w:val="00E7196F"/>
    <w:rPr>
      <w:rFonts w:ascii="Lucida Sans Unicode" w:hAnsi="Lucida Sans Unicode" w:cs="Lucida Sans Unicode"/>
      <w:color w:val="0070C0"/>
      <w:sz w:val="22"/>
      <w:szCs w:val="22"/>
      <w:lang w:eastAsia="en-US"/>
    </w:rPr>
  </w:style>
  <w:style w:type="paragraph" w:customStyle="1" w:styleId="Heading2A">
    <w:name w:val="Heading 2A"/>
    <w:basedOn w:val="Heading2"/>
    <w:link w:val="Heading2AChar"/>
    <w:autoRedefine/>
    <w:qFormat/>
    <w:rsid w:val="005F1170"/>
  </w:style>
  <w:style w:type="character" w:customStyle="1" w:styleId="Heading5Char">
    <w:name w:val="Heading 5 Char"/>
    <w:link w:val="Heading5"/>
    <w:rsid w:val="00D43F06"/>
    <w:rPr>
      <w:rFonts w:ascii="News Gothic Std" w:hAnsi="News Gothic Std"/>
      <w:color w:val="0070C0"/>
      <w:sz w:val="24"/>
      <w:szCs w:val="24"/>
      <w:lang w:eastAsia="en-US"/>
    </w:rPr>
  </w:style>
  <w:style w:type="character" w:customStyle="1" w:styleId="Heading5AChar">
    <w:name w:val="Heading 5A Char"/>
    <w:link w:val="Heading5A"/>
    <w:rsid w:val="009D06E2"/>
    <w:rPr>
      <w:rFonts w:ascii="News Gothic Std" w:hAnsi="News Gothic Std"/>
      <w:color w:val="0070C0"/>
      <w:sz w:val="24"/>
      <w:szCs w:val="24"/>
      <w:lang w:val="en-US" w:eastAsia="en-US"/>
    </w:rPr>
  </w:style>
  <w:style w:type="character" w:customStyle="1" w:styleId="Heading2Char">
    <w:name w:val="Heading 2 Char"/>
    <w:link w:val="Heading2"/>
    <w:rsid w:val="005F1170"/>
    <w:rPr>
      <w:rFonts w:ascii="News Gothic Std" w:hAnsi="News Gothic Std" w:cs="Arial"/>
      <w:color w:val="0070C0"/>
      <w:sz w:val="64"/>
      <w:szCs w:val="64"/>
      <w:lang w:eastAsia="en-US"/>
    </w:rPr>
  </w:style>
  <w:style w:type="character" w:customStyle="1" w:styleId="Heading2AChar">
    <w:name w:val="Heading 2A Char"/>
    <w:link w:val="Heading2A"/>
    <w:rsid w:val="005F1170"/>
    <w:rPr>
      <w:rFonts w:ascii="News Gothic Std" w:hAnsi="News Gothic Std" w:cs="Arial"/>
      <w:color w:val="0070C0"/>
      <w:sz w:val="64"/>
      <w:szCs w:val="64"/>
      <w:lang w:eastAsia="en-US"/>
    </w:rPr>
  </w:style>
  <w:style w:type="paragraph" w:customStyle="1" w:styleId="Bullet2">
    <w:name w:val="Bullet2"/>
    <w:basedOn w:val="BodyText"/>
    <w:link w:val="Bullet2Char"/>
    <w:autoRedefine/>
    <w:qFormat/>
    <w:rsid w:val="001B6D5F"/>
    <w:pPr>
      <w:numPr>
        <w:numId w:val="42"/>
      </w:numPr>
    </w:pPr>
  </w:style>
  <w:style w:type="character" w:customStyle="1" w:styleId="Bullet2Char">
    <w:name w:val="Bullet2 Char"/>
    <w:link w:val="Bullet2"/>
    <w:rsid w:val="001B6D5F"/>
    <w:rPr>
      <w:rFonts w:ascii="Lucida Sans Unicode" w:hAnsi="Lucida Sans Unicode" w:cs="Lucida Sans Unicode"/>
      <w:bCs/>
      <w:noProof/>
      <w:snapToGrid w:val="0"/>
      <w:color w:val="000000"/>
      <w:sz w:val="22"/>
      <w:szCs w:val="22"/>
      <w:lang w:val="en-GB"/>
    </w:rPr>
  </w:style>
  <w:style w:type="paragraph" w:customStyle="1" w:styleId="Bullet3">
    <w:name w:val="Bullet3"/>
    <w:basedOn w:val="BodyText"/>
    <w:link w:val="Bullet3Char"/>
    <w:autoRedefine/>
    <w:qFormat/>
    <w:rsid w:val="001B6D5F"/>
    <w:pPr>
      <w:numPr>
        <w:numId w:val="41"/>
      </w:numPr>
    </w:pPr>
  </w:style>
  <w:style w:type="character" w:customStyle="1" w:styleId="Bullet3Char">
    <w:name w:val="Bullet3 Char"/>
    <w:link w:val="Bullet3"/>
    <w:rsid w:val="001B6D5F"/>
    <w:rPr>
      <w:rFonts w:ascii="Lucida Sans Unicode" w:hAnsi="Lucida Sans Unicode" w:cs="Lucida Sans Unicode"/>
      <w:bCs/>
      <w:noProof/>
      <w:snapToGrid w:val="0"/>
      <w:color w:val="000000"/>
      <w:sz w:val="22"/>
      <w:szCs w:val="22"/>
      <w:lang w:val="en-GB"/>
    </w:rPr>
  </w:style>
  <w:style w:type="table" w:customStyle="1" w:styleId="LightShading-Accent11">
    <w:name w:val="Light Shading - Accent 11"/>
    <w:basedOn w:val="TableNormal"/>
    <w:uiPriority w:val="60"/>
    <w:rsid w:val="00C9737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odyTextIndent0">
    <w:name w:val="Body TextIndent"/>
    <w:basedOn w:val="BodyText"/>
    <w:link w:val="BodyTextIndentChar"/>
    <w:qFormat/>
    <w:rsid w:val="007A6541"/>
    <w:pPr>
      <w:ind w:left="360"/>
    </w:pPr>
  </w:style>
  <w:style w:type="character" w:customStyle="1" w:styleId="BodyTextIndentChar">
    <w:name w:val="Body TextIndent Char"/>
    <w:link w:val="BodyTextIndent0"/>
    <w:rsid w:val="007A6541"/>
    <w:rPr>
      <w:rFonts w:ascii="Lucida Sans Unicode" w:hAnsi="Lucida Sans Unicode" w:cs="Lucida Sans Unicode"/>
      <w:bCs/>
      <w:noProof/>
      <w:snapToGrid w:val="0"/>
      <w:color w:val="000000"/>
      <w:sz w:val="22"/>
      <w:szCs w:val="22"/>
      <w:lang w:val="en-GB"/>
    </w:rPr>
  </w:style>
  <w:style w:type="table" w:customStyle="1" w:styleId="LightShading-Accent12">
    <w:name w:val="Light Shading - Accent 12"/>
    <w:basedOn w:val="TableNormal"/>
    <w:uiPriority w:val="60"/>
    <w:rsid w:val="004D3E2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
    <w:name w:val="Medium Shading 1 - Accent 11"/>
    <w:basedOn w:val="TableNormal"/>
    <w:uiPriority w:val="63"/>
    <w:rsid w:val="003A52D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1">
    <w:name w:val="No List1"/>
    <w:next w:val="NoList"/>
    <w:uiPriority w:val="99"/>
    <w:semiHidden/>
    <w:unhideWhenUsed/>
    <w:rsid w:val="00F107B0"/>
  </w:style>
  <w:style w:type="paragraph" w:customStyle="1" w:styleId="xl63">
    <w:name w:val="xl63"/>
    <w:basedOn w:val="Normal"/>
    <w:rsid w:val="00BB32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AU"/>
    </w:rPr>
  </w:style>
  <w:style w:type="paragraph" w:customStyle="1" w:styleId="xl64">
    <w:name w:val="xl64"/>
    <w:basedOn w:val="Normal"/>
    <w:rsid w:val="00BB32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AU"/>
    </w:rPr>
  </w:style>
  <w:style w:type="numbering" w:customStyle="1" w:styleId="NoList2">
    <w:name w:val="No List2"/>
    <w:next w:val="NoList"/>
    <w:uiPriority w:val="99"/>
    <w:semiHidden/>
    <w:unhideWhenUsed/>
    <w:rsid w:val="00BB325A"/>
  </w:style>
  <w:style w:type="numbering" w:customStyle="1" w:styleId="NoList3">
    <w:name w:val="No List3"/>
    <w:next w:val="NoList"/>
    <w:uiPriority w:val="99"/>
    <w:semiHidden/>
    <w:unhideWhenUsed/>
    <w:rsid w:val="00BB325A"/>
  </w:style>
  <w:style w:type="paragraph" w:customStyle="1" w:styleId="Para2">
    <w:name w:val="Para_2"/>
    <w:basedOn w:val="Normal"/>
    <w:rsid w:val="00BB325A"/>
    <w:pPr>
      <w:spacing w:before="0" w:after="120"/>
      <w:ind w:left="1134"/>
      <w:jc w:val="both"/>
    </w:pPr>
    <w:rPr>
      <w:rFonts w:ascii="Arial" w:hAnsi="Arial"/>
      <w:color w:val="000000"/>
      <w:lang w:val="en-GB"/>
    </w:rPr>
  </w:style>
  <w:style w:type="character" w:customStyle="1" w:styleId="HeaderChar">
    <w:name w:val="Header Char"/>
    <w:basedOn w:val="DefaultParagraphFont"/>
    <w:link w:val="Header"/>
    <w:uiPriority w:val="99"/>
    <w:rsid w:val="00BB325A"/>
    <w:rPr>
      <w:rFonts w:ascii="Lucida Sans Unicode" w:hAnsi="Lucida Sans Unicode"/>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1906">
      <w:bodyDiv w:val="1"/>
      <w:marLeft w:val="0"/>
      <w:marRight w:val="0"/>
      <w:marTop w:val="0"/>
      <w:marBottom w:val="0"/>
      <w:divBdr>
        <w:top w:val="none" w:sz="0" w:space="0" w:color="auto"/>
        <w:left w:val="none" w:sz="0" w:space="0" w:color="auto"/>
        <w:bottom w:val="none" w:sz="0" w:space="0" w:color="auto"/>
        <w:right w:val="none" w:sz="0" w:space="0" w:color="auto"/>
      </w:divBdr>
    </w:div>
    <w:div w:id="40058776">
      <w:bodyDiv w:val="1"/>
      <w:marLeft w:val="0"/>
      <w:marRight w:val="0"/>
      <w:marTop w:val="0"/>
      <w:marBottom w:val="0"/>
      <w:divBdr>
        <w:top w:val="none" w:sz="0" w:space="0" w:color="auto"/>
        <w:left w:val="none" w:sz="0" w:space="0" w:color="auto"/>
        <w:bottom w:val="none" w:sz="0" w:space="0" w:color="auto"/>
        <w:right w:val="none" w:sz="0" w:space="0" w:color="auto"/>
      </w:divBdr>
    </w:div>
    <w:div w:id="48697201">
      <w:bodyDiv w:val="1"/>
      <w:marLeft w:val="0"/>
      <w:marRight w:val="0"/>
      <w:marTop w:val="0"/>
      <w:marBottom w:val="0"/>
      <w:divBdr>
        <w:top w:val="none" w:sz="0" w:space="0" w:color="auto"/>
        <w:left w:val="none" w:sz="0" w:space="0" w:color="auto"/>
        <w:bottom w:val="none" w:sz="0" w:space="0" w:color="auto"/>
        <w:right w:val="none" w:sz="0" w:space="0" w:color="auto"/>
      </w:divBdr>
    </w:div>
    <w:div w:id="50273348">
      <w:bodyDiv w:val="1"/>
      <w:marLeft w:val="0"/>
      <w:marRight w:val="0"/>
      <w:marTop w:val="0"/>
      <w:marBottom w:val="0"/>
      <w:divBdr>
        <w:top w:val="none" w:sz="0" w:space="0" w:color="auto"/>
        <w:left w:val="none" w:sz="0" w:space="0" w:color="auto"/>
        <w:bottom w:val="none" w:sz="0" w:space="0" w:color="auto"/>
        <w:right w:val="none" w:sz="0" w:space="0" w:color="auto"/>
      </w:divBdr>
    </w:div>
    <w:div w:id="60838211">
      <w:bodyDiv w:val="1"/>
      <w:marLeft w:val="0"/>
      <w:marRight w:val="0"/>
      <w:marTop w:val="0"/>
      <w:marBottom w:val="0"/>
      <w:divBdr>
        <w:top w:val="none" w:sz="0" w:space="0" w:color="auto"/>
        <w:left w:val="none" w:sz="0" w:space="0" w:color="auto"/>
        <w:bottom w:val="none" w:sz="0" w:space="0" w:color="auto"/>
        <w:right w:val="none" w:sz="0" w:space="0" w:color="auto"/>
      </w:divBdr>
    </w:div>
    <w:div w:id="63456717">
      <w:bodyDiv w:val="1"/>
      <w:marLeft w:val="0"/>
      <w:marRight w:val="0"/>
      <w:marTop w:val="0"/>
      <w:marBottom w:val="0"/>
      <w:divBdr>
        <w:top w:val="none" w:sz="0" w:space="0" w:color="auto"/>
        <w:left w:val="none" w:sz="0" w:space="0" w:color="auto"/>
        <w:bottom w:val="none" w:sz="0" w:space="0" w:color="auto"/>
        <w:right w:val="none" w:sz="0" w:space="0" w:color="auto"/>
      </w:divBdr>
    </w:div>
    <w:div w:id="64426368">
      <w:bodyDiv w:val="1"/>
      <w:marLeft w:val="0"/>
      <w:marRight w:val="0"/>
      <w:marTop w:val="0"/>
      <w:marBottom w:val="0"/>
      <w:divBdr>
        <w:top w:val="none" w:sz="0" w:space="0" w:color="auto"/>
        <w:left w:val="none" w:sz="0" w:space="0" w:color="auto"/>
        <w:bottom w:val="none" w:sz="0" w:space="0" w:color="auto"/>
        <w:right w:val="none" w:sz="0" w:space="0" w:color="auto"/>
      </w:divBdr>
    </w:div>
    <w:div w:id="98960621">
      <w:bodyDiv w:val="1"/>
      <w:marLeft w:val="0"/>
      <w:marRight w:val="0"/>
      <w:marTop w:val="0"/>
      <w:marBottom w:val="0"/>
      <w:divBdr>
        <w:top w:val="none" w:sz="0" w:space="0" w:color="auto"/>
        <w:left w:val="none" w:sz="0" w:space="0" w:color="auto"/>
        <w:bottom w:val="none" w:sz="0" w:space="0" w:color="auto"/>
        <w:right w:val="none" w:sz="0" w:space="0" w:color="auto"/>
      </w:divBdr>
    </w:div>
    <w:div w:id="117143762">
      <w:bodyDiv w:val="1"/>
      <w:marLeft w:val="0"/>
      <w:marRight w:val="0"/>
      <w:marTop w:val="0"/>
      <w:marBottom w:val="0"/>
      <w:divBdr>
        <w:top w:val="none" w:sz="0" w:space="0" w:color="auto"/>
        <w:left w:val="none" w:sz="0" w:space="0" w:color="auto"/>
        <w:bottom w:val="none" w:sz="0" w:space="0" w:color="auto"/>
        <w:right w:val="none" w:sz="0" w:space="0" w:color="auto"/>
      </w:divBdr>
    </w:div>
    <w:div w:id="128057524">
      <w:bodyDiv w:val="1"/>
      <w:marLeft w:val="0"/>
      <w:marRight w:val="0"/>
      <w:marTop w:val="0"/>
      <w:marBottom w:val="0"/>
      <w:divBdr>
        <w:top w:val="none" w:sz="0" w:space="0" w:color="auto"/>
        <w:left w:val="none" w:sz="0" w:space="0" w:color="auto"/>
        <w:bottom w:val="none" w:sz="0" w:space="0" w:color="auto"/>
        <w:right w:val="none" w:sz="0" w:space="0" w:color="auto"/>
      </w:divBdr>
    </w:div>
    <w:div w:id="162209545">
      <w:bodyDiv w:val="1"/>
      <w:marLeft w:val="0"/>
      <w:marRight w:val="0"/>
      <w:marTop w:val="0"/>
      <w:marBottom w:val="0"/>
      <w:divBdr>
        <w:top w:val="none" w:sz="0" w:space="0" w:color="auto"/>
        <w:left w:val="none" w:sz="0" w:space="0" w:color="auto"/>
        <w:bottom w:val="none" w:sz="0" w:space="0" w:color="auto"/>
        <w:right w:val="none" w:sz="0" w:space="0" w:color="auto"/>
      </w:divBdr>
    </w:div>
    <w:div w:id="171146020">
      <w:bodyDiv w:val="1"/>
      <w:marLeft w:val="0"/>
      <w:marRight w:val="0"/>
      <w:marTop w:val="0"/>
      <w:marBottom w:val="0"/>
      <w:divBdr>
        <w:top w:val="none" w:sz="0" w:space="0" w:color="auto"/>
        <w:left w:val="none" w:sz="0" w:space="0" w:color="auto"/>
        <w:bottom w:val="none" w:sz="0" w:space="0" w:color="auto"/>
        <w:right w:val="none" w:sz="0" w:space="0" w:color="auto"/>
      </w:divBdr>
    </w:div>
    <w:div w:id="180779000">
      <w:bodyDiv w:val="1"/>
      <w:marLeft w:val="0"/>
      <w:marRight w:val="0"/>
      <w:marTop w:val="0"/>
      <w:marBottom w:val="0"/>
      <w:divBdr>
        <w:top w:val="none" w:sz="0" w:space="0" w:color="auto"/>
        <w:left w:val="none" w:sz="0" w:space="0" w:color="auto"/>
        <w:bottom w:val="none" w:sz="0" w:space="0" w:color="auto"/>
        <w:right w:val="none" w:sz="0" w:space="0" w:color="auto"/>
      </w:divBdr>
    </w:div>
    <w:div w:id="184448632">
      <w:bodyDiv w:val="1"/>
      <w:marLeft w:val="0"/>
      <w:marRight w:val="0"/>
      <w:marTop w:val="0"/>
      <w:marBottom w:val="0"/>
      <w:divBdr>
        <w:top w:val="none" w:sz="0" w:space="0" w:color="auto"/>
        <w:left w:val="none" w:sz="0" w:space="0" w:color="auto"/>
        <w:bottom w:val="none" w:sz="0" w:space="0" w:color="auto"/>
        <w:right w:val="none" w:sz="0" w:space="0" w:color="auto"/>
      </w:divBdr>
    </w:div>
    <w:div w:id="254553275">
      <w:bodyDiv w:val="1"/>
      <w:marLeft w:val="0"/>
      <w:marRight w:val="0"/>
      <w:marTop w:val="0"/>
      <w:marBottom w:val="0"/>
      <w:divBdr>
        <w:top w:val="none" w:sz="0" w:space="0" w:color="auto"/>
        <w:left w:val="none" w:sz="0" w:space="0" w:color="auto"/>
        <w:bottom w:val="none" w:sz="0" w:space="0" w:color="auto"/>
        <w:right w:val="none" w:sz="0" w:space="0" w:color="auto"/>
      </w:divBdr>
    </w:div>
    <w:div w:id="310014791">
      <w:bodyDiv w:val="1"/>
      <w:marLeft w:val="0"/>
      <w:marRight w:val="0"/>
      <w:marTop w:val="0"/>
      <w:marBottom w:val="0"/>
      <w:divBdr>
        <w:top w:val="none" w:sz="0" w:space="0" w:color="auto"/>
        <w:left w:val="none" w:sz="0" w:space="0" w:color="auto"/>
        <w:bottom w:val="none" w:sz="0" w:space="0" w:color="auto"/>
        <w:right w:val="none" w:sz="0" w:space="0" w:color="auto"/>
      </w:divBdr>
    </w:div>
    <w:div w:id="315233834">
      <w:bodyDiv w:val="1"/>
      <w:marLeft w:val="0"/>
      <w:marRight w:val="0"/>
      <w:marTop w:val="0"/>
      <w:marBottom w:val="0"/>
      <w:divBdr>
        <w:top w:val="none" w:sz="0" w:space="0" w:color="auto"/>
        <w:left w:val="none" w:sz="0" w:space="0" w:color="auto"/>
        <w:bottom w:val="none" w:sz="0" w:space="0" w:color="auto"/>
        <w:right w:val="none" w:sz="0" w:space="0" w:color="auto"/>
      </w:divBdr>
    </w:div>
    <w:div w:id="337470392">
      <w:bodyDiv w:val="1"/>
      <w:marLeft w:val="0"/>
      <w:marRight w:val="0"/>
      <w:marTop w:val="0"/>
      <w:marBottom w:val="0"/>
      <w:divBdr>
        <w:top w:val="none" w:sz="0" w:space="0" w:color="auto"/>
        <w:left w:val="none" w:sz="0" w:space="0" w:color="auto"/>
        <w:bottom w:val="none" w:sz="0" w:space="0" w:color="auto"/>
        <w:right w:val="none" w:sz="0" w:space="0" w:color="auto"/>
      </w:divBdr>
    </w:div>
    <w:div w:id="346560144">
      <w:bodyDiv w:val="1"/>
      <w:marLeft w:val="0"/>
      <w:marRight w:val="0"/>
      <w:marTop w:val="0"/>
      <w:marBottom w:val="0"/>
      <w:divBdr>
        <w:top w:val="none" w:sz="0" w:space="0" w:color="auto"/>
        <w:left w:val="none" w:sz="0" w:space="0" w:color="auto"/>
        <w:bottom w:val="none" w:sz="0" w:space="0" w:color="auto"/>
        <w:right w:val="none" w:sz="0" w:space="0" w:color="auto"/>
      </w:divBdr>
    </w:div>
    <w:div w:id="415827156">
      <w:bodyDiv w:val="1"/>
      <w:marLeft w:val="0"/>
      <w:marRight w:val="0"/>
      <w:marTop w:val="0"/>
      <w:marBottom w:val="0"/>
      <w:divBdr>
        <w:top w:val="none" w:sz="0" w:space="0" w:color="auto"/>
        <w:left w:val="none" w:sz="0" w:space="0" w:color="auto"/>
        <w:bottom w:val="none" w:sz="0" w:space="0" w:color="auto"/>
        <w:right w:val="none" w:sz="0" w:space="0" w:color="auto"/>
      </w:divBdr>
    </w:div>
    <w:div w:id="454910781">
      <w:bodyDiv w:val="1"/>
      <w:marLeft w:val="0"/>
      <w:marRight w:val="0"/>
      <w:marTop w:val="0"/>
      <w:marBottom w:val="0"/>
      <w:divBdr>
        <w:top w:val="none" w:sz="0" w:space="0" w:color="auto"/>
        <w:left w:val="none" w:sz="0" w:space="0" w:color="auto"/>
        <w:bottom w:val="none" w:sz="0" w:space="0" w:color="auto"/>
        <w:right w:val="none" w:sz="0" w:space="0" w:color="auto"/>
      </w:divBdr>
    </w:div>
    <w:div w:id="457187643">
      <w:bodyDiv w:val="1"/>
      <w:marLeft w:val="0"/>
      <w:marRight w:val="0"/>
      <w:marTop w:val="0"/>
      <w:marBottom w:val="0"/>
      <w:divBdr>
        <w:top w:val="none" w:sz="0" w:space="0" w:color="auto"/>
        <w:left w:val="none" w:sz="0" w:space="0" w:color="auto"/>
        <w:bottom w:val="none" w:sz="0" w:space="0" w:color="auto"/>
        <w:right w:val="none" w:sz="0" w:space="0" w:color="auto"/>
      </w:divBdr>
    </w:div>
    <w:div w:id="480541396">
      <w:bodyDiv w:val="1"/>
      <w:marLeft w:val="0"/>
      <w:marRight w:val="0"/>
      <w:marTop w:val="0"/>
      <w:marBottom w:val="0"/>
      <w:divBdr>
        <w:top w:val="none" w:sz="0" w:space="0" w:color="auto"/>
        <w:left w:val="none" w:sz="0" w:space="0" w:color="auto"/>
        <w:bottom w:val="none" w:sz="0" w:space="0" w:color="auto"/>
        <w:right w:val="none" w:sz="0" w:space="0" w:color="auto"/>
      </w:divBdr>
    </w:div>
    <w:div w:id="483591203">
      <w:bodyDiv w:val="1"/>
      <w:marLeft w:val="0"/>
      <w:marRight w:val="0"/>
      <w:marTop w:val="0"/>
      <w:marBottom w:val="0"/>
      <w:divBdr>
        <w:top w:val="none" w:sz="0" w:space="0" w:color="auto"/>
        <w:left w:val="none" w:sz="0" w:space="0" w:color="auto"/>
        <w:bottom w:val="none" w:sz="0" w:space="0" w:color="auto"/>
        <w:right w:val="none" w:sz="0" w:space="0" w:color="auto"/>
      </w:divBdr>
    </w:div>
    <w:div w:id="492523879">
      <w:bodyDiv w:val="1"/>
      <w:marLeft w:val="0"/>
      <w:marRight w:val="0"/>
      <w:marTop w:val="0"/>
      <w:marBottom w:val="0"/>
      <w:divBdr>
        <w:top w:val="none" w:sz="0" w:space="0" w:color="auto"/>
        <w:left w:val="none" w:sz="0" w:space="0" w:color="auto"/>
        <w:bottom w:val="none" w:sz="0" w:space="0" w:color="auto"/>
        <w:right w:val="none" w:sz="0" w:space="0" w:color="auto"/>
      </w:divBdr>
    </w:div>
    <w:div w:id="496114052">
      <w:bodyDiv w:val="1"/>
      <w:marLeft w:val="0"/>
      <w:marRight w:val="0"/>
      <w:marTop w:val="0"/>
      <w:marBottom w:val="0"/>
      <w:divBdr>
        <w:top w:val="none" w:sz="0" w:space="0" w:color="auto"/>
        <w:left w:val="none" w:sz="0" w:space="0" w:color="auto"/>
        <w:bottom w:val="none" w:sz="0" w:space="0" w:color="auto"/>
        <w:right w:val="none" w:sz="0" w:space="0" w:color="auto"/>
      </w:divBdr>
    </w:div>
    <w:div w:id="543715819">
      <w:bodyDiv w:val="1"/>
      <w:marLeft w:val="0"/>
      <w:marRight w:val="0"/>
      <w:marTop w:val="0"/>
      <w:marBottom w:val="0"/>
      <w:divBdr>
        <w:top w:val="none" w:sz="0" w:space="0" w:color="auto"/>
        <w:left w:val="none" w:sz="0" w:space="0" w:color="auto"/>
        <w:bottom w:val="none" w:sz="0" w:space="0" w:color="auto"/>
        <w:right w:val="none" w:sz="0" w:space="0" w:color="auto"/>
      </w:divBdr>
    </w:div>
    <w:div w:id="563103198">
      <w:bodyDiv w:val="1"/>
      <w:marLeft w:val="0"/>
      <w:marRight w:val="0"/>
      <w:marTop w:val="0"/>
      <w:marBottom w:val="0"/>
      <w:divBdr>
        <w:top w:val="none" w:sz="0" w:space="0" w:color="auto"/>
        <w:left w:val="none" w:sz="0" w:space="0" w:color="auto"/>
        <w:bottom w:val="none" w:sz="0" w:space="0" w:color="auto"/>
        <w:right w:val="none" w:sz="0" w:space="0" w:color="auto"/>
      </w:divBdr>
    </w:div>
    <w:div w:id="624315264">
      <w:bodyDiv w:val="1"/>
      <w:marLeft w:val="0"/>
      <w:marRight w:val="0"/>
      <w:marTop w:val="0"/>
      <w:marBottom w:val="0"/>
      <w:divBdr>
        <w:top w:val="none" w:sz="0" w:space="0" w:color="auto"/>
        <w:left w:val="none" w:sz="0" w:space="0" w:color="auto"/>
        <w:bottom w:val="none" w:sz="0" w:space="0" w:color="auto"/>
        <w:right w:val="none" w:sz="0" w:space="0" w:color="auto"/>
      </w:divBdr>
    </w:div>
    <w:div w:id="630016015">
      <w:bodyDiv w:val="1"/>
      <w:marLeft w:val="0"/>
      <w:marRight w:val="0"/>
      <w:marTop w:val="0"/>
      <w:marBottom w:val="0"/>
      <w:divBdr>
        <w:top w:val="none" w:sz="0" w:space="0" w:color="auto"/>
        <w:left w:val="none" w:sz="0" w:space="0" w:color="auto"/>
        <w:bottom w:val="none" w:sz="0" w:space="0" w:color="auto"/>
        <w:right w:val="none" w:sz="0" w:space="0" w:color="auto"/>
      </w:divBdr>
    </w:div>
    <w:div w:id="644630020">
      <w:bodyDiv w:val="1"/>
      <w:marLeft w:val="0"/>
      <w:marRight w:val="0"/>
      <w:marTop w:val="0"/>
      <w:marBottom w:val="0"/>
      <w:divBdr>
        <w:top w:val="none" w:sz="0" w:space="0" w:color="auto"/>
        <w:left w:val="none" w:sz="0" w:space="0" w:color="auto"/>
        <w:bottom w:val="none" w:sz="0" w:space="0" w:color="auto"/>
        <w:right w:val="none" w:sz="0" w:space="0" w:color="auto"/>
      </w:divBdr>
    </w:div>
    <w:div w:id="654725273">
      <w:bodyDiv w:val="1"/>
      <w:marLeft w:val="0"/>
      <w:marRight w:val="0"/>
      <w:marTop w:val="0"/>
      <w:marBottom w:val="0"/>
      <w:divBdr>
        <w:top w:val="none" w:sz="0" w:space="0" w:color="auto"/>
        <w:left w:val="none" w:sz="0" w:space="0" w:color="auto"/>
        <w:bottom w:val="none" w:sz="0" w:space="0" w:color="auto"/>
        <w:right w:val="none" w:sz="0" w:space="0" w:color="auto"/>
      </w:divBdr>
    </w:div>
    <w:div w:id="695228717">
      <w:bodyDiv w:val="1"/>
      <w:marLeft w:val="0"/>
      <w:marRight w:val="0"/>
      <w:marTop w:val="0"/>
      <w:marBottom w:val="0"/>
      <w:divBdr>
        <w:top w:val="none" w:sz="0" w:space="0" w:color="auto"/>
        <w:left w:val="none" w:sz="0" w:space="0" w:color="auto"/>
        <w:bottom w:val="none" w:sz="0" w:space="0" w:color="auto"/>
        <w:right w:val="none" w:sz="0" w:space="0" w:color="auto"/>
      </w:divBdr>
    </w:div>
    <w:div w:id="695469772">
      <w:bodyDiv w:val="1"/>
      <w:marLeft w:val="0"/>
      <w:marRight w:val="0"/>
      <w:marTop w:val="0"/>
      <w:marBottom w:val="0"/>
      <w:divBdr>
        <w:top w:val="none" w:sz="0" w:space="0" w:color="auto"/>
        <w:left w:val="none" w:sz="0" w:space="0" w:color="auto"/>
        <w:bottom w:val="none" w:sz="0" w:space="0" w:color="auto"/>
        <w:right w:val="none" w:sz="0" w:space="0" w:color="auto"/>
      </w:divBdr>
    </w:div>
    <w:div w:id="713501221">
      <w:bodyDiv w:val="1"/>
      <w:marLeft w:val="0"/>
      <w:marRight w:val="0"/>
      <w:marTop w:val="0"/>
      <w:marBottom w:val="0"/>
      <w:divBdr>
        <w:top w:val="none" w:sz="0" w:space="0" w:color="auto"/>
        <w:left w:val="none" w:sz="0" w:space="0" w:color="auto"/>
        <w:bottom w:val="none" w:sz="0" w:space="0" w:color="auto"/>
        <w:right w:val="none" w:sz="0" w:space="0" w:color="auto"/>
      </w:divBdr>
    </w:div>
    <w:div w:id="741290070">
      <w:bodyDiv w:val="1"/>
      <w:marLeft w:val="0"/>
      <w:marRight w:val="0"/>
      <w:marTop w:val="0"/>
      <w:marBottom w:val="0"/>
      <w:divBdr>
        <w:top w:val="none" w:sz="0" w:space="0" w:color="auto"/>
        <w:left w:val="none" w:sz="0" w:space="0" w:color="auto"/>
        <w:bottom w:val="none" w:sz="0" w:space="0" w:color="auto"/>
        <w:right w:val="none" w:sz="0" w:space="0" w:color="auto"/>
      </w:divBdr>
    </w:div>
    <w:div w:id="750347540">
      <w:bodyDiv w:val="1"/>
      <w:marLeft w:val="0"/>
      <w:marRight w:val="0"/>
      <w:marTop w:val="0"/>
      <w:marBottom w:val="0"/>
      <w:divBdr>
        <w:top w:val="none" w:sz="0" w:space="0" w:color="auto"/>
        <w:left w:val="none" w:sz="0" w:space="0" w:color="auto"/>
        <w:bottom w:val="none" w:sz="0" w:space="0" w:color="auto"/>
        <w:right w:val="none" w:sz="0" w:space="0" w:color="auto"/>
      </w:divBdr>
    </w:div>
    <w:div w:id="789013694">
      <w:bodyDiv w:val="1"/>
      <w:marLeft w:val="0"/>
      <w:marRight w:val="0"/>
      <w:marTop w:val="0"/>
      <w:marBottom w:val="0"/>
      <w:divBdr>
        <w:top w:val="none" w:sz="0" w:space="0" w:color="auto"/>
        <w:left w:val="none" w:sz="0" w:space="0" w:color="auto"/>
        <w:bottom w:val="none" w:sz="0" w:space="0" w:color="auto"/>
        <w:right w:val="none" w:sz="0" w:space="0" w:color="auto"/>
      </w:divBdr>
    </w:div>
    <w:div w:id="794520504">
      <w:bodyDiv w:val="1"/>
      <w:marLeft w:val="0"/>
      <w:marRight w:val="0"/>
      <w:marTop w:val="0"/>
      <w:marBottom w:val="0"/>
      <w:divBdr>
        <w:top w:val="none" w:sz="0" w:space="0" w:color="auto"/>
        <w:left w:val="none" w:sz="0" w:space="0" w:color="auto"/>
        <w:bottom w:val="none" w:sz="0" w:space="0" w:color="auto"/>
        <w:right w:val="none" w:sz="0" w:space="0" w:color="auto"/>
      </w:divBdr>
    </w:div>
    <w:div w:id="794520757">
      <w:bodyDiv w:val="1"/>
      <w:marLeft w:val="0"/>
      <w:marRight w:val="0"/>
      <w:marTop w:val="0"/>
      <w:marBottom w:val="0"/>
      <w:divBdr>
        <w:top w:val="none" w:sz="0" w:space="0" w:color="auto"/>
        <w:left w:val="none" w:sz="0" w:space="0" w:color="auto"/>
        <w:bottom w:val="none" w:sz="0" w:space="0" w:color="auto"/>
        <w:right w:val="none" w:sz="0" w:space="0" w:color="auto"/>
      </w:divBdr>
    </w:div>
    <w:div w:id="796216997">
      <w:bodyDiv w:val="1"/>
      <w:marLeft w:val="0"/>
      <w:marRight w:val="0"/>
      <w:marTop w:val="0"/>
      <w:marBottom w:val="0"/>
      <w:divBdr>
        <w:top w:val="none" w:sz="0" w:space="0" w:color="auto"/>
        <w:left w:val="none" w:sz="0" w:space="0" w:color="auto"/>
        <w:bottom w:val="none" w:sz="0" w:space="0" w:color="auto"/>
        <w:right w:val="none" w:sz="0" w:space="0" w:color="auto"/>
      </w:divBdr>
    </w:div>
    <w:div w:id="796459277">
      <w:bodyDiv w:val="1"/>
      <w:marLeft w:val="0"/>
      <w:marRight w:val="0"/>
      <w:marTop w:val="0"/>
      <w:marBottom w:val="0"/>
      <w:divBdr>
        <w:top w:val="none" w:sz="0" w:space="0" w:color="auto"/>
        <w:left w:val="none" w:sz="0" w:space="0" w:color="auto"/>
        <w:bottom w:val="none" w:sz="0" w:space="0" w:color="auto"/>
        <w:right w:val="none" w:sz="0" w:space="0" w:color="auto"/>
      </w:divBdr>
    </w:div>
    <w:div w:id="827284090">
      <w:bodyDiv w:val="1"/>
      <w:marLeft w:val="0"/>
      <w:marRight w:val="0"/>
      <w:marTop w:val="0"/>
      <w:marBottom w:val="0"/>
      <w:divBdr>
        <w:top w:val="none" w:sz="0" w:space="0" w:color="auto"/>
        <w:left w:val="none" w:sz="0" w:space="0" w:color="auto"/>
        <w:bottom w:val="none" w:sz="0" w:space="0" w:color="auto"/>
        <w:right w:val="none" w:sz="0" w:space="0" w:color="auto"/>
      </w:divBdr>
    </w:div>
    <w:div w:id="834804356">
      <w:bodyDiv w:val="1"/>
      <w:marLeft w:val="0"/>
      <w:marRight w:val="0"/>
      <w:marTop w:val="0"/>
      <w:marBottom w:val="0"/>
      <w:divBdr>
        <w:top w:val="none" w:sz="0" w:space="0" w:color="auto"/>
        <w:left w:val="none" w:sz="0" w:space="0" w:color="auto"/>
        <w:bottom w:val="none" w:sz="0" w:space="0" w:color="auto"/>
        <w:right w:val="none" w:sz="0" w:space="0" w:color="auto"/>
      </w:divBdr>
    </w:div>
    <w:div w:id="839083736">
      <w:bodyDiv w:val="1"/>
      <w:marLeft w:val="0"/>
      <w:marRight w:val="0"/>
      <w:marTop w:val="0"/>
      <w:marBottom w:val="0"/>
      <w:divBdr>
        <w:top w:val="none" w:sz="0" w:space="0" w:color="auto"/>
        <w:left w:val="none" w:sz="0" w:space="0" w:color="auto"/>
        <w:bottom w:val="none" w:sz="0" w:space="0" w:color="auto"/>
        <w:right w:val="none" w:sz="0" w:space="0" w:color="auto"/>
      </w:divBdr>
    </w:div>
    <w:div w:id="892276580">
      <w:bodyDiv w:val="1"/>
      <w:marLeft w:val="0"/>
      <w:marRight w:val="0"/>
      <w:marTop w:val="0"/>
      <w:marBottom w:val="0"/>
      <w:divBdr>
        <w:top w:val="none" w:sz="0" w:space="0" w:color="auto"/>
        <w:left w:val="none" w:sz="0" w:space="0" w:color="auto"/>
        <w:bottom w:val="none" w:sz="0" w:space="0" w:color="auto"/>
        <w:right w:val="none" w:sz="0" w:space="0" w:color="auto"/>
      </w:divBdr>
    </w:div>
    <w:div w:id="919482122">
      <w:bodyDiv w:val="1"/>
      <w:marLeft w:val="0"/>
      <w:marRight w:val="0"/>
      <w:marTop w:val="0"/>
      <w:marBottom w:val="0"/>
      <w:divBdr>
        <w:top w:val="none" w:sz="0" w:space="0" w:color="auto"/>
        <w:left w:val="none" w:sz="0" w:space="0" w:color="auto"/>
        <w:bottom w:val="none" w:sz="0" w:space="0" w:color="auto"/>
        <w:right w:val="none" w:sz="0" w:space="0" w:color="auto"/>
      </w:divBdr>
    </w:div>
    <w:div w:id="994142909">
      <w:bodyDiv w:val="1"/>
      <w:marLeft w:val="0"/>
      <w:marRight w:val="0"/>
      <w:marTop w:val="0"/>
      <w:marBottom w:val="0"/>
      <w:divBdr>
        <w:top w:val="none" w:sz="0" w:space="0" w:color="auto"/>
        <w:left w:val="none" w:sz="0" w:space="0" w:color="auto"/>
        <w:bottom w:val="none" w:sz="0" w:space="0" w:color="auto"/>
        <w:right w:val="none" w:sz="0" w:space="0" w:color="auto"/>
      </w:divBdr>
    </w:div>
    <w:div w:id="1016467308">
      <w:bodyDiv w:val="1"/>
      <w:marLeft w:val="0"/>
      <w:marRight w:val="0"/>
      <w:marTop w:val="0"/>
      <w:marBottom w:val="0"/>
      <w:divBdr>
        <w:top w:val="none" w:sz="0" w:space="0" w:color="auto"/>
        <w:left w:val="none" w:sz="0" w:space="0" w:color="auto"/>
        <w:bottom w:val="none" w:sz="0" w:space="0" w:color="auto"/>
        <w:right w:val="none" w:sz="0" w:space="0" w:color="auto"/>
      </w:divBdr>
    </w:div>
    <w:div w:id="1089429641">
      <w:bodyDiv w:val="1"/>
      <w:marLeft w:val="0"/>
      <w:marRight w:val="0"/>
      <w:marTop w:val="0"/>
      <w:marBottom w:val="0"/>
      <w:divBdr>
        <w:top w:val="none" w:sz="0" w:space="0" w:color="auto"/>
        <w:left w:val="none" w:sz="0" w:space="0" w:color="auto"/>
        <w:bottom w:val="none" w:sz="0" w:space="0" w:color="auto"/>
        <w:right w:val="none" w:sz="0" w:space="0" w:color="auto"/>
      </w:divBdr>
    </w:div>
    <w:div w:id="1095440187">
      <w:bodyDiv w:val="1"/>
      <w:marLeft w:val="0"/>
      <w:marRight w:val="0"/>
      <w:marTop w:val="0"/>
      <w:marBottom w:val="0"/>
      <w:divBdr>
        <w:top w:val="none" w:sz="0" w:space="0" w:color="auto"/>
        <w:left w:val="none" w:sz="0" w:space="0" w:color="auto"/>
        <w:bottom w:val="none" w:sz="0" w:space="0" w:color="auto"/>
        <w:right w:val="none" w:sz="0" w:space="0" w:color="auto"/>
      </w:divBdr>
    </w:div>
    <w:div w:id="1106004511">
      <w:bodyDiv w:val="1"/>
      <w:marLeft w:val="0"/>
      <w:marRight w:val="0"/>
      <w:marTop w:val="0"/>
      <w:marBottom w:val="0"/>
      <w:divBdr>
        <w:top w:val="none" w:sz="0" w:space="0" w:color="auto"/>
        <w:left w:val="none" w:sz="0" w:space="0" w:color="auto"/>
        <w:bottom w:val="none" w:sz="0" w:space="0" w:color="auto"/>
        <w:right w:val="none" w:sz="0" w:space="0" w:color="auto"/>
      </w:divBdr>
    </w:div>
    <w:div w:id="1112241583">
      <w:bodyDiv w:val="1"/>
      <w:marLeft w:val="0"/>
      <w:marRight w:val="0"/>
      <w:marTop w:val="0"/>
      <w:marBottom w:val="0"/>
      <w:divBdr>
        <w:top w:val="none" w:sz="0" w:space="0" w:color="auto"/>
        <w:left w:val="none" w:sz="0" w:space="0" w:color="auto"/>
        <w:bottom w:val="none" w:sz="0" w:space="0" w:color="auto"/>
        <w:right w:val="none" w:sz="0" w:space="0" w:color="auto"/>
      </w:divBdr>
    </w:div>
    <w:div w:id="1116170559">
      <w:bodyDiv w:val="1"/>
      <w:marLeft w:val="0"/>
      <w:marRight w:val="0"/>
      <w:marTop w:val="0"/>
      <w:marBottom w:val="0"/>
      <w:divBdr>
        <w:top w:val="none" w:sz="0" w:space="0" w:color="auto"/>
        <w:left w:val="none" w:sz="0" w:space="0" w:color="auto"/>
        <w:bottom w:val="none" w:sz="0" w:space="0" w:color="auto"/>
        <w:right w:val="none" w:sz="0" w:space="0" w:color="auto"/>
      </w:divBdr>
    </w:div>
    <w:div w:id="1116603096">
      <w:bodyDiv w:val="1"/>
      <w:marLeft w:val="0"/>
      <w:marRight w:val="0"/>
      <w:marTop w:val="0"/>
      <w:marBottom w:val="0"/>
      <w:divBdr>
        <w:top w:val="none" w:sz="0" w:space="0" w:color="auto"/>
        <w:left w:val="none" w:sz="0" w:space="0" w:color="auto"/>
        <w:bottom w:val="none" w:sz="0" w:space="0" w:color="auto"/>
        <w:right w:val="none" w:sz="0" w:space="0" w:color="auto"/>
      </w:divBdr>
    </w:div>
    <w:div w:id="1118260742">
      <w:bodyDiv w:val="1"/>
      <w:marLeft w:val="0"/>
      <w:marRight w:val="0"/>
      <w:marTop w:val="0"/>
      <w:marBottom w:val="0"/>
      <w:divBdr>
        <w:top w:val="none" w:sz="0" w:space="0" w:color="auto"/>
        <w:left w:val="none" w:sz="0" w:space="0" w:color="auto"/>
        <w:bottom w:val="none" w:sz="0" w:space="0" w:color="auto"/>
        <w:right w:val="none" w:sz="0" w:space="0" w:color="auto"/>
      </w:divBdr>
    </w:div>
    <w:div w:id="1129401331">
      <w:bodyDiv w:val="1"/>
      <w:marLeft w:val="0"/>
      <w:marRight w:val="0"/>
      <w:marTop w:val="0"/>
      <w:marBottom w:val="0"/>
      <w:divBdr>
        <w:top w:val="none" w:sz="0" w:space="0" w:color="auto"/>
        <w:left w:val="none" w:sz="0" w:space="0" w:color="auto"/>
        <w:bottom w:val="none" w:sz="0" w:space="0" w:color="auto"/>
        <w:right w:val="none" w:sz="0" w:space="0" w:color="auto"/>
      </w:divBdr>
    </w:div>
    <w:div w:id="1140419261">
      <w:bodyDiv w:val="1"/>
      <w:marLeft w:val="0"/>
      <w:marRight w:val="0"/>
      <w:marTop w:val="0"/>
      <w:marBottom w:val="0"/>
      <w:divBdr>
        <w:top w:val="none" w:sz="0" w:space="0" w:color="auto"/>
        <w:left w:val="none" w:sz="0" w:space="0" w:color="auto"/>
        <w:bottom w:val="none" w:sz="0" w:space="0" w:color="auto"/>
        <w:right w:val="none" w:sz="0" w:space="0" w:color="auto"/>
      </w:divBdr>
    </w:div>
    <w:div w:id="1146359682">
      <w:bodyDiv w:val="1"/>
      <w:marLeft w:val="0"/>
      <w:marRight w:val="0"/>
      <w:marTop w:val="0"/>
      <w:marBottom w:val="0"/>
      <w:divBdr>
        <w:top w:val="none" w:sz="0" w:space="0" w:color="auto"/>
        <w:left w:val="none" w:sz="0" w:space="0" w:color="auto"/>
        <w:bottom w:val="none" w:sz="0" w:space="0" w:color="auto"/>
        <w:right w:val="none" w:sz="0" w:space="0" w:color="auto"/>
      </w:divBdr>
    </w:div>
    <w:div w:id="1177041334">
      <w:bodyDiv w:val="1"/>
      <w:marLeft w:val="0"/>
      <w:marRight w:val="0"/>
      <w:marTop w:val="0"/>
      <w:marBottom w:val="0"/>
      <w:divBdr>
        <w:top w:val="none" w:sz="0" w:space="0" w:color="auto"/>
        <w:left w:val="none" w:sz="0" w:space="0" w:color="auto"/>
        <w:bottom w:val="none" w:sz="0" w:space="0" w:color="auto"/>
        <w:right w:val="none" w:sz="0" w:space="0" w:color="auto"/>
      </w:divBdr>
    </w:div>
    <w:div w:id="1178471123">
      <w:bodyDiv w:val="1"/>
      <w:marLeft w:val="0"/>
      <w:marRight w:val="0"/>
      <w:marTop w:val="0"/>
      <w:marBottom w:val="0"/>
      <w:divBdr>
        <w:top w:val="none" w:sz="0" w:space="0" w:color="auto"/>
        <w:left w:val="none" w:sz="0" w:space="0" w:color="auto"/>
        <w:bottom w:val="none" w:sz="0" w:space="0" w:color="auto"/>
        <w:right w:val="none" w:sz="0" w:space="0" w:color="auto"/>
      </w:divBdr>
    </w:div>
    <w:div w:id="1224606154">
      <w:bodyDiv w:val="1"/>
      <w:marLeft w:val="0"/>
      <w:marRight w:val="0"/>
      <w:marTop w:val="0"/>
      <w:marBottom w:val="0"/>
      <w:divBdr>
        <w:top w:val="none" w:sz="0" w:space="0" w:color="auto"/>
        <w:left w:val="none" w:sz="0" w:space="0" w:color="auto"/>
        <w:bottom w:val="none" w:sz="0" w:space="0" w:color="auto"/>
        <w:right w:val="none" w:sz="0" w:space="0" w:color="auto"/>
      </w:divBdr>
    </w:div>
    <w:div w:id="1229684545">
      <w:bodyDiv w:val="1"/>
      <w:marLeft w:val="0"/>
      <w:marRight w:val="0"/>
      <w:marTop w:val="0"/>
      <w:marBottom w:val="0"/>
      <w:divBdr>
        <w:top w:val="none" w:sz="0" w:space="0" w:color="auto"/>
        <w:left w:val="none" w:sz="0" w:space="0" w:color="auto"/>
        <w:bottom w:val="none" w:sz="0" w:space="0" w:color="auto"/>
        <w:right w:val="none" w:sz="0" w:space="0" w:color="auto"/>
      </w:divBdr>
    </w:div>
    <w:div w:id="1241136971">
      <w:bodyDiv w:val="1"/>
      <w:marLeft w:val="0"/>
      <w:marRight w:val="0"/>
      <w:marTop w:val="0"/>
      <w:marBottom w:val="0"/>
      <w:divBdr>
        <w:top w:val="none" w:sz="0" w:space="0" w:color="auto"/>
        <w:left w:val="none" w:sz="0" w:space="0" w:color="auto"/>
        <w:bottom w:val="none" w:sz="0" w:space="0" w:color="auto"/>
        <w:right w:val="none" w:sz="0" w:space="0" w:color="auto"/>
      </w:divBdr>
    </w:div>
    <w:div w:id="1254707728">
      <w:bodyDiv w:val="1"/>
      <w:marLeft w:val="0"/>
      <w:marRight w:val="0"/>
      <w:marTop w:val="0"/>
      <w:marBottom w:val="0"/>
      <w:divBdr>
        <w:top w:val="none" w:sz="0" w:space="0" w:color="auto"/>
        <w:left w:val="none" w:sz="0" w:space="0" w:color="auto"/>
        <w:bottom w:val="none" w:sz="0" w:space="0" w:color="auto"/>
        <w:right w:val="none" w:sz="0" w:space="0" w:color="auto"/>
      </w:divBdr>
    </w:div>
    <w:div w:id="1297025874">
      <w:bodyDiv w:val="1"/>
      <w:marLeft w:val="0"/>
      <w:marRight w:val="0"/>
      <w:marTop w:val="0"/>
      <w:marBottom w:val="0"/>
      <w:divBdr>
        <w:top w:val="none" w:sz="0" w:space="0" w:color="auto"/>
        <w:left w:val="none" w:sz="0" w:space="0" w:color="auto"/>
        <w:bottom w:val="none" w:sz="0" w:space="0" w:color="auto"/>
        <w:right w:val="none" w:sz="0" w:space="0" w:color="auto"/>
      </w:divBdr>
    </w:div>
    <w:div w:id="1300064527">
      <w:bodyDiv w:val="1"/>
      <w:marLeft w:val="0"/>
      <w:marRight w:val="0"/>
      <w:marTop w:val="0"/>
      <w:marBottom w:val="0"/>
      <w:divBdr>
        <w:top w:val="none" w:sz="0" w:space="0" w:color="auto"/>
        <w:left w:val="none" w:sz="0" w:space="0" w:color="auto"/>
        <w:bottom w:val="none" w:sz="0" w:space="0" w:color="auto"/>
        <w:right w:val="none" w:sz="0" w:space="0" w:color="auto"/>
      </w:divBdr>
    </w:div>
    <w:div w:id="1307127302">
      <w:bodyDiv w:val="1"/>
      <w:marLeft w:val="0"/>
      <w:marRight w:val="0"/>
      <w:marTop w:val="0"/>
      <w:marBottom w:val="0"/>
      <w:divBdr>
        <w:top w:val="none" w:sz="0" w:space="0" w:color="auto"/>
        <w:left w:val="none" w:sz="0" w:space="0" w:color="auto"/>
        <w:bottom w:val="none" w:sz="0" w:space="0" w:color="auto"/>
        <w:right w:val="none" w:sz="0" w:space="0" w:color="auto"/>
      </w:divBdr>
    </w:div>
    <w:div w:id="1364750986">
      <w:bodyDiv w:val="1"/>
      <w:marLeft w:val="0"/>
      <w:marRight w:val="0"/>
      <w:marTop w:val="0"/>
      <w:marBottom w:val="0"/>
      <w:divBdr>
        <w:top w:val="none" w:sz="0" w:space="0" w:color="auto"/>
        <w:left w:val="none" w:sz="0" w:space="0" w:color="auto"/>
        <w:bottom w:val="none" w:sz="0" w:space="0" w:color="auto"/>
        <w:right w:val="none" w:sz="0" w:space="0" w:color="auto"/>
      </w:divBdr>
    </w:div>
    <w:div w:id="1377002407">
      <w:bodyDiv w:val="1"/>
      <w:marLeft w:val="0"/>
      <w:marRight w:val="0"/>
      <w:marTop w:val="0"/>
      <w:marBottom w:val="0"/>
      <w:divBdr>
        <w:top w:val="none" w:sz="0" w:space="0" w:color="auto"/>
        <w:left w:val="none" w:sz="0" w:space="0" w:color="auto"/>
        <w:bottom w:val="none" w:sz="0" w:space="0" w:color="auto"/>
        <w:right w:val="none" w:sz="0" w:space="0" w:color="auto"/>
      </w:divBdr>
    </w:div>
    <w:div w:id="1378122612">
      <w:bodyDiv w:val="1"/>
      <w:marLeft w:val="0"/>
      <w:marRight w:val="0"/>
      <w:marTop w:val="0"/>
      <w:marBottom w:val="0"/>
      <w:divBdr>
        <w:top w:val="none" w:sz="0" w:space="0" w:color="auto"/>
        <w:left w:val="none" w:sz="0" w:space="0" w:color="auto"/>
        <w:bottom w:val="none" w:sz="0" w:space="0" w:color="auto"/>
        <w:right w:val="none" w:sz="0" w:space="0" w:color="auto"/>
      </w:divBdr>
    </w:div>
    <w:div w:id="1435129484">
      <w:bodyDiv w:val="1"/>
      <w:marLeft w:val="0"/>
      <w:marRight w:val="0"/>
      <w:marTop w:val="0"/>
      <w:marBottom w:val="0"/>
      <w:divBdr>
        <w:top w:val="none" w:sz="0" w:space="0" w:color="auto"/>
        <w:left w:val="none" w:sz="0" w:space="0" w:color="auto"/>
        <w:bottom w:val="none" w:sz="0" w:space="0" w:color="auto"/>
        <w:right w:val="none" w:sz="0" w:space="0" w:color="auto"/>
      </w:divBdr>
    </w:div>
    <w:div w:id="1440224792">
      <w:bodyDiv w:val="1"/>
      <w:marLeft w:val="0"/>
      <w:marRight w:val="0"/>
      <w:marTop w:val="0"/>
      <w:marBottom w:val="0"/>
      <w:divBdr>
        <w:top w:val="none" w:sz="0" w:space="0" w:color="auto"/>
        <w:left w:val="none" w:sz="0" w:space="0" w:color="auto"/>
        <w:bottom w:val="none" w:sz="0" w:space="0" w:color="auto"/>
        <w:right w:val="none" w:sz="0" w:space="0" w:color="auto"/>
      </w:divBdr>
    </w:div>
    <w:div w:id="1497257533">
      <w:bodyDiv w:val="1"/>
      <w:marLeft w:val="0"/>
      <w:marRight w:val="0"/>
      <w:marTop w:val="0"/>
      <w:marBottom w:val="0"/>
      <w:divBdr>
        <w:top w:val="none" w:sz="0" w:space="0" w:color="auto"/>
        <w:left w:val="none" w:sz="0" w:space="0" w:color="auto"/>
        <w:bottom w:val="none" w:sz="0" w:space="0" w:color="auto"/>
        <w:right w:val="none" w:sz="0" w:space="0" w:color="auto"/>
      </w:divBdr>
    </w:div>
    <w:div w:id="1580555733">
      <w:bodyDiv w:val="1"/>
      <w:marLeft w:val="0"/>
      <w:marRight w:val="0"/>
      <w:marTop w:val="0"/>
      <w:marBottom w:val="0"/>
      <w:divBdr>
        <w:top w:val="none" w:sz="0" w:space="0" w:color="auto"/>
        <w:left w:val="none" w:sz="0" w:space="0" w:color="auto"/>
        <w:bottom w:val="none" w:sz="0" w:space="0" w:color="auto"/>
        <w:right w:val="none" w:sz="0" w:space="0" w:color="auto"/>
      </w:divBdr>
    </w:div>
    <w:div w:id="1608998461">
      <w:bodyDiv w:val="1"/>
      <w:marLeft w:val="0"/>
      <w:marRight w:val="0"/>
      <w:marTop w:val="0"/>
      <w:marBottom w:val="0"/>
      <w:divBdr>
        <w:top w:val="none" w:sz="0" w:space="0" w:color="auto"/>
        <w:left w:val="none" w:sz="0" w:space="0" w:color="auto"/>
        <w:bottom w:val="none" w:sz="0" w:space="0" w:color="auto"/>
        <w:right w:val="none" w:sz="0" w:space="0" w:color="auto"/>
      </w:divBdr>
    </w:div>
    <w:div w:id="1637224397">
      <w:bodyDiv w:val="1"/>
      <w:marLeft w:val="0"/>
      <w:marRight w:val="0"/>
      <w:marTop w:val="0"/>
      <w:marBottom w:val="0"/>
      <w:divBdr>
        <w:top w:val="none" w:sz="0" w:space="0" w:color="auto"/>
        <w:left w:val="none" w:sz="0" w:space="0" w:color="auto"/>
        <w:bottom w:val="none" w:sz="0" w:space="0" w:color="auto"/>
        <w:right w:val="none" w:sz="0" w:space="0" w:color="auto"/>
      </w:divBdr>
    </w:div>
    <w:div w:id="1691489861">
      <w:bodyDiv w:val="1"/>
      <w:marLeft w:val="0"/>
      <w:marRight w:val="0"/>
      <w:marTop w:val="0"/>
      <w:marBottom w:val="0"/>
      <w:divBdr>
        <w:top w:val="none" w:sz="0" w:space="0" w:color="auto"/>
        <w:left w:val="none" w:sz="0" w:space="0" w:color="auto"/>
        <w:bottom w:val="none" w:sz="0" w:space="0" w:color="auto"/>
        <w:right w:val="none" w:sz="0" w:space="0" w:color="auto"/>
      </w:divBdr>
    </w:div>
    <w:div w:id="1731610055">
      <w:bodyDiv w:val="1"/>
      <w:marLeft w:val="0"/>
      <w:marRight w:val="0"/>
      <w:marTop w:val="0"/>
      <w:marBottom w:val="0"/>
      <w:divBdr>
        <w:top w:val="none" w:sz="0" w:space="0" w:color="auto"/>
        <w:left w:val="none" w:sz="0" w:space="0" w:color="auto"/>
        <w:bottom w:val="none" w:sz="0" w:space="0" w:color="auto"/>
        <w:right w:val="none" w:sz="0" w:space="0" w:color="auto"/>
      </w:divBdr>
    </w:div>
    <w:div w:id="1733574524">
      <w:bodyDiv w:val="1"/>
      <w:marLeft w:val="0"/>
      <w:marRight w:val="0"/>
      <w:marTop w:val="0"/>
      <w:marBottom w:val="0"/>
      <w:divBdr>
        <w:top w:val="none" w:sz="0" w:space="0" w:color="auto"/>
        <w:left w:val="none" w:sz="0" w:space="0" w:color="auto"/>
        <w:bottom w:val="none" w:sz="0" w:space="0" w:color="auto"/>
        <w:right w:val="none" w:sz="0" w:space="0" w:color="auto"/>
      </w:divBdr>
    </w:div>
    <w:div w:id="1744570846">
      <w:bodyDiv w:val="1"/>
      <w:marLeft w:val="0"/>
      <w:marRight w:val="0"/>
      <w:marTop w:val="0"/>
      <w:marBottom w:val="0"/>
      <w:divBdr>
        <w:top w:val="none" w:sz="0" w:space="0" w:color="auto"/>
        <w:left w:val="none" w:sz="0" w:space="0" w:color="auto"/>
        <w:bottom w:val="none" w:sz="0" w:space="0" w:color="auto"/>
        <w:right w:val="none" w:sz="0" w:space="0" w:color="auto"/>
      </w:divBdr>
    </w:div>
    <w:div w:id="1747069129">
      <w:bodyDiv w:val="1"/>
      <w:marLeft w:val="0"/>
      <w:marRight w:val="0"/>
      <w:marTop w:val="0"/>
      <w:marBottom w:val="0"/>
      <w:divBdr>
        <w:top w:val="none" w:sz="0" w:space="0" w:color="auto"/>
        <w:left w:val="none" w:sz="0" w:space="0" w:color="auto"/>
        <w:bottom w:val="none" w:sz="0" w:space="0" w:color="auto"/>
        <w:right w:val="none" w:sz="0" w:space="0" w:color="auto"/>
      </w:divBdr>
    </w:div>
    <w:div w:id="1747527642">
      <w:bodyDiv w:val="1"/>
      <w:marLeft w:val="0"/>
      <w:marRight w:val="0"/>
      <w:marTop w:val="0"/>
      <w:marBottom w:val="0"/>
      <w:divBdr>
        <w:top w:val="none" w:sz="0" w:space="0" w:color="auto"/>
        <w:left w:val="none" w:sz="0" w:space="0" w:color="auto"/>
        <w:bottom w:val="none" w:sz="0" w:space="0" w:color="auto"/>
        <w:right w:val="none" w:sz="0" w:space="0" w:color="auto"/>
      </w:divBdr>
    </w:div>
    <w:div w:id="1752847224">
      <w:bodyDiv w:val="1"/>
      <w:marLeft w:val="0"/>
      <w:marRight w:val="0"/>
      <w:marTop w:val="0"/>
      <w:marBottom w:val="0"/>
      <w:divBdr>
        <w:top w:val="none" w:sz="0" w:space="0" w:color="auto"/>
        <w:left w:val="none" w:sz="0" w:space="0" w:color="auto"/>
        <w:bottom w:val="none" w:sz="0" w:space="0" w:color="auto"/>
        <w:right w:val="none" w:sz="0" w:space="0" w:color="auto"/>
      </w:divBdr>
    </w:div>
    <w:div w:id="1774130711">
      <w:bodyDiv w:val="1"/>
      <w:marLeft w:val="0"/>
      <w:marRight w:val="0"/>
      <w:marTop w:val="0"/>
      <w:marBottom w:val="0"/>
      <w:divBdr>
        <w:top w:val="none" w:sz="0" w:space="0" w:color="auto"/>
        <w:left w:val="none" w:sz="0" w:space="0" w:color="auto"/>
        <w:bottom w:val="none" w:sz="0" w:space="0" w:color="auto"/>
        <w:right w:val="none" w:sz="0" w:space="0" w:color="auto"/>
      </w:divBdr>
    </w:div>
    <w:div w:id="1820657505">
      <w:bodyDiv w:val="1"/>
      <w:marLeft w:val="0"/>
      <w:marRight w:val="0"/>
      <w:marTop w:val="0"/>
      <w:marBottom w:val="0"/>
      <w:divBdr>
        <w:top w:val="none" w:sz="0" w:space="0" w:color="auto"/>
        <w:left w:val="none" w:sz="0" w:space="0" w:color="auto"/>
        <w:bottom w:val="none" w:sz="0" w:space="0" w:color="auto"/>
        <w:right w:val="none" w:sz="0" w:space="0" w:color="auto"/>
      </w:divBdr>
    </w:div>
    <w:div w:id="1832210133">
      <w:bodyDiv w:val="1"/>
      <w:marLeft w:val="0"/>
      <w:marRight w:val="0"/>
      <w:marTop w:val="0"/>
      <w:marBottom w:val="0"/>
      <w:divBdr>
        <w:top w:val="none" w:sz="0" w:space="0" w:color="auto"/>
        <w:left w:val="none" w:sz="0" w:space="0" w:color="auto"/>
        <w:bottom w:val="none" w:sz="0" w:space="0" w:color="auto"/>
        <w:right w:val="none" w:sz="0" w:space="0" w:color="auto"/>
      </w:divBdr>
    </w:div>
    <w:div w:id="1850368156">
      <w:bodyDiv w:val="1"/>
      <w:marLeft w:val="0"/>
      <w:marRight w:val="0"/>
      <w:marTop w:val="0"/>
      <w:marBottom w:val="0"/>
      <w:divBdr>
        <w:top w:val="none" w:sz="0" w:space="0" w:color="auto"/>
        <w:left w:val="none" w:sz="0" w:space="0" w:color="auto"/>
        <w:bottom w:val="none" w:sz="0" w:space="0" w:color="auto"/>
        <w:right w:val="none" w:sz="0" w:space="0" w:color="auto"/>
      </w:divBdr>
    </w:div>
    <w:div w:id="1853687574">
      <w:bodyDiv w:val="1"/>
      <w:marLeft w:val="0"/>
      <w:marRight w:val="0"/>
      <w:marTop w:val="0"/>
      <w:marBottom w:val="0"/>
      <w:divBdr>
        <w:top w:val="none" w:sz="0" w:space="0" w:color="auto"/>
        <w:left w:val="none" w:sz="0" w:space="0" w:color="auto"/>
        <w:bottom w:val="none" w:sz="0" w:space="0" w:color="auto"/>
        <w:right w:val="none" w:sz="0" w:space="0" w:color="auto"/>
      </w:divBdr>
    </w:div>
    <w:div w:id="1855873225">
      <w:bodyDiv w:val="1"/>
      <w:marLeft w:val="0"/>
      <w:marRight w:val="0"/>
      <w:marTop w:val="0"/>
      <w:marBottom w:val="0"/>
      <w:divBdr>
        <w:top w:val="none" w:sz="0" w:space="0" w:color="auto"/>
        <w:left w:val="none" w:sz="0" w:space="0" w:color="auto"/>
        <w:bottom w:val="none" w:sz="0" w:space="0" w:color="auto"/>
        <w:right w:val="none" w:sz="0" w:space="0" w:color="auto"/>
      </w:divBdr>
    </w:div>
    <w:div w:id="1863661621">
      <w:bodyDiv w:val="1"/>
      <w:marLeft w:val="0"/>
      <w:marRight w:val="0"/>
      <w:marTop w:val="0"/>
      <w:marBottom w:val="0"/>
      <w:divBdr>
        <w:top w:val="none" w:sz="0" w:space="0" w:color="auto"/>
        <w:left w:val="none" w:sz="0" w:space="0" w:color="auto"/>
        <w:bottom w:val="none" w:sz="0" w:space="0" w:color="auto"/>
        <w:right w:val="none" w:sz="0" w:space="0" w:color="auto"/>
      </w:divBdr>
    </w:div>
    <w:div w:id="1864510508">
      <w:bodyDiv w:val="1"/>
      <w:marLeft w:val="0"/>
      <w:marRight w:val="0"/>
      <w:marTop w:val="0"/>
      <w:marBottom w:val="0"/>
      <w:divBdr>
        <w:top w:val="none" w:sz="0" w:space="0" w:color="auto"/>
        <w:left w:val="none" w:sz="0" w:space="0" w:color="auto"/>
        <w:bottom w:val="none" w:sz="0" w:space="0" w:color="auto"/>
        <w:right w:val="none" w:sz="0" w:space="0" w:color="auto"/>
      </w:divBdr>
    </w:div>
    <w:div w:id="1884558460">
      <w:bodyDiv w:val="1"/>
      <w:marLeft w:val="0"/>
      <w:marRight w:val="0"/>
      <w:marTop w:val="0"/>
      <w:marBottom w:val="0"/>
      <w:divBdr>
        <w:top w:val="none" w:sz="0" w:space="0" w:color="auto"/>
        <w:left w:val="none" w:sz="0" w:space="0" w:color="auto"/>
        <w:bottom w:val="none" w:sz="0" w:space="0" w:color="auto"/>
        <w:right w:val="none" w:sz="0" w:space="0" w:color="auto"/>
      </w:divBdr>
    </w:div>
    <w:div w:id="1887061621">
      <w:bodyDiv w:val="1"/>
      <w:marLeft w:val="0"/>
      <w:marRight w:val="0"/>
      <w:marTop w:val="0"/>
      <w:marBottom w:val="0"/>
      <w:divBdr>
        <w:top w:val="none" w:sz="0" w:space="0" w:color="auto"/>
        <w:left w:val="none" w:sz="0" w:space="0" w:color="auto"/>
        <w:bottom w:val="none" w:sz="0" w:space="0" w:color="auto"/>
        <w:right w:val="none" w:sz="0" w:space="0" w:color="auto"/>
      </w:divBdr>
    </w:div>
    <w:div w:id="1933270203">
      <w:bodyDiv w:val="1"/>
      <w:marLeft w:val="0"/>
      <w:marRight w:val="0"/>
      <w:marTop w:val="0"/>
      <w:marBottom w:val="0"/>
      <w:divBdr>
        <w:top w:val="none" w:sz="0" w:space="0" w:color="auto"/>
        <w:left w:val="none" w:sz="0" w:space="0" w:color="auto"/>
        <w:bottom w:val="none" w:sz="0" w:space="0" w:color="auto"/>
        <w:right w:val="none" w:sz="0" w:space="0" w:color="auto"/>
      </w:divBdr>
    </w:div>
    <w:div w:id="1942641378">
      <w:bodyDiv w:val="1"/>
      <w:marLeft w:val="0"/>
      <w:marRight w:val="0"/>
      <w:marTop w:val="0"/>
      <w:marBottom w:val="0"/>
      <w:divBdr>
        <w:top w:val="none" w:sz="0" w:space="0" w:color="auto"/>
        <w:left w:val="none" w:sz="0" w:space="0" w:color="auto"/>
        <w:bottom w:val="none" w:sz="0" w:space="0" w:color="auto"/>
        <w:right w:val="none" w:sz="0" w:space="0" w:color="auto"/>
      </w:divBdr>
    </w:div>
    <w:div w:id="1978995284">
      <w:bodyDiv w:val="1"/>
      <w:marLeft w:val="0"/>
      <w:marRight w:val="0"/>
      <w:marTop w:val="0"/>
      <w:marBottom w:val="0"/>
      <w:divBdr>
        <w:top w:val="none" w:sz="0" w:space="0" w:color="auto"/>
        <w:left w:val="none" w:sz="0" w:space="0" w:color="auto"/>
        <w:bottom w:val="none" w:sz="0" w:space="0" w:color="auto"/>
        <w:right w:val="none" w:sz="0" w:space="0" w:color="auto"/>
      </w:divBdr>
    </w:div>
    <w:div w:id="2000579235">
      <w:bodyDiv w:val="1"/>
      <w:marLeft w:val="0"/>
      <w:marRight w:val="0"/>
      <w:marTop w:val="0"/>
      <w:marBottom w:val="0"/>
      <w:divBdr>
        <w:top w:val="none" w:sz="0" w:space="0" w:color="auto"/>
        <w:left w:val="none" w:sz="0" w:space="0" w:color="auto"/>
        <w:bottom w:val="none" w:sz="0" w:space="0" w:color="auto"/>
        <w:right w:val="none" w:sz="0" w:space="0" w:color="auto"/>
      </w:divBdr>
    </w:div>
    <w:div w:id="2013798107">
      <w:bodyDiv w:val="1"/>
      <w:marLeft w:val="0"/>
      <w:marRight w:val="0"/>
      <w:marTop w:val="0"/>
      <w:marBottom w:val="0"/>
      <w:divBdr>
        <w:top w:val="none" w:sz="0" w:space="0" w:color="auto"/>
        <w:left w:val="none" w:sz="0" w:space="0" w:color="auto"/>
        <w:bottom w:val="none" w:sz="0" w:space="0" w:color="auto"/>
        <w:right w:val="none" w:sz="0" w:space="0" w:color="auto"/>
      </w:divBdr>
    </w:div>
    <w:div w:id="2018728962">
      <w:bodyDiv w:val="1"/>
      <w:marLeft w:val="0"/>
      <w:marRight w:val="0"/>
      <w:marTop w:val="0"/>
      <w:marBottom w:val="0"/>
      <w:divBdr>
        <w:top w:val="none" w:sz="0" w:space="0" w:color="auto"/>
        <w:left w:val="none" w:sz="0" w:space="0" w:color="auto"/>
        <w:bottom w:val="none" w:sz="0" w:space="0" w:color="auto"/>
        <w:right w:val="none" w:sz="0" w:space="0" w:color="auto"/>
      </w:divBdr>
    </w:div>
    <w:div w:id="2039814594">
      <w:bodyDiv w:val="1"/>
      <w:marLeft w:val="0"/>
      <w:marRight w:val="0"/>
      <w:marTop w:val="0"/>
      <w:marBottom w:val="0"/>
      <w:divBdr>
        <w:top w:val="none" w:sz="0" w:space="0" w:color="auto"/>
        <w:left w:val="none" w:sz="0" w:space="0" w:color="auto"/>
        <w:bottom w:val="none" w:sz="0" w:space="0" w:color="auto"/>
        <w:right w:val="none" w:sz="0" w:space="0" w:color="auto"/>
      </w:divBdr>
    </w:div>
    <w:div w:id="2040201686">
      <w:bodyDiv w:val="1"/>
      <w:marLeft w:val="0"/>
      <w:marRight w:val="0"/>
      <w:marTop w:val="0"/>
      <w:marBottom w:val="0"/>
      <w:divBdr>
        <w:top w:val="none" w:sz="0" w:space="0" w:color="auto"/>
        <w:left w:val="none" w:sz="0" w:space="0" w:color="auto"/>
        <w:bottom w:val="none" w:sz="0" w:space="0" w:color="auto"/>
        <w:right w:val="none" w:sz="0" w:space="0" w:color="auto"/>
      </w:divBdr>
    </w:div>
    <w:div w:id="2040660182">
      <w:bodyDiv w:val="1"/>
      <w:marLeft w:val="0"/>
      <w:marRight w:val="0"/>
      <w:marTop w:val="0"/>
      <w:marBottom w:val="0"/>
      <w:divBdr>
        <w:top w:val="none" w:sz="0" w:space="0" w:color="auto"/>
        <w:left w:val="none" w:sz="0" w:space="0" w:color="auto"/>
        <w:bottom w:val="none" w:sz="0" w:space="0" w:color="auto"/>
        <w:right w:val="none" w:sz="0" w:space="0" w:color="auto"/>
      </w:divBdr>
    </w:div>
    <w:div w:id="2040662299">
      <w:bodyDiv w:val="1"/>
      <w:marLeft w:val="0"/>
      <w:marRight w:val="0"/>
      <w:marTop w:val="0"/>
      <w:marBottom w:val="0"/>
      <w:divBdr>
        <w:top w:val="none" w:sz="0" w:space="0" w:color="auto"/>
        <w:left w:val="none" w:sz="0" w:space="0" w:color="auto"/>
        <w:bottom w:val="none" w:sz="0" w:space="0" w:color="auto"/>
        <w:right w:val="none" w:sz="0" w:space="0" w:color="auto"/>
      </w:divBdr>
    </w:div>
    <w:div w:id="2048293718">
      <w:bodyDiv w:val="1"/>
      <w:marLeft w:val="0"/>
      <w:marRight w:val="0"/>
      <w:marTop w:val="0"/>
      <w:marBottom w:val="0"/>
      <w:divBdr>
        <w:top w:val="none" w:sz="0" w:space="0" w:color="auto"/>
        <w:left w:val="none" w:sz="0" w:space="0" w:color="auto"/>
        <w:bottom w:val="none" w:sz="0" w:space="0" w:color="auto"/>
        <w:right w:val="none" w:sz="0" w:space="0" w:color="auto"/>
      </w:divBdr>
    </w:div>
    <w:div w:id="2055889481">
      <w:bodyDiv w:val="1"/>
      <w:marLeft w:val="0"/>
      <w:marRight w:val="0"/>
      <w:marTop w:val="0"/>
      <w:marBottom w:val="0"/>
      <w:divBdr>
        <w:top w:val="none" w:sz="0" w:space="0" w:color="auto"/>
        <w:left w:val="none" w:sz="0" w:space="0" w:color="auto"/>
        <w:bottom w:val="none" w:sz="0" w:space="0" w:color="auto"/>
        <w:right w:val="none" w:sz="0" w:space="0" w:color="auto"/>
      </w:divBdr>
    </w:div>
    <w:div w:id="2085638622">
      <w:bodyDiv w:val="1"/>
      <w:marLeft w:val="0"/>
      <w:marRight w:val="0"/>
      <w:marTop w:val="0"/>
      <w:marBottom w:val="0"/>
      <w:divBdr>
        <w:top w:val="none" w:sz="0" w:space="0" w:color="auto"/>
        <w:left w:val="none" w:sz="0" w:space="0" w:color="auto"/>
        <w:bottom w:val="none" w:sz="0" w:space="0" w:color="auto"/>
        <w:right w:val="none" w:sz="0" w:space="0" w:color="auto"/>
      </w:divBdr>
    </w:div>
    <w:div w:id="2123064150">
      <w:bodyDiv w:val="1"/>
      <w:marLeft w:val="0"/>
      <w:marRight w:val="0"/>
      <w:marTop w:val="0"/>
      <w:marBottom w:val="0"/>
      <w:divBdr>
        <w:top w:val="none" w:sz="0" w:space="0" w:color="auto"/>
        <w:left w:val="none" w:sz="0" w:space="0" w:color="auto"/>
        <w:bottom w:val="none" w:sz="0" w:space="0" w:color="auto"/>
        <w:right w:val="none" w:sz="0" w:space="0" w:color="auto"/>
      </w:divBdr>
    </w:div>
    <w:div w:id="2133018638">
      <w:bodyDiv w:val="1"/>
      <w:marLeft w:val="0"/>
      <w:marRight w:val="0"/>
      <w:marTop w:val="0"/>
      <w:marBottom w:val="0"/>
      <w:divBdr>
        <w:top w:val="none" w:sz="0" w:space="0" w:color="auto"/>
        <w:left w:val="none" w:sz="0" w:space="0" w:color="auto"/>
        <w:bottom w:val="none" w:sz="0" w:space="0" w:color="auto"/>
        <w:right w:val="none" w:sz="0" w:space="0" w:color="auto"/>
      </w:divBdr>
    </w:div>
    <w:div w:id="213806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yperlink" Target="http://www.geelongaustralia.com.au/ratesonline" TargetMode="External"/><Relationship Id="rId39" Type="http://schemas.openxmlformats.org/officeDocument/2006/relationships/hyperlink" Target="http://www.austlii.edu.au/au/legis/vic/consol_act/rva1986217/s3.html" TargetMode="External"/><Relationship Id="rId21" Type="http://schemas.openxmlformats.org/officeDocument/2006/relationships/image" Target="media/image12.emf"/><Relationship Id="rId34" Type="http://schemas.openxmlformats.org/officeDocument/2006/relationships/footer" Target="footer3.xml"/><Relationship Id="rId42" Type="http://schemas.openxmlformats.org/officeDocument/2006/relationships/hyperlink" Target="http://www.austlii.edu.au/au/legis/vic/consol_act/rva1986217/s3.html" TargetMode="External"/><Relationship Id="rId47" Type="http://schemas.openxmlformats.org/officeDocument/2006/relationships/image" Target="media/image21.emf"/><Relationship Id="rId50" Type="http://schemas.openxmlformats.org/officeDocument/2006/relationships/image" Target="media/image24.emf"/><Relationship Id="rId55" Type="http://schemas.openxmlformats.org/officeDocument/2006/relationships/image" Target="media/image29.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6.png"/><Relationship Id="rId33" Type="http://schemas.openxmlformats.org/officeDocument/2006/relationships/image" Target="media/image18.emf"/><Relationship Id="rId38" Type="http://schemas.openxmlformats.org/officeDocument/2006/relationships/footer" Target="footer5.xml"/><Relationship Id="rId46" Type="http://schemas.openxmlformats.org/officeDocument/2006/relationships/image" Target="media/image20.emf"/><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hyperlink" Target="http://www.land.vic.gov.au/valuation" TargetMode="External"/><Relationship Id="rId29" Type="http://schemas.openxmlformats.org/officeDocument/2006/relationships/hyperlink" Target="http://www.austlii.edu.au/au/legis/vic/consol_act/lga1989182/" TargetMode="External"/><Relationship Id="rId41" Type="http://schemas.openxmlformats.org/officeDocument/2006/relationships/hyperlink" Target="http://www.austlii.edu.au/au/legis/vic/consol_act/rva1986217/s3.html" TargetMode="External"/><Relationship Id="rId54" Type="http://schemas.openxmlformats.org/officeDocument/2006/relationships/image" Target="media/image2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5.png"/><Relationship Id="rId32" Type="http://schemas.openxmlformats.org/officeDocument/2006/relationships/footer" Target="footer2.xml"/><Relationship Id="rId37" Type="http://schemas.openxmlformats.org/officeDocument/2006/relationships/oleObject" Target="embeddings/oleObject1.bin"/><Relationship Id="rId40" Type="http://schemas.openxmlformats.org/officeDocument/2006/relationships/hyperlink" Target="http://www.austlii.edu.au/au/legis/vic/consol_act/rva1986217/s3.html" TargetMode="External"/><Relationship Id="rId45" Type="http://schemas.openxmlformats.org/officeDocument/2006/relationships/hyperlink" Target="http://www.austlii.edu.au/au/legis/vic/consol_act/rva1986217/s3.html" TargetMode="External"/><Relationship Id="rId53" Type="http://schemas.openxmlformats.org/officeDocument/2006/relationships/image" Target="media/image27.emf"/><Relationship Id="rId58"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4.png"/><Relationship Id="rId28" Type="http://schemas.openxmlformats.org/officeDocument/2006/relationships/image" Target="media/image17.png"/><Relationship Id="rId36" Type="http://schemas.openxmlformats.org/officeDocument/2006/relationships/image" Target="media/image19.wmf"/><Relationship Id="rId49" Type="http://schemas.openxmlformats.org/officeDocument/2006/relationships/image" Target="media/image23.emf"/><Relationship Id="rId57" Type="http://schemas.openxmlformats.org/officeDocument/2006/relationships/image" Target="media/image31.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footer" Target="footer1.xml"/><Relationship Id="rId44" Type="http://schemas.openxmlformats.org/officeDocument/2006/relationships/hyperlink" Target="http://www.austlii.edu.au/au/legis/vic/consol_act/rva1986217/s3.html" TargetMode="External"/><Relationship Id="rId52" Type="http://schemas.openxmlformats.org/officeDocument/2006/relationships/image" Target="media/image26.emf"/><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3.png"/><Relationship Id="rId27" Type="http://schemas.openxmlformats.org/officeDocument/2006/relationships/hyperlink" Target="http://www.geelongaustralia.com.au" TargetMode="External"/><Relationship Id="rId30" Type="http://schemas.openxmlformats.org/officeDocument/2006/relationships/hyperlink" Target="http://www.centrelink.gov.au/payments/ftb-a-" TargetMode="External"/><Relationship Id="rId35" Type="http://schemas.openxmlformats.org/officeDocument/2006/relationships/footer" Target="footer4.xml"/><Relationship Id="rId43" Type="http://schemas.openxmlformats.org/officeDocument/2006/relationships/hyperlink" Target="http://www.austlii.edu.au/au/legis/vic/consol_act/rva1986217/s3.html" TargetMode="External"/><Relationship Id="rId48" Type="http://schemas.openxmlformats.org/officeDocument/2006/relationships/image" Target="media/image22.emf"/><Relationship Id="rId56" Type="http://schemas.openxmlformats.org/officeDocument/2006/relationships/image" Target="media/image30.emf"/><Relationship Id="rId8" Type="http://schemas.openxmlformats.org/officeDocument/2006/relationships/endnotes" Target="endnotes.xml"/><Relationship Id="rId51" Type="http://schemas.openxmlformats.org/officeDocument/2006/relationships/image" Target="media/image25.emf"/><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FFECD-83FC-46FD-8299-916C98FE1C58}">
  <ds:schemaRefs>
    <ds:schemaRef ds:uri="http://www.w3.org/2001/XMLSchema"/>
  </ds:schemaRefs>
</ds:datastoreItem>
</file>

<file path=customXml/itemProps2.xml><?xml version="1.0" encoding="utf-8"?>
<ds:datastoreItem xmlns:ds="http://schemas.openxmlformats.org/officeDocument/2006/customXml" ds:itemID="{8790D3EB-9D40-41EE-A79D-D7FE20860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D1C2978A.dotm</Template>
  <TotalTime>67</TotalTime>
  <Pages>165</Pages>
  <Words>45244</Words>
  <Characters>263786</Characters>
  <Application>Microsoft Office Word</Application>
  <DocSecurity>0</DocSecurity>
  <Lines>2198</Lines>
  <Paragraphs>616</Paragraphs>
  <ScaleCrop>false</ScaleCrop>
  <HeadingPairs>
    <vt:vector size="2" baseType="variant">
      <vt:variant>
        <vt:lpstr>Title</vt:lpstr>
      </vt:variant>
      <vt:variant>
        <vt:i4>1</vt:i4>
      </vt:variant>
    </vt:vector>
  </HeadingPairs>
  <TitlesOfParts>
    <vt:vector size="1" baseType="lpstr">
      <vt:lpstr/>
    </vt:vector>
  </TitlesOfParts>
  <Company>The City of Greater Geelong</Company>
  <LinksUpToDate>false</LinksUpToDate>
  <CharactersWithSpaces>308414</CharactersWithSpaces>
  <SharedDoc>false</SharedDoc>
  <HLinks>
    <vt:vector size="486" baseType="variant">
      <vt:variant>
        <vt:i4>3473447</vt:i4>
      </vt:variant>
      <vt:variant>
        <vt:i4>470</vt:i4>
      </vt:variant>
      <vt:variant>
        <vt:i4>0</vt:i4>
      </vt:variant>
      <vt:variant>
        <vt:i4>5</vt:i4>
      </vt:variant>
      <vt:variant>
        <vt:lpwstr>http://www.austlii.edu.au/au/legis/vic/consol_act/rva1986217/s3.html</vt:lpwstr>
      </vt:variant>
      <vt:variant>
        <vt:lpwstr>in-going_contribution</vt:lpwstr>
      </vt:variant>
      <vt:variant>
        <vt:i4>917618</vt:i4>
      </vt:variant>
      <vt:variant>
        <vt:i4>467</vt:i4>
      </vt:variant>
      <vt:variant>
        <vt:i4>0</vt:i4>
      </vt:variant>
      <vt:variant>
        <vt:i4>5</vt:i4>
      </vt:variant>
      <vt:variant>
        <vt:lpwstr>http://www.austlii.edu.au/au/legis/vic/consol_act/rva1986217/s3.html</vt:lpwstr>
      </vt:variant>
      <vt:variant>
        <vt:lpwstr>residential_care_facility</vt:lpwstr>
      </vt:variant>
      <vt:variant>
        <vt:i4>3604574</vt:i4>
      </vt:variant>
      <vt:variant>
        <vt:i4>464</vt:i4>
      </vt:variant>
      <vt:variant>
        <vt:i4>0</vt:i4>
      </vt:variant>
      <vt:variant>
        <vt:i4>5</vt:i4>
      </vt:variant>
      <vt:variant>
        <vt:lpwstr>http://www.austlii.edu.au/au/legis/vic/consol_act/rva1986217/s3.html</vt:lpwstr>
      </vt:variant>
      <vt:variant>
        <vt:lpwstr>services</vt:lpwstr>
      </vt:variant>
      <vt:variant>
        <vt:i4>3604574</vt:i4>
      </vt:variant>
      <vt:variant>
        <vt:i4>461</vt:i4>
      </vt:variant>
      <vt:variant>
        <vt:i4>0</vt:i4>
      </vt:variant>
      <vt:variant>
        <vt:i4>5</vt:i4>
      </vt:variant>
      <vt:variant>
        <vt:lpwstr>http://www.austlii.edu.au/au/legis/vic/consol_act/rva1986217/s3.html</vt:lpwstr>
      </vt:variant>
      <vt:variant>
        <vt:lpwstr>services</vt:lpwstr>
      </vt:variant>
      <vt:variant>
        <vt:i4>7995438</vt:i4>
      </vt:variant>
      <vt:variant>
        <vt:i4>458</vt:i4>
      </vt:variant>
      <vt:variant>
        <vt:i4>0</vt:i4>
      </vt:variant>
      <vt:variant>
        <vt:i4>5</vt:i4>
      </vt:variant>
      <vt:variant>
        <vt:lpwstr>http://www.austlii.edu.au/au/legis/vic/consol_act/rva1986217/s3.html</vt:lpwstr>
      </vt:variant>
      <vt:variant>
        <vt:lpwstr>retired_person</vt:lpwstr>
      </vt:variant>
      <vt:variant>
        <vt:i4>917618</vt:i4>
      </vt:variant>
      <vt:variant>
        <vt:i4>455</vt:i4>
      </vt:variant>
      <vt:variant>
        <vt:i4>0</vt:i4>
      </vt:variant>
      <vt:variant>
        <vt:i4>5</vt:i4>
      </vt:variant>
      <vt:variant>
        <vt:lpwstr>http://www.austlii.edu.au/au/legis/vic/consol_act/rva1986217/s3.html</vt:lpwstr>
      </vt:variant>
      <vt:variant>
        <vt:lpwstr>residential_care_facility</vt:lpwstr>
      </vt:variant>
      <vt:variant>
        <vt:i4>5242919</vt:i4>
      </vt:variant>
      <vt:variant>
        <vt:i4>452</vt:i4>
      </vt:variant>
      <vt:variant>
        <vt:i4>0</vt:i4>
      </vt:variant>
      <vt:variant>
        <vt:i4>5</vt:i4>
      </vt:variant>
      <vt:variant>
        <vt:lpwstr>http://www.austlii.edu.au/au/legis/vic/consol_act/rva1986217/s3.html</vt:lpwstr>
      </vt:variant>
      <vt:variant>
        <vt:lpwstr>retirement_village_land</vt:lpwstr>
      </vt:variant>
      <vt:variant>
        <vt:i4>983053</vt:i4>
      </vt:variant>
      <vt:variant>
        <vt:i4>444</vt:i4>
      </vt:variant>
      <vt:variant>
        <vt:i4>0</vt:i4>
      </vt:variant>
      <vt:variant>
        <vt:i4>5</vt:i4>
      </vt:variant>
      <vt:variant>
        <vt:lpwstr>http://www.centrelink.gov.au/payments/ftb-a-</vt:lpwstr>
      </vt:variant>
      <vt:variant>
        <vt:lpwstr/>
      </vt:variant>
      <vt:variant>
        <vt:i4>6684754</vt:i4>
      </vt:variant>
      <vt:variant>
        <vt:i4>441</vt:i4>
      </vt:variant>
      <vt:variant>
        <vt:i4>0</vt:i4>
      </vt:variant>
      <vt:variant>
        <vt:i4>5</vt:i4>
      </vt:variant>
      <vt:variant>
        <vt:lpwstr>http://www.austlii.edu.au/au/legis/vic/consol_act/lga1989182/</vt:lpwstr>
      </vt:variant>
      <vt:variant>
        <vt:lpwstr/>
      </vt:variant>
      <vt:variant>
        <vt:i4>3276853</vt:i4>
      </vt:variant>
      <vt:variant>
        <vt:i4>435</vt:i4>
      </vt:variant>
      <vt:variant>
        <vt:i4>0</vt:i4>
      </vt:variant>
      <vt:variant>
        <vt:i4>5</vt:i4>
      </vt:variant>
      <vt:variant>
        <vt:lpwstr>http://www.geelongaustralia.com.au/</vt:lpwstr>
      </vt:variant>
      <vt:variant>
        <vt:lpwstr/>
      </vt:variant>
      <vt:variant>
        <vt:i4>2424947</vt:i4>
      </vt:variant>
      <vt:variant>
        <vt:i4>432</vt:i4>
      </vt:variant>
      <vt:variant>
        <vt:i4>0</vt:i4>
      </vt:variant>
      <vt:variant>
        <vt:i4>5</vt:i4>
      </vt:variant>
      <vt:variant>
        <vt:lpwstr>http://www.geelongaustralia.com.au/ratesonline</vt:lpwstr>
      </vt:variant>
      <vt:variant>
        <vt:lpwstr/>
      </vt:variant>
      <vt:variant>
        <vt:i4>524304</vt:i4>
      </vt:variant>
      <vt:variant>
        <vt:i4>417</vt:i4>
      </vt:variant>
      <vt:variant>
        <vt:i4>0</vt:i4>
      </vt:variant>
      <vt:variant>
        <vt:i4>5</vt:i4>
      </vt:variant>
      <vt:variant>
        <vt:lpwstr>http://www.land.vic.gov.au/valuation</vt:lpwstr>
      </vt:variant>
      <vt:variant>
        <vt:lpwstr/>
      </vt:variant>
      <vt:variant>
        <vt:i4>1310770</vt:i4>
      </vt:variant>
      <vt:variant>
        <vt:i4>410</vt:i4>
      </vt:variant>
      <vt:variant>
        <vt:i4>0</vt:i4>
      </vt:variant>
      <vt:variant>
        <vt:i4>5</vt:i4>
      </vt:variant>
      <vt:variant>
        <vt:lpwstr/>
      </vt:variant>
      <vt:variant>
        <vt:lpwstr>_Toc513014568</vt:lpwstr>
      </vt:variant>
      <vt:variant>
        <vt:i4>1310770</vt:i4>
      </vt:variant>
      <vt:variant>
        <vt:i4>404</vt:i4>
      </vt:variant>
      <vt:variant>
        <vt:i4>0</vt:i4>
      </vt:variant>
      <vt:variant>
        <vt:i4>5</vt:i4>
      </vt:variant>
      <vt:variant>
        <vt:lpwstr/>
      </vt:variant>
      <vt:variant>
        <vt:lpwstr>_Toc513014567</vt:lpwstr>
      </vt:variant>
      <vt:variant>
        <vt:i4>1310770</vt:i4>
      </vt:variant>
      <vt:variant>
        <vt:i4>398</vt:i4>
      </vt:variant>
      <vt:variant>
        <vt:i4>0</vt:i4>
      </vt:variant>
      <vt:variant>
        <vt:i4>5</vt:i4>
      </vt:variant>
      <vt:variant>
        <vt:lpwstr/>
      </vt:variant>
      <vt:variant>
        <vt:lpwstr>_Toc513014566</vt:lpwstr>
      </vt:variant>
      <vt:variant>
        <vt:i4>1310770</vt:i4>
      </vt:variant>
      <vt:variant>
        <vt:i4>392</vt:i4>
      </vt:variant>
      <vt:variant>
        <vt:i4>0</vt:i4>
      </vt:variant>
      <vt:variant>
        <vt:i4>5</vt:i4>
      </vt:variant>
      <vt:variant>
        <vt:lpwstr/>
      </vt:variant>
      <vt:variant>
        <vt:lpwstr>_Toc513014565</vt:lpwstr>
      </vt:variant>
      <vt:variant>
        <vt:i4>1310770</vt:i4>
      </vt:variant>
      <vt:variant>
        <vt:i4>386</vt:i4>
      </vt:variant>
      <vt:variant>
        <vt:i4>0</vt:i4>
      </vt:variant>
      <vt:variant>
        <vt:i4>5</vt:i4>
      </vt:variant>
      <vt:variant>
        <vt:lpwstr/>
      </vt:variant>
      <vt:variant>
        <vt:lpwstr>_Toc513014564</vt:lpwstr>
      </vt:variant>
      <vt:variant>
        <vt:i4>1310770</vt:i4>
      </vt:variant>
      <vt:variant>
        <vt:i4>380</vt:i4>
      </vt:variant>
      <vt:variant>
        <vt:i4>0</vt:i4>
      </vt:variant>
      <vt:variant>
        <vt:i4>5</vt:i4>
      </vt:variant>
      <vt:variant>
        <vt:lpwstr/>
      </vt:variant>
      <vt:variant>
        <vt:lpwstr>_Toc513014563</vt:lpwstr>
      </vt:variant>
      <vt:variant>
        <vt:i4>1310770</vt:i4>
      </vt:variant>
      <vt:variant>
        <vt:i4>374</vt:i4>
      </vt:variant>
      <vt:variant>
        <vt:i4>0</vt:i4>
      </vt:variant>
      <vt:variant>
        <vt:i4>5</vt:i4>
      </vt:variant>
      <vt:variant>
        <vt:lpwstr/>
      </vt:variant>
      <vt:variant>
        <vt:lpwstr>_Toc513014562</vt:lpwstr>
      </vt:variant>
      <vt:variant>
        <vt:i4>1310770</vt:i4>
      </vt:variant>
      <vt:variant>
        <vt:i4>368</vt:i4>
      </vt:variant>
      <vt:variant>
        <vt:i4>0</vt:i4>
      </vt:variant>
      <vt:variant>
        <vt:i4>5</vt:i4>
      </vt:variant>
      <vt:variant>
        <vt:lpwstr/>
      </vt:variant>
      <vt:variant>
        <vt:lpwstr>_Toc513014561</vt:lpwstr>
      </vt:variant>
      <vt:variant>
        <vt:i4>1310770</vt:i4>
      </vt:variant>
      <vt:variant>
        <vt:i4>362</vt:i4>
      </vt:variant>
      <vt:variant>
        <vt:i4>0</vt:i4>
      </vt:variant>
      <vt:variant>
        <vt:i4>5</vt:i4>
      </vt:variant>
      <vt:variant>
        <vt:lpwstr/>
      </vt:variant>
      <vt:variant>
        <vt:lpwstr>_Toc513014560</vt:lpwstr>
      </vt:variant>
      <vt:variant>
        <vt:i4>1507378</vt:i4>
      </vt:variant>
      <vt:variant>
        <vt:i4>356</vt:i4>
      </vt:variant>
      <vt:variant>
        <vt:i4>0</vt:i4>
      </vt:variant>
      <vt:variant>
        <vt:i4>5</vt:i4>
      </vt:variant>
      <vt:variant>
        <vt:lpwstr/>
      </vt:variant>
      <vt:variant>
        <vt:lpwstr>_Toc513014559</vt:lpwstr>
      </vt:variant>
      <vt:variant>
        <vt:i4>1507378</vt:i4>
      </vt:variant>
      <vt:variant>
        <vt:i4>350</vt:i4>
      </vt:variant>
      <vt:variant>
        <vt:i4>0</vt:i4>
      </vt:variant>
      <vt:variant>
        <vt:i4>5</vt:i4>
      </vt:variant>
      <vt:variant>
        <vt:lpwstr/>
      </vt:variant>
      <vt:variant>
        <vt:lpwstr>_Toc513014558</vt:lpwstr>
      </vt:variant>
      <vt:variant>
        <vt:i4>1507378</vt:i4>
      </vt:variant>
      <vt:variant>
        <vt:i4>344</vt:i4>
      </vt:variant>
      <vt:variant>
        <vt:i4>0</vt:i4>
      </vt:variant>
      <vt:variant>
        <vt:i4>5</vt:i4>
      </vt:variant>
      <vt:variant>
        <vt:lpwstr/>
      </vt:variant>
      <vt:variant>
        <vt:lpwstr>_Toc513014557</vt:lpwstr>
      </vt:variant>
      <vt:variant>
        <vt:i4>1507378</vt:i4>
      </vt:variant>
      <vt:variant>
        <vt:i4>338</vt:i4>
      </vt:variant>
      <vt:variant>
        <vt:i4>0</vt:i4>
      </vt:variant>
      <vt:variant>
        <vt:i4>5</vt:i4>
      </vt:variant>
      <vt:variant>
        <vt:lpwstr/>
      </vt:variant>
      <vt:variant>
        <vt:lpwstr>_Toc513014556</vt:lpwstr>
      </vt:variant>
      <vt:variant>
        <vt:i4>1507378</vt:i4>
      </vt:variant>
      <vt:variant>
        <vt:i4>332</vt:i4>
      </vt:variant>
      <vt:variant>
        <vt:i4>0</vt:i4>
      </vt:variant>
      <vt:variant>
        <vt:i4>5</vt:i4>
      </vt:variant>
      <vt:variant>
        <vt:lpwstr/>
      </vt:variant>
      <vt:variant>
        <vt:lpwstr>_Toc513014555</vt:lpwstr>
      </vt:variant>
      <vt:variant>
        <vt:i4>1507378</vt:i4>
      </vt:variant>
      <vt:variant>
        <vt:i4>326</vt:i4>
      </vt:variant>
      <vt:variant>
        <vt:i4>0</vt:i4>
      </vt:variant>
      <vt:variant>
        <vt:i4>5</vt:i4>
      </vt:variant>
      <vt:variant>
        <vt:lpwstr/>
      </vt:variant>
      <vt:variant>
        <vt:lpwstr>_Toc513014554</vt:lpwstr>
      </vt:variant>
      <vt:variant>
        <vt:i4>1507378</vt:i4>
      </vt:variant>
      <vt:variant>
        <vt:i4>320</vt:i4>
      </vt:variant>
      <vt:variant>
        <vt:i4>0</vt:i4>
      </vt:variant>
      <vt:variant>
        <vt:i4>5</vt:i4>
      </vt:variant>
      <vt:variant>
        <vt:lpwstr/>
      </vt:variant>
      <vt:variant>
        <vt:lpwstr>_Toc513014553</vt:lpwstr>
      </vt:variant>
      <vt:variant>
        <vt:i4>1507378</vt:i4>
      </vt:variant>
      <vt:variant>
        <vt:i4>314</vt:i4>
      </vt:variant>
      <vt:variant>
        <vt:i4>0</vt:i4>
      </vt:variant>
      <vt:variant>
        <vt:i4>5</vt:i4>
      </vt:variant>
      <vt:variant>
        <vt:lpwstr/>
      </vt:variant>
      <vt:variant>
        <vt:lpwstr>_Toc513014552</vt:lpwstr>
      </vt:variant>
      <vt:variant>
        <vt:i4>1507378</vt:i4>
      </vt:variant>
      <vt:variant>
        <vt:i4>308</vt:i4>
      </vt:variant>
      <vt:variant>
        <vt:i4>0</vt:i4>
      </vt:variant>
      <vt:variant>
        <vt:i4>5</vt:i4>
      </vt:variant>
      <vt:variant>
        <vt:lpwstr/>
      </vt:variant>
      <vt:variant>
        <vt:lpwstr>_Toc513014551</vt:lpwstr>
      </vt:variant>
      <vt:variant>
        <vt:i4>1507378</vt:i4>
      </vt:variant>
      <vt:variant>
        <vt:i4>302</vt:i4>
      </vt:variant>
      <vt:variant>
        <vt:i4>0</vt:i4>
      </vt:variant>
      <vt:variant>
        <vt:i4>5</vt:i4>
      </vt:variant>
      <vt:variant>
        <vt:lpwstr/>
      </vt:variant>
      <vt:variant>
        <vt:lpwstr>_Toc513014550</vt:lpwstr>
      </vt:variant>
      <vt:variant>
        <vt:i4>1441842</vt:i4>
      </vt:variant>
      <vt:variant>
        <vt:i4>296</vt:i4>
      </vt:variant>
      <vt:variant>
        <vt:i4>0</vt:i4>
      </vt:variant>
      <vt:variant>
        <vt:i4>5</vt:i4>
      </vt:variant>
      <vt:variant>
        <vt:lpwstr/>
      </vt:variant>
      <vt:variant>
        <vt:lpwstr>_Toc513014549</vt:lpwstr>
      </vt:variant>
      <vt:variant>
        <vt:i4>1441842</vt:i4>
      </vt:variant>
      <vt:variant>
        <vt:i4>290</vt:i4>
      </vt:variant>
      <vt:variant>
        <vt:i4>0</vt:i4>
      </vt:variant>
      <vt:variant>
        <vt:i4>5</vt:i4>
      </vt:variant>
      <vt:variant>
        <vt:lpwstr/>
      </vt:variant>
      <vt:variant>
        <vt:lpwstr>_Toc513014548</vt:lpwstr>
      </vt:variant>
      <vt:variant>
        <vt:i4>1441842</vt:i4>
      </vt:variant>
      <vt:variant>
        <vt:i4>284</vt:i4>
      </vt:variant>
      <vt:variant>
        <vt:i4>0</vt:i4>
      </vt:variant>
      <vt:variant>
        <vt:i4>5</vt:i4>
      </vt:variant>
      <vt:variant>
        <vt:lpwstr/>
      </vt:variant>
      <vt:variant>
        <vt:lpwstr>_Toc513014547</vt:lpwstr>
      </vt:variant>
      <vt:variant>
        <vt:i4>1441842</vt:i4>
      </vt:variant>
      <vt:variant>
        <vt:i4>278</vt:i4>
      </vt:variant>
      <vt:variant>
        <vt:i4>0</vt:i4>
      </vt:variant>
      <vt:variant>
        <vt:i4>5</vt:i4>
      </vt:variant>
      <vt:variant>
        <vt:lpwstr/>
      </vt:variant>
      <vt:variant>
        <vt:lpwstr>_Toc513014546</vt:lpwstr>
      </vt:variant>
      <vt:variant>
        <vt:i4>1441842</vt:i4>
      </vt:variant>
      <vt:variant>
        <vt:i4>272</vt:i4>
      </vt:variant>
      <vt:variant>
        <vt:i4>0</vt:i4>
      </vt:variant>
      <vt:variant>
        <vt:i4>5</vt:i4>
      </vt:variant>
      <vt:variant>
        <vt:lpwstr/>
      </vt:variant>
      <vt:variant>
        <vt:lpwstr>_Toc513014545</vt:lpwstr>
      </vt:variant>
      <vt:variant>
        <vt:i4>1441842</vt:i4>
      </vt:variant>
      <vt:variant>
        <vt:i4>266</vt:i4>
      </vt:variant>
      <vt:variant>
        <vt:i4>0</vt:i4>
      </vt:variant>
      <vt:variant>
        <vt:i4>5</vt:i4>
      </vt:variant>
      <vt:variant>
        <vt:lpwstr/>
      </vt:variant>
      <vt:variant>
        <vt:lpwstr>_Toc513014544</vt:lpwstr>
      </vt:variant>
      <vt:variant>
        <vt:i4>1441842</vt:i4>
      </vt:variant>
      <vt:variant>
        <vt:i4>260</vt:i4>
      </vt:variant>
      <vt:variant>
        <vt:i4>0</vt:i4>
      </vt:variant>
      <vt:variant>
        <vt:i4>5</vt:i4>
      </vt:variant>
      <vt:variant>
        <vt:lpwstr/>
      </vt:variant>
      <vt:variant>
        <vt:lpwstr>_Toc513014543</vt:lpwstr>
      </vt:variant>
      <vt:variant>
        <vt:i4>1441842</vt:i4>
      </vt:variant>
      <vt:variant>
        <vt:i4>254</vt:i4>
      </vt:variant>
      <vt:variant>
        <vt:i4>0</vt:i4>
      </vt:variant>
      <vt:variant>
        <vt:i4>5</vt:i4>
      </vt:variant>
      <vt:variant>
        <vt:lpwstr/>
      </vt:variant>
      <vt:variant>
        <vt:lpwstr>_Toc513014542</vt:lpwstr>
      </vt:variant>
      <vt:variant>
        <vt:i4>1441842</vt:i4>
      </vt:variant>
      <vt:variant>
        <vt:i4>248</vt:i4>
      </vt:variant>
      <vt:variant>
        <vt:i4>0</vt:i4>
      </vt:variant>
      <vt:variant>
        <vt:i4>5</vt:i4>
      </vt:variant>
      <vt:variant>
        <vt:lpwstr/>
      </vt:variant>
      <vt:variant>
        <vt:lpwstr>_Toc513014541</vt:lpwstr>
      </vt:variant>
      <vt:variant>
        <vt:i4>1441842</vt:i4>
      </vt:variant>
      <vt:variant>
        <vt:i4>242</vt:i4>
      </vt:variant>
      <vt:variant>
        <vt:i4>0</vt:i4>
      </vt:variant>
      <vt:variant>
        <vt:i4>5</vt:i4>
      </vt:variant>
      <vt:variant>
        <vt:lpwstr/>
      </vt:variant>
      <vt:variant>
        <vt:lpwstr>_Toc513014540</vt:lpwstr>
      </vt:variant>
      <vt:variant>
        <vt:i4>1114162</vt:i4>
      </vt:variant>
      <vt:variant>
        <vt:i4>236</vt:i4>
      </vt:variant>
      <vt:variant>
        <vt:i4>0</vt:i4>
      </vt:variant>
      <vt:variant>
        <vt:i4>5</vt:i4>
      </vt:variant>
      <vt:variant>
        <vt:lpwstr/>
      </vt:variant>
      <vt:variant>
        <vt:lpwstr>_Toc513014539</vt:lpwstr>
      </vt:variant>
      <vt:variant>
        <vt:i4>1114162</vt:i4>
      </vt:variant>
      <vt:variant>
        <vt:i4>230</vt:i4>
      </vt:variant>
      <vt:variant>
        <vt:i4>0</vt:i4>
      </vt:variant>
      <vt:variant>
        <vt:i4>5</vt:i4>
      </vt:variant>
      <vt:variant>
        <vt:lpwstr/>
      </vt:variant>
      <vt:variant>
        <vt:lpwstr>_Toc513014538</vt:lpwstr>
      </vt:variant>
      <vt:variant>
        <vt:i4>1114162</vt:i4>
      </vt:variant>
      <vt:variant>
        <vt:i4>224</vt:i4>
      </vt:variant>
      <vt:variant>
        <vt:i4>0</vt:i4>
      </vt:variant>
      <vt:variant>
        <vt:i4>5</vt:i4>
      </vt:variant>
      <vt:variant>
        <vt:lpwstr/>
      </vt:variant>
      <vt:variant>
        <vt:lpwstr>_Toc513014537</vt:lpwstr>
      </vt:variant>
      <vt:variant>
        <vt:i4>1114162</vt:i4>
      </vt:variant>
      <vt:variant>
        <vt:i4>218</vt:i4>
      </vt:variant>
      <vt:variant>
        <vt:i4>0</vt:i4>
      </vt:variant>
      <vt:variant>
        <vt:i4>5</vt:i4>
      </vt:variant>
      <vt:variant>
        <vt:lpwstr/>
      </vt:variant>
      <vt:variant>
        <vt:lpwstr>_Toc513014536</vt:lpwstr>
      </vt:variant>
      <vt:variant>
        <vt:i4>1114162</vt:i4>
      </vt:variant>
      <vt:variant>
        <vt:i4>212</vt:i4>
      </vt:variant>
      <vt:variant>
        <vt:i4>0</vt:i4>
      </vt:variant>
      <vt:variant>
        <vt:i4>5</vt:i4>
      </vt:variant>
      <vt:variant>
        <vt:lpwstr/>
      </vt:variant>
      <vt:variant>
        <vt:lpwstr>_Toc513014535</vt:lpwstr>
      </vt:variant>
      <vt:variant>
        <vt:i4>1114162</vt:i4>
      </vt:variant>
      <vt:variant>
        <vt:i4>206</vt:i4>
      </vt:variant>
      <vt:variant>
        <vt:i4>0</vt:i4>
      </vt:variant>
      <vt:variant>
        <vt:i4>5</vt:i4>
      </vt:variant>
      <vt:variant>
        <vt:lpwstr/>
      </vt:variant>
      <vt:variant>
        <vt:lpwstr>_Toc513014534</vt:lpwstr>
      </vt:variant>
      <vt:variant>
        <vt:i4>1114162</vt:i4>
      </vt:variant>
      <vt:variant>
        <vt:i4>200</vt:i4>
      </vt:variant>
      <vt:variant>
        <vt:i4>0</vt:i4>
      </vt:variant>
      <vt:variant>
        <vt:i4>5</vt:i4>
      </vt:variant>
      <vt:variant>
        <vt:lpwstr/>
      </vt:variant>
      <vt:variant>
        <vt:lpwstr>_Toc513014533</vt:lpwstr>
      </vt:variant>
      <vt:variant>
        <vt:i4>1114162</vt:i4>
      </vt:variant>
      <vt:variant>
        <vt:i4>194</vt:i4>
      </vt:variant>
      <vt:variant>
        <vt:i4>0</vt:i4>
      </vt:variant>
      <vt:variant>
        <vt:i4>5</vt:i4>
      </vt:variant>
      <vt:variant>
        <vt:lpwstr/>
      </vt:variant>
      <vt:variant>
        <vt:lpwstr>_Toc513014532</vt:lpwstr>
      </vt:variant>
      <vt:variant>
        <vt:i4>1114162</vt:i4>
      </vt:variant>
      <vt:variant>
        <vt:i4>188</vt:i4>
      </vt:variant>
      <vt:variant>
        <vt:i4>0</vt:i4>
      </vt:variant>
      <vt:variant>
        <vt:i4>5</vt:i4>
      </vt:variant>
      <vt:variant>
        <vt:lpwstr/>
      </vt:variant>
      <vt:variant>
        <vt:lpwstr>_Toc513014531</vt:lpwstr>
      </vt:variant>
      <vt:variant>
        <vt:i4>1114162</vt:i4>
      </vt:variant>
      <vt:variant>
        <vt:i4>182</vt:i4>
      </vt:variant>
      <vt:variant>
        <vt:i4>0</vt:i4>
      </vt:variant>
      <vt:variant>
        <vt:i4>5</vt:i4>
      </vt:variant>
      <vt:variant>
        <vt:lpwstr/>
      </vt:variant>
      <vt:variant>
        <vt:lpwstr>_Toc513014530</vt:lpwstr>
      </vt:variant>
      <vt:variant>
        <vt:i4>1048626</vt:i4>
      </vt:variant>
      <vt:variant>
        <vt:i4>176</vt:i4>
      </vt:variant>
      <vt:variant>
        <vt:i4>0</vt:i4>
      </vt:variant>
      <vt:variant>
        <vt:i4>5</vt:i4>
      </vt:variant>
      <vt:variant>
        <vt:lpwstr/>
      </vt:variant>
      <vt:variant>
        <vt:lpwstr>_Toc513014529</vt:lpwstr>
      </vt:variant>
      <vt:variant>
        <vt:i4>1048626</vt:i4>
      </vt:variant>
      <vt:variant>
        <vt:i4>170</vt:i4>
      </vt:variant>
      <vt:variant>
        <vt:i4>0</vt:i4>
      </vt:variant>
      <vt:variant>
        <vt:i4>5</vt:i4>
      </vt:variant>
      <vt:variant>
        <vt:lpwstr/>
      </vt:variant>
      <vt:variant>
        <vt:lpwstr>_Toc513014528</vt:lpwstr>
      </vt:variant>
      <vt:variant>
        <vt:i4>1048626</vt:i4>
      </vt:variant>
      <vt:variant>
        <vt:i4>164</vt:i4>
      </vt:variant>
      <vt:variant>
        <vt:i4>0</vt:i4>
      </vt:variant>
      <vt:variant>
        <vt:i4>5</vt:i4>
      </vt:variant>
      <vt:variant>
        <vt:lpwstr/>
      </vt:variant>
      <vt:variant>
        <vt:lpwstr>_Toc513014527</vt:lpwstr>
      </vt:variant>
      <vt:variant>
        <vt:i4>1048626</vt:i4>
      </vt:variant>
      <vt:variant>
        <vt:i4>158</vt:i4>
      </vt:variant>
      <vt:variant>
        <vt:i4>0</vt:i4>
      </vt:variant>
      <vt:variant>
        <vt:i4>5</vt:i4>
      </vt:variant>
      <vt:variant>
        <vt:lpwstr/>
      </vt:variant>
      <vt:variant>
        <vt:lpwstr>_Toc513014526</vt:lpwstr>
      </vt:variant>
      <vt:variant>
        <vt:i4>1048626</vt:i4>
      </vt:variant>
      <vt:variant>
        <vt:i4>152</vt:i4>
      </vt:variant>
      <vt:variant>
        <vt:i4>0</vt:i4>
      </vt:variant>
      <vt:variant>
        <vt:i4>5</vt:i4>
      </vt:variant>
      <vt:variant>
        <vt:lpwstr/>
      </vt:variant>
      <vt:variant>
        <vt:lpwstr>_Toc513014525</vt:lpwstr>
      </vt:variant>
      <vt:variant>
        <vt:i4>1048626</vt:i4>
      </vt:variant>
      <vt:variant>
        <vt:i4>146</vt:i4>
      </vt:variant>
      <vt:variant>
        <vt:i4>0</vt:i4>
      </vt:variant>
      <vt:variant>
        <vt:i4>5</vt:i4>
      </vt:variant>
      <vt:variant>
        <vt:lpwstr/>
      </vt:variant>
      <vt:variant>
        <vt:lpwstr>_Toc513014524</vt:lpwstr>
      </vt:variant>
      <vt:variant>
        <vt:i4>1048626</vt:i4>
      </vt:variant>
      <vt:variant>
        <vt:i4>140</vt:i4>
      </vt:variant>
      <vt:variant>
        <vt:i4>0</vt:i4>
      </vt:variant>
      <vt:variant>
        <vt:i4>5</vt:i4>
      </vt:variant>
      <vt:variant>
        <vt:lpwstr/>
      </vt:variant>
      <vt:variant>
        <vt:lpwstr>_Toc513014523</vt:lpwstr>
      </vt:variant>
      <vt:variant>
        <vt:i4>1048626</vt:i4>
      </vt:variant>
      <vt:variant>
        <vt:i4>134</vt:i4>
      </vt:variant>
      <vt:variant>
        <vt:i4>0</vt:i4>
      </vt:variant>
      <vt:variant>
        <vt:i4>5</vt:i4>
      </vt:variant>
      <vt:variant>
        <vt:lpwstr/>
      </vt:variant>
      <vt:variant>
        <vt:lpwstr>_Toc513014522</vt:lpwstr>
      </vt:variant>
      <vt:variant>
        <vt:i4>1048626</vt:i4>
      </vt:variant>
      <vt:variant>
        <vt:i4>128</vt:i4>
      </vt:variant>
      <vt:variant>
        <vt:i4>0</vt:i4>
      </vt:variant>
      <vt:variant>
        <vt:i4>5</vt:i4>
      </vt:variant>
      <vt:variant>
        <vt:lpwstr/>
      </vt:variant>
      <vt:variant>
        <vt:lpwstr>_Toc513014521</vt:lpwstr>
      </vt:variant>
      <vt:variant>
        <vt:i4>1048626</vt:i4>
      </vt:variant>
      <vt:variant>
        <vt:i4>122</vt:i4>
      </vt:variant>
      <vt:variant>
        <vt:i4>0</vt:i4>
      </vt:variant>
      <vt:variant>
        <vt:i4>5</vt:i4>
      </vt:variant>
      <vt:variant>
        <vt:lpwstr/>
      </vt:variant>
      <vt:variant>
        <vt:lpwstr>_Toc513014520</vt:lpwstr>
      </vt:variant>
      <vt:variant>
        <vt:i4>1245234</vt:i4>
      </vt:variant>
      <vt:variant>
        <vt:i4>116</vt:i4>
      </vt:variant>
      <vt:variant>
        <vt:i4>0</vt:i4>
      </vt:variant>
      <vt:variant>
        <vt:i4>5</vt:i4>
      </vt:variant>
      <vt:variant>
        <vt:lpwstr/>
      </vt:variant>
      <vt:variant>
        <vt:lpwstr>_Toc513014519</vt:lpwstr>
      </vt:variant>
      <vt:variant>
        <vt:i4>1245234</vt:i4>
      </vt:variant>
      <vt:variant>
        <vt:i4>110</vt:i4>
      </vt:variant>
      <vt:variant>
        <vt:i4>0</vt:i4>
      </vt:variant>
      <vt:variant>
        <vt:i4>5</vt:i4>
      </vt:variant>
      <vt:variant>
        <vt:lpwstr/>
      </vt:variant>
      <vt:variant>
        <vt:lpwstr>_Toc513014518</vt:lpwstr>
      </vt:variant>
      <vt:variant>
        <vt:i4>1245234</vt:i4>
      </vt:variant>
      <vt:variant>
        <vt:i4>104</vt:i4>
      </vt:variant>
      <vt:variant>
        <vt:i4>0</vt:i4>
      </vt:variant>
      <vt:variant>
        <vt:i4>5</vt:i4>
      </vt:variant>
      <vt:variant>
        <vt:lpwstr/>
      </vt:variant>
      <vt:variant>
        <vt:lpwstr>_Toc513014517</vt:lpwstr>
      </vt:variant>
      <vt:variant>
        <vt:i4>1245234</vt:i4>
      </vt:variant>
      <vt:variant>
        <vt:i4>98</vt:i4>
      </vt:variant>
      <vt:variant>
        <vt:i4>0</vt:i4>
      </vt:variant>
      <vt:variant>
        <vt:i4>5</vt:i4>
      </vt:variant>
      <vt:variant>
        <vt:lpwstr/>
      </vt:variant>
      <vt:variant>
        <vt:lpwstr>_Toc513014516</vt:lpwstr>
      </vt:variant>
      <vt:variant>
        <vt:i4>1245234</vt:i4>
      </vt:variant>
      <vt:variant>
        <vt:i4>92</vt:i4>
      </vt:variant>
      <vt:variant>
        <vt:i4>0</vt:i4>
      </vt:variant>
      <vt:variant>
        <vt:i4>5</vt:i4>
      </vt:variant>
      <vt:variant>
        <vt:lpwstr/>
      </vt:variant>
      <vt:variant>
        <vt:lpwstr>_Toc513014515</vt:lpwstr>
      </vt:variant>
      <vt:variant>
        <vt:i4>1245234</vt:i4>
      </vt:variant>
      <vt:variant>
        <vt:i4>86</vt:i4>
      </vt:variant>
      <vt:variant>
        <vt:i4>0</vt:i4>
      </vt:variant>
      <vt:variant>
        <vt:i4>5</vt:i4>
      </vt:variant>
      <vt:variant>
        <vt:lpwstr/>
      </vt:variant>
      <vt:variant>
        <vt:lpwstr>_Toc513014514</vt:lpwstr>
      </vt:variant>
      <vt:variant>
        <vt:i4>1245234</vt:i4>
      </vt:variant>
      <vt:variant>
        <vt:i4>80</vt:i4>
      </vt:variant>
      <vt:variant>
        <vt:i4>0</vt:i4>
      </vt:variant>
      <vt:variant>
        <vt:i4>5</vt:i4>
      </vt:variant>
      <vt:variant>
        <vt:lpwstr/>
      </vt:variant>
      <vt:variant>
        <vt:lpwstr>_Toc513014513</vt:lpwstr>
      </vt:variant>
      <vt:variant>
        <vt:i4>1245234</vt:i4>
      </vt:variant>
      <vt:variant>
        <vt:i4>74</vt:i4>
      </vt:variant>
      <vt:variant>
        <vt:i4>0</vt:i4>
      </vt:variant>
      <vt:variant>
        <vt:i4>5</vt:i4>
      </vt:variant>
      <vt:variant>
        <vt:lpwstr/>
      </vt:variant>
      <vt:variant>
        <vt:lpwstr>_Toc513014512</vt:lpwstr>
      </vt:variant>
      <vt:variant>
        <vt:i4>1245234</vt:i4>
      </vt:variant>
      <vt:variant>
        <vt:i4>68</vt:i4>
      </vt:variant>
      <vt:variant>
        <vt:i4>0</vt:i4>
      </vt:variant>
      <vt:variant>
        <vt:i4>5</vt:i4>
      </vt:variant>
      <vt:variant>
        <vt:lpwstr/>
      </vt:variant>
      <vt:variant>
        <vt:lpwstr>_Toc513014511</vt:lpwstr>
      </vt:variant>
      <vt:variant>
        <vt:i4>1245234</vt:i4>
      </vt:variant>
      <vt:variant>
        <vt:i4>62</vt:i4>
      </vt:variant>
      <vt:variant>
        <vt:i4>0</vt:i4>
      </vt:variant>
      <vt:variant>
        <vt:i4>5</vt:i4>
      </vt:variant>
      <vt:variant>
        <vt:lpwstr/>
      </vt:variant>
      <vt:variant>
        <vt:lpwstr>_Toc513014510</vt:lpwstr>
      </vt:variant>
      <vt:variant>
        <vt:i4>1179698</vt:i4>
      </vt:variant>
      <vt:variant>
        <vt:i4>56</vt:i4>
      </vt:variant>
      <vt:variant>
        <vt:i4>0</vt:i4>
      </vt:variant>
      <vt:variant>
        <vt:i4>5</vt:i4>
      </vt:variant>
      <vt:variant>
        <vt:lpwstr/>
      </vt:variant>
      <vt:variant>
        <vt:lpwstr>_Toc513014509</vt:lpwstr>
      </vt:variant>
      <vt:variant>
        <vt:i4>1179698</vt:i4>
      </vt:variant>
      <vt:variant>
        <vt:i4>50</vt:i4>
      </vt:variant>
      <vt:variant>
        <vt:i4>0</vt:i4>
      </vt:variant>
      <vt:variant>
        <vt:i4>5</vt:i4>
      </vt:variant>
      <vt:variant>
        <vt:lpwstr/>
      </vt:variant>
      <vt:variant>
        <vt:lpwstr>_Toc513014508</vt:lpwstr>
      </vt:variant>
      <vt:variant>
        <vt:i4>1179698</vt:i4>
      </vt:variant>
      <vt:variant>
        <vt:i4>44</vt:i4>
      </vt:variant>
      <vt:variant>
        <vt:i4>0</vt:i4>
      </vt:variant>
      <vt:variant>
        <vt:i4>5</vt:i4>
      </vt:variant>
      <vt:variant>
        <vt:lpwstr/>
      </vt:variant>
      <vt:variant>
        <vt:lpwstr>_Toc513014507</vt:lpwstr>
      </vt:variant>
      <vt:variant>
        <vt:i4>1179698</vt:i4>
      </vt:variant>
      <vt:variant>
        <vt:i4>38</vt:i4>
      </vt:variant>
      <vt:variant>
        <vt:i4>0</vt:i4>
      </vt:variant>
      <vt:variant>
        <vt:i4>5</vt:i4>
      </vt:variant>
      <vt:variant>
        <vt:lpwstr/>
      </vt:variant>
      <vt:variant>
        <vt:lpwstr>_Toc513014506</vt:lpwstr>
      </vt:variant>
      <vt:variant>
        <vt:i4>1179698</vt:i4>
      </vt:variant>
      <vt:variant>
        <vt:i4>32</vt:i4>
      </vt:variant>
      <vt:variant>
        <vt:i4>0</vt:i4>
      </vt:variant>
      <vt:variant>
        <vt:i4>5</vt:i4>
      </vt:variant>
      <vt:variant>
        <vt:lpwstr/>
      </vt:variant>
      <vt:variant>
        <vt:lpwstr>_Toc513014505</vt:lpwstr>
      </vt:variant>
      <vt:variant>
        <vt:i4>1179698</vt:i4>
      </vt:variant>
      <vt:variant>
        <vt:i4>26</vt:i4>
      </vt:variant>
      <vt:variant>
        <vt:i4>0</vt:i4>
      </vt:variant>
      <vt:variant>
        <vt:i4>5</vt:i4>
      </vt:variant>
      <vt:variant>
        <vt:lpwstr/>
      </vt:variant>
      <vt:variant>
        <vt:lpwstr>_Toc513014504</vt:lpwstr>
      </vt:variant>
      <vt:variant>
        <vt:i4>1179698</vt:i4>
      </vt:variant>
      <vt:variant>
        <vt:i4>20</vt:i4>
      </vt:variant>
      <vt:variant>
        <vt:i4>0</vt:i4>
      </vt:variant>
      <vt:variant>
        <vt:i4>5</vt:i4>
      </vt:variant>
      <vt:variant>
        <vt:lpwstr/>
      </vt:variant>
      <vt:variant>
        <vt:lpwstr>_Toc513014503</vt:lpwstr>
      </vt:variant>
      <vt:variant>
        <vt:i4>1179698</vt:i4>
      </vt:variant>
      <vt:variant>
        <vt:i4>14</vt:i4>
      </vt:variant>
      <vt:variant>
        <vt:i4>0</vt:i4>
      </vt:variant>
      <vt:variant>
        <vt:i4>5</vt:i4>
      </vt:variant>
      <vt:variant>
        <vt:lpwstr/>
      </vt:variant>
      <vt:variant>
        <vt:lpwstr>_Toc513014502</vt:lpwstr>
      </vt:variant>
      <vt:variant>
        <vt:i4>1179698</vt:i4>
      </vt:variant>
      <vt:variant>
        <vt:i4>8</vt:i4>
      </vt:variant>
      <vt:variant>
        <vt:i4>0</vt:i4>
      </vt:variant>
      <vt:variant>
        <vt:i4>5</vt:i4>
      </vt:variant>
      <vt:variant>
        <vt:lpwstr/>
      </vt:variant>
      <vt:variant>
        <vt:lpwstr>_Toc513014501</vt:lpwstr>
      </vt:variant>
      <vt:variant>
        <vt:i4>1179698</vt:i4>
      </vt:variant>
      <vt:variant>
        <vt:i4>2</vt:i4>
      </vt:variant>
      <vt:variant>
        <vt:i4>0</vt:i4>
      </vt:variant>
      <vt:variant>
        <vt:i4>5</vt:i4>
      </vt:variant>
      <vt:variant>
        <vt:lpwstr/>
      </vt:variant>
      <vt:variant>
        <vt:lpwstr>_Toc513014500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vb9663</dc:creator>
  <cp:keywords/>
  <cp:lastModifiedBy>Karen Manaszczuk</cp:lastModifiedBy>
  <cp:revision>9</cp:revision>
  <cp:lastPrinted>2019-06-26T04:22:00Z</cp:lastPrinted>
  <dcterms:created xsi:type="dcterms:W3CDTF">2019-06-19T03:58:00Z</dcterms:created>
  <dcterms:modified xsi:type="dcterms:W3CDTF">2019-06-26T04:22:00Z</dcterms:modified>
</cp:coreProperties>
</file>