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93F787" w14:textId="77777777" w:rsidR="00C143B1" w:rsidRDefault="00C143B1">
      <w:pPr>
        <w:spacing w:after="278" w:line="259" w:lineRule="auto"/>
        <w:rPr>
          <w:color w:val="7D9B16"/>
        </w:rPr>
      </w:pPr>
      <w:bookmarkStart w:id="0" w:name="_Hlk520988774"/>
      <w:bookmarkEnd w:id="0"/>
    </w:p>
    <w:p w14:paraId="498BD427" w14:textId="77777777" w:rsidR="002763B5" w:rsidRDefault="00D55782">
      <w:pPr>
        <w:spacing w:after="278" w:line="259" w:lineRule="auto"/>
      </w:pPr>
      <w:r>
        <w:rPr>
          <w:color w:val="7D9B16"/>
        </w:rPr>
        <w:t xml:space="preserve"> </w:t>
      </w:r>
    </w:p>
    <w:p w14:paraId="1456BB68" w14:textId="77777777" w:rsidR="002763B5" w:rsidRDefault="00D55782">
      <w:pPr>
        <w:spacing w:after="98" w:line="259" w:lineRule="auto"/>
        <w:ind w:left="283"/>
      </w:pPr>
      <w:r>
        <w:t xml:space="preserve"> </w:t>
      </w:r>
    </w:p>
    <w:p w14:paraId="5E603316" w14:textId="77777777" w:rsidR="002763B5" w:rsidRDefault="00D55782">
      <w:pPr>
        <w:spacing w:line="259" w:lineRule="auto"/>
      </w:pPr>
      <w:r>
        <w:rPr>
          <w:color w:val="7D9B16"/>
        </w:rPr>
        <w:t xml:space="preserve"> </w:t>
      </w:r>
    </w:p>
    <w:p w14:paraId="2B94B693" w14:textId="4B5FB0D6" w:rsidR="002763B5" w:rsidRDefault="005A1341">
      <w:pPr>
        <w:spacing w:after="514" w:line="225" w:lineRule="auto"/>
        <w:ind w:left="4512" w:right="4618" w:hanging="4512"/>
        <w:rPr>
          <w:b/>
          <w:sz w:val="32"/>
        </w:rPr>
      </w:pPr>
      <w:r>
        <w:rPr>
          <w:noProof/>
        </w:rPr>
        <mc:AlternateContent>
          <mc:Choice Requires="wpg">
            <w:drawing>
              <wp:anchor distT="0" distB="0" distL="114300" distR="114300" simplePos="0" relativeHeight="251658240" behindDoc="0" locked="0" layoutInCell="1" allowOverlap="1" wp14:anchorId="27B85340" wp14:editId="0C712E73">
                <wp:simplePos x="0" y="0"/>
                <wp:positionH relativeFrom="column">
                  <wp:posOffset>-368935</wp:posOffset>
                </wp:positionH>
                <wp:positionV relativeFrom="paragraph">
                  <wp:posOffset>142240</wp:posOffset>
                </wp:positionV>
                <wp:extent cx="4314190" cy="94615"/>
                <wp:effectExtent l="21590" t="18415" r="17145" b="20320"/>
                <wp:wrapSquare wrapText="bothSides"/>
                <wp:docPr id="31" name="Group 739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190" cy="94615"/>
                          <a:chOff x="0" y="0"/>
                          <a:chExt cx="43144" cy="944"/>
                        </a:xfrm>
                      </wpg:grpSpPr>
                      <wps:wsp>
                        <wps:cNvPr id="82880" name="Shape 45"/>
                        <wps:cNvSpPr>
                          <a:spLocks/>
                        </wps:cNvSpPr>
                        <wps:spPr bwMode="auto">
                          <a:xfrm>
                            <a:off x="45" y="0"/>
                            <a:ext cx="43099" cy="0"/>
                          </a:xfrm>
                          <a:custGeom>
                            <a:avLst/>
                            <a:gdLst>
                              <a:gd name="T0" fmla="*/ 4309872 w 4309872"/>
                              <a:gd name="T1" fmla="*/ 0 w 4309872"/>
                              <a:gd name="T2" fmla="*/ 0 w 4309872"/>
                              <a:gd name="T3" fmla="*/ 4309872 w 4309872"/>
                            </a:gdLst>
                            <a:ahLst/>
                            <a:cxnLst>
                              <a:cxn ang="0">
                                <a:pos x="T0" y="0"/>
                              </a:cxn>
                              <a:cxn ang="0">
                                <a:pos x="T1" y="0"/>
                              </a:cxn>
                            </a:cxnLst>
                            <a:rect l="T2" t="0" r="T3" b="0"/>
                            <a:pathLst>
                              <a:path w="4309872">
                                <a:moveTo>
                                  <a:pt x="4309872" y="0"/>
                                </a:moveTo>
                                <a:lnTo>
                                  <a:pt x="0" y="0"/>
                                </a:lnTo>
                              </a:path>
                            </a:pathLst>
                          </a:custGeom>
                          <a:noFill/>
                          <a:ln w="25400">
                            <a:solidFill>
                              <a:srgbClr val="7E9A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881" name="Shape 46"/>
                        <wps:cNvSpPr>
                          <a:spLocks/>
                        </wps:cNvSpPr>
                        <wps:spPr bwMode="auto">
                          <a:xfrm>
                            <a:off x="0" y="487"/>
                            <a:ext cx="21945" cy="0"/>
                          </a:xfrm>
                          <a:custGeom>
                            <a:avLst/>
                            <a:gdLst>
                              <a:gd name="T0" fmla="*/ 2194560 w 2194560"/>
                              <a:gd name="T1" fmla="*/ 0 w 2194560"/>
                              <a:gd name="T2" fmla="*/ 0 w 2194560"/>
                              <a:gd name="T3" fmla="*/ 2194560 w 2194560"/>
                            </a:gdLst>
                            <a:ahLst/>
                            <a:cxnLst>
                              <a:cxn ang="0">
                                <a:pos x="T0" y="0"/>
                              </a:cxn>
                              <a:cxn ang="0">
                                <a:pos x="T1" y="0"/>
                              </a:cxn>
                            </a:cxnLst>
                            <a:rect l="T2" t="0" r="T3" b="0"/>
                            <a:pathLst>
                              <a:path w="2194560">
                                <a:moveTo>
                                  <a:pt x="2194560" y="0"/>
                                </a:moveTo>
                                <a:lnTo>
                                  <a:pt x="0" y="0"/>
                                </a:lnTo>
                              </a:path>
                            </a:pathLst>
                          </a:custGeom>
                          <a:noFill/>
                          <a:ln w="25400">
                            <a:solidFill>
                              <a:srgbClr val="B8C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910" name="Shape 47"/>
                        <wps:cNvSpPr>
                          <a:spLocks/>
                        </wps:cNvSpPr>
                        <wps:spPr bwMode="auto">
                          <a:xfrm>
                            <a:off x="0" y="929"/>
                            <a:ext cx="10683" cy="15"/>
                          </a:xfrm>
                          <a:custGeom>
                            <a:avLst/>
                            <a:gdLst>
                              <a:gd name="T0" fmla="*/ 1068324 w 1068324"/>
                              <a:gd name="T1" fmla="*/ 0 h 1524"/>
                              <a:gd name="T2" fmla="*/ 0 w 1068324"/>
                              <a:gd name="T3" fmla="*/ 1524 h 1524"/>
                              <a:gd name="T4" fmla="*/ 0 w 1068324"/>
                              <a:gd name="T5" fmla="*/ 0 h 1524"/>
                              <a:gd name="T6" fmla="*/ 1068324 w 1068324"/>
                              <a:gd name="T7" fmla="*/ 1524 h 1524"/>
                            </a:gdLst>
                            <a:ahLst/>
                            <a:cxnLst>
                              <a:cxn ang="0">
                                <a:pos x="T0" y="T1"/>
                              </a:cxn>
                              <a:cxn ang="0">
                                <a:pos x="T2" y="T3"/>
                              </a:cxn>
                            </a:cxnLst>
                            <a:rect l="T4" t="T5" r="T6" b="T7"/>
                            <a:pathLst>
                              <a:path w="1068324" h="1524">
                                <a:moveTo>
                                  <a:pt x="1068324" y="0"/>
                                </a:moveTo>
                                <a:lnTo>
                                  <a:pt x="0" y="1524"/>
                                </a:lnTo>
                              </a:path>
                            </a:pathLst>
                          </a:custGeom>
                          <a:noFill/>
                          <a:ln w="25400">
                            <a:solidFill>
                              <a:srgbClr val="A3AD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3189F" id="Group 73952" o:spid="_x0000_s1026" style="position:absolute;margin-left:-29.05pt;margin-top:11.2pt;width:339.7pt;height:7.45pt;z-index:251658240" coordsize="43144,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">
                <v:shape id="Shape 45" o:spid="_x0000_s1027" style="position:absolute;left:45;width:43099;height:0;visibility:visible;mso-wrap-style:square;v-text-anchor:top" coordsize="4309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" path="m4309872,l,e" filled="f" strokecolor="#7e9a16" strokeweight="2pt">
                  <v:path arrowok="t" o:connecttype="custom" o:connectlocs="43099,0;0,0" o:connectangles="0,0" textboxrect="0,0,4309872,0"/>
                </v:shape>
                <v:shape id="Shape 46" o:spid="_x0000_s1028" style="position:absolute;top:487;width:21945;height:0;visibility:visible;mso-wrap-style:square;v-text-anchor:top" coordsize="2194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" path="m2194560,l,e" filled="f" strokecolor="#b8cd00" strokeweight="2pt">
                  <v:path arrowok="t" o:connecttype="custom" o:connectlocs="21945,0;0,0" o:connectangles="0,0" textboxrect="0,0,2194560,0"/>
                </v:shape>
                <v:shape id="Shape 47" o:spid="_x0000_s1029" style="position:absolute;top:929;width:10683;height:15;visibility:visible;mso-wrap-style:square;v-text-anchor:top" coordsize="1068324,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" path="m1068324,l,1524e" filled="f" strokecolor="#a3ad21" strokeweight="2pt">
                  <v:path arrowok="t" o:connecttype="custom" o:connectlocs="10683,0;0,15" o:connectangles="0,0" textboxrect="0,0,1068324,1524"/>
                </v:shape>
                <w10:wrap type="square"/>
              </v:group>
            </w:pict>
          </mc:Fallback>
        </mc:AlternateContent>
      </w:r>
      <w:r w:rsidR="00D55782">
        <w:rPr>
          <w:color w:val="7D9B16"/>
        </w:rPr>
        <w:t xml:space="preserve"> </w:t>
      </w:r>
      <w:r w:rsidR="00D55782">
        <w:rPr>
          <w:b/>
          <w:sz w:val="32"/>
        </w:rPr>
        <w:t xml:space="preserve"> </w:t>
      </w:r>
    </w:p>
    <w:p w14:paraId="310FE0E7" w14:textId="77777777" w:rsidR="00AE08EF" w:rsidRDefault="00AE08EF">
      <w:pPr>
        <w:spacing w:after="514" w:line="225" w:lineRule="auto"/>
        <w:ind w:left="4512" w:right="4618" w:hanging="4512"/>
      </w:pPr>
    </w:p>
    <w:p w14:paraId="032CE83E" w14:textId="1ACAC97A" w:rsidR="002763B5" w:rsidRPr="004066AF" w:rsidRDefault="00AE08EF" w:rsidP="00AE08EF">
      <w:pPr>
        <w:spacing w:after="69" w:line="259" w:lineRule="auto"/>
        <w:ind w:left="851" w:right="999"/>
        <w:jc w:val="center"/>
        <w:rPr>
          <w:rFonts w:ascii="Corbel" w:hAnsi="Corbel"/>
        </w:rPr>
      </w:pPr>
      <w:r>
        <w:rPr>
          <w:rFonts w:ascii="Corbel" w:hAnsi="Corbel"/>
          <w:b/>
          <w:sz w:val="52"/>
        </w:rPr>
        <w:t xml:space="preserve">BROADHECTARE </w:t>
      </w:r>
      <w:r w:rsidR="00D55782" w:rsidRPr="004066AF">
        <w:rPr>
          <w:rFonts w:ascii="Corbel" w:hAnsi="Corbel"/>
          <w:b/>
          <w:sz w:val="52"/>
        </w:rPr>
        <w:t>RESIDENTIAL LAND</w:t>
      </w:r>
    </w:p>
    <w:p w14:paraId="6CD646E5" w14:textId="0FB4A03A" w:rsidR="00221735" w:rsidRPr="004066AF" w:rsidRDefault="00D55782" w:rsidP="00AE08EF">
      <w:pPr>
        <w:spacing w:line="284" w:lineRule="auto"/>
        <w:ind w:left="851" w:right="999"/>
        <w:jc w:val="center"/>
        <w:rPr>
          <w:rFonts w:ascii="Corbel" w:hAnsi="Corbel"/>
          <w:b/>
          <w:sz w:val="52"/>
        </w:rPr>
      </w:pPr>
      <w:r w:rsidRPr="004066AF">
        <w:rPr>
          <w:rFonts w:ascii="Corbel" w:hAnsi="Corbel"/>
          <w:b/>
          <w:sz w:val="52"/>
        </w:rPr>
        <w:t>SUPPLY &amp; DEMAND ASSESSMENT</w:t>
      </w:r>
    </w:p>
    <w:p w14:paraId="736ABE1F" w14:textId="77777777" w:rsidR="00044D52" w:rsidRPr="004066AF" w:rsidRDefault="00044D52">
      <w:pPr>
        <w:spacing w:line="284" w:lineRule="auto"/>
        <w:jc w:val="center"/>
        <w:rPr>
          <w:rFonts w:ascii="Corbel" w:hAnsi="Corbel"/>
          <w:b/>
          <w:sz w:val="52"/>
        </w:rPr>
      </w:pPr>
    </w:p>
    <w:p w14:paraId="610C90A3" w14:textId="0FE1F9CB" w:rsidR="002763B5" w:rsidRPr="004066AF" w:rsidRDefault="00AE08EF">
      <w:pPr>
        <w:spacing w:line="284" w:lineRule="auto"/>
        <w:jc w:val="center"/>
        <w:rPr>
          <w:rFonts w:ascii="Corbel" w:hAnsi="Corbel"/>
        </w:rPr>
      </w:pPr>
      <w:r>
        <w:rPr>
          <w:rFonts w:ascii="Corbel" w:hAnsi="Corbel"/>
          <w:b/>
          <w:sz w:val="52"/>
        </w:rPr>
        <w:t>City of Greater Geelong</w:t>
      </w:r>
    </w:p>
    <w:p w14:paraId="3A15B447" w14:textId="77777777" w:rsidR="002763B5" w:rsidRPr="004066AF" w:rsidRDefault="00D55782">
      <w:pPr>
        <w:spacing w:after="98" w:line="259" w:lineRule="auto"/>
        <w:ind w:left="157"/>
        <w:jc w:val="center"/>
        <w:rPr>
          <w:rFonts w:ascii="Corbel" w:hAnsi="Corbel"/>
        </w:rPr>
      </w:pPr>
      <w:r w:rsidRPr="004066AF">
        <w:rPr>
          <w:rFonts w:ascii="Corbel" w:hAnsi="Corbel"/>
          <w:b/>
        </w:rPr>
        <w:t xml:space="preserve"> </w:t>
      </w:r>
    </w:p>
    <w:p w14:paraId="6DB1D351" w14:textId="77777777" w:rsidR="002763B5" w:rsidRPr="004066AF" w:rsidRDefault="00D55782">
      <w:pPr>
        <w:spacing w:after="98" w:line="259" w:lineRule="auto"/>
        <w:ind w:left="157"/>
        <w:jc w:val="center"/>
        <w:rPr>
          <w:rFonts w:ascii="Corbel" w:hAnsi="Corbel"/>
        </w:rPr>
      </w:pPr>
      <w:r w:rsidRPr="004066AF">
        <w:rPr>
          <w:rFonts w:ascii="Corbel" w:hAnsi="Corbel"/>
          <w:b/>
        </w:rPr>
        <w:t xml:space="preserve"> </w:t>
      </w:r>
    </w:p>
    <w:p w14:paraId="5A04CE39" w14:textId="77777777" w:rsidR="002763B5" w:rsidRPr="004066AF" w:rsidRDefault="00D55782">
      <w:pPr>
        <w:spacing w:after="114" w:line="259" w:lineRule="auto"/>
        <w:ind w:left="283"/>
        <w:rPr>
          <w:rFonts w:ascii="Corbel" w:hAnsi="Corbel"/>
        </w:rPr>
      </w:pPr>
      <w:r w:rsidRPr="004066AF">
        <w:rPr>
          <w:rFonts w:ascii="Corbel" w:hAnsi="Corbel"/>
          <w:b/>
        </w:rPr>
        <w:t xml:space="preserve"> </w:t>
      </w:r>
    </w:p>
    <w:p w14:paraId="05684E08" w14:textId="77777777" w:rsidR="002763B5" w:rsidRPr="004066AF" w:rsidRDefault="00D55782">
      <w:pPr>
        <w:spacing w:after="153" w:line="259" w:lineRule="auto"/>
        <w:ind w:left="283"/>
        <w:rPr>
          <w:rFonts w:ascii="Corbel" w:hAnsi="Corbel"/>
        </w:rPr>
      </w:pPr>
      <w:r w:rsidRPr="004066AF">
        <w:rPr>
          <w:rFonts w:ascii="Corbel" w:hAnsi="Corbel"/>
          <w:b/>
        </w:rPr>
        <w:t xml:space="preserve"> </w:t>
      </w:r>
      <w:r w:rsidRPr="004066AF">
        <w:rPr>
          <w:rFonts w:ascii="Corbel" w:hAnsi="Corbel"/>
          <w:b/>
        </w:rPr>
        <w:tab/>
        <w:t xml:space="preserve"> </w:t>
      </w:r>
    </w:p>
    <w:p w14:paraId="0D863CE9" w14:textId="58CE5B94" w:rsidR="002763B5" w:rsidRPr="004066AF" w:rsidRDefault="00AE08EF">
      <w:pPr>
        <w:spacing w:after="93" w:line="259" w:lineRule="auto"/>
        <w:ind w:left="117"/>
        <w:jc w:val="center"/>
        <w:rPr>
          <w:rFonts w:ascii="Corbel" w:hAnsi="Corbel"/>
        </w:rPr>
      </w:pPr>
      <w:r>
        <w:rPr>
          <w:rFonts w:ascii="Corbel" w:hAnsi="Corbel"/>
          <w:b/>
          <w:sz w:val="28"/>
        </w:rPr>
        <w:t>April</w:t>
      </w:r>
      <w:r w:rsidR="00221735" w:rsidRPr="004066AF">
        <w:rPr>
          <w:rFonts w:ascii="Corbel" w:hAnsi="Corbel"/>
          <w:b/>
          <w:sz w:val="28"/>
        </w:rPr>
        <w:t xml:space="preserve"> 20</w:t>
      </w:r>
      <w:r w:rsidR="002E62D4">
        <w:rPr>
          <w:rFonts w:ascii="Corbel" w:hAnsi="Corbel"/>
          <w:b/>
          <w:sz w:val="28"/>
        </w:rPr>
        <w:t>22</w:t>
      </w:r>
    </w:p>
    <w:p w14:paraId="71DB6C5E" w14:textId="5726F34F" w:rsidR="002763B5" w:rsidRPr="004066AF" w:rsidRDefault="008C1CA7">
      <w:pPr>
        <w:spacing w:after="11" w:line="259" w:lineRule="auto"/>
        <w:ind w:left="113"/>
        <w:jc w:val="center"/>
        <w:rPr>
          <w:rFonts w:ascii="Corbel" w:hAnsi="Corbel"/>
        </w:rPr>
      </w:pPr>
      <w:r>
        <w:rPr>
          <w:rFonts w:ascii="Corbel" w:hAnsi="Corbel"/>
          <w:b/>
          <w:color w:val="7F7F7F"/>
          <w:sz w:val="28"/>
        </w:rPr>
        <w:t>Final</w:t>
      </w:r>
    </w:p>
    <w:p w14:paraId="09D9350F" w14:textId="77777777" w:rsidR="002763B5" w:rsidRDefault="00D55782">
      <w:pPr>
        <w:spacing w:line="259" w:lineRule="auto"/>
        <w:ind w:left="283"/>
      </w:pPr>
      <w:r>
        <w:rPr>
          <w:rFonts w:ascii="Arial" w:eastAsia="Arial" w:hAnsi="Arial" w:cs="Arial"/>
          <w:sz w:val="20"/>
        </w:rPr>
        <w:t xml:space="preserve"> </w:t>
      </w:r>
    </w:p>
    <w:p w14:paraId="6CD52AEE" w14:textId="0859C67E" w:rsidR="002763B5" w:rsidRDefault="005A1341">
      <w:pPr>
        <w:spacing w:after="50" w:line="259" w:lineRule="auto"/>
        <w:ind w:left="3466" w:right="-611"/>
      </w:pPr>
      <w:r>
        <w:rPr>
          <w:noProof/>
        </w:rPr>
        <mc:AlternateContent>
          <mc:Choice Requires="wpg">
            <w:drawing>
              <wp:inline distT="0" distB="0" distL="0" distR="0" wp14:anchorId="5A19B417" wp14:editId="11D08A64">
                <wp:extent cx="4026535" cy="94615"/>
                <wp:effectExtent l="19685" t="15240" r="20955" b="13970"/>
                <wp:docPr id="24" name="Group 73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6535" cy="94615"/>
                          <a:chOff x="0" y="0"/>
                          <a:chExt cx="40264" cy="944"/>
                        </a:xfrm>
                      </wpg:grpSpPr>
                      <wps:wsp>
                        <wps:cNvPr id="25" name="Shape 42"/>
                        <wps:cNvSpPr>
                          <a:spLocks/>
                        </wps:cNvSpPr>
                        <wps:spPr bwMode="auto">
                          <a:xfrm>
                            <a:off x="0" y="944"/>
                            <a:ext cx="40233" cy="0"/>
                          </a:xfrm>
                          <a:custGeom>
                            <a:avLst/>
                            <a:gdLst>
                              <a:gd name="T0" fmla="*/ 0 w 4023360"/>
                              <a:gd name="T1" fmla="*/ 4023360 w 4023360"/>
                              <a:gd name="T2" fmla="*/ 0 w 4023360"/>
                              <a:gd name="T3" fmla="*/ 4023360 w 4023360"/>
                            </a:gdLst>
                            <a:ahLst/>
                            <a:cxnLst>
                              <a:cxn ang="0">
                                <a:pos x="T0" y="0"/>
                              </a:cxn>
                              <a:cxn ang="0">
                                <a:pos x="T1" y="0"/>
                              </a:cxn>
                            </a:cxnLst>
                            <a:rect l="T2" t="0" r="T3" b="0"/>
                            <a:pathLst>
                              <a:path w="4023360">
                                <a:moveTo>
                                  <a:pt x="0" y="0"/>
                                </a:moveTo>
                                <a:lnTo>
                                  <a:pt x="4023360" y="0"/>
                                </a:lnTo>
                              </a:path>
                            </a:pathLst>
                          </a:custGeom>
                          <a:noFill/>
                          <a:ln w="25400">
                            <a:solidFill>
                              <a:srgbClr val="7E9A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Shape 43"/>
                        <wps:cNvSpPr>
                          <a:spLocks/>
                        </wps:cNvSpPr>
                        <wps:spPr bwMode="auto">
                          <a:xfrm>
                            <a:off x="19781" y="457"/>
                            <a:ext cx="20483" cy="0"/>
                          </a:xfrm>
                          <a:custGeom>
                            <a:avLst/>
                            <a:gdLst>
                              <a:gd name="T0" fmla="*/ 0 w 2048256"/>
                              <a:gd name="T1" fmla="*/ 2048256 w 2048256"/>
                              <a:gd name="T2" fmla="*/ 0 w 2048256"/>
                              <a:gd name="T3" fmla="*/ 2048256 w 2048256"/>
                            </a:gdLst>
                            <a:ahLst/>
                            <a:cxnLst>
                              <a:cxn ang="0">
                                <a:pos x="T0" y="0"/>
                              </a:cxn>
                              <a:cxn ang="0">
                                <a:pos x="T1" y="0"/>
                              </a:cxn>
                            </a:cxnLst>
                            <a:rect l="T2" t="0" r="T3" b="0"/>
                            <a:pathLst>
                              <a:path w="2048256">
                                <a:moveTo>
                                  <a:pt x="0" y="0"/>
                                </a:moveTo>
                                <a:lnTo>
                                  <a:pt x="2048256" y="0"/>
                                </a:lnTo>
                              </a:path>
                            </a:pathLst>
                          </a:custGeom>
                          <a:noFill/>
                          <a:ln w="25400">
                            <a:solidFill>
                              <a:srgbClr val="B8C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 name="Shape 44"/>
                        <wps:cNvSpPr>
                          <a:spLocks/>
                        </wps:cNvSpPr>
                        <wps:spPr bwMode="auto">
                          <a:xfrm>
                            <a:off x="30297" y="0"/>
                            <a:ext cx="9967" cy="0"/>
                          </a:xfrm>
                          <a:custGeom>
                            <a:avLst/>
                            <a:gdLst>
                              <a:gd name="T0" fmla="*/ 0 w 996696"/>
                              <a:gd name="T1" fmla="*/ 996696 w 996696"/>
                              <a:gd name="T2" fmla="*/ 0 w 996696"/>
                              <a:gd name="T3" fmla="*/ 996696 w 996696"/>
                            </a:gdLst>
                            <a:ahLst/>
                            <a:cxnLst>
                              <a:cxn ang="0">
                                <a:pos x="T0" y="0"/>
                              </a:cxn>
                              <a:cxn ang="0">
                                <a:pos x="T1" y="0"/>
                              </a:cxn>
                            </a:cxnLst>
                            <a:rect l="T2" t="0" r="T3" b="0"/>
                            <a:pathLst>
                              <a:path w="996696">
                                <a:moveTo>
                                  <a:pt x="0" y="0"/>
                                </a:moveTo>
                                <a:lnTo>
                                  <a:pt x="996696" y="0"/>
                                </a:lnTo>
                              </a:path>
                            </a:pathLst>
                          </a:custGeom>
                          <a:noFill/>
                          <a:ln w="25400">
                            <a:solidFill>
                              <a:srgbClr val="A3AD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50F3F1" id="Group 73951" o:spid="_x0000_s1026" style="width:317.05pt;height:7.45pt;mso-position-horizontal-relative:char;mso-position-vertical-relative:line" coordsize="40264,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">
                <v:shape id="Shape 42" o:spid="_x0000_s1027" style="position:absolute;top:944;width:40233;height:0;visibility:visible;mso-wrap-style:square;v-text-anchor:top" coordsize="4023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" path="m,l4023360,e" filled="f" strokecolor="#7e9a16" strokeweight="2pt">
                  <v:path arrowok="t" o:connecttype="custom" o:connectlocs="0,0;40233,0" o:connectangles="0,0" textboxrect="0,0,4023360,0"/>
                </v:shape>
                <v:shape id="Shape 43" o:spid="_x0000_s1028" style="position:absolute;left:19781;top:457;width:20483;height:0;visibility:visible;mso-wrap-style:square;v-text-anchor:top" coordsize="2048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" path="m,l2048256,e" filled="f" strokecolor="#b8cd00" strokeweight="2pt">
                  <v:path arrowok="t" o:connecttype="custom" o:connectlocs="0,0;20483,0" o:connectangles="0,0" textboxrect="0,0,2048256,0"/>
                </v:shape>
                <v:shape id="Shape 44" o:spid="_x0000_s1029" style="position:absolute;left:30297;width:9967;height:0;visibility:visible;mso-wrap-style:square;v-text-anchor:top" coordsize="9966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" path="m,l996696,e" filled="f" strokecolor="#a3ad21" strokeweight="2pt">
                  <v:path arrowok="t" o:connecttype="custom" o:connectlocs="0,0;9967,0" o:connectangles="0,0" textboxrect="0,0,996696,0"/>
                </v:shape>
                <w10:anchorlock/>
              </v:group>
            </w:pict>
          </mc:Fallback>
        </mc:AlternateContent>
      </w:r>
    </w:p>
    <w:p w14:paraId="48DCEC4A" w14:textId="77777777" w:rsidR="002763B5" w:rsidRDefault="00D55782">
      <w:pPr>
        <w:spacing w:after="103" w:line="259" w:lineRule="auto"/>
        <w:ind w:left="283"/>
      </w:pPr>
      <w:r>
        <w:rPr>
          <w:rFonts w:ascii="Arial" w:eastAsia="Arial" w:hAnsi="Arial" w:cs="Arial"/>
          <w:sz w:val="20"/>
        </w:rPr>
        <w:t xml:space="preserve"> </w:t>
      </w:r>
    </w:p>
    <w:p w14:paraId="5F6709E3" w14:textId="1F7E4D14" w:rsidR="002763B5" w:rsidRDefault="00D55782" w:rsidP="00AE08EF">
      <w:pPr>
        <w:spacing w:after="103" w:line="259" w:lineRule="auto"/>
        <w:ind w:left="167"/>
        <w:jc w:val="center"/>
      </w:pPr>
      <w:r>
        <w:rPr>
          <w:rFonts w:ascii="Arial" w:eastAsia="Arial" w:hAnsi="Arial" w:cs="Arial"/>
          <w:b/>
          <w:i/>
          <w:color w:val="7D9B16"/>
          <w:sz w:val="20"/>
        </w:rPr>
        <w:t xml:space="preserve">  </w:t>
      </w:r>
    </w:p>
    <w:p w14:paraId="0EF32D0C" w14:textId="77777777" w:rsidR="002763B5" w:rsidRDefault="00D55782">
      <w:pPr>
        <w:spacing w:after="103" w:line="259" w:lineRule="auto"/>
        <w:ind w:left="167"/>
        <w:jc w:val="center"/>
      </w:pPr>
      <w:r>
        <w:rPr>
          <w:rFonts w:ascii="Arial" w:eastAsia="Arial" w:hAnsi="Arial" w:cs="Arial"/>
          <w:b/>
          <w:i/>
          <w:color w:val="7D9B16"/>
          <w:sz w:val="20"/>
        </w:rPr>
        <w:t xml:space="preserve"> </w:t>
      </w:r>
    </w:p>
    <w:p w14:paraId="70BFA0E6" w14:textId="77777777" w:rsidR="002763B5" w:rsidRDefault="00D55782">
      <w:pPr>
        <w:spacing w:line="259" w:lineRule="auto"/>
        <w:ind w:left="283"/>
      </w:pPr>
      <w:r>
        <w:rPr>
          <w:noProof/>
        </w:rPr>
        <w:drawing>
          <wp:inline distT="0" distB="0" distL="0" distR="0" wp14:anchorId="14364AC2" wp14:editId="01DEA3D6">
            <wp:extent cx="665988" cy="754380"/>
            <wp:effectExtent l="0" t="0" r="0" b="0"/>
            <wp:docPr id="38"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8"/>
                    <a:stretch>
                      <a:fillRect/>
                    </a:stretch>
                  </pic:blipFill>
                  <pic:spPr>
                    <a:xfrm>
                      <a:off x="0" y="0"/>
                      <a:ext cx="665988" cy="754380"/>
                    </a:xfrm>
                    <a:prstGeom prst="rect">
                      <a:avLst/>
                    </a:prstGeom>
                  </pic:spPr>
                </pic:pic>
              </a:graphicData>
            </a:graphic>
          </wp:inline>
        </w:drawing>
      </w:r>
      <w:r>
        <w:rPr>
          <w:rFonts w:ascii="Arial" w:eastAsia="Arial" w:hAnsi="Arial" w:cs="Arial"/>
          <w:b/>
          <w:i/>
          <w:color w:val="7D9B16"/>
          <w:sz w:val="20"/>
        </w:rPr>
        <w:t xml:space="preserve">Spatial </w:t>
      </w:r>
      <w:r>
        <w:rPr>
          <w:rFonts w:ascii="Arial" w:eastAsia="Arial" w:hAnsi="Arial" w:cs="Arial"/>
          <w:b/>
          <w:i/>
          <w:color w:val="A4AE21"/>
          <w:sz w:val="20"/>
        </w:rPr>
        <w:t>Economics</w:t>
      </w:r>
      <w:r>
        <w:rPr>
          <w:b/>
        </w:rPr>
        <w:t xml:space="preserve"> </w:t>
      </w:r>
    </w:p>
    <w:p w14:paraId="028C967D" w14:textId="77777777" w:rsidR="00B138B9" w:rsidRDefault="00B138B9">
      <w:pPr>
        <w:spacing w:after="101" w:line="259" w:lineRule="auto"/>
        <w:ind w:right="157"/>
        <w:jc w:val="right"/>
        <w:rPr>
          <w:sz w:val="20"/>
        </w:rPr>
      </w:pPr>
    </w:p>
    <w:p w14:paraId="6675E17F" w14:textId="77777777" w:rsidR="00B138B9" w:rsidRDefault="00B138B9">
      <w:pPr>
        <w:spacing w:after="101" w:line="259" w:lineRule="auto"/>
        <w:ind w:right="157"/>
        <w:jc w:val="right"/>
        <w:rPr>
          <w:sz w:val="20"/>
        </w:rPr>
      </w:pPr>
    </w:p>
    <w:p w14:paraId="5358A5CC" w14:textId="77777777" w:rsidR="00B138B9" w:rsidRDefault="00B138B9">
      <w:pPr>
        <w:spacing w:after="101" w:line="259" w:lineRule="auto"/>
        <w:ind w:right="157"/>
        <w:jc w:val="right"/>
        <w:rPr>
          <w:sz w:val="20"/>
        </w:rPr>
      </w:pPr>
    </w:p>
    <w:p w14:paraId="0ADD59BB" w14:textId="77777777" w:rsidR="00B138B9" w:rsidRDefault="00B138B9">
      <w:pPr>
        <w:spacing w:after="101" w:line="259" w:lineRule="auto"/>
        <w:ind w:right="157"/>
        <w:jc w:val="right"/>
        <w:rPr>
          <w:sz w:val="20"/>
        </w:rPr>
      </w:pPr>
    </w:p>
    <w:p w14:paraId="68C80D82" w14:textId="77777777" w:rsidR="00B138B9" w:rsidRDefault="00B138B9">
      <w:pPr>
        <w:spacing w:after="101" w:line="259" w:lineRule="auto"/>
        <w:ind w:right="157"/>
        <w:jc w:val="right"/>
        <w:rPr>
          <w:sz w:val="20"/>
        </w:rPr>
      </w:pPr>
    </w:p>
    <w:p w14:paraId="5DBB255E" w14:textId="77777777" w:rsidR="00B138B9" w:rsidRDefault="00B138B9">
      <w:pPr>
        <w:spacing w:after="101" w:line="259" w:lineRule="auto"/>
        <w:ind w:right="157"/>
        <w:jc w:val="right"/>
        <w:rPr>
          <w:sz w:val="20"/>
        </w:rPr>
      </w:pPr>
    </w:p>
    <w:p w14:paraId="6F956BA0" w14:textId="77777777" w:rsidR="00B138B9" w:rsidRDefault="00B138B9">
      <w:pPr>
        <w:spacing w:after="101" w:line="259" w:lineRule="auto"/>
        <w:ind w:right="157"/>
        <w:jc w:val="right"/>
        <w:rPr>
          <w:sz w:val="20"/>
        </w:rPr>
      </w:pPr>
    </w:p>
    <w:p w14:paraId="524EC938" w14:textId="77777777" w:rsidR="00B138B9" w:rsidRDefault="00B138B9">
      <w:pPr>
        <w:spacing w:after="101" w:line="259" w:lineRule="auto"/>
        <w:ind w:right="157"/>
        <w:jc w:val="right"/>
        <w:rPr>
          <w:sz w:val="20"/>
        </w:rPr>
      </w:pPr>
    </w:p>
    <w:p w14:paraId="338A38FE" w14:textId="77777777" w:rsidR="00B138B9" w:rsidRDefault="00B138B9">
      <w:pPr>
        <w:spacing w:after="101" w:line="259" w:lineRule="auto"/>
        <w:ind w:right="157"/>
        <w:jc w:val="right"/>
        <w:rPr>
          <w:sz w:val="20"/>
        </w:rPr>
      </w:pPr>
    </w:p>
    <w:p w14:paraId="58B94555" w14:textId="77777777" w:rsidR="00B138B9" w:rsidRDefault="00B138B9">
      <w:pPr>
        <w:spacing w:after="101" w:line="259" w:lineRule="auto"/>
        <w:ind w:right="157"/>
        <w:jc w:val="right"/>
        <w:rPr>
          <w:sz w:val="20"/>
        </w:rPr>
      </w:pPr>
    </w:p>
    <w:p w14:paraId="56A5BEA5" w14:textId="77777777" w:rsidR="00B138B9" w:rsidRDefault="00B138B9">
      <w:pPr>
        <w:spacing w:after="101" w:line="259" w:lineRule="auto"/>
        <w:ind w:right="157"/>
        <w:jc w:val="right"/>
        <w:rPr>
          <w:sz w:val="20"/>
        </w:rPr>
      </w:pPr>
    </w:p>
    <w:p w14:paraId="2F8FA7F1" w14:textId="77777777" w:rsidR="00B138B9" w:rsidRDefault="00B138B9">
      <w:pPr>
        <w:spacing w:after="101" w:line="259" w:lineRule="auto"/>
        <w:ind w:right="157"/>
        <w:jc w:val="right"/>
        <w:rPr>
          <w:sz w:val="20"/>
        </w:rPr>
      </w:pPr>
    </w:p>
    <w:p w14:paraId="352AA6E3" w14:textId="77777777" w:rsidR="00B138B9" w:rsidRDefault="00B138B9">
      <w:pPr>
        <w:spacing w:after="101" w:line="259" w:lineRule="auto"/>
        <w:ind w:right="157"/>
        <w:jc w:val="right"/>
        <w:rPr>
          <w:sz w:val="20"/>
        </w:rPr>
      </w:pPr>
    </w:p>
    <w:p w14:paraId="4051203E" w14:textId="77777777" w:rsidR="00B138B9" w:rsidRDefault="00B138B9">
      <w:pPr>
        <w:spacing w:after="101" w:line="259" w:lineRule="auto"/>
        <w:ind w:right="157"/>
        <w:jc w:val="right"/>
        <w:rPr>
          <w:sz w:val="20"/>
        </w:rPr>
      </w:pPr>
    </w:p>
    <w:p w14:paraId="034EB2D5" w14:textId="77777777" w:rsidR="00B138B9" w:rsidRDefault="00B138B9">
      <w:pPr>
        <w:spacing w:after="101" w:line="259" w:lineRule="auto"/>
        <w:ind w:right="157"/>
        <w:jc w:val="right"/>
        <w:rPr>
          <w:sz w:val="20"/>
        </w:rPr>
      </w:pPr>
    </w:p>
    <w:p w14:paraId="7D2F53B7" w14:textId="77777777" w:rsidR="00B138B9" w:rsidRDefault="00B138B9">
      <w:pPr>
        <w:spacing w:after="101" w:line="259" w:lineRule="auto"/>
        <w:ind w:right="157"/>
        <w:jc w:val="right"/>
        <w:rPr>
          <w:sz w:val="20"/>
        </w:rPr>
      </w:pPr>
    </w:p>
    <w:p w14:paraId="1BAB987C" w14:textId="77777777" w:rsidR="00B138B9" w:rsidRDefault="00B138B9">
      <w:pPr>
        <w:spacing w:after="101" w:line="259" w:lineRule="auto"/>
        <w:ind w:right="157"/>
        <w:jc w:val="right"/>
        <w:rPr>
          <w:sz w:val="20"/>
        </w:rPr>
      </w:pPr>
    </w:p>
    <w:p w14:paraId="210580F9" w14:textId="77777777" w:rsidR="00B138B9" w:rsidRDefault="00B138B9">
      <w:pPr>
        <w:spacing w:after="101" w:line="259" w:lineRule="auto"/>
        <w:ind w:right="157"/>
        <w:jc w:val="right"/>
        <w:rPr>
          <w:sz w:val="20"/>
        </w:rPr>
      </w:pPr>
    </w:p>
    <w:p w14:paraId="6B31A593" w14:textId="77777777" w:rsidR="00B138B9" w:rsidRDefault="00B138B9">
      <w:pPr>
        <w:spacing w:after="101" w:line="259" w:lineRule="auto"/>
        <w:ind w:right="157"/>
        <w:jc w:val="right"/>
        <w:rPr>
          <w:sz w:val="20"/>
        </w:rPr>
      </w:pPr>
    </w:p>
    <w:p w14:paraId="6AA9DF6D" w14:textId="77777777" w:rsidR="00B138B9" w:rsidRDefault="00B138B9">
      <w:pPr>
        <w:spacing w:after="101" w:line="259" w:lineRule="auto"/>
        <w:ind w:right="157"/>
        <w:jc w:val="right"/>
        <w:rPr>
          <w:sz w:val="20"/>
        </w:rPr>
      </w:pPr>
    </w:p>
    <w:p w14:paraId="11ED4F83" w14:textId="77777777" w:rsidR="00044D52" w:rsidRDefault="00044D52">
      <w:pPr>
        <w:spacing w:after="101" w:line="259" w:lineRule="auto"/>
        <w:ind w:right="157"/>
        <w:jc w:val="right"/>
        <w:rPr>
          <w:sz w:val="20"/>
        </w:rPr>
      </w:pPr>
    </w:p>
    <w:p w14:paraId="5810122E" w14:textId="77777777" w:rsidR="00044D52" w:rsidRDefault="00044D52">
      <w:pPr>
        <w:spacing w:after="101" w:line="259" w:lineRule="auto"/>
        <w:ind w:right="157"/>
        <w:jc w:val="right"/>
        <w:rPr>
          <w:sz w:val="20"/>
        </w:rPr>
      </w:pPr>
    </w:p>
    <w:p w14:paraId="7B965463" w14:textId="77777777" w:rsidR="00044D52" w:rsidRDefault="00044D52">
      <w:pPr>
        <w:spacing w:after="101" w:line="259" w:lineRule="auto"/>
        <w:ind w:right="157"/>
        <w:jc w:val="right"/>
        <w:rPr>
          <w:sz w:val="20"/>
        </w:rPr>
      </w:pPr>
    </w:p>
    <w:p w14:paraId="51304676" w14:textId="77777777" w:rsidR="00044D52" w:rsidRDefault="00044D52">
      <w:pPr>
        <w:spacing w:after="101" w:line="259" w:lineRule="auto"/>
        <w:ind w:right="157"/>
        <w:jc w:val="right"/>
        <w:rPr>
          <w:sz w:val="20"/>
        </w:rPr>
      </w:pPr>
    </w:p>
    <w:p w14:paraId="440BF74E" w14:textId="77777777" w:rsidR="00044D52" w:rsidRDefault="00044D52">
      <w:pPr>
        <w:spacing w:after="101" w:line="259" w:lineRule="auto"/>
        <w:ind w:right="157"/>
        <w:jc w:val="right"/>
        <w:rPr>
          <w:sz w:val="20"/>
        </w:rPr>
      </w:pPr>
    </w:p>
    <w:p w14:paraId="1A1B4E65" w14:textId="77777777" w:rsidR="00044D52" w:rsidRDefault="00044D52">
      <w:pPr>
        <w:spacing w:after="101" w:line="259" w:lineRule="auto"/>
        <w:ind w:right="157"/>
        <w:jc w:val="right"/>
        <w:rPr>
          <w:sz w:val="20"/>
        </w:rPr>
      </w:pPr>
    </w:p>
    <w:p w14:paraId="249B311D" w14:textId="77777777" w:rsidR="00044D52" w:rsidRDefault="00044D52">
      <w:pPr>
        <w:spacing w:after="101" w:line="259" w:lineRule="auto"/>
        <w:ind w:right="157"/>
        <w:jc w:val="right"/>
        <w:rPr>
          <w:sz w:val="20"/>
        </w:rPr>
      </w:pPr>
    </w:p>
    <w:p w14:paraId="70B7F6C1" w14:textId="77777777" w:rsidR="00044D52" w:rsidRDefault="00044D52">
      <w:pPr>
        <w:spacing w:after="101" w:line="259" w:lineRule="auto"/>
        <w:ind w:right="157"/>
        <w:jc w:val="right"/>
        <w:rPr>
          <w:sz w:val="20"/>
        </w:rPr>
      </w:pPr>
    </w:p>
    <w:p w14:paraId="5C82466B" w14:textId="77777777" w:rsidR="00A61C92" w:rsidRDefault="00A61C92">
      <w:pPr>
        <w:spacing w:after="101" w:line="259" w:lineRule="auto"/>
        <w:ind w:right="157"/>
        <w:jc w:val="right"/>
        <w:rPr>
          <w:sz w:val="20"/>
        </w:rPr>
      </w:pPr>
    </w:p>
    <w:p w14:paraId="0CD45DE7" w14:textId="77777777" w:rsidR="00A61C92" w:rsidRDefault="00A61C92">
      <w:pPr>
        <w:spacing w:after="101" w:line="259" w:lineRule="auto"/>
        <w:ind w:right="157"/>
        <w:jc w:val="right"/>
        <w:rPr>
          <w:sz w:val="20"/>
        </w:rPr>
      </w:pPr>
    </w:p>
    <w:p w14:paraId="4A231107" w14:textId="77777777" w:rsidR="00A61C92" w:rsidRDefault="00A61C92">
      <w:pPr>
        <w:spacing w:after="101" w:line="259" w:lineRule="auto"/>
        <w:ind w:right="157"/>
        <w:jc w:val="right"/>
        <w:rPr>
          <w:sz w:val="20"/>
        </w:rPr>
      </w:pPr>
    </w:p>
    <w:p w14:paraId="3E511688" w14:textId="77777777" w:rsidR="00A61C92" w:rsidRDefault="00A61C92">
      <w:pPr>
        <w:spacing w:after="101" w:line="259" w:lineRule="auto"/>
        <w:ind w:right="157"/>
        <w:jc w:val="right"/>
        <w:rPr>
          <w:sz w:val="20"/>
        </w:rPr>
      </w:pPr>
    </w:p>
    <w:p w14:paraId="47DA22D7" w14:textId="77777777" w:rsidR="00B138B9" w:rsidRDefault="00B138B9">
      <w:pPr>
        <w:spacing w:after="101" w:line="259" w:lineRule="auto"/>
        <w:ind w:right="157"/>
        <w:jc w:val="right"/>
        <w:rPr>
          <w:sz w:val="20"/>
        </w:rPr>
      </w:pPr>
    </w:p>
    <w:p w14:paraId="16777E3B" w14:textId="77777777" w:rsidR="00B138B9" w:rsidRDefault="00B138B9">
      <w:pPr>
        <w:spacing w:after="101" w:line="259" w:lineRule="auto"/>
        <w:ind w:right="157"/>
        <w:jc w:val="right"/>
        <w:rPr>
          <w:sz w:val="20"/>
        </w:rPr>
      </w:pPr>
    </w:p>
    <w:p w14:paraId="01325509" w14:textId="77777777" w:rsidR="00B138B9" w:rsidRDefault="00B138B9">
      <w:pPr>
        <w:spacing w:after="101" w:line="259" w:lineRule="auto"/>
        <w:ind w:right="157"/>
        <w:jc w:val="right"/>
        <w:rPr>
          <w:sz w:val="20"/>
        </w:rPr>
      </w:pPr>
    </w:p>
    <w:p w14:paraId="02F4E535" w14:textId="163F15D7" w:rsidR="002763B5" w:rsidRPr="00C71E6F" w:rsidRDefault="008C1CA7">
      <w:pPr>
        <w:spacing w:after="101" w:line="259" w:lineRule="auto"/>
        <w:ind w:right="157"/>
        <w:jc w:val="right"/>
        <w:rPr>
          <w:rFonts w:ascii="Corbel" w:hAnsi="Corbel"/>
        </w:rPr>
      </w:pPr>
      <w:r>
        <w:rPr>
          <w:rFonts w:ascii="Corbel" w:hAnsi="Corbel"/>
          <w:sz w:val="20"/>
        </w:rPr>
        <w:t>21</w:t>
      </w:r>
      <w:r w:rsidR="00D55782" w:rsidRPr="00C71E6F">
        <w:rPr>
          <w:rFonts w:ascii="Corbel" w:hAnsi="Corbel"/>
          <w:sz w:val="20"/>
        </w:rPr>
        <w:t>/</w:t>
      </w:r>
      <w:r w:rsidR="00044D52" w:rsidRPr="00C71E6F">
        <w:rPr>
          <w:rFonts w:ascii="Corbel" w:hAnsi="Corbel"/>
          <w:sz w:val="20"/>
        </w:rPr>
        <w:t>0</w:t>
      </w:r>
      <w:r w:rsidR="00AE08EF">
        <w:rPr>
          <w:rFonts w:ascii="Corbel" w:hAnsi="Corbel"/>
          <w:sz w:val="20"/>
        </w:rPr>
        <w:t>4</w:t>
      </w:r>
      <w:r w:rsidR="00A61C92" w:rsidRPr="00C71E6F">
        <w:rPr>
          <w:rFonts w:ascii="Corbel" w:hAnsi="Corbel"/>
          <w:sz w:val="20"/>
        </w:rPr>
        <w:t>/</w:t>
      </w:r>
      <w:r w:rsidR="00D55782" w:rsidRPr="00C71E6F">
        <w:rPr>
          <w:rFonts w:ascii="Corbel" w:hAnsi="Corbel"/>
          <w:sz w:val="20"/>
        </w:rPr>
        <w:t>20</w:t>
      </w:r>
      <w:r w:rsidR="002E62D4">
        <w:rPr>
          <w:rFonts w:ascii="Corbel" w:hAnsi="Corbel"/>
          <w:sz w:val="20"/>
        </w:rPr>
        <w:t>22</w:t>
      </w:r>
      <w:r w:rsidR="00D55782" w:rsidRPr="00C71E6F">
        <w:rPr>
          <w:rFonts w:ascii="Corbel" w:hAnsi="Corbel"/>
          <w:sz w:val="20"/>
        </w:rPr>
        <w:t xml:space="preserve"> </w:t>
      </w:r>
    </w:p>
    <w:p w14:paraId="0809D8CE" w14:textId="70CED805" w:rsidR="002763B5" w:rsidRPr="00C71E6F" w:rsidRDefault="008C1CA7">
      <w:pPr>
        <w:spacing w:after="101" w:line="259" w:lineRule="auto"/>
        <w:ind w:right="157"/>
        <w:jc w:val="right"/>
        <w:rPr>
          <w:rFonts w:ascii="Corbel" w:hAnsi="Corbel"/>
        </w:rPr>
      </w:pPr>
      <w:r>
        <w:rPr>
          <w:rFonts w:ascii="Corbel" w:hAnsi="Corbel"/>
          <w:sz w:val="20"/>
        </w:rPr>
        <w:t>Final</w:t>
      </w:r>
      <w:r w:rsidR="00D55782" w:rsidRPr="00C71E6F">
        <w:rPr>
          <w:rFonts w:ascii="Corbel" w:hAnsi="Corbel"/>
          <w:sz w:val="20"/>
        </w:rPr>
        <w:t xml:space="preserve"> Version </w:t>
      </w:r>
      <w:r w:rsidR="00B138B9" w:rsidRPr="00C71E6F">
        <w:rPr>
          <w:rFonts w:ascii="Corbel" w:hAnsi="Corbel"/>
          <w:sz w:val="20"/>
        </w:rPr>
        <w:t>1</w:t>
      </w:r>
      <w:r w:rsidR="00D55782" w:rsidRPr="00C71E6F">
        <w:rPr>
          <w:rFonts w:ascii="Corbel" w:hAnsi="Corbel"/>
          <w:sz w:val="20"/>
        </w:rPr>
        <w:t>.</w:t>
      </w:r>
      <w:r>
        <w:rPr>
          <w:rFonts w:ascii="Corbel" w:hAnsi="Corbel"/>
          <w:sz w:val="20"/>
        </w:rPr>
        <w:t>0</w:t>
      </w:r>
    </w:p>
    <w:p w14:paraId="7CCF1ECD" w14:textId="77777777" w:rsidR="002763B5" w:rsidRPr="00C71E6F" w:rsidRDefault="00D55782">
      <w:pPr>
        <w:spacing w:after="102" w:line="259" w:lineRule="auto"/>
        <w:ind w:right="171"/>
        <w:jc w:val="right"/>
        <w:rPr>
          <w:rFonts w:ascii="Corbel" w:hAnsi="Corbel"/>
        </w:rPr>
      </w:pPr>
      <w:r w:rsidRPr="00C71E6F">
        <w:rPr>
          <w:rFonts w:ascii="Corbel" w:hAnsi="Corbel"/>
          <w:b/>
          <w:sz w:val="20"/>
        </w:rPr>
        <w:t xml:space="preserve">Spatial Economics Pty Ltd </w:t>
      </w:r>
    </w:p>
    <w:p w14:paraId="30DD865F" w14:textId="77777777" w:rsidR="002763B5" w:rsidRPr="00C71E6F" w:rsidRDefault="00D55782">
      <w:pPr>
        <w:spacing w:after="101" w:line="259" w:lineRule="auto"/>
        <w:ind w:right="157"/>
        <w:jc w:val="right"/>
        <w:rPr>
          <w:rFonts w:ascii="Corbel" w:hAnsi="Corbel"/>
        </w:rPr>
      </w:pPr>
      <w:r w:rsidRPr="00C71E6F">
        <w:rPr>
          <w:rFonts w:ascii="Corbel" w:hAnsi="Corbel"/>
          <w:sz w:val="20"/>
        </w:rPr>
        <w:t xml:space="preserve">ABN: 56 134 066 783 </w:t>
      </w:r>
    </w:p>
    <w:p w14:paraId="3D78BA9C" w14:textId="77777777" w:rsidR="00521232" w:rsidRPr="00C71E6F" w:rsidRDefault="00D55782">
      <w:pPr>
        <w:spacing w:line="360" w:lineRule="auto"/>
        <w:ind w:left="3823"/>
        <w:jc w:val="right"/>
        <w:rPr>
          <w:rFonts w:ascii="Corbel" w:hAnsi="Corbel"/>
          <w:color w:val="0000FF"/>
          <w:sz w:val="20"/>
        </w:rPr>
      </w:pPr>
      <w:r w:rsidRPr="00C71E6F">
        <w:rPr>
          <w:rFonts w:ascii="Corbel" w:hAnsi="Corbel"/>
          <w:color w:val="0000FF"/>
          <w:sz w:val="20"/>
          <w:u w:val="single" w:color="0000FF"/>
        </w:rPr>
        <w:t>www.spatialeconomics.com.au</w:t>
      </w:r>
      <w:r w:rsidRPr="00C71E6F">
        <w:rPr>
          <w:rFonts w:ascii="Corbel" w:hAnsi="Corbel"/>
          <w:sz w:val="20"/>
        </w:rPr>
        <w:t xml:space="preserve"> </w:t>
      </w:r>
      <w:r w:rsidRPr="00C71E6F">
        <w:rPr>
          <w:rFonts w:ascii="Corbel" w:hAnsi="Corbel"/>
          <w:color w:val="0000FF"/>
          <w:sz w:val="20"/>
          <w:u w:val="single" w:color="0000FF"/>
        </w:rPr>
        <w:t>info@spatialeconomics.com.au</w:t>
      </w:r>
      <w:r w:rsidRPr="00C71E6F">
        <w:rPr>
          <w:rFonts w:ascii="Corbel" w:hAnsi="Corbel"/>
          <w:color w:val="0000FF"/>
          <w:sz w:val="20"/>
        </w:rPr>
        <w:t xml:space="preserve"> </w:t>
      </w:r>
    </w:p>
    <w:p w14:paraId="040163C1" w14:textId="77777777" w:rsidR="002763B5" w:rsidRDefault="002763B5">
      <w:pPr>
        <w:spacing w:line="360" w:lineRule="auto"/>
        <w:ind w:left="3823"/>
        <w:jc w:val="right"/>
      </w:pPr>
    </w:p>
    <w:sdt>
      <w:sdtPr>
        <w:id w:val="237523924"/>
        <w:docPartObj>
          <w:docPartGallery w:val="Table of Contents"/>
        </w:docPartObj>
      </w:sdtPr>
      <w:sdtEndPr/>
      <w:sdtContent>
        <w:p w14:paraId="445CA700" w14:textId="77777777" w:rsidR="002763B5" w:rsidRDefault="00D55782">
          <w:pPr>
            <w:spacing w:after="99" w:line="259" w:lineRule="auto"/>
            <w:ind w:left="278"/>
          </w:pPr>
          <w:r>
            <w:rPr>
              <w:b/>
              <w:color w:val="7D9B16"/>
            </w:rPr>
            <w:t xml:space="preserve">CONTENTS </w:t>
          </w:r>
        </w:p>
        <w:p w14:paraId="1C5CC4AD" w14:textId="59FA0FC2" w:rsidR="00CD577B" w:rsidRDefault="00D55782">
          <w:pPr>
            <w:pStyle w:val="TOC1"/>
            <w:tabs>
              <w:tab w:val="right" w:leader="dot" w:pos="9211"/>
            </w:tabs>
            <w:rPr>
              <w:rFonts w:asciiTheme="minorHAnsi" w:eastAsiaTheme="minorEastAsia" w:hAnsiTheme="minorHAnsi" w:cstheme="minorBidi"/>
              <w:noProof/>
              <w:color w:val="auto"/>
            </w:rPr>
          </w:pPr>
          <w:r w:rsidRPr="00403D33">
            <w:fldChar w:fldCharType="begin"/>
          </w:r>
          <w:r w:rsidRPr="00403D33">
            <w:instrText xml:space="preserve"> TOC \o "1-3" \h \z \u </w:instrText>
          </w:r>
          <w:r w:rsidRPr="00403D33">
            <w:fldChar w:fldCharType="separate"/>
          </w:r>
          <w:hyperlink w:anchor="_Toc101202485" w:history="1">
            <w:r w:rsidR="00CD577B" w:rsidRPr="002F493D">
              <w:rPr>
                <w:rStyle w:val="Hyperlink"/>
                <w:noProof/>
              </w:rPr>
              <w:t>EXECUTIVE SUMMARY</w:t>
            </w:r>
            <w:r w:rsidR="00CD577B">
              <w:rPr>
                <w:noProof/>
                <w:webHidden/>
              </w:rPr>
              <w:tab/>
            </w:r>
            <w:r w:rsidR="00CD577B">
              <w:rPr>
                <w:noProof/>
                <w:webHidden/>
              </w:rPr>
              <w:fldChar w:fldCharType="begin"/>
            </w:r>
            <w:r w:rsidR="00CD577B">
              <w:rPr>
                <w:noProof/>
                <w:webHidden/>
              </w:rPr>
              <w:instrText xml:space="preserve"> PAGEREF _Toc101202485 \h </w:instrText>
            </w:r>
            <w:r w:rsidR="00CD577B">
              <w:rPr>
                <w:noProof/>
                <w:webHidden/>
              </w:rPr>
            </w:r>
            <w:r w:rsidR="00CD577B">
              <w:rPr>
                <w:noProof/>
                <w:webHidden/>
              </w:rPr>
              <w:fldChar w:fldCharType="separate"/>
            </w:r>
            <w:r w:rsidR="00A72038">
              <w:rPr>
                <w:noProof/>
                <w:webHidden/>
              </w:rPr>
              <w:t>5</w:t>
            </w:r>
            <w:r w:rsidR="00CD577B">
              <w:rPr>
                <w:noProof/>
                <w:webHidden/>
              </w:rPr>
              <w:fldChar w:fldCharType="end"/>
            </w:r>
          </w:hyperlink>
        </w:p>
        <w:p w14:paraId="2DF1D274" w14:textId="0A5A9F5B" w:rsidR="00CD577B" w:rsidRDefault="001A0A35">
          <w:pPr>
            <w:pStyle w:val="TOC1"/>
            <w:tabs>
              <w:tab w:val="right" w:leader="dot" w:pos="9211"/>
            </w:tabs>
            <w:rPr>
              <w:rFonts w:asciiTheme="minorHAnsi" w:eastAsiaTheme="minorEastAsia" w:hAnsiTheme="minorHAnsi" w:cstheme="minorBidi"/>
              <w:noProof/>
              <w:color w:val="auto"/>
            </w:rPr>
          </w:pPr>
          <w:hyperlink w:anchor="_Toc101202486" w:history="1">
            <w:r w:rsidR="00CD577B" w:rsidRPr="002F493D">
              <w:rPr>
                <w:rStyle w:val="Hyperlink"/>
                <w:noProof/>
              </w:rPr>
              <w:t>1.0  Introduction</w:t>
            </w:r>
            <w:r w:rsidR="00CD577B">
              <w:rPr>
                <w:noProof/>
                <w:webHidden/>
              </w:rPr>
              <w:tab/>
            </w:r>
            <w:r w:rsidR="00CD577B">
              <w:rPr>
                <w:noProof/>
                <w:webHidden/>
              </w:rPr>
              <w:fldChar w:fldCharType="begin"/>
            </w:r>
            <w:r w:rsidR="00CD577B">
              <w:rPr>
                <w:noProof/>
                <w:webHidden/>
              </w:rPr>
              <w:instrText xml:space="preserve"> PAGEREF _Toc101202486 \h </w:instrText>
            </w:r>
            <w:r w:rsidR="00CD577B">
              <w:rPr>
                <w:noProof/>
                <w:webHidden/>
              </w:rPr>
            </w:r>
            <w:r w:rsidR="00CD577B">
              <w:rPr>
                <w:noProof/>
                <w:webHidden/>
              </w:rPr>
              <w:fldChar w:fldCharType="separate"/>
            </w:r>
            <w:r w:rsidR="00A72038">
              <w:rPr>
                <w:noProof/>
                <w:webHidden/>
              </w:rPr>
              <w:t>7</w:t>
            </w:r>
            <w:r w:rsidR="00CD577B">
              <w:rPr>
                <w:noProof/>
                <w:webHidden/>
              </w:rPr>
              <w:fldChar w:fldCharType="end"/>
            </w:r>
          </w:hyperlink>
        </w:p>
        <w:p w14:paraId="3123690F" w14:textId="0802F74C" w:rsidR="00CD577B" w:rsidRDefault="001A0A35">
          <w:pPr>
            <w:pStyle w:val="TOC1"/>
            <w:tabs>
              <w:tab w:val="right" w:leader="dot" w:pos="9211"/>
            </w:tabs>
            <w:rPr>
              <w:rFonts w:asciiTheme="minorHAnsi" w:eastAsiaTheme="minorEastAsia" w:hAnsiTheme="minorHAnsi" w:cstheme="minorBidi"/>
              <w:noProof/>
              <w:color w:val="auto"/>
            </w:rPr>
          </w:pPr>
          <w:hyperlink w:anchor="_Toc101202487" w:history="1">
            <w:r w:rsidR="00CD577B" w:rsidRPr="002F493D">
              <w:rPr>
                <w:rStyle w:val="Hyperlink"/>
                <w:noProof/>
              </w:rPr>
              <w:t>1.1  Context</w:t>
            </w:r>
            <w:r w:rsidR="00CD577B">
              <w:rPr>
                <w:noProof/>
                <w:webHidden/>
              </w:rPr>
              <w:tab/>
            </w:r>
            <w:r w:rsidR="00CD577B">
              <w:rPr>
                <w:noProof/>
                <w:webHidden/>
              </w:rPr>
              <w:fldChar w:fldCharType="begin"/>
            </w:r>
            <w:r w:rsidR="00CD577B">
              <w:rPr>
                <w:noProof/>
                <w:webHidden/>
              </w:rPr>
              <w:instrText xml:space="preserve"> PAGEREF _Toc101202487 \h </w:instrText>
            </w:r>
            <w:r w:rsidR="00CD577B">
              <w:rPr>
                <w:noProof/>
                <w:webHidden/>
              </w:rPr>
            </w:r>
            <w:r w:rsidR="00CD577B">
              <w:rPr>
                <w:noProof/>
                <w:webHidden/>
              </w:rPr>
              <w:fldChar w:fldCharType="separate"/>
            </w:r>
            <w:r w:rsidR="00A72038">
              <w:rPr>
                <w:noProof/>
                <w:webHidden/>
              </w:rPr>
              <w:t>7</w:t>
            </w:r>
            <w:r w:rsidR="00CD577B">
              <w:rPr>
                <w:noProof/>
                <w:webHidden/>
              </w:rPr>
              <w:fldChar w:fldCharType="end"/>
            </w:r>
          </w:hyperlink>
        </w:p>
        <w:p w14:paraId="368231C7" w14:textId="4887D792" w:rsidR="00CD577B" w:rsidRDefault="001A0A35">
          <w:pPr>
            <w:pStyle w:val="TOC1"/>
            <w:tabs>
              <w:tab w:val="right" w:leader="dot" w:pos="9211"/>
            </w:tabs>
            <w:rPr>
              <w:rFonts w:asciiTheme="minorHAnsi" w:eastAsiaTheme="minorEastAsia" w:hAnsiTheme="minorHAnsi" w:cstheme="minorBidi"/>
              <w:noProof/>
              <w:color w:val="auto"/>
            </w:rPr>
          </w:pPr>
          <w:hyperlink w:anchor="_Toc101202488" w:history="1">
            <w:r w:rsidR="00CD577B" w:rsidRPr="002F493D">
              <w:rPr>
                <w:rStyle w:val="Hyperlink"/>
                <w:noProof/>
              </w:rPr>
              <w:t>1.2  Purpose</w:t>
            </w:r>
            <w:r w:rsidR="00CD577B">
              <w:rPr>
                <w:noProof/>
                <w:webHidden/>
              </w:rPr>
              <w:tab/>
            </w:r>
            <w:r w:rsidR="00CD577B">
              <w:rPr>
                <w:noProof/>
                <w:webHidden/>
              </w:rPr>
              <w:fldChar w:fldCharType="begin"/>
            </w:r>
            <w:r w:rsidR="00CD577B">
              <w:rPr>
                <w:noProof/>
                <w:webHidden/>
              </w:rPr>
              <w:instrText xml:space="preserve"> PAGEREF _Toc101202488 \h </w:instrText>
            </w:r>
            <w:r w:rsidR="00CD577B">
              <w:rPr>
                <w:noProof/>
                <w:webHidden/>
              </w:rPr>
            </w:r>
            <w:r w:rsidR="00CD577B">
              <w:rPr>
                <w:noProof/>
                <w:webHidden/>
              </w:rPr>
              <w:fldChar w:fldCharType="separate"/>
            </w:r>
            <w:r w:rsidR="00A72038">
              <w:rPr>
                <w:noProof/>
                <w:webHidden/>
              </w:rPr>
              <w:t>7</w:t>
            </w:r>
            <w:r w:rsidR="00CD577B">
              <w:rPr>
                <w:noProof/>
                <w:webHidden/>
              </w:rPr>
              <w:fldChar w:fldCharType="end"/>
            </w:r>
          </w:hyperlink>
        </w:p>
        <w:p w14:paraId="3BBC6427" w14:textId="44F5DCF6" w:rsidR="00CD577B" w:rsidRDefault="001A0A35">
          <w:pPr>
            <w:pStyle w:val="TOC1"/>
            <w:tabs>
              <w:tab w:val="right" w:leader="dot" w:pos="9211"/>
            </w:tabs>
            <w:rPr>
              <w:rFonts w:asciiTheme="minorHAnsi" w:eastAsiaTheme="minorEastAsia" w:hAnsiTheme="minorHAnsi" w:cstheme="minorBidi"/>
              <w:noProof/>
              <w:color w:val="auto"/>
            </w:rPr>
          </w:pPr>
          <w:hyperlink w:anchor="_Toc101202489" w:history="1">
            <w:r w:rsidR="00CD577B" w:rsidRPr="002F493D">
              <w:rPr>
                <w:rStyle w:val="Hyperlink"/>
                <w:noProof/>
              </w:rPr>
              <w:t>2.0  Approach &amp; Scope</w:t>
            </w:r>
            <w:r w:rsidR="00CD577B">
              <w:rPr>
                <w:noProof/>
                <w:webHidden/>
              </w:rPr>
              <w:tab/>
            </w:r>
            <w:r w:rsidR="00CD577B">
              <w:rPr>
                <w:noProof/>
                <w:webHidden/>
              </w:rPr>
              <w:fldChar w:fldCharType="begin"/>
            </w:r>
            <w:r w:rsidR="00CD577B">
              <w:rPr>
                <w:noProof/>
                <w:webHidden/>
              </w:rPr>
              <w:instrText xml:space="preserve"> PAGEREF _Toc101202489 \h </w:instrText>
            </w:r>
            <w:r w:rsidR="00CD577B">
              <w:rPr>
                <w:noProof/>
                <w:webHidden/>
              </w:rPr>
            </w:r>
            <w:r w:rsidR="00CD577B">
              <w:rPr>
                <w:noProof/>
                <w:webHidden/>
              </w:rPr>
              <w:fldChar w:fldCharType="separate"/>
            </w:r>
            <w:r w:rsidR="00A72038">
              <w:rPr>
                <w:noProof/>
                <w:webHidden/>
              </w:rPr>
              <w:t>8</w:t>
            </w:r>
            <w:r w:rsidR="00CD577B">
              <w:rPr>
                <w:noProof/>
                <w:webHidden/>
              </w:rPr>
              <w:fldChar w:fldCharType="end"/>
            </w:r>
          </w:hyperlink>
        </w:p>
        <w:p w14:paraId="455B033C" w14:textId="28B5C616" w:rsidR="00CD577B" w:rsidRDefault="001A0A35">
          <w:pPr>
            <w:pStyle w:val="TOC1"/>
            <w:tabs>
              <w:tab w:val="right" w:leader="dot" w:pos="9211"/>
            </w:tabs>
            <w:rPr>
              <w:rFonts w:asciiTheme="minorHAnsi" w:eastAsiaTheme="minorEastAsia" w:hAnsiTheme="minorHAnsi" w:cstheme="minorBidi"/>
              <w:noProof/>
              <w:color w:val="auto"/>
            </w:rPr>
          </w:pPr>
          <w:hyperlink w:anchor="_Toc101202490" w:history="1">
            <w:r w:rsidR="00CD577B" w:rsidRPr="002F493D">
              <w:rPr>
                <w:rStyle w:val="Hyperlink"/>
                <w:noProof/>
              </w:rPr>
              <w:t>3.0  Population Growth Scenario</w:t>
            </w:r>
            <w:r w:rsidR="00CD577B">
              <w:rPr>
                <w:noProof/>
                <w:webHidden/>
              </w:rPr>
              <w:tab/>
            </w:r>
            <w:r w:rsidR="00CD577B">
              <w:rPr>
                <w:noProof/>
                <w:webHidden/>
              </w:rPr>
              <w:fldChar w:fldCharType="begin"/>
            </w:r>
            <w:r w:rsidR="00CD577B">
              <w:rPr>
                <w:noProof/>
                <w:webHidden/>
              </w:rPr>
              <w:instrText xml:space="preserve"> PAGEREF _Toc101202490 \h </w:instrText>
            </w:r>
            <w:r w:rsidR="00CD577B">
              <w:rPr>
                <w:noProof/>
                <w:webHidden/>
              </w:rPr>
            </w:r>
            <w:r w:rsidR="00CD577B">
              <w:rPr>
                <w:noProof/>
                <w:webHidden/>
              </w:rPr>
              <w:fldChar w:fldCharType="separate"/>
            </w:r>
            <w:r w:rsidR="00A72038">
              <w:rPr>
                <w:noProof/>
                <w:webHidden/>
              </w:rPr>
              <w:t>12</w:t>
            </w:r>
            <w:r w:rsidR="00CD577B">
              <w:rPr>
                <w:noProof/>
                <w:webHidden/>
              </w:rPr>
              <w:fldChar w:fldCharType="end"/>
            </w:r>
          </w:hyperlink>
        </w:p>
        <w:p w14:paraId="4F97F12F" w14:textId="342D6094" w:rsidR="00CD577B" w:rsidRDefault="001A0A35">
          <w:pPr>
            <w:pStyle w:val="TOC1"/>
            <w:tabs>
              <w:tab w:val="right" w:leader="dot" w:pos="9211"/>
            </w:tabs>
            <w:rPr>
              <w:rFonts w:asciiTheme="minorHAnsi" w:eastAsiaTheme="minorEastAsia" w:hAnsiTheme="minorHAnsi" w:cstheme="minorBidi"/>
              <w:noProof/>
              <w:color w:val="auto"/>
            </w:rPr>
          </w:pPr>
          <w:hyperlink w:anchor="_Toc101202491" w:history="1">
            <w:r w:rsidR="00CD577B" w:rsidRPr="002F493D">
              <w:rPr>
                <w:rStyle w:val="Hyperlink"/>
                <w:noProof/>
              </w:rPr>
              <w:t>3.1  Aspirational Growth Scenario – A Review</w:t>
            </w:r>
            <w:r w:rsidR="00CD577B">
              <w:rPr>
                <w:noProof/>
                <w:webHidden/>
              </w:rPr>
              <w:tab/>
            </w:r>
            <w:r w:rsidR="00CD577B">
              <w:rPr>
                <w:noProof/>
                <w:webHidden/>
              </w:rPr>
              <w:fldChar w:fldCharType="begin"/>
            </w:r>
            <w:r w:rsidR="00CD577B">
              <w:rPr>
                <w:noProof/>
                <w:webHidden/>
              </w:rPr>
              <w:instrText xml:space="preserve"> PAGEREF _Toc101202491 \h </w:instrText>
            </w:r>
            <w:r w:rsidR="00CD577B">
              <w:rPr>
                <w:noProof/>
                <w:webHidden/>
              </w:rPr>
            </w:r>
            <w:r w:rsidR="00CD577B">
              <w:rPr>
                <w:noProof/>
                <w:webHidden/>
              </w:rPr>
              <w:fldChar w:fldCharType="separate"/>
            </w:r>
            <w:r w:rsidR="00A72038">
              <w:rPr>
                <w:noProof/>
                <w:webHidden/>
              </w:rPr>
              <w:t>12</w:t>
            </w:r>
            <w:r w:rsidR="00CD577B">
              <w:rPr>
                <w:noProof/>
                <w:webHidden/>
              </w:rPr>
              <w:fldChar w:fldCharType="end"/>
            </w:r>
          </w:hyperlink>
        </w:p>
        <w:p w14:paraId="130C707E" w14:textId="3D2967DE" w:rsidR="00CD577B" w:rsidRDefault="001A0A35">
          <w:pPr>
            <w:pStyle w:val="TOC1"/>
            <w:tabs>
              <w:tab w:val="right" w:leader="dot" w:pos="9211"/>
            </w:tabs>
            <w:rPr>
              <w:rFonts w:asciiTheme="minorHAnsi" w:eastAsiaTheme="minorEastAsia" w:hAnsiTheme="minorHAnsi" w:cstheme="minorBidi"/>
              <w:noProof/>
              <w:color w:val="auto"/>
            </w:rPr>
          </w:pPr>
          <w:hyperlink w:anchor="_Toc101202492" w:history="1">
            <w:r w:rsidR="00CD577B" w:rsidRPr="002F493D">
              <w:rPr>
                <w:rStyle w:val="Hyperlink"/>
                <w:noProof/>
              </w:rPr>
              <w:t>4.0  Recent Residential Development Activity</w:t>
            </w:r>
            <w:r w:rsidR="00CD577B">
              <w:rPr>
                <w:noProof/>
                <w:webHidden/>
              </w:rPr>
              <w:tab/>
            </w:r>
            <w:r w:rsidR="00CD577B">
              <w:rPr>
                <w:noProof/>
                <w:webHidden/>
              </w:rPr>
              <w:fldChar w:fldCharType="begin"/>
            </w:r>
            <w:r w:rsidR="00CD577B">
              <w:rPr>
                <w:noProof/>
                <w:webHidden/>
              </w:rPr>
              <w:instrText xml:space="preserve"> PAGEREF _Toc101202492 \h </w:instrText>
            </w:r>
            <w:r w:rsidR="00CD577B">
              <w:rPr>
                <w:noProof/>
                <w:webHidden/>
              </w:rPr>
            </w:r>
            <w:r w:rsidR="00CD577B">
              <w:rPr>
                <w:noProof/>
                <w:webHidden/>
              </w:rPr>
              <w:fldChar w:fldCharType="separate"/>
            </w:r>
            <w:r w:rsidR="00A72038">
              <w:rPr>
                <w:noProof/>
                <w:webHidden/>
              </w:rPr>
              <w:t>17</w:t>
            </w:r>
            <w:r w:rsidR="00CD577B">
              <w:rPr>
                <w:noProof/>
                <w:webHidden/>
              </w:rPr>
              <w:fldChar w:fldCharType="end"/>
            </w:r>
          </w:hyperlink>
        </w:p>
        <w:p w14:paraId="5F445223" w14:textId="408B6CFB" w:rsidR="00CD577B" w:rsidRDefault="001A0A35">
          <w:pPr>
            <w:pStyle w:val="TOC1"/>
            <w:tabs>
              <w:tab w:val="right" w:leader="dot" w:pos="9211"/>
            </w:tabs>
            <w:rPr>
              <w:rFonts w:asciiTheme="minorHAnsi" w:eastAsiaTheme="minorEastAsia" w:hAnsiTheme="minorHAnsi" w:cstheme="minorBidi"/>
              <w:noProof/>
              <w:color w:val="auto"/>
            </w:rPr>
          </w:pPr>
          <w:hyperlink w:anchor="_Toc101202493" w:history="1">
            <w:r w:rsidR="00CD577B" w:rsidRPr="002F493D">
              <w:rPr>
                <w:rStyle w:val="Hyperlink"/>
                <w:noProof/>
              </w:rPr>
              <w:t>4.1.  Residential Building Approvals</w:t>
            </w:r>
            <w:r w:rsidR="00CD577B">
              <w:rPr>
                <w:noProof/>
                <w:webHidden/>
              </w:rPr>
              <w:tab/>
            </w:r>
            <w:r w:rsidR="00CD577B">
              <w:rPr>
                <w:noProof/>
                <w:webHidden/>
              </w:rPr>
              <w:fldChar w:fldCharType="begin"/>
            </w:r>
            <w:r w:rsidR="00CD577B">
              <w:rPr>
                <w:noProof/>
                <w:webHidden/>
              </w:rPr>
              <w:instrText xml:space="preserve"> PAGEREF _Toc101202493 \h </w:instrText>
            </w:r>
            <w:r w:rsidR="00CD577B">
              <w:rPr>
                <w:noProof/>
                <w:webHidden/>
              </w:rPr>
            </w:r>
            <w:r w:rsidR="00CD577B">
              <w:rPr>
                <w:noProof/>
                <w:webHidden/>
              </w:rPr>
              <w:fldChar w:fldCharType="separate"/>
            </w:r>
            <w:r w:rsidR="00A72038">
              <w:rPr>
                <w:noProof/>
                <w:webHidden/>
              </w:rPr>
              <w:t>17</w:t>
            </w:r>
            <w:r w:rsidR="00CD577B">
              <w:rPr>
                <w:noProof/>
                <w:webHidden/>
              </w:rPr>
              <w:fldChar w:fldCharType="end"/>
            </w:r>
          </w:hyperlink>
        </w:p>
        <w:p w14:paraId="5B0FE3AD" w14:textId="2C2F289C" w:rsidR="00CD577B" w:rsidRDefault="001A0A35">
          <w:pPr>
            <w:pStyle w:val="TOC1"/>
            <w:tabs>
              <w:tab w:val="right" w:leader="dot" w:pos="9211"/>
            </w:tabs>
            <w:rPr>
              <w:rFonts w:asciiTheme="minorHAnsi" w:eastAsiaTheme="minorEastAsia" w:hAnsiTheme="minorHAnsi" w:cstheme="minorBidi"/>
              <w:noProof/>
              <w:color w:val="auto"/>
            </w:rPr>
          </w:pPr>
          <w:hyperlink w:anchor="_Toc101202494" w:history="1">
            <w:r w:rsidR="00CD577B" w:rsidRPr="002F493D">
              <w:rPr>
                <w:rStyle w:val="Hyperlink"/>
                <w:noProof/>
              </w:rPr>
              <w:t>4.1.1  Residential Building Approvals  - Geelong</w:t>
            </w:r>
            <w:r w:rsidR="00CD577B">
              <w:rPr>
                <w:noProof/>
                <w:webHidden/>
              </w:rPr>
              <w:tab/>
            </w:r>
            <w:r w:rsidR="00CD577B">
              <w:rPr>
                <w:noProof/>
                <w:webHidden/>
              </w:rPr>
              <w:fldChar w:fldCharType="begin"/>
            </w:r>
            <w:r w:rsidR="00CD577B">
              <w:rPr>
                <w:noProof/>
                <w:webHidden/>
              </w:rPr>
              <w:instrText xml:space="preserve"> PAGEREF _Toc101202494 \h </w:instrText>
            </w:r>
            <w:r w:rsidR="00CD577B">
              <w:rPr>
                <w:noProof/>
                <w:webHidden/>
              </w:rPr>
            </w:r>
            <w:r w:rsidR="00CD577B">
              <w:rPr>
                <w:noProof/>
                <w:webHidden/>
              </w:rPr>
              <w:fldChar w:fldCharType="separate"/>
            </w:r>
            <w:r w:rsidR="00A72038">
              <w:rPr>
                <w:noProof/>
                <w:webHidden/>
              </w:rPr>
              <w:t>18</w:t>
            </w:r>
            <w:r w:rsidR="00CD577B">
              <w:rPr>
                <w:noProof/>
                <w:webHidden/>
              </w:rPr>
              <w:fldChar w:fldCharType="end"/>
            </w:r>
          </w:hyperlink>
        </w:p>
        <w:p w14:paraId="0B9E5152" w14:textId="2EA54D98" w:rsidR="00CD577B" w:rsidRDefault="001A0A35">
          <w:pPr>
            <w:pStyle w:val="TOC1"/>
            <w:tabs>
              <w:tab w:val="right" w:leader="dot" w:pos="9211"/>
            </w:tabs>
            <w:rPr>
              <w:rFonts w:asciiTheme="minorHAnsi" w:eastAsiaTheme="minorEastAsia" w:hAnsiTheme="minorHAnsi" w:cstheme="minorBidi"/>
              <w:noProof/>
              <w:color w:val="auto"/>
            </w:rPr>
          </w:pPr>
          <w:hyperlink w:anchor="_Toc101202495" w:history="1">
            <w:r w:rsidR="00CD577B" w:rsidRPr="002F493D">
              <w:rPr>
                <w:rStyle w:val="Hyperlink"/>
                <w:noProof/>
              </w:rPr>
              <w:t>4.2  Residential Broadhectare Lot Construction</w:t>
            </w:r>
            <w:r w:rsidR="00CD577B">
              <w:rPr>
                <w:noProof/>
                <w:webHidden/>
              </w:rPr>
              <w:tab/>
            </w:r>
            <w:r w:rsidR="00CD577B">
              <w:rPr>
                <w:noProof/>
                <w:webHidden/>
              </w:rPr>
              <w:fldChar w:fldCharType="begin"/>
            </w:r>
            <w:r w:rsidR="00CD577B">
              <w:rPr>
                <w:noProof/>
                <w:webHidden/>
              </w:rPr>
              <w:instrText xml:space="preserve"> PAGEREF _Toc101202495 \h </w:instrText>
            </w:r>
            <w:r w:rsidR="00CD577B">
              <w:rPr>
                <w:noProof/>
                <w:webHidden/>
              </w:rPr>
            </w:r>
            <w:r w:rsidR="00CD577B">
              <w:rPr>
                <w:noProof/>
                <w:webHidden/>
              </w:rPr>
              <w:fldChar w:fldCharType="separate"/>
            </w:r>
            <w:r w:rsidR="00A72038">
              <w:rPr>
                <w:noProof/>
                <w:webHidden/>
              </w:rPr>
              <w:t>18</w:t>
            </w:r>
            <w:r w:rsidR="00CD577B">
              <w:rPr>
                <w:noProof/>
                <w:webHidden/>
              </w:rPr>
              <w:fldChar w:fldCharType="end"/>
            </w:r>
          </w:hyperlink>
        </w:p>
        <w:p w14:paraId="53A278BA" w14:textId="5CA30D77" w:rsidR="00CD577B" w:rsidRPr="00CD577B" w:rsidRDefault="001A0A35">
          <w:pPr>
            <w:pStyle w:val="TOC2"/>
            <w:tabs>
              <w:tab w:val="right" w:leader="dot" w:pos="9211"/>
            </w:tabs>
            <w:rPr>
              <w:rFonts w:eastAsiaTheme="minorEastAsia" w:cstheme="minorBidi"/>
              <w:noProof/>
              <w:color w:val="auto"/>
            </w:rPr>
          </w:pPr>
          <w:hyperlink w:anchor="_Toc101202496" w:history="1">
            <w:r w:rsidR="00CD577B" w:rsidRPr="00CD577B">
              <w:rPr>
                <w:rStyle w:val="Hyperlink"/>
                <w:rFonts w:eastAsia="Cambria" w:cs="Cambria"/>
                <w:noProof/>
              </w:rPr>
              <w:t>4.2.1  Broadhectare Lot Construction – Diversity</w:t>
            </w:r>
            <w:r w:rsidR="00CD577B" w:rsidRPr="00CD577B">
              <w:rPr>
                <w:noProof/>
                <w:webHidden/>
              </w:rPr>
              <w:tab/>
            </w:r>
            <w:r w:rsidR="00CD577B" w:rsidRPr="00CD577B">
              <w:rPr>
                <w:noProof/>
                <w:webHidden/>
              </w:rPr>
              <w:fldChar w:fldCharType="begin"/>
            </w:r>
            <w:r w:rsidR="00CD577B" w:rsidRPr="00CD577B">
              <w:rPr>
                <w:noProof/>
                <w:webHidden/>
              </w:rPr>
              <w:instrText xml:space="preserve"> PAGEREF _Toc101202496 \h </w:instrText>
            </w:r>
            <w:r w:rsidR="00CD577B" w:rsidRPr="00CD577B">
              <w:rPr>
                <w:noProof/>
                <w:webHidden/>
              </w:rPr>
            </w:r>
            <w:r w:rsidR="00CD577B" w:rsidRPr="00CD577B">
              <w:rPr>
                <w:noProof/>
                <w:webHidden/>
              </w:rPr>
              <w:fldChar w:fldCharType="separate"/>
            </w:r>
            <w:r w:rsidR="00A72038">
              <w:rPr>
                <w:noProof/>
                <w:webHidden/>
              </w:rPr>
              <w:t>20</w:t>
            </w:r>
            <w:r w:rsidR="00CD577B" w:rsidRPr="00CD577B">
              <w:rPr>
                <w:noProof/>
                <w:webHidden/>
              </w:rPr>
              <w:fldChar w:fldCharType="end"/>
            </w:r>
          </w:hyperlink>
        </w:p>
        <w:p w14:paraId="1AFE4B6B" w14:textId="5625E5AC" w:rsidR="00CD577B" w:rsidRDefault="001A0A35">
          <w:pPr>
            <w:pStyle w:val="TOC1"/>
            <w:tabs>
              <w:tab w:val="right" w:leader="dot" w:pos="9211"/>
            </w:tabs>
            <w:rPr>
              <w:rFonts w:asciiTheme="minorHAnsi" w:eastAsiaTheme="minorEastAsia" w:hAnsiTheme="minorHAnsi" w:cstheme="minorBidi"/>
              <w:noProof/>
              <w:color w:val="auto"/>
            </w:rPr>
          </w:pPr>
          <w:hyperlink w:anchor="_Toc101202497" w:history="1">
            <w:r w:rsidR="00CD577B" w:rsidRPr="002F493D">
              <w:rPr>
                <w:rStyle w:val="Hyperlink"/>
                <w:noProof/>
              </w:rPr>
              <w:t>4.3  Vacant Residential Lot Sales Pricing</w:t>
            </w:r>
            <w:r w:rsidR="00CD577B">
              <w:rPr>
                <w:noProof/>
                <w:webHidden/>
              </w:rPr>
              <w:tab/>
            </w:r>
            <w:r w:rsidR="00CD577B">
              <w:rPr>
                <w:noProof/>
                <w:webHidden/>
              </w:rPr>
              <w:fldChar w:fldCharType="begin"/>
            </w:r>
            <w:r w:rsidR="00CD577B">
              <w:rPr>
                <w:noProof/>
                <w:webHidden/>
              </w:rPr>
              <w:instrText xml:space="preserve"> PAGEREF _Toc101202497 \h </w:instrText>
            </w:r>
            <w:r w:rsidR="00CD577B">
              <w:rPr>
                <w:noProof/>
                <w:webHidden/>
              </w:rPr>
            </w:r>
            <w:r w:rsidR="00CD577B">
              <w:rPr>
                <w:noProof/>
                <w:webHidden/>
              </w:rPr>
              <w:fldChar w:fldCharType="separate"/>
            </w:r>
            <w:r w:rsidR="00A72038">
              <w:rPr>
                <w:noProof/>
                <w:webHidden/>
              </w:rPr>
              <w:t>22</w:t>
            </w:r>
            <w:r w:rsidR="00CD577B">
              <w:rPr>
                <w:noProof/>
                <w:webHidden/>
              </w:rPr>
              <w:fldChar w:fldCharType="end"/>
            </w:r>
          </w:hyperlink>
        </w:p>
        <w:p w14:paraId="28A0052A" w14:textId="2C90B061" w:rsidR="00CD577B" w:rsidRDefault="001A0A35">
          <w:pPr>
            <w:pStyle w:val="TOC1"/>
            <w:tabs>
              <w:tab w:val="right" w:leader="dot" w:pos="9211"/>
            </w:tabs>
            <w:rPr>
              <w:rFonts w:asciiTheme="minorHAnsi" w:eastAsiaTheme="minorEastAsia" w:hAnsiTheme="minorHAnsi" w:cstheme="minorBidi"/>
              <w:noProof/>
              <w:color w:val="auto"/>
            </w:rPr>
          </w:pPr>
          <w:hyperlink w:anchor="_Toc101202498" w:history="1">
            <w:r w:rsidR="00CD577B" w:rsidRPr="002F493D">
              <w:rPr>
                <w:rStyle w:val="Hyperlink"/>
                <w:noProof/>
              </w:rPr>
              <w:t>5.0  Residential Land Supply</w:t>
            </w:r>
            <w:r w:rsidR="00CD577B">
              <w:rPr>
                <w:noProof/>
                <w:webHidden/>
              </w:rPr>
              <w:tab/>
            </w:r>
            <w:r w:rsidR="00CD577B">
              <w:rPr>
                <w:noProof/>
                <w:webHidden/>
              </w:rPr>
              <w:fldChar w:fldCharType="begin"/>
            </w:r>
            <w:r w:rsidR="00CD577B">
              <w:rPr>
                <w:noProof/>
                <w:webHidden/>
              </w:rPr>
              <w:instrText xml:space="preserve"> PAGEREF _Toc101202498 \h </w:instrText>
            </w:r>
            <w:r w:rsidR="00CD577B">
              <w:rPr>
                <w:noProof/>
                <w:webHidden/>
              </w:rPr>
            </w:r>
            <w:r w:rsidR="00CD577B">
              <w:rPr>
                <w:noProof/>
                <w:webHidden/>
              </w:rPr>
              <w:fldChar w:fldCharType="separate"/>
            </w:r>
            <w:r w:rsidR="00A72038">
              <w:rPr>
                <w:noProof/>
                <w:webHidden/>
              </w:rPr>
              <w:t>24</w:t>
            </w:r>
            <w:r w:rsidR="00CD577B">
              <w:rPr>
                <w:noProof/>
                <w:webHidden/>
              </w:rPr>
              <w:fldChar w:fldCharType="end"/>
            </w:r>
          </w:hyperlink>
        </w:p>
        <w:p w14:paraId="1DF2E611" w14:textId="201767CA" w:rsidR="00CD577B" w:rsidRDefault="001A0A35">
          <w:pPr>
            <w:pStyle w:val="TOC1"/>
            <w:tabs>
              <w:tab w:val="right" w:leader="dot" w:pos="9211"/>
            </w:tabs>
            <w:rPr>
              <w:rFonts w:asciiTheme="minorHAnsi" w:eastAsiaTheme="minorEastAsia" w:hAnsiTheme="minorHAnsi" w:cstheme="minorBidi"/>
              <w:noProof/>
              <w:color w:val="auto"/>
            </w:rPr>
          </w:pPr>
          <w:hyperlink w:anchor="_Toc101202499" w:history="1">
            <w:r w:rsidR="00CD577B" w:rsidRPr="002F493D">
              <w:rPr>
                <w:rStyle w:val="Hyperlink"/>
                <w:noProof/>
              </w:rPr>
              <w:t>5.1  Undeveloped Broadhectare Land Stocks</w:t>
            </w:r>
            <w:r w:rsidR="00CD577B">
              <w:rPr>
                <w:noProof/>
                <w:webHidden/>
              </w:rPr>
              <w:tab/>
            </w:r>
            <w:r w:rsidR="00CD577B">
              <w:rPr>
                <w:noProof/>
                <w:webHidden/>
              </w:rPr>
              <w:fldChar w:fldCharType="begin"/>
            </w:r>
            <w:r w:rsidR="00CD577B">
              <w:rPr>
                <w:noProof/>
                <w:webHidden/>
              </w:rPr>
              <w:instrText xml:space="preserve"> PAGEREF _Toc101202499 \h </w:instrText>
            </w:r>
            <w:r w:rsidR="00CD577B">
              <w:rPr>
                <w:noProof/>
                <w:webHidden/>
              </w:rPr>
            </w:r>
            <w:r w:rsidR="00CD577B">
              <w:rPr>
                <w:noProof/>
                <w:webHidden/>
              </w:rPr>
              <w:fldChar w:fldCharType="separate"/>
            </w:r>
            <w:r w:rsidR="00A72038">
              <w:rPr>
                <w:noProof/>
                <w:webHidden/>
              </w:rPr>
              <w:t>24</w:t>
            </w:r>
            <w:r w:rsidR="00CD577B">
              <w:rPr>
                <w:noProof/>
                <w:webHidden/>
              </w:rPr>
              <w:fldChar w:fldCharType="end"/>
            </w:r>
          </w:hyperlink>
        </w:p>
        <w:p w14:paraId="0A70CA6F" w14:textId="313D8FF8" w:rsidR="00CD577B" w:rsidRDefault="001A0A35">
          <w:pPr>
            <w:pStyle w:val="TOC1"/>
            <w:tabs>
              <w:tab w:val="right" w:leader="dot" w:pos="9211"/>
            </w:tabs>
            <w:rPr>
              <w:rFonts w:asciiTheme="minorHAnsi" w:eastAsiaTheme="minorEastAsia" w:hAnsiTheme="minorHAnsi" w:cstheme="minorBidi"/>
              <w:noProof/>
              <w:color w:val="auto"/>
            </w:rPr>
          </w:pPr>
          <w:hyperlink w:anchor="_Toc101202500" w:history="1">
            <w:r w:rsidR="00CD577B" w:rsidRPr="002F493D">
              <w:rPr>
                <w:rStyle w:val="Hyperlink"/>
                <w:noProof/>
              </w:rPr>
              <w:t>6.0  Adequacy of Land Stocks</w:t>
            </w:r>
            <w:r w:rsidR="00CD577B">
              <w:rPr>
                <w:noProof/>
                <w:webHidden/>
              </w:rPr>
              <w:tab/>
            </w:r>
            <w:r w:rsidR="00CD577B">
              <w:rPr>
                <w:noProof/>
                <w:webHidden/>
              </w:rPr>
              <w:fldChar w:fldCharType="begin"/>
            </w:r>
            <w:r w:rsidR="00CD577B">
              <w:rPr>
                <w:noProof/>
                <w:webHidden/>
              </w:rPr>
              <w:instrText xml:space="preserve"> PAGEREF _Toc101202500 \h </w:instrText>
            </w:r>
            <w:r w:rsidR="00CD577B">
              <w:rPr>
                <w:noProof/>
                <w:webHidden/>
              </w:rPr>
            </w:r>
            <w:r w:rsidR="00CD577B">
              <w:rPr>
                <w:noProof/>
                <w:webHidden/>
              </w:rPr>
              <w:fldChar w:fldCharType="separate"/>
            </w:r>
            <w:r w:rsidR="00A72038">
              <w:rPr>
                <w:noProof/>
                <w:webHidden/>
              </w:rPr>
              <w:t>40</w:t>
            </w:r>
            <w:r w:rsidR="00CD577B">
              <w:rPr>
                <w:noProof/>
                <w:webHidden/>
              </w:rPr>
              <w:fldChar w:fldCharType="end"/>
            </w:r>
          </w:hyperlink>
        </w:p>
        <w:p w14:paraId="2412B6E7" w14:textId="3365DB23" w:rsidR="00CD577B" w:rsidRDefault="001A0A35">
          <w:pPr>
            <w:pStyle w:val="TOC1"/>
            <w:tabs>
              <w:tab w:val="left" w:pos="880"/>
              <w:tab w:val="right" w:leader="dot" w:pos="9211"/>
            </w:tabs>
            <w:rPr>
              <w:rFonts w:asciiTheme="minorHAnsi" w:eastAsiaTheme="minorEastAsia" w:hAnsiTheme="minorHAnsi" w:cstheme="minorBidi"/>
              <w:noProof/>
              <w:color w:val="auto"/>
            </w:rPr>
          </w:pPr>
          <w:hyperlink w:anchor="_Toc101202501" w:history="1">
            <w:r w:rsidR="00CD577B" w:rsidRPr="002F493D">
              <w:rPr>
                <w:rStyle w:val="Hyperlink"/>
                <w:noProof/>
              </w:rPr>
              <w:t xml:space="preserve">6.1 </w:t>
            </w:r>
            <w:r w:rsidR="008C1CA7">
              <w:rPr>
                <w:rFonts w:asciiTheme="minorHAnsi" w:eastAsiaTheme="minorEastAsia" w:hAnsiTheme="minorHAnsi" w:cstheme="minorBidi"/>
                <w:color w:val="auto"/>
              </w:rPr>
              <w:t xml:space="preserve"> </w:t>
            </w:r>
            <w:r w:rsidR="00CD577B" w:rsidRPr="002F493D">
              <w:rPr>
                <w:rStyle w:val="Hyperlink"/>
                <w:noProof/>
              </w:rPr>
              <w:t>Years of Supply – City of Greater Geelong</w:t>
            </w:r>
            <w:r w:rsidR="00CD577B">
              <w:rPr>
                <w:noProof/>
                <w:webHidden/>
              </w:rPr>
              <w:tab/>
            </w:r>
            <w:r w:rsidR="00CD577B">
              <w:rPr>
                <w:noProof/>
                <w:webHidden/>
              </w:rPr>
              <w:fldChar w:fldCharType="begin"/>
            </w:r>
            <w:r w:rsidR="00CD577B">
              <w:rPr>
                <w:noProof/>
                <w:webHidden/>
              </w:rPr>
              <w:instrText xml:space="preserve"> PAGEREF _Toc101202501 \h </w:instrText>
            </w:r>
            <w:r w:rsidR="00CD577B">
              <w:rPr>
                <w:noProof/>
                <w:webHidden/>
              </w:rPr>
            </w:r>
            <w:r w:rsidR="00CD577B">
              <w:rPr>
                <w:noProof/>
                <w:webHidden/>
              </w:rPr>
              <w:fldChar w:fldCharType="separate"/>
            </w:r>
            <w:r w:rsidR="00A72038">
              <w:rPr>
                <w:noProof/>
                <w:webHidden/>
              </w:rPr>
              <w:t>40</w:t>
            </w:r>
            <w:r w:rsidR="00CD577B">
              <w:rPr>
                <w:noProof/>
                <w:webHidden/>
              </w:rPr>
              <w:fldChar w:fldCharType="end"/>
            </w:r>
          </w:hyperlink>
        </w:p>
        <w:p w14:paraId="0BBA6C5F" w14:textId="7CFF86B1" w:rsidR="002763B5" w:rsidRDefault="00D55782">
          <w:r w:rsidRPr="00403D33">
            <w:rPr>
              <w:rFonts w:ascii="Corbel" w:hAnsi="Corbel"/>
              <w:sz w:val="22"/>
              <w:szCs w:val="22"/>
            </w:rPr>
            <w:fldChar w:fldCharType="end"/>
          </w:r>
        </w:p>
      </w:sdtContent>
    </w:sdt>
    <w:p w14:paraId="09DC2433" w14:textId="77777777" w:rsidR="002763B5" w:rsidRPr="005C42A6" w:rsidRDefault="00521232" w:rsidP="005C42A6">
      <w:pPr>
        <w:rPr>
          <w:rFonts w:ascii="Corbel" w:hAnsi="Corbel"/>
          <w:sz w:val="22"/>
          <w:szCs w:val="22"/>
        </w:rPr>
      </w:pPr>
      <w:r>
        <w:rPr>
          <w:rFonts w:ascii="Arial" w:eastAsia="Arial" w:hAnsi="Arial" w:cs="Arial"/>
          <w:b/>
        </w:rPr>
        <w:br w:type="page"/>
      </w:r>
      <w:r w:rsidR="00D55782" w:rsidRPr="00197F12">
        <w:rPr>
          <w:rFonts w:ascii="Corbel" w:eastAsia="Arial" w:hAnsi="Corbel" w:cs="Arial"/>
          <w:b/>
          <w:sz w:val="22"/>
          <w:szCs w:val="22"/>
        </w:rPr>
        <w:lastRenderedPageBreak/>
        <w:t>LIST OF GRAPHS</w:t>
      </w:r>
      <w:r w:rsidR="00D55782" w:rsidRPr="005C42A6">
        <w:rPr>
          <w:rFonts w:ascii="Corbel" w:eastAsia="Arial" w:hAnsi="Corbel" w:cs="Arial"/>
          <w:b/>
          <w:sz w:val="22"/>
          <w:szCs w:val="22"/>
        </w:rPr>
        <w:t xml:space="preserve"> </w:t>
      </w:r>
    </w:p>
    <w:p w14:paraId="58064B8D" w14:textId="77777777" w:rsidR="00197F12" w:rsidRPr="00F23DD8" w:rsidRDefault="00197F12" w:rsidP="00197F12">
      <w:pPr>
        <w:keepNext/>
        <w:spacing w:after="60"/>
        <w:ind w:left="-17" w:right="164"/>
        <w:rPr>
          <w:rFonts w:ascii="Corbel" w:hAnsi="Corbel"/>
          <w:sz w:val="22"/>
          <w:szCs w:val="22"/>
        </w:rPr>
      </w:pPr>
      <w:r w:rsidRPr="00F23DD8">
        <w:rPr>
          <w:rFonts w:ascii="Corbel" w:hAnsi="Corbel"/>
          <w:sz w:val="22"/>
          <w:szCs w:val="22"/>
        </w:rPr>
        <w:t>Graph 1: Percentage Change in Residential Building Approval Activity by Regional Municipal Areas, 2019/20 to 2020/21</w:t>
      </w:r>
    </w:p>
    <w:p w14:paraId="048D4C59" w14:textId="77777777" w:rsidR="00197F12" w:rsidRPr="00F23DD8" w:rsidRDefault="00197F12" w:rsidP="00197F12">
      <w:pPr>
        <w:spacing w:after="60"/>
        <w:rPr>
          <w:rFonts w:ascii="Corbel" w:hAnsi="Corbel"/>
          <w:sz w:val="22"/>
          <w:szCs w:val="22"/>
        </w:rPr>
      </w:pPr>
      <w:r w:rsidRPr="00F23DD8">
        <w:rPr>
          <w:rFonts w:ascii="Corbel" w:hAnsi="Corbel"/>
          <w:sz w:val="22"/>
          <w:szCs w:val="22"/>
        </w:rPr>
        <w:t>Graph 2: Residential Building Approvals by Type – City of Greater Gelong, 2001 to 2021</w:t>
      </w:r>
    </w:p>
    <w:p w14:paraId="3BB6A9EE" w14:textId="77777777" w:rsidR="00197F12" w:rsidRPr="00F23DD8" w:rsidRDefault="00197F12" w:rsidP="00197F12">
      <w:pPr>
        <w:keepNext/>
        <w:spacing w:after="60"/>
        <w:ind w:left="-6" w:right="164"/>
        <w:rPr>
          <w:rFonts w:ascii="Corbel" w:hAnsi="Corbel"/>
          <w:sz w:val="22"/>
          <w:szCs w:val="22"/>
        </w:rPr>
      </w:pPr>
      <w:r w:rsidRPr="00F23DD8">
        <w:rPr>
          <w:rFonts w:ascii="Corbel" w:hAnsi="Corbel"/>
          <w:sz w:val="22"/>
          <w:szCs w:val="22"/>
        </w:rPr>
        <w:t>Graph 3: Share of Residential Broadhectare Lot Construction Activity by Location</w:t>
      </w:r>
    </w:p>
    <w:p w14:paraId="69A1E0C2" w14:textId="77777777" w:rsidR="00197F12" w:rsidRPr="00F23DD8" w:rsidRDefault="00197F12" w:rsidP="00197F12">
      <w:pPr>
        <w:keepNext/>
        <w:spacing w:after="60"/>
        <w:ind w:left="-17" w:right="164"/>
        <w:rPr>
          <w:rFonts w:ascii="Corbel" w:hAnsi="Corbel"/>
          <w:sz w:val="22"/>
          <w:szCs w:val="22"/>
        </w:rPr>
      </w:pPr>
      <w:r w:rsidRPr="00F23DD8">
        <w:rPr>
          <w:rFonts w:ascii="Corbel" w:hAnsi="Corbel"/>
          <w:sz w:val="22"/>
          <w:szCs w:val="22"/>
        </w:rPr>
        <w:t xml:space="preserve">Graph 4: Broadhectare Lot Construction Size Distribution – Geelong  </w:t>
      </w:r>
    </w:p>
    <w:p w14:paraId="02384F64" w14:textId="77777777" w:rsidR="00197F12" w:rsidRPr="00F23DD8" w:rsidRDefault="00197F12" w:rsidP="00197F12">
      <w:pPr>
        <w:keepNext/>
        <w:spacing w:after="60"/>
        <w:ind w:left="-6" w:right="164" w:hanging="11"/>
        <w:rPr>
          <w:rFonts w:ascii="Corbel" w:hAnsi="Corbel"/>
          <w:sz w:val="22"/>
          <w:szCs w:val="22"/>
        </w:rPr>
      </w:pPr>
      <w:r w:rsidRPr="00F23DD8">
        <w:rPr>
          <w:rFonts w:ascii="Corbel" w:hAnsi="Corbel"/>
          <w:sz w:val="22"/>
          <w:szCs w:val="22"/>
        </w:rPr>
        <w:t xml:space="preserve">Graph 5: Median Lot Size (sqm) – Broadhectare Lot Construction, Geelong </w:t>
      </w:r>
    </w:p>
    <w:p w14:paraId="454A6BCC" w14:textId="77777777" w:rsidR="00197F12" w:rsidRPr="00F23DD8" w:rsidRDefault="00197F12" w:rsidP="00197F12">
      <w:pPr>
        <w:spacing w:after="240"/>
        <w:ind w:left="-17" w:right="164"/>
        <w:rPr>
          <w:rFonts w:ascii="Corbel" w:hAnsi="Corbel"/>
          <w:sz w:val="22"/>
          <w:szCs w:val="22"/>
        </w:rPr>
      </w:pPr>
      <w:r w:rsidRPr="00F23DD8">
        <w:rPr>
          <w:rFonts w:ascii="Corbel" w:hAnsi="Corbel"/>
          <w:sz w:val="22"/>
          <w:szCs w:val="22"/>
        </w:rPr>
        <w:t>Graph 6: Greater Geelong Residential Land Sales (monthly)</w:t>
      </w:r>
    </w:p>
    <w:p w14:paraId="43DA13A4" w14:textId="7D2ED91A" w:rsidR="002763B5" w:rsidRPr="005C42A6" w:rsidRDefault="00D55782" w:rsidP="005C42A6">
      <w:pPr>
        <w:ind w:left="-11"/>
        <w:rPr>
          <w:rFonts w:ascii="Corbel" w:hAnsi="Corbel"/>
          <w:b/>
          <w:sz w:val="22"/>
          <w:szCs w:val="22"/>
        </w:rPr>
      </w:pPr>
      <w:r w:rsidRPr="005C42A6">
        <w:rPr>
          <w:rFonts w:ascii="Corbel" w:eastAsia="Arial" w:hAnsi="Corbel" w:cs="Arial"/>
          <w:b/>
          <w:sz w:val="22"/>
          <w:szCs w:val="22"/>
        </w:rPr>
        <w:t xml:space="preserve">LIST OF TABLES </w:t>
      </w:r>
    </w:p>
    <w:p w14:paraId="4BD3388E" w14:textId="77777777" w:rsidR="00197F12" w:rsidRPr="00F23DD8" w:rsidRDefault="00197F12" w:rsidP="00197F12">
      <w:pPr>
        <w:spacing w:after="60"/>
        <w:rPr>
          <w:rFonts w:ascii="Corbel" w:hAnsi="Corbel"/>
          <w:sz w:val="22"/>
          <w:szCs w:val="22"/>
        </w:rPr>
      </w:pPr>
      <w:r w:rsidRPr="00F23DD8">
        <w:rPr>
          <w:rFonts w:ascii="Corbel" w:hAnsi="Corbel"/>
          <w:sz w:val="22"/>
          <w:szCs w:val="22"/>
        </w:rPr>
        <w:t>Table 1: Estimated Resident Population, City of Greater Geelong</w:t>
      </w:r>
    </w:p>
    <w:p w14:paraId="012D6B58" w14:textId="77777777" w:rsidR="00197F12" w:rsidRPr="00F23DD8" w:rsidRDefault="00197F12" w:rsidP="00197F12">
      <w:pPr>
        <w:spacing w:after="60"/>
        <w:ind w:right="164"/>
        <w:rPr>
          <w:rFonts w:ascii="Corbel" w:hAnsi="Corbel"/>
          <w:sz w:val="22"/>
          <w:szCs w:val="22"/>
        </w:rPr>
      </w:pPr>
      <w:r w:rsidRPr="00F23DD8">
        <w:rPr>
          <w:rFonts w:ascii="Corbel" w:hAnsi="Corbel"/>
          <w:sz w:val="22"/>
          <w:szCs w:val="22"/>
        </w:rPr>
        <w:t>Table 2: Broadhectare Lot/Dwelling Growth Scenario</w:t>
      </w:r>
    </w:p>
    <w:p w14:paraId="467BB495" w14:textId="77777777" w:rsidR="00197F12" w:rsidRPr="00F23DD8" w:rsidRDefault="00197F12" w:rsidP="00197F12">
      <w:pPr>
        <w:spacing w:after="60"/>
        <w:ind w:left="-6" w:right="164"/>
        <w:rPr>
          <w:rFonts w:ascii="Corbel" w:hAnsi="Corbel"/>
          <w:sz w:val="22"/>
          <w:szCs w:val="22"/>
        </w:rPr>
      </w:pPr>
      <w:r w:rsidRPr="00F23DD8">
        <w:rPr>
          <w:rFonts w:ascii="Corbel" w:hAnsi="Corbel"/>
          <w:sz w:val="22"/>
          <w:szCs w:val="22"/>
        </w:rPr>
        <w:t>Table 3:  Average Annual Broadhectare Lot Construction Activity, July 2017 to March 2022</w:t>
      </w:r>
    </w:p>
    <w:p w14:paraId="12CB9904" w14:textId="77777777" w:rsidR="00197F12" w:rsidRPr="00F23DD8" w:rsidRDefault="00197F12" w:rsidP="00197F12">
      <w:pPr>
        <w:spacing w:after="240"/>
        <w:ind w:left="-6" w:right="164"/>
        <w:rPr>
          <w:rFonts w:ascii="Corbel" w:hAnsi="Corbel"/>
          <w:sz w:val="22"/>
          <w:szCs w:val="22"/>
        </w:rPr>
      </w:pPr>
      <w:r w:rsidRPr="00F23DD8">
        <w:rPr>
          <w:rFonts w:ascii="Corbel" w:hAnsi="Corbel"/>
          <w:sz w:val="22"/>
          <w:szCs w:val="22"/>
        </w:rPr>
        <w:t>Table 4: Estimated Undeveloped Residential Broadhectare Lot Capacity, March 2022</w:t>
      </w:r>
    </w:p>
    <w:p w14:paraId="46F6F49E" w14:textId="77777777" w:rsidR="002763B5" w:rsidRPr="000237A2" w:rsidRDefault="00A61C92" w:rsidP="001B0864">
      <w:pPr>
        <w:spacing w:line="259" w:lineRule="auto"/>
        <w:ind w:left="-14"/>
        <w:rPr>
          <w:rFonts w:ascii="Corbel" w:hAnsi="Corbel"/>
          <w:sz w:val="22"/>
          <w:szCs w:val="22"/>
        </w:rPr>
      </w:pPr>
      <w:r w:rsidRPr="00CD577B">
        <w:rPr>
          <w:rFonts w:ascii="Corbel" w:eastAsia="Arial" w:hAnsi="Corbel" w:cs="Arial"/>
          <w:b/>
          <w:sz w:val="22"/>
          <w:szCs w:val="22"/>
        </w:rPr>
        <w:t>L</w:t>
      </w:r>
      <w:r w:rsidR="00D55782" w:rsidRPr="00CD577B">
        <w:rPr>
          <w:rFonts w:ascii="Corbel" w:eastAsia="Arial" w:hAnsi="Corbel" w:cs="Arial"/>
          <w:b/>
          <w:sz w:val="22"/>
          <w:szCs w:val="22"/>
        </w:rPr>
        <w:t>IST OF MAPS</w:t>
      </w:r>
      <w:r w:rsidR="00D55782" w:rsidRPr="000237A2">
        <w:rPr>
          <w:rFonts w:ascii="Corbel" w:eastAsia="Arial" w:hAnsi="Corbel" w:cs="Arial"/>
          <w:b/>
          <w:sz w:val="22"/>
          <w:szCs w:val="22"/>
        </w:rPr>
        <w:t xml:space="preserve"> </w:t>
      </w:r>
    </w:p>
    <w:p w14:paraId="2D06A2B3" w14:textId="77777777" w:rsidR="00CD577B" w:rsidRPr="00095430" w:rsidRDefault="00CD577B" w:rsidP="00CD577B">
      <w:pPr>
        <w:keepNext/>
        <w:spacing w:after="60"/>
        <w:rPr>
          <w:rFonts w:ascii="Corbel" w:hAnsi="Corbel"/>
          <w:sz w:val="22"/>
          <w:szCs w:val="22"/>
        </w:rPr>
      </w:pPr>
      <w:r w:rsidRPr="00095430">
        <w:rPr>
          <w:rFonts w:ascii="Corbel" w:hAnsi="Corbel"/>
          <w:sz w:val="22"/>
          <w:szCs w:val="22"/>
        </w:rPr>
        <w:t>Map 1: Geelong Region and Sub-Regions</w:t>
      </w:r>
    </w:p>
    <w:p w14:paraId="729C71CF" w14:textId="77777777" w:rsidR="00CD577B" w:rsidRPr="00095430" w:rsidRDefault="00CD577B" w:rsidP="00CD577B">
      <w:pPr>
        <w:keepNext/>
        <w:spacing w:after="60"/>
        <w:rPr>
          <w:rFonts w:ascii="Corbel" w:hAnsi="Corbel"/>
          <w:sz w:val="22"/>
          <w:szCs w:val="22"/>
        </w:rPr>
      </w:pPr>
      <w:r w:rsidRPr="00095430">
        <w:rPr>
          <w:rFonts w:ascii="Corbel" w:hAnsi="Corbel"/>
          <w:sz w:val="22"/>
          <w:szCs w:val="22"/>
        </w:rPr>
        <w:t>Map 2: Bellarine Peninsula and Sub-Regions/Townships</w:t>
      </w:r>
    </w:p>
    <w:p w14:paraId="76C708A8"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3: Residential Land Supply– Northern Growth Area (Lara)</w:t>
      </w:r>
    </w:p>
    <w:p w14:paraId="4CA41BFA"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4: Residential Land Supply– Northern Growth Area (Lovely Banks)</w:t>
      </w:r>
    </w:p>
    <w:p w14:paraId="4ED224E7"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5: Residential Land Supply– Geelong Urban (North)</w:t>
      </w:r>
    </w:p>
    <w:p w14:paraId="6EDE9F03"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6: Residential Land Supply– Western Growth Area</w:t>
      </w:r>
    </w:p>
    <w:p w14:paraId="6D8721E9"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7: Residential Land Supply– Geelong Urban (South)</w:t>
      </w:r>
    </w:p>
    <w:p w14:paraId="742CD02B"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8: Residential Land Supply– Armstrong Creek Growth Area</w:t>
      </w:r>
    </w:p>
    <w:p w14:paraId="763AEA71"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9: Residential Land Supply– Clifton Springs/Drysdale</w:t>
      </w:r>
    </w:p>
    <w:p w14:paraId="4D40F5C0"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10: Residential Land Supply– Indented Head</w:t>
      </w:r>
    </w:p>
    <w:p w14:paraId="5020949A"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11: Residential Land Supply– Ocean Grove</w:t>
      </w:r>
    </w:p>
    <w:p w14:paraId="0CF1A739"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12: Residential Land Supply– Point Lonsdale</w:t>
      </w:r>
    </w:p>
    <w:p w14:paraId="2DA8EFEE"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 xml:space="preserve">Map 13: Residential Land Supply– Portarlington </w:t>
      </w:r>
    </w:p>
    <w:p w14:paraId="4509361B" w14:textId="77777777" w:rsidR="00CD577B" w:rsidRPr="00095430" w:rsidRDefault="00CD577B" w:rsidP="00CD577B">
      <w:pPr>
        <w:spacing w:after="60" w:line="259" w:lineRule="auto"/>
        <w:rPr>
          <w:rFonts w:ascii="Corbel" w:hAnsi="Corbel"/>
          <w:sz w:val="22"/>
          <w:szCs w:val="22"/>
        </w:rPr>
      </w:pPr>
      <w:r w:rsidRPr="00095430">
        <w:rPr>
          <w:rFonts w:ascii="Corbel" w:hAnsi="Corbel"/>
          <w:sz w:val="22"/>
          <w:szCs w:val="22"/>
        </w:rPr>
        <w:t>Map 14: Residential Land Supply– St Leonards</w:t>
      </w:r>
    </w:p>
    <w:p w14:paraId="11BEA592" w14:textId="0D6D8FF0" w:rsidR="00521232" w:rsidRDefault="00CD577B" w:rsidP="00CD577B">
      <w:pPr>
        <w:spacing w:after="160" w:line="259" w:lineRule="auto"/>
        <w:rPr>
          <w:b/>
          <w:color w:val="7D9B16"/>
        </w:rPr>
      </w:pPr>
      <w:r w:rsidRPr="00095430">
        <w:rPr>
          <w:rFonts w:ascii="Corbel" w:hAnsi="Corbel"/>
          <w:sz w:val="22"/>
          <w:szCs w:val="22"/>
        </w:rPr>
        <w:t>Map 15: Residential Land Supply– Leopold</w:t>
      </w:r>
      <w:r w:rsidR="00521232">
        <w:br w:type="page"/>
      </w:r>
    </w:p>
    <w:p w14:paraId="59E2911E" w14:textId="77777777" w:rsidR="002763B5" w:rsidRPr="002C63DB" w:rsidRDefault="00D55782" w:rsidP="002B555B">
      <w:pPr>
        <w:pStyle w:val="Heading1"/>
      </w:pPr>
      <w:bookmarkStart w:id="1" w:name="_Toc101202485"/>
      <w:r w:rsidRPr="00777DA7">
        <w:lastRenderedPageBreak/>
        <w:t>EXECUTIVE SUMMARY</w:t>
      </w:r>
      <w:bookmarkEnd w:id="1"/>
      <w:r w:rsidRPr="002C63DB">
        <w:t xml:space="preserve"> </w:t>
      </w:r>
    </w:p>
    <w:p w14:paraId="617EE0C3" w14:textId="77777777" w:rsidR="009A7274" w:rsidRPr="00331DC0" w:rsidRDefault="009A7274" w:rsidP="009A7274">
      <w:pPr>
        <w:widowControl w:val="0"/>
        <w:spacing w:after="120"/>
        <w:ind w:left="-5" w:right="165"/>
        <w:rPr>
          <w:rFonts w:ascii="Corbel" w:hAnsi="Corbel"/>
          <w:sz w:val="22"/>
          <w:szCs w:val="22"/>
        </w:rPr>
      </w:pPr>
      <w:r w:rsidRPr="00331DC0">
        <w:rPr>
          <w:rFonts w:ascii="Corbel" w:hAnsi="Corbel"/>
          <w:sz w:val="22"/>
          <w:szCs w:val="22"/>
        </w:rPr>
        <w:t xml:space="preserve">The following report provides a detailed assessment of the historic, </w:t>
      </w:r>
      <w:proofErr w:type="gramStart"/>
      <w:r w:rsidRPr="00331DC0">
        <w:rPr>
          <w:rFonts w:ascii="Corbel" w:hAnsi="Corbel"/>
          <w:sz w:val="22"/>
          <w:szCs w:val="22"/>
        </w:rPr>
        <w:t>current</w:t>
      </w:r>
      <w:proofErr w:type="gramEnd"/>
      <w:r w:rsidRPr="00331DC0">
        <w:rPr>
          <w:rFonts w:ascii="Corbel" w:hAnsi="Corbel"/>
          <w:sz w:val="22"/>
          <w:szCs w:val="22"/>
        </w:rPr>
        <w:t xml:space="preserve"> and future assessment of </w:t>
      </w:r>
      <w:r>
        <w:rPr>
          <w:rFonts w:ascii="Corbel" w:hAnsi="Corbel"/>
          <w:sz w:val="22"/>
          <w:szCs w:val="22"/>
        </w:rPr>
        <w:t xml:space="preserve">broadhectare </w:t>
      </w:r>
      <w:r w:rsidRPr="00331DC0">
        <w:rPr>
          <w:rFonts w:ascii="Corbel" w:hAnsi="Corbel"/>
          <w:sz w:val="22"/>
          <w:szCs w:val="22"/>
        </w:rPr>
        <w:t xml:space="preserve">residential land supply and demand across the municipal area of </w:t>
      </w:r>
      <w:r>
        <w:rPr>
          <w:rFonts w:ascii="Corbel" w:hAnsi="Corbel"/>
          <w:sz w:val="22"/>
          <w:szCs w:val="22"/>
        </w:rPr>
        <w:t>Geelong</w:t>
      </w:r>
      <w:r w:rsidRPr="00331DC0">
        <w:rPr>
          <w:rFonts w:ascii="Corbel" w:hAnsi="Corbel"/>
          <w:sz w:val="22"/>
          <w:szCs w:val="22"/>
        </w:rPr>
        <w:t xml:space="preserve">.   </w:t>
      </w:r>
    </w:p>
    <w:p w14:paraId="5B81723A" w14:textId="77777777" w:rsidR="009A7274" w:rsidRPr="00331DC0" w:rsidRDefault="009A7274" w:rsidP="009A7274">
      <w:pPr>
        <w:widowControl w:val="0"/>
        <w:ind w:left="-6" w:right="4905"/>
        <w:rPr>
          <w:rFonts w:ascii="Corbel" w:hAnsi="Corbel"/>
          <w:sz w:val="22"/>
          <w:szCs w:val="22"/>
        </w:rPr>
      </w:pPr>
      <w:r w:rsidRPr="00331DC0">
        <w:rPr>
          <w:rFonts w:ascii="Corbel" w:hAnsi="Corbel"/>
          <w:b/>
          <w:sz w:val="22"/>
          <w:szCs w:val="22"/>
        </w:rPr>
        <w:t xml:space="preserve">Population Growth </w:t>
      </w:r>
    </w:p>
    <w:p w14:paraId="10080FA9" w14:textId="77777777" w:rsidR="009A7274" w:rsidRDefault="009A7274" w:rsidP="009A7274">
      <w:pPr>
        <w:widowControl w:val="0"/>
        <w:spacing w:after="120"/>
        <w:ind w:left="-5" w:right="165"/>
        <w:rPr>
          <w:rFonts w:ascii="Corbel" w:hAnsi="Corbel"/>
          <w:sz w:val="22"/>
          <w:szCs w:val="22"/>
        </w:rPr>
      </w:pPr>
      <w:r w:rsidRPr="00331DC0">
        <w:rPr>
          <w:rFonts w:ascii="Corbel" w:hAnsi="Corbel"/>
          <w:sz w:val="22"/>
          <w:szCs w:val="22"/>
        </w:rPr>
        <w:t xml:space="preserve">Population growth has increased on an average annual basis of </w:t>
      </w:r>
      <w:r>
        <w:rPr>
          <w:rFonts w:ascii="Corbel" w:hAnsi="Corbel"/>
          <w:sz w:val="22"/>
          <w:szCs w:val="22"/>
        </w:rPr>
        <w:t>2.4</w:t>
      </w:r>
      <w:r w:rsidRPr="00331DC0">
        <w:rPr>
          <w:rFonts w:ascii="Corbel" w:hAnsi="Corbel"/>
          <w:sz w:val="22"/>
          <w:szCs w:val="22"/>
        </w:rPr>
        <w:t xml:space="preserve">% or </w:t>
      </w:r>
      <w:r>
        <w:rPr>
          <w:rFonts w:ascii="Corbel" w:hAnsi="Corbel"/>
          <w:sz w:val="22"/>
          <w:szCs w:val="22"/>
        </w:rPr>
        <w:t>nearly 6,000</w:t>
      </w:r>
      <w:r w:rsidRPr="00331DC0">
        <w:rPr>
          <w:rFonts w:ascii="Corbel" w:hAnsi="Corbel"/>
          <w:sz w:val="22"/>
          <w:szCs w:val="22"/>
        </w:rPr>
        <w:t xml:space="preserve"> persons per annum from 2016 to 202</w:t>
      </w:r>
      <w:r>
        <w:rPr>
          <w:rFonts w:ascii="Corbel" w:hAnsi="Corbel"/>
          <w:sz w:val="22"/>
          <w:szCs w:val="22"/>
        </w:rPr>
        <w:t>1</w:t>
      </w:r>
      <w:r w:rsidRPr="00331DC0">
        <w:rPr>
          <w:rFonts w:ascii="Corbel" w:hAnsi="Corbel"/>
          <w:sz w:val="22"/>
          <w:szCs w:val="22"/>
        </w:rPr>
        <w:t xml:space="preserve">. The estimated population in </w:t>
      </w:r>
      <w:r>
        <w:rPr>
          <w:rFonts w:ascii="Corbel" w:hAnsi="Corbel"/>
          <w:sz w:val="22"/>
          <w:szCs w:val="22"/>
        </w:rPr>
        <w:t>Geelong</w:t>
      </w:r>
      <w:r w:rsidRPr="00331DC0">
        <w:rPr>
          <w:rFonts w:ascii="Corbel" w:hAnsi="Corbel"/>
          <w:sz w:val="22"/>
          <w:szCs w:val="22"/>
        </w:rPr>
        <w:t xml:space="preserve"> in 202</w:t>
      </w:r>
      <w:r>
        <w:rPr>
          <w:rFonts w:ascii="Corbel" w:hAnsi="Corbel"/>
          <w:sz w:val="22"/>
          <w:szCs w:val="22"/>
        </w:rPr>
        <w:t>1</w:t>
      </w:r>
      <w:r w:rsidRPr="00331DC0">
        <w:rPr>
          <w:rFonts w:ascii="Corbel" w:hAnsi="Corbel"/>
          <w:sz w:val="22"/>
          <w:szCs w:val="22"/>
        </w:rPr>
        <w:t xml:space="preserve"> was </w:t>
      </w:r>
      <w:r>
        <w:rPr>
          <w:rFonts w:ascii="Corbel" w:hAnsi="Corbel"/>
          <w:sz w:val="22"/>
          <w:szCs w:val="22"/>
        </w:rPr>
        <w:t>269,500</w:t>
      </w:r>
      <w:r w:rsidRPr="00331DC0">
        <w:rPr>
          <w:rFonts w:ascii="Corbel" w:hAnsi="Corbel"/>
          <w:sz w:val="22"/>
          <w:szCs w:val="22"/>
        </w:rPr>
        <w:t xml:space="preserve">. </w:t>
      </w:r>
    </w:p>
    <w:p w14:paraId="204D9226" w14:textId="77777777" w:rsidR="009A7274" w:rsidRDefault="009A7274" w:rsidP="009A7274">
      <w:pPr>
        <w:widowControl w:val="0"/>
        <w:spacing w:after="120"/>
        <w:ind w:left="-5" w:right="165"/>
        <w:rPr>
          <w:rFonts w:ascii="Corbel" w:hAnsi="Corbel"/>
          <w:sz w:val="22"/>
          <w:szCs w:val="22"/>
        </w:rPr>
      </w:pPr>
      <w:r>
        <w:rPr>
          <w:rFonts w:ascii="Corbel" w:hAnsi="Corbel"/>
          <w:sz w:val="22"/>
          <w:szCs w:val="22"/>
        </w:rPr>
        <w:t xml:space="preserve">In 2021, the resident population growth rate declined to 1.8%. </w:t>
      </w:r>
    </w:p>
    <w:p w14:paraId="5AEC87C8" w14:textId="77777777" w:rsidR="009A7274" w:rsidRDefault="009A7274" w:rsidP="009A7274">
      <w:pPr>
        <w:widowControl w:val="0"/>
        <w:spacing w:after="120"/>
        <w:ind w:left="-5" w:right="165"/>
        <w:rPr>
          <w:rFonts w:ascii="Corbel" w:hAnsi="Corbel"/>
          <w:sz w:val="22"/>
          <w:szCs w:val="22"/>
        </w:rPr>
      </w:pPr>
      <w:r>
        <w:rPr>
          <w:rFonts w:ascii="Corbel" w:hAnsi="Corbel"/>
          <w:sz w:val="22"/>
          <w:szCs w:val="22"/>
        </w:rPr>
        <w:t>Caution is highlighted, as they</w:t>
      </w:r>
      <w:r w:rsidRPr="00C351F3">
        <w:rPr>
          <w:rFonts w:ascii="Corbel" w:hAnsi="Corbel"/>
          <w:sz w:val="22"/>
          <w:szCs w:val="22"/>
        </w:rPr>
        <w:t xml:space="preserve"> are based on the 2016 census and updated using Medicare data. However, Covid and the vaccination program have compromised the reliability of Medicare data in estimating resident populations.</w:t>
      </w:r>
      <w:r>
        <w:rPr>
          <w:rFonts w:ascii="Corbel" w:hAnsi="Corbel"/>
          <w:sz w:val="22"/>
          <w:szCs w:val="22"/>
        </w:rPr>
        <w:t xml:space="preserve"> The population estimates will be reviewed on the release of the 2021 Population and Housing Census</w:t>
      </w:r>
    </w:p>
    <w:p w14:paraId="3F21E48A" w14:textId="77777777" w:rsidR="009A7274" w:rsidRDefault="009A7274" w:rsidP="009A7274">
      <w:pPr>
        <w:widowControl w:val="0"/>
        <w:ind w:left="-6" w:right="164"/>
        <w:rPr>
          <w:rFonts w:ascii="Corbel" w:hAnsi="Corbel"/>
          <w:b/>
          <w:bCs/>
          <w:sz w:val="22"/>
          <w:szCs w:val="22"/>
        </w:rPr>
      </w:pPr>
      <w:r w:rsidRPr="00817955">
        <w:rPr>
          <w:rFonts w:ascii="Corbel" w:hAnsi="Corbel"/>
          <w:b/>
          <w:bCs/>
          <w:sz w:val="22"/>
          <w:szCs w:val="22"/>
        </w:rPr>
        <w:t xml:space="preserve">Growth Scenario – Demand for Broadhectare Lands </w:t>
      </w:r>
    </w:p>
    <w:p w14:paraId="124956A8" w14:textId="77777777" w:rsidR="009A7274" w:rsidRDefault="009A7274" w:rsidP="009A7274">
      <w:pPr>
        <w:widowControl w:val="0"/>
        <w:spacing w:after="120"/>
        <w:ind w:left="-5" w:right="165"/>
        <w:rPr>
          <w:rFonts w:ascii="Corbel" w:hAnsi="Corbel"/>
          <w:sz w:val="22"/>
          <w:szCs w:val="22"/>
        </w:rPr>
      </w:pPr>
      <w:r>
        <w:rPr>
          <w:rFonts w:ascii="Corbel" w:hAnsi="Corbel"/>
          <w:sz w:val="22"/>
          <w:szCs w:val="22"/>
        </w:rPr>
        <w:t>Future dwelling requirements are based on the planning growth scenario of a 2.5% population growth rate.</w:t>
      </w:r>
    </w:p>
    <w:p w14:paraId="228E1A50" w14:textId="77777777" w:rsidR="009A7274" w:rsidRDefault="009A7274" w:rsidP="009A7274">
      <w:pPr>
        <w:spacing w:after="120"/>
        <w:ind w:right="164"/>
        <w:rPr>
          <w:rFonts w:ascii="Corbel" w:hAnsi="Corbel"/>
          <w:sz w:val="22"/>
          <w:szCs w:val="22"/>
        </w:rPr>
      </w:pPr>
      <w:r>
        <w:rPr>
          <w:rFonts w:ascii="Corbel" w:hAnsi="Corbel"/>
          <w:sz w:val="22"/>
          <w:szCs w:val="22"/>
        </w:rPr>
        <w:t>Due to the significant and all-time high volumes of residential greenfield land pre-sales, Spatial Economics have assumed that from March 2022 to the end of the calendar year of 2023, continued levels of peak construction activity will continue at approximately 3,500 greenfield lots per annum.</w:t>
      </w:r>
    </w:p>
    <w:p w14:paraId="40943A24" w14:textId="77777777" w:rsidR="009A7274" w:rsidRDefault="009A7274" w:rsidP="009A7274">
      <w:pPr>
        <w:spacing w:after="120"/>
        <w:ind w:right="164"/>
        <w:rPr>
          <w:rFonts w:ascii="Corbel" w:hAnsi="Corbel"/>
          <w:sz w:val="22"/>
          <w:szCs w:val="22"/>
        </w:rPr>
      </w:pPr>
      <w:r>
        <w:rPr>
          <w:rFonts w:ascii="Corbel" w:hAnsi="Corbel"/>
          <w:sz w:val="22"/>
          <w:szCs w:val="22"/>
        </w:rPr>
        <w:t>From January 2024, the 2.5% population growth scenario is applied to estimate the total dwelling requirements for the City of Greater Geelong.</w:t>
      </w:r>
    </w:p>
    <w:p w14:paraId="11875112" w14:textId="77777777" w:rsidR="009A7274" w:rsidRPr="00331DC0" w:rsidRDefault="009A7274" w:rsidP="009A7274">
      <w:pPr>
        <w:widowControl w:val="0"/>
        <w:spacing w:after="120"/>
        <w:ind w:left="-5" w:right="165"/>
        <w:rPr>
          <w:rFonts w:ascii="Corbel" w:hAnsi="Corbel"/>
          <w:sz w:val="22"/>
          <w:szCs w:val="22"/>
        </w:rPr>
      </w:pPr>
      <w:r>
        <w:rPr>
          <w:rFonts w:ascii="Corbel" w:hAnsi="Corbel"/>
          <w:sz w:val="22"/>
          <w:szCs w:val="22"/>
        </w:rPr>
        <w:t>As measured from 2022 to 2036, it is estimated that there will be a dwelling requirement within broadhectare lands of approximately 47,640.</w:t>
      </w:r>
    </w:p>
    <w:p w14:paraId="0F3DD8CA" w14:textId="77777777" w:rsidR="009A7274" w:rsidRPr="00331DC0" w:rsidRDefault="009A7274" w:rsidP="009A7274">
      <w:pPr>
        <w:widowControl w:val="0"/>
        <w:ind w:left="-6"/>
        <w:rPr>
          <w:rFonts w:ascii="Corbel" w:hAnsi="Corbel"/>
          <w:sz w:val="22"/>
          <w:szCs w:val="22"/>
        </w:rPr>
      </w:pPr>
      <w:r w:rsidRPr="00331DC0">
        <w:rPr>
          <w:rFonts w:ascii="Corbel" w:hAnsi="Corbel"/>
          <w:b/>
          <w:sz w:val="22"/>
          <w:szCs w:val="22"/>
        </w:rPr>
        <w:t xml:space="preserve">Residential Development Activity </w:t>
      </w:r>
    </w:p>
    <w:p w14:paraId="52B2682B" w14:textId="77777777" w:rsidR="009A7274" w:rsidRPr="00331DC0" w:rsidRDefault="009A7274" w:rsidP="009A7274">
      <w:pPr>
        <w:widowControl w:val="0"/>
        <w:ind w:left="-6" w:right="4905"/>
        <w:rPr>
          <w:rFonts w:ascii="Corbel" w:hAnsi="Corbel"/>
          <w:sz w:val="22"/>
          <w:szCs w:val="22"/>
        </w:rPr>
      </w:pPr>
      <w:r w:rsidRPr="00331DC0">
        <w:rPr>
          <w:rFonts w:ascii="Corbel" w:hAnsi="Corbel"/>
          <w:b/>
          <w:sz w:val="22"/>
          <w:szCs w:val="22"/>
        </w:rPr>
        <w:t xml:space="preserve">Residential Building Approvals </w:t>
      </w:r>
    </w:p>
    <w:p w14:paraId="21530899" w14:textId="77777777" w:rsidR="009A7274" w:rsidRPr="00331DC0" w:rsidRDefault="009A7274" w:rsidP="009A7274">
      <w:pPr>
        <w:spacing w:after="120"/>
        <w:ind w:left="-17" w:right="164"/>
        <w:rPr>
          <w:rFonts w:ascii="Corbel" w:hAnsi="Corbel"/>
          <w:sz w:val="22"/>
          <w:szCs w:val="22"/>
        </w:rPr>
      </w:pPr>
      <w:r w:rsidRPr="00331DC0">
        <w:rPr>
          <w:rFonts w:ascii="Corbel" w:hAnsi="Corbel"/>
          <w:sz w:val="22"/>
          <w:szCs w:val="22"/>
        </w:rPr>
        <w:t>As measured over the two previous financial years, residential building approval activity has significantly increased across regional Victoria, increasing by 51% (from 12, 300 approvals to 18,540). In comparison, metropolitan Melbourne over the same time period increased by 3%.</w:t>
      </w:r>
    </w:p>
    <w:p w14:paraId="097D9A4C" w14:textId="77777777" w:rsidR="009A7274" w:rsidRPr="00331DC0" w:rsidRDefault="009A7274" w:rsidP="009A7274">
      <w:pPr>
        <w:spacing w:after="120"/>
        <w:ind w:left="-17" w:right="164"/>
        <w:rPr>
          <w:rFonts w:ascii="Corbel" w:hAnsi="Corbel"/>
          <w:sz w:val="22"/>
          <w:szCs w:val="22"/>
        </w:rPr>
      </w:pPr>
      <w:r w:rsidRPr="00331DC0">
        <w:rPr>
          <w:rFonts w:ascii="Corbel" w:hAnsi="Corbel"/>
          <w:sz w:val="22"/>
          <w:szCs w:val="22"/>
        </w:rPr>
        <w:t xml:space="preserve">Residential building approval has significantly increased across virtually all regional municipalities. </w:t>
      </w:r>
      <w:r>
        <w:rPr>
          <w:rFonts w:ascii="Corbel" w:hAnsi="Corbel"/>
          <w:sz w:val="22"/>
          <w:szCs w:val="22"/>
        </w:rPr>
        <w:t>Geelong</w:t>
      </w:r>
      <w:r w:rsidRPr="00331DC0">
        <w:rPr>
          <w:rFonts w:ascii="Corbel" w:hAnsi="Corbel"/>
          <w:sz w:val="22"/>
          <w:szCs w:val="22"/>
        </w:rPr>
        <w:t xml:space="preserve"> has illustrated significant growth in building approval activity, increasing by </w:t>
      </w:r>
      <w:r>
        <w:rPr>
          <w:rFonts w:ascii="Corbel" w:hAnsi="Corbel"/>
          <w:sz w:val="22"/>
          <w:szCs w:val="22"/>
        </w:rPr>
        <w:t>50</w:t>
      </w:r>
      <w:r w:rsidRPr="00331DC0">
        <w:rPr>
          <w:rFonts w:ascii="Corbel" w:hAnsi="Corbel"/>
          <w:sz w:val="22"/>
          <w:szCs w:val="22"/>
        </w:rPr>
        <w:t xml:space="preserve">%, from </w:t>
      </w:r>
      <w:r>
        <w:rPr>
          <w:rFonts w:ascii="Corbel" w:hAnsi="Corbel"/>
          <w:sz w:val="22"/>
          <w:szCs w:val="22"/>
        </w:rPr>
        <w:t>3,107</w:t>
      </w:r>
      <w:r w:rsidRPr="00331DC0">
        <w:rPr>
          <w:rFonts w:ascii="Corbel" w:hAnsi="Corbel"/>
          <w:sz w:val="22"/>
          <w:szCs w:val="22"/>
        </w:rPr>
        <w:t xml:space="preserve"> approvals to </w:t>
      </w:r>
      <w:r>
        <w:rPr>
          <w:rFonts w:ascii="Corbel" w:hAnsi="Corbel"/>
          <w:sz w:val="22"/>
          <w:szCs w:val="22"/>
        </w:rPr>
        <w:t>4,656</w:t>
      </w:r>
      <w:r w:rsidRPr="00331DC0">
        <w:rPr>
          <w:rFonts w:ascii="Corbel" w:hAnsi="Corbel"/>
          <w:sz w:val="22"/>
          <w:szCs w:val="22"/>
        </w:rPr>
        <w:t xml:space="preserve"> in 2020/21.</w:t>
      </w:r>
    </w:p>
    <w:p w14:paraId="3294F861" w14:textId="77777777" w:rsidR="009A7274" w:rsidRPr="00331DC0" w:rsidRDefault="009A7274" w:rsidP="009A7274">
      <w:pPr>
        <w:widowControl w:val="0"/>
        <w:ind w:left="-6" w:right="4905"/>
        <w:rPr>
          <w:rFonts w:ascii="Corbel" w:hAnsi="Corbel"/>
          <w:sz w:val="22"/>
          <w:szCs w:val="22"/>
        </w:rPr>
      </w:pPr>
      <w:r w:rsidRPr="00331DC0">
        <w:rPr>
          <w:rFonts w:ascii="Corbel" w:hAnsi="Corbel"/>
          <w:b/>
          <w:sz w:val="22"/>
          <w:szCs w:val="22"/>
        </w:rPr>
        <w:t xml:space="preserve">Residential Lot Construction </w:t>
      </w:r>
    </w:p>
    <w:p w14:paraId="18095F82" w14:textId="77777777" w:rsidR="009A7274" w:rsidRPr="00C71E6F" w:rsidRDefault="009A7274" w:rsidP="009A7274">
      <w:pPr>
        <w:spacing w:after="120"/>
        <w:ind w:left="-6" w:right="164"/>
        <w:rPr>
          <w:rFonts w:ascii="Corbel" w:hAnsi="Corbel"/>
          <w:sz w:val="22"/>
          <w:szCs w:val="22"/>
        </w:rPr>
      </w:pPr>
      <w:r>
        <w:rPr>
          <w:rFonts w:ascii="Corbel" w:hAnsi="Corbel"/>
          <w:sz w:val="22"/>
          <w:szCs w:val="22"/>
        </w:rPr>
        <w:t>From July 2017 to March 2022, there was on an average annual basis 2,950 broadhectare lots constructed. Significant increases in construction activity were experienced in 2020/21 at 3,160 lots. For the financial year to date (March 2021/22) there has been 2,650 residential broadhectare lots constructed.</w:t>
      </w:r>
    </w:p>
    <w:p w14:paraId="3AA1AF88" w14:textId="77777777" w:rsidR="009A7274" w:rsidRDefault="009A7274" w:rsidP="009A7274">
      <w:pPr>
        <w:spacing w:after="176"/>
        <w:ind w:left="-5" w:right="165"/>
        <w:rPr>
          <w:rFonts w:ascii="Corbel" w:hAnsi="Corbel"/>
          <w:sz w:val="22"/>
          <w:szCs w:val="22"/>
        </w:rPr>
      </w:pPr>
      <w:r w:rsidRPr="00C71E6F">
        <w:rPr>
          <w:rFonts w:ascii="Corbel" w:hAnsi="Corbel"/>
          <w:sz w:val="22"/>
          <w:szCs w:val="22"/>
        </w:rPr>
        <w:t xml:space="preserve">Residential lot construction activity as measured </w:t>
      </w:r>
      <w:r>
        <w:rPr>
          <w:rFonts w:ascii="Corbel" w:hAnsi="Corbel"/>
          <w:sz w:val="22"/>
          <w:szCs w:val="22"/>
        </w:rPr>
        <w:t>over the last 4.75 financial years</w:t>
      </w:r>
      <w:r w:rsidRPr="00C71E6F">
        <w:rPr>
          <w:rFonts w:ascii="Corbel" w:hAnsi="Corbel"/>
          <w:sz w:val="22"/>
          <w:szCs w:val="22"/>
        </w:rPr>
        <w:t xml:space="preserve"> was</w:t>
      </w:r>
      <w:r>
        <w:rPr>
          <w:rFonts w:ascii="Corbel" w:hAnsi="Corbel"/>
          <w:sz w:val="22"/>
          <w:szCs w:val="22"/>
        </w:rPr>
        <w:t xml:space="preserve"> primarily</w:t>
      </w:r>
      <w:r w:rsidRPr="00C71E6F">
        <w:rPr>
          <w:rFonts w:ascii="Corbel" w:hAnsi="Corbel"/>
          <w:sz w:val="22"/>
          <w:szCs w:val="22"/>
        </w:rPr>
        <w:t xml:space="preserve"> concentrated within the </w:t>
      </w:r>
      <w:r>
        <w:rPr>
          <w:rFonts w:ascii="Corbel" w:hAnsi="Corbel"/>
          <w:sz w:val="22"/>
          <w:szCs w:val="22"/>
        </w:rPr>
        <w:t>Armstrong Creek Growth Area</w:t>
      </w:r>
      <w:r w:rsidRPr="00C71E6F">
        <w:rPr>
          <w:rFonts w:ascii="Corbel" w:hAnsi="Corbel"/>
          <w:sz w:val="22"/>
          <w:szCs w:val="22"/>
        </w:rPr>
        <w:t xml:space="preserve"> at </w:t>
      </w:r>
      <w:r>
        <w:rPr>
          <w:rFonts w:ascii="Corbel" w:hAnsi="Corbel"/>
          <w:sz w:val="22"/>
          <w:szCs w:val="22"/>
        </w:rPr>
        <w:t>47</w:t>
      </w:r>
      <w:r w:rsidRPr="00C71E6F">
        <w:rPr>
          <w:rFonts w:ascii="Corbel" w:hAnsi="Corbel"/>
          <w:sz w:val="22"/>
          <w:szCs w:val="22"/>
        </w:rPr>
        <w:t xml:space="preserve">% of all lot construction activity or </w:t>
      </w:r>
      <w:r>
        <w:rPr>
          <w:rFonts w:ascii="Corbel" w:hAnsi="Corbel"/>
          <w:sz w:val="22"/>
          <w:szCs w:val="22"/>
        </w:rPr>
        <w:t>nearly 1,400</w:t>
      </w:r>
      <w:r w:rsidRPr="00C71E6F">
        <w:rPr>
          <w:rFonts w:ascii="Corbel" w:hAnsi="Corbel"/>
          <w:sz w:val="22"/>
          <w:szCs w:val="22"/>
        </w:rPr>
        <w:t xml:space="preserve"> lots per annum. </w:t>
      </w:r>
    </w:p>
    <w:p w14:paraId="67D7BBD0" w14:textId="77777777" w:rsidR="009A7274" w:rsidRPr="00C71E6F" w:rsidRDefault="009A7274" w:rsidP="009A7274">
      <w:pPr>
        <w:spacing w:after="120"/>
        <w:ind w:left="-5" w:right="165"/>
        <w:rPr>
          <w:rFonts w:ascii="Corbel" w:hAnsi="Corbel"/>
          <w:sz w:val="22"/>
          <w:szCs w:val="22"/>
        </w:rPr>
      </w:pPr>
      <w:r w:rsidRPr="00C71E6F">
        <w:rPr>
          <w:rFonts w:ascii="Corbel" w:hAnsi="Corbel"/>
          <w:sz w:val="22"/>
          <w:szCs w:val="22"/>
        </w:rPr>
        <w:t xml:space="preserve">Of the remaining </w:t>
      </w:r>
      <w:r>
        <w:rPr>
          <w:rFonts w:ascii="Corbel" w:hAnsi="Corbel"/>
          <w:sz w:val="22"/>
          <w:szCs w:val="22"/>
        </w:rPr>
        <w:t xml:space="preserve">significant </w:t>
      </w:r>
      <w:r w:rsidRPr="00C71E6F">
        <w:rPr>
          <w:rFonts w:ascii="Corbel" w:hAnsi="Corbel"/>
          <w:sz w:val="22"/>
          <w:szCs w:val="22"/>
        </w:rPr>
        <w:t xml:space="preserve">lot construction activity: </w:t>
      </w:r>
    </w:p>
    <w:p w14:paraId="5A4CF85F" w14:textId="77777777" w:rsidR="009A7274" w:rsidRDefault="009A7274" w:rsidP="00144287">
      <w:pPr>
        <w:numPr>
          <w:ilvl w:val="0"/>
          <w:numId w:val="3"/>
        </w:numPr>
        <w:spacing w:after="120"/>
        <w:ind w:right="165" w:hanging="360"/>
        <w:rPr>
          <w:rFonts w:ascii="Corbel" w:hAnsi="Corbel"/>
          <w:sz w:val="22"/>
          <w:szCs w:val="22"/>
        </w:rPr>
      </w:pPr>
      <w:r>
        <w:rPr>
          <w:rFonts w:ascii="Corbel" w:hAnsi="Corbel"/>
          <w:sz w:val="22"/>
          <w:szCs w:val="22"/>
        </w:rPr>
        <w:t>13</w:t>
      </w:r>
      <w:r w:rsidRPr="00C71E6F">
        <w:rPr>
          <w:rFonts w:ascii="Corbel" w:hAnsi="Corbel"/>
          <w:sz w:val="22"/>
          <w:szCs w:val="22"/>
        </w:rPr>
        <w:t xml:space="preserve">% was located in </w:t>
      </w:r>
      <w:r>
        <w:rPr>
          <w:rFonts w:ascii="Corbel" w:hAnsi="Corbel"/>
          <w:sz w:val="22"/>
          <w:szCs w:val="22"/>
        </w:rPr>
        <w:t xml:space="preserve">Urban Geelong </w:t>
      </w:r>
      <w:r w:rsidRPr="00C71E6F">
        <w:rPr>
          <w:rFonts w:ascii="Corbel" w:hAnsi="Corbel"/>
          <w:sz w:val="22"/>
          <w:szCs w:val="22"/>
        </w:rPr>
        <w:t xml:space="preserve">(average of </w:t>
      </w:r>
      <w:r>
        <w:rPr>
          <w:rFonts w:ascii="Corbel" w:hAnsi="Corbel"/>
          <w:sz w:val="22"/>
          <w:szCs w:val="22"/>
        </w:rPr>
        <w:t>376 lots</w:t>
      </w:r>
      <w:r w:rsidRPr="00C71E6F">
        <w:rPr>
          <w:rFonts w:ascii="Corbel" w:hAnsi="Corbel"/>
          <w:sz w:val="22"/>
          <w:szCs w:val="22"/>
        </w:rPr>
        <w:t xml:space="preserve"> per annum); </w:t>
      </w:r>
    </w:p>
    <w:p w14:paraId="55E13E3C" w14:textId="77777777" w:rsidR="009A7274" w:rsidRDefault="009A7274" w:rsidP="00144287">
      <w:pPr>
        <w:numPr>
          <w:ilvl w:val="0"/>
          <w:numId w:val="3"/>
        </w:numPr>
        <w:spacing w:after="120"/>
        <w:ind w:right="165" w:hanging="360"/>
        <w:rPr>
          <w:rFonts w:ascii="Corbel" w:hAnsi="Corbel"/>
          <w:sz w:val="22"/>
          <w:szCs w:val="22"/>
        </w:rPr>
      </w:pPr>
      <w:r>
        <w:rPr>
          <w:rFonts w:ascii="Corbel" w:hAnsi="Corbel"/>
          <w:sz w:val="22"/>
          <w:szCs w:val="22"/>
        </w:rPr>
        <w:t>9</w:t>
      </w:r>
      <w:r w:rsidRPr="00C71E6F">
        <w:rPr>
          <w:rFonts w:ascii="Corbel" w:hAnsi="Corbel"/>
          <w:sz w:val="22"/>
          <w:szCs w:val="22"/>
        </w:rPr>
        <w:t xml:space="preserve">% was located in </w:t>
      </w:r>
      <w:r>
        <w:rPr>
          <w:rFonts w:ascii="Corbel" w:hAnsi="Corbel"/>
          <w:sz w:val="22"/>
          <w:szCs w:val="22"/>
        </w:rPr>
        <w:t xml:space="preserve">Lara </w:t>
      </w:r>
      <w:r w:rsidRPr="00C71E6F">
        <w:rPr>
          <w:rFonts w:ascii="Corbel" w:hAnsi="Corbel"/>
          <w:sz w:val="22"/>
          <w:szCs w:val="22"/>
        </w:rPr>
        <w:t xml:space="preserve">(average of </w:t>
      </w:r>
      <w:r>
        <w:rPr>
          <w:rFonts w:ascii="Corbel" w:hAnsi="Corbel"/>
          <w:sz w:val="22"/>
          <w:szCs w:val="22"/>
        </w:rPr>
        <w:t>252 lots</w:t>
      </w:r>
      <w:r w:rsidRPr="00C71E6F">
        <w:rPr>
          <w:rFonts w:ascii="Corbel" w:hAnsi="Corbel"/>
          <w:sz w:val="22"/>
          <w:szCs w:val="22"/>
        </w:rPr>
        <w:t xml:space="preserve"> per annum); </w:t>
      </w:r>
    </w:p>
    <w:p w14:paraId="3D1D68F3" w14:textId="77777777" w:rsidR="009A7274" w:rsidRDefault="009A7274" w:rsidP="00144287">
      <w:pPr>
        <w:numPr>
          <w:ilvl w:val="0"/>
          <w:numId w:val="3"/>
        </w:numPr>
        <w:spacing w:after="120"/>
        <w:ind w:right="165" w:hanging="360"/>
        <w:rPr>
          <w:rFonts w:ascii="Corbel" w:hAnsi="Corbel"/>
          <w:sz w:val="22"/>
          <w:szCs w:val="22"/>
        </w:rPr>
      </w:pPr>
      <w:r>
        <w:rPr>
          <w:rFonts w:ascii="Corbel" w:hAnsi="Corbel"/>
          <w:sz w:val="22"/>
          <w:szCs w:val="22"/>
        </w:rPr>
        <w:t>8</w:t>
      </w:r>
      <w:r w:rsidRPr="00C71E6F">
        <w:rPr>
          <w:rFonts w:ascii="Corbel" w:hAnsi="Corbel"/>
          <w:sz w:val="22"/>
          <w:szCs w:val="22"/>
        </w:rPr>
        <w:t xml:space="preserve">% was located in </w:t>
      </w:r>
      <w:r>
        <w:rPr>
          <w:rFonts w:ascii="Corbel" w:hAnsi="Corbel"/>
          <w:sz w:val="22"/>
          <w:szCs w:val="22"/>
        </w:rPr>
        <w:t xml:space="preserve">Ocean Grove </w:t>
      </w:r>
      <w:r w:rsidRPr="00C71E6F">
        <w:rPr>
          <w:rFonts w:ascii="Corbel" w:hAnsi="Corbel"/>
          <w:sz w:val="22"/>
          <w:szCs w:val="22"/>
        </w:rPr>
        <w:t xml:space="preserve">(average of </w:t>
      </w:r>
      <w:r>
        <w:rPr>
          <w:rFonts w:ascii="Corbel" w:hAnsi="Corbel"/>
          <w:sz w:val="22"/>
          <w:szCs w:val="22"/>
        </w:rPr>
        <w:t>248 lots</w:t>
      </w:r>
      <w:r w:rsidRPr="00C71E6F">
        <w:rPr>
          <w:rFonts w:ascii="Corbel" w:hAnsi="Corbel"/>
          <w:sz w:val="22"/>
          <w:szCs w:val="22"/>
        </w:rPr>
        <w:t xml:space="preserve"> per annum); </w:t>
      </w:r>
    </w:p>
    <w:p w14:paraId="2C50145C" w14:textId="77777777" w:rsidR="009A7274" w:rsidRDefault="009A7274" w:rsidP="00144287">
      <w:pPr>
        <w:numPr>
          <w:ilvl w:val="0"/>
          <w:numId w:val="3"/>
        </w:numPr>
        <w:spacing w:after="120"/>
        <w:ind w:right="165" w:hanging="360"/>
        <w:rPr>
          <w:rFonts w:ascii="Corbel" w:hAnsi="Corbel"/>
          <w:sz w:val="22"/>
          <w:szCs w:val="22"/>
        </w:rPr>
      </w:pPr>
      <w:r>
        <w:rPr>
          <w:rFonts w:ascii="Corbel" w:hAnsi="Corbel"/>
          <w:sz w:val="22"/>
          <w:szCs w:val="22"/>
        </w:rPr>
        <w:t>8</w:t>
      </w:r>
      <w:r w:rsidRPr="00C71E6F">
        <w:rPr>
          <w:rFonts w:ascii="Corbel" w:hAnsi="Corbel"/>
          <w:sz w:val="22"/>
          <w:szCs w:val="22"/>
        </w:rPr>
        <w:t xml:space="preserve">% was located in </w:t>
      </w:r>
      <w:r>
        <w:rPr>
          <w:rFonts w:ascii="Corbel" w:hAnsi="Corbel"/>
          <w:sz w:val="22"/>
          <w:szCs w:val="22"/>
        </w:rPr>
        <w:t xml:space="preserve">Drysdale/Clifton Springs </w:t>
      </w:r>
      <w:r w:rsidRPr="00C71E6F">
        <w:rPr>
          <w:rFonts w:ascii="Corbel" w:hAnsi="Corbel"/>
          <w:sz w:val="22"/>
          <w:szCs w:val="22"/>
        </w:rPr>
        <w:t xml:space="preserve">(average of </w:t>
      </w:r>
      <w:r>
        <w:rPr>
          <w:rFonts w:ascii="Corbel" w:hAnsi="Corbel"/>
          <w:sz w:val="22"/>
          <w:szCs w:val="22"/>
        </w:rPr>
        <w:t>237 lots</w:t>
      </w:r>
      <w:r w:rsidRPr="00C71E6F">
        <w:rPr>
          <w:rFonts w:ascii="Corbel" w:hAnsi="Corbel"/>
          <w:sz w:val="22"/>
          <w:szCs w:val="22"/>
        </w:rPr>
        <w:t xml:space="preserve"> per annum); and</w:t>
      </w:r>
    </w:p>
    <w:p w14:paraId="1729DE59" w14:textId="77777777" w:rsidR="009A7274" w:rsidRPr="00C71E6F" w:rsidRDefault="009A7274" w:rsidP="00144287">
      <w:pPr>
        <w:numPr>
          <w:ilvl w:val="0"/>
          <w:numId w:val="3"/>
        </w:numPr>
        <w:spacing w:after="120"/>
        <w:ind w:left="714" w:right="164" w:hanging="360"/>
        <w:rPr>
          <w:rFonts w:ascii="Corbel" w:hAnsi="Corbel"/>
          <w:sz w:val="22"/>
          <w:szCs w:val="22"/>
        </w:rPr>
      </w:pPr>
      <w:r>
        <w:rPr>
          <w:rFonts w:ascii="Corbel" w:hAnsi="Corbel"/>
          <w:sz w:val="22"/>
          <w:szCs w:val="22"/>
        </w:rPr>
        <w:t>8</w:t>
      </w:r>
      <w:r w:rsidRPr="00C71E6F">
        <w:rPr>
          <w:rFonts w:ascii="Corbel" w:hAnsi="Corbel"/>
          <w:sz w:val="22"/>
          <w:szCs w:val="22"/>
        </w:rPr>
        <w:t xml:space="preserve">% was located in </w:t>
      </w:r>
      <w:r>
        <w:rPr>
          <w:rFonts w:ascii="Corbel" w:hAnsi="Corbel"/>
          <w:sz w:val="22"/>
          <w:szCs w:val="22"/>
        </w:rPr>
        <w:t xml:space="preserve">St Leonards </w:t>
      </w:r>
      <w:r w:rsidRPr="00C71E6F">
        <w:rPr>
          <w:rFonts w:ascii="Corbel" w:hAnsi="Corbel"/>
          <w:sz w:val="22"/>
          <w:szCs w:val="22"/>
        </w:rPr>
        <w:t xml:space="preserve">(average of </w:t>
      </w:r>
      <w:r>
        <w:rPr>
          <w:rFonts w:ascii="Corbel" w:hAnsi="Corbel"/>
          <w:sz w:val="22"/>
          <w:szCs w:val="22"/>
        </w:rPr>
        <w:t>229</w:t>
      </w:r>
      <w:r w:rsidRPr="00C71E6F">
        <w:rPr>
          <w:rFonts w:ascii="Corbel" w:hAnsi="Corbel"/>
          <w:sz w:val="22"/>
          <w:szCs w:val="22"/>
        </w:rPr>
        <w:t xml:space="preserve"> per annum). </w:t>
      </w:r>
    </w:p>
    <w:p w14:paraId="3C43B667" w14:textId="77777777" w:rsidR="009A7274" w:rsidRPr="00DB7CFD" w:rsidRDefault="009A7274" w:rsidP="009A7274">
      <w:pPr>
        <w:spacing w:after="120"/>
        <w:ind w:left="-17" w:right="164"/>
        <w:rPr>
          <w:rFonts w:ascii="Corbel" w:hAnsi="Corbel"/>
          <w:sz w:val="22"/>
          <w:szCs w:val="22"/>
        </w:rPr>
      </w:pPr>
      <w:r w:rsidRPr="00DB7CFD">
        <w:rPr>
          <w:rFonts w:ascii="Corbel" w:hAnsi="Corbel"/>
          <w:sz w:val="22"/>
          <w:szCs w:val="22"/>
        </w:rPr>
        <w:lastRenderedPageBreak/>
        <w:t>Of the broadhectare lot construction activity since July201</w:t>
      </w:r>
      <w:r>
        <w:rPr>
          <w:rFonts w:ascii="Corbel" w:hAnsi="Corbel"/>
          <w:sz w:val="22"/>
          <w:szCs w:val="22"/>
        </w:rPr>
        <w:t>7</w:t>
      </w:r>
      <w:r w:rsidRPr="00DB7CFD">
        <w:rPr>
          <w:rFonts w:ascii="Corbel" w:hAnsi="Corbel"/>
          <w:sz w:val="22"/>
          <w:szCs w:val="22"/>
        </w:rPr>
        <w:t xml:space="preserve"> to March 2022: </w:t>
      </w:r>
    </w:p>
    <w:p w14:paraId="0CB95E7E" w14:textId="77777777" w:rsidR="009A7274" w:rsidRPr="00DB7CFD" w:rsidRDefault="009A7274" w:rsidP="00144287">
      <w:pPr>
        <w:numPr>
          <w:ilvl w:val="0"/>
          <w:numId w:val="4"/>
        </w:numPr>
        <w:spacing w:after="150"/>
        <w:ind w:right="165" w:hanging="360"/>
        <w:rPr>
          <w:rFonts w:ascii="Corbel" w:hAnsi="Corbel"/>
          <w:sz w:val="22"/>
          <w:szCs w:val="22"/>
        </w:rPr>
      </w:pPr>
      <w:r w:rsidRPr="00DB7CFD">
        <w:rPr>
          <w:rFonts w:ascii="Corbel" w:hAnsi="Corbel"/>
          <w:sz w:val="22"/>
          <w:szCs w:val="22"/>
        </w:rPr>
        <w:t>1</w:t>
      </w:r>
      <w:r>
        <w:rPr>
          <w:rFonts w:ascii="Corbel" w:hAnsi="Corbel"/>
          <w:sz w:val="22"/>
          <w:szCs w:val="22"/>
        </w:rPr>
        <w:t>5</w:t>
      </w:r>
      <w:r w:rsidRPr="00DB7CFD">
        <w:rPr>
          <w:rFonts w:ascii="Corbel" w:hAnsi="Corbel"/>
          <w:sz w:val="22"/>
          <w:szCs w:val="22"/>
        </w:rPr>
        <w:t xml:space="preserve">% were compact (sized less than 300 sqm); </w:t>
      </w:r>
    </w:p>
    <w:p w14:paraId="3E6ACFC8" w14:textId="77777777" w:rsidR="009A7274" w:rsidRPr="00DB7CFD" w:rsidRDefault="009A7274" w:rsidP="00144287">
      <w:pPr>
        <w:numPr>
          <w:ilvl w:val="0"/>
          <w:numId w:val="4"/>
        </w:numPr>
        <w:spacing w:after="150"/>
        <w:ind w:right="165" w:hanging="360"/>
        <w:rPr>
          <w:rFonts w:ascii="Corbel" w:hAnsi="Corbel"/>
          <w:sz w:val="22"/>
          <w:szCs w:val="22"/>
        </w:rPr>
      </w:pPr>
      <w:r w:rsidRPr="00DB7CFD">
        <w:rPr>
          <w:rFonts w:ascii="Corbel" w:hAnsi="Corbel"/>
          <w:sz w:val="22"/>
          <w:szCs w:val="22"/>
        </w:rPr>
        <w:t>5</w:t>
      </w:r>
      <w:r>
        <w:rPr>
          <w:rFonts w:ascii="Corbel" w:hAnsi="Corbel"/>
          <w:sz w:val="22"/>
          <w:szCs w:val="22"/>
        </w:rPr>
        <w:t>4</w:t>
      </w:r>
      <w:r w:rsidRPr="00DB7CFD">
        <w:rPr>
          <w:rFonts w:ascii="Corbel" w:hAnsi="Corbel"/>
          <w:sz w:val="22"/>
          <w:szCs w:val="22"/>
        </w:rPr>
        <w:t xml:space="preserve">% were suburban (sized 300 to 500 sqm); </w:t>
      </w:r>
    </w:p>
    <w:p w14:paraId="22B1F47D" w14:textId="77777777" w:rsidR="009A7274" w:rsidRPr="00DB7CFD" w:rsidRDefault="009A7274" w:rsidP="00144287">
      <w:pPr>
        <w:numPr>
          <w:ilvl w:val="0"/>
          <w:numId w:val="4"/>
        </w:numPr>
        <w:spacing w:after="147"/>
        <w:ind w:right="165" w:hanging="360"/>
        <w:rPr>
          <w:rFonts w:ascii="Corbel" w:hAnsi="Corbel"/>
          <w:sz w:val="22"/>
          <w:szCs w:val="22"/>
        </w:rPr>
      </w:pPr>
      <w:r>
        <w:rPr>
          <w:rFonts w:ascii="Corbel" w:hAnsi="Corbel"/>
          <w:sz w:val="22"/>
          <w:szCs w:val="22"/>
        </w:rPr>
        <w:t>30</w:t>
      </w:r>
      <w:r w:rsidRPr="00DB7CFD">
        <w:rPr>
          <w:rFonts w:ascii="Corbel" w:hAnsi="Corbel"/>
          <w:sz w:val="22"/>
          <w:szCs w:val="22"/>
        </w:rPr>
        <w:t xml:space="preserve">% were large suburban (500 to 1,000 sqm); and </w:t>
      </w:r>
    </w:p>
    <w:p w14:paraId="1FFD282B" w14:textId="77777777" w:rsidR="009A7274" w:rsidRPr="00DB7CFD" w:rsidRDefault="009A7274" w:rsidP="00144287">
      <w:pPr>
        <w:numPr>
          <w:ilvl w:val="0"/>
          <w:numId w:val="4"/>
        </w:numPr>
        <w:spacing w:after="82"/>
        <w:ind w:right="165" w:hanging="360"/>
        <w:rPr>
          <w:rFonts w:ascii="Corbel" w:hAnsi="Corbel"/>
          <w:sz w:val="22"/>
          <w:szCs w:val="22"/>
        </w:rPr>
      </w:pPr>
      <w:r>
        <w:rPr>
          <w:rFonts w:ascii="Corbel" w:hAnsi="Corbel"/>
          <w:sz w:val="22"/>
          <w:szCs w:val="22"/>
        </w:rPr>
        <w:t>1</w:t>
      </w:r>
      <w:r w:rsidRPr="00DB7CFD">
        <w:rPr>
          <w:rFonts w:ascii="Corbel" w:hAnsi="Corbel"/>
          <w:sz w:val="22"/>
          <w:szCs w:val="22"/>
        </w:rPr>
        <w:t xml:space="preserve">% low density suburban (over 1,000 sqm). </w:t>
      </w:r>
    </w:p>
    <w:p w14:paraId="4DFABB68" w14:textId="77777777" w:rsidR="009A7274" w:rsidRPr="006A5DD7" w:rsidRDefault="009A7274" w:rsidP="009A7274">
      <w:pPr>
        <w:spacing w:after="120"/>
        <w:ind w:right="165"/>
        <w:rPr>
          <w:rFonts w:ascii="Corbel" w:hAnsi="Corbel"/>
          <w:sz w:val="22"/>
          <w:szCs w:val="22"/>
        </w:rPr>
      </w:pPr>
      <w:r w:rsidRPr="006A5DD7">
        <w:rPr>
          <w:rFonts w:ascii="Corbel" w:hAnsi="Corbel"/>
          <w:sz w:val="22"/>
          <w:szCs w:val="22"/>
        </w:rPr>
        <w:t>The median lot size of broadhectare constructed lots has steadily declined over-time, from 646 sqm in 2008 to 446 sqm in 2021. The median lot size constructed in 2021/22 (</w:t>
      </w:r>
      <w:proofErr w:type="spellStart"/>
      <w:r w:rsidRPr="006A5DD7">
        <w:rPr>
          <w:rFonts w:ascii="Corbel" w:hAnsi="Corbel"/>
          <w:sz w:val="22"/>
          <w:szCs w:val="22"/>
        </w:rPr>
        <w:t>ytd</w:t>
      </w:r>
      <w:proofErr w:type="spellEnd"/>
      <w:r w:rsidRPr="006A5DD7">
        <w:rPr>
          <w:rFonts w:ascii="Corbel" w:hAnsi="Corbel"/>
          <w:sz w:val="22"/>
          <w:szCs w:val="22"/>
        </w:rPr>
        <w:t xml:space="preserve"> March) has significantly declined to 352 sqm. This is primarily due to the significant increase in construction of lots sized less than 300 sqm. </w:t>
      </w:r>
    </w:p>
    <w:p w14:paraId="26F4710E" w14:textId="77777777" w:rsidR="009A7274" w:rsidRPr="006A5DD7" w:rsidRDefault="009A7274" w:rsidP="009A7274">
      <w:pPr>
        <w:spacing w:after="120"/>
        <w:ind w:right="165"/>
        <w:rPr>
          <w:rFonts w:ascii="Corbel" w:hAnsi="Corbel"/>
          <w:sz w:val="22"/>
          <w:szCs w:val="22"/>
        </w:rPr>
      </w:pPr>
      <w:r w:rsidRPr="006A5DD7">
        <w:rPr>
          <w:rFonts w:ascii="Corbel" w:hAnsi="Corbel"/>
          <w:sz w:val="22"/>
          <w:szCs w:val="22"/>
        </w:rPr>
        <w:t>In 2021/22 (</w:t>
      </w:r>
      <w:proofErr w:type="spellStart"/>
      <w:r w:rsidRPr="006A5DD7">
        <w:rPr>
          <w:rFonts w:ascii="Corbel" w:hAnsi="Corbel"/>
          <w:sz w:val="22"/>
          <w:szCs w:val="22"/>
        </w:rPr>
        <w:t>ytd</w:t>
      </w:r>
      <w:proofErr w:type="spellEnd"/>
      <w:r w:rsidRPr="006A5DD7">
        <w:rPr>
          <w:rFonts w:ascii="Corbel" w:hAnsi="Corbel"/>
          <w:sz w:val="22"/>
          <w:szCs w:val="22"/>
        </w:rPr>
        <w:t xml:space="preserve"> March), 41% or nearly 1,100 lots constructed were sized less than 300 sqm compared to 15% since July 2017.</w:t>
      </w:r>
    </w:p>
    <w:p w14:paraId="2E52FA28" w14:textId="77777777" w:rsidR="00777DA7" w:rsidRPr="00331DC0" w:rsidRDefault="00777DA7" w:rsidP="00777DA7">
      <w:pPr>
        <w:widowControl w:val="0"/>
        <w:ind w:left="-6" w:right="4905"/>
        <w:rPr>
          <w:rFonts w:ascii="Corbel" w:hAnsi="Corbel"/>
          <w:sz w:val="22"/>
          <w:szCs w:val="22"/>
        </w:rPr>
      </w:pPr>
      <w:r w:rsidRPr="00331DC0">
        <w:rPr>
          <w:rFonts w:ascii="Corbel" w:hAnsi="Corbel"/>
          <w:b/>
          <w:sz w:val="22"/>
          <w:szCs w:val="22"/>
        </w:rPr>
        <w:t xml:space="preserve">Broadhectare  Land Stocks </w:t>
      </w:r>
    </w:p>
    <w:p w14:paraId="405395B1" w14:textId="77777777" w:rsidR="00777DA7" w:rsidRDefault="00777DA7" w:rsidP="00777DA7">
      <w:pPr>
        <w:spacing w:after="120"/>
        <w:rPr>
          <w:rFonts w:ascii="Corbel" w:hAnsi="Corbel"/>
          <w:sz w:val="22"/>
          <w:szCs w:val="22"/>
          <w:lang w:val="en-US"/>
        </w:rPr>
      </w:pPr>
      <w:r w:rsidRPr="003135C0">
        <w:rPr>
          <w:rFonts w:ascii="Corbel" w:hAnsi="Corbel"/>
          <w:sz w:val="22"/>
          <w:szCs w:val="22"/>
          <w:lang w:val="en-US"/>
        </w:rPr>
        <w:t>As at March 2022, there was an undeveloped residential lot capacity within zoned broadhectare sites of approximately 25,000 across the municipal area of Geelong. Of this zoned undeveloped broadhectare land stock, 6,100 lots have preliminary subdivision approval.</w:t>
      </w:r>
    </w:p>
    <w:p w14:paraId="61A273E0" w14:textId="77777777" w:rsidR="00777DA7" w:rsidRDefault="00777DA7" w:rsidP="00777DA7">
      <w:pPr>
        <w:spacing w:after="120"/>
        <w:rPr>
          <w:rFonts w:ascii="Corbel" w:hAnsi="Corbel"/>
          <w:sz w:val="22"/>
          <w:szCs w:val="22"/>
          <w:lang w:val="en-US"/>
        </w:rPr>
      </w:pPr>
      <w:r w:rsidRPr="003135C0">
        <w:rPr>
          <w:rFonts w:ascii="Corbel" w:hAnsi="Corbel"/>
          <w:sz w:val="22"/>
          <w:szCs w:val="22"/>
          <w:lang w:val="en-US"/>
        </w:rPr>
        <w:t xml:space="preserve">In addition to the zoned land stocks, there are approximately 4,200 hectares of land (with an estimated yield of 45,300 dwellings) identified for potential future broadhectare residential development across the municipal area. The bulk of this supply (88%) </w:t>
      </w:r>
      <w:proofErr w:type="gramStart"/>
      <w:r w:rsidRPr="003135C0">
        <w:rPr>
          <w:rFonts w:ascii="Corbel" w:hAnsi="Corbel"/>
          <w:sz w:val="22"/>
          <w:szCs w:val="22"/>
          <w:lang w:val="en-US"/>
        </w:rPr>
        <w:t>is located in</w:t>
      </w:r>
      <w:proofErr w:type="gramEnd"/>
      <w:r w:rsidRPr="003135C0">
        <w:rPr>
          <w:rFonts w:ascii="Corbel" w:hAnsi="Corbel"/>
          <w:sz w:val="22"/>
          <w:szCs w:val="22"/>
          <w:lang w:val="en-US"/>
        </w:rPr>
        <w:t xml:space="preserve"> the Northern and Western Growth areas of Geelong.</w:t>
      </w:r>
    </w:p>
    <w:p w14:paraId="30444AA4" w14:textId="77777777" w:rsidR="00777DA7" w:rsidRPr="00331DC0" w:rsidRDefault="00777DA7" w:rsidP="00777DA7">
      <w:pPr>
        <w:rPr>
          <w:rFonts w:ascii="Corbel" w:hAnsi="Corbel"/>
          <w:sz w:val="22"/>
          <w:szCs w:val="22"/>
        </w:rPr>
      </w:pPr>
      <w:r w:rsidRPr="00331DC0">
        <w:rPr>
          <w:rFonts w:ascii="Corbel" w:hAnsi="Corbel"/>
          <w:b/>
          <w:sz w:val="22"/>
          <w:szCs w:val="22"/>
        </w:rPr>
        <w:t xml:space="preserve">Adequacy of Land Stocks </w:t>
      </w:r>
    </w:p>
    <w:p w14:paraId="46F04F7E" w14:textId="77777777" w:rsidR="00777DA7" w:rsidRPr="00331DC0" w:rsidRDefault="00777DA7" w:rsidP="00777DA7">
      <w:pPr>
        <w:widowControl w:val="0"/>
        <w:ind w:left="-6" w:right="96"/>
        <w:rPr>
          <w:rFonts w:ascii="Corbel" w:hAnsi="Corbel"/>
          <w:b/>
          <w:sz w:val="22"/>
          <w:szCs w:val="22"/>
        </w:rPr>
      </w:pPr>
      <w:r w:rsidRPr="00331DC0">
        <w:rPr>
          <w:rFonts w:ascii="Corbel" w:hAnsi="Corbel"/>
          <w:b/>
          <w:sz w:val="22"/>
          <w:szCs w:val="22"/>
        </w:rPr>
        <w:t xml:space="preserve">Years Supply – Broadhectare </w:t>
      </w:r>
    </w:p>
    <w:p w14:paraId="0C266D6B" w14:textId="4D50E870" w:rsidR="00777DA7" w:rsidRPr="003135C0" w:rsidRDefault="00777DA7" w:rsidP="00777DA7">
      <w:pPr>
        <w:spacing w:after="120"/>
        <w:ind w:left="-17" w:right="164"/>
        <w:rPr>
          <w:rFonts w:ascii="Corbel" w:hAnsi="Corbel"/>
          <w:sz w:val="22"/>
          <w:szCs w:val="22"/>
        </w:rPr>
      </w:pPr>
      <w:r w:rsidRPr="003135C0">
        <w:rPr>
          <w:rFonts w:ascii="Corbel" w:hAnsi="Corbel"/>
          <w:sz w:val="22"/>
          <w:szCs w:val="22"/>
        </w:rPr>
        <w:t>In total there is approximately 22 years supply of undeveloped (zoned and unzoned) residential broadhectare land stocks across the municipal area of Geelong. Of this supply, there is approximately 8 years of zoned residential broadhectare lands.</w:t>
      </w:r>
    </w:p>
    <w:p w14:paraId="394050C7" w14:textId="77777777" w:rsidR="00777DA7" w:rsidRDefault="00777DA7" w:rsidP="00777DA7">
      <w:pPr>
        <w:spacing w:after="120"/>
        <w:ind w:left="-17" w:right="164"/>
        <w:rPr>
          <w:rFonts w:ascii="Corbel" w:hAnsi="Corbel"/>
          <w:sz w:val="22"/>
          <w:szCs w:val="22"/>
        </w:rPr>
      </w:pPr>
      <w:r w:rsidRPr="003135C0">
        <w:rPr>
          <w:rFonts w:ascii="Corbel" w:hAnsi="Corbel"/>
          <w:sz w:val="22"/>
          <w:szCs w:val="22"/>
        </w:rPr>
        <w:t>The incidence of land fragmentation within the Armstrong Creek Growth Area represents approximately 8 months of supply. It is considered that over-time, these fragmented land parcels will be developed.</w:t>
      </w:r>
    </w:p>
    <w:p w14:paraId="7367B0E4" w14:textId="77777777" w:rsidR="00777DA7" w:rsidRPr="00331DC0" w:rsidRDefault="00777DA7" w:rsidP="00777DA7">
      <w:pPr>
        <w:spacing w:after="120"/>
        <w:ind w:left="-17" w:right="164"/>
        <w:rPr>
          <w:rFonts w:ascii="Corbel" w:hAnsi="Corbel"/>
          <w:sz w:val="22"/>
          <w:szCs w:val="22"/>
        </w:rPr>
      </w:pPr>
      <w:r w:rsidRPr="003135C0">
        <w:rPr>
          <w:rFonts w:ascii="Corbel" w:hAnsi="Corbel"/>
          <w:sz w:val="22"/>
          <w:szCs w:val="22"/>
        </w:rPr>
        <w:t xml:space="preserve">Spatial Economics consider that maintaining a minimum of ten years supply of zoned broadhectare land stocks is optimum. This allows sufficient zoned land stocks </w:t>
      </w:r>
      <w:proofErr w:type="gramStart"/>
      <w:r w:rsidRPr="003135C0">
        <w:rPr>
          <w:rFonts w:ascii="Corbel" w:hAnsi="Corbel"/>
          <w:sz w:val="22"/>
          <w:szCs w:val="22"/>
        </w:rPr>
        <w:t>to:</w:t>
      </w:r>
      <w:proofErr w:type="gramEnd"/>
      <w:r w:rsidRPr="003135C0">
        <w:rPr>
          <w:rFonts w:ascii="Corbel" w:hAnsi="Corbel"/>
          <w:sz w:val="22"/>
          <w:szCs w:val="22"/>
        </w:rPr>
        <w:t xml:space="preserve"> a) respond to sustained/and or rapid increases in demand levels; b) foster industry competition and multiple development fronts; and c) absorb land development issues such as land fragmentation, ownership/development intention issues.</w:t>
      </w:r>
    </w:p>
    <w:p w14:paraId="4A177424" w14:textId="77777777" w:rsidR="002763B5" w:rsidRDefault="00D55782">
      <w:pPr>
        <w:spacing w:line="259" w:lineRule="auto"/>
        <w:ind w:left="283"/>
      </w:pPr>
      <w:r>
        <w:br w:type="page"/>
      </w:r>
    </w:p>
    <w:p w14:paraId="00CF6A44" w14:textId="6BF1D309" w:rsidR="002763B5" w:rsidRPr="00044D52" w:rsidRDefault="00D55782">
      <w:pPr>
        <w:pStyle w:val="Heading1"/>
        <w:tabs>
          <w:tab w:val="center" w:pos="1481"/>
        </w:tabs>
        <w:ind w:left="-15" w:firstLine="0"/>
      </w:pPr>
      <w:bookmarkStart w:id="2" w:name="_Toc101202486"/>
      <w:r w:rsidRPr="00044D52">
        <w:lastRenderedPageBreak/>
        <w:t xml:space="preserve">1.0 </w:t>
      </w:r>
      <w:r w:rsidR="00CE5387">
        <w:t xml:space="preserve"> </w:t>
      </w:r>
      <w:r w:rsidRPr="00044D52">
        <w:t>Introduction</w:t>
      </w:r>
      <w:bookmarkEnd w:id="2"/>
      <w:r w:rsidRPr="00044D52">
        <w:t xml:space="preserve"> </w:t>
      </w:r>
    </w:p>
    <w:p w14:paraId="302C565F" w14:textId="43570B87" w:rsidR="002763B5" w:rsidRPr="00044D52" w:rsidRDefault="00D55782">
      <w:pPr>
        <w:pStyle w:val="Heading1"/>
        <w:tabs>
          <w:tab w:val="center" w:pos="1179"/>
        </w:tabs>
        <w:ind w:left="-15" w:firstLine="0"/>
      </w:pPr>
      <w:bookmarkStart w:id="3" w:name="_Toc101202487"/>
      <w:r w:rsidRPr="00044D52">
        <w:t xml:space="preserve">1.1 </w:t>
      </w:r>
      <w:r w:rsidR="00CE5387">
        <w:t xml:space="preserve"> </w:t>
      </w:r>
      <w:r w:rsidRPr="00044D52">
        <w:t>Context</w:t>
      </w:r>
      <w:bookmarkEnd w:id="3"/>
      <w:r w:rsidRPr="00044D52">
        <w:t xml:space="preserve"> </w:t>
      </w:r>
    </w:p>
    <w:p w14:paraId="2FFA3FAC" w14:textId="37EF2EDF" w:rsidR="002763B5" w:rsidRPr="00C71E6F" w:rsidRDefault="00D55782" w:rsidP="00C33959">
      <w:pPr>
        <w:spacing w:after="120"/>
        <w:ind w:left="-17" w:right="164"/>
        <w:rPr>
          <w:rFonts w:ascii="Corbel" w:hAnsi="Corbel"/>
          <w:sz w:val="22"/>
          <w:szCs w:val="22"/>
        </w:rPr>
      </w:pPr>
      <w:r w:rsidRPr="00C71E6F">
        <w:rPr>
          <w:rFonts w:ascii="Corbel" w:hAnsi="Corbel"/>
          <w:sz w:val="22"/>
          <w:szCs w:val="22"/>
        </w:rPr>
        <w:t xml:space="preserve">The following report is a </w:t>
      </w:r>
      <w:r w:rsidR="00FB4AE5">
        <w:rPr>
          <w:rFonts w:ascii="Corbel" w:hAnsi="Corbel"/>
          <w:sz w:val="22"/>
          <w:szCs w:val="22"/>
        </w:rPr>
        <w:t xml:space="preserve">greenfield </w:t>
      </w:r>
      <w:r w:rsidRPr="00C71E6F">
        <w:rPr>
          <w:rFonts w:ascii="Corbel" w:hAnsi="Corbel"/>
          <w:sz w:val="22"/>
          <w:szCs w:val="22"/>
        </w:rPr>
        <w:t xml:space="preserve">residential land supply and demand assessment for </w:t>
      </w:r>
      <w:r w:rsidR="00044D52" w:rsidRPr="00C71E6F">
        <w:rPr>
          <w:rFonts w:ascii="Corbel" w:hAnsi="Corbel"/>
          <w:sz w:val="22"/>
          <w:szCs w:val="22"/>
        </w:rPr>
        <w:t xml:space="preserve">the </w:t>
      </w:r>
      <w:r w:rsidR="002E62D4">
        <w:rPr>
          <w:rFonts w:ascii="Corbel" w:hAnsi="Corbel"/>
          <w:sz w:val="22"/>
          <w:szCs w:val="22"/>
        </w:rPr>
        <w:t xml:space="preserve">municipal area of </w:t>
      </w:r>
      <w:r w:rsidR="00FB4AE5">
        <w:rPr>
          <w:rFonts w:ascii="Corbel" w:hAnsi="Corbel"/>
          <w:sz w:val="22"/>
          <w:szCs w:val="22"/>
        </w:rPr>
        <w:t>Geelong</w:t>
      </w:r>
      <w:r w:rsidR="002E62D4">
        <w:rPr>
          <w:rFonts w:ascii="Corbel" w:hAnsi="Corbel"/>
          <w:sz w:val="22"/>
          <w:szCs w:val="22"/>
        </w:rPr>
        <w:t>.</w:t>
      </w:r>
    </w:p>
    <w:p w14:paraId="2E698190" w14:textId="77777777" w:rsidR="002763B5" w:rsidRPr="00C71E6F" w:rsidRDefault="00D55782" w:rsidP="00C33959">
      <w:pPr>
        <w:spacing w:after="120"/>
        <w:ind w:left="-17" w:right="164"/>
        <w:rPr>
          <w:rFonts w:ascii="Corbel" w:hAnsi="Corbel"/>
          <w:sz w:val="22"/>
          <w:szCs w:val="22"/>
        </w:rPr>
      </w:pPr>
      <w:r w:rsidRPr="00C71E6F">
        <w:rPr>
          <w:rFonts w:ascii="Corbel" w:hAnsi="Corbel"/>
          <w:sz w:val="22"/>
          <w:szCs w:val="22"/>
        </w:rPr>
        <w:t xml:space="preserve">The assessment includes: </w:t>
      </w:r>
    </w:p>
    <w:p w14:paraId="209C4BDE" w14:textId="6DE5E4BF" w:rsidR="002763B5" w:rsidRPr="00C71E6F" w:rsidRDefault="00D55782" w:rsidP="00477DBE">
      <w:pPr>
        <w:numPr>
          <w:ilvl w:val="0"/>
          <w:numId w:val="1"/>
        </w:numPr>
        <w:spacing w:after="120"/>
        <w:ind w:right="165" w:hanging="360"/>
        <w:rPr>
          <w:rFonts w:ascii="Corbel" w:hAnsi="Corbel"/>
          <w:sz w:val="22"/>
          <w:szCs w:val="22"/>
        </w:rPr>
      </w:pPr>
      <w:r w:rsidRPr="00C71E6F">
        <w:rPr>
          <w:rFonts w:ascii="Corbel" w:hAnsi="Corbel"/>
          <w:sz w:val="22"/>
          <w:szCs w:val="22"/>
        </w:rPr>
        <w:t xml:space="preserve">the identification of historical and current residential lot construction activity by </w:t>
      </w:r>
      <w:r w:rsidR="00B138B9" w:rsidRPr="00C71E6F">
        <w:rPr>
          <w:rFonts w:ascii="Corbel" w:hAnsi="Corbel"/>
          <w:sz w:val="22"/>
          <w:szCs w:val="22"/>
        </w:rPr>
        <w:t>location</w:t>
      </w:r>
      <w:r w:rsidRPr="00C71E6F">
        <w:rPr>
          <w:rFonts w:ascii="Corbel" w:hAnsi="Corbel"/>
          <w:sz w:val="22"/>
          <w:szCs w:val="22"/>
        </w:rPr>
        <w:t xml:space="preserve">; </w:t>
      </w:r>
    </w:p>
    <w:p w14:paraId="2717379D" w14:textId="77777777" w:rsidR="002763B5" w:rsidRPr="00C71E6F" w:rsidRDefault="00D55782" w:rsidP="00477DBE">
      <w:pPr>
        <w:numPr>
          <w:ilvl w:val="0"/>
          <w:numId w:val="1"/>
        </w:numPr>
        <w:spacing w:after="120"/>
        <w:ind w:right="165" w:hanging="360"/>
        <w:rPr>
          <w:rFonts w:ascii="Corbel" w:hAnsi="Corbel"/>
          <w:sz w:val="22"/>
          <w:szCs w:val="22"/>
        </w:rPr>
      </w:pPr>
      <w:r w:rsidRPr="00C71E6F">
        <w:rPr>
          <w:rFonts w:ascii="Corbel" w:hAnsi="Corbel"/>
          <w:sz w:val="22"/>
          <w:szCs w:val="22"/>
        </w:rPr>
        <w:t xml:space="preserve">identification of all zoned </w:t>
      </w:r>
      <w:r w:rsidR="00F3558A" w:rsidRPr="00C71E6F">
        <w:rPr>
          <w:rFonts w:ascii="Corbel" w:hAnsi="Corbel"/>
          <w:sz w:val="22"/>
          <w:szCs w:val="22"/>
        </w:rPr>
        <w:t xml:space="preserve">and unzoned </w:t>
      </w:r>
      <w:r w:rsidR="00AC365D" w:rsidRPr="00C71E6F">
        <w:rPr>
          <w:rFonts w:ascii="Corbel" w:hAnsi="Corbel"/>
          <w:sz w:val="22"/>
          <w:szCs w:val="22"/>
        </w:rPr>
        <w:t>broadhectare</w:t>
      </w:r>
      <w:r w:rsidRPr="00C71E6F">
        <w:rPr>
          <w:rFonts w:ascii="Corbel" w:hAnsi="Corbel"/>
          <w:sz w:val="22"/>
          <w:szCs w:val="22"/>
        </w:rPr>
        <w:t xml:space="preserve"> </w:t>
      </w:r>
      <w:r w:rsidR="00B138B9" w:rsidRPr="00C71E6F">
        <w:rPr>
          <w:rFonts w:ascii="Corbel" w:hAnsi="Corbel"/>
          <w:sz w:val="22"/>
          <w:szCs w:val="22"/>
        </w:rPr>
        <w:t>residential land supply stocks</w:t>
      </w:r>
      <w:r w:rsidRPr="00C71E6F">
        <w:rPr>
          <w:rFonts w:ascii="Corbel" w:hAnsi="Corbel"/>
          <w:sz w:val="22"/>
          <w:szCs w:val="22"/>
        </w:rPr>
        <w:t xml:space="preserve"> including estimates of lot yields on a </w:t>
      </w:r>
      <w:proofErr w:type="gramStart"/>
      <w:r w:rsidRPr="00C71E6F">
        <w:rPr>
          <w:rFonts w:ascii="Corbel" w:hAnsi="Corbel"/>
          <w:sz w:val="22"/>
          <w:szCs w:val="22"/>
        </w:rPr>
        <w:t>project by project</w:t>
      </w:r>
      <w:proofErr w:type="gramEnd"/>
      <w:r w:rsidRPr="00C71E6F">
        <w:rPr>
          <w:rFonts w:ascii="Corbel" w:hAnsi="Corbel"/>
          <w:sz w:val="22"/>
          <w:szCs w:val="22"/>
        </w:rPr>
        <w:t xml:space="preserve"> basis; </w:t>
      </w:r>
    </w:p>
    <w:p w14:paraId="008A37CA" w14:textId="77777777" w:rsidR="002763B5" w:rsidRPr="00C71E6F" w:rsidRDefault="00B138B9" w:rsidP="00477DBE">
      <w:pPr>
        <w:numPr>
          <w:ilvl w:val="0"/>
          <w:numId w:val="1"/>
        </w:numPr>
        <w:spacing w:after="120"/>
        <w:ind w:right="165" w:hanging="360"/>
        <w:rPr>
          <w:rFonts w:ascii="Corbel" w:hAnsi="Corbel"/>
          <w:sz w:val="22"/>
          <w:szCs w:val="22"/>
        </w:rPr>
      </w:pPr>
      <w:r w:rsidRPr="00C71E6F">
        <w:rPr>
          <w:rFonts w:ascii="Corbel" w:hAnsi="Corbel"/>
          <w:sz w:val="22"/>
          <w:szCs w:val="22"/>
        </w:rPr>
        <w:t>presentation</w:t>
      </w:r>
      <w:r w:rsidR="00D55782" w:rsidRPr="00C71E6F">
        <w:rPr>
          <w:rFonts w:ascii="Corbel" w:hAnsi="Corbel"/>
          <w:sz w:val="22"/>
          <w:szCs w:val="22"/>
        </w:rPr>
        <w:t xml:space="preserve"> of potential future demand scenarios; </w:t>
      </w:r>
      <w:r w:rsidRPr="00C71E6F">
        <w:rPr>
          <w:rFonts w:ascii="Corbel" w:hAnsi="Corbel"/>
          <w:sz w:val="22"/>
          <w:szCs w:val="22"/>
        </w:rPr>
        <w:t>and</w:t>
      </w:r>
    </w:p>
    <w:p w14:paraId="518AFB94" w14:textId="77777777" w:rsidR="002763B5" w:rsidRPr="00C71E6F" w:rsidRDefault="00D55782" w:rsidP="00477DBE">
      <w:pPr>
        <w:numPr>
          <w:ilvl w:val="0"/>
          <w:numId w:val="1"/>
        </w:numPr>
        <w:spacing w:after="120"/>
        <w:ind w:right="165" w:hanging="360"/>
        <w:rPr>
          <w:rFonts w:ascii="Corbel" w:hAnsi="Corbel"/>
          <w:sz w:val="22"/>
          <w:szCs w:val="22"/>
        </w:rPr>
      </w:pPr>
      <w:r w:rsidRPr="00C71E6F">
        <w:rPr>
          <w:rFonts w:ascii="Corbel" w:hAnsi="Corbel"/>
          <w:sz w:val="22"/>
          <w:szCs w:val="22"/>
        </w:rPr>
        <w:t xml:space="preserve">estimation of the years of supply of undeveloped broadhectare residential land stocks. </w:t>
      </w:r>
    </w:p>
    <w:p w14:paraId="5BE22EC5" w14:textId="6A16F7DA" w:rsidR="002763B5" w:rsidRPr="00C71E6F" w:rsidRDefault="00D55782" w:rsidP="00C33959">
      <w:pPr>
        <w:spacing w:after="120"/>
        <w:ind w:left="-17" w:right="180"/>
        <w:rPr>
          <w:rFonts w:ascii="Corbel" w:hAnsi="Corbel"/>
          <w:sz w:val="22"/>
          <w:szCs w:val="22"/>
        </w:rPr>
      </w:pPr>
      <w:r w:rsidRPr="00C71E6F">
        <w:rPr>
          <w:rFonts w:ascii="Corbel" w:hAnsi="Corbel"/>
          <w:sz w:val="22"/>
          <w:szCs w:val="22"/>
        </w:rPr>
        <w:t xml:space="preserve">The assessment provides a robust and transparent assessment of the supply and demand for </w:t>
      </w:r>
      <w:r w:rsidR="00FB4AE5">
        <w:rPr>
          <w:rFonts w:ascii="Corbel" w:hAnsi="Corbel"/>
          <w:sz w:val="22"/>
          <w:szCs w:val="22"/>
        </w:rPr>
        <w:t xml:space="preserve">greenfield </w:t>
      </w:r>
      <w:r w:rsidRPr="00C71E6F">
        <w:rPr>
          <w:rFonts w:ascii="Corbel" w:hAnsi="Corbel"/>
          <w:sz w:val="22"/>
          <w:szCs w:val="22"/>
        </w:rPr>
        <w:t xml:space="preserve">residential land across </w:t>
      </w:r>
      <w:r w:rsidR="00FB4AE5">
        <w:rPr>
          <w:rFonts w:ascii="Corbel" w:hAnsi="Corbel"/>
          <w:sz w:val="22"/>
          <w:szCs w:val="22"/>
        </w:rPr>
        <w:t>Geelong</w:t>
      </w:r>
      <w:r w:rsidRPr="00C71E6F">
        <w:rPr>
          <w:rFonts w:ascii="Corbel" w:hAnsi="Corbel"/>
          <w:sz w:val="22"/>
          <w:szCs w:val="22"/>
        </w:rPr>
        <w:t xml:space="preserve">. The assessment will facilitate informed decision making in terms of the existing and future broadhectare residential land supply requirements. </w:t>
      </w:r>
    </w:p>
    <w:p w14:paraId="0F293088" w14:textId="77777777" w:rsidR="002763B5" w:rsidRPr="00C71E6F" w:rsidRDefault="00D55782" w:rsidP="00C33959">
      <w:pPr>
        <w:spacing w:after="120"/>
        <w:ind w:left="-17" w:right="165"/>
        <w:rPr>
          <w:rFonts w:ascii="Corbel" w:hAnsi="Corbel"/>
          <w:sz w:val="22"/>
          <w:szCs w:val="22"/>
        </w:rPr>
      </w:pPr>
      <w:r w:rsidRPr="00C71E6F">
        <w:rPr>
          <w:rFonts w:ascii="Corbel" w:hAnsi="Corbel"/>
          <w:sz w:val="22"/>
          <w:szCs w:val="22"/>
        </w:rPr>
        <w:t xml:space="preserve">In addition, the information will be of assistance to other related planning processes such as infrastructure and service planning. </w:t>
      </w:r>
    </w:p>
    <w:p w14:paraId="3A3799A3" w14:textId="35850394" w:rsidR="002763B5" w:rsidRPr="00044D52" w:rsidRDefault="00D55782">
      <w:pPr>
        <w:pStyle w:val="Heading1"/>
        <w:tabs>
          <w:tab w:val="center" w:pos="1217"/>
        </w:tabs>
        <w:ind w:left="-15" w:firstLine="0"/>
      </w:pPr>
      <w:bookmarkStart w:id="4" w:name="_Toc101202488"/>
      <w:r w:rsidRPr="00044D52">
        <w:t xml:space="preserve">1.2 </w:t>
      </w:r>
      <w:r w:rsidR="00CE5387">
        <w:t xml:space="preserve"> </w:t>
      </w:r>
      <w:r w:rsidRPr="00044D52">
        <w:t>Purpose</w:t>
      </w:r>
      <w:bookmarkEnd w:id="4"/>
      <w:r w:rsidRPr="00044D52">
        <w:t xml:space="preserve"> </w:t>
      </w:r>
    </w:p>
    <w:p w14:paraId="020DDFF4" w14:textId="537CCB0C" w:rsidR="002763B5" w:rsidRPr="00C71E6F" w:rsidRDefault="00D55782" w:rsidP="00C33959">
      <w:pPr>
        <w:spacing w:after="120"/>
        <w:ind w:right="181"/>
        <w:rPr>
          <w:rFonts w:ascii="Corbel" w:hAnsi="Corbel"/>
          <w:sz w:val="22"/>
          <w:szCs w:val="22"/>
        </w:rPr>
      </w:pPr>
      <w:r w:rsidRPr="00C71E6F">
        <w:rPr>
          <w:rFonts w:ascii="Corbel" w:hAnsi="Corbel"/>
          <w:sz w:val="22"/>
          <w:szCs w:val="22"/>
        </w:rPr>
        <w:t>The monitoring of land supply is a key tool to assist in the management and development of growth across</w:t>
      </w:r>
      <w:r w:rsidR="00044D52" w:rsidRPr="00C71E6F">
        <w:rPr>
          <w:rFonts w:ascii="Corbel" w:hAnsi="Corbel"/>
          <w:sz w:val="22"/>
          <w:szCs w:val="22"/>
        </w:rPr>
        <w:t xml:space="preserve"> the municipal area of</w:t>
      </w:r>
      <w:r w:rsidRPr="00C71E6F">
        <w:rPr>
          <w:rFonts w:ascii="Corbel" w:hAnsi="Corbel"/>
          <w:sz w:val="22"/>
          <w:szCs w:val="22"/>
        </w:rPr>
        <w:t xml:space="preserve"> </w:t>
      </w:r>
      <w:r w:rsidR="00FB4AE5">
        <w:rPr>
          <w:rFonts w:ascii="Corbel" w:hAnsi="Corbel"/>
          <w:sz w:val="22"/>
          <w:szCs w:val="22"/>
        </w:rPr>
        <w:t>Geelong</w:t>
      </w:r>
      <w:r w:rsidRPr="00C71E6F">
        <w:rPr>
          <w:rFonts w:ascii="Corbel" w:hAnsi="Corbel"/>
          <w:sz w:val="22"/>
          <w:szCs w:val="22"/>
        </w:rPr>
        <w:t xml:space="preserve">. The primary purpose of monitoring residential land supply is to improve the management of urban growth by ensuring that council, public utilities, </w:t>
      </w:r>
      <w:proofErr w:type="gramStart"/>
      <w:r w:rsidRPr="00C71E6F">
        <w:rPr>
          <w:rFonts w:ascii="Corbel" w:hAnsi="Corbel"/>
          <w:sz w:val="22"/>
          <w:szCs w:val="22"/>
        </w:rPr>
        <w:t>government</w:t>
      </w:r>
      <w:proofErr w:type="gramEnd"/>
      <w:r w:rsidRPr="00C71E6F">
        <w:rPr>
          <w:rFonts w:ascii="Corbel" w:hAnsi="Corbel"/>
          <w:sz w:val="22"/>
          <w:szCs w:val="22"/>
        </w:rPr>
        <w:t xml:space="preserve"> and the development industry have access to up-to-date and accurate information on residential land availability, development trends, new growth fronts, and their implications for planning and infrastructure investment. </w:t>
      </w:r>
    </w:p>
    <w:p w14:paraId="69555008" w14:textId="77777777" w:rsidR="002763B5" w:rsidRPr="00C71E6F" w:rsidRDefault="00D55782" w:rsidP="00C33959">
      <w:pPr>
        <w:spacing w:after="120"/>
        <w:ind w:right="165"/>
        <w:rPr>
          <w:rFonts w:ascii="Corbel" w:hAnsi="Corbel"/>
          <w:sz w:val="22"/>
          <w:szCs w:val="22"/>
        </w:rPr>
      </w:pPr>
      <w:r w:rsidRPr="00C71E6F">
        <w:rPr>
          <w:rFonts w:ascii="Corbel" w:hAnsi="Corbel"/>
          <w:sz w:val="22"/>
          <w:szCs w:val="22"/>
        </w:rPr>
        <w:t xml:space="preserve">The following report provides accurate, </w:t>
      </w:r>
      <w:proofErr w:type="gramStart"/>
      <w:r w:rsidRPr="00C71E6F">
        <w:rPr>
          <w:rFonts w:ascii="Corbel" w:hAnsi="Corbel"/>
          <w:sz w:val="22"/>
          <w:szCs w:val="22"/>
        </w:rPr>
        <w:t>consistent</w:t>
      </w:r>
      <w:proofErr w:type="gramEnd"/>
      <w:r w:rsidRPr="00C71E6F">
        <w:rPr>
          <w:rFonts w:ascii="Corbel" w:hAnsi="Corbel"/>
          <w:sz w:val="22"/>
          <w:szCs w:val="22"/>
        </w:rPr>
        <w:t xml:space="preserve"> and updated intelligence on residential land supply, demand and consumption. This in turn assists decision-makers in:  </w:t>
      </w:r>
    </w:p>
    <w:p w14:paraId="08EC2C30" w14:textId="77777777" w:rsidR="002763B5" w:rsidRPr="00C71E6F" w:rsidRDefault="00D55782" w:rsidP="00477DBE">
      <w:pPr>
        <w:numPr>
          <w:ilvl w:val="0"/>
          <w:numId w:val="2"/>
        </w:numPr>
        <w:spacing w:after="120"/>
        <w:ind w:left="714" w:right="164" w:hanging="357"/>
        <w:rPr>
          <w:rFonts w:ascii="Corbel" w:hAnsi="Corbel"/>
          <w:sz w:val="22"/>
          <w:szCs w:val="22"/>
        </w:rPr>
      </w:pPr>
      <w:r w:rsidRPr="00C71E6F">
        <w:rPr>
          <w:rFonts w:ascii="Corbel" w:hAnsi="Corbel"/>
          <w:sz w:val="22"/>
          <w:szCs w:val="22"/>
        </w:rPr>
        <w:t xml:space="preserve">maintaining an adequate supply of residential land for future housing purposes; </w:t>
      </w:r>
    </w:p>
    <w:p w14:paraId="6767D96B" w14:textId="77777777" w:rsidR="002763B5" w:rsidRPr="00C71E6F" w:rsidRDefault="00D55782" w:rsidP="00477DBE">
      <w:pPr>
        <w:numPr>
          <w:ilvl w:val="0"/>
          <w:numId w:val="2"/>
        </w:numPr>
        <w:spacing w:after="120"/>
        <w:ind w:left="714" w:right="164" w:hanging="357"/>
        <w:rPr>
          <w:rFonts w:ascii="Corbel" w:hAnsi="Corbel"/>
          <w:sz w:val="22"/>
          <w:szCs w:val="22"/>
        </w:rPr>
      </w:pPr>
      <w:r w:rsidRPr="00C71E6F">
        <w:rPr>
          <w:rFonts w:ascii="Corbel" w:hAnsi="Corbel"/>
          <w:sz w:val="22"/>
          <w:szCs w:val="22"/>
        </w:rPr>
        <w:t xml:space="preserve">providing information to underpin strategic planning in urban centres; </w:t>
      </w:r>
    </w:p>
    <w:p w14:paraId="160CCF9D" w14:textId="77777777" w:rsidR="002763B5" w:rsidRPr="00C71E6F" w:rsidRDefault="00D55782" w:rsidP="00477DBE">
      <w:pPr>
        <w:numPr>
          <w:ilvl w:val="0"/>
          <w:numId w:val="2"/>
        </w:numPr>
        <w:spacing w:after="120"/>
        <w:ind w:left="714" w:right="164" w:hanging="357"/>
        <w:rPr>
          <w:rFonts w:ascii="Corbel" w:hAnsi="Corbel"/>
          <w:sz w:val="22"/>
          <w:szCs w:val="22"/>
        </w:rPr>
      </w:pPr>
      <w:r w:rsidRPr="00C71E6F">
        <w:rPr>
          <w:rFonts w:ascii="Corbel" w:hAnsi="Corbel"/>
          <w:sz w:val="22"/>
          <w:szCs w:val="22"/>
        </w:rPr>
        <w:t xml:space="preserve">linking land use with infrastructure and service planning and provision;  </w:t>
      </w:r>
    </w:p>
    <w:p w14:paraId="0485898A" w14:textId="77777777" w:rsidR="002763B5" w:rsidRPr="00C71E6F" w:rsidRDefault="00D55782" w:rsidP="00477DBE">
      <w:pPr>
        <w:numPr>
          <w:ilvl w:val="0"/>
          <w:numId w:val="2"/>
        </w:numPr>
        <w:spacing w:after="120"/>
        <w:ind w:left="714" w:right="164" w:hanging="357"/>
        <w:rPr>
          <w:rFonts w:ascii="Corbel" w:hAnsi="Corbel"/>
          <w:sz w:val="22"/>
          <w:szCs w:val="22"/>
        </w:rPr>
      </w:pPr>
      <w:r w:rsidRPr="00C71E6F">
        <w:rPr>
          <w:rFonts w:ascii="Corbel" w:hAnsi="Corbel"/>
          <w:sz w:val="22"/>
          <w:szCs w:val="22"/>
        </w:rPr>
        <w:t xml:space="preserve">taking early action to address potential land supply shortfalls and infrastructure constraints; and </w:t>
      </w:r>
    </w:p>
    <w:p w14:paraId="11FA1BE6" w14:textId="77777777" w:rsidR="002763B5" w:rsidRPr="00C71E6F" w:rsidRDefault="00D55782" w:rsidP="00477DBE">
      <w:pPr>
        <w:numPr>
          <w:ilvl w:val="0"/>
          <w:numId w:val="2"/>
        </w:numPr>
        <w:spacing w:after="120"/>
        <w:ind w:left="714" w:right="164" w:hanging="357"/>
        <w:rPr>
          <w:rFonts w:ascii="Corbel" w:hAnsi="Corbel"/>
          <w:sz w:val="22"/>
          <w:szCs w:val="22"/>
        </w:rPr>
      </w:pPr>
      <w:r w:rsidRPr="00C71E6F">
        <w:rPr>
          <w:rFonts w:ascii="Corbel" w:hAnsi="Corbel"/>
          <w:sz w:val="22"/>
          <w:szCs w:val="22"/>
        </w:rPr>
        <w:t xml:space="preserve">contributing to the containment of public sector costs by the planned, coordinated provision of infrastructure to service the staged release of land for urban development.  </w:t>
      </w:r>
    </w:p>
    <w:p w14:paraId="68FFFC88" w14:textId="77777777" w:rsidR="00197F12" w:rsidRDefault="00197F12">
      <w:pPr>
        <w:spacing w:after="160" w:line="259" w:lineRule="auto"/>
        <w:rPr>
          <w:rFonts w:ascii="Cambria" w:eastAsia="Cambria" w:hAnsi="Cambria" w:cs="Cambria"/>
          <w:b/>
          <w:color w:val="7D9B16"/>
          <w:sz w:val="26"/>
          <w:szCs w:val="22"/>
        </w:rPr>
      </w:pPr>
      <w:r>
        <w:br w:type="page"/>
      </w:r>
    </w:p>
    <w:p w14:paraId="430CF2D6" w14:textId="75416657" w:rsidR="002763B5" w:rsidRPr="00044D52" w:rsidRDefault="00D55782">
      <w:pPr>
        <w:pStyle w:val="Heading1"/>
        <w:tabs>
          <w:tab w:val="center" w:pos="1803"/>
        </w:tabs>
        <w:ind w:left="-15" w:firstLine="0"/>
      </w:pPr>
      <w:bookmarkStart w:id="5" w:name="_Toc101202489"/>
      <w:r w:rsidRPr="00044D52">
        <w:lastRenderedPageBreak/>
        <w:t xml:space="preserve">2.0 </w:t>
      </w:r>
      <w:r w:rsidR="00CE5387">
        <w:t xml:space="preserve"> </w:t>
      </w:r>
      <w:r w:rsidRPr="00044D52">
        <w:t>Approach &amp; Scope</w:t>
      </w:r>
      <w:bookmarkEnd w:id="5"/>
      <w:r w:rsidRPr="00044D52">
        <w:t xml:space="preserve"> </w:t>
      </w:r>
    </w:p>
    <w:p w14:paraId="62CCE2FE" w14:textId="77777777" w:rsidR="002763B5" w:rsidRPr="00C71E6F" w:rsidRDefault="00D55782" w:rsidP="00C33959">
      <w:pPr>
        <w:spacing w:after="120"/>
        <w:ind w:right="164"/>
        <w:rPr>
          <w:rFonts w:ascii="Corbel" w:hAnsi="Corbel"/>
          <w:sz w:val="22"/>
          <w:szCs w:val="22"/>
        </w:rPr>
      </w:pPr>
      <w:r w:rsidRPr="00C71E6F">
        <w:rPr>
          <w:rFonts w:ascii="Corbel" w:hAnsi="Corbel"/>
          <w:sz w:val="22"/>
          <w:szCs w:val="22"/>
        </w:rPr>
        <w:t xml:space="preserve">The following provides a brief outline of the major methodologies and approach in the assessment of recent residential lot construction, residential land supply areas, dwelling demand scenarios and determination of assessing adequacy of residential land stocks.  </w:t>
      </w:r>
    </w:p>
    <w:p w14:paraId="692D0FA6" w14:textId="77777777" w:rsidR="002763B5" w:rsidRPr="00C71E6F" w:rsidRDefault="00D55782" w:rsidP="00C33959">
      <w:pPr>
        <w:spacing w:after="120"/>
        <w:ind w:right="164"/>
        <w:rPr>
          <w:rFonts w:ascii="Corbel" w:hAnsi="Corbel"/>
          <w:sz w:val="22"/>
          <w:szCs w:val="22"/>
        </w:rPr>
      </w:pPr>
      <w:r w:rsidRPr="00C71E6F">
        <w:rPr>
          <w:rFonts w:ascii="Corbel" w:hAnsi="Corbel"/>
          <w:sz w:val="22"/>
          <w:szCs w:val="22"/>
        </w:rPr>
        <w:t xml:space="preserve">The methodology that Spatial Economics has employed for this project is based on the simple premise of matching the supply type </w:t>
      </w:r>
      <w:r w:rsidR="005451A1" w:rsidRPr="00C71E6F">
        <w:rPr>
          <w:rFonts w:ascii="Corbel" w:hAnsi="Corbel"/>
          <w:sz w:val="22"/>
          <w:szCs w:val="22"/>
        </w:rPr>
        <w:t>with</w:t>
      </w:r>
      <w:r w:rsidRPr="00C71E6F">
        <w:rPr>
          <w:rFonts w:ascii="Corbel" w:hAnsi="Corbel"/>
          <w:sz w:val="22"/>
          <w:szCs w:val="22"/>
        </w:rPr>
        <w:t xml:space="preserve"> demand. This methodology assesses recent construction and future supply using the same criteria with the supply type definitions based on outcomes and on a </w:t>
      </w:r>
      <w:proofErr w:type="gramStart"/>
      <w:r w:rsidRPr="00C71E6F">
        <w:rPr>
          <w:rFonts w:ascii="Corbel" w:hAnsi="Corbel"/>
          <w:sz w:val="22"/>
          <w:szCs w:val="22"/>
        </w:rPr>
        <w:t>lot by lot</w:t>
      </w:r>
      <w:proofErr w:type="gramEnd"/>
      <w:r w:rsidRPr="00C71E6F">
        <w:rPr>
          <w:rFonts w:ascii="Corbel" w:hAnsi="Corbel"/>
          <w:sz w:val="22"/>
          <w:szCs w:val="22"/>
        </w:rPr>
        <w:t xml:space="preserve"> basis rather than administrative boundaries. </w:t>
      </w:r>
    </w:p>
    <w:p w14:paraId="00BE4A4C" w14:textId="3FCE283C" w:rsidR="002763B5" w:rsidRPr="00C71E6F" w:rsidRDefault="00D55782" w:rsidP="00C33959">
      <w:pPr>
        <w:spacing w:after="120"/>
        <w:ind w:right="164"/>
        <w:rPr>
          <w:rFonts w:ascii="Corbel" w:hAnsi="Corbel"/>
          <w:sz w:val="22"/>
          <w:szCs w:val="22"/>
        </w:rPr>
      </w:pPr>
      <w:r w:rsidRPr="00C71E6F">
        <w:rPr>
          <w:rFonts w:ascii="Corbel" w:hAnsi="Corbel"/>
          <w:sz w:val="22"/>
          <w:szCs w:val="22"/>
        </w:rPr>
        <w:t xml:space="preserve">The methodology used by Spatial Economics is consistent with other State Government methodologies around Australia, including the Victorian State Governments Regional Urban Development Program. </w:t>
      </w:r>
    </w:p>
    <w:p w14:paraId="1F34E3CF" w14:textId="77777777" w:rsidR="002763B5" w:rsidRPr="00D371C7" w:rsidRDefault="00D55782" w:rsidP="00D41BF6">
      <w:pPr>
        <w:pStyle w:val="Heading4"/>
        <w:ind w:left="0" w:right="4906" w:firstLine="0"/>
        <w:rPr>
          <w:rFonts w:cs="Times New Roman"/>
        </w:rPr>
      </w:pPr>
      <w:r w:rsidRPr="00D371C7">
        <w:rPr>
          <w:rFonts w:cs="Times New Roman"/>
        </w:rPr>
        <w:t xml:space="preserve">Future Dwelling Requirements </w:t>
      </w:r>
    </w:p>
    <w:p w14:paraId="619DEFB3" w14:textId="48455511" w:rsidR="002763B5" w:rsidRDefault="000730A2" w:rsidP="00C33959">
      <w:pPr>
        <w:spacing w:after="120"/>
        <w:ind w:right="164"/>
        <w:rPr>
          <w:rFonts w:ascii="Corbel" w:hAnsi="Corbel"/>
          <w:sz w:val="22"/>
          <w:szCs w:val="22"/>
        </w:rPr>
      </w:pPr>
      <w:r>
        <w:rPr>
          <w:rFonts w:ascii="Corbel" w:hAnsi="Corbel"/>
          <w:sz w:val="22"/>
          <w:szCs w:val="22"/>
        </w:rPr>
        <w:t>Future dwelling requirements are based on the planning growth scenario of a 2.5% population growth rate. Spatial Economics have calculated the dwelling requirements based on an estimated dwelling stock in 2021 (revised upon release of the Australian Bureau of Statistics</w:t>
      </w:r>
      <w:r w:rsidR="004E3DA4">
        <w:rPr>
          <w:rFonts w:ascii="Corbel" w:hAnsi="Corbel"/>
          <w:sz w:val="22"/>
          <w:szCs w:val="22"/>
        </w:rPr>
        <w:t xml:space="preserve"> Population and Housing Census in July 2022).</w:t>
      </w:r>
    </w:p>
    <w:p w14:paraId="26DD44EB" w14:textId="0546BE21" w:rsidR="004E3DA4" w:rsidRDefault="004E3DA4" w:rsidP="00C33959">
      <w:pPr>
        <w:spacing w:after="120"/>
        <w:ind w:right="164"/>
        <w:rPr>
          <w:rFonts w:ascii="Corbel" w:hAnsi="Corbel"/>
          <w:sz w:val="22"/>
          <w:szCs w:val="22"/>
        </w:rPr>
      </w:pPr>
      <w:r>
        <w:rPr>
          <w:rFonts w:ascii="Corbel" w:hAnsi="Corbel"/>
          <w:sz w:val="22"/>
          <w:szCs w:val="22"/>
        </w:rPr>
        <w:t>Due to the significant an</w:t>
      </w:r>
      <w:r w:rsidR="00D371C7">
        <w:rPr>
          <w:rFonts w:ascii="Corbel" w:hAnsi="Corbel"/>
          <w:sz w:val="22"/>
          <w:szCs w:val="22"/>
        </w:rPr>
        <w:t>d</w:t>
      </w:r>
      <w:r>
        <w:rPr>
          <w:rFonts w:ascii="Corbel" w:hAnsi="Corbel"/>
          <w:sz w:val="22"/>
          <w:szCs w:val="22"/>
        </w:rPr>
        <w:t xml:space="preserve"> </w:t>
      </w:r>
      <w:r w:rsidR="0063304A">
        <w:rPr>
          <w:rFonts w:ascii="Corbel" w:hAnsi="Corbel"/>
          <w:sz w:val="22"/>
          <w:szCs w:val="22"/>
        </w:rPr>
        <w:t>all-time</w:t>
      </w:r>
      <w:r>
        <w:rPr>
          <w:rFonts w:ascii="Corbel" w:hAnsi="Corbel"/>
          <w:sz w:val="22"/>
          <w:szCs w:val="22"/>
        </w:rPr>
        <w:t xml:space="preserve"> high volumes of residential greenfield land pre-sales, Spatial Economics have assumed </w:t>
      </w:r>
      <w:r w:rsidR="0063304A">
        <w:rPr>
          <w:rFonts w:ascii="Corbel" w:hAnsi="Corbel"/>
          <w:sz w:val="22"/>
          <w:szCs w:val="22"/>
        </w:rPr>
        <w:t xml:space="preserve">that </w:t>
      </w:r>
      <w:r>
        <w:rPr>
          <w:rFonts w:ascii="Corbel" w:hAnsi="Corbel"/>
          <w:sz w:val="22"/>
          <w:szCs w:val="22"/>
        </w:rPr>
        <w:t>from March 2022 to the end of the calendar year 2023 continued levels of peak construction activity</w:t>
      </w:r>
      <w:r w:rsidR="00D371C7">
        <w:rPr>
          <w:rFonts w:ascii="Corbel" w:hAnsi="Corbel"/>
          <w:sz w:val="22"/>
          <w:szCs w:val="22"/>
        </w:rPr>
        <w:t xml:space="preserve"> will continue</w:t>
      </w:r>
      <w:r>
        <w:rPr>
          <w:rFonts w:ascii="Corbel" w:hAnsi="Corbel"/>
          <w:sz w:val="22"/>
          <w:szCs w:val="22"/>
        </w:rPr>
        <w:t xml:space="preserve"> at approximately </w:t>
      </w:r>
      <w:r w:rsidR="0063304A">
        <w:rPr>
          <w:rFonts w:ascii="Corbel" w:hAnsi="Corbel"/>
          <w:sz w:val="22"/>
          <w:szCs w:val="22"/>
        </w:rPr>
        <w:t>3,500 greenfield lots per annum.</w:t>
      </w:r>
    </w:p>
    <w:p w14:paraId="31E9ABA5" w14:textId="231A0F44" w:rsidR="0063304A" w:rsidRDefault="0063304A" w:rsidP="00C33959">
      <w:pPr>
        <w:spacing w:after="120"/>
        <w:ind w:right="164"/>
        <w:rPr>
          <w:rFonts w:ascii="Corbel" w:hAnsi="Corbel"/>
          <w:sz w:val="22"/>
          <w:szCs w:val="22"/>
        </w:rPr>
      </w:pPr>
      <w:r>
        <w:rPr>
          <w:rFonts w:ascii="Corbel" w:hAnsi="Corbel"/>
          <w:sz w:val="22"/>
          <w:szCs w:val="22"/>
        </w:rPr>
        <w:t>From January 2024, the 2.5% population growth scenario</w:t>
      </w:r>
      <w:r w:rsidR="00E33F4D">
        <w:rPr>
          <w:rFonts w:ascii="Corbel" w:hAnsi="Corbel"/>
          <w:sz w:val="22"/>
          <w:szCs w:val="22"/>
        </w:rPr>
        <w:t xml:space="preserve"> is applied to estimate the total dwelling requirements for the City of Greater Geelong.</w:t>
      </w:r>
    </w:p>
    <w:p w14:paraId="39C85994" w14:textId="3CCE3957" w:rsidR="00D371C7" w:rsidRPr="00C71E6F" w:rsidRDefault="00D371C7" w:rsidP="00C33959">
      <w:pPr>
        <w:spacing w:after="120"/>
        <w:ind w:right="164"/>
        <w:rPr>
          <w:rFonts w:ascii="Corbel" w:hAnsi="Corbel"/>
          <w:sz w:val="22"/>
          <w:szCs w:val="22"/>
        </w:rPr>
      </w:pPr>
      <w:r>
        <w:rPr>
          <w:rFonts w:ascii="Corbel" w:hAnsi="Corbel"/>
          <w:sz w:val="22"/>
          <w:szCs w:val="22"/>
        </w:rPr>
        <w:t>The assumption of 75% of all dwelling requirements will be sourced from greenfield lands is still assumed.</w:t>
      </w:r>
    </w:p>
    <w:p w14:paraId="6D568504" w14:textId="5F184515" w:rsidR="002763B5" w:rsidRPr="00C71E6F" w:rsidRDefault="00FB4AE5">
      <w:pPr>
        <w:pStyle w:val="Heading4"/>
        <w:ind w:left="-5" w:right="4906"/>
        <w:rPr>
          <w:rFonts w:cs="Times New Roman"/>
        </w:rPr>
      </w:pPr>
      <w:r w:rsidRPr="00FB4AE5">
        <w:rPr>
          <w:iCs/>
        </w:rPr>
        <w:t xml:space="preserve">Broadhectare </w:t>
      </w:r>
      <w:r w:rsidR="00D55782" w:rsidRPr="00C71E6F">
        <w:rPr>
          <w:rFonts w:cs="Times New Roman"/>
        </w:rPr>
        <w:t xml:space="preserve">Land Supply Definitions </w:t>
      </w:r>
    </w:p>
    <w:p w14:paraId="2B39C904" w14:textId="1CEDCCD2" w:rsidR="002763B5" w:rsidRDefault="00FB4AE5" w:rsidP="00FB4AE5">
      <w:pPr>
        <w:spacing w:after="120"/>
        <w:ind w:right="164"/>
        <w:rPr>
          <w:rFonts w:ascii="Corbel" w:hAnsi="Corbel"/>
          <w:sz w:val="22"/>
          <w:szCs w:val="22"/>
        </w:rPr>
      </w:pPr>
      <w:r>
        <w:rPr>
          <w:rFonts w:ascii="Corbel" w:hAnsi="Corbel"/>
          <w:sz w:val="22"/>
          <w:szCs w:val="22"/>
        </w:rPr>
        <w:t>I</w:t>
      </w:r>
      <w:r w:rsidR="00D55782" w:rsidRPr="00C71E6F">
        <w:rPr>
          <w:rFonts w:ascii="Corbel" w:hAnsi="Corbel"/>
          <w:sz w:val="22"/>
          <w:szCs w:val="22"/>
        </w:rPr>
        <w:t xml:space="preserve">s defined as residential development on greenfield sites (sites that have not been used previously for urban development purposes or previously subdivided for normal/urban density development) and typically located on/or near the urban fringe. </w:t>
      </w:r>
    </w:p>
    <w:p w14:paraId="09DD7A1F" w14:textId="33AED4A9" w:rsidR="002763B5" w:rsidRPr="00777DA7" w:rsidRDefault="00D55782">
      <w:pPr>
        <w:pStyle w:val="Heading4"/>
        <w:ind w:left="-5" w:right="4906"/>
        <w:rPr>
          <w:rFonts w:cs="Times New Roman"/>
        </w:rPr>
      </w:pPr>
      <w:r w:rsidRPr="00777DA7">
        <w:rPr>
          <w:rFonts w:cs="Times New Roman"/>
        </w:rPr>
        <w:t>Geography</w:t>
      </w:r>
    </w:p>
    <w:p w14:paraId="10A2B7EE" w14:textId="451D981E" w:rsidR="002763B5" w:rsidRPr="002B3ED9" w:rsidRDefault="00D55782" w:rsidP="003116E6">
      <w:pPr>
        <w:spacing w:after="120"/>
        <w:ind w:left="-6" w:right="164"/>
        <w:rPr>
          <w:rFonts w:ascii="Corbel" w:hAnsi="Corbel"/>
          <w:sz w:val="22"/>
          <w:szCs w:val="22"/>
        </w:rPr>
      </w:pPr>
      <w:r w:rsidRPr="002B3ED9">
        <w:rPr>
          <w:rFonts w:ascii="Corbel" w:hAnsi="Corbel"/>
          <w:sz w:val="22"/>
          <w:szCs w:val="22"/>
        </w:rPr>
        <w:t xml:space="preserve">The following </w:t>
      </w:r>
      <w:r w:rsidR="00D371C7" w:rsidRPr="002B3ED9">
        <w:rPr>
          <w:rFonts w:ascii="Corbel" w:hAnsi="Corbel"/>
          <w:sz w:val="22"/>
          <w:szCs w:val="22"/>
        </w:rPr>
        <w:t xml:space="preserve">custom </w:t>
      </w:r>
      <w:r w:rsidRPr="002B3ED9">
        <w:rPr>
          <w:rFonts w:ascii="Corbel" w:hAnsi="Corbel"/>
          <w:sz w:val="22"/>
          <w:szCs w:val="22"/>
        </w:rPr>
        <w:t xml:space="preserve">geographic areas are utilised </w:t>
      </w:r>
      <w:r w:rsidR="00474D10" w:rsidRPr="002B3ED9">
        <w:rPr>
          <w:rFonts w:ascii="Corbel" w:hAnsi="Corbel"/>
          <w:sz w:val="22"/>
          <w:szCs w:val="22"/>
        </w:rPr>
        <w:t>for the</w:t>
      </w:r>
      <w:r w:rsidRPr="002B3ED9">
        <w:rPr>
          <w:rFonts w:ascii="Corbel" w:hAnsi="Corbel"/>
          <w:sz w:val="22"/>
          <w:szCs w:val="22"/>
        </w:rPr>
        <w:t xml:space="preserve"> land supply assessment</w:t>
      </w:r>
      <w:r w:rsidR="003116E6">
        <w:rPr>
          <w:rFonts w:ascii="Corbel" w:hAnsi="Corbel"/>
          <w:sz w:val="22"/>
          <w:szCs w:val="22"/>
        </w:rPr>
        <w:t xml:space="preserve"> (see Maps 1 and 2)</w:t>
      </w:r>
      <w:r w:rsidRPr="002B3ED9">
        <w:rPr>
          <w:rFonts w:ascii="Corbel" w:hAnsi="Corbel"/>
          <w:sz w:val="22"/>
          <w:szCs w:val="22"/>
        </w:rPr>
        <w:t xml:space="preserve">.  </w:t>
      </w:r>
    </w:p>
    <w:p w14:paraId="2478AE91" w14:textId="4A1941B9" w:rsidR="004066AF" w:rsidRPr="002B3ED9" w:rsidRDefault="00D371C7" w:rsidP="00FB4AE5">
      <w:pPr>
        <w:spacing w:after="119" w:line="239" w:lineRule="auto"/>
        <w:ind w:left="720" w:right="180"/>
        <w:rPr>
          <w:rFonts w:ascii="Corbel" w:hAnsi="Corbel"/>
          <w:sz w:val="22"/>
          <w:szCs w:val="22"/>
        </w:rPr>
      </w:pPr>
      <w:r w:rsidRPr="002B3ED9">
        <w:rPr>
          <w:rFonts w:ascii="Corbel" w:hAnsi="Corbel"/>
          <w:b/>
          <w:sz w:val="22"/>
          <w:szCs w:val="22"/>
        </w:rPr>
        <w:t>Region</w:t>
      </w:r>
      <w:r w:rsidR="004066AF" w:rsidRPr="002B3ED9">
        <w:rPr>
          <w:rFonts w:ascii="Corbel" w:hAnsi="Corbel"/>
          <w:b/>
          <w:sz w:val="22"/>
          <w:szCs w:val="22"/>
        </w:rPr>
        <w:t xml:space="preserve">: </w:t>
      </w:r>
      <w:r w:rsidR="002B3ED9" w:rsidRPr="002B3ED9">
        <w:rPr>
          <w:rFonts w:ascii="Corbel" w:hAnsi="Corbel"/>
          <w:sz w:val="22"/>
          <w:szCs w:val="22"/>
        </w:rPr>
        <w:t>Two broad regions are utilised namely: 1) the Bellarine Peninsula; and 2) Geelong.</w:t>
      </w:r>
    </w:p>
    <w:p w14:paraId="44CDAAF8" w14:textId="784C46FB" w:rsidR="004066AF" w:rsidRPr="002B3ED9" w:rsidRDefault="00D371C7" w:rsidP="00FB4AE5">
      <w:pPr>
        <w:spacing w:after="119" w:line="239" w:lineRule="auto"/>
        <w:ind w:left="720" w:right="180"/>
        <w:rPr>
          <w:rFonts w:ascii="Corbel" w:hAnsi="Corbel"/>
          <w:b/>
          <w:sz w:val="22"/>
          <w:szCs w:val="22"/>
        </w:rPr>
      </w:pPr>
      <w:r w:rsidRPr="002B3ED9">
        <w:rPr>
          <w:rFonts w:ascii="Corbel" w:hAnsi="Corbel"/>
          <w:b/>
          <w:sz w:val="22"/>
          <w:szCs w:val="22"/>
        </w:rPr>
        <w:t>Sub-region</w:t>
      </w:r>
      <w:r w:rsidR="004066AF" w:rsidRPr="002B3ED9">
        <w:rPr>
          <w:rFonts w:ascii="Corbel" w:hAnsi="Corbel"/>
          <w:b/>
          <w:sz w:val="22"/>
          <w:szCs w:val="22"/>
        </w:rPr>
        <w:t xml:space="preserve">: </w:t>
      </w:r>
      <w:r w:rsidR="002B3ED9" w:rsidRPr="002B3ED9">
        <w:rPr>
          <w:rFonts w:ascii="Corbel" w:hAnsi="Corbel"/>
          <w:color w:val="333333"/>
          <w:sz w:val="22"/>
          <w:szCs w:val="22"/>
          <w:shd w:val="clear" w:color="auto" w:fill="FFFFFF"/>
        </w:rPr>
        <w:t>The subregions are combination of 1) townships located in the Bellarine Peninsula; and 2) growth areas and the established urban area of Geelong/urban fringe for the Geelong Region.</w:t>
      </w:r>
    </w:p>
    <w:p w14:paraId="64E45FE3" w14:textId="77777777" w:rsidR="002763B5" w:rsidRPr="00C71E6F" w:rsidRDefault="00D55782" w:rsidP="00B10D6E">
      <w:pPr>
        <w:pStyle w:val="Heading4"/>
        <w:spacing w:after="0" w:line="240" w:lineRule="auto"/>
        <w:ind w:left="-17" w:right="4905" w:firstLine="0"/>
        <w:rPr>
          <w:rFonts w:cs="Times New Roman"/>
        </w:rPr>
      </w:pPr>
      <w:r w:rsidRPr="00C71E6F">
        <w:rPr>
          <w:rFonts w:cs="Times New Roman"/>
        </w:rPr>
        <w:t xml:space="preserve">Residential Lot Construction </w:t>
      </w:r>
    </w:p>
    <w:p w14:paraId="283F6461" w14:textId="4B9AA3C9" w:rsidR="002763B5" w:rsidRPr="00C71E6F" w:rsidRDefault="00D55782" w:rsidP="00C33959">
      <w:pPr>
        <w:spacing w:after="120"/>
        <w:ind w:left="-17" w:right="164"/>
        <w:rPr>
          <w:rFonts w:ascii="Corbel" w:hAnsi="Corbel"/>
          <w:sz w:val="22"/>
          <w:szCs w:val="22"/>
        </w:rPr>
      </w:pPr>
      <w:r w:rsidRPr="00C71E6F">
        <w:rPr>
          <w:rFonts w:ascii="Corbel" w:hAnsi="Corbel"/>
          <w:sz w:val="22"/>
          <w:szCs w:val="22"/>
        </w:rPr>
        <w:t xml:space="preserve">Residential lot construction has been determined via the assessment of the residential cadastre and the application of this cadastre to </w:t>
      </w:r>
      <w:r w:rsidR="00FB4AE5">
        <w:rPr>
          <w:rFonts w:ascii="Corbel" w:hAnsi="Corbel"/>
          <w:sz w:val="22"/>
          <w:szCs w:val="22"/>
        </w:rPr>
        <w:t>previously undeveloped greenfield lands</w:t>
      </w:r>
      <w:r w:rsidRPr="00C71E6F">
        <w:rPr>
          <w:rFonts w:ascii="Corbel" w:hAnsi="Corbel"/>
          <w:sz w:val="22"/>
          <w:szCs w:val="22"/>
        </w:rPr>
        <w:t xml:space="preserve">. </w:t>
      </w:r>
    </w:p>
    <w:p w14:paraId="22FA99B5" w14:textId="77777777" w:rsidR="002763B5" w:rsidRPr="00C71E6F" w:rsidRDefault="00D55782" w:rsidP="00C33959">
      <w:pPr>
        <w:spacing w:after="120"/>
        <w:ind w:left="-17" w:right="164"/>
        <w:rPr>
          <w:rFonts w:ascii="Corbel" w:hAnsi="Corbel"/>
          <w:sz w:val="22"/>
          <w:szCs w:val="22"/>
        </w:rPr>
      </w:pPr>
      <w:r w:rsidRPr="00C71E6F">
        <w:rPr>
          <w:rFonts w:ascii="Corbel" w:hAnsi="Corbel"/>
          <w:sz w:val="22"/>
          <w:szCs w:val="22"/>
        </w:rPr>
        <w:t xml:space="preserve">A constructed lot is defined by the year of construction and the finalisation of certificate of title. </w:t>
      </w:r>
    </w:p>
    <w:p w14:paraId="02E77EA3" w14:textId="77777777" w:rsidR="002763B5" w:rsidRPr="00C71E6F" w:rsidRDefault="00D55782" w:rsidP="00C33959">
      <w:pPr>
        <w:spacing w:after="120"/>
        <w:ind w:left="-17" w:right="164"/>
        <w:rPr>
          <w:rFonts w:ascii="Corbel" w:hAnsi="Corbel"/>
          <w:sz w:val="22"/>
          <w:szCs w:val="22"/>
        </w:rPr>
      </w:pPr>
      <w:r w:rsidRPr="00C71E6F">
        <w:rPr>
          <w:rFonts w:ascii="Corbel" w:hAnsi="Corbel"/>
          <w:sz w:val="22"/>
          <w:szCs w:val="22"/>
        </w:rPr>
        <w:t xml:space="preserve">Lot construction is only captured if it is for residential purposes. </w:t>
      </w:r>
    </w:p>
    <w:p w14:paraId="2CBB9F83" w14:textId="60AE5FFF" w:rsidR="002763B5" w:rsidRPr="00C71E6F" w:rsidRDefault="00D55782" w:rsidP="00C33959">
      <w:pPr>
        <w:spacing w:after="120"/>
        <w:ind w:left="-17" w:right="164"/>
        <w:rPr>
          <w:rFonts w:ascii="Corbel" w:hAnsi="Corbel"/>
          <w:sz w:val="22"/>
          <w:szCs w:val="22"/>
        </w:rPr>
      </w:pPr>
      <w:r w:rsidRPr="00C71E6F">
        <w:rPr>
          <w:rFonts w:ascii="Corbel" w:hAnsi="Corbel"/>
          <w:sz w:val="22"/>
          <w:szCs w:val="22"/>
        </w:rPr>
        <w:t xml:space="preserve">Construction activity has been assessed on an annual </w:t>
      </w:r>
      <w:r w:rsidR="005451A1" w:rsidRPr="00C71E6F">
        <w:rPr>
          <w:rFonts w:ascii="Corbel" w:hAnsi="Corbel"/>
          <w:sz w:val="22"/>
          <w:szCs w:val="22"/>
        </w:rPr>
        <w:t>financial</w:t>
      </w:r>
      <w:r w:rsidRPr="00C71E6F">
        <w:rPr>
          <w:rFonts w:ascii="Corbel" w:hAnsi="Corbel"/>
          <w:sz w:val="22"/>
          <w:szCs w:val="22"/>
        </w:rPr>
        <w:t xml:space="preserve"> year basis from </w:t>
      </w:r>
      <w:r w:rsidR="00AB547D">
        <w:rPr>
          <w:rFonts w:ascii="Corbel" w:hAnsi="Corbel"/>
          <w:sz w:val="22"/>
          <w:szCs w:val="22"/>
        </w:rPr>
        <w:t xml:space="preserve">July </w:t>
      </w:r>
      <w:r w:rsidRPr="00C71E6F">
        <w:rPr>
          <w:rFonts w:ascii="Corbel" w:hAnsi="Corbel"/>
          <w:sz w:val="22"/>
          <w:szCs w:val="22"/>
        </w:rPr>
        <w:t>200</w:t>
      </w:r>
      <w:r w:rsidR="007243EF">
        <w:rPr>
          <w:rFonts w:ascii="Corbel" w:hAnsi="Corbel"/>
          <w:sz w:val="22"/>
          <w:szCs w:val="22"/>
        </w:rPr>
        <w:t>6</w:t>
      </w:r>
      <w:r w:rsidRPr="00C71E6F">
        <w:rPr>
          <w:rFonts w:ascii="Corbel" w:hAnsi="Corbel"/>
          <w:sz w:val="22"/>
          <w:szCs w:val="22"/>
        </w:rPr>
        <w:t xml:space="preserve"> to </w:t>
      </w:r>
      <w:r w:rsidR="007243EF">
        <w:rPr>
          <w:rFonts w:ascii="Corbel" w:hAnsi="Corbel"/>
          <w:sz w:val="22"/>
          <w:szCs w:val="22"/>
        </w:rPr>
        <w:t>March 2022</w:t>
      </w:r>
      <w:r w:rsidRPr="00C71E6F">
        <w:rPr>
          <w:rFonts w:ascii="Corbel" w:hAnsi="Corbel"/>
          <w:sz w:val="22"/>
          <w:szCs w:val="22"/>
        </w:rPr>
        <w:t xml:space="preserve">. </w:t>
      </w:r>
    </w:p>
    <w:p w14:paraId="7CF224C3" w14:textId="77777777" w:rsidR="003116E6" w:rsidRDefault="003116E6">
      <w:pPr>
        <w:spacing w:after="160" w:line="259" w:lineRule="auto"/>
        <w:rPr>
          <w:rFonts w:ascii="Corbel" w:eastAsia="Corbel" w:hAnsi="Corbel"/>
          <w:b/>
          <w:color w:val="000000"/>
          <w:sz w:val="22"/>
          <w:szCs w:val="22"/>
        </w:rPr>
      </w:pPr>
      <w:r>
        <w:br w:type="page"/>
      </w:r>
    </w:p>
    <w:p w14:paraId="61F20DEA" w14:textId="0041F21E" w:rsidR="002763B5" w:rsidRPr="00C71E6F" w:rsidRDefault="00D55782" w:rsidP="005451A1">
      <w:pPr>
        <w:pStyle w:val="Heading4"/>
        <w:spacing w:after="0" w:line="240" w:lineRule="auto"/>
        <w:ind w:left="-6" w:right="4905" w:hanging="11"/>
        <w:rPr>
          <w:rFonts w:cs="Times New Roman"/>
        </w:rPr>
      </w:pPr>
      <w:r w:rsidRPr="00C71E6F">
        <w:rPr>
          <w:rFonts w:cs="Times New Roman"/>
        </w:rPr>
        <w:lastRenderedPageBreak/>
        <w:t xml:space="preserve">Lot Yields </w:t>
      </w:r>
    </w:p>
    <w:p w14:paraId="1E0CB366" w14:textId="6AC19F09" w:rsidR="002763B5" w:rsidRPr="00C71E6F" w:rsidRDefault="00D55782" w:rsidP="00C33959">
      <w:pPr>
        <w:spacing w:after="120"/>
        <w:ind w:left="-17" w:right="164"/>
        <w:rPr>
          <w:rFonts w:ascii="Corbel" w:hAnsi="Corbel"/>
          <w:sz w:val="22"/>
          <w:szCs w:val="22"/>
        </w:rPr>
      </w:pPr>
      <w:r w:rsidRPr="00C71E6F">
        <w:rPr>
          <w:rFonts w:ascii="Corbel" w:hAnsi="Corbel"/>
          <w:sz w:val="22"/>
          <w:szCs w:val="22"/>
        </w:rPr>
        <w:t xml:space="preserve">Lot yields on a site basis has been undertaken for only </w:t>
      </w:r>
      <w:r w:rsidR="00316412">
        <w:rPr>
          <w:rFonts w:ascii="Corbel" w:hAnsi="Corbel"/>
          <w:sz w:val="22"/>
          <w:szCs w:val="22"/>
        </w:rPr>
        <w:t xml:space="preserve">undeveloped </w:t>
      </w:r>
      <w:r w:rsidRPr="00C71E6F">
        <w:rPr>
          <w:rFonts w:ascii="Corbel" w:hAnsi="Corbel"/>
          <w:sz w:val="22"/>
          <w:szCs w:val="22"/>
        </w:rPr>
        <w:t xml:space="preserve">broadhectare </w:t>
      </w:r>
      <w:r w:rsidR="00316412">
        <w:rPr>
          <w:rFonts w:ascii="Corbel" w:hAnsi="Corbel"/>
          <w:sz w:val="22"/>
          <w:szCs w:val="22"/>
        </w:rPr>
        <w:t>lands</w:t>
      </w:r>
      <w:r w:rsidRPr="00C71E6F">
        <w:rPr>
          <w:rFonts w:ascii="Corbel" w:hAnsi="Corbel"/>
          <w:sz w:val="22"/>
          <w:szCs w:val="22"/>
        </w:rPr>
        <w:t xml:space="preserve">. </w:t>
      </w:r>
    </w:p>
    <w:p w14:paraId="684B02B4" w14:textId="77777777" w:rsidR="002763B5" w:rsidRPr="00C71E6F" w:rsidRDefault="00D55782" w:rsidP="00C33959">
      <w:pPr>
        <w:spacing w:after="120"/>
        <w:ind w:left="-17" w:right="164"/>
        <w:rPr>
          <w:rFonts w:ascii="Corbel" w:hAnsi="Corbel"/>
          <w:sz w:val="22"/>
          <w:szCs w:val="22"/>
        </w:rPr>
      </w:pPr>
      <w:r w:rsidRPr="00C71E6F">
        <w:rPr>
          <w:rFonts w:ascii="Corbel" w:hAnsi="Corbel"/>
          <w:sz w:val="22"/>
          <w:szCs w:val="22"/>
        </w:rPr>
        <w:t xml:space="preserve">In establishing the lot yield for each individual land parcel, the following information was used: incidence and location of native vegetation, zoning, natural features such as creeks, escarpments, floodways, localised current/recent market yields, ability to be sewered, existing studies such as structure plans.  </w:t>
      </w:r>
    </w:p>
    <w:p w14:paraId="20B3AB81" w14:textId="5C3622AD" w:rsidR="002763B5" w:rsidRPr="00C71E6F" w:rsidRDefault="00D55782" w:rsidP="00C33959">
      <w:pPr>
        <w:spacing w:after="120"/>
        <w:ind w:left="-17" w:right="164"/>
        <w:rPr>
          <w:rFonts w:ascii="Corbel" w:hAnsi="Corbel"/>
          <w:sz w:val="22"/>
          <w:szCs w:val="22"/>
        </w:rPr>
      </w:pPr>
      <w:r w:rsidRPr="00C71E6F">
        <w:rPr>
          <w:rFonts w:ascii="Corbel" w:hAnsi="Corbel"/>
          <w:sz w:val="22"/>
          <w:szCs w:val="22"/>
        </w:rPr>
        <w:t xml:space="preserve">In addition to site specific issues, ‘standard’ land development take-outs are employed, including local and regional. The amount/proportion of such take-outs are dependent on the land parcel </w:t>
      </w:r>
      <w:r w:rsidR="007243EF" w:rsidRPr="00C71E6F">
        <w:rPr>
          <w:rFonts w:ascii="Corbel" w:hAnsi="Corbel"/>
          <w:sz w:val="22"/>
          <w:szCs w:val="22"/>
        </w:rPr>
        <w:t>i.e.,</w:t>
      </w:r>
      <w:r w:rsidRPr="00C71E6F">
        <w:rPr>
          <w:rFonts w:ascii="Corbel" w:hAnsi="Corbel"/>
          <w:sz w:val="22"/>
          <w:szCs w:val="22"/>
        </w:rPr>
        <w:t xml:space="preserve"> a 1ha site will have less take-outs than say a 50ha site. Further intelligence and verification </w:t>
      </w:r>
      <w:r w:rsidR="00C33959" w:rsidRPr="00C71E6F">
        <w:rPr>
          <w:rFonts w:ascii="Corbel" w:hAnsi="Corbel"/>
          <w:sz w:val="22"/>
          <w:szCs w:val="22"/>
        </w:rPr>
        <w:t>are</w:t>
      </w:r>
      <w:r w:rsidRPr="00C71E6F">
        <w:rPr>
          <w:rFonts w:ascii="Corbel" w:hAnsi="Corbel"/>
          <w:sz w:val="22"/>
          <w:szCs w:val="22"/>
        </w:rPr>
        <w:t xml:space="preserve"> sourced from the local land development industry</w:t>
      </w:r>
      <w:r w:rsidR="002E3B52" w:rsidRPr="00C71E6F">
        <w:rPr>
          <w:rFonts w:ascii="Corbel" w:hAnsi="Corbel"/>
          <w:sz w:val="22"/>
          <w:szCs w:val="22"/>
        </w:rPr>
        <w:t xml:space="preserve"> and Council officers</w:t>
      </w:r>
      <w:r w:rsidRPr="00C71E6F">
        <w:rPr>
          <w:rFonts w:ascii="Corbel" w:hAnsi="Corbel"/>
          <w:sz w:val="22"/>
          <w:szCs w:val="22"/>
        </w:rPr>
        <w:t xml:space="preserve">. </w:t>
      </w:r>
    </w:p>
    <w:p w14:paraId="27C72DDC" w14:textId="77777777" w:rsidR="002763B5" w:rsidRPr="00C71E6F" w:rsidRDefault="00D55782">
      <w:pPr>
        <w:pStyle w:val="Heading4"/>
        <w:ind w:left="-5" w:right="4906"/>
        <w:rPr>
          <w:rFonts w:cs="Times New Roman"/>
        </w:rPr>
      </w:pPr>
      <w:r w:rsidRPr="00C71E6F">
        <w:rPr>
          <w:rFonts w:cs="Times New Roman"/>
        </w:rPr>
        <w:t xml:space="preserve">Years of Supply </w:t>
      </w:r>
    </w:p>
    <w:p w14:paraId="1F371B07" w14:textId="77777777" w:rsidR="002763B5" w:rsidRPr="00C71E6F" w:rsidRDefault="00D55782" w:rsidP="00C33959">
      <w:pPr>
        <w:spacing w:after="120"/>
        <w:ind w:left="-6" w:right="164" w:hanging="11"/>
        <w:rPr>
          <w:rFonts w:ascii="Corbel" w:hAnsi="Corbel"/>
          <w:sz w:val="22"/>
          <w:szCs w:val="22"/>
        </w:rPr>
      </w:pPr>
      <w:r w:rsidRPr="00C71E6F">
        <w:rPr>
          <w:rFonts w:ascii="Corbel" w:hAnsi="Corbel"/>
          <w:sz w:val="22"/>
          <w:szCs w:val="22"/>
        </w:rPr>
        <w:t xml:space="preserve">With the amount of supply and demand estimated, adequacy is described in years of supply. For example, it can be stated that there are X years of supply based on projected demand within a given geographic area. </w:t>
      </w:r>
    </w:p>
    <w:p w14:paraId="2014A7AC" w14:textId="41D2C4AE" w:rsidR="002763B5" w:rsidRPr="00C71E6F" w:rsidRDefault="00D55782" w:rsidP="00C33959">
      <w:pPr>
        <w:spacing w:after="120"/>
        <w:ind w:left="-6" w:right="164" w:hanging="11"/>
        <w:rPr>
          <w:rFonts w:ascii="Corbel" w:hAnsi="Corbel"/>
          <w:sz w:val="22"/>
          <w:szCs w:val="22"/>
        </w:rPr>
      </w:pPr>
      <w:r w:rsidRPr="00C71E6F">
        <w:rPr>
          <w:rFonts w:ascii="Corbel" w:hAnsi="Corbel"/>
          <w:sz w:val="22"/>
          <w:szCs w:val="22"/>
        </w:rPr>
        <w:t xml:space="preserve">In assessing the number of years of </w:t>
      </w:r>
      <w:r w:rsidR="00B951A0">
        <w:rPr>
          <w:rFonts w:ascii="Corbel" w:hAnsi="Corbel"/>
          <w:sz w:val="22"/>
          <w:szCs w:val="22"/>
        </w:rPr>
        <w:t>broadhectare</w:t>
      </w:r>
      <w:r w:rsidRPr="00C71E6F">
        <w:rPr>
          <w:rFonts w:ascii="Corbel" w:hAnsi="Corbel"/>
          <w:sz w:val="22"/>
          <w:szCs w:val="22"/>
        </w:rPr>
        <w:t xml:space="preserve"> residential land supply, only a component of the total projected demand is apportioned to estimate future demand. The remainder is apportioned for future demand of other forms of residential supply such as dispersed infill and rural residential. </w:t>
      </w:r>
    </w:p>
    <w:p w14:paraId="537139F0" w14:textId="0C04BF01" w:rsidR="002763B5" w:rsidRDefault="00950A25" w:rsidP="00950A25">
      <w:pPr>
        <w:keepNext/>
        <w:rPr>
          <w:rFonts w:ascii="Corbel" w:hAnsi="Corbel"/>
          <w:sz w:val="22"/>
          <w:szCs w:val="22"/>
        </w:rPr>
      </w:pPr>
      <w:r w:rsidRPr="00950A25">
        <w:rPr>
          <w:rFonts w:ascii="Corbel" w:hAnsi="Corbel"/>
          <w:b/>
          <w:bCs/>
          <w:sz w:val="22"/>
          <w:szCs w:val="22"/>
        </w:rPr>
        <w:lastRenderedPageBreak/>
        <w:t xml:space="preserve">Map </w:t>
      </w:r>
      <w:r w:rsidR="00CD577B">
        <w:rPr>
          <w:rFonts w:ascii="Corbel" w:hAnsi="Corbel"/>
          <w:b/>
          <w:bCs/>
          <w:sz w:val="22"/>
          <w:szCs w:val="22"/>
        </w:rPr>
        <w:t>1</w:t>
      </w:r>
      <w:r w:rsidRPr="00950A25">
        <w:rPr>
          <w:rFonts w:ascii="Corbel" w:hAnsi="Corbel"/>
          <w:b/>
          <w:bCs/>
          <w:sz w:val="22"/>
          <w:szCs w:val="22"/>
        </w:rPr>
        <w:t>:</w:t>
      </w:r>
      <w:r w:rsidRPr="00950A25">
        <w:rPr>
          <w:rFonts w:ascii="Corbel" w:hAnsi="Corbel"/>
          <w:sz w:val="22"/>
          <w:szCs w:val="22"/>
        </w:rPr>
        <w:t xml:space="preserve"> Geelong Region and Sub-Regions</w:t>
      </w:r>
    </w:p>
    <w:p w14:paraId="151CCD02" w14:textId="1E6A79A6" w:rsidR="00950A25" w:rsidRDefault="00950A25">
      <w:pPr>
        <w:spacing w:line="259" w:lineRule="auto"/>
        <w:rPr>
          <w:rFonts w:ascii="Corbel" w:hAnsi="Corbel"/>
          <w:sz w:val="22"/>
          <w:szCs w:val="22"/>
        </w:rPr>
      </w:pPr>
      <w:r>
        <w:rPr>
          <w:rFonts w:ascii="Corbel" w:hAnsi="Corbel"/>
          <w:noProof/>
          <w:sz w:val="22"/>
          <w:szCs w:val="22"/>
        </w:rPr>
        <w:drawing>
          <wp:inline distT="0" distB="0" distL="0" distR="0" wp14:anchorId="28B7BB10" wp14:editId="40326E63">
            <wp:extent cx="5163820" cy="7632700"/>
            <wp:effectExtent l="19050" t="19050" r="1778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63820" cy="7632700"/>
                    </a:xfrm>
                    <a:prstGeom prst="rect">
                      <a:avLst/>
                    </a:prstGeom>
                    <a:noFill/>
                    <a:ln w="9525">
                      <a:solidFill>
                        <a:schemeClr val="tx1"/>
                      </a:solidFill>
                    </a:ln>
                  </pic:spPr>
                </pic:pic>
              </a:graphicData>
            </a:graphic>
          </wp:inline>
        </w:drawing>
      </w:r>
    </w:p>
    <w:p w14:paraId="75C9863B" w14:textId="4F2F76B9" w:rsidR="003116E6" w:rsidRDefault="003116E6">
      <w:pPr>
        <w:spacing w:line="259" w:lineRule="auto"/>
        <w:rPr>
          <w:rFonts w:ascii="Corbel" w:hAnsi="Corbel"/>
          <w:sz w:val="22"/>
          <w:szCs w:val="22"/>
        </w:rPr>
      </w:pPr>
    </w:p>
    <w:p w14:paraId="3B88D795" w14:textId="3403EC3E" w:rsidR="003116E6" w:rsidRDefault="003116E6" w:rsidP="003116E6">
      <w:pPr>
        <w:keepNext/>
        <w:rPr>
          <w:rFonts w:ascii="Corbel" w:hAnsi="Corbel"/>
          <w:sz w:val="22"/>
          <w:szCs w:val="22"/>
        </w:rPr>
      </w:pPr>
      <w:r w:rsidRPr="00950A25">
        <w:rPr>
          <w:rFonts w:ascii="Corbel" w:hAnsi="Corbel"/>
          <w:b/>
          <w:bCs/>
          <w:sz w:val="22"/>
          <w:szCs w:val="22"/>
        </w:rPr>
        <w:lastRenderedPageBreak/>
        <w:t xml:space="preserve">Map </w:t>
      </w:r>
      <w:r w:rsidR="00CD577B">
        <w:rPr>
          <w:rFonts w:ascii="Corbel" w:hAnsi="Corbel"/>
          <w:b/>
          <w:bCs/>
          <w:sz w:val="22"/>
          <w:szCs w:val="22"/>
        </w:rPr>
        <w:t>2</w:t>
      </w:r>
      <w:r w:rsidRPr="00950A25">
        <w:rPr>
          <w:rFonts w:ascii="Corbel" w:hAnsi="Corbel"/>
          <w:b/>
          <w:bCs/>
          <w:sz w:val="22"/>
          <w:szCs w:val="22"/>
        </w:rPr>
        <w:t>:</w:t>
      </w:r>
      <w:r w:rsidRPr="00950A25">
        <w:rPr>
          <w:rFonts w:ascii="Corbel" w:hAnsi="Corbel"/>
          <w:sz w:val="22"/>
          <w:szCs w:val="22"/>
        </w:rPr>
        <w:t xml:space="preserve"> </w:t>
      </w:r>
      <w:r>
        <w:rPr>
          <w:rFonts w:ascii="Corbel" w:hAnsi="Corbel"/>
          <w:sz w:val="22"/>
          <w:szCs w:val="22"/>
        </w:rPr>
        <w:t>Bellarine Peninsula</w:t>
      </w:r>
      <w:r w:rsidRPr="00950A25">
        <w:rPr>
          <w:rFonts w:ascii="Corbel" w:hAnsi="Corbel"/>
          <w:sz w:val="22"/>
          <w:szCs w:val="22"/>
        </w:rPr>
        <w:t xml:space="preserve"> and Sub-Regions</w:t>
      </w:r>
      <w:r>
        <w:rPr>
          <w:rFonts w:ascii="Corbel" w:hAnsi="Corbel"/>
          <w:sz w:val="22"/>
          <w:szCs w:val="22"/>
        </w:rPr>
        <w:t>/Townships</w:t>
      </w:r>
    </w:p>
    <w:p w14:paraId="6AEA899F" w14:textId="4073A6AE" w:rsidR="003116E6" w:rsidRPr="00950A25" w:rsidRDefault="003116E6">
      <w:pPr>
        <w:spacing w:line="259" w:lineRule="auto"/>
        <w:rPr>
          <w:rFonts w:ascii="Corbel" w:hAnsi="Corbel"/>
          <w:sz w:val="22"/>
          <w:szCs w:val="22"/>
        </w:rPr>
      </w:pPr>
      <w:r>
        <w:rPr>
          <w:rFonts w:ascii="Corbel" w:hAnsi="Corbel"/>
          <w:noProof/>
          <w:sz w:val="22"/>
          <w:szCs w:val="22"/>
        </w:rPr>
        <w:drawing>
          <wp:inline distT="0" distB="0" distL="0" distR="0" wp14:anchorId="7E4F25C2" wp14:editId="314F2DF9">
            <wp:extent cx="5925820" cy="5309870"/>
            <wp:effectExtent l="19050" t="19050" r="17780"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25820" cy="5309870"/>
                    </a:xfrm>
                    <a:prstGeom prst="rect">
                      <a:avLst/>
                    </a:prstGeom>
                    <a:noFill/>
                    <a:ln w="9525">
                      <a:solidFill>
                        <a:schemeClr val="tx1"/>
                      </a:solidFill>
                    </a:ln>
                  </pic:spPr>
                </pic:pic>
              </a:graphicData>
            </a:graphic>
          </wp:inline>
        </w:drawing>
      </w:r>
    </w:p>
    <w:p w14:paraId="39C89ED4" w14:textId="77777777" w:rsidR="008024F9" w:rsidRDefault="008024F9">
      <w:pPr>
        <w:spacing w:after="160" w:line="259" w:lineRule="auto"/>
        <w:rPr>
          <w:rFonts w:ascii="Cambria" w:eastAsia="Cambria" w:hAnsi="Cambria" w:cs="Cambria"/>
          <w:b/>
          <w:color w:val="7D9B16"/>
          <w:sz w:val="26"/>
        </w:rPr>
      </w:pPr>
      <w:r>
        <w:br w:type="page"/>
      </w:r>
    </w:p>
    <w:p w14:paraId="60820168" w14:textId="72AD1732" w:rsidR="002763B5" w:rsidRPr="00705C1B" w:rsidRDefault="00D55782" w:rsidP="007243EF">
      <w:pPr>
        <w:pStyle w:val="Heading1"/>
        <w:tabs>
          <w:tab w:val="center" w:pos="2669"/>
        </w:tabs>
        <w:spacing w:line="240" w:lineRule="auto"/>
        <w:ind w:left="-17" w:firstLine="0"/>
      </w:pPr>
      <w:bookmarkStart w:id="6" w:name="_Toc101202490"/>
      <w:r w:rsidRPr="00705C1B">
        <w:lastRenderedPageBreak/>
        <w:t xml:space="preserve">3.0 </w:t>
      </w:r>
      <w:r w:rsidR="003E79A9">
        <w:t xml:space="preserve"> </w:t>
      </w:r>
      <w:r w:rsidRPr="00705C1B">
        <w:t xml:space="preserve">Population Growth </w:t>
      </w:r>
      <w:r w:rsidR="006F35D7">
        <w:t>Scenario</w:t>
      </w:r>
      <w:bookmarkEnd w:id="6"/>
    </w:p>
    <w:p w14:paraId="102A9DA5" w14:textId="3EE540C6" w:rsidR="00316412" w:rsidRDefault="00316412" w:rsidP="007243EF">
      <w:pPr>
        <w:spacing w:after="120"/>
        <w:rPr>
          <w:rFonts w:ascii="Corbel" w:hAnsi="Corbel"/>
          <w:sz w:val="22"/>
          <w:szCs w:val="22"/>
        </w:rPr>
      </w:pPr>
      <w:r w:rsidRPr="00D8651D">
        <w:rPr>
          <w:rFonts w:ascii="Corbel" w:hAnsi="Corbel"/>
          <w:sz w:val="22"/>
          <w:szCs w:val="22"/>
        </w:rPr>
        <w:t xml:space="preserve">The 2021 census has only </w:t>
      </w:r>
      <w:r w:rsidR="006F35D7">
        <w:rPr>
          <w:rFonts w:ascii="Corbel" w:hAnsi="Corbel"/>
          <w:sz w:val="22"/>
          <w:szCs w:val="22"/>
        </w:rPr>
        <w:t>recently</w:t>
      </w:r>
      <w:r w:rsidRPr="00D8651D">
        <w:rPr>
          <w:rFonts w:ascii="Corbel" w:hAnsi="Corbel"/>
          <w:sz w:val="22"/>
          <w:szCs w:val="22"/>
        </w:rPr>
        <w:t xml:space="preserve"> been undertaken and </w:t>
      </w:r>
      <w:proofErr w:type="gramStart"/>
      <w:r w:rsidRPr="00D8651D">
        <w:rPr>
          <w:rFonts w:ascii="Corbel" w:hAnsi="Corbel"/>
          <w:sz w:val="22"/>
          <w:szCs w:val="22"/>
        </w:rPr>
        <w:t>won’t</w:t>
      </w:r>
      <w:proofErr w:type="gramEnd"/>
      <w:r w:rsidRPr="00D8651D">
        <w:rPr>
          <w:rFonts w:ascii="Corbel" w:hAnsi="Corbel"/>
          <w:sz w:val="22"/>
          <w:szCs w:val="22"/>
        </w:rPr>
        <w:t xml:space="preserve"> be published until mid-2022. Consequently, we are now near the end of the five yearly inter-censal cycle when population estimates are most reliant on changes in Medicare registrations rather than census counts. The population estimates for 2017 onwards will be revised in mid-2022 once </w:t>
      </w:r>
      <w:r w:rsidR="007243EF">
        <w:rPr>
          <w:rFonts w:ascii="Corbel" w:hAnsi="Corbel"/>
          <w:sz w:val="22"/>
          <w:szCs w:val="22"/>
        </w:rPr>
        <w:t xml:space="preserve">the </w:t>
      </w:r>
      <w:r w:rsidRPr="00D8651D">
        <w:rPr>
          <w:rFonts w:ascii="Corbel" w:hAnsi="Corbel"/>
          <w:sz w:val="22"/>
          <w:szCs w:val="22"/>
        </w:rPr>
        <w:t xml:space="preserve">2021 census data become available. </w:t>
      </w:r>
    </w:p>
    <w:p w14:paraId="08751E57" w14:textId="2FEC5E08" w:rsidR="006F35D7" w:rsidRDefault="00931AFE" w:rsidP="00316412">
      <w:pPr>
        <w:spacing w:before="120" w:after="120"/>
        <w:rPr>
          <w:rFonts w:ascii="Corbel" w:hAnsi="Corbel"/>
          <w:sz w:val="22"/>
          <w:szCs w:val="22"/>
        </w:rPr>
      </w:pPr>
      <w:bookmarkStart w:id="7" w:name="_Hlk101101962"/>
      <w:r>
        <w:rPr>
          <w:rFonts w:ascii="Corbel" w:hAnsi="Corbel"/>
          <w:sz w:val="22"/>
          <w:szCs w:val="22"/>
        </w:rPr>
        <w:t>The Geelong Settlement Strategy adopted a 2.5% population growth rate scenario for the municipal area of Geelong</w:t>
      </w:r>
      <w:r w:rsidR="00846658">
        <w:rPr>
          <w:rFonts w:ascii="Corbel" w:hAnsi="Corbel"/>
          <w:sz w:val="22"/>
          <w:szCs w:val="22"/>
        </w:rPr>
        <w:t xml:space="preserve"> for the purpose of long-term settlement planning. </w:t>
      </w:r>
      <w:bookmarkEnd w:id="7"/>
      <w:r w:rsidR="00846658">
        <w:rPr>
          <w:rFonts w:ascii="Corbel" w:hAnsi="Corbel"/>
          <w:sz w:val="22"/>
          <w:szCs w:val="22"/>
        </w:rPr>
        <w:t>The Settlement Strategy was drafted in 2018 and adopted by Council in 2020.</w:t>
      </w:r>
    </w:p>
    <w:p w14:paraId="443AA4E7" w14:textId="0E091E48" w:rsidR="00846658" w:rsidRDefault="00846658" w:rsidP="00316412">
      <w:pPr>
        <w:spacing w:before="120" w:after="120"/>
        <w:rPr>
          <w:rFonts w:ascii="Corbel" w:hAnsi="Corbel"/>
          <w:sz w:val="22"/>
          <w:szCs w:val="22"/>
        </w:rPr>
      </w:pPr>
      <w:r>
        <w:rPr>
          <w:rFonts w:ascii="Corbel" w:hAnsi="Corbel"/>
          <w:sz w:val="22"/>
          <w:szCs w:val="22"/>
        </w:rPr>
        <w:t>In recent years since the drafting of the Settlement Strategy there has been significant changes in population estimates and more recently residential development activity</w:t>
      </w:r>
      <w:r w:rsidR="00C77B19">
        <w:rPr>
          <w:rFonts w:ascii="Corbel" w:hAnsi="Corbel"/>
          <w:sz w:val="22"/>
          <w:szCs w:val="22"/>
        </w:rPr>
        <w:t xml:space="preserve">. </w:t>
      </w:r>
      <w:bookmarkStart w:id="8" w:name="_Hlk101102009"/>
      <w:r w:rsidR="00C77B19">
        <w:rPr>
          <w:rFonts w:ascii="Corbel" w:hAnsi="Corbel"/>
          <w:sz w:val="22"/>
          <w:szCs w:val="22"/>
        </w:rPr>
        <w:t>The most recent population estimates indicate a population increase of 1.8%. Whilst</w:t>
      </w:r>
      <w:r w:rsidR="003116E6">
        <w:rPr>
          <w:rFonts w:ascii="Corbel" w:hAnsi="Corbel"/>
          <w:sz w:val="22"/>
          <w:szCs w:val="22"/>
        </w:rPr>
        <w:t>, f</w:t>
      </w:r>
      <w:r w:rsidR="00C77B19">
        <w:rPr>
          <w:rFonts w:ascii="Corbel" w:hAnsi="Corbel"/>
          <w:sz w:val="22"/>
          <w:szCs w:val="22"/>
        </w:rPr>
        <w:t xml:space="preserve">or the same period, residential building approval activity has reached historic highs of approximately 4.700. </w:t>
      </w:r>
      <w:bookmarkEnd w:id="8"/>
      <w:r w:rsidR="00C77B19">
        <w:rPr>
          <w:rFonts w:ascii="Corbel" w:hAnsi="Corbel"/>
          <w:sz w:val="22"/>
          <w:szCs w:val="22"/>
        </w:rPr>
        <w:t xml:space="preserve"> </w:t>
      </w:r>
    </w:p>
    <w:p w14:paraId="45449B54" w14:textId="3D5F0897" w:rsidR="00C77B19" w:rsidRPr="00D8651D" w:rsidRDefault="00C77B19" w:rsidP="00316412">
      <w:pPr>
        <w:spacing w:before="120" w:after="120"/>
        <w:rPr>
          <w:rFonts w:ascii="Corbel" w:hAnsi="Corbel"/>
          <w:sz w:val="22"/>
          <w:szCs w:val="22"/>
        </w:rPr>
      </w:pPr>
      <w:r>
        <w:rPr>
          <w:rFonts w:ascii="Corbel" w:hAnsi="Corbel"/>
          <w:sz w:val="22"/>
          <w:szCs w:val="22"/>
        </w:rPr>
        <w:t>With such significant change over the last two years in Geelong, Spatial Economics have undertaken a review of the assumed population growth scenario of 2.5%</w:t>
      </w:r>
      <w:r w:rsidR="007243EF">
        <w:rPr>
          <w:rFonts w:ascii="Corbel" w:hAnsi="Corbel"/>
          <w:sz w:val="22"/>
          <w:szCs w:val="22"/>
        </w:rPr>
        <w:t xml:space="preserve"> per annum</w:t>
      </w:r>
      <w:r>
        <w:rPr>
          <w:rFonts w:ascii="Corbel" w:hAnsi="Corbel"/>
          <w:sz w:val="22"/>
          <w:szCs w:val="22"/>
        </w:rPr>
        <w:t>.</w:t>
      </w:r>
    </w:p>
    <w:p w14:paraId="4DEE7CA3" w14:textId="68DF905F" w:rsidR="00316412" w:rsidRPr="00D8651D" w:rsidRDefault="00316412" w:rsidP="00316412">
      <w:pPr>
        <w:pStyle w:val="Heading1"/>
        <w:tabs>
          <w:tab w:val="center" w:pos="2471"/>
        </w:tabs>
        <w:ind w:left="-15" w:firstLine="0"/>
      </w:pPr>
      <w:bookmarkStart w:id="9" w:name="_Toc93495374"/>
      <w:bookmarkStart w:id="10" w:name="_Toc101202491"/>
      <w:r w:rsidRPr="00D8651D">
        <w:t xml:space="preserve">3.1  </w:t>
      </w:r>
      <w:bookmarkEnd w:id="9"/>
      <w:r w:rsidR="006F35D7">
        <w:t>Aspirational Growth Scenario – A Review</w:t>
      </w:r>
      <w:bookmarkEnd w:id="10"/>
      <w:r w:rsidR="006F35D7">
        <w:t xml:space="preserve"> </w:t>
      </w:r>
      <w:r w:rsidRPr="00D8651D">
        <w:t xml:space="preserve"> </w:t>
      </w:r>
    </w:p>
    <w:p w14:paraId="0F083202" w14:textId="7F899C2B" w:rsidR="00C351F3" w:rsidRPr="00C351F3" w:rsidRDefault="00C351F3" w:rsidP="00C351F3">
      <w:pPr>
        <w:spacing w:after="120"/>
        <w:rPr>
          <w:rFonts w:ascii="Corbel" w:hAnsi="Corbel"/>
          <w:b/>
          <w:sz w:val="22"/>
          <w:szCs w:val="22"/>
        </w:rPr>
      </w:pPr>
      <w:r w:rsidRPr="00C351F3">
        <w:rPr>
          <w:rFonts w:ascii="Corbel" w:hAnsi="Corbel"/>
          <w:b/>
          <w:sz w:val="22"/>
          <w:szCs w:val="22"/>
        </w:rPr>
        <w:t xml:space="preserve">Is the 2.5% population growth </w:t>
      </w:r>
      <w:r w:rsidR="007243EF">
        <w:rPr>
          <w:rFonts w:ascii="Corbel" w:hAnsi="Corbel"/>
          <w:b/>
          <w:sz w:val="22"/>
          <w:szCs w:val="22"/>
        </w:rPr>
        <w:t>‘</w:t>
      </w:r>
      <w:r w:rsidRPr="00C351F3">
        <w:rPr>
          <w:rFonts w:ascii="Corbel" w:hAnsi="Corbel"/>
          <w:b/>
          <w:sz w:val="22"/>
          <w:szCs w:val="22"/>
        </w:rPr>
        <w:t>Aspirational Scenario’ for Greater Geelong still an appropriate projection to use?</w:t>
      </w:r>
    </w:p>
    <w:p w14:paraId="629133D1" w14:textId="77777777" w:rsidR="00C351F3" w:rsidRPr="00C351F3" w:rsidRDefault="00C351F3" w:rsidP="00C351F3">
      <w:pPr>
        <w:rPr>
          <w:rFonts w:ascii="Corbel" w:hAnsi="Corbel"/>
          <w:b/>
          <w:sz w:val="22"/>
          <w:szCs w:val="22"/>
        </w:rPr>
      </w:pPr>
      <w:r w:rsidRPr="00C351F3">
        <w:rPr>
          <w:rFonts w:ascii="Corbel" w:hAnsi="Corbel"/>
          <w:b/>
          <w:sz w:val="22"/>
          <w:szCs w:val="22"/>
        </w:rPr>
        <w:t>Latest population trends</w:t>
      </w:r>
    </w:p>
    <w:p w14:paraId="777DC9B1" w14:textId="4A2D2193" w:rsidR="00C351F3" w:rsidRDefault="00C351F3" w:rsidP="00C351F3">
      <w:pPr>
        <w:spacing w:after="120"/>
        <w:rPr>
          <w:rFonts w:ascii="Corbel" w:hAnsi="Corbel"/>
          <w:sz w:val="22"/>
          <w:szCs w:val="22"/>
        </w:rPr>
      </w:pPr>
      <w:r w:rsidRPr="00C351F3">
        <w:rPr>
          <w:rFonts w:ascii="Corbel" w:hAnsi="Corbel"/>
          <w:sz w:val="22"/>
          <w:szCs w:val="22"/>
        </w:rPr>
        <w:t>It is appropriate to question the continued use of this projection given that the population growth rate (as estimated by the ABS) of Greater Geelong has dropped below 2.5% for the last two years. The following table shows the annual growth rates since 2016 and the sources of Greater Geelong’s  population growth</w:t>
      </w:r>
      <w:r>
        <w:rPr>
          <w:rFonts w:ascii="Corbel" w:hAnsi="Corbel"/>
          <w:sz w:val="22"/>
          <w:szCs w:val="22"/>
        </w:rPr>
        <w:t>.</w:t>
      </w:r>
    </w:p>
    <w:p w14:paraId="406DEFA0" w14:textId="7C8CB660" w:rsidR="00C351F3" w:rsidRPr="00C351F3" w:rsidRDefault="00C351F3" w:rsidP="00C351F3">
      <w:pPr>
        <w:rPr>
          <w:rFonts w:ascii="Corbel" w:hAnsi="Corbel"/>
          <w:sz w:val="22"/>
          <w:szCs w:val="22"/>
        </w:rPr>
      </w:pPr>
      <w:bookmarkStart w:id="11" w:name="_Hlk101101051"/>
      <w:r w:rsidRPr="00197F12">
        <w:rPr>
          <w:rFonts w:ascii="Corbel" w:hAnsi="Corbel"/>
          <w:b/>
          <w:bCs/>
          <w:sz w:val="22"/>
          <w:szCs w:val="22"/>
        </w:rPr>
        <w:t xml:space="preserve">Table </w:t>
      </w:r>
      <w:r w:rsidR="00197F12" w:rsidRPr="00197F12">
        <w:rPr>
          <w:rFonts w:ascii="Corbel" w:hAnsi="Corbel"/>
          <w:b/>
          <w:bCs/>
          <w:sz w:val="22"/>
          <w:szCs w:val="22"/>
        </w:rPr>
        <w:t>1</w:t>
      </w:r>
      <w:r w:rsidRPr="00197F12">
        <w:rPr>
          <w:rFonts w:ascii="Corbel" w:hAnsi="Corbel"/>
          <w:sz w:val="22"/>
          <w:szCs w:val="22"/>
        </w:rPr>
        <w:t>:</w:t>
      </w:r>
      <w:r>
        <w:rPr>
          <w:rFonts w:ascii="Corbel" w:hAnsi="Corbel"/>
          <w:sz w:val="22"/>
          <w:szCs w:val="22"/>
        </w:rPr>
        <w:t xml:space="preserve"> Estimated Resident Population, City of Greater Geelong</w:t>
      </w:r>
    </w:p>
    <w:bookmarkEnd w:id="11"/>
    <w:tbl>
      <w:tblPr>
        <w:tblStyle w:val="TableGrid0"/>
        <w:tblW w:w="0" w:type="auto"/>
        <w:tblLook w:val="04A0" w:firstRow="1" w:lastRow="0" w:firstColumn="1" w:lastColumn="0" w:noHBand="0" w:noVBand="1"/>
      </w:tblPr>
      <w:tblGrid>
        <w:gridCol w:w="1502"/>
        <w:gridCol w:w="1502"/>
        <w:gridCol w:w="1503"/>
        <w:gridCol w:w="1503"/>
        <w:gridCol w:w="1503"/>
        <w:gridCol w:w="1503"/>
      </w:tblGrid>
      <w:tr w:rsidR="00C351F3" w:rsidRPr="00C351F3" w14:paraId="76BFA65B" w14:textId="77777777" w:rsidTr="00C351F3">
        <w:tc>
          <w:tcPr>
            <w:tcW w:w="1502" w:type="dxa"/>
            <w:shd w:val="clear" w:color="auto" w:fill="C5D397"/>
          </w:tcPr>
          <w:p w14:paraId="2FAF734D" w14:textId="77777777" w:rsidR="00C351F3" w:rsidRPr="00C351F3" w:rsidRDefault="00C351F3" w:rsidP="00C351F3">
            <w:pPr>
              <w:spacing w:after="120"/>
              <w:rPr>
                <w:rFonts w:ascii="Corbel" w:hAnsi="Corbel"/>
                <w:sz w:val="22"/>
                <w:szCs w:val="22"/>
              </w:rPr>
            </w:pPr>
          </w:p>
        </w:tc>
        <w:tc>
          <w:tcPr>
            <w:tcW w:w="1502" w:type="dxa"/>
            <w:shd w:val="clear" w:color="auto" w:fill="C5D397"/>
          </w:tcPr>
          <w:p w14:paraId="78E72F4E" w14:textId="77777777" w:rsidR="00C351F3" w:rsidRPr="00C351F3" w:rsidRDefault="00C351F3" w:rsidP="00C351F3">
            <w:pPr>
              <w:spacing w:after="120"/>
              <w:jc w:val="center"/>
              <w:rPr>
                <w:rFonts w:ascii="Corbel" w:hAnsi="Corbel"/>
                <w:b/>
                <w:bCs/>
                <w:sz w:val="22"/>
                <w:szCs w:val="22"/>
              </w:rPr>
            </w:pPr>
            <w:r w:rsidRPr="00C351F3">
              <w:rPr>
                <w:rFonts w:ascii="Corbel" w:hAnsi="Corbel"/>
                <w:b/>
                <w:bCs/>
                <w:sz w:val="22"/>
                <w:szCs w:val="22"/>
              </w:rPr>
              <w:t>Natural Increase</w:t>
            </w:r>
          </w:p>
        </w:tc>
        <w:tc>
          <w:tcPr>
            <w:tcW w:w="1503" w:type="dxa"/>
            <w:shd w:val="clear" w:color="auto" w:fill="C5D397"/>
          </w:tcPr>
          <w:p w14:paraId="580EB779" w14:textId="77777777" w:rsidR="00C351F3" w:rsidRPr="00C351F3" w:rsidRDefault="00C351F3" w:rsidP="00C351F3">
            <w:pPr>
              <w:spacing w:after="120"/>
              <w:jc w:val="center"/>
              <w:rPr>
                <w:rFonts w:ascii="Corbel" w:hAnsi="Corbel"/>
                <w:b/>
                <w:bCs/>
                <w:sz w:val="22"/>
                <w:szCs w:val="22"/>
              </w:rPr>
            </w:pPr>
            <w:r w:rsidRPr="00C351F3">
              <w:rPr>
                <w:rFonts w:ascii="Corbel" w:hAnsi="Corbel"/>
                <w:b/>
                <w:bCs/>
                <w:sz w:val="22"/>
                <w:szCs w:val="22"/>
              </w:rPr>
              <w:t>Net Internal Migration</w:t>
            </w:r>
          </w:p>
        </w:tc>
        <w:tc>
          <w:tcPr>
            <w:tcW w:w="1503" w:type="dxa"/>
            <w:shd w:val="clear" w:color="auto" w:fill="C5D397"/>
          </w:tcPr>
          <w:p w14:paraId="47A18BC7" w14:textId="77777777" w:rsidR="00C351F3" w:rsidRPr="00C351F3" w:rsidRDefault="00C351F3" w:rsidP="00C351F3">
            <w:pPr>
              <w:spacing w:after="120"/>
              <w:jc w:val="center"/>
              <w:rPr>
                <w:rFonts w:ascii="Corbel" w:hAnsi="Corbel"/>
                <w:b/>
                <w:bCs/>
                <w:sz w:val="22"/>
                <w:szCs w:val="22"/>
              </w:rPr>
            </w:pPr>
            <w:r w:rsidRPr="00C351F3">
              <w:rPr>
                <w:rFonts w:ascii="Corbel" w:hAnsi="Corbel"/>
                <w:b/>
                <w:bCs/>
                <w:sz w:val="22"/>
                <w:szCs w:val="22"/>
              </w:rPr>
              <w:t>Net Overseas Migration</w:t>
            </w:r>
          </w:p>
        </w:tc>
        <w:tc>
          <w:tcPr>
            <w:tcW w:w="1503" w:type="dxa"/>
            <w:shd w:val="clear" w:color="auto" w:fill="C5D397"/>
          </w:tcPr>
          <w:p w14:paraId="1B7C1D93" w14:textId="77777777" w:rsidR="00C351F3" w:rsidRPr="00C351F3" w:rsidRDefault="00C351F3" w:rsidP="00C351F3">
            <w:pPr>
              <w:spacing w:after="120"/>
              <w:jc w:val="center"/>
              <w:rPr>
                <w:rFonts w:ascii="Corbel" w:hAnsi="Corbel"/>
                <w:b/>
                <w:bCs/>
                <w:sz w:val="22"/>
                <w:szCs w:val="22"/>
              </w:rPr>
            </w:pPr>
            <w:r w:rsidRPr="00C351F3">
              <w:rPr>
                <w:rFonts w:ascii="Corbel" w:hAnsi="Corbel"/>
                <w:b/>
                <w:bCs/>
                <w:sz w:val="22"/>
                <w:szCs w:val="22"/>
              </w:rPr>
              <w:t>Total</w:t>
            </w:r>
          </w:p>
        </w:tc>
        <w:tc>
          <w:tcPr>
            <w:tcW w:w="1503" w:type="dxa"/>
            <w:shd w:val="clear" w:color="auto" w:fill="C5D397"/>
          </w:tcPr>
          <w:p w14:paraId="0387406F" w14:textId="77777777" w:rsidR="00C351F3" w:rsidRPr="00C351F3" w:rsidRDefault="00C351F3" w:rsidP="00C351F3">
            <w:pPr>
              <w:spacing w:after="120"/>
              <w:jc w:val="center"/>
              <w:rPr>
                <w:rFonts w:ascii="Corbel" w:hAnsi="Corbel"/>
                <w:b/>
                <w:bCs/>
                <w:sz w:val="22"/>
                <w:szCs w:val="22"/>
              </w:rPr>
            </w:pPr>
            <w:r w:rsidRPr="00C351F3">
              <w:rPr>
                <w:rFonts w:ascii="Corbel" w:hAnsi="Corbel"/>
                <w:b/>
                <w:bCs/>
                <w:sz w:val="22"/>
                <w:szCs w:val="22"/>
              </w:rPr>
              <w:t>Annual Rate</w:t>
            </w:r>
          </w:p>
        </w:tc>
      </w:tr>
      <w:tr w:rsidR="00C351F3" w:rsidRPr="00C351F3" w14:paraId="0DE8E58B" w14:textId="77777777" w:rsidTr="00F172DD">
        <w:tc>
          <w:tcPr>
            <w:tcW w:w="1502" w:type="dxa"/>
          </w:tcPr>
          <w:p w14:paraId="315DEE91" w14:textId="77777777" w:rsidR="00C351F3" w:rsidRPr="00C351F3" w:rsidRDefault="00C351F3" w:rsidP="00C351F3">
            <w:pPr>
              <w:spacing w:after="120"/>
              <w:rPr>
                <w:rFonts w:ascii="Corbel" w:hAnsi="Corbel"/>
                <w:sz w:val="22"/>
                <w:szCs w:val="22"/>
              </w:rPr>
            </w:pPr>
            <w:r w:rsidRPr="00C351F3">
              <w:rPr>
                <w:rFonts w:ascii="Corbel" w:hAnsi="Corbel"/>
                <w:sz w:val="22"/>
                <w:szCs w:val="22"/>
              </w:rPr>
              <w:t>2016-17</w:t>
            </w:r>
          </w:p>
        </w:tc>
        <w:tc>
          <w:tcPr>
            <w:tcW w:w="1502" w:type="dxa"/>
          </w:tcPr>
          <w:p w14:paraId="7B95EDBD"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984</w:t>
            </w:r>
          </w:p>
        </w:tc>
        <w:tc>
          <w:tcPr>
            <w:tcW w:w="1503" w:type="dxa"/>
          </w:tcPr>
          <w:p w14:paraId="41CE6D49"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3,329</w:t>
            </w:r>
          </w:p>
        </w:tc>
        <w:tc>
          <w:tcPr>
            <w:tcW w:w="1503" w:type="dxa"/>
          </w:tcPr>
          <w:p w14:paraId="27436CA7"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1,886</w:t>
            </w:r>
          </w:p>
        </w:tc>
        <w:tc>
          <w:tcPr>
            <w:tcW w:w="1503" w:type="dxa"/>
          </w:tcPr>
          <w:p w14:paraId="60AC020E"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6,199</w:t>
            </w:r>
          </w:p>
        </w:tc>
        <w:tc>
          <w:tcPr>
            <w:tcW w:w="1503" w:type="dxa"/>
          </w:tcPr>
          <w:p w14:paraId="41D7C68D"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2.6%</w:t>
            </w:r>
          </w:p>
        </w:tc>
      </w:tr>
      <w:tr w:rsidR="00C351F3" w:rsidRPr="00C351F3" w14:paraId="2E167C7C" w14:textId="77777777" w:rsidTr="00F172DD">
        <w:tc>
          <w:tcPr>
            <w:tcW w:w="1502" w:type="dxa"/>
          </w:tcPr>
          <w:p w14:paraId="3ABAC290" w14:textId="77777777" w:rsidR="00C351F3" w:rsidRPr="00C351F3" w:rsidRDefault="00C351F3" w:rsidP="00C351F3">
            <w:pPr>
              <w:spacing w:after="120"/>
              <w:rPr>
                <w:rFonts w:ascii="Corbel" w:hAnsi="Corbel"/>
                <w:sz w:val="22"/>
                <w:szCs w:val="22"/>
              </w:rPr>
            </w:pPr>
            <w:r w:rsidRPr="00C351F3">
              <w:rPr>
                <w:rFonts w:ascii="Corbel" w:hAnsi="Corbel"/>
                <w:sz w:val="22"/>
                <w:szCs w:val="22"/>
              </w:rPr>
              <w:t>2017-18</w:t>
            </w:r>
          </w:p>
        </w:tc>
        <w:tc>
          <w:tcPr>
            <w:tcW w:w="1502" w:type="dxa"/>
          </w:tcPr>
          <w:p w14:paraId="29C6E994"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947</w:t>
            </w:r>
          </w:p>
        </w:tc>
        <w:tc>
          <w:tcPr>
            <w:tcW w:w="1503" w:type="dxa"/>
          </w:tcPr>
          <w:p w14:paraId="4EFB8F62"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3,663</w:t>
            </w:r>
          </w:p>
        </w:tc>
        <w:tc>
          <w:tcPr>
            <w:tcW w:w="1503" w:type="dxa"/>
          </w:tcPr>
          <w:p w14:paraId="23B87A6B"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1,891</w:t>
            </w:r>
          </w:p>
        </w:tc>
        <w:tc>
          <w:tcPr>
            <w:tcW w:w="1503" w:type="dxa"/>
          </w:tcPr>
          <w:p w14:paraId="773D3036"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6,501</w:t>
            </w:r>
          </w:p>
        </w:tc>
        <w:tc>
          <w:tcPr>
            <w:tcW w:w="1503" w:type="dxa"/>
          </w:tcPr>
          <w:p w14:paraId="016F838E"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2.6%</w:t>
            </w:r>
          </w:p>
        </w:tc>
      </w:tr>
      <w:tr w:rsidR="00C351F3" w:rsidRPr="00C351F3" w14:paraId="66E584E6" w14:textId="77777777" w:rsidTr="00F172DD">
        <w:tc>
          <w:tcPr>
            <w:tcW w:w="1502" w:type="dxa"/>
          </w:tcPr>
          <w:p w14:paraId="2FB266BC" w14:textId="77777777" w:rsidR="00C351F3" w:rsidRPr="00C351F3" w:rsidRDefault="00C351F3" w:rsidP="00C351F3">
            <w:pPr>
              <w:spacing w:after="120"/>
              <w:rPr>
                <w:rFonts w:ascii="Corbel" w:hAnsi="Corbel"/>
                <w:sz w:val="22"/>
                <w:szCs w:val="22"/>
              </w:rPr>
            </w:pPr>
            <w:r w:rsidRPr="00C351F3">
              <w:rPr>
                <w:rFonts w:ascii="Corbel" w:hAnsi="Corbel"/>
                <w:sz w:val="22"/>
                <w:szCs w:val="22"/>
              </w:rPr>
              <w:t>2018-19</w:t>
            </w:r>
          </w:p>
        </w:tc>
        <w:tc>
          <w:tcPr>
            <w:tcW w:w="1502" w:type="dxa"/>
          </w:tcPr>
          <w:p w14:paraId="6A1BF66D"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1,009</w:t>
            </w:r>
          </w:p>
        </w:tc>
        <w:tc>
          <w:tcPr>
            <w:tcW w:w="1503" w:type="dxa"/>
          </w:tcPr>
          <w:p w14:paraId="4DC997AA"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3,798</w:t>
            </w:r>
          </w:p>
        </w:tc>
        <w:tc>
          <w:tcPr>
            <w:tcW w:w="1503" w:type="dxa"/>
          </w:tcPr>
          <w:p w14:paraId="49CC31AB"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1,904</w:t>
            </w:r>
          </w:p>
        </w:tc>
        <w:tc>
          <w:tcPr>
            <w:tcW w:w="1503" w:type="dxa"/>
          </w:tcPr>
          <w:p w14:paraId="399A4FF4"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6,709</w:t>
            </w:r>
          </w:p>
        </w:tc>
        <w:tc>
          <w:tcPr>
            <w:tcW w:w="1503" w:type="dxa"/>
          </w:tcPr>
          <w:p w14:paraId="6FFA0D84"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2.7%</w:t>
            </w:r>
          </w:p>
        </w:tc>
      </w:tr>
      <w:tr w:rsidR="00C351F3" w:rsidRPr="00C351F3" w14:paraId="3DC3A3FF" w14:textId="77777777" w:rsidTr="00F172DD">
        <w:tc>
          <w:tcPr>
            <w:tcW w:w="1502" w:type="dxa"/>
          </w:tcPr>
          <w:p w14:paraId="0E2866D1" w14:textId="77777777" w:rsidR="00C351F3" w:rsidRPr="00C351F3" w:rsidRDefault="00C351F3" w:rsidP="00C351F3">
            <w:pPr>
              <w:spacing w:after="120"/>
              <w:rPr>
                <w:rFonts w:ascii="Corbel" w:hAnsi="Corbel"/>
                <w:sz w:val="22"/>
                <w:szCs w:val="22"/>
              </w:rPr>
            </w:pPr>
            <w:r w:rsidRPr="00C351F3">
              <w:rPr>
                <w:rFonts w:ascii="Corbel" w:hAnsi="Corbel"/>
                <w:sz w:val="22"/>
                <w:szCs w:val="22"/>
              </w:rPr>
              <w:t>2019-20</w:t>
            </w:r>
          </w:p>
        </w:tc>
        <w:tc>
          <w:tcPr>
            <w:tcW w:w="1502" w:type="dxa"/>
          </w:tcPr>
          <w:p w14:paraId="3EFD0BAF"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849</w:t>
            </w:r>
          </w:p>
        </w:tc>
        <w:tc>
          <w:tcPr>
            <w:tcW w:w="1503" w:type="dxa"/>
          </w:tcPr>
          <w:p w14:paraId="0CB6156A"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3,601</w:t>
            </w:r>
          </w:p>
        </w:tc>
        <w:tc>
          <w:tcPr>
            <w:tcW w:w="1503" w:type="dxa"/>
          </w:tcPr>
          <w:p w14:paraId="40603902"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1,395</w:t>
            </w:r>
          </w:p>
        </w:tc>
        <w:tc>
          <w:tcPr>
            <w:tcW w:w="1503" w:type="dxa"/>
          </w:tcPr>
          <w:p w14:paraId="4677CFBA"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5,845</w:t>
            </w:r>
          </w:p>
        </w:tc>
        <w:tc>
          <w:tcPr>
            <w:tcW w:w="1503" w:type="dxa"/>
          </w:tcPr>
          <w:p w14:paraId="7D68EFC7"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2.3%</w:t>
            </w:r>
          </w:p>
        </w:tc>
      </w:tr>
      <w:tr w:rsidR="00C351F3" w:rsidRPr="00C351F3" w14:paraId="7F6A2F83" w14:textId="77777777" w:rsidTr="00F172DD">
        <w:tc>
          <w:tcPr>
            <w:tcW w:w="1502" w:type="dxa"/>
          </w:tcPr>
          <w:p w14:paraId="15774D79" w14:textId="77777777" w:rsidR="00C351F3" w:rsidRPr="00C351F3" w:rsidRDefault="00C351F3" w:rsidP="00C351F3">
            <w:pPr>
              <w:spacing w:after="120"/>
              <w:rPr>
                <w:rFonts w:ascii="Corbel" w:hAnsi="Corbel"/>
                <w:sz w:val="22"/>
                <w:szCs w:val="22"/>
              </w:rPr>
            </w:pPr>
            <w:r w:rsidRPr="00C351F3">
              <w:rPr>
                <w:rFonts w:ascii="Corbel" w:hAnsi="Corbel"/>
                <w:sz w:val="22"/>
                <w:szCs w:val="22"/>
              </w:rPr>
              <w:t>2020-21</w:t>
            </w:r>
          </w:p>
        </w:tc>
        <w:tc>
          <w:tcPr>
            <w:tcW w:w="1502" w:type="dxa"/>
          </w:tcPr>
          <w:p w14:paraId="1CE3DAA6"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907</w:t>
            </w:r>
          </w:p>
        </w:tc>
        <w:tc>
          <w:tcPr>
            <w:tcW w:w="1503" w:type="dxa"/>
          </w:tcPr>
          <w:p w14:paraId="6C47D4EA"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4,305</w:t>
            </w:r>
          </w:p>
        </w:tc>
        <w:tc>
          <w:tcPr>
            <w:tcW w:w="1503" w:type="dxa"/>
          </w:tcPr>
          <w:p w14:paraId="1AC00135"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-487</w:t>
            </w:r>
          </w:p>
        </w:tc>
        <w:tc>
          <w:tcPr>
            <w:tcW w:w="1503" w:type="dxa"/>
          </w:tcPr>
          <w:p w14:paraId="52FB0CD1"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4,725</w:t>
            </w:r>
          </w:p>
        </w:tc>
        <w:tc>
          <w:tcPr>
            <w:tcW w:w="1503" w:type="dxa"/>
          </w:tcPr>
          <w:p w14:paraId="0427A178" w14:textId="77777777" w:rsidR="00C351F3" w:rsidRPr="00C351F3" w:rsidRDefault="00C351F3" w:rsidP="00C351F3">
            <w:pPr>
              <w:spacing w:after="120"/>
              <w:jc w:val="center"/>
              <w:rPr>
                <w:rFonts w:ascii="Corbel" w:hAnsi="Corbel"/>
                <w:sz w:val="22"/>
                <w:szCs w:val="22"/>
              </w:rPr>
            </w:pPr>
            <w:r w:rsidRPr="00C351F3">
              <w:rPr>
                <w:rFonts w:ascii="Corbel" w:hAnsi="Corbel"/>
                <w:sz w:val="22"/>
                <w:szCs w:val="22"/>
              </w:rPr>
              <w:t>1.8%</w:t>
            </w:r>
          </w:p>
        </w:tc>
      </w:tr>
    </w:tbl>
    <w:p w14:paraId="27ADBA44" w14:textId="5EFE4F51" w:rsidR="00C351F3" w:rsidRPr="00C351F3" w:rsidRDefault="00C351F3" w:rsidP="00C351F3">
      <w:pPr>
        <w:spacing w:after="120"/>
        <w:rPr>
          <w:rFonts w:ascii="Corbel" w:hAnsi="Corbel"/>
          <w:sz w:val="16"/>
          <w:szCs w:val="16"/>
        </w:rPr>
      </w:pPr>
      <w:r w:rsidRPr="00C351F3">
        <w:rPr>
          <w:rFonts w:ascii="Corbel" w:hAnsi="Corbel"/>
          <w:b/>
          <w:bCs/>
          <w:sz w:val="16"/>
          <w:szCs w:val="16"/>
        </w:rPr>
        <w:t>Source:</w:t>
      </w:r>
      <w:r w:rsidRPr="00C351F3">
        <w:rPr>
          <w:rFonts w:ascii="Corbel" w:hAnsi="Corbel"/>
          <w:sz w:val="16"/>
          <w:szCs w:val="16"/>
        </w:rPr>
        <w:t xml:space="preserve"> Australian Bureau of Statistics</w:t>
      </w:r>
    </w:p>
    <w:p w14:paraId="4ECF77FA" w14:textId="7050D2A3" w:rsidR="00C351F3" w:rsidRPr="00C351F3" w:rsidRDefault="00C351F3" w:rsidP="00C351F3">
      <w:pPr>
        <w:spacing w:after="120"/>
        <w:rPr>
          <w:rFonts w:ascii="Corbel" w:hAnsi="Corbel"/>
          <w:sz w:val="22"/>
          <w:szCs w:val="22"/>
        </w:rPr>
      </w:pPr>
      <w:r w:rsidRPr="00C351F3">
        <w:rPr>
          <w:rFonts w:ascii="Corbel" w:hAnsi="Corbel"/>
          <w:sz w:val="22"/>
          <w:szCs w:val="22"/>
        </w:rPr>
        <w:t>This table shows the following:</w:t>
      </w:r>
    </w:p>
    <w:p w14:paraId="083A9148" w14:textId="77777777" w:rsidR="00C351F3" w:rsidRPr="00C351F3" w:rsidRDefault="00C351F3" w:rsidP="00144287">
      <w:pPr>
        <w:pStyle w:val="ListParagraph"/>
        <w:numPr>
          <w:ilvl w:val="0"/>
          <w:numId w:val="10"/>
        </w:numPr>
        <w:spacing w:after="120"/>
        <w:contextualSpacing w:val="0"/>
        <w:rPr>
          <w:rFonts w:ascii="Corbel" w:hAnsi="Corbel"/>
          <w:sz w:val="22"/>
          <w:szCs w:val="22"/>
        </w:rPr>
      </w:pPr>
      <w:r w:rsidRPr="00C351F3">
        <w:rPr>
          <w:rFonts w:ascii="Corbel" w:hAnsi="Corbel"/>
          <w:sz w:val="22"/>
          <w:szCs w:val="22"/>
        </w:rPr>
        <w:t xml:space="preserve">Population growth, whether measured in absolute terms or as an annual  rate of growth, has fallen over the last two years. </w:t>
      </w:r>
    </w:p>
    <w:p w14:paraId="49E43A5E" w14:textId="77777777" w:rsidR="00C351F3" w:rsidRPr="00C351F3" w:rsidRDefault="00C351F3" w:rsidP="00144287">
      <w:pPr>
        <w:pStyle w:val="ListParagraph"/>
        <w:numPr>
          <w:ilvl w:val="0"/>
          <w:numId w:val="10"/>
        </w:numPr>
        <w:spacing w:after="120"/>
        <w:contextualSpacing w:val="0"/>
        <w:rPr>
          <w:rFonts w:ascii="Corbel" w:hAnsi="Corbel"/>
          <w:sz w:val="22"/>
          <w:szCs w:val="22"/>
        </w:rPr>
      </w:pPr>
      <w:r w:rsidRPr="00C351F3">
        <w:rPr>
          <w:rFonts w:ascii="Corbel" w:hAnsi="Corbel"/>
          <w:sz w:val="22"/>
          <w:szCs w:val="22"/>
        </w:rPr>
        <w:t xml:space="preserve">The principal reason for this loss has been the reduction in net oversea migration, which, in the last financial year, became negative. The reason for this change is of course due the impacts of Covid19 travel restrictions and lockdowns on the flows of international migrants, particularly backpackers and students. Victoria’s migration loss in 2020-2021 was -56,100, 54,400 of which came from Melbourne. Deakin University’s overseas student loss affected Geelong. </w:t>
      </w:r>
    </w:p>
    <w:p w14:paraId="539FFF5D" w14:textId="77777777" w:rsidR="00C351F3" w:rsidRPr="00C351F3" w:rsidRDefault="00C351F3" w:rsidP="00144287">
      <w:pPr>
        <w:pStyle w:val="ListParagraph"/>
        <w:numPr>
          <w:ilvl w:val="0"/>
          <w:numId w:val="10"/>
        </w:numPr>
        <w:spacing w:after="120"/>
        <w:contextualSpacing w:val="0"/>
        <w:rPr>
          <w:rFonts w:ascii="Corbel" w:hAnsi="Corbel"/>
          <w:sz w:val="22"/>
          <w:szCs w:val="22"/>
        </w:rPr>
      </w:pPr>
      <w:r w:rsidRPr="00C351F3">
        <w:rPr>
          <w:rFonts w:ascii="Corbel" w:hAnsi="Corbel"/>
          <w:sz w:val="22"/>
          <w:szCs w:val="22"/>
        </w:rPr>
        <w:t xml:space="preserve">The downturn in net overseas migration to Greater Geelong was partially offset by greater gains from internal migration. During 2020-2021 Melbourne lost heavily to both regional </w:t>
      </w:r>
      <w:r w:rsidRPr="00C351F3">
        <w:rPr>
          <w:rFonts w:ascii="Corbel" w:hAnsi="Corbel"/>
          <w:sz w:val="22"/>
          <w:szCs w:val="22"/>
        </w:rPr>
        <w:lastRenderedPageBreak/>
        <w:t>Victoria and interstate. Greater Geelong’s probably lost population to interstate but this was more than compensated for by greater net gains from Melbourne.</w:t>
      </w:r>
    </w:p>
    <w:p w14:paraId="3C147D1C" w14:textId="77777777" w:rsidR="00C351F3" w:rsidRPr="00C351F3" w:rsidRDefault="00C351F3" w:rsidP="00144287">
      <w:pPr>
        <w:pStyle w:val="ListParagraph"/>
        <w:numPr>
          <w:ilvl w:val="0"/>
          <w:numId w:val="10"/>
        </w:numPr>
        <w:spacing w:after="120"/>
        <w:contextualSpacing w:val="0"/>
        <w:rPr>
          <w:rFonts w:ascii="Corbel" w:hAnsi="Corbel"/>
          <w:sz w:val="22"/>
          <w:szCs w:val="22"/>
        </w:rPr>
      </w:pPr>
      <w:r w:rsidRPr="00C351F3">
        <w:rPr>
          <w:rFonts w:ascii="Corbel" w:hAnsi="Corbel"/>
          <w:sz w:val="22"/>
          <w:szCs w:val="22"/>
        </w:rPr>
        <w:t xml:space="preserve">A note of caution: All these statistics are from the latest ABS estimates. They are still based on the 2016 census and updated using Medicare data. However, Covid and the vaccination program have compromised the reliability of Medicare data in estimating resident populations. </w:t>
      </w:r>
    </w:p>
    <w:p w14:paraId="05F2F673" w14:textId="77777777" w:rsidR="00C351F3" w:rsidRPr="00F112AA" w:rsidRDefault="00C351F3" w:rsidP="00F112AA">
      <w:pPr>
        <w:rPr>
          <w:rFonts w:ascii="Corbel" w:hAnsi="Corbel"/>
          <w:b/>
          <w:sz w:val="22"/>
          <w:szCs w:val="22"/>
        </w:rPr>
      </w:pPr>
      <w:r w:rsidRPr="00F112AA">
        <w:rPr>
          <w:rFonts w:ascii="Corbel" w:hAnsi="Corbel"/>
          <w:b/>
          <w:sz w:val="22"/>
          <w:szCs w:val="22"/>
        </w:rPr>
        <w:t>Projections currently used by Commonwealth and State Governments</w:t>
      </w:r>
    </w:p>
    <w:p w14:paraId="54E54768" w14:textId="77777777" w:rsidR="00C351F3" w:rsidRPr="00C351F3" w:rsidRDefault="00C351F3" w:rsidP="00C351F3">
      <w:pPr>
        <w:spacing w:after="120"/>
        <w:rPr>
          <w:rFonts w:ascii="Corbel" w:hAnsi="Corbel"/>
          <w:sz w:val="22"/>
          <w:szCs w:val="22"/>
        </w:rPr>
      </w:pPr>
      <w:r w:rsidRPr="00C351F3">
        <w:rPr>
          <w:rFonts w:ascii="Corbel" w:hAnsi="Corbel"/>
          <w:sz w:val="22"/>
          <w:szCs w:val="22"/>
        </w:rPr>
        <w:t xml:space="preserve">Commonwealth and State Government agree that the assumptions made in pre Covid projections are still valid. </w:t>
      </w:r>
    </w:p>
    <w:p w14:paraId="7AF1525F" w14:textId="77777777" w:rsidR="00C351F3" w:rsidRPr="00F112AA" w:rsidRDefault="00C351F3" w:rsidP="00C351F3">
      <w:pPr>
        <w:spacing w:after="120"/>
        <w:rPr>
          <w:rFonts w:ascii="Corbel" w:hAnsi="Corbel"/>
          <w:sz w:val="22"/>
          <w:szCs w:val="22"/>
        </w:rPr>
      </w:pPr>
      <w:r w:rsidRPr="00C351F3">
        <w:rPr>
          <w:rFonts w:ascii="Corbel" w:hAnsi="Corbel"/>
          <w:sz w:val="22"/>
          <w:szCs w:val="22"/>
        </w:rPr>
        <w:t>There are four relevant projections currently in use by Commonwealth and State Governments:</w:t>
      </w:r>
    </w:p>
    <w:p w14:paraId="16F1EE71" w14:textId="31CB2405" w:rsidR="00C351F3" w:rsidRPr="00F112AA" w:rsidRDefault="00C351F3" w:rsidP="00144287">
      <w:pPr>
        <w:pStyle w:val="ListParagraph"/>
        <w:numPr>
          <w:ilvl w:val="0"/>
          <w:numId w:val="11"/>
        </w:numPr>
        <w:spacing w:after="120"/>
        <w:contextualSpacing w:val="0"/>
        <w:rPr>
          <w:rFonts w:ascii="Corbel" w:hAnsi="Corbel"/>
          <w:sz w:val="22"/>
          <w:szCs w:val="22"/>
        </w:rPr>
      </w:pPr>
      <w:r w:rsidRPr="00F112AA">
        <w:rPr>
          <w:rFonts w:ascii="Corbel" w:hAnsi="Corbel"/>
          <w:sz w:val="22"/>
          <w:szCs w:val="22"/>
        </w:rPr>
        <w:t>Victoria in Future 2019 published by DELWP in 2019. These were prepared prior to Covid and have not been updated. They are the only Government projections for regions and local government areas.</w:t>
      </w:r>
    </w:p>
    <w:p w14:paraId="5A551621" w14:textId="5F8712BB" w:rsidR="00C351F3" w:rsidRPr="00F112AA" w:rsidRDefault="00C351F3" w:rsidP="00144287">
      <w:pPr>
        <w:pStyle w:val="ListParagraph"/>
        <w:numPr>
          <w:ilvl w:val="0"/>
          <w:numId w:val="11"/>
        </w:numPr>
        <w:spacing w:after="120"/>
        <w:contextualSpacing w:val="0"/>
        <w:rPr>
          <w:rFonts w:ascii="Corbel" w:hAnsi="Corbel"/>
          <w:sz w:val="22"/>
          <w:szCs w:val="22"/>
        </w:rPr>
      </w:pPr>
      <w:r w:rsidRPr="00F112AA">
        <w:rPr>
          <w:rFonts w:ascii="Corbel" w:hAnsi="Corbel"/>
          <w:sz w:val="22"/>
          <w:szCs w:val="22"/>
        </w:rPr>
        <w:t xml:space="preserve">State Government budget projections, published in May 2021. These make a </w:t>
      </w:r>
      <w:r w:rsidR="00F112AA" w:rsidRPr="00F112AA">
        <w:rPr>
          <w:rFonts w:ascii="Corbel" w:hAnsi="Corbel"/>
          <w:sz w:val="22"/>
          <w:szCs w:val="22"/>
        </w:rPr>
        <w:t>four-year</w:t>
      </w:r>
      <w:r w:rsidRPr="00F112AA">
        <w:rPr>
          <w:rFonts w:ascii="Corbel" w:hAnsi="Corbel"/>
          <w:sz w:val="22"/>
          <w:szCs w:val="22"/>
        </w:rPr>
        <w:t xml:space="preserve"> projection for Victoria and assume that by 2023/24 population growth rates return to pre-Covid levels. </w:t>
      </w:r>
    </w:p>
    <w:p w14:paraId="0D3EC8DB" w14:textId="77777777" w:rsidR="00C351F3" w:rsidRPr="00F112AA" w:rsidRDefault="00C351F3" w:rsidP="00144287">
      <w:pPr>
        <w:pStyle w:val="ListParagraph"/>
        <w:numPr>
          <w:ilvl w:val="0"/>
          <w:numId w:val="11"/>
        </w:numPr>
        <w:spacing w:after="120"/>
        <w:contextualSpacing w:val="0"/>
        <w:rPr>
          <w:rFonts w:ascii="Corbel" w:hAnsi="Corbel"/>
          <w:sz w:val="22"/>
          <w:szCs w:val="22"/>
        </w:rPr>
      </w:pPr>
      <w:r w:rsidRPr="00F112AA">
        <w:rPr>
          <w:rFonts w:ascii="Corbel" w:hAnsi="Corbel"/>
          <w:sz w:val="22"/>
          <w:szCs w:val="22"/>
        </w:rPr>
        <w:t xml:space="preserve">The Commonwealth Treasury’s Centre for Population makes </w:t>
      </w:r>
      <w:proofErr w:type="gramStart"/>
      <w:r w:rsidRPr="00F112AA">
        <w:rPr>
          <w:rFonts w:ascii="Corbel" w:hAnsi="Corbel"/>
          <w:sz w:val="22"/>
          <w:szCs w:val="22"/>
        </w:rPr>
        <w:t>ten year</w:t>
      </w:r>
      <w:proofErr w:type="gramEnd"/>
      <w:r w:rsidRPr="00F112AA">
        <w:rPr>
          <w:rFonts w:ascii="Corbel" w:hAnsi="Corbel"/>
          <w:sz w:val="22"/>
          <w:szCs w:val="22"/>
        </w:rPr>
        <w:t xml:space="preserve"> projections for capital cities and rest of states (</w:t>
      </w:r>
      <w:proofErr w:type="spellStart"/>
      <w:r w:rsidRPr="00F112AA">
        <w:rPr>
          <w:rFonts w:ascii="Corbel" w:hAnsi="Corbel"/>
          <w:sz w:val="22"/>
          <w:szCs w:val="22"/>
        </w:rPr>
        <w:t>eg</w:t>
      </w:r>
      <w:proofErr w:type="spellEnd"/>
      <w:r w:rsidRPr="00F112AA">
        <w:rPr>
          <w:rFonts w:ascii="Corbel" w:hAnsi="Corbel"/>
          <w:sz w:val="22"/>
          <w:szCs w:val="22"/>
        </w:rPr>
        <w:t xml:space="preserve"> Greater Melbourne and Regional Victoria).  It too assumes that population growth rates quickly return to pre Covid levels. Its last publication was December 2021. It projects that, by 2029, Melbourne’s population will surpass Sydney’s. </w:t>
      </w:r>
    </w:p>
    <w:p w14:paraId="3CAC3D5F" w14:textId="77777777" w:rsidR="00C351F3" w:rsidRPr="00F112AA" w:rsidRDefault="00C351F3" w:rsidP="00144287">
      <w:pPr>
        <w:pStyle w:val="ListParagraph"/>
        <w:numPr>
          <w:ilvl w:val="0"/>
          <w:numId w:val="11"/>
        </w:numPr>
        <w:spacing w:after="120"/>
        <w:contextualSpacing w:val="0"/>
        <w:rPr>
          <w:rFonts w:ascii="Corbel" w:hAnsi="Corbel"/>
          <w:sz w:val="22"/>
          <w:szCs w:val="22"/>
        </w:rPr>
      </w:pPr>
      <w:r w:rsidRPr="00F112AA">
        <w:rPr>
          <w:rFonts w:ascii="Corbel" w:hAnsi="Corbel"/>
          <w:sz w:val="22"/>
          <w:szCs w:val="22"/>
        </w:rPr>
        <w:t xml:space="preserve">The Commonwealth Government Intergeneration Report published in June 2021 makes a </w:t>
      </w:r>
      <w:proofErr w:type="gramStart"/>
      <w:r w:rsidRPr="00F112AA">
        <w:rPr>
          <w:rFonts w:ascii="Corbel" w:hAnsi="Corbel"/>
          <w:sz w:val="22"/>
          <w:szCs w:val="22"/>
        </w:rPr>
        <w:t>40 year</w:t>
      </w:r>
      <w:proofErr w:type="gramEnd"/>
      <w:r w:rsidRPr="00F112AA">
        <w:rPr>
          <w:rFonts w:ascii="Corbel" w:hAnsi="Corbel"/>
          <w:sz w:val="22"/>
          <w:szCs w:val="22"/>
        </w:rPr>
        <w:t xml:space="preserve"> projection for Australia and also assumes growth quickly returns to pre-Covid levels.</w:t>
      </w:r>
    </w:p>
    <w:p w14:paraId="36BB27C0" w14:textId="77777777" w:rsidR="00C351F3" w:rsidRPr="00C351F3" w:rsidRDefault="00C351F3" w:rsidP="00C351F3">
      <w:pPr>
        <w:spacing w:after="120"/>
        <w:rPr>
          <w:rFonts w:ascii="Corbel" w:hAnsi="Corbel"/>
          <w:sz w:val="22"/>
          <w:szCs w:val="22"/>
        </w:rPr>
      </w:pPr>
      <w:r w:rsidRPr="00F112AA">
        <w:rPr>
          <w:rFonts w:ascii="Corbel" w:hAnsi="Corbel"/>
          <w:sz w:val="22"/>
          <w:szCs w:val="22"/>
        </w:rPr>
        <w:t>There is agreement across Government that Covid is a dent in long term growth. That dent does reduce the size of projected populations because projections start from a lower base in 2023/24 had Covid not happened. But Covid has not resulted in changes to long term population growth</w:t>
      </w:r>
      <w:r w:rsidRPr="00C351F3">
        <w:rPr>
          <w:rFonts w:ascii="Corbel" w:hAnsi="Corbel"/>
          <w:sz w:val="22"/>
          <w:szCs w:val="22"/>
        </w:rPr>
        <w:t xml:space="preserve"> assumptions. </w:t>
      </w:r>
    </w:p>
    <w:p w14:paraId="44F0BA1B" w14:textId="1199F5C8" w:rsidR="00C351F3" w:rsidRPr="00F112AA" w:rsidRDefault="00C351F3" w:rsidP="00F112AA">
      <w:pPr>
        <w:rPr>
          <w:rFonts w:ascii="Corbel" w:hAnsi="Corbel"/>
          <w:b/>
          <w:sz w:val="22"/>
          <w:szCs w:val="22"/>
        </w:rPr>
      </w:pPr>
      <w:bookmarkStart w:id="12" w:name="_Hlk101102072"/>
      <w:r w:rsidRPr="00F112AA">
        <w:rPr>
          <w:rFonts w:ascii="Corbel" w:hAnsi="Corbel"/>
          <w:b/>
          <w:sz w:val="22"/>
          <w:szCs w:val="22"/>
        </w:rPr>
        <w:t>Is there a need to update population projections for Greater Geelong?</w:t>
      </w:r>
    </w:p>
    <w:bookmarkEnd w:id="12"/>
    <w:p w14:paraId="622070FA" w14:textId="77777777" w:rsidR="00C351F3" w:rsidRPr="00C351F3" w:rsidRDefault="00C351F3" w:rsidP="00F112AA">
      <w:pPr>
        <w:spacing w:after="120"/>
        <w:rPr>
          <w:rFonts w:ascii="Corbel" w:hAnsi="Corbel"/>
          <w:sz w:val="22"/>
          <w:szCs w:val="22"/>
        </w:rPr>
      </w:pPr>
      <w:r w:rsidRPr="00C351F3">
        <w:rPr>
          <w:rFonts w:ascii="Corbel" w:hAnsi="Corbel"/>
          <w:sz w:val="22"/>
          <w:szCs w:val="22"/>
        </w:rPr>
        <w:t>The short answer is no or at least not yet!</w:t>
      </w:r>
    </w:p>
    <w:p w14:paraId="119B187D" w14:textId="327D63FF" w:rsidR="00C351F3" w:rsidRPr="00C351F3" w:rsidRDefault="00C351F3" w:rsidP="00F112AA">
      <w:pPr>
        <w:spacing w:after="120"/>
        <w:rPr>
          <w:rFonts w:ascii="Corbel" w:hAnsi="Corbel"/>
          <w:sz w:val="22"/>
          <w:szCs w:val="22"/>
        </w:rPr>
      </w:pPr>
      <w:r w:rsidRPr="00C351F3">
        <w:rPr>
          <w:rFonts w:ascii="Corbel" w:hAnsi="Corbel"/>
          <w:sz w:val="22"/>
          <w:szCs w:val="22"/>
        </w:rPr>
        <w:t>The 2021 census is published in July 2022 which will give us a final resident population for 30</w:t>
      </w:r>
      <w:r w:rsidRPr="00C351F3">
        <w:rPr>
          <w:rFonts w:ascii="Corbel" w:hAnsi="Corbel"/>
          <w:sz w:val="22"/>
          <w:szCs w:val="22"/>
          <w:vertAlign w:val="superscript"/>
        </w:rPr>
        <w:t>th</w:t>
      </w:r>
      <w:r w:rsidRPr="00C351F3">
        <w:rPr>
          <w:rFonts w:ascii="Corbel" w:hAnsi="Corbel"/>
          <w:sz w:val="22"/>
          <w:szCs w:val="22"/>
        </w:rPr>
        <w:t xml:space="preserve"> June 2021. It may be higher or lower than the preliminary 2021 estimate published last week (29</w:t>
      </w:r>
      <w:r w:rsidRPr="00C351F3">
        <w:rPr>
          <w:rFonts w:ascii="Corbel" w:hAnsi="Corbel"/>
          <w:sz w:val="22"/>
          <w:szCs w:val="22"/>
          <w:vertAlign w:val="superscript"/>
        </w:rPr>
        <w:t>th</w:t>
      </w:r>
      <w:r w:rsidRPr="00C351F3">
        <w:rPr>
          <w:rFonts w:ascii="Corbel" w:hAnsi="Corbel"/>
          <w:sz w:val="22"/>
          <w:szCs w:val="22"/>
        </w:rPr>
        <w:t xml:space="preserve"> March)</w:t>
      </w:r>
      <w:r w:rsidR="00F112AA">
        <w:rPr>
          <w:rFonts w:ascii="Corbel" w:hAnsi="Corbel"/>
          <w:sz w:val="22"/>
          <w:szCs w:val="22"/>
        </w:rPr>
        <w:t>.</w:t>
      </w:r>
      <w:r w:rsidRPr="00C351F3">
        <w:rPr>
          <w:rFonts w:ascii="Corbel" w:hAnsi="Corbel"/>
          <w:sz w:val="22"/>
          <w:szCs w:val="22"/>
        </w:rPr>
        <w:t xml:space="preserve"> </w:t>
      </w:r>
    </w:p>
    <w:p w14:paraId="06073BF2" w14:textId="77777777" w:rsidR="00C351F3" w:rsidRPr="00C351F3" w:rsidRDefault="00C351F3" w:rsidP="00F112AA">
      <w:pPr>
        <w:spacing w:after="120"/>
        <w:rPr>
          <w:rFonts w:ascii="Corbel" w:hAnsi="Corbel"/>
          <w:sz w:val="22"/>
          <w:szCs w:val="22"/>
        </w:rPr>
      </w:pPr>
      <w:r w:rsidRPr="00C351F3">
        <w:rPr>
          <w:rFonts w:ascii="Corbel" w:hAnsi="Corbel"/>
          <w:sz w:val="22"/>
          <w:szCs w:val="22"/>
        </w:rPr>
        <w:t>That is the base number for new projections. At present there is no case for reviewing the assumptions behind the projections.</w:t>
      </w:r>
    </w:p>
    <w:p w14:paraId="5E935FCB" w14:textId="77777777" w:rsidR="00C351F3" w:rsidRPr="00C351F3" w:rsidRDefault="00C351F3" w:rsidP="00C351F3">
      <w:pPr>
        <w:spacing w:after="120"/>
        <w:rPr>
          <w:rFonts w:ascii="Corbel" w:hAnsi="Corbel"/>
          <w:sz w:val="22"/>
          <w:szCs w:val="22"/>
        </w:rPr>
      </w:pPr>
      <w:r w:rsidRPr="00C351F3">
        <w:rPr>
          <w:rFonts w:ascii="Corbel" w:hAnsi="Corbel"/>
          <w:sz w:val="22"/>
          <w:szCs w:val="22"/>
        </w:rPr>
        <w:t xml:space="preserve">The census will contain updated data on internal migration trends, household formation and dwelling occupancies. The full set of data should be available in October 2022. That is the time to critically review projections and the assumptions behind them.  </w:t>
      </w:r>
    </w:p>
    <w:p w14:paraId="56CEE761" w14:textId="0F71ECBB" w:rsidR="00C351F3" w:rsidRPr="00C351F3" w:rsidRDefault="00C351F3" w:rsidP="00C351F3">
      <w:pPr>
        <w:spacing w:after="120"/>
        <w:rPr>
          <w:rFonts w:ascii="Corbel" w:hAnsi="Corbel"/>
          <w:sz w:val="22"/>
          <w:szCs w:val="22"/>
        </w:rPr>
      </w:pPr>
      <w:bookmarkStart w:id="13" w:name="_Hlk101102111"/>
      <w:r w:rsidRPr="00C351F3">
        <w:rPr>
          <w:rFonts w:ascii="Corbel" w:hAnsi="Corbel"/>
          <w:sz w:val="22"/>
          <w:szCs w:val="22"/>
        </w:rPr>
        <w:t>The case made to support a growth rate of between 2% and 3% with a middle point 2.5% growth rate remains:</w:t>
      </w:r>
    </w:p>
    <w:p w14:paraId="5A8F5F03" w14:textId="7FBB2B59" w:rsidR="00C351F3" w:rsidRPr="00C351F3" w:rsidRDefault="00C351F3" w:rsidP="00144287">
      <w:pPr>
        <w:pStyle w:val="ListParagraph"/>
        <w:numPr>
          <w:ilvl w:val="0"/>
          <w:numId w:val="9"/>
        </w:numPr>
        <w:spacing w:after="120"/>
        <w:contextualSpacing w:val="0"/>
        <w:rPr>
          <w:rFonts w:ascii="Corbel" w:hAnsi="Corbel"/>
          <w:sz w:val="22"/>
          <w:szCs w:val="22"/>
        </w:rPr>
      </w:pPr>
      <w:r w:rsidRPr="00C351F3">
        <w:rPr>
          <w:rFonts w:ascii="Corbel" w:hAnsi="Corbel"/>
          <w:sz w:val="22"/>
          <w:szCs w:val="22"/>
        </w:rPr>
        <w:t>Victoria is expected to grow strongly underpinned by overseas migration</w:t>
      </w:r>
      <w:r w:rsidR="00F112AA">
        <w:rPr>
          <w:rFonts w:ascii="Corbel" w:hAnsi="Corbel"/>
          <w:sz w:val="22"/>
          <w:szCs w:val="22"/>
        </w:rPr>
        <w:t>; and</w:t>
      </w:r>
    </w:p>
    <w:p w14:paraId="493CC9B6" w14:textId="2D30B29A" w:rsidR="00C351F3" w:rsidRPr="00C351F3" w:rsidRDefault="00C351F3" w:rsidP="00144287">
      <w:pPr>
        <w:pStyle w:val="ListParagraph"/>
        <w:numPr>
          <w:ilvl w:val="0"/>
          <w:numId w:val="9"/>
        </w:numPr>
        <w:spacing w:after="120"/>
        <w:contextualSpacing w:val="0"/>
        <w:rPr>
          <w:rFonts w:ascii="Corbel" w:hAnsi="Corbel"/>
          <w:sz w:val="22"/>
          <w:szCs w:val="22"/>
        </w:rPr>
      </w:pPr>
      <w:r w:rsidRPr="00C351F3">
        <w:rPr>
          <w:rFonts w:ascii="Corbel" w:hAnsi="Corbel"/>
          <w:sz w:val="22"/>
          <w:szCs w:val="22"/>
        </w:rPr>
        <w:t xml:space="preserve">Geelong is expected to grow strongly owing to (a) its strong and diverse economy, (b) its proximity to a burgeoning Melbourne population, particularly </w:t>
      </w:r>
      <w:r w:rsidR="00534804" w:rsidRPr="00C351F3">
        <w:rPr>
          <w:rFonts w:ascii="Corbel" w:hAnsi="Corbel"/>
          <w:sz w:val="22"/>
          <w:szCs w:val="22"/>
        </w:rPr>
        <w:t>Melbourne</w:t>
      </w:r>
      <w:r w:rsidR="00534804">
        <w:rPr>
          <w:rFonts w:ascii="Corbel" w:hAnsi="Corbel"/>
          <w:sz w:val="22"/>
          <w:szCs w:val="22"/>
        </w:rPr>
        <w:t>’s</w:t>
      </w:r>
      <w:r w:rsidRPr="00C351F3">
        <w:rPr>
          <w:rFonts w:ascii="Corbel" w:hAnsi="Corbel"/>
          <w:sz w:val="22"/>
          <w:szCs w:val="22"/>
        </w:rPr>
        <w:t xml:space="preserve"> western suburbs and (c) its physical and environmental attributes.</w:t>
      </w:r>
    </w:p>
    <w:bookmarkEnd w:id="13"/>
    <w:p w14:paraId="5255BB8A" w14:textId="77777777" w:rsidR="00197F12" w:rsidRDefault="00197F12">
      <w:pPr>
        <w:spacing w:after="160" w:line="259" w:lineRule="auto"/>
        <w:rPr>
          <w:rFonts w:ascii="Corbel" w:hAnsi="Corbel"/>
          <w:b/>
          <w:sz w:val="22"/>
          <w:szCs w:val="22"/>
        </w:rPr>
      </w:pPr>
      <w:r>
        <w:rPr>
          <w:rFonts w:ascii="Corbel" w:hAnsi="Corbel"/>
          <w:b/>
          <w:sz w:val="22"/>
          <w:szCs w:val="22"/>
        </w:rPr>
        <w:br w:type="page"/>
      </w:r>
    </w:p>
    <w:p w14:paraId="71A745AB" w14:textId="3C16D0D1" w:rsidR="00931AFE" w:rsidRDefault="00931AFE" w:rsidP="00534804">
      <w:pPr>
        <w:rPr>
          <w:rFonts w:ascii="Corbel" w:hAnsi="Corbel"/>
          <w:b/>
          <w:sz w:val="22"/>
          <w:szCs w:val="22"/>
        </w:rPr>
      </w:pPr>
      <w:r w:rsidRPr="00197F12">
        <w:rPr>
          <w:rFonts w:ascii="Corbel" w:hAnsi="Corbel"/>
          <w:b/>
          <w:sz w:val="22"/>
          <w:szCs w:val="22"/>
        </w:rPr>
        <w:lastRenderedPageBreak/>
        <w:t>Dwelling Projections</w:t>
      </w:r>
    </w:p>
    <w:p w14:paraId="4634FBB9" w14:textId="2CD19137" w:rsidR="00DC4B9F" w:rsidRDefault="00DC4B9F" w:rsidP="00DC4B9F">
      <w:pPr>
        <w:spacing w:after="120"/>
        <w:ind w:right="164"/>
        <w:rPr>
          <w:rFonts w:ascii="Corbel" w:hAnsi="Corbel"/>
          <w:sz w:val="22"/>
          <w:szCs w:val="22"/>
        </w:rPr>
      </w:pPr>
      <w:r>
        <w:rPr>
          <w:rFonts w:ascii="Corbel" w:hAnsi="Corbel"/>
          <w:sz w:val="22"/>
          <w:szCs w:val="22"/>
        </w:rPr>
        <w:t>Future dwelling requirements are based on the planning growth scenario of a 2.5% population growth rate. Spatial Economics have calculated the dwelling requirements based on an estimated dwelling stock in 2021 (to be revised upon release of the Australian Bureau of Statistics Population and Housing Census in July 2022).</w:t>
      </w:r>
    </w:p>
    <w:p w14:paraId="79A9BA7A" w14:textId="359EAEC8" w:rsidR="00DC4B9F" w:rsidRDefault="00DC4B9F" w:rsidP="00DC4B9F">
      <w:pPr>
        <w:spacing w:after="120"/>
        <w:ind w:right="164"/>
        <w:rPr>
          <w:rFonts w:ascii="Corbel" w:hAnsi="Corbel"/>
          <w:sz w:val="22"/>
          <w:szCs w:val="22"/>
        </w:rPr>
      </w:pPr>
      <w:bookmarkStart w:id="14" w:name="_Hlk101108269"/>
      <w:r>
        <w:rPr>
          <w:rFonts w:ascii="Corbel" w:hAnsi="Corbel"/>
          <w:sz w:val="22"/>
          <w:szCs w:val="22"/>
        </w:rPr>
        <w:t xml:space="preserve">Due to the significant and all-time high volumes of residential greenfield land pre-sales, Spatial Economics have assumed that from March 2022 to the end of the calendar year </w:t>
      </w:r>
      <w:r w:rsidR="004B12A7">
        <w:rPr>
          <w:rFonts w:ascii="Corbel" w:hAnsi="Corbel"/>
          <w:sz w:val="22"/>
          <w:szCs w:val="22"/>
        </w:rPr>
        <w:t xml:space="preserve">of </w:t>
      </w:r>
      <w:r>
        <w:rPr>
          <w:rFonts w:ascii="Corbel" w:hAnsi="Corbel"/>
          <w:sz w:val="22"/>
          <w:szCs w:val="22"/>
        </w:rPr>
        <w:t>2023</w:t>
      </w:r>
      <w:r w:rsidR="004B12A7">
        <w:rPr>
          <w:rFonts w:ascii="Corbel" w:hAnsi="Corbel"/>
          <w:sz w:val="22"/>
          <w:szCs w:val="22"/>
        </w:rPr>
        <w:t>,</w:t>
      </w:r>
      <w:r>
        <w:rPr>
          <w:rFonts w:ascii="Corbel" w:hAnsi="Corbel"/>
          <w:sz w:val="22"/>
          <w:szCs w:val="22"/>
        </w:rPr>
        <w:t xml:space="preserve"> continued levels of peak construction activity will continue at approximately 3,500 greenfield lots per annum.</w:t>
      </w:r>
    </w:p>
    <w:p w14:paraId="7F63C517" w14:textId="77777777" w:rsidR="00DC4B9F" w:rsidRDefault="00DC4B9F" w:rsidP="00DC4B9F">
      <w:pPr>
        <w:spacing w:after="120"/>
        <w:ind w:right="164"/>
        <w:rPr>
          <w:rFonts w:ascii="Corbel" w:hAnsi="Corbel"/>
          <w:sz w:val="22"/>
          <w:szCs w:val="22"/>
        </w:rPr>
      </w:pPr>
      <w:bookmarkStart w:id="15" w:name="_Hlk101108313"/>
      <w:bookmarkEnd w:id="14"/>
      <w:r>
        <w:rPr>
          <w:rFonts w:ascii="Corbel" w:hAnsi="Corbel"/>
          <w:sz w:val="22"/>
          <w:szCs w:val="22"/>
        </w:rPr>
        <w:t>From January 2024, the 2.5% population growth scenario is applied to estimate the total dwelling requirements for the City of Greater Geelong.</w:t>
      </w:r>
    </w:p>
    <w:bookmarkEnd w:id="15"/>
    <w:p w14:paraId="318CFD6A" w14:textId="7EBCAFB0" w:rsidR="00DC4B9F" w:rsidRDefault="00DC4B9F" w:rsidP="00DC4B9F">
      <w:pPr>
        <w:spacing w:after="120"/>
        <w:ind w:right="164"/>
        <w:rPr>
          <w:rFonts w:ascii="Corbel" w:hAnsi="Corbel"/>
          <w:sz w:val="22"/>
          <w:szCs w:val="22"/>
        </w:rPr>
      </w:pPr>
      <w:r>
        <w:rPr>
          <w:rFonts w:ascii="Corbel" w:hAnsi="Corbel"/>
          <w:sz w:val="22"/>
          <w:szCs w:val="22"/>
        </w:rPr>
        <w:t>The assumption of 75% of all dwelling requirements will be sourced from greenfield lands is still assumed.</w:t>
      </w:r>
    </w:p>
    <w:p w14:paraId="5503BDA0" w14:textId="672D7017" w:rsidR="003B6C1C" w:rsidRPr="00C71E6F" w:rsidRDefault="003B6C1C" w:rsidP="003B6C1C">
      <w:pPr>
        <w:ind w:right="164"/>
        <w:rPr>
          <w:rFonts w:ascii="Corbel" w:hAnsi="Corbel"/>
          <w:sz w:val="22"/>
          <w:szCs w:val="22"/>
        </w:rPr>
      </w:pPr>
      <w:bookmarkStart w:id="16" w:name="_Hlk101101094"/>
      <w:r w:rsidRPr="00197F12">
        <w:rPr>
          <w:rFonts w:ascii="Corbel" w:hAnsi="Corbel"/>
          <w:b/>
          <w:bCs/>
          <w:sz w:val="22"/>
          <w:szCs w:val="22"/>
        </w:rPr>
        <w:t xml:space="preserve">Table </w:t>
      </w:r>
      <w:r w:rsidR="00197F12">
        <w:rPr>
          <w:rFonts w:ascii="Corbel" w:hAnsi="Corbel"/>
          <w:b/>
          <w:bCs/>
          <w:sz w:val="22"/>
          <w:szCs w:val="22"/>
        </w:rPr>
        <w:t>2</w:t>
      </w:r>
      <w:r>
        <w:rPr>
          <w:rFonts w:ascii="Corbel" w:hAnsi="Corbel"/>
          <w:sz w:val="22"/>
          <w:szCs w:val="22"/>
        </w:rPr>
        <w:t>: Broadhectare Lot/Dwelling Growth Scenario</w:t>
      </w:r>
    </w:p>
    <w:tbl>
      <w:tblPr>
        <w:tblW w:w="7260" w:type="dxa"/>
        <w:tblLook w:val="04A0" w:firstRow="1" w:lastRow="0" w:firstColumn="1" w:lastColumn="0" w:noHBand="0" w:noVBand="1"/>
      </w:tblPr>
      <w:tblGrid>
        <w:gridCol w:w="2476"/>
        <w:gridCol w:w="1196"/>
        <w:gridCol w:w="1196"/>
        <w:gridCol w:w="1196"/>
        <w:gridCol w:w="1196"/>
      </w:tblGrid>
      <w:tr w:rsidR="003B6C1C" w:rsidRPr="003B6C1C" w14:paraId="43844021" w14:textId="77777777" w:rsidTr="003B6C1C">
        <w:trPr>
          <w:trHeight w:val="288"/>
        </w:trPr>
        <w:tc>
          <w:tcPr>
            <w:tcW w:w="2476" w:type="dxa"/>
            <w:tcBorders>
              <w:top w:val="single" w:sz="4" w:space="0" w:color="auto"/>
              <w:left w:val="nil"/>
              <w:bottom w:val="single" w:sz="4" w:space="0" w:color="auto"/>
              <w:right w:val="nil"/>
            </w:tcBorders>
            <w:shd w:val="clear" w:color="auto" w:fill="C5D397"/>
            <w:noWrap/>
            <w:vAlign w:val="bottom"/>
            <w:hideMark/>
          </w:tcPr>
          <w:bookmarkEnd w:id="16"/>
          <w:p w14:paraId="33184278" w14:textId="77777777" w:rsidR="003B6C1C" w:rsidRPr="003B6C1C" w:rsidRDefault="003B6C1C" w:rsidP="003B6C1C">
            <w:pPr>
              <w:rPr>
                <w:rFonts w:ascii="Calibri" w:hAnsi="Calibri" w:cs="Calibri"/>
                <w:color w:val="000000"/>
                <w:sz w:val="22"/>
                <w:szCs w:val="22"/>
              </w:rPr>
            </w:pPr>
            <w:r w:rsidRPr="003B6C1C">
              <w:rPr>
                <w:rFonts w:ascii="Calibri" w:hAnsi="Calibri" w:cs="Calibri"/>
                <w:color w:val="000000"/>
                <w:sz w:val="22"/>
                <w:szCs w:val="22"/>
              </w:rPr>
              <w:t> </w:t>
            </w:r>
          </w:p>
        </w:tc>
        <w:tc>
          <w:tcPr>
            <w:tcW w:w="1196" w:type="dxa"/>
            <w:tcBorders>
              <w:top w:val="single" w:sz="4" w:space="0" w:color="auto"/>
              <w:left w:val="nil"/>
              <w:bottom w:val="single" w:sz="4" w:space="0" w:color="auto"/>
              <w:right w:val="nil"/>
            </w:tcBorders>
            <w:shd w:val="clear" w:color="auto" w:fill="C5D397"/>
            <w:noWrap/>
            <w:vAlign w:val="bottom"/>
            <w:hideMark/>
          </w:tcPr>
          <w:p w14:paraId="44BABD86" w14:textId="77777777" w:rsidR="003B6C1C" w:rsidRPr="003B6C1C" w:rsidRDefault="003B6C1C" w:rsidP="003B6C1C">
            <w:pPr>
              <w:jc w:val="center"/>
              <w:rPr>
                <w:rFonts w:ascii="Calibri" w:hAnsi="Calibri" w:cs="Calibri"/>
                <w:b/>
                <w:bCs/>
                <w:color w:val="000000"/>
                <w:sz w:val="22"/>
                <w:szCs w:val="22"/>
              </w:rPr>
            </w:pPr>
            <w:r w:rsidRPr="003B6C1C">
              <w:rPr>
                <w:rFonts w:ascii="Calibri" w:hAnsi="Calibri" w:cs="Calibri"/>
                <w:b/>
                <w:bCs/>
                <w:color w:val="000000"/>
                <w:sz w:val="22"/>
                <w:szCs w:val="22"/>
              </w:rPr>
              <w:t>2022 to 26</w:t>
            </w:r>
          </w:p>
        </w:tc>
        <w:tc>
          <w:tcPr>
            <w:tcW w:w="1196" w:type="dxa"/>
            <w:tcBorders>
              <w:top w:val="single" w:sz="4" w:space="0" w:color="auto"/>
              <w:left w:val="nil"/>
              <w:bottom w:val="single" w:sz="4" w:space="0" w:color="auto"/>
              <w:right w:val="nil"/>
            </w:tcBorders>
            <w:shd w:val="clear" w:color="auto" w:fill="C5D397"/>
            <w:noWrap/>
            <w:vAlign w:val="bottom"/>
            <w:hideMark/>
          </w:tcPr>
          <w:p w14:paraId="4B05A5E8" w14:textId="77777777" w:rsidR="003B6C1C" w:rsidRPr="003B6C1C" w:rsidRDefault="003B6C1C" w:rsidP="003B6C1C">
            <w:pPr>
              <w:jc w:val="center"/>
              <w:rPr>
                <w:rFonts w:ascii="Calibri" w:hAnsi="Calibri" w:cs="Calibri"/>
                <w:b/>
                <w:bCs/>
                <w:color w:val="000000"/>
                <w:sz w:val="22"/>
                <w:szCs w:val="22"/>
              </w:rPr>
            </w:pPr>
            <w:r w:rsidRPr="003B6C1C">
              <w:rPr>
                <w:rFonts w:ascii="Calibri" w:hAnsi="Calibri" w:cs="Calibri"/>
                <w:b/>
                <w:bCs/>
                <w:color w:val="000000"/>
                <w:sz w:val="22"/>
                <w:szCs w:val="22"/>
              </w:rPr>
              <w:t>2026 to 31</w:t>
            </w:r>
          </w:p>
        </w:tc>
        <w:tc>
          <w:tcPr>
            <w:tcW w:w="1196" w:type="dxa"/>
            <w:tcBorders>
              <w:top w:val="single" w:sz="4" w:space="0" w:color="auto"/>
              <w:left w:val="nil"/>
              <w:bottom w:val="single" w:sz="4" w:space="0" w:color="auto"/>
              <w:right w:val="nil"/>
            </w:tcBorders>
            <w:shd w:val="clear" w:color="auto" w:fill="C5D397"/>
            <w:noWrap/>
            <w:vAlign w:val="bottom"/>
            <w:hideMark/>
          </w:tcPr>
          <w:p w14:paraId="32BA8229" w14:textId="77777777" w:rsidR="003B6C1C" w:rsidRPr="003B6C1C" w:rsidRDefault="003B6C1C" w:rsidP="003B6C1C">
            <w:pPr>
              <w:jc w:val="center"/>
              <w:rPr>
                <w:rFonts w:ascii="Calibri" w:hAnsi="Calibri" w:cs="Calibri"/>
                <w:b/>
                <w:bCs/>
                <w:color w:val="000000"/>
                <w:sz w:val="22"/>
                <w:szCs w:val="22"/>
              </w:rPr>
            </w:pPr>
            <w:r w:rsidRPr="003B6C1C">
              <w:rPr>
                <w:rFonts w:ascii="Calibri" w:hAnsi="Calibri" w:cs="Calibri"/>
                <w:b/>
                <w:bCs/>
                <w:color w:val="000000"/>
                <w:sz w:val="22"/>
                <w:szCs w:val="22"/>
              </w:rPr>
              <w:t>2031 to 36</w:t>
            </w:r>
          </w:p>
        </w:tc>
        <w:tc>
          <w:tcPr>
            <w:tcW w:w="1196" w:type="dxa"/>
            <w:tcBorders>
              <w:top w:val="single" w:sz="4" w:space="0" w:color="auto"/>
              <w:left w:val="nil"/>
              <w:bottom w:val="single" w:sz="4" w:space="0" w:color="auto"/>
              <w:right w:val="nil"/>
            </w:tcBorders>
            <w:shd w:val="clear" w:color="auto" w:fill="C5D397"/>
            <w:noWrap/>
            <w:vAlign w:val="bottom"/>
            <w:hideMark/>
          </w:tcPr>
          <w:p w14:paraId="3820204F" w14:textId="77777777" w:rsidR="003B6C1C" w:rsidRPr="003B6C1C" w:rsidRDefault="003B6C1C" w:rsidP="003B6C1C">
            <w:pPr>
              <w:jc w:val="center"/>
              <w:rPr>
                <w:rFonts w:ascii="Calibri" w:hAnsi="Calibri" w:cs="Calibri"/>
                <w:b/>
                <w:bCs/>
                <w:color w:val="000000"/>
                <w:sz w:val="22"/>
                <w:szCs w:val="22"/>
              </w:rPr>
            </w:pPr>
            <w:r w:rsidRPr="003B6C1C">
              <w:rPr>
                <w:rFonts w:ascii="Calibri" w:hAnsi="Calibri" w:cs="Calibri"/>
                <w:b/>
                <w:bCs/>
                <w:color w:val="000000"/>
                <w:sz w:val="22"/>
                <w:szCs w:val="22"/>
              </w:rPr>
              <w:t>2036 to 41</w:t>
            </w:r>
          </w:p>
        </w:tc>
      </w:tr>
      <w:tr w:rsidR="003B6C1C" w:rsidRPr="003B6C1C" w14:paraId="38670DCA" w14:textId="77777777" w:rsidTr="003B6C1C">
        <w:trPr>
          <w:trHeight w:val="648"/>
        </w:trPr>
        <w:tc>
          <w:tcPr>
            <w:tcW w:w="2476" w:type="dxa"/>
            <w:tcBorders>
              <w:top w:val="nil"/>
              <w:left w:val="nil"/>
              <w:bottom w:val="nil"/>
              <w:right w:val="nil"/>
            </w:tcBorders>
            <w:shd w:val="clear" w:color="auto" w:fill="auto"/>
            <w:vAlign w:val="bottom"/>
            <w:hideMark/>
          </w:tcPr>
          <w:p w14:paraId="439D0C21" w14:textId="77777777" w:rsidR="003B6C1C" w:rsidRPr="003B6C1C" w:rsidRDefault="003B6C1C" w:rsidP="003B6C1C">
            <w:pPr>
              <w:rPr>
                <w:rFonts w:ascii="Calibri" w:hAnsi="Calibri" w:cs="Calibri"/>
                <w:color w:val="000000"/>
                <w:sz w:val="22"/>
                <w:szCs w:val="22"/>
              </w:rPr>
            </w:pPr>
            <w:r w:rsidRPr="003B6C1C">
              <w:rPr>
                <w:rFonts w:ascii="Calibri" w:hAnsi="Calibri" w:cs="Calibri"/>
                <w:color w:val="000000"/>
                <w:sz w:val="22"/>
                <w:szCs w:val="22"/>
              </w:rPr>
              <w:t>Average Annual Dwelling Requirement</w:t>
            </w:r>
          </w:p>
        </w:tc>
        <w:tc>
          <w:tcPr>
            <w:tcW w:w="1196" w:type="dxa"/>
            <w:tcBorders>
              <w:top w:val="nil"/>
              <w:left w:val="nil"/>
              <w:bottom w:val="nil"/>
              <w:right w:val="nil"/>
            </w:tcBorders>
            <w:shd w:val="clear" w:color="auto" w:fill="auto"/>
            <w:noWrap/>
            <w:vAlign w:val="bottom"/>
            <w:hideMark/>
          </w:tcPr>
          <w:p w14:paraId="7AE7152B" w14:textId="77777777" w:rsidR="003B6C1C" w:rsidRPr="003B6C1C" w:rsidRDefault="003B6C1C" w:rsidP="003B6C1C">
            <w:pPr>
              <w:jc w:val="center"/>
              <w:rPr>
                <w:rFonts w:ascii="Calibri" w:hAnsi="Calibri" w:cs="Calibri"/>
                <w:color w:val="000000"/>
                <w:sz w:val="22"/>
                <w:szCs w:val="22"/>
              </w:rPr>
            </w:pPr>
            <w:r w:rsidRPr="003B6C1C">
              <w:rPr>
                <w:rFonts w:ascii="Calibri" w:hAnsi="Calibri" w:cs="Calibri"/>
                <w:color w:val="000000"/>
                <w:sz w:val="22"/>
                <w:szCs w:val="22"/>
              </w:rPr>
              <w:t>3,191</w:t>
            </w:r>
          </w:p>
        </w:tc>
        <w:tc>
          <w:tcPr>
            <w:tcW w:w="1196" w:type="dxa"/>
            <w:tcBorders>
              <w:top w:val="nil"/>
              <w:left w:val="nil"/>
              <w:bottom w:val="nil"/>
              <w:right w:val="nil"/>
            </w:tcBorders>
            <w:shd w:val="clear" w:color="auto" w:fill="auto"/>
            <w:noWrap/>
            <w:vAlign w:val="bottom"/>
            <w:hideMark/>
          </w:tcPr>
          <w:p w14:paraId="0E2401E5" w14:textId="77777777" w:rsidR="003B6C1C" w:rsidRPr="003B6C1C" w:rsidRDefault="003B6C1C" w:rsidP="003B6C1C">
            <w:pPr>
              <w:jc w:val="center"/>
              <w:rPr>
                <w:rFonts w:ascii="Calibri" w:hAnsi="Calibri" w:cs="Calibri"/>
                <w:color w:val="000000"/>
                <w:sz w:val="22"/>
                <w:szCs w:val="22"/>
              </w:rPr>
            </w:pPr>
            <w:r w:rsidRPr="003B6C1C">
              <w:rPr>
                <w:rFonts w:ascii="Calibri" w:hAnsi="Calibri" w:cs="Calibri"/>
                <w:color w:val="000000"/>
                <w:sz w:val="22"/>
                <w:szCs w:val="22"/>
              </w:rPr>
              <w:t>2,919</w:t>
            </w:r>
          </w:p>
        </w:tc>
        <w:tc>
          <w:tcPr>
            <w:tcW w:w="1196" w:type="dxa"/>
            <w:tcBorders>
              <w:top w:val="nil"/>
              <w:left w:val="nil"/>
              <w:bottom w:val="nil"/>
              <w:right w:val="nil"/>
            </w:tcBorders>
            <w:shd w:val="clear" w:color="auto" w:fill="auto"/>
            <w:noWrap/>
            <w:vAlign w:val="bottom"/>
            <w:hideMark/>
          </w:tcPr>
          <w:p w14:paraId="166957A1" w14:textId="77777777" w:rsidR="003B6C1C" w:rsidRPr="003B6C1C" w:rsidRDefault="003B6C1C" w:rsidP="003B6C1C">
            <w:pPr>
              <w:jc w:val="center"/>
              <w:rPr>
                <w:rFonts w:ascii="Calibri" w:hAnsi="Calibri" w:cs="Calibri"/>
                <w:color w:val="000000"/>
                <w:sz w:val="22"/>
                <w:szCs w:val="22"/>
              </w:rPr>
            </w:pPr>
            <w:r w:rsidRPr="003B6C1C">
              <w:rPr>
                <w:rFonts w:ascii="Calibri" w:hAnsi="Calibri" w:cs="Calibri"/>
                <w:color w:val="000000"/>
                <w:sz w:val="22"/>
                <w:szCs w:val="22"/>
              </w:rPr>
              <w:t>3,335</w:t>
            </w:r>
          </w:p>
        </w:tc>
        <w:tc>
          <w:tcPr>
            <w:tcW w:w="1196" w:type="dxa"/>
            <w:tcBorders>
              <w:top w:val="nil"/>
              <w:left w:val="nil"/>
              <w:bottom w:val="nil"/>
              <w:right w:val="nil"/>
            </w:tcBorders>
            <w:shd w:val="clear" w:color="auto" w:fill="auto"/>
            <w:noWrap/>
            <w:vAlign w:val="bottom"/>
            <w:hideMark/>
          </w:tcPr>
          <w:p w14:paraId="6253801F" w14:textId="77777777" w:rsidR="003B6C1C" w:rsidRPr="003B6C1C" w:rsidRDefault="003B6C1C" w:rsidP="003B6C1C">
            <w:pPr>
              <w:jc w:val="center"/>
              <w:rPr>
                <w:rFonts w:ascii="Calibri" w:hAnsi="Calibri" w:cs="Calibri"/>
                <w:color w:val="000000"/>
                <w:sz w:val="22"/>
                <w:szCs w:val="22"/>
              </w:rPr>
            </w:pPr>
            <w:r w:rsidRPr="003B6C1C">
              <w:rPr>
                <w:rFonts w:ascii="Calibri" w:hAnsi="Calibri" w:cs="Calibri"/>
                <w:color w:val="000000"/>
                <w:sz w:val="22"/>
                <w:szCs w:val="22"/>
              </w:rPr>
              <w:t>3,810</w:t>
            </w:r>
          </w:p>
        </w:tc>
      </w:tr>
      <w:tr w:rsidR="003B6C1C" w:rsidRPr="003B6C1C" w14:paraId="598C300F" w14:textId="77777777" w:rsidTr="003B6C1C">
        <w:trPr>
          <w:trHeight w:val="648"/>
        </w:trPr>
        <w:tc>
          <w:tcPr>
            <w:tcW w:w="2476" w:type="dxa"/>
            <w:tcBorders>
              <w:top w:val="nil"/>
              <w:left w:val="nil"/>
              <w:bottom w:val="single" w:sz="4" w:space="0" w:color="auto"/>
              <w:right w:val="nil"/>
            </w:tcBorders>
            <w:shd w:val="clear" w:color="auto" w:fill="auto"/>
            <w:vAlign w:val="bottom"/>
            <w:hideMark/>
          </w:tcPr>
          <w:p w14:paraId="6488C0C4" w14:textId="77777777" w:rsidR="003B6C1C" w:rsidRPr="003B6C1C" w:rsidRDefault="003B6C1C" w:rsidP="003B6C1C">
            <w:pPr>
              <w:rPr>
                <w:rFonts w:ascii="Calibri" w:hAnsi="Calibri" w:cs="Calibri"/>
                <w:color w:val="000000"/>
                <w:sz w:val="22"/>
                <w:szCs w:val="22"/>
              </w:rPr>
            </w:pPr>
            <w:r w:rsidRPr="003B6C1C">
              <w:rPr>
                <w:rFonts w:ascii="Calibri" w:hAnsi="Calibri" w:cs="Calibri"/>
                <w:color w:val="000000"/>
                <w:sz w:val="22"/>
                <w:szCs w:val="22"/>
              </w:rPr>
              <w:t>Total Dwelling Requirement</w:t>
            </w:r>
          </w:p>
        </w:tc>
        <w:tc>
          <w:tcPr>
            <w:tcW w:w="1196" w:type="dxa"/>
            <w:tcBorders>
              <w:top w:val="nil"/>
              <w:left w:val="nil"/>
              <w:bottom w:val="single" w:sz="4" w:space="0" w:color="auto"/>
              <w:right w:val="nil"/>
            </w:tcBorders>
            <w:shd w:val="clear" w:color="auto" w:fill="auto"/>
            <w:noWrap/>
            <w:vAlign w:val="bottom"/>
            <w:hideMark/>
          </w:tcPr>
          <w:p w14:paraId="6D581CDB" w14:textId="77777777" w:rsidR="003B6C1C" w:rsidRPr="003B6C1C" w:rsidRDefault="003B6C1C" w:rsidP="003B6C1C">
            <w:pPr>
              <w:jc w:val="center"/>
              <w:rPr>
                <w:rFonts w:ascii="Calibri" w:hAnsi="Calibri" w:cs="Calibri"/>
                <w:color w:val="000000"/>
                <w:sz w:val="22"/>
                <w:szCs w:val="22"/>
              </w:rPr>
            </w:pPr>
            <w:r w:rsidRPr="003B6C1C">
              <w:rPr>
                <w:rFonts w:ascii="Calibri" w:hAnsi="Calibri" w:cs="Calibri"/>
                <w:color w:val="000000"/>
                <w:sz w:val="22"/>
                <w:szCs w:val="22"/>
              </w:rPr>
              <w:t>12,765</w:t>
            </w:r>
          </w:p>
        </w:tc>
        <w:tc>
          <w:tcPr>
            <w:tcW w:w="1196" w:type="dxa"/>
            <w:tcBorders>
              <w:top w:val="nil"/>
              <w:left w:val="nil"/>
              <w:bottom w:val="single" w:sz="4" w:space="0" w:color="auto"/>
              <w:right w:val="nil"/>
            </w:tcBorders>
            <w:shd w:val="clear" w:color="auto" w:fill="auto"/>
            <w:noWrap/>
            <w:vAlign w:val="bottom"/>
            <w:hideMark/>
          </w:tcPr>
          <w:p w14:paraId="6857EED9" w14:textId="77777777" w:rsidR="003B6C1C" w:rsidRPr="003B6C1C" w:rsidRDefault="003B6C1C" w:rsidP="003B6C1C">
            <w:pPr>
              <w:jc w:val="center"/>
              <w:rPr>
                <w:rFonts w:ascii="Calibri" w:hAnsi="Calibri" w:cs="Calibri"/>
                <w:color w:val="000000"/>
                <w:sz w:val="22"/>
                <w:szCs w:val="22"/>
              </w:rPr>
            </w:pPr>
            <w:r w:rsidRPr="003B6C1C">
              <w:rPr>
                <w:rFonts w:ascii="Calibri" w:hAnsi="Calibri" w:cs="Calibri"/>
                <w:color w:val="000000"/>
                <w:sz w:val="22"/>
                <w:szCs w:val="22"/>
              </w:rPr>
              <w:t>14,594</w:t>
            </w:r>
          </w:p>
        </w:tc>
        <w:tc>
          <w:tcPr>
            <w:tcW w:w="1196" w:type="dxa"/>
            <w:tcBorders>
              <w:top w:val="nil"/>
              <w:left w:val="nil"/>
              <w:bottom w:val="single" w:sz="4" w:space="0" w:color="auto"/>
              <w:right w:val="nil"/>
            </w:tcBorders>
            <w:shd w:val="clear" w:color="auto" w:fill="auto"/>
            <w:noWrap/>
            <w:vAlign w:val="bottom"/>
            <w:hideMark/>
          </w:tcPr>
          <w:p w14:paraId="1072ED40" w14:textId="77777777" w:rsidR="003B6C1C" w:rsidRPr="003B6C1C" w:rsidRDefault="003B6C1C" w:rsidP="003B6C1C">
            <w:pPr>
              <w:jc w:val="center"/>
              <w:rPr>
                <w:rFonts w:ascii="Calibri" w:hAnsi="Calibri" w:cs="Calibri"/>
                <w:color w:val="000000"/>
                <w:sz w:val="22"/>
                <w:szCs w:val="22"/>
              </w:rPr>
            </w:pPr>
            <w:r w:rsidRPr="003B6C1C">
              <w:rPr>
                <w:rFonts w:ascii="Calibri" w:hAnsi="Calibri" w:cs="Calibri"/>
                <w:color w:val="000000"/>
                <w:sz w:val="22"/>
                <w:szCs w:val="22"/>
              </w:rPr>
              <w:t>16,673</w:t>
            </w:r>
          </w:p>
        </w:tc>
        <w:tc>
          <w:tcPr>
            <w:tcW w:w="1196" w:type="dxa"/>
            <w:tcBorders>
              <w:top w:val="nil"/>
              <w:left w:val="nil"/>
              <w:bottom w:val="single" w:sz="4" w:space="0" w:color="auto"/>
              <w:right w:val="nil"/>
            </w:tcBorders>
            <w:shd w:val="clear" w:color="auto" w:fill="auto"/>
            <w:noWrap/>
            <w:vAlign w:val="bottom"/>
            <w:hideMark/>
          </w:tcPr>
          <w:p w14:paraId="240471BD" w14:textId="77777777" w:rsidR="003B6C1C" w:rsidRPr="003B6C1C" w:rsidRDefault="003B6C1C" w:rsidP="003B6C1C">
            <w:pPr>
              <w:jc w:val="center"/>
              <w:rPr>
                <w:rFonts w:ascii="Calibri" w:hAnsi="Calibri" w:cs="Calibri"/>
                <w:color w:val="000000"/>
                <w:sz w:val="22"/>
                <w:szCs w:val="22"/>
              </w:rPr>
            </w:pPr>
            <w:r w:rsidRPr="003B6C1C">
              <w:rPr>
                <w:rFonts w:ascii="Calibri" w:hAnsi="Calibri" w:cs="Calibri"/>
                <w:color w:val="000000"/>
                <w:sz w:val="22"/>
                <w:szCs w:val="22"/>
              </w:rPr>
              <w:t>19,049</w:t>
            </w:r>
          </w:p>
        </w:tc>
      </w:tr>
    </w:tbl>
    <w:p w14:paraId="1DC9661C" w14:textId="54A76963" w:rsidR="003B6C1C" w:rsidRPr="00C351F3" w:rsidRDefault="003B6C1C" w:rsidP="003B6C1C">
      <w:pPr>
        <w:spacing w:after="120"/>
        <w:rPr>
          <w:rFonts w:ascii="Corbel" w:hAnsi="Corbel"/>
          <w:sz w:val="16"/>
          <w:szCs w:val="16"/>
        </w:rPr>
      </w:pPr>
      <w:r w:rsidRPr="00C351F3">
        <w:rPr>
          <w:rFonts w:ascii="Corbel" w:hAnsi="Corbel"/>
          <w:b/>
          <w:bCs/>
          <w:sz w:val="16"/>
          <w:szCs w:val="16"/>
        </w:rPr>
        <w:t>Source:</w:t>
      </w:r>
      <w:r w:rsidRPr="00C351F3">
        <w:rPr>
          <w:rFonts w:ascii="Corbel" w:hAnsi="Corbel"/>
          <w:sz w:val="16"/>
          <w:szCs w:val="16"/>
        </w:rPr>
        <w:t xml:space="preserve"> </w:t>
      </w:r>
      <w:r>
        <w:rPr>
          <w:rFonts w:ascii="Corbel" w:hAnsi="Corbel"/>
          <w:sz w:val="16"/>
          <w:szCs w:val="16"/>
        </w:rPr>
        <w:t>Spatial Economics</w:t>
      </w:r>
    </w:p>
    <w:p w14:paraId="5B0AC3C0" w14:textId="01DA6507" w:rsidR="00316412" w:rsidRPr="00D8651D" w:rsidRDefault="00316412" w:rsidP="00534804">
      <w:pPr>
        <w:keepNext/>
        <w:rPr>
          <w:rFonts w:ascii="Corbel" w:hAnsi="Corbel"/>
          <w:b/>
          <w:sz w:val="22"/>
          <w:szCs w:val="22"/>
        </w:rPr>
      </w:pPr>
      <w:r w:rsidRPr="00D8651D">
        <w:rPr>
          <w:rFonts w:ascii="Corbel" w:hAnsi="Corbel"/>
          <w:b/>
          <w:sz w:val="22"/>
          <w:szCs w:val="22"/>
        </w:rPr>
        <w:t>An important note for users</w:t>
      </w:r>
    </w:p>
    <w:p w14:paraId="47047B16" w14:textId="77777777" w:rsidR="00316412" w:rsidRPr="00D8651D" w:rsidRDefault="00316412" w:rsidP="00316412">
      <w:pPr>
        <w:spacing w:after="120"/>
        <w:rPr>
          <w:rFonts w:ascii="Corbel" w:hAnsi="Corbel"/>
          <w:sz w:val="22"/>
          <w:szCs w:val="22"/>
        </w:rPr>
      </w:pPr>
      <w:r w:rsidRPr="00D8651D">
        <w:rPr>
          <w:rFonts w:ascii="Corbel" w:hAnsi="Corbel"/>
          <w:sz w:val="22"/>
          <w:szCs w:val="22"/>
        </w:rPr>
        <w:t xml:space="preserve">Data on population growth is subject to changes. At the current stage of the census cycle, we are most vulnerable to adjustments which can quickly alter population trends and the population projections which are based on such trends. When 2021 census data is published in July 2022, population estimates between 2017 and 2021 will be revised. These can be significant and change </w:t>
      </w:r>
      <w:proofErr w:type="gramStart"/>
      <w:r w:rsidRPr="00D8651D">
        <w:rPr>
          <w:rFonts w:ascii="Corbel" w:hAnsi="Corbel"/>
          <w:sz w:val="22"/>
          <w:szCs w:val="22"/>
        </w:rPr>
        <w:t>one’s</w:t>
      </w:r>
      <w:proofErr w:type="gramEnd"/>
      <w:r w:rsidRPr="00D8651D">
        <w:rPr>
          <w:rFonts w:ascii="Corbel" w:hAnsi="Corbel"/>
          <w:sz w:val="22"/>
          <w:szCs w:val="22"/>
        </w:rPr>
        <w:t xml:space="preserve"> understanding about the extent and source of population growth. </w:t>
      </w:r>
    </w:p>
    <w:p w14:paraId="11F2C8C5" w14:textId="77777777" w:rsidR="00316412" w:rsidRPr="00D8651D" w:rsidRDefault="00316412" w:rsidP="00316412">
      <w:pPr>
        <w:spacing w:after="120"/>
        <w:rPr>
          <w:rFonts w:ascii="Corbel" w:hAnsi="Corbel"/>
          <w:sz w:val="22"/>
          <w:szCs w:val="22"/>
        </w:rPr>
      </w:pPr>
      <w:r w:rsidRPr="00D8651D">
        <w:rPr>
          <w:rFonts w:ascii="Corbel" w:hAnsi="Corbel"/>
          <w:sz w:val="22"/>
          <w:szCs w:val="22"/>
        </w:rPr>
        <w:t>The Estimated Resident Population or ERP is the official population figure most used by government. It is used to determine allocation of funding of Local and State Government by the Commonwealth Government. It is also used to determine the distribution of electorates. Population projections made by the ABS, the DELWP and by consultants use the ERP.</w:t>
      </w:r>
    </w:p>
    <w:p w14:paraId="2A0CF5E0" w14:textId="77777777" w:rsidR="00316412" w:rsidRPr="00D8651D" w:rsidRDefault="00316412" w:rsidP="00316412">
      <w:pPr>
        <w:spacing w:after="120"/>
        <w:rPr>
          <w:rFonts w:ascii="Corbel" w:hAnsi="Corbel"/>
          <w:sz w:val="22"/>
          <w:szCs w:val="22"/>
        </w:rPr>
      </w:pPr>
      <w:r w:rsidRPr="00D8651D">
        <w:rPr>
          <w:rFonts w:ascii="Corbel" w:hAnsi="Corbel"/>
          <w:sz w:val="22"/>
          <w:szCs w:val="22"/>
        </w:rPr>
        <w:t xml:space="preserve">The ERPs are used for a wide range of planning purposes – financial, land use, education, health, transport </w:t>
      </w:r>
      <w:proofErr w:type="gramStart"/>
      <w:r w:rsidRPr="00D8651D">
        <w:rPr>
          <w:rFonts w:ascii="Corbel" w:hAnsi="Corbel"/>
          <w:sz w:val="22"/>
          <w:szCs w:val="22"/>
        </w:rPr>
        <w:t>etc.</w:t>
      </w:r>
      <w:proofErr w:type="gramEnd"/>
    </w:p>
    <w:p w14:paraId="4E4150B7" w14:textId="6A7AD6E5" w:rsidR="00316412" w:rsidRPr="00D8651D" w:rsidRDefault="00316412" w:rsidP="00316412">
      <w:pPr>
        <w:spacing w:after="120"/>
        <w:rPr>
          <w:rFonts w:ascii="Corbel" w:hAnsi="Corbel"/>
          <w:sz w:val="22"/>
          <w:szCs w:val="22"/>
        </w:rPr>
      </w:pPr>
      <w:r w:rsidRPr="00827B30">
        <w:rPr>
          <w:rFonts w:ascii="Corbel" w:hAnsi="Corbel"/>
          <w:sz w:val="22"/>
          <w:szCs w:val="22"/>
        </w:rPr>
        <w:t xml:space="preserve">The ERP is published by the ABS, quarterly for States and Territories and annually for regions, Local Government Areas and for State and Territories. . The annual estimate is for the </w:t>
      </w:r>
      <w:proofErr w:type="gramStart"/>
      <w:r w:rsidRPr="00827B30">
        <w:rPr>
          <w:rFonts w:ascii="Corbel" w:hAnsi="Corbel"/>
          <w:sz w:val="22"/>
          <w:szCs w:val="22"/>
        </w:rPr>
        <w:t>30</w:t>
      </w:r>
      <w:r w:rsidRPr="00827B30">
        <w:rPr>
          <w:rFonts w:ascii="Corbel" w:hAnsi="Corbel"/>
          <w:sz w:val="22"/>
          <w:szCs w:val="22"/>
          <w:vertAlign w:val="superscript"/>
        </w:rPr>
        <w:t>th</w:t>
      </w:r>
      <w:proofErr w:type="gramEnd"/>
      <w:r w:rsidRPr="00827B30">
        <w:rPr>
          <w:rFonts w:ascii="Corbel" w:hAnsi="Corbel"/>
          <w:sz w:val="22"/>
          <w:szCs w:val="22"/>
        </w:rPr>
        <w:t xml:space="preserve"> June, the end of the financial year. The finest geographical level for which ERPs are published is the SA2. There are 461 SA2s in Victoria.  </w:t>
      </w:r>
      <w:r w:rsidRPr="00D8651D">
        <w:rPr>
          <w:rFonts w:ascii="Corbel" w:hAnsi="Corbel"/>
          <w:sz w:val="22"/>
          <w:szCs w:val="22"/>
        </w:rPr>
        <w:t xml:space="preserve"> </w:t>
      </w:r>
    </w:p>
    <w:p w14:paraId="3AC25B1E" w14:textId="77777777" w:rsidR="00316412" w:rsidRPr="00D8651D" w:rsidRDefault="00316412" w:rsidP="00316412">
      <w:pPr>
        <w:spacing w:after="120"/>
        <w:rPr>
          <w:rFonts w:ascii="Corbel" w:hAnsi="Corbel"/>
          <w:sz w:val="22"/>
          <w:szCs w:val="22"/>
        </w:rPr>
      </w:pPr>
      <w:r w:rsidRPr="00D8651D">
        <w:rPr>
          <w:rFonts w:ascii="Corbel" w:hAnsi="Corbel"/>
          <w:sz w:val="22"/>
          <w:szCs w:val="22"/>
        </w:rPr>
        <w:t>The ERP is based on census counts. The five yearly census is undertaken in early August. ABS then backdates the population estimate to the previous 30</w:t>
      </w:r>
      <w:r w:rsidRPr="00D8651D">
        <w:rPr>
          <w:rFonts w:ascii="Corbel" w:hAnsi="Corbel"/>
          <w:sz w:val="22"/>
          <w:szCs w:val="22"/>
          <w:vertAlign w:val="superscript"/>
        </w:rPr>
        <w:t>th</w:t>
      </w:r>
      <w:r w:rsidRPr="00D8651D">
        <w:rPr>
          <w:rFonts w:ascii="Corbel" w:hAnsi="Corbel"/>
          <w:sz w:val="22"/>
          <w:szCs w:val="22"/>
        </w:rPr>
        <w:t xml:space="preserve"> June. This is done in a number of steps:</w:t>
      </w:r>
    </w:p>
    <w:p w14:paraId="4D2E512F" w14:textId="77777777" w:rsidR="00316412" w:rsidRPr="00D8651D" w:rsidRDefault="00316412" w:rsidP="00144287">
      <w:pPr>
        <w:pStyle w:val="ListParagraph"/>
        <w:numPr>
          <w:ilvl w:val="0"/>
          <w:numId w:val="5"/>
        </w:numPr>
        <w:spacing w:after="120" w:line="259" w:lineRule="auto"/>
        <w:contextualSpacing w:val="0"/>
        <w:rPr>
          <w:rFonts w:ascii="Corbel" w:hAnsi="Corbel"/>
          <w:sz w:val="22"/>
          <w:szCs w:val="22"/>
        </w:rPr>
      </w:pPr>
      <w:r w:rsidRPr="00D8651D">
        <w:rPr>
          <w:rFonts w:ascii="Corbel" w:hAnsi="Corbel"/>
          <w:sz w:val="22"/>
          <w:szCs w:val="22"/>
        </w:rPr>
        <w:t>It takes the usual resident population as recorded in the census. This excludes census night visitors but includes people who were elsewhere in Australia on census night and allocates them ‘back home’.</w:t>
      </w:r>
    </w:p>
    <w:p w14:paraId="04ED5643" w14:textId="77777777" w:rsidR="00316412" w:rsidRPr="00D8651D" w:rsidRDefault="00316412" w:rsidP="00144287">
      <w:pPr>
        <w:pStyle w:val="ListParagraph"/>
        <w:numPr>
          <w:ilvl w:val="0"/>
          <w:numId w:val="5"/>
        </w:numPr>
        <w:spacing w:after="120" w:line="259" w:lineRule="auto"/>
        <w:contextualSpacing w:val="0"/>
        <w:rPr>
          <w:rFonts w:ascii="Corbel" w:hAnsi="Corbel"/>
          <w:sz w:val="22"/>
          <w:szCs w:val="22"/>
        </w:rPr>
      </w:pPr>
      <w:r w:rsidRPr="00D8651D">
        <w:rPr>
          <w:rFonts w:ascii="Corbel" w:hAnsi="Corbel"/>
          <w:sz w:val="22"/>
          <w:szCs w:val="22"/>
        </w:rPr>
        <w:t>It includes the ABS’s estimate of the census undercount (</w:t>
      </w:r>
      <w:proofErr w:type="spellStart"/>
      <w:proofErr w:type="gramStart"/>
      <w:r w:rsidRPr="00D8651D">
        <w:rPr>
          <w:rFonts w:ascii="Corbel" w:hAnsi="Corbel"/>
          <w:sz w:val="22"/>
          <w:szCs w:val="22"/>
        </w:rPr>
        <w:t>ie</w:t>
      </w:r>
      <w:proofErr w:type="spellEnd"/>
      <w:proofErr w:type="gramEnd"/>
      <w:r w:rsidRPr="00D8651D">
        <w:rPr>
          <w:rFonts w:ascii="Corbel" w:hAnsi="Corbel"/>
          <w:sz w:val="22"/>
          <w:szCs w:val="22"/>
        </w:rPr>
        <w:t xml:space="preserve"> people missed by the census)</w:t>
      </w:r>
    </w:p>
    <w:p w14:paraId="2013082E" w14:textId="77777777" w:rsidR="00316412" w:rsidRPr="00D8651D" w:rsidRDefault="00316412" w:rsidP="00144287">
      <w:pPr>
        <w:pStyle w:val="ListParagraph"/>
        <w:numPr>
          <w:ilvl w:val="0"/>
          <w:numId w:val="5"/>
        </w:numPr>
        <w:spacing w:after="120" w:line="259" w:lineRule="auto"/>
        <w:contextualSpacing w:val="0"/>
        <w:rPr>
          <w:rFonts w:ascii="Corbel" w:hAnsi="Corbel"/>
          <w:sz w:val="22"/>
          <w:szCs w:val="22"/>
        </w:rPr>
      </w:pPr>
      <w:r w:rsidRPr="00D8651D">
        <w:rPr>
          <w:rFonts w:ascii="Corbel" w:hAnsi="Corbel"/>
          <w:sz w:val="22"/>
          <w:szCs w:val="22"/>
        </w:rPr>
        <w:t>It takes out people born between 30</w:t>
      </w:r>
      <w:r w:rsidRPr="00D8651D">
        <w:rPr>
          <w:rFonts w:ascii="Corbel" w:hAnsi="Corbel"/>
          <w:sz w:val="22"/>
          <w:szCs w:val="22"/>
          <w:vertAlign w:val="superscript"/>
        </w:rPr>
        <w:t>th</w:t>
      </w:r>
      <w:r w:rsidRPr="00D8651D">
        <w:rPr>
          <w:rFonts w:ascii="Corbel" w:hAnsi="Corbel"/>
          <w:sz w:val="22"/>
          <w:szCs w:val="22"/>
        </w:rPr>
        <w:t xml:space="preserve"> June and census night but includes people who died between 30</w:t>
      </w:r>
      <w:r w:rsidRPr="00D8651D">
        <w:rPr>
          <w:rFonts w:ascii="Corbel" w:hAnsi="Corbel"/>
          <w:sz w:val="22"/>
          <w:szCs w:val="22"/>
          <w:vertAlign w:val="superscript"/>
        </w:rPr>
        <w:t>th</w:t>
      </w:r>
      <w:r w:rsidRPr="00D8651D">
        <w:rPr>
          <w:rFonts w:ascii="Corbel" w:hAnsi="Corbel"/>
          <w:sz w:val="22"/>
          <w:szCs w:val="22"/>
        </w:rPr>
        <w:t xml:space="preserve"> June and census night</w:t>
      </w:r>
    </w:p>
    <w:p w14:paraId="152D9D43" w14:textId="77777777" w:rsidR="00316412" w:rsidRPr="00D8651D" w:rsidRDefault="00316412" w:rsidP="00144287">
      <w:pPr>
        <w:pStyle w:val="ListParagraph"/>
        <w:numPr>
          <w:ilvl w:val="0"/>
          <w:numId w:val="5"/>
        </w:numPr>
        <w:spacing w:after="120" w:line="259" w:lineRule="auto"/>
        <w:contextualSpacing w:val="0"/>
        <w:rPr>
          <w:rFonts w:ascii="Corbel" w:hAnsi="Corbel"/>
          <w:sz w:val="22"/>
          <w:szCs w:val="22"/>
        </w:rPr>
      </w:pPr>
      <w:r w:rsidRPr="00D8651D">
        <w:rPr>
          <w:rFonts w:ascii="Corbel" w:hAnsi="Corbel"/>
          <w:sz w:val="22"/>
          <w:szCs w:val="22"/>
        </w:rPr>
        <w:t xml:space="preserve">It includes people who were overseas at the time of the census but who normally live in Australia and allocates them to the place where they normally live. Nationally this can amount </w:t>
      </w:r>
      <w:r w:rsidRPr="00D8651D">
        <w:rPr>
          <w:rFonts w:ascii="Corbel" w:hAnsi="Corbel"/>
          <w:sz w:val="22"/>
          <w:szCs w:val="22"/>
        </w:rPr>
        <w:lastRenderedPageBreak/>
        <w:t>to several hundred thousand people, although will be a lot less in 2021 than in 2016 owing to Covid.</w:t>
      </w:r>
    </w:p>
    <w:p w14:paraId="11F6D0EF" w14:textId="77777777" w:rsidR="00316412" w:rsidRPr="00D8651D" w:rsidRDefault="00316412" w:rsidP="00316412">
      <w:pPr>
        <w:spacing w:after="120"/>
        <w:rPr>
          <w:rFonts w:ascii="Corbel" w:hAnsi="Corbel"/>
          <w:sz w:val="22"/>
          <w:szCs w:val="22"/>
        </w:rPr>
      </w:pPr>
      <w:r w:rsidRPr="00D8651D">
        <w:rPr>
          <w:rFonts w:ascii="Corbel" w:hAnsi="Corbel"/>
          <w:sz w:val="22"/>
          <w:szCs w:val="22"/>
        </w:rPr>
        <w:t xml:space="preserve">The ABS then updates ERPs each year relying on births and deaths data and Medicare data. </w:t>
      </w:r>
    </w:p>
    <w:p w14:paraId="44BA2023" w14:textId="72CAFABB" w:rsidR="00316412" w:rsidRPr="00D8651D" w:rsidRDefault="00316412" w:rsidP="00316412">
      <w:pPr>
        <w:spacing w:after="120"/>
        <w:rPr>
          <w:rFonts w:ascii="Corbel" w:hAnsi="Corbel"/>
          <w:sz w:val="22"/>
          <w:szCs w:val="22"/>
        </w:rPr>
      </w:pPr>
      <w:r w:rsidRPr="00D8651D">
        <w:rPr>
          <w:rFonts w:ascii="Corbel" w:hAnsi="Corbel"/>
          <w:sz w:val="22"/>
          <w:szCs w:val="22"/>
        </w:rPr>
        <w:t xml:space="preserve">The latest ‘preliminary’ population estimate for </w:t>
      </w:r>
      <w:r w:rsidR="002B4E19">
        <w:rPr>
          <w:rFonts w:ascii="Corbel" w:hAnsi="Corbel"/>
          <w:sz w:val="22"/>
          <w:szCs w:val="22"/>
        </w:rPr>
        <w:t>Geelong</w:t>
      </w:r>
      <w:r w:rsidRPr="00D8651D">
        <w:rPr>
          <w:rFonts w:ascii="Corbel" w:hAnsi="Corbel"/>
          <w:sz w:val="22"/>
          <w:szCs w:val="22"/>
        </w:rPr>
        <w:t xml:space="preserve"> was for 30</w:t>
      </w:r>
      <w:r w:rsidRPr="00D8651D">
        <w:rPr>
          <w:rFonts w:ascii="Corbel" w:hAnsi="Corbel"/>
          <w:sz w:val="22"/>
          <w:szCs w:val="22"/>
          <w:vertAlign w:val="superscript"/>
        </w:rPr>
        <w:t>th</w:t>
      </w:r>
      <w:r w:rsidRPr="00D8651D">
        <w:rPr>
          <w:rFonts w:ascii="Corbel" w:hAnsi="Corbel"/>
          <w:sz w:val="22"/>
          <w:szCs w:val="22"/>
        </w:rPr>
        <w:t xml:space="preserve"> June 202</w:t>
      </w:r>
      <w:r w:rsidR="002B4E19">
        <w:rPr>
          <w:rFonts w:ascii="Corbel" w:hAnsi="Corbel"/>
          <w:sz w:val="22"/>
          <w:szCs w:val="22"/>
        </w:rPr>
        <w:t>1</w:t>
      </w:r>
      <w:r w:rsidRPr="00D8651D">
        <w:rPr>
          <w:rFonts w:ascii="Corbel" w:hAnsi="Corbel"/>
          <w:sz w:val="22"/>
          <w:szCs w:val="22"/>
        </w:rPr>
        <w:t xml:space="preserve">, which was published </w:t>
      </w:r>
      <w:r w:rsidRPr="002B4E19">
        <w:rPr>
          <w:rFonts w:ascii="Corbel" w:hAnsi="Corbel"/>
          <w:sz w:val="22"/>
          <w:szCs w:val="22"/>
        </w:rPr>
        <w:t>in March 202</w:t>
      </w:r>
      <w:r w:rsidR="002B4E19" w:rsidRPr="002B4E19">
        <w:rPr>
          <w:rFonts w:ascii="Corbel" w:hAnsi="Corbel"/>
          <w:sz w:val="22"/>
          <w:szCs w:val="22"/>
        </w:rPr>
        <w:t>2</w:t>
      </w:r>
      <w:r w:rsidRPr="002B4E19">
        <w:rPr>
          <w:rFonts w:ascii="Corbel" w:hAnsi="Corbel"/>
          <w:sz w:val="22"/>
          <w:szCs w:val="22"/>
        </w:rPr>
        <w:t>. But this estimate will still be based on the 2016 census. With the publication of the 2021 census next</w:t>
      </w:r>
      <w:r w:rsidRPr="00D8651D">
        <w:rPr>
          <w:rFonts w:ascii="Corbel" w:hAnsi="Corbel"/>
          <w:sz w:val="22"/>
          <w:szCs w:val="22"/>
        </w:rPr>
        <w:t xml:space="preserve"> July, the ABS will publish ‘final’ ERPs for each year from 2017 to 2021.</w:t>
      </w:r>
    </w:p>
    <w:p w14:paraId="336FCB36" w14:textId="77777777" w:rsidR="00316412" w:rsidRPr="00D8651D" w:rsidRDefault="00316412" w:rsidP="00316412">
      <w:pPr>
        <w:spacing w:after="120"/>
        <w:rPr>
          <w:rFonts w:ascii="Corbel" w:hAnsi="Corbel"/>
          <w:sz w:val="22"/>
          <w:szCs w:val="22"/>
        </w:rPr>
      </w:pPr>
      <w:r w:rsidRPr="00D8651D">
        <w:rPr>
          <w:rFonts w:ascii="Corbel" w:hAnsi="Corbel"/>
          <w:sz w:val="22"/>
          <w:szCs w:val="22"/>
        </w:rPr>
        <w:t>The revisions to population estimates following a census can be significant. Following the 2016 census the 2016 ERP for Victoria was revised upwards by over 100,000, resulting in changed trends and changed prospects for future growth across Victoria.</w:t>
      </w:r>
    </w:p>
    <w:p w14:paraId="62D3B10E" w14:textId="5D1AEEE0" w:rsidR="00316412" w:rsidRPr="00D8651D" w:rsidRDefault="00316412" w:rsidP="00316412">
      <w:pPr>
        <w:spacing w:after="120"/>
        <w:rPr>
          <w:rFonts w:ascii="Corbel" w:hAnsi="Corbel"/>
          <w:sz w:val="22"/>
          <w:szCs w:val="22"/>
        </w:rPr>
      </w:pPr>
      <w:r w:rsidRPr="00D8651D">
        <w:rPr>
          <w:rFonts w:ascii="Corbel" w:hAnsi="Corbel"/>
          <w:sz w:val="22"/>
          <w:szCs w:val="22"/>
        </w:rPr>
        <w:t xml:space="preserve">In </w:t>
      </w:r>
      <w:r w:rsidR="002B4E19">
        <w:rPr>
          <w:rFonts w:ascii="Corbel" w:hAnsi="Corbel"/>
          <w:sz w:val="22"/>
          <w:szCs w:val="22"/>
        </w:rPr>
        <w:t>March</w:t>
      </w:r>
      <w:r w:rsidRPr="00D8651D">
        <w:rPr>
          <w:rFonts w:ascii="Corbel" w:hAnsi="Corbel"/>
          <w:sz w:val="22"/>
          <w:szCs w:val="22"/>
        </w:rPr>
        <w:t xml:space="preserve"> 202</w:t>
      </w:r>
      <w:r w:rsidR="002B4E19">
        <w:rPr>
          <w:rFonts w:ascii="Corbel" w:hAnsi="Corbel"/>
          <w:sz w:val="22"/>
          <w:szCs w:val="22"/>
        </w:rPr>
        <w:t>2</w:t>
      </w:r>
      <w:r w:rsidRPr="00D8651D">
        <w:rPr>
          <w:rFonts w:ascii="Corbel" w:hAnsi="Corbel"/>
          <w:sz w:val="22"/>
          <w:szCs w:val="22"/>
        </w:rPr>
        <w:t xml:space="preserve">, we are currently in the most vulnerable part of the five yearly cycle. </w:t>
      </w:r>
      <w:r w:rsidR="008E4D60" w:rsidRPr="00D8651D">
        <w:rPr>
          <w:rFonts w:ascii="Corbel" w:hAnsi="Corbel"/>
          <w:sz w:val="22"/>
          <w:szCs w:val="22"/>
        </w:rPr>
        <w:t>The current 202</w:t>
      </w:r>
      <w:r w:rsidR="008E4D60">
        <w:rPr>
          <w:rFonts w:ascii="Corbel" w:hAnsi="Corbel"/>
          <w:sz w:val="22"/>
          <w:szCs w:val="22"/>
        </w:rPr>
        <w:t xml:space="preserve">1 </w:t>
      </w:r>
      <w:r w:rsidR="008E4D60" w:rsidRPr="00D8651D">
        <w:rPr>
          <w:rFonts w:ascii="Corbel" w:hAnsi="Corbel"/>
          <w:sz w:val="22"/>
          <w:szCs w:val="22"/>
        </w:rPr>
        <w:t>estimate</w:t>
      </w:r>
      <w:r w:rsidRPr="00D8651D">
        <w:rPr>
          <w:rFonts w:ascii="Corbel" w:hAnsi="Corbel"/>
          <w:sz w:val="22"/>
          <w:szCs w:val="22"/>
        </w:rPr>
        <w:t xml:space="preserve"> are subject to change. No one knows whether estimates will be revised upwards to downwards or the extent of these changes. </w:t>
      </w:r>
    </w:p>
    <w:p w14:paraId="6E3C4923" w14:textId="542180EA" w:rsidR="00316412" w:rsidRPr="00D8651D" w:rsidRDefault="00316412" w:rsidP="00316412">
      <w:pPr>
        <w:spacing w:after="120"/>
        <w:rPr>
          <w:rFonts w:ascii="Corbel" w:hAnsi="Corbel"/>
          <w:sz w:val="22"/>
          <w:szCs w:val="22"/>
        </w:rPr>
      </w:pPr>
      <w:r w:rsidRPr="00D8651D">
        <w:rPr>
          <w:rFonts w:ascii="Corbel" w:hAnsi="Corbel"/>
          <w:sz w:val="22"/>
          <w:szCs w:val="22"/>
        </w:rPr>
        <w:t xml:space="preserve">The census also provides important information about the characteristics and sources of population growth and household formation. It is the kicking off point for updating our understanding of the dynamics of population change and the way that population organises itself into households that consume housing. </w:t>
      </w:r>
      <w:r w:rsidR="0016015B" w:rsidRPr="00D8651D">
        <w:rPr>
          <w:rFonts w:ascii="Corbel" w:hAnsi="Corbel"/>
          <w:sz w:val="22"/>
          <w:szCs w:val="22"/>
        </w:rPr>
        <w:t>Consequently,</w:t>
      </w:r>
      <w:r w:rsidRPr="00D8651D">
        <w:rPr>
          <w:rFonts w:ascii="Corbel" w:hAnsi="Corbel"/>
          <w:sz w:val="22"/>
          <w:szCs w:val="22"/>
        </w:rPr>
        <w:t xml:space="preserve"> it is the trigger for updating projections.</w:t>
      </w:r>
    </w:p>
    <w:p w14:paraId="19CEC8DD" w14:textId="2E08720E" w:rsidR="00316412" w:rsidRPr="00D8651D" w:rsidRDefault="00316412" w:rsidP="00316412">
      <w:pPr>
        <w:spacing w:after="120"/>
        <w:rPr>
          <w:rFonts w:ascii="Corbel" w:hAnsi="Corbel"/>
          <w:sz w:val="22"/>
          <w:szCs w:val="22"/>
        </w:rPr>
      </w:pPr>
      <w:r w:rsidRPr="00D8651D">
        <w:rPr>
          <w:rFonts w:ascii="Corbel" w:hAnsi="Corbel"/>
          <w:sz w:val="22"/>
          <w:szCs w:val="22"/>
        </w:rPr>
        <w:t xml:space="preserve">As of </w:t>
      </w:r>
      <w:r w:rsidR="008E4D60">
        <w:rPr>
          <w:rFonts w:ascii="Corbel" w:hAnsi="Corbel"/>
          <w:sz w:val="22"/>
          <w:szCs w:val="22"/>
        </w:rPr>
        <w:t>March</w:t>
      </w:r>
      <w:r w:rsidRPr="00D8651D">
        <w:rPr>
          <w:rFonts w:ascii="Corbel" w:hAnsi="Corbel"/>
          <w:sz w:val="22"/>
          <w:szCs w:val="22"/>
        </w:rPr>
        <w:t xml:space="preserve"> 202</w:t>
      </w:r>
      <w:r w:rsidR="00500B78">
        <w:rPr>
          <w:rFonts w:ascii="Corbel" w:hAnsi="Corbel"/>
          <w:sz w:val="22"/>
          <w:szCs w:val="22"/>
        </w:rPr>
        <w:t>2</w:t>
      </w:r>
      <w:r w:rsidRPr="00D8651D">
        <w:rPr>
          <w:rFonts w:ascii="Corbel" w:hAnsi="Corbel"/>
          <w:sz w:val="22"/>
          <w:szCs w:val="22"/>
        </w:rPr>
        <w:t>, the best advice to users is to (a) be aware of these issues, (b) keep a watching brief on revisions and, (c) be prepared to adjust business models once 2021 census data becomes available and projections are revised.</w:t>
      </w:r>
    </w:p>
    <w:p w14:paraId="2CFC9795" w14:textId="77777777" w:rsidR="00316412" w:rsidRPr="00D8651D" w:rsidRDefault="00316412" w:rsidP="00316412">
      <w:pPr>
        <w:rPr>
          <w:rFonts w:ascii="Corbel" w:hAnsi="Corbel"/>
          <w:b/>
          <w:sz w:val="22"/>
          <w:szCs w:val="22"/>
        </w:rPr>
      </w:pPr>
      <w:r>
        <w:rPr>
          <w:rFonts w:ascii="Corbel" w:hAnsi="Corbel"/>
          <w:b/>
          <w:sz w:val="22"/>
          <w:szCs w:val="22"/>
        </w:rPr>
        <w:t>T</w:t>
      </w:r>
      <w:r w:rsidRPr="00D8651D">
        <w:rPr>
          <w:rFonts w:ascii="Corbel" w:hAnsi="Corbel"/>
          <w:b/>
          <w:sz w:val="22"/>
          <w:szCs w:val="22"/>
        </w:rPr>
        <w:t>he Commonwealth and State Governments’ views on the impact of Covid:</w:t>
      </w:r>
    </w:p>
    <w:p w14:paraId="71500C0A" w14:textId="77777777" w:rsidR="00316412" w:rsidRPr="00D8651D" w:rsidRDefault="00316412" w:rsidP="00316412">
      <w:pPr>
        <w:spacing w:after="120"/>
        <w:rPr>
          <w:rFonts w:ascii="Corbel" w:hAnsi="Corbel" w:cstheme="minorHAnsi"/>
          <w:color w:val="000000"/>
          <w:sz w:val="22"/>
          <w:szCs w:val="22"/>
        </w:rPr>
      </w:pPr>
      <w:r w:rsidRPr="00D8651D">
        <w:rPr>
          <w:rFonts w:ascii="Corbel" w:hAnsi="Corbel" w:cstheme="minorHAnsi"/>
          <w:color w:val="000000"/>
          <w:sz w:val="22"/>
          <w:szCs w:val="22"/>
        </w:rPr>
        <w:t xml:space="preserve">In </w:t>
      </w:r>
      <w:proofErr w:type="gramStart"/>
      <w:r w:rsidRPr="00D8651D">
        <w:rPr>
          <w:rFonts w:ascii="Corbel" w:hAnsi="Corbel" w:cstheme="minorHAnsi"/>
          <w:color w:val="000000"/>
          <w:sz w:val="22"/>
          <w:szCs w:val="22"/>
        </w:rPr>
        <w:t>December 2020</w:t>
      </w:r>
      <w:proofErr w:type="gramEnd"/>
      <w:r w:rsidRPr="00D8651D">
        <w:rPr>
          <w:rFonts w:ascii="Corbel" w:hAnsi="Corbel" w:cstheme="minorHAnsi"/>
          <w:color w:val="000000"/>
          <w:sz w:val="22"/>
          <w:szCs w:val="22"/>
        </w:rPr>
        <w:t xml:space="preserve"> the Commonwealth Government's Centre for Population published a preliminary view on the impacts of COVID:</w:t>
      </w:r>
    </w:p>
    <w:p w14:paraId="26EABE77" w14:textId="77777777" w:rsidR="00316412" w:rsidRPr="00D8651D" w:rsidRDefault="00316412" w:rsidP="00316412">
      <w:pPr>
        <w:spacing w:after="120"/>
        <w:ind w:left="720"/>
        <w:rPr>
          <w:rFonts w:ascii="Corbel" w:hAnsi="Corbel" w:cstheme="minorHAnsi"/>
          <w:color w:val="000000"/>
          <w:sz w:val="22"/>
          <w:szCs w:val="22"/>
        </w:rPr>
      </w:pPr>
      <w:r w:rsidRPr="00D8651D">
        <w:rPr>
          <w:rFonts w:ascii="Corbel" w:hAnsi="Corbel" w:cstheme="minorHAnsi"/>
          <w:color w:val="000000"/>
          <w:sz w:val="22"/>
          <w:szCs w:val="22"/>
        </w:rPr>
        <w:t>“The impact of COVID-19 is expected to be long lasting. Australia’s population is expected to be smaller and older than projected prior to the onset of the pandemic.</w:t>
      </w:r>
    </w:p>
    <w:p w14:paraId="1699A530" w14:textId="77777777" w:rsidR="00316412" w:rsidRPr="00D8651D" w:rsidRDefault="00316412" w:rsidP="00316412">
      <w:pPr>
        <w:spacing w:after="120"/>
        <w:ind w:left="720"/>
        <w:rPr>
          <w:rFonts w:ascii="Corbel" w:hAnsi="Corbel" w:cstheme="minorHAnsi"/>
          <w:color w:val="000000"/>
          <w:sz w:val="22"/>
          <w:szCs w:val="22"/>
        </w:rPr>
      </w:pPr>
      <w:r w:rsidRPr="00D8651D">
        <w:rPr>
          <w:rFonts w:ascii="Corbel" w:hAnsi="Corbel" w:cstheme="minorHAnsi"/>
          <w:color w:val="000000"/>
          <w:sz w:val="22"/>
          <w:szCs w:val="22"/>
        </w:rPr>
        <w:t>Australia’s population is estimated to be around 4 per cent smaller (1.1 million fewer people) by 30 June 2031 than it would have been in the absence of COVID-19. The population will also be older as a result of reduced net overseas migration and fewer births. Despite COVID-19, Australia’s population is still growing and is expected to reach 28 million during 2028–29, three years later than estimated in the absence of COVID-19.</w:t>
      </w:r>
    </w:p>
    <w:p w14:paraId="1F62E0A1" w14:textId="77777777" w:rsidR="00316412" w:rsidRPr="00D8651D" w:rsidRDefault="00316412" w:rsidP="00316412">
      <w:pPr>
        <w:spacing w:after="120"/>
        <w:ind w:left="720"/>
        <w:rPr>
          <w:rFonts w:ascii="Corbel" w:hAnsi="Corbel" w:cstheme="minorHAnsi"/>
          <w:color w:val="000000"/>
          <w:sz w:val="22"/>
          <w:szCs w:val="22"/>
        </w:rPr>
      </w:pPr>
      <w:r w:rsidRPr="00D8651D">
        <w:rPr>
          <w:rFonts w:ascii="Corbel" w:hAnsi="Corbel" w:cstheme="minorHAnsi"/>
          <w:color w:val="000000"/>
          <w:sz w:val="22"/>
          <w:szCs w:val="22"/>
        </w:rPr>
        <w:t>COVID-19 is projected to slow population growth across all geographic areas analysed, with the duration and magnitude linked to the importance of net overseas migration to different parts of the country.</w:t>
      </w:r>
    </w:p>
    <w:p w14:paraId="2F505130" w14:textId="77777777" w:rsidR="00316412" w:rsidRPr="00D8651D" w:rsidRDefault="00316412" w:rsidP="00316412">
      <w:pPr>
        <w:spacing w:after="120"/>
        <w:ind w:left="720"/>
        <w:rPr>
          <w:rFonts w:ascii="Corbel" w:hAnsi="Corbel" w:cstheme="minorHAnsi"/>
          <w:color w:val="000000"/>
          <w:sz w:val="22"/>
          <w:szCs w:val="22"/>
        </w:rPr>
      </w:pPr>
      <w:r w:rsidRPr="00D8651D">
        <w:rPr>
          <w:rFonts w:ascii="Corbel" w:hAnsi="Corbel" w:cstheme="minorHAnsi"/>
          <w:color w:val="000000"/>
          <w:sz w:val="22"/>
          <w:szCs w:val="22"/>
        </w:rPr>
        <w:t>Capital cities are projected to bear the heaviest impacts, with total population across capital cities estimated to be around 5 per cent lower by 30 June 2031 than in the absence of COVID-19. By contrast, population outside the capital cities is estimated to be around 2 per cent smaller than it would otherwise have been.</w:t>
      </w:r>
    </w:p>
    <w:p w14:paraId="374769F7" w14:textId="77777777" w:rsidR="00316412" w:rsidRPr="00D8651D" w:rsidRDefault="00316412" w:rsidP="00316412">
      <w:pPr>
        <w:spacing w:after="120"/>
        <w:ind w:left="720"/>
        <w:rPr>
          <w:rFonts w:ascii="Corbel" w:hAnsi="Corbel" w:cstheme="minorHAnsi"/>
          <w:color w:val="000000"/>
          <w:sz w:val="22"/>
          <w:szCs w:val="22"/>
        </w:rPr>
      </w:pPr>
      <w:r w:rsidRPr="00D8651D">
        <w:rPr>
          <w:rFonts w:ascii="Corbel" w:hAnsi="Corbel" w:cstheme="minorHAnsi"/>
          <w:color w:val="000000"/>
          <w:sz w:val="22"/>
          <w:szCs w:val="22"/>
        </w:rPr>
        <w:t>The number of people migrating interstate is projected to fall by 12 per cent in 2020–21. This would be the largest year-on-year drop in interstate migration in 40 years and would lead to the lowest rate of interstate migration as a proportion of the population on record.</w:t>
      </w:r>
    </w:p>
    <w:p w14:paraId="49B9062A" w14:textId="77777777" w:rsidR="00316412" w:rsidRPr="00D8651D" w:rsidRDefault="00316412" w:rsidP="00316412">
      <w:pPr>
        <w:spacing w:after="120"/>
        <w:ind w:left="720"/>
        <w:rPr>
          <w:rFonts w:ascii="Corbel" w:hAnsi="Corbel" w:cstheme="minorHAnsi"/>
          <w:color w:val="000000"/>
          <w:sz w:val="22"/>
          <w:szCs w:val="22"/>
        </w:rPr>
      </w:pPr>
      <w:r w:rsidRPr="00D8651D">
        <w:rPr>
          <w:rFonts w:ascii="Corbel" w:hAnsi="Corbel" w:cstheme="minorHAnsi"/>
          <w:color w:val="000000"/>
          <w:sz w:val="22"/>
          <w:szCs w:val="22"/>
        </w:rPr>
        <w:t>Melbourne is projected to overtake Sydney to become Australia’s largest city in 2026–27, with a population of 6.2 million by 2030–31, compared to 6.0 million in Sydney.”</w:t>
      </w:r>
    </w:p>
    <w:p w14:paraId="5A2E6681" w14:textId="77777777" w:rsidR="00316412" w:rsidRPr="00D8651D" w:rsidRDefault="00316412" w:rsidP="00316412">
      <w:pPr>
        <w:spacing w:after="120"/>
        <w:rPr>
          <w:rFonts w:ascii="Corbel" w:hAnsi="Corbel" w:cstheme="minorHAnsi"/>
          <w:color w:val="000000"/>
          <w:sz w:val="22"/>
          <w:szCs w:val="22"/>
        </w:rPr>
      </w:pPr>
      <w:r w:rsidRPr="00D8651D">
        <w:rPr>
          <w:rFonts w:ascii="Corbel" w:hAnsi="Corbel" w:cstheme="minorHAnsi"/>
          <w:color w:val="000000"/>
          <w:sz w:val="22"/>
          <w:szCs w:val="22"/>
        </w:rPr>
        <w:t xml:space="preserve">In summary, Covid makes a dent in ongoing population growth from which it will take a long time to recover. </w:t>
      </w:r>
    </w:p>
    <w:p w14:paraId="411F3642" w14:textId="77777777" w:rsidR="00316412" w:rsidRPr="00D8651D" w:rsidRDefault="00316412" w:rsidP="00316412">
      <w:pPr>
        <w:spacing w:after="120"/>
        <w:rPr>
          <w:rFonts w:ascii="Corbel" w:hAnsi="Corbel" w:cstheme="minorHAnsi"/>
          <w:color w:val="000000"/>
          <w:sz w:val="22"/>
          <w:szCs w:val="22"/>
        </w:rPr>
      </w:pPr>
      <w:r w:rsidRPr="00D8651D">
        <w:rPr>
          <w:rFonts w:ascii="Corbel" w:hAnsi="Corbel" w:cstheme="minorHAnsi"/>
          <w:color w:val="000000"/>
          <w:sz w:val="22"/>
          <w:szCs w:val="22"/>
        </w:rPr>
        <w:t xml:space="preserve">In June 2021, the Commonwealth Treasury published its update of the intergenerational report. One notable feature was the lower </w:t>
      </w:r>
      <w:proofErr w:type="gramStart"/>
      <w:r w:rsidRPr="00D8651D">
        <w:rPr>
          <w:rFonts w:ascii="Corbel" w:hAnsi="Corbel" w:cstheme="minorHAnsi"/>
          <w:color w:val="000000"/>
          <w:sz w:val="22"/>
          <w:szCs w:val="22"/>
        </w:rPr>
        <w:t>40 year</w:t>
      </w:r>
      <w:proofErr w:type="gramEnd"/>
      <w:r w:rsidRPr="00D8651D">
        <w:rPr>
          <w:rFonts w:ascii="Corbel" w:hAnsi="Corbel" w:cstheme="minorHAnsi"/>
          <w:color w:val="000000"/>
          <w:sz w:val="22"/>
          <w:szCs w:val="22"/>
        </w:rPr>
        <w:t xml:space="preserve"> population growth projections. Even if, optimistically, Australia </w:t>
      </w:r>
      <w:r w:rsidRPr="00D8651D">
        <w:rPr>
          <w:rFonts w:ascii="Corbel" w:hAnsi="Corbel" w:cstheme="minorHAnsi"/>
          <w:color w:val="000000"/>
          <w:sz w:val="22"/>
          <w:szCs w:val="22"/>
        </w:rPr>
        <w:lastRenderedPageBreak/>
        <w:t>(and the World) can quickly recover from the Covid with life and the economy returning to ‘pre COVID normal’, that population dent will endure into the future.</w:t>
      </w:r>
    </w:p>
    <w:p w14:paraId="6571622F" w14:textId="77777777" w:rsidR="00316412" w:rsidRPr="00D8651D" w:rsidRDefault="00316412" w:rsidP="00316412">
      <w:pPr>
        <w:spacing w:after="120"/>
        <w:rPr>
          <w:rFonts w:ascii="Corbel" w:hAnsi="Corbel" w:cstheme="minorHAnsi"/>
          <w:color w:val="000000"/>
          <w:sz w:val="22"/>
          <w:szCs w:val="22"/>
        </w:rPr>
      </w:pPr>
      <w:r w:rsidRPr="00D8651D">
        <w:rPr>
          <w:rFonts w:ascii="Corbel" w:hAnsi="Corbel" w:cstheme="minorHAnsi"/>
          <w:color w:val="000000"/>
          <w:sz w:val="22"/>
          <w:szCs w:val="22"/>
        </w:rPr>
        <w:t xml:space="preserve">In May 2021, the Victorian Treasury published its budget papers which included a </w:t>
      </w:r>
      <w:proofErr w:type="gramStart"/>
      <w:r w:rsidRPr="00D8651D">
        <w:rPr>
          <w:rFonts w:ascii="Corbel" w:hAnsi="Corbel" w:cstheme="minorHAnsi"/>
          <w:color w:val="000000"/>
          <w:sz w:val="22"/>
          <w:szCs w:val="22"/>
        </w:rPr>
        <w:t>four year</w:t>
      </w:r>
      <w:proofErr w:type="gramEnd"/>
      <w:r w:rsidRPr="00D8651D">
        <w:rPr>
          <w:rFonts w:ascii="Corbel" w:hAnsi="Corbel" w:cstheme="minorHAnsi"/>
          <w:color w:val="000000"/>
          <w:sz w:val="22"/>
          <w:szCs w:val="22"/>
        </w:rPr>
        <w:t xml:space="preserve"> forecast of population growth which accounted for the impact of Covid:</w:t>
      </w:r>
    </w:p>
    <w:p w14:paraId="49D0879B" w14:textId="77777777" w:rsidR="00316412" w:rsidRPr="00D8651D" w:rsidRDefault="00316412" w:rsidP="00316412">
      <w:pPr>
        <w:spacing w:after="120"/>
        <w:rPr>
          <w:rFonts w:ascii="Corbel" w:hAnsi="Corbel" w:cstheme="minorHAnsi"/>
          <w:color w:val="000000"/>
          <w:sz w:val="22"/>
          <w:szCs w:val="22"/>
        </w:rPr>
      </w:pPr>
      <w:r w:rsidRPr="00D8651D">
        <w:rPr>
          <w:rFonts w:ascii="Corbel" w:hAnsi="Corbel" w:cstheme="minorHAnsi"/>
          <w:color w:val="000000"/>
          <w:sz w:val="22"/>
          <w:szCs w:val="22"/>
        </w:rPr>
        <w:t xml:space="preserve">The Victorian Treasury’s </w:t>
      </w:r>
      <w:proofErr w:type="gramStart"/>
      <w:r w:rsidRPr="00D8651D">
        <w:rPr>
          <w:rFonts w:ascii="Corbel" w:hAnsi="Corbel" w:cstheme="minorHAnsi"/>
          <w:color w:val="000000"/>
          <w:sz w:val="22"/>
          <w:szCs w:val="22"/>
        </w:rPr>
        <w:t>short term</w:t>
      </w:r>
      <w:proofErr w:type="gramEnd"/>
      <w:r w:rsidRPr="00D8651D">
        <w:rPr>
          <w:rFonts w:ascii="Corbel" w:hAnsi="Corbel" w:cstheme="minorHAnsi"/>
          <w:color w:val="000000"/>
          <w:sz w:val="22"/>
          <w:szCs w:val="22"/>
        </w:rPr>
        <w:t xml:space="preserve"> forecasts</w:t>
      </w:r>
    </w:p>
    <w:tbl>
      <w:tblPr>
        <w:tblStyle w:val="TableGrid0"/>
        <w:tblW w:w="0" w:type="auto"/>
        <w:tblLook w:val="04A0" w:firstRow="1" w:lastRow="0" w:firstColumn="1" w:lastColumn="0" w:noHBand="0" w:noVBand="1"/>
      </w:tblPr>
      <w:tblGrid>
        <w:gridCol w:w="1620"/>
        <w:gridCol w:w="1559"/>
      </w:tblGrid>
      <w:tr w:rsidR="00316412" w:rsidRPr="00D8651D" w14:paraId="3BD8DDB1" w14:textId="77777777" w:rsidTr="00413E3F">
        <w:tc>
          <w:tcPr>
            <w:tcW w:w="1620" w:type="dxa"/>
          </w:tcPr>
          <w:p w14:paraId="5FEF19AD" w14:textId="77777777" w:rsidR="00316412" w:rsidRPr="00B071BE" w:rsidRDefault="00316412" w:rsidP="00413E3F">
            <w:pPr>
              <w:spacing w:after="120"/>
              <w:rPr>
                <w:rFonts w:ascii="Corbel" w:hAnsi="Corbel" w:cstheme="minorHAnsi"/>
                <w:b/>
                <w:bCs/>
                <w:color w:val="000000"/>
              </w:rPr>
            </w:pPr>
            <w:r w:rsidRPr="00B071BE">
              <w:rPr>
                <w:rFonts w:ascii="Corbel" w:hAnsi="Corbel" w:cstheme="minorHAnsi"/>
                <w:b/>
                <w:bCs/>
                <w:color w:val="000000"/>
              </w:rPr>
              <w:t>Year</w:t>
            </w:r>
          </w:p>
        </w:tc>
        <w:tc>
          <w:tcPr>
            <w:tcW w:w="1559" w:type="dxa"/>
          </w:tcPr>
          <w:p w14:paraId="72B8EFEA" w14:textId="77777777" w:rsidR="00316412" w:rsidRPr="00B071BE" w:rsidRDefault="00316412" w:rsidP="00413E3F">
            <w:pPr>
              <w:spacing w:after="120"/>
              <w:jc w:val="center"/>
              <w:rPr>
                <w:rFonts w:ascii="Corbel" w:hAnsi="Corbel" w:cstheme="minorHAnsi"/>
                <w:b/>
                <w:bCs/>
                <w:color w:val="000000"/>
              </w:rPr>
            </w:pPr>
            <w:r w:rsidRPr="00B071BE">
              <w:rPr>
                <w:rFonts w:ascii="Corbel" w:hAnsi="Corbel" w:cstheme="minorHAnsi"/>
                <w:b/>
                <w:bCs/>
                <w:color w:val="000000"/>
              </w:rPr>
              <w:t>Forecast population growth rate, Victoria</w:t>
            </w:r>
          </w:p>
        </w:tc>
      </w:tr>
      <w:tr w:rsidR="00316412" w:rsidRPr="00D8651D" w14:paraId="75469F03" w14:textId="77777777" w:rsidTr="00413E3F">
        <w:tc>
          <w:tcPr>
            <w:tcW w:w="1620" w:type="dxa"/>
          </w:tcPr>
          <w:p w14:paraId="09BDA88B" w14:textId="77777777" w:rsidR="00316412" w:rsidRPr="00D8651D" w:rsidRDefault="00316412" w:rsidP="00413E3F">
            <w:pPr>
              <w:spacing w:after="120"/>
              <w:rPr>
                <w:rFonts w:ascii="Corbel" w:hAnsi="Corbel" w:cstheme="minorHAnsi"/>
                <w:color w:val="000000"/>
              </w:rPr>
            </w:pPr>
            <w:r w:rsidRPr="00D8651D">
              <w:rPr>
                <w:rFonts w:ascii="Corbel" w:hAnsi="Corbel" w:cstheme="minorHAnsi"/>
                <w:color w:val="000000"/>
              </w:rPr>
              <w:t>2020/21</w:t>
            </w:r>
          </w:p>
        </w:tc>
        <w:tc>
          <w:tcPr>
            <w:tcW w:w="1559" w:type="dxa"/>
          </w:tcPr>
          <w:p w14:paraId="4BF79CC9" w14:textId="77777777" w:rsidR="00316412" w:rsidRPr="00D8651D" w:rsidRDefault="00316412" w:rsidP="00413E3F">
            <w:pPr>
              <w:spacing w:after="120"/>
              <w:jc w:val="center"/>
              <w:rPr>
                <w:rFonts w:ascii="Corbel" w:hAnsi="Corbel" w:cstheme="minorHAnsi"/>
                <w:color w:val="000000"/>
              </w:rPr>
            </w:pPr>
            <w:r w:rsidRPr="00D8651D">
              <w:rPr>
                <w:rFonts w:ascii="Corbel" w:hAnsi="Corbel" w:cstheme="minorHAnsi"/>
                <w:color w:val="000000"/>
              </w:rPr>
              <w:t>0%</w:t>
            </w:r>
          </w:p>
        </w:tc>
      </w:tr>
      <w:tr w:rsidR="00316412" w:rsidRPr="00D8651D" w14:paraId="016DE416" w14:textId="77777777" w:rsidTr="00413E3F">
        <w:tc>
          <w:tcPr>
            <w:tcW w:w="1620" w:type="dxa"/>
          </w:tcPr>
          <w:p w14:paraId="314F27AF" w14:textId="77777777" w:rsidR="00316412" w:rsidRPr="00D8651D" w:rsidRDefault="00316412" w:rsidP="00413E3F">
            <w:pPr>
              <w:spacing w:after="120"/>
              <w:rPr>
                <w:rFonts w:ascii="Corbel" w:hAnsi="Corbel" w:cstheme="minorHAnsi"/>
                <w:color w:val="000000"/>
              </w:rPr>
            </w:pPr>
            <w:r w:rsidRPr="00D8651D">
              <w:rPr>
                <w:rFonts w:ascii="Corbel" w:hAnsi="Corbel" w:cstheme="minorHAnsi"/>
                <w:color w:val="000000"/>
              </w:rPr>
              <w:t>2021/22</w:t>
            </w:r>
          </w:p>
        </w:tc>
        <w:tc>
          <w:tcPr>
            <w:tcW w:w="1559" w:type="dxa"/>
          </w:tcPr>
          <w:p w14:paraId="44B22623" w14:textId="77777777" w:rsidR="00316412" w:rsidRPr="00D8651D" w:rsidRDefault="00316412" w:rsidP="00413E3F">
            <w:pPr>
              <w:spacing w:after="120"/>
              <w:jc w:val="center"/>
              <w:rPr>
                <w:rFonts w:ascii="Corbel" w:hAnsi="Corbel" w:cstheme="minorHAnsi"/>
                <w:color w:val="000000"/>
              </w:rPr>
            </w:pPr>
            <w:r w:rsidRPr="00D8651D">
              <w:rPr>
                <w:rFonts w:ascii="Corbel" w:hAnsi="Corbel" w:cstheme="minorHAnsi"/>
                <w:color w:val="000000"/>
              </w:rPr>
              <w:t>0.3%</w:t>
            </w:r>
          </w:p>
        </w:tc>
      </w:tr>
      <w:tr w:rsidR="00316412" w:rsidRPr="00D8651D" w14:paraId="7BA56138" w14:textId="77777777" w:rsidTr="00413E3F">
        <w:tc>
          <w:tcPr>
            <w:tcW w:w="1620" w:type="dxa"/>
          </w:tcPr>
          <w:p w14:paraId="6FD3CB86" w14:textId="77777777" w:rsidR="00316412" w:rsidRPr="00D8651D" w:rsidRDefault="00316412" w:rsidP="00413E3F">
            <w:pPr>
              <w:spacing w:after="120"/>
              <w:rPr>
                <w:rFonts w:ascii="Corbel" w:hAnsi="Corbel" w:cstheme="minorHAnsi"/>
                <w:color w:val="000000"/>
              </w:rPr>
            </w:pPr>
            <w:r w:rsidRPr="00D8651D">
              <w:rPr>
                <w:rFonts w:ascii="Corbel" w:hAnsi="Corbel" w:cstheme="minorHAnsi"/>
                <w:color w:val="000000"/>
              </w:rPr>
              <w:t>2022/23</w:t>
            </w:r>
          </w:p>
        </w:tc>
        <w:tc>
          <w:tcPr>
            <w:tcW w:w="1559" w:type="dxa"/>
          </w:tcPr>
          <w:p w14:paraId="2B33C1FA" w14:textId="77777777" w:rsidR="00316412" w:rsidRPr="00D8651D" w:rsidRDefault="00316412" w:rsidP="00413E3F">
            <w:pPr>
              <w:spacing w:after="120"/>
              <w:jc w:val="center"/>
              <w:rPr>
                <w:rFonts w:ascii="Corbel" w:hAnsi="Corbel" w:cstheme="minorHAnsi"/>
                <w:color w:val="000000"/>
              </w:rPr>
            </w:pPr>
            <w:r w:rsidRPr="00D8651D">
              <w:rPr>
                <w:rFonts w:ascii="Corbel" w:hAnsi="Corbel" w:cstheme="minorHAnsi"/>
                <w:color w:val="000000"/>
              </w:rPr>
              <w:t>1.2%</w:t>
            </w:r>
          </w:p>
        </w:tc>
      </w:tr>
      <w:tr w:rsidR="00316412" w:rsidRPr="00D8651D" w14:paraId="28E3663E" w14:textId="77777777" w:rsidTr="00413E3F">
        <w:tc>
          <w:tcPr>
            <w:tcW w:w="1620" w:type="dxa"/>
          </w:tcPr>
          <w:p w14:paraId="128F938A" w14:textId="77777777" w:rsidR="00316412" w:rsidRPr="00D8651D" w:rsidRDefault="00316412" w:rsidP="00413E3F">
            <w:pPr>
              <w:spacing w:after="120"/>
              <w:rPr>
                <w:rFonts w:ascii="Corbel" w:hAnsi="Corbel" w:cstheme="minorHAnsi"/>
                <w:color w:val="000000"/>
              </w:rPr>
            </w:pPr>
            <w:r w:rsidRPr="00D8651D">
              <w:rPr>
                <w:rFonts w:ascii="Corbel" w:hAnsi="Corbel" w:cstheme="minorHAnsi"/>
                <w:color w:val="000000"/>
              </w:rPr>
              <w:t>2023/24</w:t>
            </w:r>
          </w:p>
        </w:tc>
        <w:tc>
          <w:tcPr>
            <w:tcW w:w="1559" w:type="dxa"/>
          </w:tcPr>
          <w:p w14:paraId="291BC1B8" w14:textId="77777777" w:rsidR="00316412" w:rsidRPr="00D8651D" w:rsidRDefault="00316412" w:rsidP="00413E3F">
            <w:pPr>
              <w:spacing w:after="120"/>
              <w:jc w:val="center"/>
              <w:rPr>
                <w:rFonts w:ascii="Corbel" w:hAnsi="Corbel" w:cstheme="minorHAnsi"/>
                <w:color w:val="000000"/>
              </w:rPr>
            </w:pPr>
            <w:r w:rsidRPr="00D8651D">
              <w:rPr>
                <w:rFonts w:ascii="Corbel" w:hAnsi="Corbel" w:cstheme="minorHAnsi"/>
                <w:color w:val="000000"/>
              </w:rPr>
              <w:t>1.7%</w:t>
            </w:r>
          </w:p>
        </w:tc>
      </w:tr>
      <w:tr w:rsidR="00316412" w:rsidRPr="00D8651D" w14:paraId="7D6C741B" w14:textId="77777777" w:rsidTr="00413E3F">
        <w:tc>
          <w:tcPr>
            <w:tcW w:w="1620" w:type="dxa"/>
          </w:tcPr>
          <w:p w14:paraId="36D62D6B" w14:textId="280379BF" w:rsidR="00316412" w:rsidRPr="00D8651D" w:rsidRDefault="00316412" w:rsidP="00413E3F">
            <w:pPr>
              <w:spacing w:after="120"/>
              <w:rPr>
                <w:rFonts w:ascii="Corbel" w:hAnsi="Corbel" w:cstheme="minorHAnsi"/>
                <w:color w:val="000000"/>
              </w:rPr>
            </w:pPr>
            <w:r w:rsidRPr="00D8651D">
              <w:rPr>
                <w:rFonts w:ascii="Corbel" w:hAnsi="Corbel" w:cstheme="minorHAnsi"/>
                <w:color w:val="000000"/>
              </w:rPr>
              <w:t>20</w:t>
            </w:r>
            <w:r w:rsidR="00A875E8">
              <w:rPr>
                <w:rFonts w:ascii="Corbel" w:hAnsi="Corbel" w:cstheme="minorHAnsi"/>
                <w:color w:val="000000"/>
              </w:rPr>
              <w:t>2</w:t>
            </w:r>
            <w:r w:rsidRPr="00D8651D">
              <w:rPr>
                <w:rFonts w:ascii="Corbel" w:hAnsi="Corbel" w:cstheme="minorHAnsi"/>
                <w:color w:val="000000"/>
              </w:rPr>
              <w:t>4/25</w:t>
            </w:r>
          </w:p>
        </w:tc>
        <w:tc>
          <w:tcPr>
            <w:tcW w:w="1559" w:type="dxa"/>
          </w:tcPr>
          <w:p w14:paraId="519933FE" w14:textId="77777777" w:rsidR="00316412" w:rsidRPr="00D8651D" w:rsidRDefault="00316412" w:rsidP="00413E3F">
            <w:pPr>
              <w:spacing w:after="120"/>
              <w:jc w:val="center"/>
              <w:rPr>
                <w:rFonts w:ascii="Corbel" w:hAnsi="Corbel" w:cstheme="minorHAnsi"/>
                <w:color w:val="000000"/>
              </w:rPr>
            </w:pPr>
            <w:r w:rsidRPr="00D8651D">
              <w:rPr>
                <w:rFonts w:ascii="Corbel" w:hAnsi="Corbel" w:cstheme="minorHAnsi"/>
                <w:color w:val="000000"/>
              </w:rPr>
              <w:t>1.7%</w:t>
            </w:r>
          </w:p>
        </w:tc>
      </w:tr>
    </w:tbl>
    <w:p w14:paraId="44AF3209" w14:textId="77777777" w:rsidR="00316412" w:rsidRPr="00B071BE" w:rsidRDefault="00316412" w:rsidP="00316412">
      <w:pPr>
        <w:spacing w:after="120"/>
        <w:rPr>
          <w:rFonts w:ascii="Corbel" w:hAnsi="Corbel"/>
          <w:sz w:val="16"/>
          <w:szCs w:val="16"/>
        </w:rPr>
      </w:pPr>
      <w:r w:rsidRPr="00B071BE">
        <w:rPr>
          <w:rFonts w:ascii="Corbel" w:hAnsi="Corbel" w:cstheme="minorHAnsi"/>
          <w:color w:val="000000"/>
          <w:sz w:val="16"/>
          <w:szCs w:val="16"/>
        </w:rPr>
        <w:t xml:space="preserve"> </w:t>
      </w:r>
      <w:r w:rsidRPr="00B071BE">
        <w:rPr>
          <w:rFonts w:ascii="Corbel" w:hAnsi="Corbel" w:cstheme="minorHAnsi"/>
          <w:b/>
          <w:bCs/>
          <w:color w:val="000000"/>
          <w:sz w:val="16"/>
          <w:szCs w:val="16"/>
        </w:rPr>
        <w:t>Source:</w:t>
      </w:r>
      <w:r w:rsidRPr="00B071BE">
        <w:rPr>
          <w:rFonts w:ascii="Corbel" w:hAnsi="Corbel" w:cstheme="minorHAnsi"/>
          <w:color w:val="000000"/>
          <w:sz w:val="16"/>
          <w:szCs w:val="16"/>
        </w:rPr>
        <w:t xml:space="preserve"> Budget Paper no. 2, page 22, Victorian Treasury, May 21 </w:t>
      </w:r>
    </w:p>
    <w:p w14:paraId="101F516C" w14:textId="77777777" w:rsidR="00316412" w:rsidRDefault="00316412" w:rsidP="00316412">
      <w:pPr>
        <w:spacing w:after="120"/>
        <w:rPr>
          <w:rFonts w:ascii="Corbel" w:hAnsi="Corbel"/>
          <w:sz w:val="22"/>
          <w:szCs w:val="22"/>
        </w:rPr>
      </w:pPr>
      <w:r w:rsidRPr="00D8651D">
        <w:rPr>
          <w:rFonts w:ascii="Corbel" w:hAnsi="Corbel"/>
          <w:sz w:val="22"/>
          <w:szCs w:val="22"/>
        </w:rPr>
        <w:t>The Victorian Treasury view mirrors that of the Commonwealth Government: that Covid produces a two-</w:t>
      </w:r>
      <w:proofErr w:type="gramStart"/>
      <w:r w:rsidRPr="00D8651D">
        <w:rPr>
          <w:rFonts w:ascii="Corbel" w:hAnsi="Corbel"/>
          <w:sz w:val="22"/>
          <w:szCs w:val="22"/>
        </w:rPr>
        <w:t>three year</w:t>
      </w:r>
      <w:proofErr w:type="gramEnd"/>
      <w:r w:rsidRPr="00D8651D">
        <w:rPr>
          <w:rFonts w:ascii="Corbel" w:hAnsi="Corbel"/>
          <w:sz w:val="22"/>
          <w:szCs w:val="22"/>
        </w:rPr>
        <w:t xml:space="preserve"> dent in population growth. By 2023/24 Victoria population growth is forecast to return to its pre-Covid projections rate </w:t>
      </w:r>
      <w:proofErr w:type="gramStart"/>
      <w:r w:rsidRPr="00D8651D">
        <w:rPr>
          <w:rFonts w:ascii="Corbel" w:hAnsi="Corbel"/>
          <w:sz w:val="22"/>
          <w:szCs w:val="22"/>
        </w:rPr>
        <w:t>i.e.</w:t>
      </w:r>
      <w:proofErr w:type="gramEnd"/>
      <w:r w:rsidRPr="00D8651D">
        <w:rPr>
          <w:rFonts w:ascii="Corbel" w:hAnsi="Corbel"/>
          <w:sz w:val="22"/>
          <w:szCs w:val="22"/>
        </w:rPr>
        <w:t xml:space="preserve"> that used in </w:t>
      </w:r>
      <w:r w:rsidRPr="00D8651D">
        <w:rPr>
          <w:rFonts w:ascii="Corbel" w:hAnsi="Corbel"/>
          <w:i/>
          <w:sz w:val="22"/>
          <w:szCs w:val="22"/>
        </w:rPr>
        <w:t>Victoria in Future 2019</w:t>
      </w:r>
      <w:r w:rsidRPr="00D8651D">
        <w:rPr>
          <w:rFonts w:ascii="Corbel" w:hAnsi="Corbel"/>
          <w:sz w:val="22"/>
          <w:szCs w:val="22"/>
        </w:rPr>
        <w:t xml:space="preserve">. </w:t>
      </w:r>
    </w:p>
    <w:p w14:paraId="18582F54" w14:textId="6196D8FA" w:rsidR="008931F2" w:rsidRDefault="0091434A" w:rsidP="008931F2">
      <w:pPr>
        <w:pStyle w:val="Heading4"/>
        <w:keepNext w:val="0"/>
        <w:keepLines w:val="0"/>
        <w:widowControl w:val="0"/>
        <w:pBdr>
          <w:top w:val="single" w:sz="4" w:space="0" w:color="000000"/>
          <w:left w:val="single" w:sz="4" w:space="0" w:color="000000"/>
          <w:bottom w:val="single" w:sz="4" w:space="7" w:color="000000"/>
          <w:right w:val="single" w:sz="4" w:space="0" w:color="000000"/>
        </w:pBdr>
        <w:shd w:val="clear" w:color="auto" w:fill="EBF1DE"/>
        <w:spacing w:after="0" w:line="240" w:lineRule="auto"/>
        <w:ind w:left="0" w:right="153" w:firstLine="0"/>
      </w:pPr>
      <w:r>
        <w:t>Summary</w:t>
      </w:r>
    </w:p>
    <w:p w14:paraId="591653F9" w14:textId="77777777" w:rsidR="008931F2" w:rsidRPr="008931F2" w:rsidRDefault="008931F2" w:rsidP="008931F2">
      <w:pPr>
        <w:pStyle w:val="Heading4"/>
        <w:keepNext w:val="0"/>
        <w:keepLines w:val="0"/>
        <w:widowControl w:val="0"/>
        <w:pBdr>
          <w:top w:val="single" w:sz="4" w:space="0" w:color="000000"/>
          <w:left w:val="single" w:sz="4" w:space="0" w:color="000000"/>
          <w:bottom w:val="single" w:sz="4" w:space="7" w:color="000000"/>
          <w:right w:val="single" w:sz="4" w:space="0" w:color="000000"/>
        </w:pBdr>
        <w:shd w:val="clear" w:color="auto" w:fill="EBF1DE"/>
        <w:spacing w:after="120" w:line="240" w:lineRule="auto"/>
        <w:ind w:left="0" w:right="153" w:firstLine="0"/>
        <w:rPr>
          <w:b w:val="0"/>
          <w:bCs/>
        </w:rPr>
      </w:pPr>
      <w:r w:rsidRPr="008931F2">
        <w:rPr>
          <w:b w:val="0"/>
          <w:bCs/>
        </w:rPr>
        <w:t>The Geelong Settlement Strategy adopted a 2.5% population growth rate scenario for the municipal area of Geelong for the purpose of long-term settlement planning. The most recent population estimates indicate a population increase of 1.8%. Whilst, for the same period, residential building approval activity has reached historic highs of approximately 4.700.</w:t>
      </w:r>
    </w:p>
    <w:p w14:paraId="19BF5CE0" w14:textId="77777777" w:rsidR="008931F2" w:rsidRPr="0091434A" w:rsidRDefault="008931F2" w:rsidP="008931F2">
      <w:pPr>
        <w:pStyle w:val="Heading4"/>
        <w:keepNext w:val="0"/>
        <w:keepLines w:val="0"/>
        <w:widowControl w:val="0"/>
        <w:pBdr>
          <w:top w:val="single" w:sz="4" w:space="0" w:color="000000"/>
          <w:left w:val="single" w:sz="4" w:space="0" w:color="000000"/>
          <w:bottom w:val="single" w:sz="4" w:space="7" w:color="000000"/>
          <w:right w:val="single" w:sz="4" w:space="0" w:color="000000"/>
        </w:pBdr>
        <w:shd w:val="clear" w:color="auto" w:fill="EBF1DE"/>
        <w:spacing w:after="120" w:line="240" w:lineRule="auto"/>
        <w:ind w:left="0" w:right="153" w:firstLine="0"/>
        <w:rPr>
          <w:b w:val="0"/>
          <w:bCs/>
        </w:rPr>
      </w:pPr>
      <w:r w:rsidRPr="0091434A">
        <w:rPr>
          <w:b w:val="0"/>
          <w:bCs/>
        </w:rPr>
        <w:t>Is there a need to update population projections for Greater Geelong?</w:t>
      </w:r>
    </w:p>
    <w:p w14:paraId="17BC4190" w14:textId="77777777" w:rsidR="008931F2" w:rsidRPr="008931F2" w:rsidRDefault="008931F2" w:rsidP="008931F2">
      <w:pPr>
        <w:pStyle w:val="Heading4"/>
        <w:keepNext w:val="0"/>
        <w:keepLines w:val="0"/>
        <w:widowControl w:val="0"/>
        <w:pBdr>
          <w:top w:val="single" w:sz="4" w:space="0" w:color="000000"/>
          <w:left w:val="single" w:sz="4" w:space="0" w:color="000000"/>
          <w:bottom w:val="single" w:sz="4" w:space="7" w:color="000000"/>
          <w:right w:val="single" w:sz="4" w:space="0" w:color="000000"/>
        </w:pBdr>
        <w:shd w:val="clear" w:color="auto" w:fill="EBF1DE"/>
        <w:spacing w:after="120" w:line="240" w:lineRule="auto"/>
        <w:ind w:left="0" w:right="153" w:firstLine="0"/>
        <w:rPr>
          <w:b w:val="0"/>
          <w:bCs/>
        </w:rPr>
      </w:pPr>
      <w:r w:rsidRPr="008931F2">
        <w:rPr>
          <w:b w:val="0"/>
          <w:bCs/>
        </w:rPr>
        <w:t>The case made to support a growth rate of between 2% and 3% with a middle point 2.5% growth rate remains:</w:t>
      </w:r>
    </w:p>
    <w:p w14:paraId="1A6CC5CC" w14:textId="77777777" w:rsidR="008931F2" w:rsidRPr="008931F2" w:rsidRDefault="008931F2" w:rsidP="00144287">
      <w:pPr>
        <w:pStyle w:val="Heading4"/>
        <w:keepNext w:val="0"/>
        <w:keepLines w:val="0"/>
        <w:widowControl w:val="0"/>
        <w:numPr>
          <w:ilvl w:val="0"/>
          <w:numId w:val="12"/>
        </w:numPr>
        <w:pBdr>
          <w:top w:val="single" w:sz="4" w:space="0" w:color="000000"/>
          <w:left w:val="single" w:sz="4" w:space="0" w:color="000000"/>
          <w:bottom w:val="single" w:sz="4" w:space="7" w:color="000000"/>
          <w:right w:val="single" w:sz="4" w:space="0" w:color="000000"/>
        </w:pBdr>
        <w:shd w:val="clear" w:color="auto" w:fill="EBF1DE"/>
        <w:spacing w:after="120" w:line="240" w:lineRule="auto"/>
        <w:ind w:right="153"/>
        <w:rPr>
          <w:b w:val="0"/>
          <w:bCs/>
        </w:rPr>
      </w:pPr>
      <w:r w:rsidRPr="008931F2">
        <w:rPr>
          <w:b w:val="0"/>
          <w:bCs/>
        </w:rPr>
        <w:t>Victoria is expected to grow strongly underpinned by overseas migration; and</w:t>
      </w:r>
    </w:p>
    <w:p w14:paraId="3136272C" w14:textId="77777777" w:rsidR="008931F2" w:rsidRPr="008931F2" w:rsidRDefault="008931F2" w:rsidP="00144287">
      <w:pPr>
        <w:pStyle w:val="Heading4"/>
        <w:keepNext w:val="0"/>
        <w:keepLines w:val="0"/>
        <w:widowControl w:val="0"/>
        <w:numPr>
          <w:ilvl w:val="0"/>
          <w:numId w:val="12"/>
        </w:numPr>
        <w:pBdr>
          <w:top w:val="single" w:sz="4" w:space="0" w:color="000000"/>
          <w:left w:val="single" w:sz="4" w:space="0" w:color="000000"/>
          <w:bottom w:val="single" w:sz="4" w:space="7" w:color="000000"/>
          <w:right w:val="single" w:sz="4" w:space="0" w:color="000000"/>
        </w:pBdr>
        <w:shd w:val="clear" w:color="auto" w:fill="EBF1DE"/>
        <w:spacing w:after="120" w:line="240" w:lineRule="auto"/>
        <w:ind w:right="153"/>
        <w:rPr>
          <w:b w:val="0"/>
          <w:bCs/>
        </w:rPr>
      </w:pPr>
      <w:r w:rsidRPr="008931F2">
        <w:rPr>
          <w:b w:val="0"/>
          <w:bCs/>
        </w:rPr>
        <w:t>Geelong is expected to grow strongly owing to (a) its strong and diverse economy, (b) its proximity to a burgeoning Melbourne population, particularly Melbourne’s western suburbs and (c) its physical and environmental attributes.</w:t>
      </w:r>
    </w:p>
    <w:p w14:paraId="4F188BE1" w14:textId="708ECC07" w:rsidR="008931F2" w:rsidRPr="008931F2" w:rsidRDefault="008931F2" w:rsidP="008931F2">
      <w:pPr>
        <w:pStyle w:val="Heading4"/>
        <w:keepNext w:val="0"/>
        <w:keepLines w:val="0"/>
        <w:widowControl w:val="0"/>
        <w:pBdr>
          <w:top w:val="single" w:sz="4" w:space="0" w:color="000000"/>
          <w:left w:val="single" w:sz="4" w:space="0" w:color="000000"/>
          <w:bottom w:val="single" w:sz="4" w:space="7" w:color="000000"/>
          <w:right w:val="single" w:sz="4" w:space="0" w:color="000000"/>
        </w:pBdr>
        <w:shd w:val="clear" w:color="auto" w:fill="EBF1DE"/>
        <w:spacing w:after="0" w:line="240" w:lineRule="auto"/>
        <w:ind w:left="0" w:right="153" w:firstLine="0"/>
        <w:rPr>
          <w:b w:val="0"/>
          <w:bCs/>
        </w:rPr>
      </w:pPr>
      <w:r w:rsidRPr="008931F2">
        <w:rPr>
          <w:b w:val="0"/>
          <w:bCs/>
        </w:rPr>
        <w:t>It would be prudent in light of the forthcoming release later in 2022 of the Australian Bureau of Statistics: Population and Housing Census to undertake a detailed review of the 2.5% population growth scenario.</w:t>
      </w:r>
    </w:p>
    <w:p w14:paraId="2C5F0CB8" w14:textId="77777777" w:rsidR="005C5FF6" w:rsidRPr="005C5FF6" w:rsidRDefault="005C5FF6" w:rsidP="005C5FF6"/>
    <w:p w14:paraId="030FD161" w14:textId="77777777" w:rsidR="00316412" w:rsidRDefault="00316412" w:rsidP="00316412">
      <w:pPr>
        <w:spacing w:after="160" w:line="259" w:lineRule="auto"/>
        <w:rPr>
          <w:rFonts w:ascii="Cambria" w:eastAsia="Cambria" w:hAnsi="Cambria" w:cs="Cambria"/>
          <w:b/>
          <w:color w:val="7D9B16"/>
          <w:sz w:val="26"/>
          <w:szCs w:val="22"/>
        </w:rPr>
      </w:pPr>
      <w:r>
        <w:br w:type="page"/>
      </w:r>
    </w:p>
    <w:p w14:paraId="763F0A82" w14:textId="4B74F077" w:rsidR="002763B5" w:rsidRDefault="00D55782">
      <w:pPr>
        <w:pStyle w:val="Heading1"/>
        <w:tabs>
          <w:tab w:val="center" w:pos="3158"/>
        </w:tabs>
        <w:ind w:left="-15" w:firstLine="0"/>
      </w:pPr>
      <w:bookmarkStart w:id="17" w:name="_Toc101202492"/>
      <w:r>
        <w:lastRenderedPageBreak/>
        <w:t xml:space="preserve">4.0 </w:t>
      </w:r>
      <w:r w:rsidR="00CE5387">
        <w:t xml:space="preserve"> </w:t>
      </w:r>
      <w:r>
        <w:t>Recent Residential Development Activity</w:t>
      </w:r>
      <w:bookmarkEnd w:id="17"/>
      <w:r>
        <w:t xml:space="preserve"> </w:t>
      </w:r>
    </w:p>
    <w:p w14:paraId="65FE2217" w14:textId="43C62769" w:rsidR="002763B5" w:rsidRPr="00C71E6F" w:rsidRDefault="00D55782" w:rsidP="0013124C">
      <w:pPr>
        <w:spacing w:after="120" w:line="259" w:lineRule="auto"/>
        <w:rPr>
          <w:rFonts w:ascii="Corbel" w:hAnsi="Corbel"/>
          <w:sz w:val="22"/>
          <w:szCs w:val="22"/>
        </w:rPr>
      </w:pPr>
      <w:r w:rsidRPr="00C71E6F">
        <w:rPr>
          <w:rFonts w:ascii="Corbel" w:hAnsi="Corbel"/>
          <w:sz w:val="22"/>
          <w:szCs w:val="22"/>
        </w:rPr>
        <w:t xml:space="preserve">Section </w:t>
      </w:r>
      <w:r w:rsidR="00950A25">
        <w:rPr>
          <w:rFonts w:ascii="Corbel" w:hAnsi="Corbel"/>
          <w:sz w:val="22"/>
          <w:szCs w:val="22"/>
        </w:rPr>
        <w:t>4</w:t>
      </w:r>
      <w:r w:rsidRPr="00C71E6F">
        <w:rPr>
          <w:rFonts w:ascii="Corbel" w:hAnsi="Corbel"/>
          <w:sz w:val="22"/>
          <w:szCs w:val="22"/>
        </w:rPr>
        <w:t xml:space="preserve"> of this report details </w:t>
      </w:r>
      <w:r w:rsidR="00D4356A">
        <w:rPr>
          <w:rFonts w:ascii="Corbel" w:hAnsi="Corbel"/>
          <w:sz w:val="22"/>
          <w:szCs w:val="22"/>
        </w:rPr>
        <w:t>recent residential broadhectare lot construction activity, residential broadhectare lot sales and an overview of residential building approval activity</w:t>
      </w:r>
      <w:r w:rsidRPr="00C71E6F">
        <w:rPr>
          <w:rFonts w:ascii="Corbel" w:hAnsi="Corbel"/>
          <w:sz w:val="22"/>
          <w:szCs w:val="22"/>
        </w:rPr>
        <w:t xml:space="preserve">. </w:t>
      </w:r>
      <w:r w:rsidR="00D4356A">
        <w:rPr>
          <w:rFonts w:ascii="Corbel" w:hAnsi="Corbel"/>
          <w:sz w:val="22"/>
          <w:szCs w:val="22"/>
        </w:rPr>
        <w:t>Broadhectare r</w:t>
      </w:r>
      <w:r w:rsidRPr="00C71E6F">
        <w:rPr>
          <w:rFonts w:ascii="Corbel" w:hAnsi="Corbel"/>
          <w:sz w:val="22"/>
          <w:szCs w:val="22"/>
        </w:rPr>
        <w:t xml:space="preserve">esidential lot construction activity is detailed from </w:t>
      </w:r>
      <w:r w:rsidR="007701B5">
        <w:rPr>
          <w:rFonts w:ascii="Corbel" w:hAnsi="Corbel"/>
          <w:sz w:val="22"/>
          <w:szCs w:val="22"/>
        </w:rPr>
        <w:t xml:space="preserve">July </w:t>
      </w:r>
      <w:r w:rsidR="00C63A27" w:rsidRPr="00C71E6F">
        <w:rPr>
          <w:rFonts w:ascii="Corbel" w:hAnsi="Corbel"/>
          <w:sz w:val="22"/>
          <w:szCs w:val="22"/>
        </w:rPr>
        <w:t>200</w:t>
      </w:r>
      <w:r w:rsidR="00D4356A">
        <w:rPr>
          <w:rFonts w:ascii="Corbel" w:hAnsi="Corbel"/>
          <w:sz w:val="22"/>
          <w:szCs w:val="22"/>
        </w:rPr>
        <w:t>6</w:t>
      </w:r>
      <w:r w:rsidRPr="00C71E6F">
        <w:rPr>
          <w:rFonts w:ascii="Corbel" w:hAnsi="Corbel"/>
          <w:sz w:val="22"/>
          <w:szCs w:val="22"/>
        </w:rPr>
        <w:t xml:space="preserve"> to </w:t>
      </w:r>
      <w:r w:rsidR="00D4356A">
        <w:rPr>
          <w:rFonts w:ascii="Corbel" w:hAnsi="Corbel"/>
          <w:sz w:val="22"/>
          <w:szCs w:val="22"/>
        </w:rPr>
        <w:t>March</w:t>
      </w:r>
      <w:r w:rsidR="008E03BA" w:rsidRPr="00C71E6F">
        <w:rPr>
          <w:rFonts w:ascii="Corbel" w:hAnsi="Corbel"/>
          <w:sz w:val="22"/>
          <w:szCs w:val="22"/>
        </w:rPr>
        <w:t xml:space="preserve"> </w:t>
      </w:r>
      <w:r w:rsidRPr="00C71E6F">
        <w:rPr>
          <w:rFonts w:ascii="Corbel" w:hAnsi="Corbel"/>
          <w:sz w:val="22"/>
          <w:szCs w:val="22"/>
        </w:rPr>
        <w:t>20</w:t>
      </w:r>
      <w:r w:rsidR="00C10415">
        <w:rPr>
          <w:rFonts w:ascii="Corbel" w:hAnsi="Corbel"/>
          <w:sz w:val="22"/>
          <w:szCs w:val="22"/>
        </w:rPr>
        <w:t>2</w:t>
      </w:r>
      <w:r w:rsidR="00D4356A">
        <w:rPr>
          <w:rFonts w:ascii="Corbel" w:hAnsi="Corbel"/>
          <w:sz w:val="22"/>
          <w:szCs w:val="22"/>
        </w:rPr>
        <w:t>2</w:t>
      </w:r>
      <w:r w:rsidRPr="00C71E6F">
        <w:rPr>
          <w:rFonts w:ascii="Corbel" w:hAnsi="Corbel"/>
          <w:sz w:val="22"/>
          <w:szCs w:val="22"/>
        </w:rPr>
        <w:t xml:space="preserve">.  </w:t>
      </w:r>
    </w:p>
    <w:p w14:paraId="32085A8F" w14:textId="2FCC5285" w:rsidR="00D12F86" w:rsidRDefault="00D12F86" w:rsidP="00D12F86">
      <w:pPr>
        <w:pStyle w:val="Heading1"/>
        <w:tabs>
          <w:tab w:val="center" w:pos="2575"/>
        </w:tabs>
        <w:ind w:left="-15" w:firstLine="0"/>
      </w:pPr>
      <w:bookmarkStart w:id="18" w:name="_Toc93495379"/>
      <w:bookmarkStart w:id="19" w:name="_Toc101202493"/>
      <w:r>
        <w:t>4.1.  Residential Building Approvals</w:t>
      </w:r>
      <w:bookmarkEnd w:id="18"/>
      <w:bookmarkEnd w:id="19"/>
      <w:r>
        <w:t xml:space="preserve"> </w:t>
      </w:r>
    </w:p>
    <w:p w14:paraId="0586FC57" w14:textId="77777777" w:rsidR="00D12F86" w:rsidRPr="00AA3A80" w:rsidRDefault="00D12F86" w:rsidP="00D12F86">
      <w:pPr>
        <w:ind w:left="-17" w:right="164"/>
        <w:rPr>
          <w:rFonts w:ascii="Corbel" w:hAnsi="Corbel"/>
          <w:b/>
          <w:bCs/>
          <w:sz w:val="22"/>
          <w:szCs w:val="22"/>
        </w:rPr>
      </w:pPr>
      <w:r w:rsidRPr="00AA3A80">
        <w:rPr>
          <w:rFonts w:ascii="Corbel" w:hAnsi="Corbel"/>
          <w:b/>
          <w:bCs/>
          <w:sz w:val="22"/>
          <w:szCs w:val="22"/>
        </w:rPr>
        <w:t>Building Approval Activity in Context</w:t>
      </w:r>
    </w:p>
    <w:p w14:paraId="268B47A9" w14:textId="77777777" w:rsidR="00D12F86" w:rsidRPr="004D0F23" w:rsidRDefault="00D12F86" w:rsidP="00D12F86">
      <w:pPr>
        <w:spacing w:after="120"/>
        <w:rPr>
          <w:rFonts w:ascii="Corbel" w:hAnsi="Corbel"/>
          <w:sz w:val="22"/>
          <w:szCs w:val="22"/>
        </w:rPr>
      </w:pPr>
      <w:bookmarkStart w:id="20" w:name="_Hlk90472286"/>
      <w:r w:rsidRPr="004D0F23">
        <w:rPr>
          <w:rFonts w:ascii="Corbel" w:hAnsi="Corbel"/>
          <w:sz w:val="22"/>
          <w:szCs w:val="22"/>
        </w:rPr>
        <w:t>The Building Approval statistics collected by the ABS for Victoria for the financial year 2020/2021 reveal several interesting trends brought on by the Covid19 pandemic. For Victoria</w:t>
      </w:r>
      <w:r>
        <w:rPr>
          <w:rFonts w:ascii="Corbel" w:hAnsi="Corbel"/>
          <w:sz w:val="22"/>
          <w:szCs w:val="22"/>
        </w:rPr>
        <w:t>,</w:t>
      </w:r>
      <w:r w:rsidRPr="004D0F23">
        <w:rPr>
          <w:rFonts w:ascii="Corbel" w:hAnsi="Corbel"/>
          <w:sz w:val="22"/>
          <w:szCs w:val="22"/>
        </w:rPr>
        <w:t xml:space="preserve"> </w:t>
      </w:r>
      <w:r>
        <w:rPr>
          <w:rFonts w:ascii="Corbel" w:hAnsi="Corbel"/>
          <w:sz w:val="22"/>
          <w:szCs w:val="22"/>
        </w:rPr>
        <w:t>b</w:t>
      </w:r>
      <w:r w:rsidRPr="004D0F23">
        <w:rPr>
          <w:rFonts w:ascii="Corbel" w:hAnsi="Corbel"/>
          <w:sz w:val="22"/>
          <w:szCs w:val="22"/>
        </w:rPr>
        <w:t xml:space="preserve">uilding </w:t>
      </w:r>
      <w:r>
        <w:rPr>
          <w:rFonts w:ascii="Corbel" w:hAnsi="Corbel"/>
          <w:sz w:val="22"/>
          <w:szCs w:val="22"/>
        </w:rPr>
        <w:t>a</w:t>
      </w:r>
      <w:r w:rsidRPr="004D0F23">
        <w:rPr>
          <w:rFonts w:ascii="Corbel" w:hAnsi="Corbel"/>
          <w:sz w:val="22"/>
          <w:szCs w:val="22"/>
        </w:rPr>
        <w:t>pprovals have increased from 60,000 to 67,600 over the year to July 2021, a substantial increase of 12.7%.</w:t>
      </w:r>
    </w:p>
    <w:p w14:paraId="4848DEC2" w14:textId="77777777" w:rsidR="00D12F86" w:rsidRDefault="00D12F86" w:rsidP="00D12F86">
      <w:pPr>
        <w:spacing w:after="120"/>
        <w:ind w:left="-17" w:right="164"/>
        <w:rPr>
          <w:rFonts w:ascii="Corbel" w:hAnsi="Corbel"/>
          <w:sz w:val="22"/>
          <w:szCs w:val="22"/>
        </w:rPr>
      </w:pPr>
      <w:r>
        <w:rPr>
          <w:rFonts w:ascii="Corbel" w:hAnsi="Corbel"/>
          <w:sz w:val="22"/>
          <w:szCs w:val="22"/>
        </w:rPr>
        <w:t>As measured over the two financial years, residential building approval activity has significantly increased across regional Victoria, increasing by 51% (from 12, 300 approvals to 18,540). In comparison, metropolitan Melbourne over the same time period increased by 3%.</w:t>
      </w:r>
    </w:p>
    <w:bookmarkEnd w:id="20"/>
    <w:p w14:paraId="2E969371" w14:textId="77777777" w:rsidR="00D12F86" w:rsidRPr="00255E3C" w:rsidRDefault="00D12F86" w:rsidP="00D12F86">
      <w:pPr>
        <w:spacing w:after="120"/>
        <w:ind w:left="-17" w:right="164"/>
        <w:rPr>
          <w:rFonts w:ascii="Corbel" w:hAnsi="Corbel"/>
          <w:sz w:val="22"/>
          <w:szCs w:val="22"/>
        </w:rPr>
      </w:pPr>
      <w:r w:rsidRPr="00255E3C">
        <w:rPr>
          <w:rFonts w:ascii="Corbel" w:hAnsi="Corbel"/>
          <w:sz w:val="22"/>
          <w:szCs w:val="22"/>
        </w:rPr>
        <w:t xml:space="preserve">As a share of total activity, </w:t>
      </w:r>
      <w:r>
        <w:rPr>
          <w:rFonts w:ascii="Corbel" w:hAnsi="Corbel"/>
          <w:sz w:val="22"/>
          <w:szCs w:val="22"/>
        </w:rPr>
        <w:t>r</w:t>
      </w:r>
      <w:r w:rsidRPr="00255E3C">
        <w:rPr>
          <w:rFonts w:ascii="Corbel" w:hAnsi="Corbel"/>
          <w:sz w:val="22"/>
          <w:szCs w:val="22"/>
        </w:rPr>
        <w:t>egional Victoria has jumped from 20% of all new dwellings to 28% in one year. The share going to regional Victoria peaked around 2006 and declined until around 2017. The share for regional Victoria had been rising in the last few years in part because of the rise of Geelong before the spike brought on by the pandemic</w:t>
      </w:r>
    </w:p>
    <w:p w14:paraId="61A31D28" w14:textId="77777777" w:rsidR="00D12F86" w:rsidRDefault="00D12F86" w:rsidP="00D12F86">
      <w:pPr>
        <w:spacing w:after="120"/>
        <w:ind w:left="-17" w:right="164"/>
        <w:rPr>
          <w:rFonts w:ascii="Corbel" w:hAnsi="Corbel"/>
          <w:sz w:val="22"/>
          <w:szCs w:val="22"/>
        </w:rPr>
      </w:pPr>
      <w:bookmarkStart w:id="21" w:name="_Hlk90472305"/>
      <w:r>
        <w:rPr>
          <w:rFonts w:ascii="Corbel" w:hAnsi="Corbel"/>
          <w:sz w:val="22"/>
          <w:szCs w:val="22"/>
        </w:rPr>
        <w:t xml:space="preserve">Residential building approval has significantly increased across virtually all regional municipalities. </w:t>
      </w:r>
    </w:p>
    <w:p w14:paraId="49A26FD5" w14:textId="5D4E5532" w:rsidR="00D12F86" w:rsidRDefault="00BA67BA" w:rsidP="00D12F86">
      <w:pPr>
        <w:spacing w:after="120"/>
        <w:ind w:left="-17" w:right="164"/>
        <w:rPr>
          <w:rFonts w:ascii="Corbel" w:hAnsi="Corbel"/>
          <w:sz w:val="22"/>
          <w:szCs w:val="22"/>
        </w:rPr>
      </w:pPr>
      <w:r>
        <w:rPr>
          <w:rFonts w:ascii="Corbel" w:hAnsi="Corbel"/>
          <w:sz w:val="22"/>
          <w:szCs w:val="22"/>
        </w:rPr>
        <w:t>Geelong</w:t>
      </w:r>
      <w:r w:rsidR="00D12F86">
        <w:rPr>
          <w:rFonts w:ascii="Corbel" w:hAnsi="Corbel"/>
          <w:sz w:val="22"/>
          <w:szCs w:val="22"/>
        </w:rPr>
        <w:t xml:space="preserve"> has illustrated significant growth in building approval activity, increasing by </w:t>
      </w:r>
      <w:r>
        <w:rPr>
          <w:rFonts w:ascii="Corbel" w:hAnsi="Corbel"/>
          <w:sz w:val="22"/>
          <w:szCs w:val="22"/>
        </w:rPr>
        <w:t>50</w:t>
      </w:r>
      <w:r w:rsidR="00D12F86">
        <w:rPr>
          <w:rFonts w:ascii="Corbel" w:hAnsi="Corbel"/>
          <w:sz w:val="22"/>
          <w:szCs w:val="22"/>
        </w:rPr>
        <w:t xml:space="preserve">%, from </w:t>
      </w:r>
      <w:r>
        <w:rPr>
          <w:rFonts w:ascii="Corbel" w:hAnsi="Corbel"/>
          <w:sz w:val="22"/>
          <w:szCs w:val="22"/>
        </w:rPr>
        <w:t>3,107</w:t>
      </w:r>
      <w:r w:rsidR="00D12F86">
        <w:rPr>
          <w:rFonts w:ascii="Corbel" w:hAnsi="Corbel"/>
          <w:sz w:val="22"/>
          <w:szCs w:val="22"/>
        </w:rPr>
        <w:t xml:space="preserve"> approvals to </w:t>
      </w:r>
      <w:r>
        <w:rPr>
          <w:rFonts w:ascii="Corbel" w:hAnsi="Corbel"/>
          <w:sz w:val="22"/>
          <w:szCs w:val="22"/>
        </w:rPr>
        <w:t>4,656</w:t>
      </w:r>
      <w:r w:rsidR="00D12F86">
        <w:rPr>
          <w:rFonts w:ascii="Corbel" w:hAnsi="Corbel"/>
          <w:sz w:val="22"/>
          <w:szCs w:val="22"/>
        </w:rPr>
        <w:t xml:space="preserve"> in 2020/21.</w:t>
      </w:r>
    </w:p>
    <w:p w14:paraId="77A91238" w14:textId="2A575E00" w:rsidR="00D12F86" w:rsidRDefault="00D12F86" w:rsidP="00D12F86">
      <w:pPr>
        <w:keepNext/>
        <w:ind w:left="-17" w:right="164"/>
        <w:rPr>
          <w:rFonts w:ascii="Corbel" w:hAnsi="Corbel"/>
          <w:sz w:val="22"/>
          <w:szCs w:val="22"/>
        </w:rPr>
      </w:pPr>
      <w:bookmarkStart w:id="22" w:name="_Hlk90485712"/>
      <w:bookmarkEnd w:id="21"/>
      <w:r w:rsidRPr="00AA3A80">
        <w:rPr>
          <w:rFonts w:ascii="Corbel" w:hAnsi="Corbel"/>
          <w:b/>
          <w:bCs/>
          <w:sz w:val="22"/>
          <w:szCs w:val="22"/>
        </w:rPr>
        <w:t xml:space="preserve">Graph </w:t>
      </w:r>
      <w:r w:rsidR="00197F12">
        <w:rPr>
          <w:rFonts w:ascii="Corbel" w:hAnsi="Corbel"/>
          <w:b/>
          <w:bCs/>
          <w:sz w:val="22"/>
          <w:szCs w:val="22"/>
        </w:rPr>
        <w:t>1</w:t>
      </w:r>
      <w:r w:rsidRPr="00AA3A80">
        <w:rPr>
          <w:rFonts w:ascii="Corbel" w:hAnsi="Corbel"/>
          <w:b/>
          <w:bCs/>
          <w:sz w:val="22"/>
          <w:szCs w:val="22"/>
        </w:rPr>
        <w:t>:</w:t>
      </w:r>
      <w:r>
        <w:rPr>
          <w:rFonts w:ascii="Corbel" w:hAnsi="Corbel"/>
          <w:sz w:val="22"/>
          <w:szCs w:val="22"/>
        </w:rPr>
        <w:t xml:space="preserve"> Percentage Change in Residential Building Approval Activity by Regional Municipal Areas, 2019/20 to 2020/21</w:t>
      </w:r>
    </w:p>
    <w:bookmarkEnd w:id="22"/>
    <w:p w14:paraId="2C2CF85D" w14:textId="7C374FB9" w:rsidR="00D12F86" w:rsidRDefault="00326EBB" w:rsidP="00D12F86">
      <w:pPr>
        <w:ind w:left="-17" w:right="164"/>
        <w:rPr>
          <w:rFonts w:ascii="Corbel" w:hAnsi="Corbel"/>
          <w:sz w:val="22"/>
          <w:szCs w:val="22"/>
        </w:rPr>
      </w:pPr>
      <w:r>
        <w:rPr>
          <w:rFonts w:ascii="Corbel" w:hAnsi="Corbel"/>
          <w:noProof/>
          <w:sz w:val="22"/>
          <w:szCs w:val="22"/>
        </w:rPr>
        <w:drawing>
          <wp:inline distT="0" distB="0" distL="0" distR="0" wp14:anchorId="7CE6477A" wp14:editId="2A8B38D5">
            <wp:extent cx="5834380" cy="3593893"/>
            <wp:effectExtent l="0" t="0" r="0" b="6985"/>
            <wp:docPr id="82911" name="Picture 82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60197" cy="3609796"/>
                    </a:xfrm>
                    <a:prstGeom prst="rect">
                      <a:avLst/>
                    </a:prstGeom>
                    <a:noFill/>
                  </pic:spPr>
                </pic:pic>
              </a:graphicData>
            </a:graphic>
          </wp:inline>
        </w:drawing>
      </w:r>
    </w:p>
    <w:p w14:paraId="5440D1BD" w14:textId="77777777" w:rsidR="00D12F86" w:rsidRPr="00C71E6F" w:rsidRDefault="00D12F86" w:rsidP="00D12F86">
      <w:pPr>
        <w:spacing w:after="120"/>
        <w:ind w:left="-6" w:hanging="11"/>
        <w:rPr>
          <w:rFonts w:ascii="Corbel" w:hAnsi="Corbel"/>
        </w:rPr>
      </w:pPr>
      <w:r w:rsidRPr="00C71E6F">
        <w:rPr>
          <w:rFonts w:ascii="Corbel" w:eastAsia="Arial" w:hAnsi="Corbel" w:cs="Arial"/>
          <w:b/>
          <w:sz w:val="16"/>
        </w:rPr>
        <w:t>Source:</w:t>
      </w:r>
      <w:r w:rsidRPr="00C71E6F">
        <w:rPr>
          <w:rFonts w:ascii="Corbel" w:eastAsia="Arial" w:hAnsi="Corbel" w:cs="Arial"/>
          <w:sz w:val="16"/>
        </w:rPr>
        <w:t xml:space="preserve"> Australian Bureau of Statistics </w:t>
      </w:r>
    </w:p>
    <w:p w14:paraId="55BB2437" w14:textId="77777777" w:rsidR="00D12F86" w:rsidRPr="00255E3C" w:rsidRDefault="00D12F86" w:rsidP="00D12F86">
      <w:pPr>
        <w:spacing w:after="120"/>
        <w:rPr>
          <w:rFonts w:ascii="Corbel" w:hAnsi="Corbel"/>
          <w:sz w:val="22"/>
          <w:szCs w:val="22"/>
        </w:rPr>
      </w:pPr>
      <w:r w:rsidRPr="00255E3C">
        <w:rPr>
          <w:rFonts w:ascii="Corbel" w:hAnsi="Corbel"/>
          <w:sz w:val="22"/>
          <w:szCs w:val="22"/>
        </w:rPr>
        <w:t xml:space="preserve">The large increase in demand for </w:t>
      </w:r>
      <w:r>
        <w:rPr>
          <w:rFonts w:ascii="Corbel" w:hAnsi="Corbel"/>
          <w:sz w:val="22"/>
          <w:szCs w:val="22"/>
        </w:rPr>
        <w:t>housing</w:t>
      </w:r>
      <w:r w:rsidRPr="00255E3C">
        <w:rPr>
          <w:rFonts w:ascii="Corbel" w:hAnsi="Corbel"/>
          <w:sz w:val="22"/>
          <w:szCs w:val="22"/>
        </w:rPr>
        <w:t xml:space="preserve"> </w:t>
      </w:r>
      <w:r>
        <w:rPr>
          <w:rFonts w:ascii="Corbel" w:hAnsi="Corbel"/>
          <w:sz w:val="22"/>
          <w:szCs w:val="22"/>
        </w:rPr>
        <w:t>across regional Victoria</w:t>
      </w:r>
      <w:r w:rsidRPr="00255E3C">
        <w:rPr>
          <w:rFonts w:ascii="Corbel" w:hAnsi="Corbel"/>
          <w:sz w:val="22"/>
          <w:szCs w:val="22"/>
        </w:rPr>
        <w:t xml:space="preserve"> will put significant pressure on local economies to be able to deliver the housing stock. </w:t>
      </w:r>
      <w:r>
        <w:rPr>
          <w:rFonts w:ascii="Corbel" w:hAnsi="Corbel"/>
          <w:sz w:val="22"/>
          <w:szCs w:val="22"/>
        </w:rPr>
        <w:t xml:space="preserve">The </w:t>
      </w:r>
      <w:r w:rsidRPr="00255E3C">
        <w:rPr>
          <w:rFonts w:ascii="Corbel" w:hAnsi="Corbel"/>
          <w:sz w:val="22"/>
          <w:szCs w:val="22"/>
        </w:rPr>
        <w:t xml:space="preserve">sharp hike in </w:t>
      </w:r>
      <w:r>
        <w:rPr>
          <w:rFonts w:ascii="Corbel" w:hAnsi="Corbel"/>
          <w:sz w:val="22"/>
          <w:szCs w:val="22"/>
        </w:rPr>
        <w:t xml:space="preserve">residential building </w:t>
      </w:r>
      <w:r w:rsidRPr="00255E3C">
        <w:rPr>
          <w:rFonts w:ascii="Corbel" w:hAnsi="Corbel"/>
          <w:sz w:val="22"/>
          <w:szCs w:val="22"/>
        </w:rPr>
        <w:t xml:space="preserve">activity will </w:t>
      </w:r>
      <w:r>
        <w:rPr>
          <w:rFonts w:ascii="Corbel" w:hAnsi="Corbel"/>
          <w:sz w:val="22"/>
          <w:szCs w:val="22"/>
        </w:rPr>
        <w:t>put additional</w:t>
      </w:r>
      <w:r w:rsidRPr="00255E3C">
        <w:rPr>
          <w:rFonts w:ascii="Corbel" w:hAnsi="Corbel"/>
          <w:sz w:val="22"/>
          <w:szCs w:val="22"/>
        </w:rPr>
        <w:t xml:space="preserve"> pressure</w:t>
      </w:r>
      <w:r>
        <w:rPr>
          <w:rFonts w:ascii="Corbel" w:hAnsi="Corbel"/>
          <w:sz w:val="22"/>
          <w:szCs w:val="22"/>
        </w:rPr>
        <w:t>s</w:t>
      </w:r>
      <w:r w:rsidRPr="00255E3C">
        <w:rPr>
          <w:rFonts w:ascii="Corbel" w:hAnsi="Corbel"/>
          <w:sz w:val="22"/>
          <w:szCs w:val="22"/>
        </w:rPr>
        <w:t xml:space="preserve"> on supply chains</w:t>
      </w:r>
      <w:r>
        <w:rPr>
          <w:rFonts w:ascii="Corbel" w:hAnsi="Corbel"/>
          <w:sz w:val="22"/>
          <w:szCs w:val="22"/>
        </w:rPr>
        <w:t xml:space="preserve">, </w:t>
      </w:r>
      <w:r w:rsidRPr="00255E3C">
        <w:rPr>
          <w:rFonts w:ascii="Corbel" w:hAnsi="Corbel"/>
          <w:sz w:val="22"/>
          <w:szCs w:val="22"/>
        </w:rPr>
        <w:t xml:space="preserve">sourcing </w:t>
      </w:r>
      <w:r>
        <w:rPr>
          <w:rFonts w:ascii="Corbel" w:hAnsi="Corbel"/>
          <w:sz w:val="22"/>
          <w:szCs w:val="22"/>
        </w:rPr>
        <w:t>labour and associated civil works requirements</w:t>
      </w:r>
      <w:r w:rsidRPr="00255E3C">
        <w:rPr>
          <w:rFonts w:ascii="Corbel" w:hAnsi="Corbel"/>
          <w:sz w:val="22"/>
          <w:szCs w:val="22"/>
        </w:rPr>
        <w:t xml:space="preserve">. </w:t>
      </w:r>
    </w:p>
    <w:p w14:paraId="076922AF" w14:textId="77777777" w:rsidR="00D12F86" w:rsidRPr="00255E3C" w:rsidRDefault="00D12F86" w:rsidP="00D12F86">
      <w:pPr>
        <w:spacing w:after="120"/>
        <w:rPr>
          <w:rFonts w:ascii="Corbel" w:hAnsi="Corbel"/>
          <w:sz w:val="22"/>
          <w:szCs w:val="22"/>
        </w:rPr>
      </w:pPr>
      <w:r w:rsidRPr="00255E3C">
        <w:rPr>
          <w:rFonts w:ascii="Corbel" w:hAnsi="Corbel"/>
          <w:sz w:val="22"/>
          <w:szCs w:val="22"/>
        </w:rPr>
        <w:t xml:space="preserve">The pandemic and the subsequent work from home phenomenon is having </w:t>
      </w:r>
      <w:r>
        <w:rPr>
          <w:rFonts w:ascii="Corbel" w:hAnsi="Corbel"/>
          <w:sz w:val="22"/>
          <w:szCs w:val="22"/>
        </w:rPr>
        <w:t>significant</w:t>
      </w:r>
      <w:r w:rsidRPr="00255E3C">
        <w:rPr>
          <w:rFonts w:ascii="Corbel" w:hAnsi="Corbel"/>
          <w:sz w:val="22"/>
          <w:szCs w:val="22"/>
        </w:rPr>
        <w:t xml:space="preserve"> impacts on the residential construction industry. With presales in </w:t>
      </w:r>
      <w:r>
        <w:rPr>
          <w:rFonts w:ascii="Corbel" w:hAnsi="Corbel"/>
          <w:sz w:val="22"/>
          <w:szCs w:val="22"/>
        </w:rPr>
        <w:t>greenfield estates</w:t>
      </w:r>
      <w:r w:rsidRPr="00255E3C">
        <w:rPr>
          <w:rFonts w:ascii="Corbel" w:hAnsi="Corbel"/>
          <w:sz w:val="22"/>
          <w:szCs w:val="22"/>
        </w:rPr>
        <w:t xml:space="preserve"> extending out further than ever </w:t>
      </w:r>
      <w:r w:rsidRPr="00255E3C">
        <w:rPr>
          <w:rFonts w:ascii="Corbel" w:hAnsi="Corbel"/>
          <w:sz w:val="22"/>
          <w:szCs w:val="22"/>
        </w:rPr>
        <w:lastRenderedPageBreak/>
        <w:t>before, sometimes into multiple years’ worth of supply</w:t>
      </w:r>
      <w:r>
        <w:rPr>
          <w:rFonts w:ascii="Corbel" w:hAnsi="Corbel"/>
          <w:sz w:val="22"/>
          <w:szCs w:val="22"/>
        </w:rPr>
        <w:t>,</w:t>
      </w:r>
      <w:r w:rsidRPr="00255E3C">
        <w:rPr>
          <w:rFonts w:ascii="Corbel" w:hAnsi="Corbel"/>
          <w:sz w:val="22"/>
          <w:szCs w:val="22"/>
        </w:rPr>
        <w:t xml:space="preserve"> there will be a backlog of construction </w:t>
      </w:r>
      <w:r>
        <w:rPr>
          <w:rFonts w:ascii="Corbel" w:hAnsi="Corbel"/>
          <w:sz w:val="22"/>
          <w:szCs w:val="22"/>
        </w:rPr>
        <w:t>requirements</w:t>
      </w:r>
      <w:r w:rsidRPr="00255E3C">
        <w:rPr>
          <w:rFonts w:ascii="Corbel" w:hAnsi="Corbel"/>
          <w:sz w:val="22"/>
          <w:szCs w:val="22"/>
        </w:rPr>
        <w:t>.</w:t>
      </w:r>
    </w:p>
    <w:p w14:paraId="289F9254" w14:textId="2A1A4D2D" w:rsidR="002763B5" w:rsidRDefault="00D55782">
      <w:pPr>
        <w:pStyle w:val="Heading1"/>
        <w:tabs>
          <w:tab w:val="center" w:pos="2575"/>
        </w:tabs>
        <w:ind w:left="-15" w:firstLine="0"/>
      </w:pPr>
      <w:bookmarkStart w:id="23" w:name="_Toc101202494"/>
      <w:r>
        <w:t>4.1</w:t>
      </w:r>
      <w:r w:rsidR="00D12F86">
        <w:t>.1</w:t>
      </w:r>
      <w:r>
        <w:t xml:space="preserve"> </w:t>
      </w:r>
      <w:r w:rsidR="00CE5387">
        <w:t xml:space="preserve"> </w:t>
      </w:r>
      <w:r>
        <w:t xml:space="preserve">Residential Building Approvals </w:t>
      </w:r>
      <w:r w:rsidR="00D12F86">
        <w:t xml:space="preserve"> - </w:t>
      </w:r>
      <w:r w:rsidR="00BA67BA">
        <w:t>Geelong</w:t>
      </w:r>
      <w:bookmarkEnd w:id="23"/>
    </w:p>
    <w:p w14:paraId="0CBD7A82" w14:textId="695B1D80" w:rsidR="00C33959" w:rsidRPr="00C71E6F" w:rsidRDefault="00F106C2" w:rsidP="00CF71C9">
      <w:pPr>
        <w:spacing w:after="120"/>
        <w:ind w:left="-17" w:right="164"/>
        <w:rPr>
          <w:rFonts w:ascii="Corbel" w:hAnsi="Corbel"/>
          <w:sz w:val="22"/>
          <w:szCs w:val="22"/>
        </w:rPr>
      </w:pPr>
      <w:bookmarkStart w:id="24" w:name="_Hlk13141719"/>
      <w:r w:rsidRPr="00C71E6F">
        <w:rPr>
          <w:rFonts w:ascii="Corbel" w:hAnsi="Corbel"/>
          <w:sz w:val="22"/>
          <w:szCs w:val="22"/>
        </w:rPr>
        <w:t>As measured from 200</w:t>
      </w:r>
      <w:r w:rsidR="00756DFB" w:rsidRPr="00C71E6F">
        <w:rPr>
          <w:rFonts w:ascii="Corbel" w:hAnsi="Corbel"/>
          <w:sz w:val="22"/>
          <w:szCs w:val="22"/>
        </w:rPr>
        <w:t>1</w:t>
      </w:r>
      <w:r w:rsidRPr="00C71E6F">
        <w:rPr>
          <w:rFonts w:ascii="Corbel" w:hAnsi="Corbel"/>
          <w:sz w:val="22"/>
          <w:szCs w:val="22"/>
        </w:rPr>
        <w:t>/0</w:t>
      </w:r>
      <w:r w:rsidR="00756DFB" w:rsidRPr="00C71E6F">
        <w:rPr>
          <w:rFonts w:ascii="Corbel" w:hAnsi="Corbel"/>
          <w:sz w:val="22"/>
          <w:szCs w:val="22"/>
        </w:rPr>
        <w:t>2</w:t>
      </w:r>
      <w:r w:rsidRPr="00C71E6F">
        <w:rPr>
          <w:rFonts w:ascii="Corbel" w:hAnsi="Corbel"/>
          <w:sz w:val="22"/>
          <w:szCs w:val="22"/>
        </w:rPr>
        <w:t xml:space="preserve"> to </w:t>
      </w:r>
      <w:r w:rsidR="00C503E4">
        <w:rPr>
          <w:rFonts w:ascii="Corbel" w:hAnsi="Corbel"/>
          <w:sz w:val="22"/>
          <w:szCs w:val="22"/>
        </w:rPr>
        <w:t>2020/21</w:t>
      </w:r>
      <w:r w:rsidRPr="00C71E6F">
        <w:rPr>
          <w:rFonts w:ascii="Corbel" w:hAnsi="Corbel"/>
          <w:sz w:val="22"/>
          <w:szCs w:val="22"/>
        </w:rPr>
        <w:t xml:space="preserve">, residential building approvals within </w:t>
      </w:r>
      <w:r w:rsidR="00C33959" w:rsidRPr="00C71E6F">
        <w:rPr>
          <w:rFonts w:ascii="Corbel" w:hAnsi="Corbel"/>
          <w:sz w:val="22"/>
          <w:szCs w:val="22"/>
        </w:rPr>
        <w:t xml:space="preserve">the </w:t>
      </w:r>
      <w:r w:rsidR="00BA67BA">
        <w:rPr>
          <w:rFonts w:ascii="Corbel" w:hAnsi="Corbel"/>
          <w:sz w:val="22"/>
          <w:szCs w:val="22"/>
        </w:rPr>
        <w:t>City of Greater Geelong</w:t>
      </w:r>
      <w:r w:rsidRPr="00C71E6F">
        <w:rPr>
          <w:rFonts w:ascii="Corbel" w:hAnsi="Corbel"/>
          <w:sz w:val="22"/>
          <w:szCs w:val="22"/>
        </w:rPr>
        <w:t xml:space="preserve"> averaged </w:t>
      </w:r>
      <w:r w:rsidR="00BA67BA">
        <w:rPr>
          <w:rFonts w:ascii="Corbel" w:hAnsi="Corbel"/>
          <w:sz w:val="22"/>
          <w:szCs w:val="22"/>
        </w:rPr>
        <w:t>2,330</w:t>
      </w:r>
      <w:r w:rsidRPr="00C71E6F">
        <w:rPr>
          <w:rFonts w:ascii="Corbel" w:hAnsi="Corbel"/>
          <w:sz w:val="22"/>
          <w:szCs w:val="22"/>
        </w:rPr>
        <w:t xml:space="preserve"> per annum. </w:t>
      </w:r>
      <w:bookmarkEnd w:id="24"/>
      <w:r w:rsidR="00C33959" w:rsidRPr="00C71E6F">
        <w:rPr>
          <w:rFonts w:ascii="Corbel" w:hAnsi="Corbel"/>
          <w:sz w:val="22"/>
          <w:szCs w:val="22"/>
        </w:rPr>
        <w:t xml:space="preserve">Of which, </w:t>
      </w:r>
      <w:r w:rsidR="00BA67BA">
        <w:rPr>
          <w:rFonts w:ascii="Corbel" w:hAnsi="Corbel"/>
          <w:sz w:val="22"/>
          <w:szCs w:val="22"/>
        </w:rPr>
        <w:t>87</w:t>
      </w:r>
      <w:r w:rsidR="00E8708E" w:rsidRPr="00C71E6F">
        <w:rPr>
          <w:rFonts w:ascii="Corbel" w:hAnsi="Corbel"/>
          <w:sz w:val="22"/>
          <w:szCs w:val="22"/>
        </w:rPr>
        <w:t xml:space="preserve">% </w:t>
      </w:r>
      <w:r w:rsidR="00C33959" w:rsidRPr="00C71E6F">
        <w:rPr>
          <w:rFonts w:ascii="Corbel" w:hAnsi="Corbel"/>
          <w:sz w:val="22"/>
          <w:szCs w:val="22"/>
        </w:rPr>
        <w:t>were</w:t>
      </w:r>
      <w:r w:rsidR="00F467EF" w:rsidRPr="00C71E6F">
        <w:rPr>
          <w:rFonts w:ascii="Corbel" w:hAnsi="Corbel"/>
          <w:sz w:val="22"/>
          <w:szCs w:val="22"/>
        </w:rPr>
        <w:t xml:space="preserve"> for separate dwellings</w:t>
      </w:r>
      <w:r w:rsidR="00E8708E" w:rsidRPr="00C71E6F">
        <w:rPr>
          <w:rFonts w:ascii="Corbel" w:hAnsi="Corbel"/>
          <w:sz w:val="22"/>
          <w:szCs w:val="22"/>
        </w:rPr>
        <w:t xml:space="preserve"> whil</w:t>
      </w:r>
      <w:r w:rsidR="00C33959" w:rsidRPr="00C71E6F">
        <w:rPr>
          <w:rFonts w:ascii="Corbel" w:hAnsi="Corbel"/>
          <w:sz w:val="22"/>
          <w:szCs w:val="22"/>
        </w:rPr>
        <w:t>st</w:t>
      </w:r>
      <w:r w:rsidR="00E8708E" w:rsidRPr="00C71E6F">
        <w:rPr>
          <w:rFonts w:ascii="Corbel" w:hAnsi="Corbel"/>
          <w:sz w:val="22"/>
          <w:szCs w:val="22"/>
        </w:rPr>
        <w:t xml:space="preserve"> </w:t>
      </w:r>
      <w:r w:rsidR="00BA67BA">
        <w:rPr>
          <w:rFonts w:ascii="Corbel" w:hAnsi="Corbel"/>
          <w:sz w:val="22"/>
          <w:szCs w:val="22"/>
        </w:rPr>
        <w:t>13</w:t>
      </w:r>
      <w:r w:rsidR="00E8708E" w:rsidRPr="00C71E6F">
        <w:rPr>
          <w:rFonts w:ascii="Corbel" w:hAnsi="Corbel"/>
          <w:sz w:val="22"/>
          <w:szCs w:val="22"/>
        </w:rPr>
        <w:t xml:space="preserve">% were for medium density </w:t>
      </w:r>
      <w:r w:rsidR="00C33959" w:rsidRPr="00C71E6F">
        <w:rPr>
          <w:rFonts w:ascii="Corbel" w:hAnsi="Corbel"/>
          <w:sz w:val="22"/>
          <w:szCs w:val="22"/>
        </w:rPr>
        <w:t>housing</w:t>
      </w:r>
      <w:r w:rsidR="00BA67BA">
        <w:rPr>
          <w:rFonts w:ascii="Corbel" w:hAnsi="Corbel"/>
          <w:sz w:val="22"/>
          <w:szCs w:val="22"/>
        </w:rPr>
        <w:t>.</w:t>
      </w:r>
      <w:r w:rsidR="00767EF9">
        <w:rPr>
          <w:rFonts w:ascii="Corbel" w:hAnsi="Corbel"/>
          <w:sz w:val="22"/>
          <w:szCs w:val="22"/>
        </w:rPr>
        <w:t xml:space="preserve"> </w:t>
      </w:r>
    </w:p>
    <w:p w14:paraId="0B3F455E" w14:textId="1729AF3F" w:rsidR="006904FB" w:rsidRDefault="00767EF9" w:rsidP="00CF71C9">
      <w:pPr>
        <w:spacing w:after="120"/>
        <w:ind w:left="-17" w:right="164"/>
        <w:rPr>
          <w:rFonts w:ascii="Corbel" w:hAnsi="Corbel"/>
          <w:sz w:val="22"/>
          <w:szCs w:val="22"/>
        </w:rPr>
      </w:pPr>
      <w:bookmarkStart w:id="25" w:name="_Hlk13141789"/>
      <w:r>
        <w:rPr>
          <w:rFonts w:ascii="Corbel" w:hAnsi="Corbel"/>
          <w:sz w:val="22"/>
          <w:szCs w:val="22"/>
        </w:rPr>
        <w:t xml:space="preserve">Graph </w:t>
      </w:r>
      <w:r w:rsidR="00197F12">
        <w:rPr>
          <w:rFonts w:ascii="Corbel" w:hAnsi="Corbel"/>
          <w:sz w:val="22"/>
          <w:szCs w:val="22"/>
        </w:rPr>
        <w:t>2</w:t>
      </w:r>
      <w:r>
        <w:rPr>
          <w:rFonts w:ascii="Corbel" w:hAnsi="Corbel"/>
          <w:sz w:val="22"/>
          <w:szCs w:val="22"/>
        </w:rPr>
        <w:t xml:space="preserve"> illustrates  sustained trend in the continual </w:t>
      </w:r>
      <w:r w:rsidR="0018226B">
        <w:rPr>
          <w:rFonts w:ascii="Corbel" w:hAnsi="Corbel"/>
          <w:sz w:val="22"/>
          <w:szCs w:val="22"/>
        </w:rPr>
        <w:t xml:space="preserve">volume </w:t>
      </w:r>
      <w:r>
        <w:rPr>
          <w:rFonts w:ascii="Corbel" w:hAnsi="Corbel"/>
          <w:sz w:val="22"/>
          <w:szCs w:val="22"/>
        </w:rPr>
        <w:t xml:space="preserve">growth of residential building approval activity since 2009. </w:t>
      </w:r>
      <w:r w:rsidR="008B7D38" w:rsidRPr="00C71E6F">
        <w:rPr>
          <w:rFonts w:ascii="Corbel" w:hAnsi="Corbel"/>
          <w:sz w:val="22"/>
          <w:szCs w:val="22"/>
        </w:rPr>
        <w:t>Between 200</w:t>
      </w:r>
      <w:r>
        <w:rPr>
          <w:rFonts w:ascii="Corbel" w:hAnsi="Corbel"/>
          <w:sz w:val="22"/>
          <w:szCs w:val="22"/>
        </w:rPr>
        <w:t>9</w:t>
      </w:r>
      <w:r w:rsidR="008B7D38" w:rsidRPr="00C71E6F">
        <w:rPr>
          <w:rFonts w:ascii="Corbel" w:hAnsi="Corbel"/>
          <w:sz w:val="22"/>
          <w:szCs w:val="22"/>
        </w:rPr>
        <w:t xml:space="preserve"> and 20</w:t>
      </w:r>
      <w:r>
        <w:rPr>
          <w:rFonts w:ascii="Corbel" w:hAnsi="Corbel"/>
          <w:sz w:val="22"/>
          <w:szCs w:val="22"/>
        </w:rPr>
        <w:t>13</w:t>
      </w:r>
      <w:r w:rsidR="008B7D38" w:rsidRPr="00C71E6F">
        <w:rPr>
          <w:rFonts w:ascii="Corbel" w:hAnsi="Corbel"/>
          <w:sz w:val="22"/>
          <w:szCs w:val="22"/>
        </w:rPr>
        <w:t xml:space="preserve">, </w:t>
      </w:r>
      <w:r w:rsidR="00437892" w:rsidRPr="00C71E6F">
        <w:rPr>
          <w:rFonts w:ascii="Corbel" w:hAnsi="Corbel"/>
          <w:sz w:val="22"/>
          <w:szCs w:val="22"/>
        </w:rPr>
        <w:t xml:space="preserve">the annual number of residential </w:t>
      </w:r>
      <w:r w:rsidR="008B7D38" w:rsidRPr="00C71E6F">
        <w:rPr>
          <w:rFonts w:ascii="Corbel" w:hAnsi="Corbel"/>
          <w:sz w:val="22"/>
          <w:szCs w:val="22"/>
        </w:rPr>
        <w:t>building</w:t>
      </w:r>
      <w:r w:rsidR="00437892" w:rsidRPr="00C71E6F">
        <w:rPr>
          <w:rFonts w:ascii="Corbel" w:hAnsi="Corbel"/>
          <w:sz w:val="22"/>
          <w:szCs w:val="22"/>
        </w:rPr>
        <w:t>s</w:t>
      </w:r>
      <w:r w:rsidR="008B7D38" w:rsidRPr="00C71E6F">
        <w:rPr>
          <w:rFonts w:ascii="Corbel" w:hAnsi="Corbel"/>
          <w:sz w:val="22"/>
          <w:szCs w:val="22"/>
        </w:rPr>
        <w:t xml:space="preserve"> approv</w:t>
      </w:r>
      <w:r w:rsidR="00C503E4">
        <w:rPr>
          <w:rFonts w:ascii="Corbel" w:hAnsi="Corbel"/>
          <w:sz w:val="22"/>
          <w:szCs w:val="22"/>
        </w:rPr>
        <w:t xml:space="preserve">als </w:t>
      </w:r>
      <w:r w:rsidR="006904FB">
        <w:rPr>
          <w:rFonts w:ascii="Corbel" w:hAnsi="Corbel"/>
          <w:sz w:val="22"/>
          <w:szCs w:val="22"/>
        </w:rPr>
        <w:t>averaged</w:t>
      </w:r>
      <w:r w:rsidR="00C503E4">
        <w:rPr>
          <w:rFonts w:ascii="Corbel" w:hAnsi="Corbel"/>
          <w:sz w:val="22"/>
          <w:szCs w:val="22"/>
        </w:rPr>
        <w:t xml:space="preserve"> around </w:t>
      </w:r>
      <w:r w:rsidR="006904FB">
        <w:rPr>
          <w:rFonts w:ascii="Corbel" w:hAnsi="Corbel"/>
          <w:sz w:val="22"/>
          <w:szCs w:val="22"/>
        </w:rPr>
        <w:t>2,000</w:t>
      </w:r>
      <w:r w:rsidR="00C503E4">
        <w:rPr>
          <w:rFonts w:ascii="Corbel" w:hAnsi="Corbel"/>
          <w:sz w:val="22"/>
          <w:szCs w:val="22"/>
        </w:rPr>
        <w:t xml:space="preserve"> per annum</w:t>
      </w:r>
      <w:r w:rsidR="006904FB">
        <w:rPr>
          <w:rFonts w:ascii="Corbel" w:hAnsi="Corbel"/>
          <w:sz w:val="22"/>
          <w:szCs w:val="22"/>
        </w:rPr>
        <w:t>, increasing to around 2,600 from 2013 to 2017 and increasing to an average of 3,260 from 2017 to 2020.</w:t>
      </w:r>
    </w:p>
    <w:p w14:paraId="73B89945" w14:textId="42604805" w:rsidR="006904FB" w:rsidRDefault="006904FB" w:rsidP="00CF71C9">
      <w:pPr>
        <w:spacing w:after="120"/>
        <w:ind w:left="-17" w:right="164"/>
        <w:rPr>
          <w:rFonts w:ascii="Corbel" w:hAnsi="Corbel"/>
          <w:sz w:val="22"/>
          <w:szCs w:val="22"/>
        </w:rPr>
      </w:pPr>
      <w:r>
        <w:rPr>
          <w:rFonts w:ascii="Corbel" w:hAnsi="Corbel"/>
          <w:sz w:val="22"/>
          <w:szCs w:val="22"/>
        </w:rPr>
        <w:t xml:space="preserve">There was a peak of approximately 4,660 residential </w:t>
      </w:r>
      <w:r w:rsidR="0018226B">
        <w:rPr>
          <w:rFonts w:ascii="Corbel" w:hAnsi="Corbel"/>
          <w:sz w:val="22"/>
          <w:szCs w:val="22"/>
        </w:rPr>
        <w:t>building</w:t>
      </w:r>
      <w:r>
        <w:rPr>
          <w:rFonts w:ascii="Corbel" w:hAnsi="Corbel"/>
          <w:sz w:val="22"/>
          <w:szCs w:val="22"/>
        </w:rPr>
        <w:t xml:space="preserve"> approvals in the financial year of 2020/21. For the financial year to date (January 2022) there was 2,340 approvals, it is likely that building approval activity for 2021/22 will </w:t>
      </w:r>
      <w:r w:rsidR="003C2D98">
        <w:rPr>
          <w:rFonts w:ascii="Corbel" w:hAnsi="Corbel"/>
          <w:sz w:val="22"/>
          <w:szCs w:val="22"/>
        </w:rPr>
        <w:t>remain at the previous year’s peak activity levels.</w:t>
      </w:r>
    </w:p>
    <w:p w14:paraId="51617EBA" w14:textId="4425E88A" w:rsidR="002763B5" w:rsidRPr="00C71E6F" w:rsidRDefault="00C503E4" w:rsidP="003C2D98">
      <w:pPr>
        <w:spacing w:after="120"/>
        <w:ind w:left="-17" w:right="164"/>
        <w:rPr>
          <w:rFonts w:ascii="Corbel" w:hAnsi="Corbel"/>
          <w:sz w:val="22"/>
          <w:szCs w:val="22"/>
        </w:rPr>
      </w:pPr>
      <w:r>
        <w:rPr>
          <w:rFonts w:ascii="Corbel" w:hAnsi="Corbel"/>
          <w:sz w:val="22"/>
          <w:szCs w:val="22"/>
        </w:rPr>
        <w:t xml:space="preserve"> </w:t>
      </w:r>
      <w:bookmarkStart w:id="26" w:name="_Hlk101101141"/>
      <w:bookmarkStart w:id="27" w:name="_Hlk523953867"/>
      <w:bookmarkEnd w:id="25"/>
      <w:r w:rsidR="00D55782" w:rsidRPr="00C71E6F">
        <w:rPr>
          <w:rFonts w:ascii="Corbel" w:hAnsi="Corbel"/>
          <w:b/>
          <w:sz w:val="22"/>
          <w:szCs w:val="22"/>
        </w:rPr>
        <w:t xml:space="preserve">Graph </w:t>
      </w:r>
      <w:r w:rsidR="00197F12">
        <w:rPr>
          <w:rFonts w:ascii="Corbel" w:hAnsi="Corbel"/>
          <w:b/>
          <w:sz w:val="22"/>
          <w:szCs w:val="22"/>
        </w:rPr>
        <w:t>2</w:t>
      </w:r>
      <w:r w:rsidR="00D55782" w:rsidRPr="00C71E6F">
        <w:rPr>
          <w:rFonts w:ascii="Corbel" w:hAnsi="Corbel"/>
          <w:b/>
          <w:sz w:val="22"/>
          <w:szCs w:val="22"/>
        </w:rPr>
        <w:t>:</w:t>
      </w:r>
      <w:r w:rsidR="00D55782" w:rsidRPr="00C71E6F">
        <w:rPr>
          <w:rFonts w:ascii="Corbel" w:hAnsi="Corbel"/>
          <w:sz w:val="22"/>
          <w:szCs w:val="22"/>
        </w:rPr>
        <w:t xml:space="preserve"> Residential Building Approvals by Type – </w:t>
      </w:r>
      <w:r w:rsidR="00BA67BA">
        <w:rPr>
          <w:rFonts w:ascii="Corbel" w:hAnsi="Corbel"/>
          <w:sz w:val="22"/>
          <w:szCs w:val="22"/>
        </w:rPr>
        <w:t>City of Greater Gelong</w:t>
      </w:r>
      <w:r w:rsidR="008B7D38" w:rsidRPr="00C71E6F">
        <w:rPr>
          <w:rFonts w:ascii="Corbel" w:hAnsi="Corbel"/>
          <w:sz w:val="22"/>
          <w:szCs w:val="22"/>
        </w:rPr>
        <w:t>, 2001 to 20</w:t>
      </w:r>
      <w:r w:rsidR="00867972">
        <w:rPr>
          <w:rFonts w:ascii="Corbel" w:hAnsi="Corbel"/>
          <w:sz w:val="22"/>
          <w:szCs w:val="22"/>
        </w:rPr>
        <w:t>21</w:t>
      </w:r>
      <w:r w:rsidR="00D55782" w:rsidRPr="00C71E6F">
        <w:rPr>
          <w:rFonts w:ascii="Corbel" w:hAnsi="Corbel"/>
          <w:sz w:val="22"/>
          <w:szCs w:val="22"/>
        </w:rPr>
        <w:t xml:space="preserve"> </w:t>
      </w:r>
      <w:bookmarkEnd w:id="26"/>
    </w:p>
    <w:bookmarkEnd w:id="27"/>
    <w:p w14:paraId="24479511" w14:textId="028DA057" w:rsidR="002763B5" w:rsidRPr="00867972" w:rsidRDefault="00BA67BA" w:rsidP="004B739F">
      <w:pPr>
        <w:ind w:left="6"/>
      </w:pPr>
      <w:r>
        <w:rPr>
          <w:noProof/>
        </w:rPr>
        <w:drawing>
          <wp:inline distT="0" distB="0" distL="0" distR="0" wp14:anchorId="22208AB4" wp14:editId="66F956E2">
            <wp:extent cx="5878830" cy="3840814"/>
            <wp:effectExtent l="0" t="0" r="762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2821" cy="3849955"/>
                    </a:xfrm>
                    <a:prstGeom prst="rect">
                      <a:avLst/>
                    </a:prstGeom>
                    <a:noFill/>
                  </pic:spPr>
                </pic:pic>
              </a:graphicData>
            </a:graphic>
          </wp:inline>
        </w:drawing>
      </w:r>
    </w:p>
    <w:p w14:paraId="34DCA5B8" w14:textId="77777777" w:rsidR="002763B5" w:rsidRPr="00867972" w:rsidRDefault="00D55782" w:rsidP="00CF71C9">
      <w:pPr>
        <w:spacing w:after="120"/>
        <w:ind w:left="-6" w:hanging="11"/>
        <w:rPr>
          <w:rFonts w:ascii="Corbel" w:hAnsi="Corbel"/>
        </w:rPr>
      </w:pPr>
      <w:r w:rsidRPr="00867972">
        <w:rPr>
          <w:rFonts w:ascii="Corbel" w:eastAsia="Arial" w:hAnsi="Corbel" w:cs="Arial"/>
          <w:b/>
          <w:sz w:val="16"/>
        </w:rPr>
        <w:t>Source:</w:t>
      </w:r>
      <w:r w:rsidRPr="00867972">
        <w:rPr>
          <w:rFonts w:ascii="Corbel" w:eastAsia="Arial" w:hAnsi="Corbel" w:cs="Arial"/>
          <w:sz w:val="16"/>
        </w:rPr>
        <w:t xml:space="preserve"> Australian Bureau of Statistics </w:t>
      </w:r>
    </w:p>
    <w:p w14:paraId="26789F7F" w14:textId="1C43110C" w:rsidR="002763B5" w:rsidRDefault="00D55782">
      <w:pPr>
        <w:pStyle w:val="Heading1"/>
        <w:tabs>
          <w:tab w:val="center" w:pos="2422"/>
        </w:tabs>
        <w:ind w:left="-15" w:firstLine="0"/>
      </w:pPr>
      <w:bookmarkStart w:id="28" w:name="_Toc101202495"/>
      <w:r>
        <w:t xml:space="preserve">4.2 </w:t>
      </w:r>
      <w:r w:rsidR="00CE5387">
        <w:t xml:space="preserve"> </w:t>
      </w:r>
      <w:r>
        <w:t>Residential</w:t>
      </w:r>
      <w:r w:rsidR="00950A25">
        <w:t xml:space="preserve"> Broadhectare</w:t>
      </w:r>
      <w:r>
        <w:t xml:space="preserve"> Lot Construction</w:t>
      </w:r>
      <w:bookmarkEnd w:id="28"/>
      <w:r>
        <w:t xml:space="preserve"> </w:t>
      </w:r>
    </w:p>
    <w:p w14:paraId="1C7EEA94" w14:textId="1BCC2152" w:rsidR="002763B5" w:rsidRDefault="00D55782" w:rsidP="003C2D98">
      <w:pPr>
        <w:spacing w:after="120"/>
        <w:ind w:left="-6" w:right="164"/>
        <w:rPr>
          <w:rFonts w:ascii="Corbel" w:hAnsi="Corbel"/>
          <w:sz w:val="22"/>
          <w:szCs w:val="22"/>
        </w:rPr>
      </w:pPr>
      <w:r w:rsidRPr="00C71E6F">
        <w:rPr>
          <w:rFonts w:ascii="Corbel" w:hAnsi="Corbel"/>
          <w:sz w:val="22"/>
          <w:szCs w:val="22"/>
        </w:rPr>
        <w:t xml:space="preserve">Analysis has been undertaken to determine, on a </w:t>
      </w:r>
      <w:proofErr w:type="gramStart"/>
      <w:r w:rsidRPr="00C71E6F">
        <w:rPr>
          <w:rFonts w:ascii="Corbel" w:hAnsi="Corbel"/>
          <w:sz w:val="22"/>
          <w:szCs w:val="22"/>
        </w:rPr>
        <w:t>lot by lot</w:t>
      </w:r>
      <w:proofErr w:type="gramEnd"/>
      <w:r w:rsidRPr="00C71E6F">
        <w:rPr>
          <w:rFonts w:ascii="Corbel" w:hAnsi="Corbel"/>
          <w:sz w:val="22"/>
          <w:szCs w:val="22"/>
        </w:rPr>
        <w:t xml:space="preserve"> basis, the location</w:t>
      </w:r>
      <w:r w:rsidR="003C2D98">
        <w:rPr>
          <w:rFonts w:ascii="Corbel" w:hAnsi="Corbel"/>
          <w:sz w:val="22"/>
          <w:szCs w:val="22"/>
        </w:rPr>
        <w:t xml:space="preserve"> </w:t>
      </w:r>
      <w:r w:rsidRPr="00C71E6F">
        <w:rPr>
          <w:rFonts w:ascii="Corbel" w:hAnsi="Corbel"/>
          <w:sz w:val="22"/>
          <w:szCs w:val="22"/>
        </w:rPr>
        <w:t xml:space="preserve">and </w:t>
      </w:r>
      <w:r w:rsidR="00D439F3" w:rsidRPr="00C71E6F">
        <w:rPr>
          <w:rFonts w:ascii="Corbel" w:hAnsi="Corbel"/>
          <w:sz w:val="22"/>
          <w:szCs w:val="22"/>
        </w:rPr>
        <w:t>quantum</w:t>
      </w:r>
      <w:r w:rsidRPr="00C71E6F">
        <w:rPr>
          <w:rFonts w:ascii="Corbel" w:hAnsi="Corbel"/>
          <w:sz w:val="22"/>
          <w:szCs w:val="22"/>
        </w:rPr>
        <w:t xml:space="preserve"> of </w:t>
      </w:r>
      <w:r w:rsidR="003C2D98">
        <w:rPr>
          <w:rFonts w:ascii="Corbel" w:hAnsi="Corbel"/>
          <w:sz w:val="22"/>
          <w:szCs w:val="22"/>
        </w:rPr>
        <w:t xml:space="preserve">broadhectare </w:t>
      </w:r>
      <w:r w:rsidRPr="00C71E6F">
        <w:rPr>
          <w:rFonts w:ascii="Corbel" w:hAnsi="Corbel"/>
          <w:sz w:val="22"/>
          <w:szCs w:val="22"/>
        </w:rPr>
        <w:t xml:space="preserve">residential lot construction </w:t>
      </w:r>
      <w:r w:rsidR="003C2D98">
        <w:rPr>
          <w:rFonts w:ascii="Corbel" w:hAnsi="Corbel"/>
          <w:sz w:val="22"/>
          <w:szCs w:val="22"/>
        </w:rPr>
        <w:t xml:space="preserve">activity </w:t>
      </w:r>
      <w:r w:rsidR="005E701A" w:rsidRPr="00C71E6F">
        <w:rPr>
          <w:rFonts w:ascii="Corbel" w:hAnsi="Corbel"/>
          <w:sz w:val="22"/>
          <w:szCs w:val="22"/>
        </w:rPr>
        <w:t xml:space="preserve">across </w:t>
      </w:r>
      <w:r w:rsidR="003C2D98">
        <w:rPr>
          <w:rFonts w:ascii="Corbel" w:hAnsi="Corbel"/>
          <w:sz w:val="22"/>
          <w:szCs w:val="22"/>
        </w:rPr>
        <w:t>Geelong</w:t>
      </w:r>
      <w:r w:rsidRPr="00C71E6F">
        <w:rPr>
          <w:rFonts w:ascii="Corbel" w:hAnsi="Corbel"/>
          <w:sz w:val="22"/>
          <w:szCs w:val="22"/>
        </w:rPr>
        <w:t xml:space="preserve"> by </w:t>
      </w:r>
      <w:r w:rsidR="005E701A" w:rsidRPr="00C71E6F">
        <w:rPr>
          <w:rFonts w:ascii="Corbel" w:hAnsi="Corbel"/>
          <w:sz w:val="22"/>
          <w:szCs w:val="22"/>
        </w:rPr>
        <w:t>financial</w:t>
      </w:r>
      <w:r w:rsidRPr="00C71E6F">
        <w:rPr>
          <w:rFonts w:ascii="Corbel" w:hAnsi="Corbel"/>
          <w:sz w:val="22"/>
          <w:szCs w:val="22"/>
        </w:rPr>
        <w:t xml:space="preserve"> year from 200</w:t>
      </w:r>
      <w:r w:rsidR="003C2D98">
        <w:rPr>
          <w:rFonts w:ascii="Corbel" w:hAnsi="Corbel"/>
          <w:sz w:val="22"/>
          <w:szCs w:val="22"/>
        </w:rPr>
        <w:t>6</w:t>
      </w:r>
      <w:r w:rsidRPr="00C71E6F">
        <w:rPr>
          <w:rFonts w:ascii="Corbel" w:hAnsi="Corbel"/>
          <w:sz w:val="22"/>
          <w:szCs w:val="22"/>
        </w:rPr>
        <w:t xml:space="preserve"> to </w:t>
      </w:r>
      <w:r w:rsidR="003C2D98">
        <w:rPr>
          <w:rFonts w:ascii="Corbel" w:hAnsi="Corbel"/>
          <w:sz w:val="22"/>
          <w:szCs w:val="22"/>
        </w:rPr>
        <w:t>March</w:t>
      </w:r>
      <w:r w:rsidR="00D439F3" w:rsidRPr="00C71E6F">
        <w:rPr>
          <w:rFonts w:ascii="Corbel" w:hAnsi="Corbel"/>
          <w:sz w:val="22"/>
          <w:szCs w:val="22"/>
        </w:rPr>
        <w:t xml:space="preserve"> </w:t>
      </w:r>
      <w:r w:rsidRPr="00C71E6F">
        <w:rPr>
          <w:rFonts w:ascii="Corbel" w:hAnsi="Corbel"/>
          <w:sz w:val="22"/>
          <w:szCs w:val="22"/>
        </w:rPr>
        <w:t>20</w:t>
      </w:r>
      <w:r w:rsidR="006B4B22">
        <w:rPr>
          <w:rFonts w:ascii="Corbel" w:hAnsi="Corbel"/>
          <w:sz w:val="22"/>
          <w:szCs w:val="22"/>
        </w:rPr>
        <w:t>2</w:t>
      </w:r>
      <w:r w:rsidR="003C2D98">
        <w:rPr>
          <w:rFonts w:ascii="Corbel" w:hAnsi="Corbel"/>
          <w:sz w:val="22"/>
          <w:szCs w:val="22"/>
        </w:rPr>
        <w:t>2</w:t>
      </w:r>
      <w:r w:rsidRPr="00C71E6F">
        <w:rPr>
          <w:rFonts w:ascii="Corbel" w:hAnsi="Corbel"/>
          <w:sz w:val="22"/>
          <w:szCs w:val="22"/>
        </w:rPr>
        <w:t xml:space="preserve">. </w:t>
      </w:r>
      <w:bookmarkStart w:id="29" w:name="_Hlk13141929"/>
    </w:p>
    <w:p w14:paraId="01270B47" w14:textId="012C4068" w:rsidR="00B95F09" w:rsidRPr="00C71E6F" w:rsidRDefault="00B95F09" w:rsidP="003C2D98">
      <w:pPr>
        <w:spacing w:after="120"/>
        <w:ind w:left="-6" w:right="164"/>
        <w:rPr>
          <w:rFonts w:ascii="Corbel" w:hAnsi="Corbel"/>
          <w:sz w:val="22"/>
          <w:szCs w:val="22"/>
        </w:rPr>
      </w:pPr>
      <w:bookmarkStart w:id="30" w:name="_Hlk101108675"/>
      <w:r>
        <w:rPr>
          <w:rFonts w:ascii="Corbel" w:hAnsi="Corbel"/>
          <w:sz w:val="22"/>
          <w:szCs w:val="22"/>
        </w:rPr>
        <w:t xml:space="preserve">From July 2017 to March 2022, there was on an average annual basis 2,950 broadhectare lots constructed. Significant increases in construction activity were experienced in 2020/21 at 3,160 lots. For the </w:t>
      </w:r>
      <w:r w:rsidR="003853D3">
        <w:rPr>
          <w:rFonts w:ascii="Corbel" w:hAnsi="Corbel"/>
          <w:sz w:val="22"/>
          <w:szCs w:val="22"/>
        </w:rPr>
        <w:t>financial</w:t>
      </w:r>
      <w:r>
        <w:rPr>
          <w:rFonts w:ascii="Corbel" w:hAnsi="Corbel"/>
          <w:sz w:val="22"/>
          <w:szCs w:val="22"/>
        </w:rPr>
        <w:t xml:space="preserve"> year to date (March 2021/22) there has been 2,650 residential broadhectare lots constructed.</w:t>
      </w:r>
    </w:p>
    <w:p w14:paraId="5E481ECE" w14:textId="77777777" w:rsidR="0018226B" w:rsidRDefault="00D55782">
      <w:pPr>
        <w:spacing w:after="176"/>
        <w:ind w:left="-5" w:right="165"/>
        <w:rPr>
          <w:rFonts w:ascii="Corbel" w:hAnsi="Corbel"/>
          <w:sz w:val="22"/>
          <w:szCs w:val="22"/>
        </w:rPr>
      </w:pPr>
      <w:bookmarkStart w:id="31" w:name="_Hlk523925314"/>
      <w:bookmarkStart w:id="32" w:name="_Hlk13142026"/>
      <w:bookmarkStart w:id="33" w:name="_Hlk96350242"/>
      <w:bookmarkEnd w:id="29"/>
      <w:bookmarkEnd w:id="30"/>
      <w:r w:rsidRPr="00C71E6F">
        <w:rPr>
          <w:rFonts w:ascii="Corbel" w:hAnsi="Corbel"/>
          <w:sz w:val="22"/>
          <w:szCs w:val="22"/>
        </w:rPr>
        <w:t xml:space="preserve">Residential lot construction </w:t>
      </w:r>
      <w:r w:rsidR="008F5344" w:rsidRPr="00C71E6F">
        <w:rPr>
          <w:rFonts w:ascii="Corbel" w:hAnsi="Corbel"/>
          <w:sz w:val="22"/>
          <w:szCs w:val="22"/>
        </w:rPr>
        <w:t xml:space="preserve">activity </w:t>
      </w:r>
      <w:r w:rsidR="00E2248C" w:rsidRPr="00C71E6F">
        <w:rPr>
          <w:rFonts w:ascii="Corbel" w:hAnsi="Corbel"/>
          <w:sz w:val="22"/>
          <w:szCs w:val="22"/>
        </w:rPr>
        <w:t xml:space="preserve">as measured </w:t>
      </w:r>
      <w:r w:rsidR="00AD7B1E">
        <w:rPr>
          <w:rFonts w:ascii="Corbel" w:hAnsi="Corbel"/>
          <w:sz w:val="22"/>
          <w:szCs w:val="22"/>
        </w:rPr>
        <w:t xml:space="preserve">over the last </w:t>
      </w:r>
      <w:r w:rsidR="00B95F09">
        <w:rPr>
          <w:rFonts w:ascii="Corbel" w:hAnsi="Corbel"/>
          <w:sz w:val="22"/>
          <w:szCs w:val="22"/>
        </w:rPr>
        <w:t>4.75</w:t>
      </w:r>
      <w:r w:rsidR="00AD7B1E">
        <w:rPr>
          <w:rFonts w:ascii="Corbel" w:hAnsi="Corbel"/>
          <w:sz w:val="22"/>
          <w:szCs w:val="22"/>
        </w:rPr>
        <w:t xml:space="preserve"> financial years</w:t>
      </w:r>
      <w:r w:rsidR="008F5344" w:rsidRPr="00C71E6F">
        <w:rPr>
          <w:rFonts w:ascii="Corbel" w:hAnsi="Corbel"/>
          <w:sz w:val="22"/>
          <w:szCs w:val="22"/>
        </w:rPr>
        <w:t xml:space="preserve"> was</w:t>
      </w:r>
      <w:r w:rsidR="00CF4281">
        <w:rPr>
          <w:rFonts w:ascii="Corbel" w:hAnsi="Corbel"/>
          <w:sz w:val="22"/>
          <w:szCs w:val="22"/>
        </w:rPr>
        <w:t xml:space="preserve"> primarily</w:t>
      </w:r>
      <w:r w:rsidR="008F5344" w:rsidRPr="00C71E6F">
        <w:rPr>
          <w:rFonts w:ascii="Corbel" w:hAnsi="Corbel"/>
          <w:sz w:val="22"/>
          <w:szCs w:val="22"/>
        </w:rPr>
        <w:t xml:space="preserve"> concentrated within the </w:t>
      </w:r>
      <w:r w:rsidR="004C2F86">
        <w:rPr>
          <w:rFonts w:ascii="Corbel" w:hAnsi="Corbel"/>
          <w:sz w:val="22"/>
          <w:szCs w:val="22"/>
        </w:rPr>
        <w:t>Armstrong Creek Growth Area</w:t>
      </w:r>
      <w:r w:rsidR="008F5344" w:rsidRPr="00C71E6F">
        <w:rPr>
          <w:rFonts w:ascii="Corbel" w:hAnsi="Corbel"/>
          <w:sz w:val="22"/>
          <w:szCs w:val="22"/>
        </w:rPr>
        <w:t xml:space="preserve"> at </w:t>
      </w:r>
      <w:r w:rsidR="004C2F86">
        <w:rPr>
          <w:rFonts w:ascii="Corbel" w:hAnsi="Corbel"/>
          <w:sz w:val="22"/>
          <w:szCs w:val="22"/>
        </w:rPr>
        <w:t>47</w:t>
      </w:r>
      <w:r w:rsidR="008F5344" w:rsidRPr="00C71E6F">
        <w:rPr>
          <w:rFonts w:ascii="Corbel" w:hAnsi="Corbel"/>
          <w:sz w:val="22"/>
          <w:szCs w:val="22"/>
        </w:rPr>
        <w:t xml:space="preserve">% of all lot </w:t>
      </w:r>
      <w:r w:rsidR="00E2248C" w:rsidRPr="00C71E6F">
        <w:rPr>
          <w:rFonts w:ascii="Corbel" w:hAnsi="Corbel"/>
          <w:sz w:val="22"/>
          <w:szCs w:val="22"/>
        </w:rPr>
        <w:t xml:space="preserve">construction </w:t>
      </w:r>
      <w:r w:rsidR="008F5344" w:rsidRPr="00C71E6F">
        <w:rPr>
          <w:rFonts w:ascii="Corbel" w:hAnsi="Corbel"/>
          <w:sz w:val="22"/>
          <w:szCs w:val="22"/>
        </w:rPr>
        <w:t xml:space="preserve">activity or </w:t>
      </w:r>
      <w:r w:rsidR="004C2F86">
        <w:rPr>
          <w:rFonts w:ascii="Corbel" w:hAnsi="Corbel"/>
          <w:sz w:val="22"/>
          <w:szCs w:val="22"/>
        </w:rPr>
        <w:t>nearly 1,400</w:t>
      </w:r>
      <w:r w:rsidR="008F5344" w:rsidRPr="00C71E6F">
        <w:rPr>
          <w:rFonts w:ascii="Corbel" w:hAnsi="Corbel"/>
          <w:sz w:val="22"/>
          <w:szCs w:val="22"/>
        </w:rPr>
        <w:t xml:space="preserve"> lots per annum.</w:t>
      </w:r>
      <w:r w:rsidRPr="00C71E6F">
        <w:rPr>
          <w:rFonts w:ascii="Corbel" w:hAnsi="Corbel"/>
          <w:sz w:val="22"/>
          <w:szCs w:val="22"/>
        </w:rPr>
        <w:t xml:space="preserve"> </w:t>
      </w:r>
    </w:p>
    <w:p w14:paraId="4D4A6ACA" w14:textId="02B7BFDC" w:rsidR="002763B5" w:rsidRPr="00C71E6F" w:rsidRDefault="00D55782" w:rsidP="0018226B">
      <w:pPr>
        <w:spacing w:after="120"/>
        <w:ind w:left="-5" w:right="165"/>
        <w:rPr>
          <w:rFonts w:ascii="Corbel" w:hAnsi="Corbel"/>
          <w:sz w:val="22"/>
          <w:szCs w:val="22"/>
        </w:rPr>
      </w:pPr>
      <w:r w:rsidRPr="00C71E6F">
        <w:rPr>
          <w:rFonts w:ascii="Corbel" w:hAnsi="Corbel"/>
          <w:sz w:val="22"/>
          <w:szCs w:val="22"/>
        </w:rPr>
        <w:lastRenderedPageBreak/>
        <w:t xml:space="preserve">Of the </w:t>
      </w:r>
      <w:r w:rsidR="008F5344" w:rsidRPr="00C71E6F">
        <w:rPr>
          <w:rFonts w:ascii="Corbel" w:hAnsi="Corbel"/>
          <w:sz w:val="22"/>
          <w:szCs w:val="22"/>
        </w:rPr>
        <w:t xml:space="preserve">remaining </w:t>
      </w:r>
      <w:r w:rsidR="00CF4281">
        <w:rPr>
          <w:rFonts w:ascii="Corbel" w:hAnsi="Corbel"/>
          <w:sz w:val="22"/>
          <w:szCs w:val="22"/>
        </w:rPr>
        <w:t xml:space="preserve">significant </w:t>
      </w:r>
      <w:r w:rsidR="008F5344" w:rsidRPr="00C71E6F">
        <w:rPr>
          <w:rFonts w:ascii="Corbel" w:hAnsi="Corbel"/>
          <w:sz w:val="22"/>
          <w:szCs w:val="22"/>
        </w:rPr>
        <w:t>l</w:t>
      </w:r>
      <w:r w:rsidRPr="00C71E6F">
        <w:rPr>
          <w:rFonts w:ascii="Corbel" w:hAnsi="Corbel"/>
          <w:sz w:val="22"/>
          <w:szCs w:val="22"/>
        </w:rPr>
        <w:t xml:space="preserve">ot construction activity: </w:t>
      </w:r>
    </w:p>
    <w:p w14:paraId="6B9694CC" w14:textId="77777777" w:rsidR="004C2F86" w:rsidRDefault="004C2F86" w:rsidP="00144287">
      <w:pPr>
        <w:numPr>
          <w:ilvl w:val="0"/>
          <w:numId w:val="3"/>
        </w:numPr>
        <w:spacing w:after="120"/>
        <w:ind w:right="165" w:hanging="360"/>
        <w:rPr>
          <w:rFonts w:ascii="Corbel" w:hAnsi="Corbel"/>
          <w:sz w:val="22"/>
          <w:szCs w:val="22"/>
        </w:rPr>
      </w:pPr>
      <w:r>
        <w:rPr>
          <w:rFonts w:ascii="Corbel" w:hAnsi="Corbel"/>
          <w:sz w:val="22"/>
          <w:szCs w:val="22"/>
        </w:rPr>
        <w:t>13</w:t>
      </w:r>
      <w:r w:rsidR="00D55782" w:rsidRPr="00C71E6F">
        <w:rPr>
          <w:rFonts w:ascii="Corbel" w:hAnsi="Corbel"/>
          <w:sz w:val="22"/>
          <w:szCs w:val="22"/>
        </w:rPr>
        <w:t xml:space="preserve">% was located in </w:t>
      </w:r>
      <w:r>
        <w:rPr>
          <w:rFonts w:ascii="Corbel" w:hAnsi="Corbel"/>
          <w:sz w:val="22"/>
          <w:szCs w:val="22"/>
        </w:rPr>
        <w:t>Urban Geelong</w:t>
      </w:r>
      <w:r w:rsidR="00CF4281">
        <w:rPr>
          <w:rFonts w:ascii="Corbel" w:hAnsi="Corbel"/>
          <w:sz w:val="22"/>
          <w:szCs w:val="22"/>
        </w:rPr>
        <w:t xml:space="preserve"> </w:t>
      </w:r>
      <w:r w:rsidR="00D55782" w:rsidRPr="00C71E6F">
        <w:rPr>
          <w:rFonts w:ascii="Corbel" w:hAnsi="Corbel"/>
          <w:sz w:val="22"/>
          <w:szCs w:val="22"/>
        </w:rPr>
        <w:t xml:space="preserve">(average of </w:t>
      </w:r>
      <w:r>
        <w:rPr>
          <w:rFonts w:ascii="Corbel" w:hAnsi="Corbel"/>
          <w:sz w:val="22"/>
          <w:szCs w:val="22"/>
        </w:rPr>
        <w:t>376 lots</w:t>
      </w:r>
      <w:r w:rsidR="00D55782" w:rsidRPr="00C71E6F">
        <w:rPr>
          <w:rFonts w:ascii="Corbel" w:hAnsi="Corbel"/>
          <w:sz w:val="22"/>
          <w:szCs w:val="22"/>
        </w:rPr>
        <w:t xml:space="preserve"> per annum); </w:t>
      </w:r>
    </w:p>
    <w:p w14:paraId="1CF984E5" w14:textId="5CCFA0A7" w:rsidR="004C2F86" w:rsidRDefault="004C2F86" w:rsidP="00144287">
      <w:pPr>
        <w:numPr>
          <w:ilvl w:val="0"/>
          <w:numId w:val="3"/>
        </w:numPr>
        <w:spacing w:after="120"/>
        <w:ind w:right="165" w:hanging="360"/>
        <w:rPr>
          <w:rFonts w:ascii="Corbel" w:hAnsi="Corbel"/>
          <w:sz w:val="22"/>
          <w:szCs w:val="22"/>
        </w:rPr>
      </w:pPr>
      <w:r>
        <w:rPr>
          <w:rFonts w:ascii="Corbel" w:hAnsi="Corbel"/>
          <w:sz w:val="22"/>
          <w:szCs w:val="22"/>
        </w:rPr>
        <w:t>9</w:t>
      </w:r>
      <w:r w:rsidRPr="00C71E6F">
        <w:rPr>
          <w:rFonts w:ascii="Corbel" w:hAnsi="Corbel"/>
          <w:sz w:val="22"/>
          <w:szCs w:val="22"/>
        </w:rPr>
        <w:t xml:space="preserve">% was located in </w:t>
      </w:r>
      <w:r>
        <w:rPr>
          <w:rFonts w:ascii="Corbel" w:hAnsi="Corbel"/>
          <w:sz w:val="22"/>
          <w:szCs w:val="22"/>
        </w:rPr>
        <w:t xml:space="preserve">Lara </w:t>
      </w:r>
      <w:r w:rsidRPr="00C71E6F">
        <w:rPr>
          <w:rFonts w:ascii="Corbel" w:hAnsi="Corbel"/>
          <w:sz w:val="22"/>
          <w:szCs w:val="22"/>
        </w:rPr>
        <w:t xml:space="preserve">(average of </w:t>
      </w:r>
      <w:r>
        <w:rPr>
          <w:rFonts w:ascii="Corbel" w:hAnsi="Corbel"/>
          <w:sz w:val="22"/>
          <w:szCs w:val="22"/>
        </w:rPr>
        <w:t>252 lots</w:t>
      </w:r>
      <w:r w:rsidRPr="00C71E6F">
        <w:rPr>
          <w:rFonts w:ascii="Corbel" w:hAnsi="Corbel"/>
          <w:sz w:val="22"/>
          <w:szCs w:val="22"/>
        </w:rPr>
        <w:t xml:space="preserve"> per annum); </w:t>
      </w:r>
    </w:p>
    <w:p w14:paraId="2B6C039C" w14:textId="7B159E3B" w:rsidR="004C2F86" w:rsidRDefault="004C2F86" w:rsidP="00144287">
      <w:pPr>
        <w:numPr>
          <w:ilvl w:val="0"/>
          <w:numId w:val="3"/>
        </w:numPr>
        <w:spacing w:after="120"/>
        <w:ind w:right="165" w:hanging="360"/>
        <w:rPr>
          <w:rFonts w:ascii="Corbel" w:hAnsi="Corbel"/>
          <w:sz w:val="22"/>
          <w:szCs w:val="22"/>
        </w:rPr>
      </w:pPr>
      <w:r>
        <w:rPr>
          <w:rFonts w:ascii="Corbel" w:hAnsi="Corbel"/>
          <w:sz w:val="22"/>
          <w:szCs w:val="22"/>
        </w:rPr>
        <w:t>8</w:t>
      </w:r>
      <w:r w:rsidRPr="00C71E6F">
        <w:rPr>
          <w:rFonts w:ascii="Corbel" w:hAnsi="Corbel"/>
          <w:sz w:val="22"/>
          <w:szCs w:val="22"/>
        </w:rPr>
        <w:t xml:space="preserve">% was located in </w:t>
      </w:r>
      <w:r>
        <w:rPr>
          <w:rFonts w:ascii="Corbel" w:hAnsi="Corbel"/>
          <w:sz w:val="22"/>
          <w:szCs w:val="22"/>
        </w:rPr>
        <w:t xml:space="preserve">Ocean Grove </w:t>
      </w:r>
      <w:r w:rsidRPr="00C71E6F">
        <w:rPr>
          <w:rFonts w:ascii="Corbel" w:hAnsi="Corbel"/>
          <w:sz w:val="22"/>
          <w:szCs w:val="22"/>
        </w:rPr>
        <w:t xml:space="preserve">(average of </w:t>
      </w:r>
      <w:r>
        <w:rPr>
          <w:rFonts w:ascii="Corbel" w:hAnsi="Corbel"/>
          <w:sz w:val="22"/>
          <w:szCs w:val="22"/>
        </w:rPr>
        <w:t>248 lots</w:t>
      </w:r>
      <w:r w:rsidRPr="00C71E6F">
        <w:rPr>
          <w:rFonts w:ascii="Corbel" w:hAnsi="Corbel"/>
          <w:sz w:val="22"/>
          <w:szCs w:val="22"/>
        </w:rPr>
        <w:t xml:space="preserve"> per annum); </w:t>
      </w:r>
    </w:p>
    <w:p w14:paraId="69D336E9" w14:textId="45A769D1" w:rsidR="004C2F86" w:rsidRDefault="004C2F86" w:rsidP="00144287">
      <w:pPr>
        <w:numPr>
          <w:ilvl w:val="0"/>
          <w:numId w:val="3"/>
        </w:numPr>
        <w:spacing w:after="120"/>
        <w:ind w:right="165" w:hanging="360"/>
        <w:rPr>
          <w:rFonts w:ascii="Corbel" w:hAnsi="Corbel"/>
          <w:sz w:val="22"/>
          <w:szCs w:val="22"/>
        </w:rPr>
      </w:pPr>
      <w:r>
        <w:rPr>
          <w:rFonts w:ascii="Corbel" w:hAnsi="Corbel"/>
          <w:sz w:val="22"/>
          <w:szCs w:val="22"/>
        </w:rPr>
        <w:t>8</w:t>
      </w:r>
      <w:r w:rsidRPr="00C71E6F">
        <w:rPr>
          <w:rFonts w:ascii="Corbel" w:hAnsi="Corbel"/>
          <w:sz w:val="22"/>
          <w:szCs w:val="22"/>
        </w:rPr>
        <w:t xml:space="preserve">% was located in </w:t>
      </w:r>
      <w:r>
        <w:rPr>
          <w:rFonts w:ascii="Corbel" w:hAnsi="Corbel"/>
          <w:sz w:val="22"/>
          <w:szCs w:val="22"/>
        </w:rPr>
        <w:t xml:space="preserve">Drysdale/Clifton Springs </w:t>
      </w:r>
      <w:r w:rsidRPr="00C71E6F">
        <w:rPr>
          <w:rFonts w:ascii="Corbel" w:hAnsi="Corbel"/>
          <w:sz w:val="22"/>
          <w:szCs w:val="22"/>
        </w:rPr>
        <w:t xml:space="preserve">(average of </w:t>
      </w:r>
      <w:r>
        <w:rPr>
          <w:rFonts w:ascii="Corbel" w:hAnsi="Corbel"/>
          <w:sz w:val="22"/>
          <w:szCs w:val="22"/>
        </w:rPr>
        <w:t>237 lots</w:t>
      </w:r>
      <w:r w:rsidRPr="00C71E6F">
        <w:rPr>
          <w:rFonts w:ascii="Corbel" w:hAnsi="Corbel"/>
          <w:sz w:val="22"/>
          <w:szCs w:val="22"/>
        </w:rPr>
        <w:t xml:space="preserve"> per annum); and</w:t>
      </w:r>
    </w:p>
    <w:p w14:paraId="161178FE" w14:textId="7550E15A" w:rsidR="002763B5" w:rsidRPr="00C71E6F" w:rsidRDefault="004C2F86" w:rsidP="00144287">
      <w:pPr>
        <w:numPr>
          <w:ilvl w:val="0"/>
          <w:numId w:val="3"/>
        </w:numPr>
        <w:spacing w:after="120"/>
        <w:ind w:left="714" w:right="164" w:hanging="357"/>
        <w:rPr>
          <w:rFonts w:ascii="Corbel" w:hAnsi="Corbel"/>
          <w:sz w:val="22"/>
          <w:szCs w:val="22"/>
        </w:rPr>
      </w:pPr>
      <w:r>
        <w:rPr>
          <w:rFonts w:ascii="Corbel" w:hAnsi="Corbel"/>
          <w:sz w:val="22"/>
          <w:szCs w:val="22"/>
        </w:rPr>
        <w:t>8</w:t>
      </w:r>
      <w:r w:rsidR="00D55782" w:rsidRPr="00C71E6F">
        <w:rPr>
          <w:rFonts w:ascii="Corbel" w:hAnsi="Corbel"/>
          <w:sz w:val="22"/>
          <w:szCs w:val="22"/>
        </w:rPr>
        <w:t xml:space="preserve">% </w:t>
      </w:r>
      <w:r w:rsidR="00CF4281" w:rsidRPr="00C71E6F">
        <w:rPr>
          <w:rFonts w:ascii="Corbel" w:hAnsi="Corbel"/>
          <w:sz w:val="22"/>
          <w:szCs w:val="22"/>
        </w:rPr>
        <w:t xml:space="preserve">was located in </w:t>
      </w:r>
      <w:r>
        <w:rPr>
          <w:rFonts w:ascii="Corbel" w:hAnsi="Corbel"/>
          <w:sz w:val="22"/>
          <w:szCs w:val="22"/>
        </w:rPr>
        <w:t>St Leonards</w:t>
      </w:r>
      <w:r w:rsidR="00CF4281">
        <w:rPr>
          <w:rFonts w:ascii="Corbel" w:hAnsi="Corbel"/>
          <w:sz w:val="22"/>
          <w:szCs w:val="22"/>
        </w:rPr>
        <w:t xml:space="preserve"> </w:t>
      </w:r>
      <w:r w:rsidR="00CF4281" w:rsidRPr="00C71E6F">
        <w:rPr>
          <w:rFonts w:ascii="Corbel" w:hAnsi="Corbel"/>
          <w:sz w:val="22"/>
          <w:szCs w:val="22"/>
        </w:rPr>
        <w:t xml:space="preserve">(average of </w:t>
      </w:r>
      <w:r>
        <w:rPr>
          <w:rFonts w:ascii="Corbel" w:hAnsi="Corbel"/>
          <w:sz w:val="22"/>
          <w:szCs w:val="22"/>
        </w:rPr>
        <w:t>229</w:t>
      </w:r>
      <w:r w:rsidR="00CF4281" w:rsidRPr="00C71E6F">
        <w:rPr>
          <w:rFonts w:ascii="Corbel" w:hAnsi="Corbel"/>
          <w:sz w:val="22"/>
          <w:szCs w:val="22"/>
        </w:rPr>
        <w:t xml:space="preserve"> per annum</w:t>
      </w:r>
      <w:r w:rsidR="00D55782" w:rsidRPr="00C71E6F">
        <w:rPr>
          <w:rFonts w:ascii="Corbel" w:hAnsi="Corbel"/>
          <w:sz w:val="22"/>
          <w:szCs w:val="22"/>
        </w:rPr>
        <w:t xml:space="preserve">). </w:t>
      </w:r>
      <w:bookmarkEnd w:id="31"/>
    </w:p>
    <w:p w14:paraId="1E62D136" w14:textId="21920170" w:rsidR="004B6F95" w:rsidRDefault="004B6F95" w:rsidP="004B6F95">
      <w:pPr>
        <w:ind w:left="-6" w:right="164"/>
        <w:rPr>
          <w:rFonts w:ascii="Corbel" w:hAnsi="Corbel"/>
          <w:sz w:val="22"/>
          <w:szCs w:val="22"/>
        </w:rPr>
      </w:pPr>
      <w:bookmarkStart w:id="34" w:name="_Hlk101101159"/>
      <w:bookmarkStart w:id="35" w:name="_Hlk523925683"/>
      <w:bookmarkEnd w:id="32"/>
      <w:bookmarkEnd w:id="33"/>
      <w:r w:rsidRPr="00197F12">
        <w:rPr>
          <w:rFonts w:ascii="Corbel" w:hAnsi="Corbel"/>
          <w:b/>
          <w:bCs/>
          <w:sz w:val="22"/>
          <w:szCs w:val="22"/>
        </w:rPr>
        <w:t xml:space="preserve">Table </w:t>
      </w:r>
      <w:r w:rsidR="00197F12" w:rsidRPr="00197F12">
        <w:rPr>
          <w:rFonts w:ascii="Corbel" w:hAnsi="Corbel"/>
          <w:b/>
          <w:bCs/>
          <w:sz w:val="22"/>
          <w:szCs w:val="22"/>
        </w:rPr>
        <w:t>3</w:t>
      </w:r>
      <w:r w:rsidRPr="00197F12">
        <w:rPr>
          <w:rFonts w:ascii="Corbel" w:hAnsi="Corbel"/>
          <w:sz w:val="22"/>
          <w:szCs w:val="22"/>
        </w:rPr>
        <w:t>:</w:t>
      </w:r>
      <w:r>
        <w:rPr>
          <w:rFonts w:ascii="Corbel" w:hAnsi="Corbel"/>
          <w:sz w:val="22"/>
          <w:szCs w:val="22"/>
        </w:rPr>
        <w:t xml:space="preserve">  Average Annual Broadhectare Lot Construction Activity, July 2017 to March 2022</w:t>
      </w:r>
    </w:p>
    <w:tbl>
      <w:tblPr>
        <w:tblW w:w="4060" w:type="dxa"/>
        <w:tblLook w:val="04A0" w:firstRow="1" w:lastRow="0" w:firstColumn="1" w:lastColumn="0" w:noHBand="0" w:noVBand="1"/>
      </w:tblPr>
      <w:tblGrid>
        <w:gridCol w:w="2700"/>
        <w:gridCol w:w="1360"/>
      </w:tblGrid>
      <w:tr w:rsidR="004B6F95" w:rsidRPr="004B6F95" w14:paraId="29AC7B9F" w14:textId="77777777" w:rsidTr="004B6F95">
        <w:trPr>
          <w:trHeight w:val="576"/>
        </w:trPr>
        <w:tc>
          <w:tcPr>
            <w:tcW w:w="2700" w:type="dxa"/>
            <w:tcBorders>
              <w:top w:val="single" w:sz="4" w:space="0" w:color="auto"/>
              <w:left w:val="nil"/>
              <w:bottom w:val="single" w:sz="4" w:space="0" w:color="auto"/>
              <w:right w:val="nil"/>
            </w:tcBorders>
            <w:shd w:val="clear" w:color="auto" w:fill="auto"/>
            <w:noWrap/>
            <w:vAlign w:val="bottom"/>
            <w:hideMark/>
          </w:tcPr>
          <w:bookmarkEnd w:id="34"/>
          <w:p w14:paraId="08FF56A1"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 </w:t>
            </w:r>
          </w:p>
        </w:tc>
        <w:tc>
          <w:tcPr>
            <w:tcW w:w="1360" w:type="dxa"/>
            <w:tcBorders>
              <w:top w:val="single" w:sz="4" w:space="0" w:color="auto"/>
              <w:left w:val="nil"/>
              <w:bottom w:val="single" w:sz="4" w:space="0" w:color="auto"/>
              <w:right w:val="nil"/>
            </w:tcBorders>
            <w:shd w:val="clear" w:color="auto" w:fill="auto"/>
            <w:vAlign w:val="bottom"/>
            <w:hideMark/>
          </w:tcPr>
          <w:p w14:paraId="46AB035A" w14:textId="77777777" w:rsidR="004B6F95" w:rsidRPr="004B6F95" w:rsidRDefault="004B6F95" w:rsidP="004B6F95">
            <w:pPr>
              <w:jc w:val="center"/>
              <w:rPr>
                <w:rFonts w:ascii="Calibri" w:hAnsi="Calibri" w:cs="Calibri"/>
                <w:b/>
                <w:bCs/>
                <w:color w:val="000000"/>
                <w:sz w:val="22"/>
                <w:szCs w:val="22"/>
              </w:rPr>
            </w:pPr>
            <w:r w:rsidRPr="004B6F95">
              <w:rPr>
                <w:rFonts w:ascii="Calibri" w:hAnsi="Calibri" w:cs="Calibri"/>
                <w:b/>
                <w:bCs/>
                <w:color w:val="000000"/>
                <w:sz w:val="22"/>
                <w:szCs w:val="22"/>
              </w:rPr>
              <w:t>Average Lot Production</w:t>
            </w:r>
          </w:p>
        </w:tc>
      </w:tr>
      <w:tr w:rsidR="004B6F95" w:rsidRPr="004B6F95" w14:paraId="7C144D65" w14:textId="77777777" w:rsidTr="004B6F95">
        <w:trPr>
          <w:trHeight w:val="288"/>
        </w:trPr>
        <w:tc>
          <w:tcPr>
            <w:tcW w:w="2700" w:type="dxa"/>
            <w:tcBorders>
              <w:top w:val="nil"/>
              <w:left w:val="nil"/>
              <w:bottom w:val="nil"/>
              <w:right w:val="nil"/>
            </w:tcBorders>
            <w:shd w:val="clear" w:color="auto" w:fill="auto"/>
            <w:noWrap/>
            <w:vAlign w:val="bottom"/>
            <w:hideMark/>
          </w:tcPr>
          <w:p w14:paraId="590F5A20"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Ocean Grove</w:t>
            </w:r>
          </w:p>
        </w:tc>
        <w:tc>
          <w:tcPr>
            <w:tcW w:w="1360" w:type="dxa"/>
            <w:tcBorders>
              <w:top w:val="nil"/>
              <w:left w:val="nil"/>
              <w:bottom w:val="nil"/>
              <w:right w:val="nil"/>
            </w:tcBorders>
            <w:shd w:val="clear" w:color="auto" w:fill="auto"/>
            <w:noWrap/>
            <w:vAlign w:val="bottom"/>
            <w:hideMark/>
          </w:tcPr>
          <w:p w14:paraId="3D0175E3"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248</w:t>
            </w:r>
          </w:p>
        </w:tc>
      </w:tr>
      <w:tr w:rsidR="004B6F95" w:rsidRPr="004B6F95" w14:paraId="4E160788" w14:textId="77777777" w:rsidTr="004B6F95">
        <w:trPr>
          <w:trHeight w:val="288"/>
        </w:trPr>
        <w:tc>
          <w:tcPr>
            <w:tcW w:w="2700" w:type="dxa"/>
            <w:tcBorders>
              <w:top w:val="nil"/>
              <w:left w:val="nil"/>
              <w:bottom w:val="nil"/>
              <w:right w:val="nil"/>
            </w:tcBorders>
            <w:shd w:val="clear" w:color="auto" w:fill="auto"/>
            <w:noWrap/>
            <w:vAlign w:val="bottom"/>
            <w:hideMark/>
          </w:tcPr>
          <w:p w14:paraId="31EA03EB"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Drysdale/Clifton Springs</w:t>
            </w:r>
          </w:p>
        </w:tc>
        <w:tc>
          <w:tcPr>
            <w:tcW w:w="1360" w:type="dxa"/>
            <w:tcBorders>
              <w:top w:val="nil"/>
              <w:left w:val="nil"/>
              <w:bottom w:val="nil"/>
              <w:right w:val="nil"/>
            </w:tcBorders>
            <w:shd w:val="clear" w:color="auto" w:fill="auto"/>
            <w:noWrap/>
            <w:vAlign w:val="bottom"/>
            <w:hideMark/>
          </w:tcPr>
          <w:p w14:paraId="79A51B52"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237</w:t>
            </w:r>
          </w:p>
        </w:tc>
      </w:tr>
      <w:tr w:rsidR="004B6F95" w:rsidRPr="004B6F95" w14:paraId="7D93FD18" w14:textId="77777777" w:rsidTr="004B6F95">
        <w:trPr>
          <w:trHeight w:val="288"/>
        </w:trPr>
        <w:tc>
          <w:tcPr>
            <w:tcW w:w="2700" w:type="dxa"/>
            <w:tcBorders>
              <w:top w:val="nil"/>
              <w:left w:val="nil"/>
              <w:bottom w:val="nil"/>
              <w:right w:val="nil"/>
            </w:tcBorders>
            <w:shd w:val="clear" w:color="auto" w:fill="auto"/>
            <w:noWrap/>
            <w:vAlign w:val="bottom"/>
            <w:hideMark/>
          </w:tcPr>
          <w:p w14:paraId="3E2BD83A"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St Leonards</w:t>
            </w:r>
          </w:p>
        </w:tc>
        <w:tc>
          <w:tcPr>
            <w:tcW w:w="1360" w:type="dxa"/>
            <w:tcBorders>
              <w:top w:val="nil"/>
              <w:left w:val="nil"/>
              <w:bottom w:val="nil"/>
              <w:right w:val="nil"/>
            </w:tcBorders>
            <w:shd w:val="clear" w:color="auto" w:fill="auto"/>
            <w:noWrap/>
            <w:vAlign w:val="bottom"/>
            <w:hideMark/>
          </w:tcPr>
          <w:p w14:paraId="33131185"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229</w:t>
            </w:r>
          </w:p>
        </w:tc>
      </w:tr>
      <w:tr w:rsidR="004B6F95" w:rsidRPr="004B6F95" w14:paraId="2F297AE0" w14:textId="77777777" w:rsidTr="004B6F95">
        <w:trPr>
          <w:trHeight w:val="288"/>
        </w:trPr>
        <w:tc>
          <w:tcPr>
            <w:tcW w:w="2700" w:type="dxa"/>
            <w:tcBorders>
              <w:top w:val="nil"/>
              <w:left w:val="nil"/>
              <w:bottom w:val="nil"/>
              <w:right w:val="nil"/>
            </w:tcBorders>
            <w:shd w:val="clear" w:color="auto" w:fill="auto"/>
            <w:noWrap/>
            <w:vAlign w:val="bottom"/>
            <w:hideMark/>
          </w:tcPr>
          <w:p w14:paraId="3161837F"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Point Lonsdale</w:t>
            </w:r>
          </w:p>
        </w:tc>
        <w:tc>
          <w:tcPr>
            <w:tcW w:w="1360" w:type="dxa"/>
            <w:tcBorders>
              <w:top w:val="nil"/>
              <w:left w:val="nil"/>
              <w:bottom w:val="nil"/>
              <w:right w:val="nil"/>
            </w:tcBorders>
            <w:shd w:val="clear" w:color="auto" w:fill="auto"/>
            <w:noWrap/>
            <w:vAlign w:val="bottom"/>
            <w:hideMark/>
          </w:tcPr>
          <w:p w14:paraId="04FE69B2"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108</w:t>
            </w:r>
          </w:p>
        </w:tc>
      </w:tr>
      <w:tr w:rsidR="004B6F95" w:rsidRPr="004B6F95" w14:paraId="5AD60986" w14:textId="77777777" w:rsidTr="004B6F95">
        <w:trPr>
          <w:trHeight w:val="288"/>
        </w:trPr>
        <w:tc>
          <w:tcPr>
            <w:tcW w:w="2700" w:type="dxa"/>
            <w:tcBorders>
              <w:top w:val="nil"/>
              <w:left w:val="nil"/>
              <w:bottom w:val="nil"/>
              <w:right w:val="nil"/>
            </w:tcBorders>
            <w:shd w:val="clear" w:color="auto" w:fill="auto"/>
            <w:noWrap/>
            <w:vAlign w:val="bottom"/>
            <w:hideMark/>
          </w:tcPr>
          <w:p w14:paraId="655BB977"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Leopold</w:t>
            </w:r>
          </w:p>
        </w:tc>
        <w:tc>
          <w:tcPr>
            <w:tcW w:w="1360" w:type="dxa"/>
            <w:tcBorders>
              <w:top w:val="nil"/>
              <w:left w:val="nil"/>
              <w:bottom w:val="nil"/>
              <w:right w:val="nil"/>
            </w:tcBorders>
            <w:shd w:val="clear" w:color="auto" w:fill="auto"/>
            <w:noWrap/>
            <w:vAlign w:val="bottom"/>
            <w:hideMark/>
          </w:tcPr>
          <w:p w14:paraId="0AE6FF1F"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39</w:t>
            </w:r>
          </w:p>
        </w:tc>
      </w:tr>
      <w:tr w:rsidR="004B6F95" w:rsidRPr="004B6F95" w14:paraId="00A7739B" w14:textId="77777777" w:rsidTr="004B6F95">
        <w:trPr>
          <w:trHeight w:val="288"/>
        </w:trPr>
        <w:tc>
          <w:tcPr>
            <w:tcW w:w="2700" w:type="dxa"/>
            <w:tcBorders>
              <w:top w:val="nil"/>
              <w:left w:val="nil"/>
              <w:bottom w:val="nil"/>
              <w:right w:val="nil"/>
            </w:tcBorders>
            <w:shd w:val="clear" w:color="auto" w:fill="auto"/>
            <w:noWrap/>
            <w:vAlign w:val="bottom"/>
            <w:hideMark/>
          </w:tcPr>
          <w:p w14:paraId="60383B89"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Portarlington</w:t>
            </w:r>
          </w:p>
        </w:tc>
        <w:tc>
          <w:tcPr>
            <w:tcW w:w="1360" w:type="dxa"/>
            <w:tcBorders>
              <w:top w:val="nil"/>
              <w:left w:val="nil"/>
              <w:bottom w:val="nil"/>
              <w:right w:val="nil"/>
            </w:tcBorders>
            <w:shd w:val="clear" w:color="auto" w:fill="auto"/>
            <w:noWrap/>
            <w:vAlign w:val="bottom"/>
            <w:hideMark/>
          </w:tcPr>
          <w:p w14:paraId="6850D926"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29</w:t>
            </w:r>
          </w:p>
        </w:tc>
      </w:tr>
      <w:tr w:rsidR="004B6F95" w:rsidRPr="004B6F95" w14:paraId="435D55A0" w14:textId="77777777" w:rsidTr="004B6F95">
        <w:trPr>
          <w:trHeight w:val="288"/>
        </w:trPr>
        <w:tc>
          <w:tcPr>
            <w:tcW w:w="2700" w:type="dxa"/>
            <w:tcBorders>
              <w:top w:val="nil"/>
              <w:left w:val="nil"/>
              <w:bottom w:val="nil"/>
              <w:right w:val="nil"/>
            </w:tcBorders>
            <w:shd w:val="clear" w:color="auto" w:fill="auto"/>
            <w:noWrap/>
            <w:vAlign w:val="bottom"/>
            <w:hideMark/>
          </w:tcPr>
          <w:p w14:paraId="330AAAE5"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Indented Heads</w:t>
            </w:r>
          </w:p>
        </w:tc>
        <w:tc>
          <w:tcPr>
            <w:tcW w:w="1360" w:type="dxa"/>
            <w:tcBorders>
              <w:top w:val="nil"/>
              <w:left w:val="nil"/>
              <w:bottom w:val="nil"/>
              <w:right w:val="nil"/>
            </w:tcBorders>
            <w:shd w:val="clear" w:color="auto" w:fill="auto"/>
            <w:noWrap/>
            <w:vAlign w:val="bottom"/>
            <w:hideMark/>
          </w:tcPr>
          <w:p w14:paraId="3B4AE5C4"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20</w:t>
            </w:r>
          </w:p>
        </w:tc>
      </w:tr>
      <w:tr w:rsidR="004B6F95" w:rsidRPr="004B6F95" w14:paraId="0151BB96" w14:textId="77777777" w:rsidTr="004B6F95">
        <w:trPr>
          <w:trHeight w:val="288"/>
        </w:trPr>
        <w:tc>
          <w:tcPr>
            <w:tcW w:w="2700" w:type="dxa"/>
            <w:tcBorders>
              <w:top w:val="nil"/>
              <w:left w:val="nil"/>
              <w:bottom w:val="nil"/>
              <w:right w:val="nil"/>
            </w:tcBorders>
            <w:shd w:val="clear" w:color="auto" w:fill="auto"/>
            <w:noWrap/>
            <w:vAlign w:val="bottom"/>
            <w:hideMark/>
          </w:tcPr>
          <w:p w14:paraId="6EAAACF2"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Connewarre</w:t>
            </w:r>
          </w:p>
        </w:tc>
        <w:tc>
          <w:tcPr>
            <w:tcW w:w="1360" w:type="dxa"/>
            <w:tcBorders>
              <w:top w:val="nil"/>
              <w:left w:val="nil"/>
              <w:bottom w:val="nil"/>
              <w:right w:val="nil"/>
            </w:tcBorders>
            <w:shd w:val="clear" w:color="auto" w:fill="auto"/>
            <w:noWrap/>
            <w:vAlign w:val="bottom"/>
            <w:hideMark/>
          </w:tcPr>
          <w:p w14:paraId="24B9A73E"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19</w:t>
            </w:r>
          </w:p>
        </w:tc>
      </w:tr>
      <w:tr w:rsidR="004B6F95" w:rsidRPr="004B6F95" w14:paraId="25BB465A" w14:textId="77777777" w:rsidTr="004B6F95">
        <w:trPr>
          <w:trHeight w:val="288"/>
        </w:trPr>
        <w:tc>
          <w:tcPr>
            <w:tcW w:w="2700" w:type="dxa"/>
            <w:tcBorders>
              <w:top w:val="nil"/>
              <w:left w:val="nil"/>
              <w:bottom w:val="nil"/>
              <w:right w:val="nil"/>
            </w:tcBorders>
            <w:shd w:val="clear" w:color="auto" w:fill="auto"/>
            <w:noWrap/>
            <w:vAlign w:val="bottom"/>
            <w:hideMark/>
          </w:tcPr>
          <w:p w14:paraId="3796169A"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Moolap</w:t>
            </w:r>
          </w:p>
        </w:tc>
        <w:tc>
          <w:tcPr>
            <w:tcW w:w="1360" w:type="dxa"/>
            <w:tcBorders>
              <w:top w:val="nil"/>
              <w:left w:val="nil"/>
              <w:bottom w:val="nil"/>
              <w:right w:val="nil"/>
            </w:tcBorders>
            <w:shd w:val="clear" w:color="auto" w:fill="auto"/>
            <w:noWrap/>
            <w:vAlign w:val="bottom"/>
            <w:hideMark/>
          </w:tcPr>
          <w:p w14:paraId="13EDD2C3"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13</w:t>
            </w:r>
          </w:p>
        </w:tc>
      </w:tr>
      <w:tr w:rsidR="004B6F95" w:rsidRPr="004B6F95" w14:paraId="27D29E93" w14:textId="77777777" w:rsidTr="004B6F95">
        <w:trPr>
          <w:trHeight w:val="288"/>
        </w:trPr>
        <w:tc>
          <w:tcPr>
            <w:tcW w:w="2700" w:type="dxa"/>
            <w:tcBorders>
              <w:top w:val="single" w:sz="4" w:space="0" w:color="auto"/>
              <w:left w:val="nil"/>
              <w:bottom w:val="single" w:sz="4" w:space="0" w:color="auto"/>
              <w:right w:val="nil"/>
            </w:tcBorders>
            <w:shd w:val="clear" w:color="auto" w:fill="auto"/>
            <w:noWrap/>
            <w:vAlign w:val="bottom"/>
            <w:hideMark/>
          </w:tcPr>
          <w:p w14:paraId="1C86B76D" w14:textId="77777777" w:rsidR="004B6F95" w:rsidRPr="004B6F95" w:rsidRDefault="004B6F95" w:rsidP="004B6F95">
            <w:pPr>
              <w:rPr>
                <w:rFonts w:ascii="Calibri" w:hAnsi="Calibri" w:cs="Calibri"/>
                <w:b/>
                <w:bCs/>
                <w:color w:val="000000"/>
                <w:sz w:val="22"/>
                <w:szCs w:val="22"/>
              </w:rPr>
            </w:pPr>
            <w:r w:rsidRPr="004B6F95">
              <w:rPr>
                <w:rFonts w:ascii="Calibri" w:hAnsi="Calibri" w:cs="Calibri"/>
                <w:b/>
                <w:bCs/>
                <w:color w:val="000000"/>
                <w:sz w:val="22"/>
                <w:szCs w:val="22"/>
              </w:rPr>
              <w:t>Bellarine Peninsula</w:t>
            </w:r>
          </w:p>
        </w:tc>
        <w:tc>
          <w:tcPr>
            <w:tcW w:w="1360" w:type="dxa"/>
            <w:tcBorders>
              <w:top w:val="single" w:sz="4" w:space="0" w:color="auto"/>
              <w:left w:val="nil"/>
              <w:bottom w:val="single" w:sz="4" w:space="0" w:color="auto"/>
              <w:right w:val="nil"/>
            </w:tcBorders>
            <w:shd w:val="clear" w:color="auto" w:fill="auto"/>
            <w:noWrap/>
            <w:vAlign w:val="bottom"/>
            <w:hideMark/>
          </w:tcPr>
          <w:p w14:paraId="77378412" w14:textId="77777777" w:rsidR="004B6F95" w:rsidRPr="004B6F95" w:rsidRDefault="004B6F95" w:rsidP="004B6F95">
            <w:pPr>
              <w:jc w:val="center"/>
              <w:rPr>
                <w:rFonts w:ascii="Calibri" w:hAnsi="Calibri" w:cs="Calibri"/>
                <w:b/>
                <w:bCs/>
                <w:color w:val="000000"/>
                <w:sz w:val="22"/>
                <w:szCs w:val="22"/>
              </w:rPr>
            </w:pPr>
            <w:r w:rsidRPr="004B6F95">
              <w:rPr>
                <w:rFonts w:ascii="Calibri" w:hAnsi="Calibri" w:cs="Calibri"/>
                <w:b/>
                <w:bCs/>
                <w:color w:val="000000"/>
                <w:sz w:val="22"/>
                <w:szCs w:val="22"/>
              </w:rPr>
              <w:t>942</w:t>
            </w:r>
          </w:p>
        </w:tc>
      </w:tr>
      <w:tr w:rsidR="004B6F95" w:rsidRPr="004B6F95" w14:paraId="7B379AFD" w14:textId="77777777" w:rsidTr="004B6F95">
        <w:trPr>
          <w:trHeight w:val="168"/>
        </w:trPr>
        <w:tc>
          <w:tcPr>
            <w:tcW w:w="2700" w:type="dxa"/>
            <w:tcBorders>
              <w:top w:val="nil"/>
              <w:left w:val="nil"/>
              <w:bottom w:val="nil"/>
              <w:right w:val="nil"/>
            </w:tcBorders>
            <w:shd w:val="clear" w:color="auto" w:fill="auto"/>
            <w:noWrap/>
            <w:vAlign w:val="bottom"/>
            <w:hideMark/>
          </w:tcPr>
          <w:p w14:paraId="561A46F1" w14:textId="77777777" w:rsidR="004B6F95" w:rsidRPr="004B6F95" w:rsidRDefault="004B6F95" w:rsidP="004B6F95">
            <w:pPr>
              <w:jc w:val="center"/>
              <w:rPr>
                <w:rFonts w:ascii="Calibri" w:hAnsi="Calibri" w:cs="Calibri"/>
                <w:b/>
                <w:bCs/>
                <w:color w:val="000000"/>
                <w:sz w:val="22"/>
                <w:szCs w:val="22"/>
              </w:rPr>
            </w:pPr>
          </w:p>
        </w:tc>
        <w:tc>
          <w:tcPr>
            <w:tcW w:w="1360" w:type="dxa"/>
            <w:tcBorders>
              <w:top w:val="nil"/>
              <w:left w:val="nil"/>
              <w:bottom w:val="nil"/>
              <w:right w:val="nil"/>
            </w:tcBorders>
            <w:shd w:val="clear" w:color="auto" w:fill="auto"/>
            <w:noWrap/>
            <w:vAlign w:val="bottom"/>
            <w:hideMark/>
          </w:tcPr>
          <w:p w14:paraId="492067B6" w14:textId="77777777" w:rsidR="004B6F95" w:rsidRPr="004B6F95" w:rsidRDefault="004B6F95" w:rsidP="004B6F95">
            <w:pPr>
              <w:rPr>
                <w:sz w:val="20"/>
                <w:szCs w:val="20"/>
              </w:rPr>
            </w:pPr>
          </w:p>
        </w:tc>
      </w:tr>
      <w:tr w:rsidR="004B6F95" w:rsidRPr="004B6F95" w14:paraId="688C65C6" w14:textId="77777777" w:rsidTr="004B6F95">
        <w:trPr>
          <w:trHeight w:val="288"/>
        </w:trPr>
        <w:tc>
          <w:tcPr>
            <w:tcW w:w="2700" w:type="dxa"/>
            <w:tcBorders>
              <w:top w:val="nil"/>
              <w:left w:val="nil"/>
              <w:bottom w:val="nil"/>
              <w:right w:val="nil"/>
            </w:tcBorders>
            <w:shd w:val="clear" w:color="auto" w:fill="auto"/>
            <w:noWrap/>
            <w:vAlign w:val="bottom"/>
            <w:hideMark/>
          </w:tcPr>
          <w:p w14:paraId="1F41CF01"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 xml:space="preserve">Armstrong Creek </w:t>
            </w:r>
          </w:p>
        </w:tc>
        <w:tc>
          <w:tcPr>
            <w:tcW w:w="1360" w:type="dxa"/>
            <w:tcBorders>
              <w:top w:val="nil"/>
              <w:left w:val="nil"/>
              <w:bottom w:val="nil"/>
              <w:right w:val="nil"/>
            </w:tcBorders>
            <w:shd w:val="clear" w:color="auto" w:fill="auto"/>
            <w:noWrap/>
            <w:vAlign w:val="bottom"/>
            <w:hideMark/>
          </w:tcPr>
          <w:p w14:paraId="3AAF0CD7" w14:textId="384829A5"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1</w:t>
            </w:r>
            <w:r>
              <w:rPr>
                <w:rFonts w:ascii="Calibri" w:hAnsi="Calibri" w:cs="Calibri"/>
                <w:color w:val="000000"/>
                <w:sz w:val="22"/>
                <w:szCs w:val="22"/>
              </w:rPr>
              <w:t>,</w:t>
            </w:r>
            <w:r w:rsidRPr="004B6F95">
              <w:rPr>
                <w:rFonts w:ascii="Calibri" w:hAnsi="Calibri" w:cs="Calibri"/>
                <w:color w:val="000000"/>
                <w:sz w:val="22"/>
                <w:szCs w:val="22"/>
              </w:rPr>
              <w:t>383</w:t>
            </w:r>
          </w:p>
        </w:tc>
      </w:tr>
      <w:tr w:rsidR="004B6F95" w:rsidRPr="004B6F95" w14:paraId="25C84B3A" w14:textId="77777777" w:rsidTr="004B6F95">
        <w:trPr>
          <w:trHeight w:val="288"/>
        </w:trPr>
        <w:tc>
          <w:tcPr>
            <w:tcW w:w="2700" w:type="dxa"/>
            <w:tcBorders>
              <w:top w:val="nil"/>
              <w:left w:val="nil"/>
              <w:bottom w:val="nil"/>
              <w:right w:val="nil"/>
            </w:tcBorders>
            <w:shd w:val="clear" w:color="auto" w:fill="auto"/>
            <w:noWrap/>
            <w:vAlign w:val="bottom"/>
            <w:hideMark/>
          </w:tcPr>
          <w:p w14:paraId="6D295CAE"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Urban Geelong</w:t>
            </w:r>
          </w:p>
        </w:tc>
        <w:tc>
          <w:tcPr>
            <w:tcW w:w="1360" w:type="dxa"/>
            <w:tcBorders>
              <w:top w:val="nil"/>
              <w:left w:val="nil"/>
              <w:bottom w:val="nil"/>
              <w:right w:val="nil"/>
            </w:tcBorders>
            <w:shd w:val="clear" w:color="auto" w:fill="auto"/>
            <w:noWrap/>
            <w:vAlign w:val="bottom"/>
            <w:hideMark/>
          </w:tcPr>
          <w:p w14:paraId="66D573CC"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376</w:t>
            </w:r>
          </w:p>
        </w:tc>
      </w:tr>
      <w:tr w:rsidR="004B6F95" w:rsidRPr="004B6F95" w14:paraId="09C2940C" w14:textId="77777777" w:rsidTr="004B6F95">
        <w:trPr>
          <w:trHeight w:val="288"/>
        </w:trPr>
        <w:tc>
          <w:tcPr>
            <w:tcW w:w="2700" w:type="dxa"/>
            <w:tcBorders>
              <w:top w:val="nil"/>
              <w:left w:val="nil"/>
              <w:bottom w:val="nil"/>
              <w:right w:val="nil"/>
            </w:tcBorders>
            <w:shd w:val="clear" w:color="auto" w:fill="auto"/>
            <w:noWrap/>
            <w:vAlign w:val="bottom"/>
            <w:hideMark/>
          </w:tcPr>
          <w:p w14:paraId="0FFABC0D" w14:textId="77777777" w:rsidR="004B6F95" w:rsidRPr="004B6F95" w:rsidRDefault="004B6F95" w:rsidP="004B6F95">
            <w:pPr>
              <w:rPr>
                <w:rFonts w:ascii="Calibri" w:hAnsi="Calibri" w:cs="Calibri"/>
                <w:color w:val="000000"/>
                <w:sz w:val="22"/>
                <w:szCs w:val="22"/>
              </w:rPr>
            </w:pPr>
            <w:r w:rsidRPr="004B6F95">
              <w:rPr>
                <w:rFonts w:ascii="Calibri" w:hAnsi="Calibri" w:cs="Calibri"/>
                <w:color w:val="000000"/>
                <w:sz w:val="22"/>
                <w:szCs w:val="22"/>
              </w:rPr>
              <w:t>Northern Growth Area</w:t>
            </w:r>
          </w:p>
        </w:tc>
        <w:tc>
          <w:tcPr>
            <w:tcW w:w="1360" w:type="dxa"/>
            <w:tcBorders>
              <w:top w:val="nil"/>
              <w:left w:val="nil"/>
              <w:bottom w:val="nil"/>
              <w:right w:val="nil"/>
            </w:tcBorders>
            <w:shd w:val="clear" w:color="auto" w:fill="auto"/>
            <w:noWrap/>
            <w:vAlign w:val="bottom"/>
            <w:hideMark/>
          </w:tcPr>
          <w:p w14:paraId="210CF93E" w14:textId="77777777" w:rsidR="004B6F95" w:rsidRPr="004B6F95" w:rsidRDefault="004B6F95" w:rsidP="004B6F95">
            <w:pPr>
              <w:jc w:val="center"/>
              <w:rPr>
                <w:rFonts w:ascii="Calibri" w:hAnsi="Calibri" w:cs="Calibri"/>
                <w:color w:val="000000"/>
                <w:sz w:val="22"/>
                <w:szCs w:val="22"/>
              </w:rPr>
            </w:pPr>
            <w:r w:rsidRPr="004B6F95">
              <w:rPr>
                <w:rFonts w:ascii="Calibri" w:hAnsi="Calibri" w:cs="Calibri"/>
                <w:color w:val="000000"/>
                <w:sz w:val="22"/>
                <w:szCs w:val="22"/>
              </w:rPr>
              <w:t>252</w:t>
            </w:r>
          </w:p>
        </w:tc>
      </w:tr>
      <w:tr w:rsidR="004B6F95" w:rsidRPr="004B6F95" w14:paraId="6847A405" w14:textId="77777777" w:rsidTr="004B6F95">
        <w:trPr>
          <w:trHeight w:val="288"/>
        </w:trPr>
        <w:tc>
          <w:tcPr>
            <w:tcW w:w="2700" w:type="dxa"/>
            <w:tcBorders>
              <w:top w:val="single" w:sz="4" w:space="0" w:color="auto"/>
              <w:left w:val="nil"/>
              <w:bottom w:val="single" w:sz="4" w:space="0" w:color="auto"/>
              <w:right w:val="nil"/>
            </w:tcBorders>
            <w:shd w:val="clear" w:color="auto" w:fill="auto"/>
            <w:noWrap/>
            <w:vAlign w:val="bottom"/>
            <w:hideMark/>
          </w:tcPr>
          <w:p w14:paraId="08B63FA5" w14:textId="77777777" w:rsidR="004B6F95" w:rsidRPr="004B6F95" w:rsidRDefault="004B6F95" w:rsidP="004B6F95">
            <w:pPr>
              <w:rPr>
                <w:rFonts w:ascii="Calibri" w:hAnsi="Calibri" w:cs="Calibri"/>
                <w:b/>
                <w:bCs/>
                <w:color w:val="000000"/>
                <w:sz w:val="22"/>
                <w:szCs w:val="22"/>
              </w:rPr>
            </w:pPr>
            <w:r w:rsidRPr="004B6F95">
              <w:rPr>
                <w:rFonts w:ascii="Calibri" w:hAnsi="Calibri" w:cs="Calibri"/>
                <w:b/>
                <w:bCs/>
                <w:color w:val="000000"/>
                <w:sz w:val="22"/>
                <w:szCs w:val="22"/>
              </w:rPr>
              <w:t>Geelong</w:t>
            </w:r>
          </w:p>
        </w:tc>
        <w:tc>
          <w:tcPr>
            <w:tcW w:w="1360" w:type="dxa"/>
            <w:tcBorders>
              <w:top w:val="single" w:sz="4" w:space="0" w:color="auto"/>
              <w:left w:val="nil"/>
              <w:bottom w:val="single" w:sz="4" w:space="0" w:color="auto"/>
              <w:right w:val="nil"/>
            </w:tcBorders>
            <w:shd w:val="clear" w:color="auto" w:fill="auto"/>
            <w:noWrap/>
            <w:vAlign w:val="bottom"/>
            <w:hideMark/>
          </w:tcPr>
          <w:p w14:paraId="52B441A8" w14:textId="7BE6AA9A" w:rsidR="004B6F95" w:rsidRPr="004B6F95" w:rsidRDefault="004B6F95" w:rsidP="004B6F95">
            <w:pPr>
              <w:jc w:val="center"/>
              <w:rPr>
                <w:rFonts w:ascii="Calibri" w:hAnsi="Calibri" w:cs="Calibri"/>
                <w:b/>
                <w:bCs/>
                <w:color w:val="000000"/>
                <w:sz w:val="22"/>
                <w:szCs w:val="22"/>
              </w:rPr>
            </w:pPr>
            <w:r w:rsidRPr="004B6F95">
              <w:rPr>
                <w:rFonts w:ascii="Calibri" w:hAnsi="Calibri" w:cs="Calibri"/>
                <w:b/>
                <w:bCs/>
                <w:color w:val="000000"/>
                <w:sz w:val="22"/>
                <w:szCs w:val="22"/>
              </w:rPr>
              <w:t>2</w:t>
            </w:r>
            <w:r>
              <w:rPr>
                <w:rFonts w:ascii="Calibri" w:hAnsi="Calibri" w:cs="Calibri"/>
                <w:b/>
                <w:bCs/>
                <w:color w:val="000000"/>
                <w:sz w:val="22"/>
                <w:szCs w:val="22"/>
              </w:rPr>
              <w:t>,</w:t>
            </w:r>
            <w:r w:rsidRPr="004B6F95">
              <w:rPr>
                <w:rFonts w:ascii="Calibri" w:hAnsi="Calibri" w:cs="Calibri"/>
                <w:b/>
                <w:bCs/>
                <w:color w:val="000000"/>
                <w:sz w:val="22"/>
                <w:szCs w:val="22"/>
              </w:rPr>
              <w:t>011</w:t>
            </w:r>
          </w:p>
        </w:tc>
      </w:tr>
      <w:tr w:rsidR="004B6F95" w:rsidRPr="004B6F95" w14:paraId="62FF475C" w14:textId="77777777" w:rsidTr="004B6F95">
        <w:trPr>
          <w:trHeight w:val="168"/>
        </w:trPr>
        <w:tc>
          <w:tcPr>
            <w:tcW w:w="2700" w:type="dxa"/>
            <w:tcBorders>
              <w:top w:val="nil"/>
              <w:left w:val="nil"/>
              <w:bottom w:val="nil"/>
              <w:right w:val="nil"/>
            </w:tcBorders>
            <w:shd w:val="clear" w:color="auto" w:fill="auto"/>
            <w:noWrap/>
            <w:vAlign w:val="bottom"/>
            <w:hideMark/>
          </w:tcPr>
          <w:p w14:paraId="1F6C336D" w14:textId="77777777" w:rsidR="004B6F95" w:rsidRPr="004B6F95" w:rsidRDefault="004B6F95" w:rsidP="004B6F95">
            <w:pPr>
              <w:jc w:val="center"/>
              <w:rPr>
                <w:rFonts w:ascii="Calibri" w:hAnsi="Calibri" w:cs="Calibri"/>
                <w:b/>
                <w:bCs/>
                <w:color w:val="000000"/>
                <w:sz w:val="22"/>
                <w:szCs w:val="22"/>
              </w:rPr>
            </w:pPr>
          </w:p>
        </w:tc>
        <w:tc>
          <w:tcPr>
            <w:tcW w:w="1360" w:type="dxa"/>
            <w:tcBorders>
              <w:top w:val="nil"/>
              <w:left w:val="nil"/>
              <w:bottom w:val="nil"/>
              <w:right w:val="nil"/>
            </w:tcBorders>
            <w:shd w:val="clear" w:color="auto" w:fill="auto"/>
            <w:noWrap/>
            <w:vAlign w:val="bottom"/>
            <w:hideMark/>
          </w:tcPr>
          <w:p w14:paraId="14FDADBF" w14:textId="77777777" w:rsidR="004B6F95" w:rsidRPr="004B6F95" w:rsidRDefault="004B6F95" w:rsidP="004B6F95">
            <w:pPr>
              <w:rPr>
                <w:sz w:val="20"/>
                <w:szCs w:val="20"/>
              </w:rPr>
            </w:pPr>
          </w:p>
        </w:tc>
      </w:tr>
      <w:tr w:rsidR="004B6F95" w:rsidRPr="004B6F95" w14:paraId="5CFBB955" w14:textId="77777777" w:rsidTr="004B6F95">
        <w:trPr>
          <w:trHeight w:val="300"/>
        </w:trPr>
        <w:tc>
          <w:tcPr>
            <w:tcW w:w="2700" w:type="dxa"/>
            <w:tcBorders>
              <w:top w:val="single" w:sz="4" w:space="0" w:color="auto"/>
              <w:left w:val="nil"/>
              <w:bottom w:val="double" w:sz="6" w:space="0" w:color="auto"/>
              <w:right w:val="nil"/>
            </w:tcBorders>
            <w:shd w:val="clear" w:color="auto" w:fill="auto"/>
            <w:noWrap/>
            <w:vAlign w:val="bottom"/>
            <w:hideMark/>
          </w:tcPr>
          <w:p w14:paraId="76617F7E" w14:textId="77777777" w:rsidR="004B6F95" w:rsidRPr="004B6F95" w:rsidRDefault="004B6F95" w:rsidP="004B6F95">
            <w:pPr>
              <w:rPr>
                <w:rFonts w:ascii="Calibri" w:hAnsi="Calibri" w:cs="Calibri"/>
                <w:b/>
                <w:bCs/>
                <w:color w:val="000000"/>
                <w:sz w:val="22"/>
                <w:szCs w:val="22"/>
              </w:rPr>
            </w:pPr>
            <w:r w:rsidRPr="004B6F95">
              <w:rPr>
                <w:rFonts w:ascii="Calibri" w:hAnsi="Calibri" w:cs="Calibri"/>
                <w:b/>
                <w:bCs/>
                <w:color w:val="000000"/>
                <w:sz w:val="22"/>
                <w:szCs w:val="22"/>
              </w:rPr>
              <w:t>CoGG</w:t>
            </w:r>
          </w:p>
        </w:tc>
        <w:tc>
          <w:tcPr>
            <w:tcW w:w="1360" w:type="dxa"/>
            <w:tcBorders>
              <w:top w:val="single" w:sz="4" w:space="0" w:color="auto"/>
              <w:left w:val="nil"/>
              <w:bottom w:val="double" w:sz="6" w:space="0" w:color="auto"/>
              <w:right w:val="nil"/>
            </w:tcBorders>
            <w:shd w:val="clear" w:color="auto" w:fill="auto"/>
            <w:noWrap/>
            <w:vAlign w:val="bottom"/>
            <w:hideMark/>
          </w:tcPr>
          <w:p w14:paraId="1564F445" w14:textId="5B2BBEEB" w:rsidR="004B6F95" w:rsidRPr="004B6F95" w:rsidRDefault="004B6F95" w:rsidP="004B6F95">
            <w:pPr>
              <w:jc w:val="center"/>
              <w:rPr>
                <w:rFonts w:ascii="Calibri" w:hAnsi="Calibri" w:cs="Calibri"/>
                <w:b/>
                <w:bCs/>
                <w:color w:val="000000"/>
                <w:sz w:val="22"/>
                <w:szCs w:val="22"/>
              </w:rPr>
            </w:pPr>
            <w:r w:rsidRPr="004B6F95">
              <w:rPr>
                <w:rFonts w:ascii="Calibri" w:hAnsi="Calibri" w:cs="Calibri"/>
                <w:b/>
                <w:bCs/>
                <w:color w:val="000000"/>
                <w:sz w:val="22"/>
                <w:szCs w:val="22"/>
              </w:rPr>
              <w:t>2</w:t>
            </w:r>
            <w:r>
              <w:rPr>
                <w:rFonts w:ascii="Calibri" w:hAnsi="Calibri" w:cs="Calibri"/>
                <w:b/>
                <w:bCs/>
                <w:color w:val="000000"/>
                <w:sz w:val="22"/>
                <w:szCs w:val="22"/>
              </w:rPr>
              <w:t>,</w:t>
            </w:r>
            <w:r w:rsidRPr="004B6F95">
              <w:rPr>
                <w:rFonts w:ascii="Calibri" w:hAnsi="Calibri" w:cs="Calibri"/>
                <w:b/>
                <w:bCs/>
                <w:color w:val="000000"/>
                <w:sz w:val="22"/>
                <w:szCs w:val="22"/>
              </w:rPr>
              <w:t>953</w:t>
            </w:r>
          </w:p>
        </w:tc>
      </w:tr>
    </w:tbl>
    <w:p w14:paraId="2603D3F2" w14:textId="360FF44B" w:rsidR="004B6F95" w:rsidRDefault="004B6F95" w:rsidP="005522F1">
      <w:pPr>
        <w:ind w:left="-6" w:right="3391" w:hanging="11"/>
        <w:rPr>
          <w:rFonts w:ascii="Corbel" w:hAnsi="Corbel"/>
          <w:sz w:val="16"/>
        </w:rPr>
      </w:pPr>
      <w:r w:rsidRPr="0009387F">
        <w:rPr>
          <w:rFonts w:ascii="Corbel" w:hAnsi="Corbel"/>
          <w:b/>
          <w:sz w:val="16"/>
        </w:rPr>
        <w:t>Source:</w:t>
      </w:r>
      <w:r w:rsidRPr="0009387F">
        <w:rPr>
          <w:rFonts w:ascii="Corbel" w:hAnsi="Corbel"/>
          <w:sz w:val="16"/>
        </w:rPr>
        <w:t xml:space="preserve"> Spatial Economics Pty Ltd </w:t>
      </w:r>
    </w:p>
    <w:p w14:paraId="1D1BBB3D" w14:textId="15678936" w:rsidR="005522F1" w:rsidRPr="005522F1" w:rsidRDefault="005522F1" w:rsidP="004B6F95">
      <w:pPr>
        <w:spacing w:after="120"/>
        <w:ind w:left="-6" w:right="3391" w:hanging="11"/>
        <w:rPr>
          <w:rFonts w:ascii="Corbel" w:hAnsi="Corbel"/>
          <w:sz w:val="16"/>
          <w:szCs w:val="16"/>
        </w:rPr>
      </w:pPr>
      <w:r w:rsidRPr="005522F1">
        <w:rPr>
          <w:rFonts w:ascii="Corbel" w:hAnsi="Corbel"/>
          <w:b/>
          <w:sz w:val="16"/>
          <w:szCs w:val="16"/>
        </w:rPr>
        <w:t>Note:</w:t>
      </w:r>
      <w:r w:rsidRPr="005522F1">
        <w:rPr>
          <w:rFonts w:ascii="Corbel" w:hAnsi="Corbel"/>
          <w:sz w:val="16"/>
          <w:szCs w:val="16"/>
        </w:rPr>
        <w:t xml:space="preserve"> North Growth Area includes the locality of Lara</w:t>
      </w:r>
    </w:p>
    <w:p w14:paraId="4B494CD9" w14:textId="04E7C272" w:rsidR="004B6F95" w:rsidRDefault="005522F1">
      <w:pPr>
        <w:spacing w:after="150"/>
        <w:ind w:left="-5" w:right="165"/>
        <w:rPr>
          <w:rFonts w:ascii="Corbel" w:hAnsi="Corbel"/>
          <w:sz w:val="22"/>
          <w:szCs w:val="22"/>
        </w:rPr>
      </w:pPr>
      <w:r>
        <w:rPr>
          <w:rFonts w:ascii="Corbel" w:hAnsi="Corbel"/>
          <w:sz w:val="22"/>
          <w:szCs w:val="22"/>
        </w:rPr>
        <w:t>In recent years, the contribution of residential broadhectare lot construction activity in Armstrong Creek has significantly increased. In 2017/18 there was 990 lots constructed</w:t>
      </w:r>
      <w:r w:rsidR="0018226B">
        <w:rPr>
          <w:rFonts w:ascii="Corbel" w:hAnsi="Corbel"/>
          <w:sz w:val="22"/>
          <w:szCs w:val="22"/>
        </w:rPr>
        <w:t>,</w:t>
      </w:r>
      <w:r>
        <w:rPr>
          <w:rFonts w:ascii="Corbel" w:hAnsi="Corbel"/>
          <w:sz w:val="22"/>
          <w:szCs w:val="22"/>
        </w:rPr>
        <w:t xml:space="preserve"> steadily increasing to nearly 1,700 in 2020/21. For the financial year to date of 2021/22 (March) there was nearly 1,400 lots constructed.</w:t>
      </w:r>
    </w:p>
    <w:p w14:paraId="61F881C4" w14:textId="1E94D23D" w:rsidR="0018226B" w:rsidRDefault="005522F1">
      <w:pPr>
        <w:spacing w:after="150"/>
        <w:ind w:left="-5" w:right="165"/>
        <w:rPr>
          <w:rFonts w:ascii="Corbel" w:hAnsi="Corbel"/>
          <w:sz w:val="22"/>
          <w:szCs w:val="22"/>
        </w:rPr>
      </w:pPr>
      <w:r w:rsidRPr="00197F12">
        <w:rPr>
          <w:rFonts w:ascii="Corbel" w:hAnsi="Corbel"/>
          <w:sz w:val="22"/>
          <w:szCs w:val="22"/>
        </w:rPr>
        <w:t xml:space="preserve">Graph </w:t>
      </w:r>
      <w:r w:rsidR="00197F12" w:rsidRPr="00197F12">
        <w:rPr>
          <w:rFonts w:ascii="Corbel" w:hAnsi="Corbel"/>
          <w:sz w:val="22"/>
          <w:szCs w:val="22"/>
        </w:rPr>
        <w:t>3</w:t>
      </w:r>
      <w:r>
        <w:rPr>
          <w:rFonts w:ascii="Corbel" w:hAnsi="Corbel"/>
          <w:sz w:val="22"/>
          <w:szCs w:val="22"/>
        </w:rPr>
        <w:t xml:space="preserve"> below illustrates</w:t>
      </w:r>
      <w:r w:rsidR="008F3CF5">
        <w:rPr>
          <w:rFonts w:ascii="Corbel" w:hAnsi="Corbel"/>
          <w:sz w:val="22"/>
          <w:szCs w:val="22"/>
        </w:rPr>
        <w:t xml:space="preserve"> the proportional share of residential broadhectare lot construction activity over-time by ‘region’ within the City of Greater Geelong. In 2012, nearly 70% of all broadhectare lot construction activity was located in the Bellarine Peninsula, this steadily decline</w:t>
      </w:r>
      <w:r w:rsidR="0018226B">
        <w:rPr>
          <w:rFonts w:ascii="Corbel" w:hAnsi="Corbel"/>
          <w:sz w:val="22"/>
          <w:szCs w:val="22"/>
        </w:rPr>
        <w:t>d</w:t>
      </w:r>
      <w:r w:rsidR="008F3CF5">
        <w:rPr>
          <w:rFonts w:ascii="Corbel" w:hAnsi="Corbel"/>
          <w:sz w:val="22"/>
          <w:szCs w:val="22"/>
        </w:rPr>
        <w:t xml:space="preserve"> (share) with the release of the Armstrong Creek Growth Area</w:t>
      </w:r>
      <w:r w:rsidR="0018226B">
        <w:rPr>
          <w:rFonts w:ascii="Corbel" w:hAnsi="Corbel"/>
          <w:sz w:val="22"/>
          <w:szCs w:val="22"/>
        </w:rPr>
        <w:t>. A</w:t>
      </w:r>
      <w:r w:rsidR="008F3CF5">
        <w:rPr>
          <w:rFonts w:ascii="Corbel" w:hAnsi="Corbel"/>
          <w:sz w:val="22"/>
          <w:szCs w:val="22"/>
        </w:rPr>
        <w:t xml:space="preserve">s </w:t>
      </w:r>
      <w:proofErr w:type="gramStart"/>
      <w:r w:rsidR="008F3CF5">
        <w:rPr>
          <w:rFonts w:ascii="Corbel" w:hAnsi="Corbel"/>
          <w:sz w:val="22"/>
          <w:szCs w:val="22"/>
        </w:rPr>
        <w:t>at</w:t>
      </w:r>
      <w:proofErr w:type="gramEnd"/>
      <w:r w:rsidR="008F3CF5">
        <w:rPr>
          <w:rFonts w:ascii="Corbel" w:hAnsi="Corbel"/>
          <w:sz w:val="22"/>
          <w:szCs w:val="22"/>
        </w:rPr>
        <w:t xml:space="preserve"> July 2021, 23% of lot construction activity was located in the Bellarine Peninsula.</w:t>
      </w:r>
    </w:p>
    <w:p w14:paraId="781BF3C6" w14:textId="2650CA98" w:rsidR="005522F1" w:rsidRDefault="00950B47">
      <w:pPr>
        <w:spacing w:after="150"/>
        <w:ind w:left="-5" w:right="165"/>
        <w:rPr>
          <w:rFonts w:ascii="Corbel" w:hAnsi="Corbel"/>
          <w:sz w:val="22"/>
          <w:szCs w:val="22"/>
        </w:rPr>
      </w:pPr>
      <w:r>
        <w:rPr>
          <w:rFonts w:ascii="Corbel" w:hAnsi="Corbel"/>
          <w:sz w:val="22"/>
          <w:szCs w:val="22"/>
        </w:rPr>
        <w:t>It is highlighted that although the share of lot construction activity has declined over time</w:t>
      </w:r>
      <w:r w:rsidR="0018226B">
        <w:rPr>
          <w:rFonts w:ascii="Corbel" w:hAnsi="Corbel"/>
          <w:sz w:val="22"/>
          <w:szCs w:val="22"/>
        </w:rPr>
        <w:t xml:space="preserve"> in the Bellarine Peninsula</w:t>
      </w:r>
      <w:r>
        <w:rPr>
          <w:rFonts w:ascii="Corbel" w:hAnsi="Corbel"/>
          <w:sz w:val="22"/>
          <w:szCs w:val="22"/>
        </w:rPr>
        <w:t>, since July 2017 the volume of construction activity has remained relatively constant at around 940 lots per annum.</w:t>
      </w:r>
    </w:p>
    <w:p w14:paraId="69D53783" w14:textId="449595B4" w:rsidR="00950B47" w:rsidRDefault="00950B47">
      <w:pPr>
        <w:spacing w:after="150"/>
        <w:ind w:left="-5" w:right="165"/>
        <w:rPr>
          <w:rFonts w:ascii="Corbel" w:hAnsi="Corbel"/>
          <w:sz w:val="22"/>
          <w:szCs w:val="22"/>
        </w:rPr>
      </w:pPr>
      <w:r>
        <w:rPr>
          <w:rFonts w:ascii="Corbel" w:hAnsi="Corbel"/>
          <w:sz w:val="22"/>
          <w:szCs w:val="22"/>
        </w:rPr>
        <w:t>The bulk of the increase in lot construction activity has been located within the Armstrong Creek Growth Area</w:t>
      </w:r>
      <w:r w:rsidR="009872D9">
        <w:rPr>
          <w:rFonts w:ascii="Corbel" w:hAnsi="Corbel"/>
          <w:sz w:val="22"/>
          <w:szCs w:val="22"/>
        </w:rPr>
        <w:t>. I</w:t>
      </w:r>
      <w:r w:rsidR="00D46E18">
        <w:rPr>
          <w:rFonts w:ascii="Corbel" w:hAnsi="Corbel"/>
          <w:sz w:val="22"/>
          <w:szCs w:val="22"/>
        </w:rPr>
        <w:t>llustrating importance of a significantly size growth area with multiple industry players and development fronts of that can readily respond to rapid increases in demand levels.</w:t>
      </w:r>
    </w:p>
    <w:p w14:paraId="26499529" w14:textId="41F503F6" w:rsidR="004B6F95" w:rsidRDefault="009F558C" w:rsidP="00D46E18">
      <w:pPr>
        <w:keepNext/>
        <w:ind w:left="-6" w:right="164"/>
        <w:rPr>
          <w:rFonts w:ascii="Corbel" w:hAnsi="Corbel"/>
          <w:sz w:val="22"/>
          <w:szCs w:val="22"/>
        </w:rPr>
      </w:pPr>
      <w:bookmarkStart w:id="36" w:name="_Hlk101101192"/>
      <w:r w:rsidRPr="00197F12">
        <w:rPr>
          <w:rFonts w:ascii="Corbel" w:hAnsi="Corbel"/>
          <w:b/>
          <w:bCs/>
          <w:sz w:val="22"/>
          <w:szCs w:val="22"/>
        </w:rPr>
        <w:lastRenderedPageBreak/>
        <w:t xml:space="preserve">Graph </w:t>
      </w:r>
      <w:r w:rsidR="00197F12" w:rsidRPr="00197F12">
        <w:rPr>
          <w:rFonts w:ascii="Corbel" w:hAnsi="Corbel"/>
          <w:b/>
          <w:bCs/>
          <w:sz w:val="22"/>
          <w:szCs w:val="22"/>
        </w:rPr>
        <w:t>3</w:t>
      </w:r>
      <w:r w:rsidRPr="00197F12">
        <w:rPr>
          <w:rFonts w:ascii="Corbel" w:hAnsi="Corbel"/>
          <w:b/>
          <w:bCs/>
          <w:sz w:val="22"/>
          <w:szCs w:val="22"/>
        </w:rPr>
        <w:t>:</w:t>
      </w:r>
      <w:r w:rsidRPr="00197F12">
        <w:rPr>
          <w:rFonts w:ascii="Corbel" w:hAnsi="Corbel"/>
          <w:sz w:val="22"/>
          <w:szCs w:val="22"/>
        </w:rPr>
        <w:t xml:space="preserve"> Share of Residential Broadhectare Lot Construction Activity by Location</w:t>
      </w:r>
    </w:p>
    <w:bookmarkEnd w:id="36"/>
    <w:p w14:paraId="6C1B3110" w14:textId="028A4493" w:rsidR="004B6F95" w:rsidRDefault="008F3CF5" w:rsidP="008F3CF5">
      <w:pPr>
        <w:ind w:left="-6" w:right="164"/>
        <w:rPr>
          <w:rFonts w:ascii="Corbel" w:hAnsi="Corbel"/>
          <w:sz w:val="22"/>
          <w:szCs w:val="22"/>
        </w:rPr>
      </w:pPr>
      <w:r>
        <w:rPr>
          <w:rFonts w:ascii="Corbel" w:hAnsi="Corbel"/>
          <w:noProof/>
          <w:sz w:val="22"/>
          <w:szCs w:val="22"/>
        </w:rPr>
        <w:drawing>
          <wp:inline distT="0" distB="0" distL="0" distR="0" wp14:anchorId="01208C7C" wp14:editId="28A2217E">
            <wp:extent cx="5768975" cy="3786366"/>
            <wp:effectExtent l="0" t="0" r="317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2568" cy="3788724"/>
                    </a:xfrm>
                    <a:prstGeom prst="rect">
                      <a:avLst/>
                    </a:prstGeom>
                    <a:noFill/>
                  </pic:spPr>
                </pic:pic>
              </a:graphicData>
            </a:graphic>
          </wp:inline>
        </w:drawing>
      </w:r>
    </w:p>
    <w:p w14:paraId="4FAFCACC" w14:textId="61AB5062" w:rsidR="004B6F95" w:rsidRDefault="004B6F95" w:rsidP="009B06C5">
      <w:pPr>
        <w:ind w:left="-6" w:right="3391" w:hanging="11"/>
        <w:rPr>
          <w:rFonts w:ascii="Corbel" w:hAnsi="Corbel"/>
          <w:sz w:val="16"/>
        </w:rPr>
      </w:pPr>
      <w:r w:rsidRPr="0009387F">
        <w:rPr>
          <w:rFonts w:ascii="Corbel" w:hAnsi="Corbel"/>
          <w:b/>
          <w:sz w:val="16"/>
        </w:rPr>
        <w:t>Source:</w:t>
      </w:r>
      <w:r w:rsidRPr="0009387F">
        <w:rPr>
          <w:rFonts w:ascii="Corbel" w:hAnsi="Corbel"/>
          <w:sz w:val="16"/>
        </w:rPr>
        <w:t xml:space="preserve"> Spatial Economics Pty Ltd </w:t>
      </w:r>
    </w:p>
    <w:p w14:paraId="48850845" w14:textId="77777777" w:rsidR="00D653FA" w:rsidRDefault="009B06C5" w:rsidP="009F558C">
      <w:pPr>
        <w:ind w:left="-6" w:right="3391" w:hanging="11"/>
        <w:rPr>
          <w:rFonts w:ascii="Corbel" w:hAnsi="Corbel"/>
          <w:b/>
          <w:sz w:val="16"/>
        </w:rPr>
      </w:pPr>
      <w:r>
        <w:rPr>
          <w:rFonts w:ascii="Corbel" w:hAnsi="Corbel"/>
          <w:b/>
          <w:sz w:val="16"/>
        </w:rPr>
        <w:t>Note</w:t>
      </w:r>
    </w:p>
    <w:p w14:paraId="0437A44F" w14:textId="64F5CC9E" w:rsidR="009B06C5" w:rsidRPr="00D653FA" w:rsidRDefault="009B06C5" w:rsidP="00144287">
      <w:pPr>
        <w:pStyle w:val="ListParagraph"/>
        <w:numPr>
          <w:ilvl w:val="0"/>
          <w:numId w:val="6"/>
        </w:numPr>
        <w:spacing w:after="120"/>
        <w:ind w:right="3391"/>
        <w:rPr>
          <w:rFonts w:ascii="Corbel" w:hAnsi="Corbel"/>
        </w:rPr>
      </w:pPr>
      <w:r w:rsidRPr="00D653FA">
        <w:rPr>
          <w:rFonts w:ascii="Corbel" w:hAnsi="Corbel"/>
          <w:b/>
          <w:sz w:val="16"/>
        </w:rPr>
        <w:t xml:space="preserve"> </w:t>
      </w:r>
      <w:r w:rsidRPr="00D653FA">
        <w:rPr>
          <w:rFonts w:ascii="Corbel" w:hAnsi="Corbel"/>
          <w:bCs/>
          <w:sz w:val="16"/>
        </w:rPr>
        <w:t xml:space="preserve">2022 measured as </w:t>
      </w:r>
      <w:proofErr w:type="gramStart"/>
      <w:r w:rsidRPr="00D653FA">
        <w:rPr>
          <w:rFonts w:ascii="Corbel" w:hAnsi="Corbel"/>
          <w:bCs/>
          <w:sz w:val="16"/>
        </w:rPr>
        <w:t>at</w:t>
      </w:r>
      <w:proofErr w:type="gramEnd"/>
      <w:r w:rsidRPr="00D653FA">
        <w:rPr>
          <w:rFonts w:ascii="Corbel" w:hAnsi="Corbel"/>
          <w:bCs/>
          <w:sz w:val="16"/>
        </w:rPr>
        <w:t xml:space="preserve"> March 2022</w:t>
      </w:r>
    </w:p>
    <w:p w14:paraId="44B7ACFA" w14:textId="4E93AF05" w:rsidR="00D653FA" w:rsidRPr="00D653FA" w:rsidRDefault="009F558C" w:rsidP="00144287">
      <w:pPr>
        <w:pStyle w:val="ListParagraph"/>
        <w:numPr>
          <w:ilvl w:val="0"/>
          <w:numId w:val="6"/>
        </w:numPr>
        <w:spacing w:after="120"/>
        <w:ind w:right="-277"/>
        <w:rPr>
          <w:rFonts w:ascii="Corbel" w:hAnsi="Corbel"/>
        </w:rPr>
      </w:pPr>
      <w:r>
        <w:rPr>
          <w:rFonts w:ascii="Corbel" w:hAnsi="Corbel"/>
          <w:bCs/>
          <w:sz w:val="16"/>
        </w:rPr>
        <w:t>Armstrong</w:t>
      </w:r>
      <w:r w:rsidR="00D653FA">
        <w:rPr>
          <w:rFonts w:ascii="Corbel" w:hAnsi="Corbel"/>
          <w:bCs/>
          <w:sz w:val="16"/>
        </w:rPr>
        <w:t xml:space="preserve"> Creek residential broadhectare lot construction activity</w:t>
      </w:r>
      <w:r>
        <w:rPr>
          <w:rFonts w:ascii="Corbel" w:hAnsi="Corbel"/>
          <w:bCs/>
          <w:sz w:val="16"/>
        </w:rPr>
        <w:t xml:space="preserve"> is included within the Geelong total development activity</w:t>
      </w:r>
    </w:p>
    <w:p w14:paraId="7A81CEDD" w14:textId="4BE1A2ED" w:rsidR="002763B5" w:rsidRPr="00E87E6D" w:rsidRDefault="00D55782">
      <w:pPr>
        <w:pStyle w:val="Heading2"/>
        <w:spacing w:after="0" w:line="259" w:lineRule="auto"/>
        <w:ind w:left="-5"/>
        <w:rPr>
          <w:rFonts w:ascii="Cambria" w:hAnsi="Cambria"/>
        </w:rPr>
      </w:pPr>
      <w:bookmarkStart w:id="37" w:name="_Toc101202496"/>
      <w:bookmarkEnd w:id="35"/>
      <w:r w:rsidRPr="00E87E6D">
        <w:rPr>
          <w:rFonts w:ascii="Cambria" w:eastAsia="Cambria" w:hAnsi="Cambria" w:cs="Cambria"/>
          <w:color w:val="7D9B16"/>
          <w:sz w:val="26"/>
        </w:rPr>
        <w:t>4.</w:t>
      </w:r>
      <w:r w:rsidR="00950A25">
        <w:rPr>
          <w:rFonts w:ascii="Cambria" w:eastAsia="Cambria" w:hAnsi="Cambria" w:cs="Cambria"/>
          <w:color w:val="7D9B16"/>
          <w:sz w:val="26"/>
        </w:rPr>
        <w:t>2</w:t>
      </w:r>
      <w:r w:rsidRPr="00E87E6D">
        <w:rPr>
          <w:rFonts w:ascii="Cambria" w:eastAsia="Cambria" w:hAnsi="Cambria" w:cs="Cambria"/>
          <w:color w:val="7D9B16"/>
          <w:sz w:val="26"/>
        </w:rPr>
        <w:t xml:space="preserve">.1 </w:t>
      </w:r>
      <w:r w:rsidR="00E87E6D">
        <w:rPr>
          <w:rFonts w:ascii="Cambria" w:eastAsia="Cambria" w:hAnsi="Cambria" w:cs="Cambria"/>
          <w:color w:val="7D9B16"/>
          <w:sz w:val="26"/>
        </w:rPr>
        <w:t xml:space="preserve"> </w:t>
      </w:r>
      <w:r w:rsidRPr="00E87E6D">
        <w:rPr>
          <w:rFonts w:ascii="Cambria" w:eastAsia="Cambria" w:hAnsi="Cambria" w:cs="Cambria"/>
          <w:color w:val="7D9B16"/>
          <w:sz w:val="26"/>
        </w:rPr>
        <w:t>Broadhectare Lot Construction – Diversity</w:t>
      </w:r>
      <w:bookmarkEnd w:id="37"/>
      <w:r w:rsidRPr="00E87E6D">
        <w:rPr>
          <w:rFonts w:ascii="Cambria" w:eastAsia="Cambria" w:hAnsi="Cambria" w:cs="Cambria"/>
          <w:color w:val="7D9B16"/>
          <w:sz w:val="26"/>
        </w:rPr>
        <w:t xml:space="preserve">  </w:t>
      </w:r>
    </w:p>
    <w:p w14:paraId="60E9EB92" w14:textId="7DEECF26" w:rsidR="002763B5" w:rsidRPr="0009387F" w:rsidRDefault="00D55782" w:rsidP="00843134">
      <w:pPr>
        <w:spacing w:after="120"/>
        <w:ind w:left="-17" w:right="164"/>
        <w:rPr>
          <w:rFonts w:ascii="Corbel" w:hAnsi="Corbel"/>
          <w:sz w:val="22"/>
          <w:szCs w:val="22"/>
        </w:rPr>
      </w:pPr>
      <w:r w:rsidRPr="0009387F">
        <w:rPr>
          <w:rFonts w:ascii="Corbel" w:hAnsi="Corbel"/>
          <w:sz w:val="22"/>
          <w:szCs w:val="22"/>
        </w:rPr>
        <w:t xml:space="preserve">Lots constructed from broadhectare supply sources </w:t>
      </w:r>
      <w:r w:rsidR="009B25A1" w:rsidRPr="0009387F">
        <w:rPr>
          <w:rFonts w:ascii="Corbel" w:hAnsi="Corbel"/>
          <w:sz w:val="22"/>
          <w:szCs w:val="22"/>
        </w:rPr>
        <w:t xml:space="preserve">across </w:t>
      </w:r>
      <w:r w:rsidR="00D46E18">
        <w:rPr>
          <w:rFonts w:ascii="Corbel" w:hAnsi="Corbel"/>
          <w:sz w:val="22"/>
          <w:szCs w:val="22"/>
        </w:rPr>
        <w:t xml:space="preserve">the City of Greater Geelong has steadily been declining </w:t>
      </w:r>
      <w:r w:rsidR="009872D9">
        <w:rPr>
          <w:rFonts w:ascii="Corbel" w:hAnsi="Corbel"/>
          <w:sz w:val="22"/>
          <w:szCs w:val="22"/>
        </w:rPr>
        <w:t xml:space="preserve">in size </w:t>
      </w:r>
      <w:r w:rsidR="00D46E18">
        <w:rPr>
          <w:rFonts w:ascii="Corbel" w:hAnsi="Corbel"/>
          <w:sz w:val="22"/>
          <w:szCs w:val="22"/>
        </w:rPr>
        <w:t>over-time</w:t>
      </w:r>
      <w:r w:rsidR="009872D9">
        <w:rPr>
          <w:rFonts w:ascii="Corbel" w:hAnsi="Corbel"/>
          <w:sz w:val="22"/>
          <w:szCs w:val="22"/>
        </w:rPr>
        <w:t>.</w:t>
      </w:r>
      <w:r w:rsidR="00BA44A2">
        <w:rPr>
          <w:rFonts w:ascii="Corbel" w:hAnsi="Corbel"/>
          <w:sz w:val="22"/>
          <w:szCs w:val="22"/>
        </w:rPr>
        <w:t xml:space="preserve"> </w:t>
      </w:r>
      <w:r w:rsidR="009872D9">
        <w:rPr>
          <w:rFonts w:ascii="Corbel" w:hAnsi="Corbel"/>
          <w:sz w:val="22"/>
          <w:szCs w:val="22"/>
        </w:rPr>
        <w:t>I</w:t>
      </w:r>
      <w:r w:rsidR="00D46E18">
        <w:rPr>
          <w:rFonts w:ascii="Corbel" w:hAnsi="Corbel"/>
          <w:sz w:val="22"/>
          <w:szCs w:val="22"/>
        </w:rPr>
        <w:t>n the current financial year</w:t>
      </w:r>
      <w:r w:rsidR="009872D9">
        <w:rPr>
          <w:rFonts w:ascii="Corbel" w:hAnsi="Corbel"/>
          <w:sz w:val="22"/>
          <w:szCs w:val="22"/>
        </w:rPr>
        <w:t>,</w:t>
      </w:r>
      <w:r w:rsidR="00D46E18">
        <w:rPr>
          <w:rFonts w:ascii="Corbel" w:hAnsi="Corbel"/>
          <w:sz w:val="22"/>
          <w:szCs w:val="22"/>
        </w:rPr>
        <w:t xml:space="preserve"> the </w:t>
      </w:r>
      <w:r w:rsidR="009872D9">
        <w:rPr>
          <w:rFonts w:ascii="Corbel" w:hAnsi="Corbel"/>
          <w:sz w:val="22"/>
          <w:szCs w:val="22"/>
        </w:rPr>
        <w:t xml:space="preserve">rate of </w:t>
      </w:r>
      <w:r w:rsidR="00D46E18">
        <w:rPr>
          <w:rFonts w:ascii="Corbel" w:hAnsi="Corbel"/>
          <w:sz w:val="22"/>
          <w:szCs w:val="22"/>
        </w:rPr>
        <w:t>decline has been</w:t>
      </w:r>
      <w:r w:rsidR="00BA44A2">
        <w:rPr>
          <w:rFonts w:ascii="Corbel" w:hAnsi="Corbel"/>
          <w:sz w:val="22"/>
          <w:szCs w:val="22"/>
        </w:rPr>
        <w:t xml:space="preserve"> significant</w:t>
      </w:r>
      <w:r w:rsidRPr="0009387F">
        <w:rPr>
          <w:rFonts w:ascii="Corbel" w:hAnsi="Corbel"/>
          <w:sz w:val="22"/>
          <w:szCs w:val="22"/>
        </w:rPr>
        <w:t xml:space="preserve">. </w:t>
      </w:r>
    </w:p>
    <w:p w14:paraId="08FF207A" w14:textId="0237AD5C" w:rsidR="002763B5" w:rsidRPr="00DB7CFD" w:rsidRDefault="00D55782" w:rsidP="00843134">
      <w:pPr>
        <w:spacing w:after="120"/>
        <w:ind w:left="-17" w:right="164"/>
        <w:rPr>
          <w:rFonts w:ascii="Corbel" w:hAnsi="Corbel"/>
          <w:sz w:val="22"/>
          <w:szCs w:val="22"/>
        </w:rPr>
      </w:pPr>
      <w:bookmarkStart w:id="38" w:name="_Hlk523925709"/>
      <w:bookmarkStart w:id="39" w:name="_Hlk13142131"/>
      <w:r w:rsidRPr="00DB7CFD">
        <w:rPr>
          <w:rFonts w:ascii="Corbel" w:hAnsi="Corbel"/>
          <w:sz w:val="22"/>
          <w:szCs w:val="22"/>
        </w:rPr>
        <w:t>Of the broadhectare lot construction</w:t>
      </w:r>
      <w:r w:rsidR="00E557D5" w:rsidRPr="00DB7CFD">
        <w:rPr>
          <w:rFonts w:ascii="Corbel" w:hAnsi="Corbel"/>
          <w:sz w:val="22"/>
          <w:szCs w:val="22"/>
        </w:rPr>
        <w:t xml:space="preserve"> </w:t>
      </w:r>
      <w:r w:rsidR="00833F78" w:rsidRPr="00DB7CFD">
        <w:rPr>
          <w:rFonts w:ascii="Corbel" w:hAnsi="Corbel"/>
          <w:sz w:val="22"/>
          <w:szCs w:val="22"/>
        </w:rPr>
        <w:t xml:space="preserve">activity </w:t>
      </w:r>
      <w:r w:rsidR="009B25A1" w:rsidRPr="00DB7CFD">
        <w:rPr>
          <w:rFonts w:ascii="Corbel" w:hAnsi="Corbel"/>
          <w:sz w:val="22"/>
          <w:szCs w:val="22"/>
        </w:rPr>
        <w:t xml:space="preserve">since </w:t>
      </w:r>
      <w:r w:rsidR="00DB7CFD" w:rsidRPr="00DB7CFD">
        <w:rPr>
          <w:rFonts w:ascii="Corbel" w:hAnsi="Corbel"/>
          <w:sz w:val="22"/>
          <w:szCs w:val="22"/>
        </w:rPr>
        <w:t>July</w:t>
      </w:r>
      <w:r w:rsidR="00174A00" w:rsidRPr="00DB7CFD">
        <w:rPr>
          <w:rFonts w:ascii="Corbel" w:hAnsi="Corbel"/>
          <w:sz w:val="22"/>
          <w:szCs w:val="22"/>
        </w:rPr>
        <w:t>20</w:t>
      </w:r>
      <w:r w:rsidR="00DB7CFD" w:rsidRPr="00DB7CFD">
        <w:rPr>
          <w:rFonts w:ascii="Corbel" w:hAnsi="Corbel"/>
          <w:sz w:val="22"/>
          <w:szCs w:val="22"/>
        </w:rPr>
        <w:t>1</w:t>
      </w:r>
      <w:r w:rsidR="00E8144A">
        <w:rPr>
          <w:rFonts w:ascii="Corbel" w:hAnsi="Corbel"/>
          <w:sz w:val="22"/>
          <w:szCs w:val="22"/>
        </w:rPr>
        <w:t>7</w:t>
      </w:r>
      <w:r w:rsidR="00DB7CFD" w:rsidRPr="00DB7CFD">
        <w:rPr>
          <w:rFonts w:ascii="Corbel" w:hAnsi="Corbel"/>
          <w:sz w:val="22"/>
          <w:szCs w:val="22"/>
        </w:rPr>
        <w:t xml:space="preserve"> to March 2022</w:t>
      </w:r>
      <w:r w:rsidRPr="00DB7CFD">
        <w:rPr>
          <w:rFonts w:ascii="Corbel" w:hAnsi="Corbel"/>
          <w:sz w:val="22"/>
          <w:szCs w:val="22"/>
        </w:rPr>
        <w:t xml:space="preserve">: </w:t>
      </w:r>
    </w:p>
    <w:p w14:paraId="3E8D9308" w14:textId="2777B416" w:rsidR="002763B5" w:rsidRPr="00DB7CFD" w:rsidRDefault="00BA44A2" w:rsidP="00144287">
      <w:pPr>
        <w:numPr>
          <w:ilvl w:val="0"/>
          <w:numId w:val="4"/>
        </w:numPr>
        <w:spacing w:after="150"/>
        <w:ind w:right="165" w:hanging="360"/>
        <w:rPr>
          <w:rFonts w:ascii="Corbel" w:hAnsi="Corbel"/>
          <w:sz w:val="22"/>
          <w:szCs w:val="22"/>
        </w:rPr>
      </w:pPr>
      <w:r w:rsidRPr="00DB7CFD">
        <w:rPr>
          <w:rFonts w:ascii="Corbel" w:hAnsi="Corbel"/>
          <w:sz w:val="22"/>
          <w:szCs w:val="22"/>
        </w:rPr>
        <w:t>1</w:t>
      </w:r>
      <w:r w:rsidR="00D81B11">
        <w:rPr>
          <w:rFonts w:ascii="Corbel" w:hAnsi="Corbel"/>
          <w:sz w:val="22"/>
          <w:szCs w:val="22"/>
        </w:rPr>
        <w:t>5</w:t>
      </w:r>
      <w:r w:rsidR="00D55782" w:rsidRPr="00DB7CFD">
        <w:rPr>
          <w:rFonts w:ascii="Corbel" w:hAnsi="Corbel"/>
          <w:sz w:val="22"/>
          <w:szCs w:val="22"/>
        </w:rPr>
        <w:t xml:space="preserve">% were compact (sized less than 300 sqm); </w:t>
      </w:r>
    </w:p>
    <w:p w14:paraId="584E61E9" w14:textId="7E2F04A2" w:rsidR="002763B5" w:rsidRPr="00DB7CFD" w:rsidRDefault="00BA44A2" w:rsidP="00144287">
      <w:pPr>
        <w:numPr>
          <w:ilvl w:val="0"/>
          <w:numId w:val="4"/>
        </w:numPr>
        <w:spacing w:after="150"/>
        <w:ind w:right="165" w:hanging="360"/>
        <w:rPr>
          <w:rFonts w:ascii="Corbel" w:hAnsi="Corbel"/>
          <w:sz w:val="22"/>
          <w:szCs w:val="22"/>
        </w:rPr>
      </w:pPr>
      <w:r w:rsidRPr="00DB7CFD">
        <w:rPr>
          <w:rFonts w:ascii="Corbel" w:hAnsi="Corbel"/>
          <w:sz w:val="22"/>
          <w:szCs w:val="22"/>
        </w:rPr>
        <w:t>5</w:t>
      </w:r>
      <w:r w:rsidR="00D81B11">
        <w:rPr>
          <w:rFonts w:ascii="Corbel" w:hAnsi="Corbel"/>
          <w:sz w:val="22"/>
          <w:szCs w:val="22"/>
        </w:rPr>
        <w:t>4</w:t>
      </w:r>
      <w:r w:rsidR="00D55782" w:rsidRPr="00DB7CFD">
        <w:rPr>
          <w:rFonts w:ascii="Corbel" w:hAnsi="Corbel"/>
          <w:sz w:val="22"/>
          <w:szCs w:val="22"/>
        </w:rPr>
        <w:t xml:space="preserve">% were suburban (sized 300 to 500 sqm); </w:t>
      </w:r>
    </w:p>
    <w:p w14:paraId="520F16D6" w14:textId="45CB10C8" w:rsidR="002763B5" w:rsidRPr="00DB7CFD" w:rsidRDefault="00D81B11" w:rsidP="00144287">
      <w:pPr>
        <w:numPr>
          <w:ilvl w:val="0"/>
          <w:numId w:val="4"/>
        </w:numPr>
        <w:spacing w:after="147"/>
        <w:ind w:right="165" w:hanging="360"/>
        <w:rPr>
          <w:rFonts w:ascii="Corbel" w:hAnsi="Corbel"/>
          <w:sz w:val="22"/>
          <w:szCs w:val="22"/>
        </w:rPr>
      </w:pPr>
      <w:r>
        <w:rPr>
          <w:rFonts w:ascii="Corbel" w:hAnsi="Corbel"/>
          <w:sz w:val="22"/>
          <w:szCs w:val="22"/>
        </w:rPr>
        <w:t>30</w:t>
      </w:r>
      <w:r w:rsidR="00D55782" w:rsidRPr="00DB7CFD">
        <w:rPr>
          <w:rFonts w:ascii="Corbel" w:hAnsi="Corbel"/>
          <w:sz w:val="22"/>
          <w:szCs w:val="22"/>
        </w:rPr>
        <w:t>% were large suburban (</w:t>
      </w:r>
      <w:r w:rsidR="00E557D5" w:rsidRPr="00DB7CFD">
        <w:rPr>
          <w:rFonts w:ascii="Corbel" w:hAnsi="Corbel"/>
          <w:sz w:val="22"/>
          <w:szCs w:val="22"/>
        </w:rPr>
        <w:t>5</w:t>
      </w:r>
      <w:r w:rsidR="00D55782" w:rsidRPr="00DB7CFD">
        <w:rPr>
          <w:rFonts w:ascii="Corbel" w:hAnsi="Corbel"/>
          <w:sz w:val="22"/>
          <w:szCs w:val="22"/>
        </w:rPr>
        <w:t xml:space="preserve">00 to 1,000 sqm); and </w:t>
      </w:r>
    </w:p>
    <w:p w14:paraId="27EBFEDD" w14:textId="37DB5C6A" w:rsidR="002763B5" w:rsidRPr="00DB7CFD" w:rsidRDefault="00D81B11" w:rsidP="00144287">
      <w:pPr>
        <w:numPr>
          <w:ilvl w:val="0"/>
          <w:numId w:val="4"/>
        </w:numPr>
        <w:spacing w:after="82"/>
        <w:ind w:right="165" w:hanging="360"/>
        <w:rPr>
          <w:rFonts w:ascii="Corbel" w:hAnsi="Corbel"/>
          <w:sz w:val="22"/>
          <w:szCs w:val="22"/>
        </w:rPr>
      </w:pPr>
      <w:r>
        <w:rPr>
          <w:rFonts w:ascii="Corbel" w:hAnsi="Corbel"/>
          <w:sz w:val="22"/>
          <w:szCs w:val="22"/>
        </w:rPr>
        <w:t>1</w:t>
      </w:r>
      <w:r w:rsidR="00D55782" w:rsidRPr="00DB7CFD">
        <w:rPr>
          <w:rFonts w:ascii="Corbel" w:hAnsi="Corbel"/>
          <w:sz w:val="22"/>
          <w:szCs w:val="22"/>
        </w:rPr>
        <w:t xml:space="preserve">% low density suburban (over 1,000 sqm). </w:t>
      </w:r>
      <w:bookmarkEnd w:id="38"/>
    </w:p>
    <w:bookmarkEnd w:id="39"/>
    <w:p w14:paraId="54921256" w14:textId="59AF901F" w:rsidR="00DB7CFD" w:rsidRDefault="00DC7DC5" w:rsidP="00843134">
      <w:pPr>
        <w:spacing w:after="120"/>
        <w:ind w:right="165"/>
        <w:rPr>
          <w:rFonts w:ascii="Corbel" w:hAnsi="Corbel"/>
          <w:sz w:val="22"/>
          <w:szCs w:val="22"/>
        </w:rPr>
      </w:pPr>
      <w:r w:rsidRPr="00173428">
        <w:rPr>
          <w:rFonts w:ascii="Corbel" w:hAnsi="Corbel"/>
          <w:sz w:val="22"/>
          <w:szCs w:val="22"/>
        </w:rPr>
        <w:t xml:space="preserve">Graphs </w:t>
      </w:r>
      <w:r w:rsidR="00197F12">
        <w:rPr>
          <w:rFonts w:ascii="Corbel" w:hAnsi="Corbel"/>
          <w:sz w:val="22"/>
          <w:szCs w:val="22"/>
        </w:rPr>
        <w:t>4</w:t>
      </w:r>
      <w:r w:rsidRPr="00173428">
        <w:rPr>
          <w:rFonts w:ascii="Corbel" w:hAnsi="Corbel"/>
          <w:sz w:val="22"/>
          <w:szCs w:val="22"/>
        </w:rPr>
        <w:t xml:space="preserve"> and </w:t>
      </w:r>
      <w:r w:rsidR="00197F12">
        <w:rPr>
          <w:rFonts w:ascii="Corbel" w:hAnsi="Corbel"/>
          <w:sz w:val="22"/>
          <w:szCs w:val="22"/>
        </w:rPr>
        <w:t>5</w:t>
      </w:r>
      <w:r w:rsidRPr="00173428">
        <w:rPr>
          <w:rFonts w:ascii="Corbel" w:hAnsi="Corbel"/>
          <w:sz w:val="22"/>
          <w:szCs w:val="22"/>
        </w:rPr>
        <w:t xml:space="preserve"> below</w:t>
      </w:r>
      <w:r w:rsidRPr="0009387F">
        <w:rPr>
          <w:rFonts w:ascii="Corbel" w:hAnsi="Corbel"/>
          <w:sz w:val="22"/>
          <w:szCs w:val="22"/>
        </w:rPr>
        <w:t xml:space="preserve"> illustrate both the median size and diversity of </w:t>
      </w:r>
      <w:r w:rsidR="007E56C0" w:rsidRPr="0009387F">
        <w:rPr>
          <w:rFonts w:ascii="Corbel" w:hAnsi="Corbel"/>
          <w:sz w:val="22"/>
          <w:szCs w:val="22"/>
        </w:rPr>
        <w:t xml:space="preserve">broadhectare </w:t>
      </w:r>
      <w:r w:rsidRPr="0009387F">
        <w:rPr>
          <w:rFonts w:ascii="Corbel" w:hAnsi="Corbel"/>
          <w:sz w:val="22"/>
          <w:szCs w:val="22"/>
        </w:rPr>
        <w:t>residential lot construction.</w:t>
      </w:r>
    </w:p>
    <w:p w14:paraId="608603AC" w14:textId="1C35B5B7" w:rsidR="00DB7CFD" w:rsidRDefault="00D55782" w:rsidP="00843134">
      <w:pPr>
        <w:spacing w:after="120"/>
        <w:ind w:right="165"/>
        <w:rPr>
          <w:rFonts w:ascii="Corbel" w:hAnsi="Corbel"/>
          <w:sz w:val="22"/>
          <w:szCs w:val="22"/>
        </w:rPr>
      </w:pPr>
      <w:bookmarkStart w:id="40" w:name="_Hlk101103125"/>
      <w:bookmarkStart w:id="41" w:name="_Hlk101109715"/>
      <w:r w:rsidRPr="0009387F">
        <w:rPr>
          <w:rFonts w:ascii="Corbel" w:hAnsi="Corbel"/>
          <w:sz w:val="22"/>
          <w:szCs w:val="22"/>
        </w:rPr>
        <w:t xml:space="preserve">The median lot size of </w:t>
      </w:r>
      <w:r w:rsidR="00DB7CFD" w:rsidRPr="0009387F">
        <w:rPr>
          <w:rFonts w:ascii="Corbel" w:hAnsi="Corbel"/>
          <w:sz w:val="22"/>
          <w:szCs w:val="22"/>
        </w:rPr>
        <w:t xml:space="preserve">broadhectare </w:t>
      </w:r>
      <w:r w:rsidRPr="0009387F">
        <w:rPr>
          <w:rFonts w:ascii="Corbel" w:hAnsi="Corbel"/>
          <w:sz w:val="22"/>
          <w:szCs w:val="22"/>
        </w:rPr>
        <w:t xml:space="preserve">constructed lots </w:t>
      </w:r>
      <w:r w:rsidR="001E418D">
        <w:rPr>
          <w:rFonts w:ascii="Corbel" w:hAnsi="Corbel"/>
          <w:sz w:val="22"/>
          <w:szCs w:val="22"/>
        </w:rPr>
        <w:t>has steadily decline</w:t>
      </w:r>
      <w:r w:rsidR="00DB7CFD">
        <w:rPr>
          <w:rFonts w:ascii="Corbel" w:hAnsi="Corbel"/>
          <w:sz w:val="22"/>
          <w:szCs w:val="22"/>
        </w:rPr>
        <w:t>d</w:t>
      </w:r>
      <w:r w:rsidR="007E56C0" w:rsidRPr="0009387F">
        <w:rPr>
          <w:rFonts w:ascii="Corbel" w:hAnsi="Corbel"/>
          <w:sz w:val="22"/>
          <w:szCs w:val="22"/>
        </w:rPr>
        <w:t xml:space="preserve"> over-time, from </w:t>
      </w:r>
      <w:r w:rsidR="00851883">
        <w:rPr>
          <w:rFonts w:ascii="Corbel" w:hAnsi="Corbel"/>
          <w:sz w:val="22"/>
          <w:szCs w:val="22"/>
        </w:rPr>
        <w:t>6</w:t>
      </w:r>
      <w:r w:rsidR="001E418D">
        <w:rPr>
          <w:rFonts w:ascii="Corbel" w:hAnsi="Corbel"/>
          <w:sz w:val="22"/>
          <w:szCs w:val="22"/>
        </w:rPr>
        <w:t>46</w:t>
      </w:r>
      <w:r w:rsidR="007E56C0" w:rsidRPr="0009387F">
        <w:rPr>
          <w:rFonts w:ascii="Corbel" w:hAnsi="Corbel"/>
          <w:sz w:val="22"/>
          <w:szCs w:val="22"/>
        </w:rPr>
        <w:t xml:space="preserve"> sqm</w:t>
      </w:r>
      <w:r w:rsidR="001E418D">
        <w:rPr>
          <w:rFonts w:ascii="Corbel" w:hAnsi="Corbel"/>
          <w:sz w:val="22"/>
          <w:szCs w:val="22"/>
        </w:rPr>
        <w:t xml:space="preserve"> in 2008</w:t>
      </w:r>
      <w:r w:rsidR="007E56C0" w:rsidRPr="0009387F">
        <w:rPr>
          <w:rFonts w:ascii="Corbel" w:hAnsi="Corbel"/>
          <w:sz w:val="22"/>
          <w:szCs w:val="22"/>
        </w:rPr>
        <w:t xml:space="preserve"> to </w:t>
      </w:r>
      <w:r w:rsidR="001E418D">
        <w:rPr>
          <w:rFonts w:ascii="Corbel" w:hAnsi="Corbel"/>
          <w:sz w:val="22"/>
          <w:szCs w:val="22"/>
        </w:rPr>
        <w:t>446</w:t>
      </w:r>
      <w:r w:rsidR="007E56C0" w:rsidRPr="0009387F">
        <w:rPr>
          <w:rFonts w:ascii="Corbel" w:hAnsi="Corbel"/>
          <w:sz w:val="22"/>
          <w:szCs w:val="22"/>
        </w:rPr>
        <w:t xml:space="preserve"> sqm</w:t>
      </w:r>
      <w:r w:rsidR="001E418D">
        <w:rPr>
          <w:rFonts w:ascii="Corbel" w:hAnsi="Corbel"/>
          <w:sz w:val="22"/>
          <w:szCs w:val="22"/>
        </w:rPr>
        <w:t xml:space="preserve"> </w:t>
      </w:r>
      <w:r w:rsidR="00DB7CFD">
        <w:rPr>
          <w:rFonts w:ascii="Corbel" w:hAnsi="Corbel"/>
          <w:sz w:val="22"/>
          <w:szCs w:val="22"/>
        </w:rPr>
        <w:t>i</w:t>
      </w:r>
      <w:r w:rsidR="001E418D">
        <w:rPr>
          <w:rFonts w:ascii="Corbel" w:hAnsi="Corbel"/>
          <w:sz w:val="22"/>
          <w:szCs w:val="22"/>
        </w:rPr>
        <w:t>n 2021</w:t>
      </w:r>
      <w:r w:rsidRPr="0009387F">
        <w:rPr>
          <w:rFonts w:ascii="Corbel" w:hAnsi="Corbel"/>
          <w:sz w:val="22"/>
          <w:szCs w:val="22"/>
        </w:rPr>
        <w:t xml:space="preserve">. </w:t>
      </w:r>
      <w:r w:rsidR="001E418D">
        <w:rPr>
          <w:rFonts w:ascii="Corbel" w:hAnsi="Corbel"/>
          <w:sz w:val="22"/>
          <w:szCs w:val="22"/>
        </w:rPr>
        <w:t>The median lot size constructed in 2021/22 (</w:t>
      </w:r>
      <w:proofErr w:type="spellStart"/>
      <w:r w:rsidR="00D11628">
        <w:rPr>
          <w:rFonts w:ascii="Corbel" w:hAnsi="Corbel"/>
          <w:sz w:val="22"/>
          <w:szCs w:val="22"/>
        </w:rPr>
        <w:t>ytd</w:t>
      </w:r>
      <w:proofErr w:type="spellEnd"/>
      <w:r w:rsidR="001E418D">
        <w:rPr>
          <w:rFonts w:ascii="Corbel" w:hAnsi="Corbel"/>
          <w:sz w:val="22"/>
          <w:szCs w:val="22"/>
        </w:rPr>
        <w:t xml:space="preserve"> March) has significantly decline</w:t>
      </w:r>
      <w:r w:rsidR="000E0161">
        <w:rPr>
          <w:rFonts w:ascii="Corbel" w:hAnsi="Corbel"/>
          <w:sz w:val="22"/>
          <w:szCs w:val="22"/>
        </w:rPr>
        <w:t>d</w:t>
      </w:r>
      <w:r w:rsidR="001E418D">
        <w:rPr>
          <w:rFonts w:ascii="Corbel" w:hAnsi="Corbel"/>
          <w:sz w:val="22"/>
          <w:szCs w:val="22"/>
        </w:rPr>
        <w:t xml:space="preserve"> to 352 sqm. This is primarily due to the significant increase </w:t>
      </w:r>
      <w:r w:rsidR="00DB7CFD">
        <w:rPr>
          <w:rFonts w:ascii="Corbel" w:hAnsi="Corbel"/>
          <w:sz w:val="22"/>
          <w:szCs w:val="22"/>
        </w:rPr>
        <w:t xml:space="preserve">in construction of </w:t>
      </w:r>
      <w:r w:rsidR="001E418D">
        <w:rPr>
          <w:rFonts w:ascii="Corbel" w:hAnsi="Corbel"/>
          <w:sz w:val="22"/>
          <w:szCs w:val="22"/>
        </w:rPr>
        <w:t xml:space="preserve">lots sized less than 300 sqm. </w:t>
      </w:r>
    </w:p>
    <w:bookmarkEnd w:id="40"/>
    <w:p w14:paraId="16BD2D19" w14:textId="05C453D1" w:rsidR="002763B5" w:rsidRDefault="001E418D" w:rsidP="00843134">
      <w:pPr>
        <w:spacing w:after="120"/>
        <w:ind w:right="165"/>
        <w:rPr>
          <w:rFonts w:ascii="Corbel" w:hAnsi="Corbel"/>
          <w:sz w:val="22"/>
          <w:szCs w:val="22"/>
        </w:rPr>
      </w:pPr>
      <w:r>
        <w:rPr>
          <w:rFonts w:ascii="Corbel" w:hAnsi="Corbel"/>
          <w:sz w:val="22"/>
          <w:szCs w:val="22"/>
        </w:rPr>
        <w:t xml:space="preserve">In </w:t>
      </w:r>
      <w:r w:rsidRPr="00467CE7">
        <w:rPr>
          <w:rFonts w:ascii="Corbel" w:hAnsi="Corbel"/>
          <w:sz w:val="22"/>
          <w:szCs w:val="22"/>
        </w:rPr>
        <w:t>2021/22 (</w:t>
      </w:r>
      <w:proofErr w:type="spellStart"/>
      <w:r w:rsidR="00D11628" w:rsidRPr="00467CE7">
        <w:rPr>
          <w:rFonts w:ascii="Corbel" w:hAnsi="Corbel"/>
          <w:sz w:val="22"/>
          <w:szCs w:val="22"/>
        </w:rPr>
        <w:t>ytd</w:t>
      </w:r>
      <w:proofErr w:type="spellEnd"/>
      <w:r w:rsidRPr="00467CE7">
        <w:rPr>
          <w:rFonts w:ascii="Corbel" w:hAnsi="Corbel"/>
          <w:sz w:val="22"/>
          <w:szCs w:val="22"/>
        </w:rPr>
        <w:t xml:space="preserve"> March), 41% or </w:t>
      </w:r>
      <w:r w:rsidR="00E70164" w:rsidRPr="00467CE7">
        <w:rPr>
          <w:rFonts w:ascii="Corbel" w:hAnsi="Corbel"/>
          <w:sz w:val="22"/>
          <w:szCs w:val="22"/>
        </w:rPr>
        <w:t>nearly 1,100 lots constructed were sized less than 300 sqm compared to 1</w:t>
      </w:r>
      <w:r w:rsidR="00467CE7" w:rsidRPr="00467CE7">
        <w:rPr>
          <w:rFonts w:ascii="Corbel" w:hAnsi="Corbel"/>
          <w:sz w:val="22"/>
          <w:szCs w:val="22"/>
        </w:rPr>
        <w:t>5</w:t>
      </w:r>
      <w:r w:rsidR="00E70164" w:rsidRPr="00467CE7">
        <w:rPr>
          <w:rFonts w:ascii="Corbel" w:hAnsi="Corbel"/>
          <w:sz w:val="22"/>
          <w:szCs w:val="22"/>
        </w:rPr>
        <w:t>% since July 201</w:t>
      </w:r>
      <w:r w:rsidR="00467CE7" w:rsidRPr="00467CE7">
        <w:rPr>
          <w:rFonts w:ascii="Corbel" w:hAnsi="Corbel"/>
          <w:sz w:val="22"/>
          <w:szCs w:val="22"/>
        </w:rPr>
        <w:t>7</w:t>
      </w:r>
      <w:r w:rsidR="00E70164" w:rsidRPr="00467CE7">
        <w:rPr>
          <w:rFonts w:ascii="Corbel" w:hAnsi="Corbel"/>
          <w:sz w:val="22"/>
          <w:szCs w:val="22"/>
        </w:rPr>
        <w:t>.</w:t>
      </w:r>
    </w:p>
    <w:bookmarkEnd w:id="41"/>
    <w:p w14:paraId="7A889F1D" w14:textId="77777777" w:rsidR="00E70164" w:rsidRPr="0009387F" w:rsidRDefault="00E70164" w:rsidP="00843134">
      <w:pPr>
        <w:spacing w:after="120"/>
        <w:ind w:right="165"/>
        <w:rPr>
          <w:rFonts w:ascii="Corbel" w:hAnsi="Corbel"/>
          <w:sz w:val="22"/>
          <w:szCs w:val="22"/>
        </w:rPr>
      </w:pPr>
    </w:p>
    <w:p w14:paraId="5A48E79B" w14:textId="04424988" w:rsidR="002763B5" w:rsidRPr="0009387F" w:rsidRDefault="00D55782" w:rsidP="00B10D6E">
      <w:pPr>
        <w:keepNext/>
        <w:ind w:left="-17" w:right="164"/>
        <w:rPr>
          <w:rFonts w:ascii="Corbel" w:hAnsi="Corbel"/>
          <w:sz w:val="22"/>
          <w:szCs w:val="22"/>
        </w:rPr>
      </w:pPr>
      <w:bookmarkStart w:id="42" w:name="_Hlk523954081"/>
      <w:r w:rsidRPr="0009387F">
        <w:rPr>
          <w:rFonts w:ascii="Corbel" w:hAnsi="Corbel"/>
          <w:b/>
          <w:sz w:val="22"/>
          <w:szCs w:val="22"/>
        </w:rPr>
        <w:lastRenderedPageBreak/>
        <w:t xml:space="preserve">Graph </w:t>
      </w:r>
      <w:r w:rsidR="00197F12">
        <w:rPr>
          <w:rFonts w:ascii="Corbel" w:hAnsi="Corbel"/>
          <w:b/>
          <w:sz w:val="22"/>
          <w:szCs w:val="22"/>
        </w:rPr>
        <w:t>4</w:t>
      </w:r>
      <w:r w:rsidR="00CC0432" w:rsidRPr="0009387F">
        <w:rPr>
          <w:rFonts w:ascii="Corbel" w:hAnsi="Corbel"/>
          <w:b/>
          <w:sz w:val="22"/>
          <w:szCs w:val="22"/>
        </w:rPr>
        <w:t>:</w:t>
      </w:r>
      <w:r w:rsidRPr="0009387F">
        <w:rPr>
          <w:rFonts w:ascii="Corbel" w:hAnsi="Corbel"/>
          <w:sz w:val="22"/>
          <w:szCs w:val="22"/>
        </w:rPr>
        <w:t xml:space="preserve"> Broadhectare Lot Construction Size Distribution </w:t>
      </w:r>
      <w:r w:rsidR="0020711F" w:rsidRPr="0009387F">
        <w:rPr>
          <w:rFonts w:ascii="Corbel" w:hAnsi="Corbel"/>
          <w:sz w:val="22"/>
          <w:szCs w:val="22"/>
        </w:rPr>
        <w:t>–</w:t>
      </w:r>
      <w:r w:rsidRPr="0009387F">
        <w:rPr>
          <w:rFonts w:ascii="Corbel" w:hAnsi="Corbel"/>
          <w:sz w:val="22"/>
          <w:szCs w:val="22"/>
        </w:rPr>
        <w:t xml:space="preserve"> </w:t>
      </w:r>
      <w:r w:rsidR="003C2D98">
        <w:rPr>
          <w:rFonts w:ascii="Corbel" w:hAnsi="Corbel"/>
          <w:sz w:val="22"/>
          <w:szCs w:val="22"/>
        </w:rPr>
        <w:t>Geelong</w:t>
      </w:r>
      <w:r w:rsidRPr="0009387F">
        <w:rPr>
          <w:rFonts w:ascii="Corbel" w:hAnsi="Corbel"/>
          <w:sz w:val="22"/>
          <w:szCs w:val="22"/>
        </w:rPr>
        <w:t xml:space="preserve">  </w:t>
      </w:r>
    </w:p>
    <w:bookmarkEnd w:id="42"/>
    <w:p w14:paraId="62F6B5B3" w14:textId="3270AC2C" w:rsidR="003C2D98" w:rsidRDefault="00467CE7" w:rsidP="003C2D98">
      <w:pPr>
        <w:ind w:left="-6" w:right="408"/>
        <w:rPr>
          <w:noProof/>
        </w:rPr>
      </w:pPr>
      <w:r>
        <w:rPr>
          <w:noProof/>
        </w:rPr>
        <w:drawing>
          <wp:inline distT="0" distB="0" distL="0" distR="0" wp14:anchorId="436C7B87" wp14:editId="04F6DE49">
            <wp:extent cx="5933440" cy="317176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7555" cy="3179313"/>
                    </a:xfrm>
                    <a:prstGeom prst="rect">
                      <a:avLst/>
                    </a:prstGeom>
                    <a:noFill/>
                  </pic:spPr>
                </pic:pic>
              </a:graphicData>
            </a:graphic>
          </wp:inline>
        </w:drawing>
      </w:r>
    </w:p>
    <w:p w14:paraId="61DCBBBE" w14:textId="415B346B" w:rsidR="002763B5" w:rsidRPr="0009387F" w:rsidRDefault="00D55782" w:rsidP="00566266">
      <w:pPr>
        <w:spacing w:after="120"/>
        <w:ind w:left="-6" w:right="408"/>
        <w:rPr>
          <w:rFonts w:ascii="Corbel" w:hAnsi="Corbel"/>
        </w:rPr>
      </w:pPr>
      <w:r w:rsidRPr="0009387F">
        <w:rPr>
          <w:rFonts w:ascii="Corbel" w:hAnsi="Corbel"/>
          <w:b/>
          <w:sz w:val="16"/>
        </w:rPr>
        <w:t>Source:</w:t>
      </w:r>
      <w:r w:rsidRPr="0009387F">
        <w:rPr>
          <w:rFonts w:ascii="Corbel" w:hAnsi="Corbel"/>
          <w:sz w:val="16"/>
        </w:rPr>
        <w:t xml:space="preserve"> Spatial Economics Pty Ltd </w:t>
      </w:r>
    </w:p>
    <w:p w14:paraId="6C1B44A2" w14:textId="1DA28A35" w:rsidR="002763B5" w:rsidRPr="0009387F" w:rsidRDefault="00D55782" w:rsidP="0020711F">
      <w:pPr>
        <w:keepNext/>
        <w:ind w:left="-6" w:right="164" w:hanging="11"/>
        <w:rPr>
          <w:rFonts w:ascii="Corbel" w:hAnsi="Corbel"/>
          <w:sz w:val="22"/>
          <w:szCs w:val="22"/>
        </w:rPr>
      </w:pPr>
      <w:bookmarkStart w:id="43" w:name="_Hlk523954125"/>
      <w:r w:rsidRPr="0009387F">
        <w:rPr>
          <w:rFonts w:ascii="Corbel" w:hAnsi="Corbel"/>
          <w:b/>
          <w:sz w:val="22"/>
          <w:szCs w:val="22"/>
        </w:rPr>
        <w:t xml:space="preserve">Graph </w:t>
      </w:r>
      <w:r w:rsidR="00197F12">
        <w:rPr>
          <w:rFonts w:ascii="Corbel" w:hAnsi="Corbel"/>
          <w:b/>
          <w:sz w:val="22"/>
          <w:szCs w:val="22"/>
        </w:rPr>
        <w:t>5</w:t>
      </w:r>
      <w:r w:rsidRPr="0009387F">
        <w:rPr>
          <w:rFonts w:ascii="Corbel" w:hAnsi="Corbel"/>
          <w:sz w:val="22"/>
          <w:szCs w:val="22"/>
        </w:rPr>
        <w:t>: Median Lot Size (sqm) – Broadhectare Lot Construction</w:t>
      </w:r>
      <w:r w:rsidR="00174A00">
        <w:rPr>
          <w:rFonts w:ascii="Corbel" w:hAnsi="Corbel"/>
          <w:sz w:val="22"/>
          <w:szCs w:val="22"/>
        </w:rPr>
        <w:t xml:space="preserve">, </w:t>
      </w:r>
      <w:r w:rsidR="003C2D98">
        <w:rPr>
          <w:rFonts w:ascii="Corbel" w:hAnsi="Corbel"/>
          <w:sz w:val="22"/>
          <w:szCs w:val="22"/>
        </w:rPr>
        <w:t>Geelong</w:t>
      </w:r>
      <w:r w:rsidRPr="0009387F">
        <w:rPr>
          <w:rFonts w:ascii="Corbel" w:hAnsi="Corbel"/>
          <w:sz w:val="22"/>
          <w:szCs w:val="22"/>
        </w:rPr>
        <w:t xml:space="preserve"> </w:t>
      </w:r>
    </w:p>
    <w:bookmarkEnd w:id="43"/>
    <w:p w14:paraId="6D24E82B" w14:textId="0C221173" w:rsidR="0020711F" w:rsidRPr="005F5685" w:rsidRDefault="003C2D98">
      <w:pPr>
        <w:spacing w:after="10"/>
        <w:ind w:left="-5" w:right="165"/>
      </w:pPr>
      <w:r>
        <w:rPr>
          <w:noProof/>
        </w:rPr>
        <w:drawing>
          <wp:inline distT="0" distB="0" distL="0" distR="0" wp14:anchorId="15ABD348" wp14:editId="5FF66F8B">
            <wp:extent cx="5888990" cy="43834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88990" cy="4383405"/>
                    </a:xfrm>
                    <a:prstGeom prst="rect">
                      <a:avLst/>
                    </a:prstGeom>
                    <a:noFill/>
                  </pic:spPr>
                </pic:pic>
              </a:graphicData>
            </a:graphic>
          </wp:inline>
        </w:drawing>
      </w:r>
    </w:p>
    <w:p w14:paraId="44EE43EB" w14:textId="77777777" w:rsidR="006D24C0" w:rsidRDefault="00D55782" w:rsidP="006D24C0">
      <w:pPr>
        <w:ind w:left="-6" w:right="3391" w:hanging="11"/>
        <w:rPr>
          <w:rFonts w:ascii="Corbel" w:hAnsi="Corbel"/>
          <w:sz w:val="16"/>
        </w:rPr>
      </w:pPr>
      <w:r w:rsidRPr="0009387F">
        <w:rPr>
          <w:rFonts w:ascii="Corbel" w:hAnsi="Corbel"/>
          <w:b/>
          <w:sz w:val="16"/>
        </w:rPr>
        <w:t>Source:</w:t>
      </w:r>
      <w:r w:rsidRPr="0009387F">
        <w:rPr>
          <w:rFonts w:ascii="Corbel" w:hAnsi="Corbel"/>
          <w:sz w:val="16"/>
        </w:rPr>
        <w:t xml:space="preserve"> Spatial Economics Pty Ltd</w:t>
      </w:r>
    </w:p>
    <w:p w14:paraId="3BEBBA6C" w14:textId="0DE17744" w:rsidR="002763B5" w:rsidRPr="0009387F" w:rsidRDefault="006D24C0" w:rsidP="00833F78">
      <w:pPr>
        <w:spacing w:after="120"/>
        <w:ind w:left="-6" w:right="3391" w:hanging="11"/>
        <w:rPr>
          <w:rFonts w:ascii="Corbel" w:hAnsi="Corbel"/>
        </w:rPr>
      </w:pPr>
      <w:r>
        <w:rPr>
          <w:rFonts w:ascii="Corbel" w:hAnsi="Corbel"/>
          <w:b/>
          <w:sz w:val="16"/>
        </w:rPr>
        <w:t>Note:</w:t>
      </w:r>
      <w:r>
        <w:rPr>
          <w:rFonts w:ascii="Corbel" w:hAnsi="Corbel"/>
          <w:sz w:val="16"/>
        </w:rPr>
        <w:t xml:space="preserve"> 2022 as at March2022</w:t>
      </w:r>
      <w:r w:rsidR="00D55782" w:rsidRPr="0009387F">
        <w:rPr>
          <w:rFonts w:ascii="Corbel" w:hAnsi="Corbel"/>
          <w:sz w:val="16"/>
        </w:rPr>
        <w:t xml:space="preserve"> </w:t>
      </w:r>
    </w:p>
    <w:p w14:paraId="4DC0A729" w14:textId="7C493F56" w:rsidR="002763B5" w:rsidRPr="004218BA" w:rsidRDefault="00D55782">
      <w:pPr>
        <w:pStyle w:val="Heading1"/>
        <w:tabs>
          <w:tab w:val="center" w:pos="2847"/>
        </w:tabs>
        <w:ind w:left="-15" w:firstLine="0"/>
      </w:pPr>
      <w:bookmarkStart w:id="44" w:name="_Toc101202497"/>
      <w:r w:rsidRPr="004218BA">
        <w:lastRenderedPageBreak/>
        <w:t>4.</w:t>
      </w:r>
      <w:r w:rsidR="00950A25">
        <w:t>3</w:t>
      </w:r>
      <w:r w:rsidRPr="004218BA">
        <w:t xml:space="preserve"> </w:t>
      </w:r>
      <w:r w:rsidR="00E87E6D">
        <w:t xml:space="preserve"> </w:t>
      </w:r>
      <w:r w:rsidRPr="004218BA">
        <w:t>Vacant Residential Lot Sales Pricing</w:t>
      </w:r>
      <w:bookmarkEnd w:id="44"/>
      <w:r w:rsidRPr="004218BA">
        <w:t xml:space="preserve">  </w:t>
      </w:r>
    </w:p>
    <w:p w14:paraId="4264A573" w14:textId="77777777" w:rsidR="00EF2283" w:rsidRDefault="006E6AD1" w:rsidP="006E6AD1">
      <w:pPr>
        <w:spacing w:after="120"/>
        <w:ind w:left="-17" w:right="164"/>
        <w:rPr>
          <w:rFonts w:ascii="Corbel" w:hAnsi="Corbel"/>
          <w:sz w:val="22"/>
          <w:szCs w:val="22"/>
        </w:rPr>
      </w:pPr>
      <w:r w:rsidRPr="0009387F">
        <w:rPr>
          <w:rFonts w:ascii="Corbel" w:hAnsi="Corbel"/>
          <w:sz w:val="22"/>
          <w:szCs w:val="22"/>
        </w:rPr>
        <w:t xml:space="preserve">The sales value </w:t>
      </w:r>
      <w:r>
        <w:rPr>
          <w:rFonts w:ascii="Corbel" w:hAnsi="Corbel"/>
          <w:sz w:val="22"/>
          <w:szCs w:val="22"/>
        </w:rPr>
        <w:t xml:space="preserve">and volume </w:t>
      </w:r>
      <w:r w:rsidRPr="0009387F">
        <w:rPr>
          <w:rFonts w:ascii="Corbel" w:hAnsi="Corbel"/>
          <w:sz w:val="22"/>
          <w:szCs w:val="22"/>
        </w:rPr>
        <w:t xml:space="preserve">of vacant residential lots is a prime outcome indicator of the ‘state of the land supply’ market. It is a simple measure that captures both supply and demand dynamics. </w:t>
      </w:r>
    </w:p>
    <w:p w14:paraId="6D8163CC" w14:textId="1E6C8C53" w:rsidR="006E6AD1" w:rsidRPr="0009387F" w:rsidRDefault="006E6AD1" w:rsidP="006E6AD1">
      <w:pPr>
        <w:spacing w:after="120"/>
        <w:ind w:left="-17" w:right="164"/>
        <w:rPr>
          <w:rFonts w:ascii="Corbel" w:hAnsi="Corbel"/>
          <w:sz w:val="22"/>
          <w:szCs w:val="22"/>
        </w:rPr>
      </w:pPr>
      <w:r>
        <w:rPr>
          <w:rFonts w:ascii="Corbel" w:hAnsi="Corbel"/>
          <w:sz w:val="22"/>
          <w:szCs w:val="22"/>
        </w:rPr>
        <w:t xml:space="preserve">Graph </w:t>
      </w:r>
      <w:r w:rsidR="00197F12">
        <w:rPr>
          <w:rFonts w:ascii="Corbel" w:hAnsi="Corbel"/>
          <w:sz w:val="22"/>
          <w:szCs w:val="22"/>
        </w:rPr>
        <w:t>6</w:t>
      </w:r>
      <w:r>
        <w:rPr>
          <w:rFonts w:ascii="Corbel" w:hAnsi="Corbel"/>
          <w:sz w:val="22"/>
          <w:szCs w:val="22"/>
        </w:rPr>
        <w:t xml:space="preserve"> below illustrates the monthly sales of residential land from 2011 to 2022. It graphically illustrates the significant surge in residential land sales beginning broadly in 2020</w:t>
      </w:r>
      <w:r w:rsidR="00DE3389">
        <w:rPr>
          <w:rFonts w:ascii="Corbel" w:hAnsi="Corbel"/>
          <w:sz w:val="22"/>
          <w:szCs w:val="22"/>
        </w:rPr>
        <w:t xml:space="preserve"> and continuing to surge into the calendar year of 2021.</w:t>
      </w:r>
    </w:p>
    <w:p w14:paraId="5F9B40A2" w14:textId="2AB24248" w:rsidR="00406BEF" w:rsidRDefault="006E6AD1" w:rsidP="006E6AD1">
      <w:pPr>
        <w:ind w:left="-17" w:right="164"/>
        <w:rPr>
          <w:rFonts w:ascii="Corbel" w:hAnsi="Corbel"/>
          <w:sz w:val="22"/>
          <w:szCs w:val="22"/>
        </w:rPr>
      </w:pPr>
      <w:bookmarkStart w:id="45" w:name="_Hlk101101243"/>
      <w:r w:rsidRPr="00197F12">
        <w:rPr>
          <w:rFonts w:ascii="Corbel" w:hAnsi="Corbel"/>
          <w:b/>
          <w:bCs/>
          <w:sz w:val="22"/>
          <w:szCs w:val="22"/>
        </w:rPr>
        <w:t xml:space="preserve">Graph </w:t>
      </w:r>
      <w:r w:rsidR="00197F12" w:rsidRPr="00197F12">
        <w:rPr>
          <w:rFonts w:ascii="Corbel" w:hAnsi="Corbel"/>
          <w:b/>
          <w:bCs/>
          <w:sz w:val="22"/>
          <w:szCs w:val="22"/>
        </w:rPr>
        <w:t>6</w:t>
      </w:r>
      <w:r w:rsidRPr="00197F12">
        <w:rPr>
          <w:rFonts w:ascii="Corbel" w:hAnsi="Corbel"/>
          <w:sz w:val="22"/>
          <w:szCs w:val="22"/>
        </w:rPr>
        <w:t>: Greater</w:t>
      </w:r>
      <w:r>
        <w:rPr>
          <w:rFonts w:ascii="Corbel" w:hAnsi="Corbel"/>
          <w:sz w:val="22"/>
          <w:szCs w:val="22"/>
        </w:rPr>
        <w:t xml:space="preserve"> Geelong Residential Land Sales (monthly)</w:t>
      </w:r>
    </w:p>
    <w:bookmarkEnd w:id="45"/>
    <w:p w14:paraId="69C2B562" w14:textId="22F910FB" w:rsidR="00406BEF" w:rsidRDefault="00406BEF" w:rsidP="00406BEF">
      <w:pPr>
        <w:ind w:left="-17" w:right="164"/>
        <w:rPr>
          <w:rFonts w:ascii="Corbel" w:hAnsi="Corbel"/>
          <w:sz w:val="22"/>
          <w:szCs w:val="22"/>
        </w:rPr>
      </w:pPr>
      <w:r>
        <w:rPr>
          <w:rFonts w:ascii="Corbel" w:hAnsi="Corbel"/>
          <w:noProof/>
          <w:sz w:val="22"/>
          <w:szCs w:val="22"/>
        </w:rPr>
        <w:drawing>
          <wp:inline distT="0" distB="0" distL="0" distR="0" wp14:anchorId="319C9CB0" wp14:editId="367C4816">
            <wp:extent cx="5934552" cy="27736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9819" cy="2776142"/>
                    </a:xfrm>
                    <a:prstGeom prst="rect">
                      <a:avLst/>
                    </a:prstGeom>
                    <a:noFill/>
                  </pic:spPr>
                </pic:pic>
              </a:graphicData>
            </a:graphic>
          </wp:inline>
        </w:drawing>
      </w:r>
    </w:p>
    <w:p w14:paraId="63C9AB1C" w14:textId="34791D9B" w:rsidR="00406BEF" w:rsidRPr="00406BEF" w:rsidRDefault="00406BEF" w:rsidP="00134616">
      <w:pPr>
        <w:spacing w:after="120"/>
        <w:ind w:left="-17" w:right="164"/>
        <w:rPr>
          <w:rFonts w:ascii="Corbel" w:hAnsi="Corbel"/>
          <w:sz w:val="18"/>
          <w:szCs w:val="18"/>
        </w:rPr>
      </w:pPr>
      <w:r w:rsidRPr="00406BEF">
        <w:rPr>
          <w:rFonts w:ascii="Corbel" w:hAnsi="Corbel"/>
          <w:b/>
          <w:bCs/>
          <w:sz w:val="18"/>
          <w:szCs w:val="18"/>
        </w:rPr>
        <w:t>Source:</w:t>
      </w:r>
      <w:r w:rsidRPr="00406BEF">
        <w:rPr>
          <w:rFonts w:ascii="Corbel" w:hAnsi="Corbel"/>
          <w:sz w:val="18"/>
          <w:szCs w:val="18"/>
        </w:rPr>
        <w:t xml:space="preserve"> Oliver Hume Research</w:t>
      </w:r>
    </w:p>
    <w:p w14:paraId="1DB38AFF" w14:textId="26BB9701" w:rsidR="00DE3389" w:rsidRDefault="00DE3389" w:rsidP="00134616">
      <w:pPr>
        <w:spacing w:after="120"/>
        <w:ind w:left="-17" w:right="164"/>
        <w:rPr>
          <w:rFonts w:ascii="Corbel" w:hAnsi="Corbel"/>
          <w:sz w:val="22"/>
          <w:szCs w:val="22"/>
        </w:rPr>
      </w:pPr>
      <w:bookmarkStart w:id="46" w:name="_Hlk13142243"/>
      <w:bookmarkStart w:id="47" w:name="_Hlk524009614"/>
      <w:r>
        <w:rPr>
          <w:rFonts w:ascii="Corbel" w:hAnsi="Corbel"/>
          <w:sz w:val="22"/>
          <w:szCs w:val="22"/>
        </w:rPr>
        <w:t>It is estimated that in the calendar year of 2019 there was 950 land sales</w:t>
      </w:r>
      <w:r w:rsidR="00EF2283">
        <w:rPr>
          <w:rFonts w:ascii="Corbel" w:hAnsi="Corbel"/>
          <w:sz w:val="22"/>
          <w:szCs w:val="22"/>
        </w:rPr>
        <w:t>,</w:t>
      </w:r>
      <w:r>
        <w:rPr>
          <w:rFonts w:ascii="Corbel" w:hAnsi="Corbel"/>
          <w:sz w:val="22"/>
          <w:szCs w:val="22"/>
        </w:rPr>
        <w:t xml:space="preserve"> increasing by 82% in the following </w:t>
      </w:r>
      <w:r w:rsidR="00C97EF5">
        <w:rPr>
          <w:rFonts w:ascii="Corbel" w:hAnsi="Corbel"/>
          <w:sz w:val="22"/>
          <w:szCs w:val="22"/>
        </w:rPr>
        <w:t>calendar</w:t>
      </w:r>
      <w:r>
        <w:rPr>
          <w:rFonts w:ascii="Corbel" w:hAnsi="Corbel"/>
          <w:sz w:val="22"/>
          <w:szCs w:val="22"/>
        </w:rPr>
        <w:t xml:space="preserve"> year</w:t>
      </w:r>
      <w:r w:rsidR="00C97EF5">
        <w:rPr>
          <w:rFonts w:ascii="Corbel" w:hAnsi="Corbel"/>
          <w:sz w:val="22"/>
          <w:szCs w:val="22"/>
        </w:rPr>
        <w:t xml:space="preserve"> to approximately 1,750 sales. In 2021 it is estimated that there were approximately 3,800 residential land sales, representing a 120% increase in lands sales activity from the previous year.</w:t>
      </w:r>
    </w:p>
    <w:p w14:paraId="0528B243" w14:textId="77777777" w:rsidR="00EF2283" w:rsidRDefault="00C97EF5" w:rsidP="00134616">
      <w:pPr>
        <w:spacing w:after="120"/>
        <w:ind w:left="-17" w:right="164"/>
        <w:rPr>
          <w:rFonts w:ascii="Corbel" w:hAnsi="Corbel"/>
          <w:sz w:val="22"/>
          <w:szCs w:val="22"/>
        </w:rPr>
      </w:pPr>
      <w:r>
        <w:rPr>
          <w:rFonts w:ascii="Corbel" w:hAnsi="Corbel"/>
          <w:sz w:val="22"/>
          <w:szCs w:val="22"/>
        </w:rPr>
        <w:t xml:space="preserve">The recent volumes of residential land sales are at historical highs for the municipal area of Geelong. </w:t>
      </w:r>
    </w:p>
    <w:p w14:paraId="18341C33" w14:textId="2132C2AC" w:rsidR="00C97EF5" w:rsidRDefault="00C97EF5" w:rsidP="00134616">
      <w:pPr>
        <w:spacing w:after="120"/>
        <w:ind w:left="-17" w:right="164"/>
        <w:rPr>
          <w:rFonts w:ascii="Corbel" w:hAnsi="Corbel"/>
          <w:sz w:val="22"/>
          <w:szCs w:val="22"/>
        </w:rPr>
      </w:pPr>
      <w:r>
        <w:rPr>
          <w:rFonts w:ascii="Corbel" w:hAnsi="Corbel"/>
          <w:sz w:val="22"/>
          <w:szCs w:val="22"/>
        </w:rPr>
        <w:t xml:space="preserve">Consistent feedback from </w:t>
      </w:r>
      <w:r w:rsidR="00EF2283">
        <w:rPr>
          <w:rFonts w:ascii="Corbel" w:hAnsi="Corbel"/>
          <w:sz w:val="22"/>
          <w:szCs w:val="22"/>
        </w:rPr>
        <w:t xml:space="preserve">the </w:t>
      </w:r>
      <w:r>
        <w:rPr>
          <w:rFonts w:ascii="Corbel" w:hAnsi="Corbel"/>
          <w:sz w:val="22"/>
          <w:szCs w:val="22"/>
        </w:rPr>
        <w:t>industry consultation indicated that i</w:t>
      </w:r>
      <w:r w:rsidR="00EF2283">
        <w:rPr>
          <w:rFonts w:ascii="Corbel" w:hAnsi="Corbel"/>
          <w:sz w:val="22"/>
          <w:szCs w:val="22"/>
        </w:rPr>
        <w:t>n</w:t>
      </w:r>
      <w:r>
        <w:rPr>
          <w:rFonts w:ascii="Corbel" w:hAnsi="Corbel"/>
          <w:sz w:val="22"/>
          <w:szCs w:val="22"/>
        </w:rPr>
        <w:t xml:space="preserve"> the recent couple of years it </w:t>
      </w:r>
      <w:r w:rsidR="00EF2283">
        <w:rPr>
          <w:rFonts w:ascii="Corbel" w:hAnsi="Corbel"/>
          <w:sz w:val="22"/>
          <w:szCs w:val="22"/>
        </w:rPr>
        <w:t>has been</w:t>
      </w:r>
      <w:r>
        <w:rPr>
          <w:rFonts w:ascii="Corbel" w:hAnsi="Corbel"/>
          <w:sz w:val="22"/>
          <w:szCs w:val="22"/>
        </w:rPr>
        <w:t xml:space="preserve"> taking around 18 months from sale to delivery of the lot</w:t>
      </w:r>
      <w:r w:rsidR="00EF2283">
        <w:rPr>
          <w:rFonts w:ascii="Corbel" w:hAnsi="Corbel"/>
          <w:sz w:val="22"/>
          <w:szCs w:val="22"/>
        </w:rPr>
        <w:t>.</w:t>
      </w:r>
      <w:r>
        <w:rPr>
          <w:rFonts w:ascii="Corbel" w:hAnsi="Corbel"/>
          <w:sz w:val="22"/>
          <w:szCs w:val="22"/>
        </w:rPr>
        <w:t xml:space="preserve"> </w:t>
      </w:r>
      <w:r w:rsidR="00EF2283">
        <w:rPr>
          <w:rFonts w:ascii="Corbel" w:hAnsi="Corbel"/>
          <w:sz w:val="22"/>
          <w:szCs w:val="22"/>
        </w:rPr>
        <w:t>H</w:t>
      </w:r>
      <w:r>
        <w:rPr>
          <w:rFonts w:ascii="Corbel" w:hAnsi="Corbel"/>
          <w:sz w:val="22"/>
          <w:szCs w:val="22"/>
        </w:rPr>
        <w:t xml:space="preserve">istorically it was quoted </w:t>
      </w:r>
      <w:r w:rsidR="00EF2283">
        <w:rPr>
          <w:rFonts w:ascii="Corbel" w:hAnsi="Corbel"/>
          <w:sz w:val="22"/>
          <w:szCs w:val="22"/>
        </w:rPr>
        <w:t>at</w:t>
      </w:r>
      <w:r>
        <w:rPr>
          <w:rFonts w:ascii="Corbel" w:hAnsi="Corbel"/>
          <w:sz w:val="22"/>
          <w:szCs w:val="22"/>
        </w:rPr>
        <w:t xml:space="preserve"> being around 12 months, an increase of 6 month</w:t>
      </w:r>
      <w:r w:rsidR="00EF2283">
        <w:rPr>
          <w:rFonts w:ascii="Corbel" w:hAnsi="Corbel"/>
          <w:sz w:val="22"/>
          <w:szCs w:val="22"/>
        </w:rPr>
        <w:t>s</w:t>
      </w:r>
      <w:r>
        <w:rPr>
          <w:rFonts w:ascii="Corbel" w:hAnsi="Corbel"/>
          <w:sz w:val="22"/>
          <w:szCs w:val="22"/>
        </w:rPr>
        <w:t>.</w:t>
      </w:r>
    </w:p>
    <w:bookmarkEnd w:id="46"/>
    <w:bookmarkEnd w:id="47"/>
    <w:p w14:paraId="5C475664" w14:textId="29DC4249" w:rsidR="00F22665" w:rsidRPr="00AE08EF" w:rsidRDefault="00796761" w:rsidP="00394B48">
      <w:pPr>
        <w:spacing w:after="120" w:line="247" w:lineRule="auto"/>
        <w:ind w:right="164"/>
        <w:rPr>
          <w:rFonts w:ascii="Corbel" w:hAnsi="Corbel"/>
          <w:sz w:val="22"/>
          <w:szCs w:val="22"/>
        </w:rPr>
      </w:pPr>
      <w:r w:rsidRPr="00AE08EF">
        <w:rPr>
          <w:rFonts w:ascii="Corbel" w:hAnsi="Corbel"/>
          <w:sz w:val="22"/>
          <w:szCs w:val="22"/>
        </w:rPr>
        <w:t>Information supplied to Spatial Economics via the industry consultation illustrated significant residential land sales price increases</w:t>
      </w:r>
      <w:r w:rsidR="00394B48" w:rsidRPr="00AE08EF">
        <w:rPr>
          <w:rStyle w:val="FootnoteReference"/>
          <w:rFonts w:ascii="Corbel" w:hAnsi="Corbel"/>
          <w:sz w:val="22"/>
          <w:szCs w:val="22"/>
        </w:rPr>
        <w:footnoteReference w:id="1"/>
      </w:r>
      <w:r w:rsidRPr="00AE08EF">
        <w:rPr>
          <w:rFonts w:ascii="Corbel" w:hAnsi="Corbel"/>
          <w:sz w:val="22"/>
          <w:szCs w:val="22"/>
        </w:rPr>
        <w:t xml:space="preserve">. </w:t>
      </w:r>
      <w:r w:rsidR="00394B48" w:rsidRPr="00AE08EF">
        <w:rPr>
          <w:rFonts w:ascii="Corbel" w:hAnsi="Corbel"/>
          <w:sz w:val="22"/>
          <w:szCs w:val="22"/>
        </w:rPr>
        <w:t>As measured from the 4</w:t>
      </w:r>
      <w:r w:rsidR="00394B48" w:rsidRPr="00AE08EF">
        <w:rPr>
          <w:rFonts w:ascii="Corbel" w:hAnsi="Corbel"/>
          <w:sz w:val="22"/>
          <w:szCs w:val="22"/>
          <w:vertAlign w:val="superscript"/>
        </w:rPr>
        <w:t>th</w:t>
      </w:r>
      <w:r w:rsidR="00394B48" w:rsidRPr="00AE08EF">
        <w:rPr>
          <w:rFonts w:ascii="Corbel" w:hAnsi="Corbel"/>
          <w:sz w:val="22"/>
          <w:szCs w:val="22"/>
        </w:rPr>
        <w:t xml:space="preserve"> quarter 2020 to the 4</w:t>
      </w:r>
      <w:r w:rsidR="00394B48" w:rsidRPr="00AE08EF">
        <w:rPr>
          <w:rFonts w:ascii="Corbel" w:hAnsi="Corbel"/>
          <w:sz w:val="22"/>
          <w:szCs w:val="22"/>
          <w:vertAlign w:val="superscript"/>
        </w:rPr>
        <w:t>th</w:t>
      </w:r>
      <w:r w:rsidR="00394B48" w:rsidRPr="00AE08EF">
        <w:rPr>
          <w:rFonts w:ascii="Corbel" w:hAnsi="Corbel"/>
          <w:sz w:val="22"/>
          <w:szCs w:val="22"/>
        </w:rPr>
        <w:t xml:space="preserve"> quarter 2021 the median sales value of a broadhectare residential vacant lot in the Armstrong Creek Growth area increased by </w:t>
      </w:r>
      <w:r w:rsidR="00AE08EF" w:rsidRPr="00AE08EF">
        <w:rPr>
          <w:rFonts w:ascii="Corbel" w:hAnsi="Corbel"/>
          <w:sz w:val="22"/>
          <w:szCs w:val="22"/>
        </w:rPr>
        <w:t>2</w:t>
      </w:r>
      <w:r w:rsidR="00394B48" w:rsidRPr="00AE08EF">
        <w:rPr>
          <w:rFonts w:ascii="Corbel" w:hAnsi="Corbel"/>
          <w:sz w:val="22"/>
          <w:szCs w:val="22"/>
        </w:rPr>
        <w:t>5% to around $342,500.</w:t>
      </w:r>
    </w:p>
    <w:p w14:paraId="3885832F" w14:textId="77777777" w:rsidR="00F22665" w:rsidRPr="00C05CF8" w:rsidRDefault="00F22665" w:rsidP="00C05CF8">
      <w:pPr>
        <w:spacing w:after="120" w:line="247" w:lineRule="auto"/>
        <w:ind w:right="164"/>
        <w:rPr>
          <w:rFonts w:ascii="Corbel" w:hAnsi="Corbel"/>
          <w:sz w:val="22"/>
          <w:szCs w:val="22"/>
        </w:rPr>
      </w:pPr>
    </w:p>
    <w:p w14:paraId="56CB8DB2" w14:textId="792F9E9F" w:rsidR="008E03BA" w:rsidRPr="00967534" w:rsidRDefault="008E03BA">
      <w:pPr>
        <w:spacing w:after="160" w:line="259" w:lineRule="auto"/>
        <w:rPr>
          <w:rFonts w:ascii="Corbel" w:hAnsi="Corbel"/>
          <w:sz w:val="22"/>
          <w:szCs w:val="22"/>
        </w:rPr>
      </w:pPr>
      <w:r w:rsidRPr="00967534">
        <w:rPr>
          <w:rFonts w:ascii="Corbel" w:hAnsi="Corbel"/>
          <w:sz w:val="22"/>
          <w:szCs w:val="22"/>
        </w:rPr>
        <w:br w:type="page"/>
      </w:r>
    </w:p>
    <w:p w14:paraId="393CA25C" w14:textId="16B24872" w:rsidR="00D11628" w:rsidRDefault="0091434A" w:rsidP="00D11628">
      <w:pPr>
        <w:pStyle w:val="Heading4"/>
        <w:keepNext w:val="0"/>
        <w:keepLines w:val="0"/>
        <w:widowControl w:val="0"/>
        <w:pBdr>
          <w:top w:val="single" w:sz="4" w:space="0" w:color="000000"/>
          <w:left w:val="single" w:sz="4" w:space="0" w:color="000000"/>
          <w:bottom w:val="single" w:sz="4" w:space="1" w:color="auto"/>
          <w:right w:val="single" w:sz="4" w:space="0" w:color="000000"/>
        </w:pBdr>
        <w:shd w:val="clear" w:color="auto" w:fill="EBF1DE"/>
        <w:spacing w:after="0" w:line="259" w:lineRule="auto"/>
        <w:ind w:left="-6" w:right="176" w:firstLine="0"/>
        <w:rPr>
          <w:rFonts w:cs="Times New Roman"/>
        </w:rPr>
      </w:pPr>
      <w:r>
        <w:rPr>
          <w:rFonts w:cs="Times New Roman"/>
        </w:rPr>
        <w:lastRenderedPageBreak/>
        <w:t>Summary</w:t>
      </w:r>
    </w:p>
    <w:p w14:paraId="0A516B6D" w14:textId="77777777" w:rsidR="00D11628" w:rsidRPr="00D11628" w:rsidRDefault="00D11628" w:rsidP="00D11628">
      <w:pPr>
        <w:pStyle w:val="Heading4"/>
        <w:keepNext w:val="0"/>
        <w:keepLines w:val="0"/>
        <w:widowControl w:val="0"/>
        <w:pBdr>
          <w:top w:val="single" w:sz="4" w:space="0" w:color="000000"/>
          <w:left w:val="single" w:sz="4" w:space="0" w:color="000000"/>
          <w:bottom w:val="single" w:sz="4" w:space="1" w:color="auto"/>
          <w:right w:val="single" w:sz="4" w:space="0" w:color="000000"/>
        </w:pBdr>
        <w:shd w:val="clear" w:color="auto" w:fill="EBF1DE"/>
        <w:spacing w:after="120" w:line="259" w:lineRule="auto"/>
        <w:ind w:left="-6" w:right="176" w:firstLine="0"/>
        <w:rPr>
          <w:b w:val="0"/>
          <w:bCs/>
        </w:rPr>
      </w:pPr>
      <w:r w:rsidRPr="00D11628">
        <w:rPr>
          <w:b w:val="0"/>
          <w:bCs/>
        </w:rPr>
        <w:t>Geelong is experiencing a sustained growth in residential development activity. In particular, residential development activity has reached peak levels in 2020/21 in terms of residential building approvals, broadhectare subdivision, preliminary subdivision approval and residential land sales.</w:t>
      </w:r>
    </w:p>
    <w:p w14:paraId="77069550" w14:textId="77777777" w:rsidR="00D11628" w:rsidRPr="00D11628" w:rsidRDefault="00D11628" w:rsidP="00D11628">
      <w:pPr>
        <w:pStyle w:val="Heading4"/>
        <w:keepNext w:val="0"/>
        <w:keepLines w:val="0"/>
        <w:widowControl w:val="0"/>
        <w:pBdr>
          <w:top w:val="single" w:sz="4" w:space="0" w:color="000000"/>
          <w:left w:val="single" w:sz="4" w:space="0" w:color="000000"/>
          <w:bottom w:val="single" w:sz="4" w:space="1" w:color="auto"/>
          <w:right w:val="single" w:sz="4" w:space="0" w:color="000000"/>
        </w:pBdr>
        <w:shd w:val="clear" w:color="auto" w:fill="EBF1DE"/>
        <w:spacing w:after="120" w:line="259" w:lineRule="auto"/>
        <w:ind w:left="-6" w:right="176" w:firstLine="0"/>
        <w:rPr>
          <w:b w:val="0"/>
          <w:bCs/>
        </w:rPr>
      </w:pPr>
      <w:r w:rsidRPr="00D11628">
        <w:rPr>
          <w:b w:val="0"/>
          <w:bCs/>
        </w:rPr>
        <w:t>The bulk of the increase in broadhectare land development activity is located in the Armstrong Creek Growth Area. Whereas other broadhectare supply locations have remained relatively constant and/or declining in the share of residential development activity.</w:t>
      </w:r>
    </w:p>
    <w:p w14:paraId="4570AB9C" w14:textId="77777777" w:rsidR="00D11628" w:rsidRPr="00D11628" w:rsidRDefault="00D11628" w:rsidP="00D11628">
      <w:pPr>
        <w:pStyle w:val="Heading4"/>
        <w:keepNext w:val="0"/>
        <w:keepLines w:val="0"/>
        <w:widowControl w:val="0"/>
        <w:pBdr>
          <w:top w:val="single" w:sz="4" w:space="0" w:color="000000"/>
          <w:left w:val="single" w:sz="4" w:space="0" w:color="000000"/>
          <w:bottom w:val="single" w:sz="4" w:space="1" w:color="auto"/>
          <w:right w:val="single" w:sz="4" w:space="0" w:color="000000"/>
        </w:pBdr>
        <w:shd w:val="clear" w:color="auto" w:fill="EBF1DE"/>
        <w:spacing w:after="120" w:line="259" w:lineRule="auto"/>
        <w:ind w:left="-6" w:right="176" w:firstLine="0"/>
        <w:rPr>
          <w:b w:val="0"/>
          <w:bCs/>
        </w:rPr>
      </w:pPr>
      <w:r w:rsidRPr="00D11628">
        <w:rPr>
          <w:b w:val="0"/>
          <w:bCs/>
        </w:rPr>
        <w:t>The median lot size of broadhectare constructed lots has steadily declined over-time, from 646 sqm in 2008 to 446 sqm in 2021. The median lot size constructed in 2021/22 (</w:t>
      </w:r>
      <w:proofErr w:type="spellStart"/>
      <w:r w:rsidRPr="00D11628">
        <w:rPr>
          <w:b w:val="0"/>
          <w:bCs/>
        </w:rPr>
        <w:t>ytd</w:t>
      </w:r>
      <w:proofErr w:type="spellEnd"/>
      <w:r w:rsidRPr="00D11628">
        <w:rPr>
          <w:b w:val="0"/>
          <w:bCs/>
        </w:rPr>
        <w:t xml:space="preserve"> March) has significantly declined  to 352 sqm. This is primarily due to the significant increase in construction of lots sized less than 300 sqm. The  significant decline in the median lot size is a direct response of the development industry to maintain affordable pricing points.</w:t>
      </w:r>
    </w:p>
    <w:p w14:paraId="7B510071" w14:textId="7C0659FA" w:rsidR="00D11628" w:rsidRPr="00D11628" w:rsidRDefault="00D11628" w:rsidP="00D11628">
      <w:pPr>
        <w:pStyle w:val="Heading4"/>
        <w:keepNext w:val="0"/>
        <w:keepLines w:val="0"/>
        <w:widowControl w:val="0"/>
        <w:pBdr>
          <w:top w:val="single" w:sz="4" w:space="0" w:color="000000"/>
          <w:left w:val="single" w:sz="4" w:space="0" w:color="000000"/>
          <w:bottom w:val="single" w:sz="4" w:space="1" w:color="auto"/>
          <w:right w:val="single" w:sz="4" w:space="0" w:color="000000"/>
        </w:pBdr>
        <w:shd w:val="clear" w:color="auto" w:fill="EBF1DE"/>
        <w:spacing w:after="0" w:line="259" w:lineRule="auto"/>
        <w:ind w:left="-6" w:right="176" w:firstLine="0"/>
        <w:rPr>
          <w:b w:val="0"/>
          <w:bCs/>
        </w:rPr>
      </w:pPr>
      <w:r w:rsidRPr="00D11628">
        <w:rPr>
          <w:b w:val="0"/>
          <w:bCs/>
        </w:rPr>
        <w:t>In the context of rapidly increasing residential development activity, the sales value of vacant broadhectare lots has substantial increased. It has b</w:t>
      </w:r>
      <w:r>
        <w:rPr>
          <w:b w:val="0"/>
          <w:bCs/>
        </w:rPr>
        <w:t>e</w:t>
      </w:r>
      <w:r w:rsidRPr="00D11628">
        <w:rPr>
          <w:b w:val="0"/>
          <w:bCs/>
        </w:rPr>
        <w:t>en reported that the median sales value in the Armstrong Creek Growth Area has increased by 25% in 2021.</w:t>
      </w:r>
    </w:p>
    <w:p w14:paraId="2399EB7E" w14:textId="77777777" w:rsidR="002763B5" w:rsidRPr="008E03BA" w:rsidRDefault="00D55782">
      <w:pPr>
        <w:spacing w:line="259" w:lineRule="auto"/>
        <w:rPr>
          <w:bCs/>
        </w:rPr>
      </w:pPr>
      <w:r w:rsidRPr="008E03BA">
        <w:rPr>
          <w:bCs/>
        </w:rPr>
        <w:t xml:space="preserve"> </w:t>
      </w:r>
    </w:p>
    <w:p w14:paraId="62EC15AA" w14:textId="77777777" w:rsidR="004C7582" w:rsidRDefault="004C7582">
      <w:pPr>
        <w:spacing w:after="160" w:line="259" w:lineRule="auto"/>
        <w:rPr>
          <w:rFonts w:ascii="Cambria" w:eastAsia="Cambria" w:hAnsi="Cambria" w:cs="Cambria"/>
          <w:b/>
          <w:color w:val="7D9B16"/>
          <w:sz w:val="26"/>
        </w:rPr>
      </w:pPr>
      <w:r>
        <w:br w:type="page"/>
      </w:r>
    </w:p>
    <w:p w14:paraId="1608133F" w14:textId="4D60E417" w:rsidR="002763B5" w:rsidRDefault="00D55782">
      <w:pPr>
        <w:pStyle w:val="Heading1"/>
        <w:tabs>
          <w:tab w:val="center" w:pos="2160"/>
        </w:tabs>
        <w:ind w:left="-15" w:firstLine="0"/>
      </w:pPr>
      <w:bookmarkStart w:id="48" w:name="_Toc101202498"/>
      <w:r w:rsidRPr="00C823FB">
        <w:lastRenderedPageBreak/>
        <w:t xml:space="preserve">5.0 </w:t>
      </w:r>
      <w:r w:rsidR="00E87E6D" w:rsidRPr="00C823FB">
        <w:t xml:space="preserve"> </w:t>
      </w:r>
      <w:r w:rsidRPr="00C823FB">
        <w:t>Residential Land Supply</w:t>
      </w:r>
      <w:bookmarkEnd w:id="48"/>
      <w:r>
        <w:t xml:space="preserve">  </w:t>
      </w:r>
    </w:p>
    <w:p w14:paraId="148CA5B4" w14:textId="02015AE3" w:rsidR="002763B5" w:rsidRPr="0009387F" w:rsidRDefault="00D55782" w:rsidP="00EC31F1">
      <w:pPr>
        <w:spacing w:after="120"/>
        <w:ind w:left="-6" w:right="164"/>
        <w:rPr>
          <w:rFonts w:ascii="Corbel" w:hAnsi="Corbel"/>
          <w:sz w:val="22"/>
          <w:szCs w:val="22"/>
        </w:rPr>
      </w:pPr>
      <w:r w:rsidRPr="00950A25">
        <w:rPr>
          <w:rFonts w:ascii="Corbel" w:hAnsi="Corbel"/>
          <w:sz w:val="22"/>
          <w:szCs w:val="22"/>
        </w:rPr>
        <w:t>Section 5.0</w:t>
      </w:r>
      <w:r w:rsidRPr="0009387F">
        <w:rPr>
          <w:rFonts w:ascii="Corbel" w:hAnsi="Corbel"/>
          <w:sz w:val="22"/>
          <w:szCs w:val="22"/>
        </w:rPr>
        <w:t xml:space="preserve"> of the report details the stock (measured in lots) of broadhectar</w:t>
      </w:r>
      <w:r w:rsidR="004A2A73" w:rsidRPr="0009387F">
        <w:rPr>
          <w:rFonts w:ascii="Corbel" w:hAnsi="Corbel"/>
          <w:sz w:val="22"/>
          <w:szCs w:val="22"/>
        </w:rPr>
        <w:t xml:space="preserve">e </w:t>
      </w:r>
      <w:r w:rsidRPr="0009387F">
        <w:rPr>
          <w:rFonts w:ascii="Corbel" w:hAnsi="Corbel"/>
          <w:sz w:val="22"/>
          <w:szCs w:val="22"/>
        </w:rPr>
        <w:t xml:space="preserve">residential land supply across </w:t>
      </w:r>
      <w:r w:rsidR="000F7883" w:rsidRPr="0009387F">
        <w:rPr>
          <w:rFonts w:ascii="Corbel" w:hAnsi="Corbel"/>
          <w:sz w:val="22"/>
          <w:szCs w:val="22"/>
        </w:rPr>
        <w:t>the munici</w:t>
      </w:r>
      <w:r w:rsidR="00F6506E" w:rsidRPr="0009387F">
        <w:rPr>
          <w:rFonts w:ascii="Corbel" w:hAnsi="Corbel"/>
          <w:sz w:val="22"/>
          <w:szCs w:val="22"/>
        </w:rPr>
        <w:t xml:space="preserve">pal area of </w:t>
      </w:r>
      <w:r w:rsidR="005257BC">
        <w:rPr>
          <w:rFonts w:ascii="Corbel" w:hAnsi="Corbel"/>
          <w:sz w:val="22"/>
          <w:szCs w:val="22"/>
        </w:rPr>
        <w:t>Geelong</w:t>
      </w:r>
      <w:r w:rsidRPr="0009387F">
        <w:rPr>
          <w:rFonts w:ascii="Corbel" w:hAnsi="Corbel"/>
          <w:sz w:val="22"/>
          <w:szCs w:val="22"/>
        </w:rPr>
        <w:t xml:space="preserve"> as </w:t>
      </w:r>
      <w:proofErr w:type="gramStart"/>
      <w:r w:rsidRPr="0009387F">
        <w:rPr>
          <w:rFonts w:ascii="Corbel" w:hAnsi="Corbel"/>
          <w:sz w:val="22"/>
          <w:szCs w:val="22"/>
        </w:rPr>
        <w:t>at</w:t>
      </w:r>
      <w:proofErr w:type="gramEnd"/>
      <w:r w:rsidRPr="0009387F">
        <w:rPr>
          <w:rFonts w:ascii="Corbel" w:hAnsi="Corbel"/>
          <w:sz w:val="22"/>
          <w:szCs w:val="22"/>
        </w:rPr>
        <w:t xml:space="preserve"> </w:t>
      </w:r>
      <w:r w:rsidR="005257BC">
        <w:rPr>
          <w:rFonts w:ascii="Corbel" w:hAnsi="Corbel"/>
          <w:sz w:val="22"/>
          <w:szCs w:val="22"/>
        </w:rPr>
        <w:t>March</w:t>
      </w:r>
      <w:r w:rsidR="004A2A73" w:rsidRPr="0009387F">
        <w:rPr>
          <w:rFonts w:ascii="Corbel" w:hAnsi="Corbel"/>
          <w:sz w:val="22"/>
          <w:szCs w:val="22"/>
        </w:rPr>
        <w:t xml:space="preserve"> 20</w:t>
      </w:r>
      <w:r w:rsidR="002C2C87">
        <w:rPr>
          <w:rFonts w:ascii="Corbel" w:hAnsi="Corbel"/>
          <w:sz w:val="22"/>
          <w:szCs w:val="22"/>
        </w:rPr>
        <w:t>2</w:t>
      </w:r>
      <w:r w:rsidR="005257BC">
        <w:rPr>
          <w:rFonts w:ascii="Corbel" w:hAnsi="Corbel"/>
          <w:sz w:val="22"/>
          <w:szCs w:val="22"/>
        </w:rPr>
        <w:t>2</w:t>
      </w:r>
      <w:r w:rsidR="004A2A73" w:rsidRPr="0009387F">
        <w:rPr>
          <w:rFonts w:ascii="Corbel" w:hAnsi="Corbel"/>
          <w:sz w:val="22"/>
          <w:szCs w:val="22"/>
        </w:rPr>
        <w:t>.</w:t>
      </w:r>
      <w:r w:rsidRPr="0009387F">
        <w:rPr>
          <w:rFonts w:ascii="Corbel" w:hAnsi="Corbel"/>
          <w:sz w:val="22"/>
          <w:szCs w:val="22"/>
        </w:rPr>
        <w:t xml:space="preserve">  </w:t>
      </w:r>
    </w:p>
    <w:p w14:paraId="0B0EF11F" w14:textId="73362B02" w:rsidR="002763B5" w:rsidRPr="004A2A73" w:rsidRDefault="00D55782">
      <w:pPr>
        <w:pStyle w:val="Heading1"/>
        <w:tabs>
          <w:tab w:val="center" w:pos="3513"/>
        </w:tabs>
        <w:ind w:left="-15" w:firstLine="0"/>
      </w:pPr>
      <w:bookmarkStart w:id="49" w:name="_Toc101202499"/>
      <w:r w:rsidRPr="004A2A73">
        <w:t xml:space="preserve">5.1 </w:t>
      </w:r>
      <w:r w:rsidR="004A2A73">
        <w:t xml:space="preserve"> </w:t>
      </w:r>
      <w:r w:rsidR="00C65904">
        <w:t xml:space="preserve">Undeveloped </w:t>
      </w:r>
      <w:r w:rsidRPr="004A2A73">
        <w:t xml:space="preserve">Broadhectare </w:t>
      </w:r>
      <w:r w:rsidR="00C65904">
        <w:t>Land Stocks</w:t>
      </w:r>
      <w:bookmarkEnd w:id="49"/>
    </w:p>
    <w:p w14:paraId="17E2E8E5" w14:textId="4F483E6A" w:rsidR="00A03760" w:rsidRDefault="00D55782" w:rsidP="00D67F67">
      <w:pPr>
        <w:spacing w:after="120"/>
        <w:ind w:left="-5" w:right="164"/>
        <w:rPr>
          <w:rFonts w:ascii="Corbel" w:hAnsi="Corbel"/>
          <w:sz w:val="22"/>
          <w:szCs w:val="22"/>
        </w:rPr>
      </w:pPr>
      <w:bookmarkStart w:id="50" w:name="_Hlk101103815"/>
      <w:bookmarkStart w:id="51" w:name="_Hlk96351658"/>
      <w:bookmarkStart w:id="52" w:name="_Hlk13142951"/>
      <w:r w:rsidRPr="0009387F">
        <w:rPr>
          <w:rFonts w:ascii="Corbel" w:hAnsi="Corbel"/>
          <w:sz w:val="22"/>
          <w:szCs w:val="22"/>
        </w:rPr>
        <w:t xml:space="preserve">As at </w:t>
      </w:r>
      <w:r w:rsidR="00C65904">
        <w:rPr>
          <w:rFonts w:ascii="Corbel" w:hAnsi="Corbel"/>
          <w:sz w:val="22"/>
          <w:szCs w:val="22"/>
        </w:rPr>
        <w:t>March</w:t>
      </w:r>
      <w:r w:rsidRPr="0009387F">
        <w:rPr>
          <w:rFonts w:ascii="Corbel" w:hAnsi="Corbel"/>
          <w:sz w:val="22"/>
          <w:szCs w:val="22"/>
        </w:rPr>
        <w:t xml:space="preserve"> 20</w:t>
      </w:r>
      <w:r w:rsidR="00026A02">
        <w:rPr>
          <w:rFonts w:ascii="Corbel" w:hAnsi="Corbel"/>
          <w:sz w:val="22"/>
          <w:szCs w:val="22"/>
        </w:rPr>
        <w:t>2</w:t>
      </w:r>
      <w:r w:rsidR="006D24C0">
        <w:rPr>
          <w:rFonts w:ascii="Corbel" w:hAnsi="Corbel"/>
          <w:sz w:val="22"/>
          <w:szCs w:val="22"/>
        </w:rPr>
        <w:t>2</w:t>
      </w:r>
      <w:r w:rsidRPr="0009387F">
        <w:rPr>
          <w:rFonts w:ascii="Corbel" w:hAnsi="Corbel"/>
          <w:sz w:val="22"/>
          <w:szCs w:val="22"/>
        </w:rPr>
        <w:t>, there was a</w:t>
      </w:r>
      <w:r w:rsidR="00A03760">
        <w:rPr>
          <w:rFonts w:ascii="Corbel" w:hAnsi="Corbel"/>
          <w:sz w:val="22"/>
          <w:szCs w:val="22"/>
        </w:rPr>
        <w:t>n</w:t>
      </w:r>
      <w:r w:rsidRPr="0009387F">
        <w:rPr>
          <w:rFonts w:ascii="Corbel" w:hAnsi="Corbel"/>
          <w:sz w:val="22"/>
          <w:szCs w:val="22"/>
        </w:rPr>
        <w:t xml:space="preserve"> </w:t>
      </w:r>
      <w:r w:rsidR="00FE4B8B">
        <w:rPr>
          <w:rFonts w:ascii="Corbel" w:hAnsi="Corbel"/>
          <w:sz w:val="22"/>
          <w:szCs w:val="22"/>
        </w:rPr>
        <w:t xml:space="preserve">undeveloped </w:t>
      </w:r>
      <w:r w:rsidRPr="0009387F">
        <w:rPr>
          <w:rFonts w:ascii="Corbel" w:hAnsi="Corbel"/>
          <w:sz w:val="22"/>
          <w:szCs w:val="22"/>
        </w:rPr>
        <w:t xml:space="preserve">residential lot capacity within zoned broadhectare sites of approximately </w:t>
      </w:r>
      <w:r w:rsidR="00A03760">
        <w:rPr>
          <w:rFonts w:ascii="Corbel" w:hAnsi="Corbel"/>
          <w:sz w:val="22"/>
          <w:szCs w:val="22"/>
        </w:rPr>
        <w:t>25,000</w:t>
      </w:r>
      <w:r w:rsidR="00CD3085" w:rsidRPr="0009387F">
        <w:rPr>
          <w:rFonts w:ascii="Corbel" w:hAnsi="Corbel"/>
          <w:sz w:val="22"/>
          <w:szCs w:val="22"/>
        </w:rPr>
        <w:t xml:space="preserve"> across the municipal area of </w:t>
      </w:r>
      <w:r w:rsidR="006D24C0">
        <w:rPr>
          <w:rFonts w:ascii="Corbel" w:hAnsi="Corbel"/>
          <w:sz w:val="22"/>
          <w:szCs w:val="22"/>
        </w:rPr>
        <w:t>Geelong</w:t>
      </w:r>
      <w:r w:rsidRPr="0009387F">
        <w:rPr>
          <w:rFonts w:ascii="Corbel" w:hAnsi="Corbel"/>
          <w:sz w:val="22"/>
          <w:szCs w:val="22"/>
        </w:rPr>
        <w:t>.</w:t>
      </w:r>
      <w:r w:rsidR="00A03760">
        <w:rPr>
          <w:rFonts w:ascii="Corbel" w:hAnsi="Corbel"/>
          <w:sz w:val="22"/>
          <w:szCs w:val="22"/>
        </w:rPr>
        <w:t xml:space="preserve"> Of this zoned undeveloped broadhectare land stock, 6,100 lots have preliminary subdivision approval</w:t>
      </w:r>
      <w:bookmarkEnd w:id="50"/>
      <w:r w:rsidR="00A03760">
        <w:rPr>
          <w:rFonts w:ascii="Corbel" w:hAnsi="Corbel"/>
          <w:sz w:val="22"/>
          <w:szCs w:val="22"/>
        </w:rPr>
        <w:t>.</w:t>
      </w:r>
    </w:p>
    <w:p w14:paraId="218F5947" w14:textId="0ACDB937" w:rsidR="00A351DA" w:rsidRDefault="00A351DA" w:rsidP="00D67F67">
      <w:pPr>
        <w:spacing w:after="120"/>
        <w:ind w:left="-5" w:right="164"/>
        <w:rPr>
          <w:rFonts w:ascii="Corbel" w:hAnsi="Corbel"/>
          <w:sz w:val="22"/>
          <w:szCs w:val="22"/>
        </w:rPr>
      </w:pPr>
      <w:r>
        <w:rPr>
          <w:rFonts w:ascii="Corbel" w:hAnsi="Corbel"/>
          <w:sz w:val="22"/>
          <w:szCs w:val="22"/>
        </w:rPr>
        <w:t xml:space="preserve">It is highlighted that the volume of broadhectare lots with preliminary subdivision approval is at </w:t>
      </w:r>
      <w:r w:rsidR="00407079">
        <w:rPr>
          <w:rFonts w:ascii="Corbel" w:hAnsi="Corbel"/>
          <w:sz w:val="22"/>
          <w:szCs w:val="22"/>
        </w:rPr>
        <w:t xml:space="preserve">an </w:t>
      </w:r>
      <w:r>
        <w:rPr>
          <w:rFonts w:ascii="Corbel" w:hAnsi="Corbel"/>
          <w:sz w:val="22"/>
          <w:szCs w:val="22"/>
        </w:rPr>
        <w:t xml:space="preserve">all-time historic high for the municipal area of Geelong. Preliminary subdivision approval </w:t>
      </w:r>
      <w:r w:rsidR="00407079">
        <w:rPr>
          <w:rFonts w:ascii="Corbel" w:hAnsi="Corbel"/>
          <w:sz w:val="22"/>
          <w:szCs w:val="22"/>
        </w:rPr>
        <w:t>is</w:t>
      </w:r>
      <w:r>
        <w:rPr>
          <w:rFonts w:ascii="Corbel" w:hAnsi="Corbel"/>
          <w:sz w:val="22"/>
          <w:szCs w:val="22"/>
        </w:rPr>
        <w:t xml:space="preserve"> a prime indicator of future short term lot construction activity</w:t>
      </w:r>
      <w:r w:rsidR="00792CD3">
        <w:rPr>
          <w:rFonts w:ascii="Corbel" w:hAnsi="Corbel"/>
          <w:sz w:val="22"/>
          <w:szCs w:val="22"/>
        </w:rPr>
        <w:t>. Based on industry feedback and analysis undertaken by Spatial Economics it is estimated that of this lot stock with preliminary subdivision approval, between 80 to 85% ha</w:t>
      </w:r>
      <w:r w:rsidR="00407079">
        <w:rPr>
          <w:rFonts w:ascii="Corbel" w:hAnsi="Corbel"/>
          <w:sz w:val="22"/>
          <w:szCs w:val="22"/>
        </w:rPr>
        <w:t>ve</w:t>
      </w:r>
      <w:r w:rsidR="00792CD3">
        <w:rPr>
          <w:rFonts w:ascii="Corbel" w:hAnsi="Corbel"/>
          <w:sz w:val="22"/>
          <w:szCs w:val="22"/>
        </w:rPr>
        <w:t xml:space="preserve"> been pre-sold.</w:t>
      </w:r>
    </w:p>
    <w:p w14:paraId="5744E4FD" w14:textId="12446AEF" w:rsidR="002763B5" w:rsidRPr="0009387F" w:rsidRDefault="00026A02" w:rsidP="00D67F67">
      <w:pPr>
        <w:spacing w:after="120"/>
        <w:ind w:left="-5" w:right="164"/>
        <w:rPr>
          <w:rFonts w:ascii="Corbel" w:hAnsi="Corbel"/>
          <w:sz w:val="22"/>
          <w:szCs w:val="22"/>
        </w:rPr>
      </w:pPr>
      <w:r>
        <w:rPr>
          <w:rFonts w:ascii="Corbel" w:hAnsi="Corbel"/>
          <w:sz w:val="22"/>
          <w:szCs w:val="22"/>
        </w:rPr>
        <w:t xml:space="preserve">Of </w:t>
      </w:r>
      <w:r w:rsidR="00792CD3">
        <w:rPr>
          <w:rFonts w:ascii="Corbel" w:hAnsi="Corbel"/>
          <w:sz w:val="22"/>
          <w:szCs w:val="22"/>
        </w:rPr>
        <w:t>the total</w:t>
      </w:r>
      <w:r>
        <w:rPr>
          <w:rFonts w:ascii="Corbel" w:hAnsi="Corbel"/>
          <w:sz w:val="22"/>
          <w:szCs w:val="22"/>
        </w:rPr>
        <w:t xml:space="preserve"> zoned lot potential, </w:t>
      </w:r>
      <w:r w:rsidR="006D24C0">
        <w:rPr>
          <w:rFonts w:ascii="Corbel" w:hAnsi="Corbel"/>
          <w:sz w:val="22"/>
          <w:szCs w:val="22"/>
        </w:rPr>
        <w:t>7</w:t>
      </w:r>
      <w:r w:rsidR="00407079">
        <w:rPr>
          <w:rFonts w:ascii="Corbel" w:hAnsi="Corbel"/>
          <w:sz w:val="22"/>
          <w:szCs w:val="22"/>
        </w:rPr>
        <w:t>9</w:t>
      </w:r>
      <w:r w:rsidR="006D24C0">
        <w:rPr>
          <w:rFonts w:ascii="Corbel" w:hAnsi="Corbel"/>
          <w:sz w:val="22"/>
          <w:szCs w:val="22"/>
        </w:rPr>
        <w:t>%</w:t>
      </w:r>
      <w:r>
        <w:rPr>
          <w:rFonts w:ascii="Corbel" w:hAnsi="Corbel"/>
          <w:sz w:val="22"/>
          <w:szCs w:val="22"/>
        </w:rPr>
        <w:t xml:space="preserve"> (</w:t>
      </w:r>
      <w:r w:rsidR="00407079">
        <w:rPr>
          <w:rFonts w:ascii="Corbel" w:hAnsi="Corbel"/>
          <w:sz w:val="22"/>
          <w:szCs w:val="22"/>
        </w:rPr>
        <w:t>19,700</w:t>
      </w:r>
      <w:r>
        <w:rPr>
          <w:rFonts w:ascii="Corbel" w:hAnsi="Corbel"/>
          <w:sz w:val="22"/>
          <w:szCs w:val="22"/>
        </w:rPr>
        <w:t xml:space="preserve"> lots) </w:t>
      </w:r>
      <w:r w:rsidR="006D24C0">
        <w:rPr>
          <w:rFonts w:ascii="Corbel" w:hAnsi="Corbel"/>
          <w:sz w:val="22"/>
          <w:szCs w:val="22"/>
        </w:rPr>
        <w:t xml:space="preserve">is located in the Geelong Region, the remaining </w:t>
      </w:r>
      <w:r w:rsidR="00407079">
        <w:rPr>
          <w:rFonts w:ascii="Corbel" w:hAnsi="Corbel"/>
          <w:sz w:val="22"/>
          <w:szCs w:val="22"/>
        </w:rPr>
        <w:t>5,245</w:t>
      </w:r>
      <w:r w:rsidR="006D24C0">
        <w:rPr>
          <w:rFonts w:ascii="Corbel" w:hAnsi="Corbel"/>
          <w:sz w:val="22"/>
          <w:szCs w:val="22"/>
        </w:rPr>
        <w:t xml:space="preserve"> lots in the Bellarine Peninsula.</w:t>
      </w:r>
    </w:p>
    <w:p w14:paraId="7F8B636E" w14:textId="77EFF749" w:rsidR="00042081" w:rsidRDefault="006D24C0" w:rsidP="006D24C0">
      <w:pPr>
        <w:spacing w:after="120"/>
        <w:ind w:right="164"/>
        <w:rPr>
          <w:rFonts w:ascii="Corbel" w:hAnsi="Corbel"/>
          <w:sz w:val="22"/>
          <w:szCs w:val="22"/>
        </w:rPr>
      </w:pPr>
      <w:bookmarkStart w:id="53" w:name="_Hlk96351671"/>
      <w:bookmarkStart w:id="54" w:name="_Hlk523932519"/>
      <w:bookmarkEnd w:id="51"/>
      <w:r w:rsidRPr="006D24C0">
        <w:rPr>
          <w:rFonts w:ascii="Corbel" w:hAnsi="Corbel"/>
          <w:sz w:val="22"/>
          <w:szCs w:val="22"/>
        </w:rPr>
        <w:t>Of the zoned unde</w:t>
      </w:r>
      <w:r>
        <w:rPr>
          <w:rFonts w:ascii="Corbel" w:hAnsi="Corbel"/>
          <w:sz w:val="22"/>
          <w:szCs w:val="22"/>
        </w:rPr>
        <w:t>veloped residential broadhectare lands located in the Bellarine Peninsula, the majority (4</w:t>
      </w:r>
      <w:r w:rsidR="00407079">
        <w:rPr>
          <w:rFonts w:ascii="Corbel" w:hAnsi="Corbel"/>
          <w:sz w:val="22"/>
          <w:szCs w:val="22"/>
        </w:rPr>
        <w:t>3</w:t>
      </w:r>
      <w:r>
        <w:rPr>
          <w:rFonts w:ascii="Corbel" w:hAnsi="Corbel"/>
          <w:sz w:val="22"/>
          <w:szCs w:val="22"/>
        </w:rPr>
        <w:t>%</w:t>
      </w:r>
      <w:r w:rsidR="00C65904">
        <w:rPr>
          <w:rFonts w:ascii="Corbel" w:hAnsi="Corbel"/>
          <w:sz w:val="22"/>
          <w:szCs w:val="22"/>
        </w:rPr>
        <w:t xml:space="preserve"> or 2,</w:t>
      </w:r>
      <w:r w:rsidR="00407079">
        <w:rPr>
          <w:rFonts w:ascii="Corbel" w:hAnsi="Corbel"/>
          <w:sz w:val="22"/>
          <w:szCs w:val="22"/>
        </w:rPr>
        <w:t>272</w:t>
      </w:r>
      <w:r w:rsidR="00C65904">
        <w:rPr>
          <w:rFonts w:ascii="Corbel" w:hAnsi="Corbel"/>
          <w:sz w:val="22"/>
          <w:szCs w:val="22"/>
        </w:rPr>
        <w:t xml:space="preserve"> lots) is l0cated in Ocean Grove and 1,0</w:t>
      </w:r>
      <w:r w:rsidR="00407079">
        <w:rPr>
          <w:rFonts w:ascii="Corbel" w:hAnsi="Corbel"/>
          <w:sz w:val="22"/>
          <w:szCs w:val="22"/>
        </w:rPr>
        <w:t>43</w:t>
      </w:r>
      <w:r w:rsidR="00C65904">
        <w:rPr>
          <w:rFonts w:ascii="Corbel" w:hAnsi="Corbel"/>
          <w:sz w:val="22"/>
          <w:szCs w:val="22"/>
        </w:rPr>
        <w:t xml:space="preserve"> lots located in</w:t>
      </w:r>
      <w:r w:rsidR="00C65904" w:rsidRPr="00C65904">
        <w:rPr>
          <w:rFonts w:ascii="Corbel" w:hAnsi="Corbel"/>
          <w:sz w:val="22"/>
          <w:szCs w:val="22"/>
        </w:rPr>
        <w:t xml:space="preserve"> </w:t>
      </w:r>
      <w:r w:rsidR="00C65904">
        <w:rPr>
          <w:rFonts w:ascii="Corbel" w:hAnsi="Corbel"/>
          <w:sz w:val="22"/>
          <w:szCs w:val="22"/>
        </w:rPr>
        <w:t>Drysdale/Clifton Springs.</w:t>
      </w:r>
    </w:p>
    <w:p w14:paraId="63D53E6A" w14:textId="719DBFB6" w:rsidR="00D37D1F" w:rsidRDefault="00D37D1F" w:rsidP="006D24C0">
      <w:pPr>
        <w:spacing w:after="120"/>
        <w:ind w:right="164"/>
        <w:rPr>
          <w:rFonts w:ascii="Corbel" w:hAnsi="Corbel"/>
          <w:sz w:val="22"/>
          <w:szCs w:val="22"/>
        </w:rPr>
      </w:pPr>
      <w:r>
        <w:rPr>
          <w:rFonts w:ascii="Corbel" w:hAnsi="Corbel"/>
          <w:sz w:val="22"/>
          <w:szCs w:val="22"/>
        </w:rPr>
        <w:t xml:space="preserve">Within the Geelong </w:t>
      </w:r>
      <w:r w:rsidR="000730A2">
        <w:rPr>
          <w:rFonts w:ascii="Corbel" w:hAnsi="Corbel"/>
          <w:sz w:val="22"/>
          <w:szCs w:val="22"/>
        </w:rPr>
        <w:t>R</w:t>
      </w:r>
      <w:r>
        <w:rPr>
          <w:rFonts w:ascii="Corbel" w:hAnsi="Corbel"/>
          <w:sz w:val="22"/>
          <w:szCs w:val="22"/>
        </w:rPr>
        <w:t xml:space="preserve">egion, the stock of zoned undeveloped residential lands is concentrated within the Armstrong Creek Growth Area with </w:t>
      </w:r>
      <w:r w:rsidR="00407079">
        <w:rPr>
          <w:rFonts w:ascii="Corbel" w:hAnsi="Corbel"/>
          <w:sz w:val="22"/>
          <w:szCs w:val="22"/>
        </w:rPr>
        <w:t>13,900</w:t>
      </w:r>
      <w:r>
        <w:rPr>
          <w:rFonts w:ascii="Corbel" w:hAnsi="Corbel"/>
          <w:sz w:val="22"/>
          <w:szCs w:val="22"/>
        </w:rPr>
        <w:t xml:space="preserve"> lots. There are significant stocks within the locality of Lara (located within the Northern Growth Area) with </w:t>
      </w:r>
      <w:r w:rsidR="00407079">
        <w:rPr>
          <w:rFonts w:ascii="Corbel" w:hAnsi="Corbel"/>
          <w:sz w:val="22"/>
          <w:szCs w:val="22"/>
        </w:rPr>
        <w:t>3,765</w:t>
      </w:r>
      <w:r>
        <w:rPr>
          <w:rFonts w:ascii="Corbel" w:hAnsi="Corbel"/>
          <w:sz w:val="22"/>
          <w:szCs w:val="22"/>
        </w:rPr>
        <w:t xml:space="preserve"> lots and around </w:t>
      </w:r>
      <w:r w:rsidR="00407079">
        <w:rPr>
          <w:rFonts w:ascii="Corbel" w:hAnsi="Corbel"/>
          <w:sz w:val="22"/>
          <w:szCs w:val="22"/>
        </w:rPr>
        <w:t>2,000</w:t>
      </w:r>
      <w:r>
        <w:rPr>
          <w:rFonts w:ascii="Corbel" w:hAnsi="Corbel"/>
          <w:sz w:val="22"/>
          <w:szCs w:val="22"/>
        </w:rPr>
        <w:t xml:space="preserve"> lots within Urban Geelong. </w:t>
      </w:r>
    </w:p>
    <w:p w14:paraId="51646E39" w14:textId="77777777" w:rsidR="00C65904" w:rsidRPr="0009387F" w:rsidRDefault="00C65904" w:rsidP="00C65904">
      <w:pPr>
        <w:spacing w:after="120"/>
        <w:rPr>
          <w:rFonts w:ascii="Corbel" w:hAnsi="Corbel" w:cs="Arial"/>
          <w:sz w:val="22"/>
          <w:szCs w:val="22"/>
          <w:lang w:val="en-US"/>
        </w:rPr>
      </w:pPr>
      <w:r w:rsidRPr="0009387F">
        <w:rPr>
          <w:rFonts w:ascii="Corbel" w:hAnsi="Corbel" w:cs="Arial"/>
          <w:sz w:val="22"/>
          <w:szCs w:val="22"/>
          <w:lang w:val="en-US"/>
        </w:rPr>
        <w:t>Analysis has been undertaken in conjunction with Council planning officers to identify the location and expected lot yield of currently unzoned residential land stocks.  Sites for future residential development are identified within various Council strategy planning documents. Structure planning, and rezoning processes are required before residential development can proceed on such sites.</w:t>
      </w:r>
    </w:p>
    <w:p w14:paraId="14E5724D" w14:textId="1FCA73D4" w:rsidR="00C65904" w:rsidRDefault="00C65904" w:rsidP="00C65904">
      <w:pPr>
        <w:spacing w:after="120"/>
        <w:rPr>
          <w:rFonts w:ascii="Corbel" w:hAnsi="Corbel"/>
          <w:sz w:val="22"/>
          <w:szCs w:val="22"/>
        </w:rPr>
      </w:pPr>
      <w:bookmarkStart w:id="55" w:name="_Hlk13142986"/>
      <w:bookmarkStart w:id="56" w:name="_Hlk96351718"/>
      <w:r w:rsidRPr="0009387F">
        <w:rPr>
          <w:rFonts w:ascii="Corbel" w:hAnsi="Corbel"/>
          <w:sz w:val="22"/>
          <w:szCs w:val="22"/>
        </w:rPr>
        <w:t xml:space="preserve">There are approximately </w:t>
      </w:r>
      <w:r w:rsidR="00193063">
        <w:rPr>
          <w:rFonts w:ascii="Corbel" w:hAnsi="Corbel"/>
          <w:sz w:val="22"/>
          <w:szCs w:val="22"/>
        </w:rPr>
        <w:t>4,200</w:t>
      </w:r>
      <w:r w:rsidRPr="0009387F">
        <w:rPr>
          <w:rFonts w:ascii="Corbel" w:hAnsi="Corbel"/>
          <w:sz w:val="22"/>
          <w:szCs w:val="22"/>
        </w:rPr>
        <w:t xml:space="preserve"> hectares of land (with an estimated yield of </w:t>
      </w:r>
      <w:r w:rsidR="00193063">
        <w:rPr>
          <w:rFonts w:ascii="Corbel" w:hAnsi="Corbel"/>
          <w:sz w:val="22"/>
          <w:szCs w:val="22"/>
        </w:rPr>
        <w:t>45,300</w:t>
      </w:r>
      <w:r w:rsidRPr="0009387F">
        <w:rPr>
          <w:rFonts w:ascii="Corbel" w:hAnsi="Corbel"/>
          <w:sz w:val="22"/>
          <w:szCs w:val="22"/>
        </w:rPr>
        <w:t xml:space="preserve"> dwellings) identified for potential future broadhectare residential development across the municipal area. </w:t>
      </w:r>
      <w:bookmarkEnd w:id="55"/>
      <w:r w:rsidR="00193063">
        <w:rPr>
          <w:rFonts w:ascii="Corbel" w:hAnsi="Corbel"/>
          <w:sz w:val="22"/>
          <w:szCs w:val="22"/>
        </w:rPr>
        <w:t xml:space="preserve">Of this lot potential, 3,860 hectares (or 42,000 lots) is zoned Urban Growth (UGZ) and requires an approved Precinct Structure Plan before urban development can proceed. </w:t>
      </w:r>
    </w:p>
    <w:bookmarkEnd w:id="56"/>
    <w:p w14:paraId="415EB589" w14:textId="14B1F505" w:rsidR="00C65904" w:rsidRDefault="003B223C" w:rsidP="003B223C">
      <w:pPr>
        <w:spacing w:after="120"/>
        <w:rPr>
          <w:rFonts w:ascii="Corbel" w:hAnsi="Corbel"/>
          <w:sz w:val="22"/>
          <w:szCs w:val="22"/>
        </w:rPr>
      </w:pPr>
      <w:r>
        <w:rPr>
          <w:rFonts w:ascii="Corbel" w:hAnsi="Corbel"/>
          <w:sz w:val="22"/>
          <w:szCs w:val="22"/>
        </w:rPr>
        <w:t>Of the future identified sites that are zoned UGZ, these include:</w:t>
      </w:r>
    </w:p>
    <w:p w14:paraId="1EBA0805" w14:textId="4F792529" w:rsidR="003B223C" w:rsidRDefault="003B223C" w:rsidP="00144287">
      <w:pPr>
        <w:pStyle w:val="ListParagraph"/>
        <w:numPr>
          <w:ilvl w:val="0"/>
          <w:numId w:val="7"/>
        </w:numPr>
        <w:spacing w:after="120"/>
        <w:ind w:left="1077" w:hanging="357"/>
        <w:contextualSpacing w:val="0"/>
        <w:rPr>
          <w:rFonts w:ascii="Corbel" w:hAnsi="Corbel"/>
          <w:sz w:val="22"/>
          <w:szCs w:val="22"/>
        </w:rPr>
      </w:pPr>
      <w:r>
        <w:rPr>
          <w:rFonts w:ascii="Corbel" w:hAnsi="Corbel"/>
          <w:sz w:val="22"/>
          <w:szCs w:val="22"/>
        </w:rPr>
        <w:t>Western Growth Area – estimated lot/dwelling potential of 23,000;</w:t>
      </w:r>
    </w:p>
    <w:p w14:paraId="142A283E" w14:textId="4BF1E91E" w:rsidR="003B223C" w:rsidRDefault="003B223C" w:rsidP="00144287">
      <w:pPr>
        <w:pStyle w:val="ListParagraph"/>
        <w:numPr>
          <w:ilvl w:val="0"/>
          <w:numId w:val="7"/>
        </w:numPr>
        <w:spacing w:after="120"/>
        <w:ind w:left="1077" w:hanging="357"/>
        <w:contextualSpacing w:val="0"/>
        <w:rPr>
          <w:rFonts w:ascii="Corbel" w:hAnsi="Corbel"/>
          <w:sz w:val="22"/>
          <w:szCs w:val="22"/>
        </w:rPr>
      </w:pPr>
      <w:r>
        <w:rPr>
          <w:rFonts w:ascii="Corbel" w:hAnsi="Corbel"/>
          <w:sz w:val="22"/>
          <w:szCs w:val="22"/>
        </w:rPr>
        <w:t>Northern Growth Area – estimated lot dwelling/potential of 17,000;</w:t>
      </w:r>
      <w:r w:rsidR="00A26AF2">
        <w:rPr>
          <w:rFonts w:ascii="Corbel" w:hAnsi="Corbel"/>
          <w:sz w:val="22"/>
          <w:szCs w:val="22"/>
        </w:rPr>
        <w:t xml:space="preserve"> and</w:t>
      </w:r>
    </w:p>
    <w:p w14:paraId="7E92BE66" w14:textId="136A8CE9" w:rsidR="003B223C" w:rsidRDefault="003B223C" w:rsidP="00144287">
      <w:pPr>
        <w:pStyle w:val="ListParagraph"/>
        <w:numPr>
          <w:ilvl w:val="0"/>
          <w:numId w:val="7"/>
        </w:numPr>
        <w:spacing w:after="120"/>
        <w:ind w:left="1077" w:hanging="357"/>
        <w:contextualSpacing w:val="0"/>
        <w:rPr>
          <w:rFonts w:ascii="Corbel" w:hAnsi="Corbel"/>
          <w:sz w:val="22"/>
          <w:szCs w:val="22"/>
        </w:rPr>
      </w:pPr>
      <w:r>
        <w:rPr>
          <w:rFonts w:ascii="Corbel" w:hAnsi="Corbel"/>
          <w:sz w:val="22"/>
          <w:szCs w:val="22"/>
        </w:rPr>
        <w:t>Armstrong Creek Growth Area (</w:t>
      </w:r>
      <w:r w:rsidR="00A26AF2">
        <w:rPr>
          <w:rFonts w:ascii="Corbel" w:hAnsi="Corbel"/>
          <w:sz w:val="22"/>
          <w:szCs w:val="22"/>
        </w:rPr>
        <w:t>Marshall Precinct Structure Plan area) -</w:t>
      </w:r>
      <w:r w:rsidR="00A26AF2" w:rsidRPr="00A26AF2">
        <w:rPr>
          <w:rFonts w:ascii="Corbel" w:hAnsi="Corbel"/>
          <w:sz w:val="22"/>
          <w:szCs w:val="22"/>
        </w:rPr>
        <w:t xml:space="preserve"> </w:t>
      </w:r>
      <w:r w:rsidR="00A26AF2">
        <w:rPr>
          <w:rFonts w:ascii="Corbel" w:hAnsi="Corbel"/>
          <w:sz w:val="22"/>
          <w:szCs w:val="22"/>
        </w:rPr>
        <w:t xml:space="preserve">estimated lot dwelling/potential of 1,980. </w:t>
      </w:r>
    </w:p>
    <w:p w14:paraId="7D16AFEB" w14:textId="3A2FF018" w:rsidR="009C181E" w:rsidRPr="009C181E" w:rsidRDefault="009C181E" w:rsidP="004B134B">
      <w:pPr>
        <w:spacing w:after="120"/>
        <w:rPr>
          <w:rFonts w:ascii="Corbel" w:hAnsi="Corbel"/>
          <w:sz w:val="22"/>
          <w:szCs w:val="22"/>
        </w:rPr>
      </w:pPr>
      <w:r w:rsidRPr="009C181E">
        <w:rPr>
          <w:rFonts w:ascii="Corbel" w:hAnsi="Corbel"/>
          <w:sz w:val="22"/>
          <w:szCs w:val="22"/>
        </w:rPr>
        <w:t>Of the future identified sites</w:t>
      </w:r>
      <w:r>
        <w:rPr>
          <w:rFonts w:ascii="Corbel" w:hAnsi="Corbel"/>
          <w:sz w:val="22"/>
          <w:szCs w:val="22"/>
        </w:rPr>
        <w:t xml:space="preserve"> that planned for normal urban density development</w:t>
      </w:r>
      <w:r w:rsidRPr="009C181E">
        <w:rPr>
          <w:rFonts w:ascii="Corbel" w:hAnsi="Corbel"/>
          <w:sz w:val="22"/>
          <w:szCs w:val="22"/>
        </w:rPr>
        <w:t xml:space="preserve"> </w:t>
      </w:r>
      <w:r w:rsidR="00D73221">
        <w:rPr>
          <w:rFonts w:ascii="Corbel" w:hAnsi="Corbel"/>
          <w:sz w:val="22"/>
          <w:szCs w:val="22"/>
        </w:rPr>
        <w:t xml:space="preserve">with a significant expected development yield, </w:t>
      </w:r>
      <w:r w:rsidRPr="009C181E">
        <w:rPr>
          <w:rFonts w:ascii="Corbel" w:hAnsi="Corbel"/>
          <w:sz w:val="22"/>
          <w:szCs w:val="22"/>
        </w:rPr>
        <w:t>include:</w:t>
      </w:r>
    </w:p>
    <w:p w14:paraId="79AC8BF3" w14:textId="4E6EF084" w:rsidR="009C181E" w:rsidRDefault="009C181E" w:rsidP="00144287">
      <w:pPr>
        <w:pStyle w:val="ListParagraph"/>
        <w:numPr>
          <w:ilvl w:val="0"/>
          <w:numId w:val="8"/>
        </w:numPr>
        <w:spacing w:after="120"/>
        <w:contextualSpacing w:val="0"/>
        <w:rPr>
          <w:rFonts w:ascii="Corbel" w:hAnsi="Corbel"/>
          <w:sz w:val="22"/>
          <w:szCs w:val="22"/>
        </w:rPr>
      </w:pPr>
      <w:r>
        <w:rPr>
          <w:rFonts w:ascii="Corbel" w:hAnsi="Corbel"/>
          <w:sz w:val="22"/>
          <w:szCs w:val="22"/>
        </w:rPr>
        <w:t xml:space="preserve">Drysdale/Clifton Springs – </w:t>
      </w:r>
      <w:r w:rsidR="004B134B">
        <w:rPr>
          <w:rFonts w:ascii="Corbel" w:hAnsi="Corbel"/>
          <w:sz w:val="22"/>
          <w:szCs w:val="22"/>
        </w:rPr>
        <w:t xml:space="preserve">estimated lot/dwelling potential of </w:t>
      </w:r>
      <w:r>
        <w:rPr>
          <w:rFonts w:ascii="Corbel" w:hAnsi="Corbel"/>
          <w:sz w:val="22"/>
          <w:szCs w:val="22"/>
        </w:rPr>
        <w:t>1</w:t>
      </w:r>
      <w:r w:rsidR="004B134B">
        <w:rPr>
          <w:rFonts w:ascii="Corbel" w:hAnsi="Corbel"/>
          <w:sz w:val="22"/>
          <w:szCs w:val="22"/>
        </w:rPr>
        <w:t>,</w:t>
      </w:r>
      <w:r>
        <w:rPr>
          <w:rFonts w:ascii="Corbel" w:hAnsi="Corbel"/>
          <w:sz w:val="22"/>
          <w:szCs w:val="22"/>
        </w:rPr>
        <w:t>300</w:t>
      </w:r>
      <w:r w:rsidR="004B134B">
        <w:rPr>
          <w:rFonts w:ascii="Corbel" w:hAnsi="Corbel"/>
          <w:sz w:val="22"/>
          <w:szCs w:val="22"/>
        </w:rPr>
        <w:t>. The site is approximately 98 hectares i</w:t>
      </w:r>
      <w:r w:rsidR="00B72114">
        <w:rPr>
          <w:rFonts w:ascii="Corbel" w:hAnsi="Corbel"/>
          <w:sz w:val="22"/>
          <w:szCs w:val="22"/>
        </w:rPr>
        <w:t>n size</w:t>
      </w:r>
      <w:r w:rsidR="005A15F0">
        <w:rPr>
          <w:rFonts w:ascii="Corbel" w:hAnsi="Corbel"/>
          <w:sz w:val="22"/>
          <w:szCs w:val="22"/>
        </w:rPr>
        <w:t xml:space="preserve"> and is currently zoned Farming (FZ)</w:t>
      </w:r>
      <w:r w:rsidR="00B72114">
        <w:rPr>
          <w:rFonts w:ascii="Corbel" w:hAnsi="Corbel"/>
          <w:sz w:val="22"/>
          <w:szCs w:val="22"/>
        </w:rPr>
        <w:t xml:space="preserve">. </w:t>
      </w:r>
      <w:proofErr w:type="gramStart"/>
      <w:r w:rsidR="00B72114">
        <w:rPr>
          <w:rFonts w:ascii="Corbel" w:hAnsi="Corbel"/>
          <w:sz w:val="22"/>
          <w:szCs w:val="22"/>
        </w:rPr>
        <w:t>It is bounded by McDermott Road</w:t>
      </w:r>
      <w:proofErr w:type="gramEnd"/>
      <w:r w:rsidR="00B72114">
        <w:rPr>
          <w:rFonts w:ascii="Corbel" w:hAnsi="Corbel"/>
          <w:sz w:val="22"/>
          <w:szCs w:val="22"/>
        </w:rPr>
        <w:t xml:space="preserve"> to </w:t>
      </w:r>
      <w:r w:rsidR="009A59BA">
        <w:rPr>
          <w:rFonts w:ascii="Corbel" w:hAnsi="Corbel"/>
          <w:sz w:val="22"/>
          <w:szCs w:val="22"/>
        </w:rPr>
        <w:t xml:space="preserve">the </w:t>
      </w:r>
      <w:r w:rsidR="00B72114">
        <w:rPr>
          <w:rFonts w:ascii="Corbel" w:hAnsi="Corbel"/>
          <w:sz w:val="22"/>
          <w:szCs w:val="22"/>
        </w:rPr>
        <w:t>west, Tivoli/Greenvale Drive to the east and the Bellarine Rail Trail to the south. The site is part of the Jetty Road Growth Area Structure Plan area.</w:t>
      </w:r>
    </w:p>
    <w:p w14:paraId="4151CFF1" w14:textId="3086D989" w:rsidR="000C14F4" w:rsidRDefault="009C181E" w:rsidP="00144287">
      <w:pPr>
        <w:pStyle w:val="ListParagraph"/>
        <w:numPr>
          <w:ilvl w:val="0"/>
          <w:numId w:val="8"/>
        </w:numPr>
        <w:spacing w:after="120"/>
        <w:contextualSpacing w:val="0"/>
        <w:rPr>
          <w:rFonts w:ascii="Corbel" w:hAnsi="Corbel"/>
          <w:sz w:val="22"/>
          <w:szCs w:val="22"/>
        </w:rPr>
      </w:pPr>
      <w:r>
        <w:rPr>
          <w:rFonts w:ascii="Corbel" w:hAnsi="Corbel"/>
          <w:sz w:val="22"/>
          <w:szCs w:val="22"/>
        </w:rPr>
        <w:t xml:space="preserve">Drysdale/Clifton Springs – </w:t>
      </w:r>
      <w:r w:rsidR="004B134B">
        <w:rPr>
          <w:rFonts w:ascii="Corbel" w:hAnsi="Corbel"/>
          <w:sz w:val="22"/>
          <w:szCs w:val="22"/>
        </w:rPr>
        <w:t xml:space="preserve">estimated lot/dwelling potential of </w:t>
      </w:r>
      <w:r>
        <w:rPr>
          <w:rFonts w:ascii="Corbel" w:hAnsi="Corbel"/>
          <w:sz w:val="22"/>
          <w:szCs w:val="22"/>
        </w:rPr>
        <w:t>750</w:t>
      </w:r>
      <w:r w:rsidR="004B134B">
        <w:rPr>
          <w:rFonts w:ascii="Corbel" w:hAnsi="Corbel"/>
          <w:sz w:val="22"/>
          <w:szCs w:val="22"/>
        </w:rPr>
        <w:t>.</w:t>
      </w:r>
      <w:r w:rsidR="000C14F4" w:rsidRPr="000C14F4">
        <w:rPr>
          <w:rFonts w:ascii="Corbel" w:hAnsi="Corbel"/>
          <w:sz w:val="22"/>
          <w:szCs w:val="22"/>
        </w:rPr>
        <w:t xml:space="preserve"> </w:t>
      </w:r>
      <w:r w:rsidR="000C14F4">
        <w:rPr>
          <w:rFonts w:ascii="Corbel" w:hAnsi="Corbel"/>
          <w:sz w:val="22"/>
          <w:szCs w:val="22"/>
        </w:rPr>
        <w:t>The site is approximately 55 hectares in size</w:t>
      </w:r>
      <w:r w:rsidR="005A15F0">
        <w:rPr>
          <w:rFonts w:ascii="Corbel" w:hAnsi="Corbel"/>
          <w:sz w:val="22"/>
          <w:szCs w:val="22"/>
        </w:rPr>
        <w:t xml:space="preserve"> and is currently zoned Rural Living (RLZ)</w:t>
      </w:r>
      <w:r w:rsidR="000C14F4">
        <w:rPr>
          <w:rFonts w:ascii="Corbel" w:hAnsi="Corbel"/>
          <w:sz w:val="22"/>
          <w:szCs w:val="22"/>
        </w:rPr>
        <w:t xml:space="preserve">. It is bounded by Tivoli </w:t>
      </w:r>
      <w:r w:rsidR="009A59BA">
        <w:rPr>
          <w:rFonts w:ascii="Corbel" w:hAnsi="Corbel"/>
          <w:sz w:val="22"/>
          <w:szCs w:val="22"/>
        </w:rPr>
        <w:t>D</w:t>
      </w:r>
      <w:r w:rsidR="000C14F4">
        <w:rPr>
          <w:rFonts w:ascii="Corbel" w:hAnsi="Corbel"/>
          <w:sz w:val="22"/>
          <w:szCs w:val="22"/>
        </w:rPr>
        <w:t xml:space="preserve">rive to </w:t>
      </w:r>
      <w:r w:rsidR="009A59BA">
        <w:rPr>
          <w:rFonts w:ascii="Corbel" w:hAnsi="Corbel"/>
          <w:sz w:val="22"/>
          <w:szCs w:val="22"/>
        </w:rPr>
        <w:t xml:space="preserve">the </w:t>
      </w:r>
      <w:r w:rsidR="000C14F4">
        <w:rPr>
          <w:rFonts w:ascii="Corbel" w:hAnsi="Corbel"/>
          <w:sz w:val="22"/>
          <w:szCs w:val="22"/>
        </w:rPr>
        <w:t>west, the Bellarine Rail Trail to the north, Portarlington Road to the south and Jetty Road to the east. The site is part of the Jetty Road Growth Area Structure Plan area.</w:t>
      </w:r>
    </w:p>
    <w:p w14:paraId="569D9D53" w14:textId="4D8BF22F" w:rsidR="005A15F0" w:rsidRDefault="005A15F0" w:rsidP="00144287">
      <w:pPr>
        <w:pStyle w:val="ListParagraph"/>
        <w:numPr>
          <w:ilvl w:val="0"/>
          <w:numId w:val="8"/>
        </w:numPr>
        <w:spacing w:after="120"/>
        <w:contextualSpacing w:val="0"/>
        <w:rPr>
          <w:rFonts w:ascii="Corbel" w:hAnsi="Corbel"/>
          <w:sz w:val="22"/>
          <w:szCs w:val="22"/>
        </w:rPr>
      </w:pPr>
      <w:r>
        <w:rPr>
          <w:rFonts w:ascii="Corbel" w:hAnsi="Corbel"/>
          <w:sz w:val="22"/>
          <w:szCs w:val="22"/>
        </w:rPr>
        <w:lastRenderedPageBreak/>
        <w:t>Leopold – estimated lot/dwelling potential of 458 lots.</w:t>
      </w:r>
      <w:r w:rsidRPr="005A15F0">
        <w:rPr>
          <w:rFonts w:ascii="Corbel" w:hAnsi="Corbel"/>
          <w:sz w:val="22"/>
          <w:szCs w:val="22"/>
        </w:rPr>
        <w:t xml:space="preserve"> </w:t>
      </w:r>
      <w:r>
        <w:rPr>
          <w:rFonts w:ascii="Corbel" w:hAnsi="Corbel"/>
          <w:sz w:val="22"/>
          <w:szCs w:val="22"/>
        </w:rPr>
        <w:t>The site is approximately 38 hectares in size and is currently zoned Farming (FZ).</w:t>
      </w:r>
      <w:r w:rsidR="003D22A3">
        <w:rPr>
          <w:rFonts w:ascii="Corbel" w:hAnsi="Corbel"/>
          <w:sz w:val="22"/>
          <w:szCs w:val="22"/>
        </w:rPr>
        <w:t xml:space="preserve"> The site is located on 73-155 Ash Road Leopold and is currently subject to a rezoning proposal  - Amendment C391.</w:t>
      </w:r>
    </w:p>
    <w:p w14:paraId="56863B2C" w14:textId="5EB2C2A1" w:rsidR="00A47992" w:rsidRPr="009C181E" w:rsidRDefault="00A47992" w:rsidP="00144287">
      <w:pPr>
        <w:pStyle w:val="ListParagraph"/>
        <w:numPr>
          <w:ilvl w:val="0"/>
          <w:numId w:val="8"/>
        </w:numPr>
        <w:spacing w:after="120"/>
        <w:contextualSpacing w:val="0"/>
        <w:rPr>
          <w:rFonts w:ascii="Corbel" w:hAnsi="Corbel"/>
          <w:sz w:val="22"/>
          <w:szCs w:val="22"/>
        </w:rPr>
      </w:pPr>
      <w:r>
        <w:rPr>
          <w:rFonts w:ascii="Corbel" w:hAnsi="Corbel"/>
          <w:sz w:val="22"/>
          <w:szCs w:val="22"/>
        </w:rPr>
        <w:t>Lara - estimated lot/dwelling potential of 415 lots.</w:t>
      </w:r>
      <w:r w:rsidRPr="00A47992">
        <w:rPr>
          <w:rFonts w:ascii="Corbel" w:hAnsi="Corbel"/>
          <w:sz w:val="22"/>
          <w:szCs w:val="22"/>
        </w:rPr>
        <w:t xml:space="preserve"> </w:t>
      </w:r>
      <w:r>
        <w:rPr>
          <w:rFonts w:ascii="Corbel" w:hAnsi="Corbel"/>
          <w:sz w:val="22"/>
          <w:szCs w:val="22"/>
        </w:rPr>
        <w:t>.</w:t>
      </w:r>
      <w:r w:rsidRPr="003D22A3">
        <w:rPr>
          <w:rFonts w:ascii="Corbel" w:hAnsi="Corbel"/>
          <w:sz w:val="22"/>
          <w:szCs w:val="22"/>
        </w:rPr>
        <w:t xml:space="preserve"> </w:t>
      </w:r>
      <w:r>
        <w:rPr>
          <w:rFonts w:ascii="Corbel" w:hAnsi="Corbel"/>
          <w:sz w:val="22"/>
          <w:szCs w:val="22"/>
        </w:rPr>
        <w:t xml:space="preserve">The site is approximately 93 hectares in size and is currently zoned Farming (FZ), it is located in the Northern Growth Area of Geelong. </w:t>
      </w:r>
      <w:proofErr w:type="gramStart"/>
      <w:r>
        <w:rPr>
          <w:rFonts w:ascii="Corbel" w:hAnsi="Corbel"/>
          <w:sz w:val="22"/>
          <w:szCs w:val="22"/>
        </w:rPr>
        <w:t>It is bounded by Elcho Road</w:t>
      </w:r>
      <w:proofErr w:type="gramEnd"/>
      <w:r>
        <w:rPr>
          <w:rFonts w:ascii="Corbel" w:hAnsi="Corbel"/>
          <w:sz w:val="22"/>
          <w:szCs w:val="22"/>
        </w:rPr>
        <w:t xml:space="preserve"> to the north, Gibbons Road to the south, </w:t>
      </w:r>
      <w:proofErr w:type="spellStart"/>
      <w:r>
        <w:rPr>
          <w:rFonts w:ascii="Corbel" w:hAnsi="Corbel"/>
          <w:sz w:val="22"/>
          <w:szCs w:val="22"/>
        </w:rPr>
        <w:t>O’Hallorans</w:t>
      </w:r>
      <w:proofErr w:type="spellEnd"/>
      <w:r>
        <w:rPr>
          <w:rFonts w:ascii="Corbel" w:hAnsi="Corbel"/>
          <w:sz w:val="22"/>
          <w:szCs w:val="22"/>
        </w:rPr>
        <w:t xml:space="preserve"> Road to the east and the Elcho Parl Gold Course to the west.</w:t>
      </w:r>
    </w:p>
    <w:p w14:paraId="28D0EC92" w14:textId="707F42BF" w:rsidR="009C181E" w:rsidRDefault="00A47992" w:rsidP="00144287">
      <w:pPr>
        <w:pStyle w:val="ListParagraph"/>
        <w:numPr>
          <w:ilvl w:val="0"/>
          <w:numId w:val="8"/>
        </w:numPr>
        <w:spacing w:after="120"/>
        <w:contextualSpacing w:val="0"/>
        <w:rPr>
          <w:rFonts w:ascii="Corbel" w:hAnsi="Corbel"/>
          <w:sz w:val="22"/>
          <w:szCs w:val="22"/>
        </w:rPr>
      </w:pPr>
      <w:r>
        <w:rPr>
          <w:rFonts w:ascii="Corbel" w:hAnsi="Corbel"/>
          <w:sz w:val="22"/>
          <w:szCs w:val="22"/>
        </w:rPr>
        <w:t>Lara</w:t>
      </w:r>
      <w:r w:rsidR="004B134B">
        <w:rPr>
          <w:rFonts w:ascii="Corbel" w:hAnsi="Corbel"/>
          <w:sz w:val="22"/>
          <w:szCs w:val="22"/>
        </w:rPr>
        <w:t xml:space="preserve"> - estimated lot/dwelling potential of 300 lots.</w:t>
      </w:r>
      <w:r w:rsidR="001A7B6A">
        <w:rPr>
          <w:rFonts w:ascii="Corbel" w:hAnsi="Corbel"/>
          <w:sz w:val="22"/>
          <w:szCs w:val="22"/>
        </w:rPr>
        <w:t xml:space="preserve"> The site is approximately 61 hectares in size and is currently zoned Farming (FZ), it is located in the Northern Growth Area of Geelong. It is bounded by the Geelong/Melbourne rail line to the north/west, the Princess Freeway to the south/east and subdivided housing and </w:t>
      </w:r>
      <w:proofErr w:type="spellStart"/>
      <w:r w:rsidR="001A7B6A">
        <w:rPr>
          <w:rFonts w:ascii="Corbel" w:hAnsi="Corbel"/>
          <w:sz w:val="22"/>
          <w:szCs w:val="22"/>
        </w:rPr>
        <w:t>Hovells</w:t>
      </w:r>
      <w:proofErr w:type="spellEnd"/>
      <w:r w:rsidR="001A7B6A">
        <w:rPr>
          <w:rFonts w:ascii="Corbel" w:hAnsi="Corbel"/>
          <w:sz w:val="22"/>
          <w:szCs w:val="22"/>
        </w:rPr>
        <w:t xml:space="preserve"> Creek to the north/east.</w:t>
      </w:r>
    </w:p>
    <w:bookmarkEnd w:id="52"/>
    <w:bookmarkEnd w:id="53"/>
    <w:p w14:paraId="38D0941D" w14:textId="0584E1CC" w:rsidR="002763B5" w:rsidRPr="0009387F" w:rsidRDefault="00CD3085" w:rsidP="00CD3085">
      <w:pPr>
        <w:spacing w:after="120"/>
        <w:ind w:right="164"/>
        <w:rPr>
          <w:rFonts w:ascii="Corbel" w:hAnsi="Corbel"/>
          <w:sz w:val="22"/>
          <w:szCs w:val="22"/>
        </w:rPr>
      </w:pPr>
      <w:r w:rsidRPr="00CD577B">
        <w:rPr>
          <w:rFonts w:ascii="Corbel" w:hAnsi="Corbel"/>
          <w:sz w:val="22"/>
          <w:szCs w:val="22"/>
        </w:rPr>
        <w:t>Map</w:t>
      </w:r>
      <w:r w:rsidR="008C2FE4" w:rsidRPr="00CD577B">
        <w:rPr>
          <w:rFonts w:ascii="Corbel" w:hAnsi="Corbel"/>
          <w:sz w:val="22"/>
          <w:szCs w:val="22"/>
        </w:rPr>
        <w:t xml:space="preserve">s </w:t>
      </w:r>
      <w:r w:rsidR="00CD577B" w:rsidRPr="00CD577B">
        <w:rPr>
          <w:rFonts w:ascii="Corbel" w:hAnsi="Corbel"/>
          <w:sz w:val="22"/>
          <w:szCs w:val="22"/>
        </w:rPr>
        <w:t>3</w:t>
      </w:r>
      <w:r w:rsidR="008C2FE4" w:rsidRPr="00CD577B">
        <w:rPr>
          <w:rFonts w:ascii="Corbel" w:hAnsi="Corbel"/>
          <w:sz w:val="22"/>
          <w:szCs w:val="22"/>
        </w:rPr>
        <w:t xml:space="preserve"> to </w:t>
      </w:r>
      <w:r w:rsidR="00CD577B" w:rsidRPr="00CD577B">
        <w:rPr>
          <w:rFonts w:ascii="Corbel" w:hAnsi="Corbel"/>
          <w:sz w:val="22"/>
          <w:szCs w:val="22"/>
        </w:rPr>
        <w:t>15</w:t>
      </w:r>
      <w:r w:rsidR="008C2FE4" w:rsidRPr="00F974A1">
        <w:rPr>
          <w:rFonts w:ascii="Corbel" w:hAnsi="Corbel"/>
          <w:sz w:val="22"/>
          <w:szCs w:val="22"/>
        </w:rPr>
        <w:t xml:space="preserve"> </w:t>
      </w:r>
      <w:r w:rsidRPr="00F974A1">
        <w:rPr>
          <w:rFonts w:ascii="Corbel" w:hAnsi="Corbel"/>
          <w:sz w:val="22"/>
          <w:szCs w:val="22"/>
        </w:rPr>
        <w:t>illustrates</w:t>
      </w:r>
      <w:r w:rsidRPr="0009387F">
        <w:rPr>
          <w:rFonts w:ascii="Corbel" w:hAnsi="Corbel"/>
          <w:sz w:val="22"/>
          <w:szCs w:val="22"/>
        </w:rPr>
        <w:t xml:space="preserve"> the location/distribution of undeveloped residential broadhectare land stocks across </w:t>
      </w:r>
      <w:r w:rsidR="00042081">
        <w:rPr>
          <w:rFonts w:ascii="Corbel" w:hAnsi="Corbel"/>
          <w:sz w:val="22"/>
          <w:szCs w:val="22"/>
        </w:rPr>
        <w:t>selected urban centres</w:t>
      </w:r>
      <w:r w:rsidRPr="0009387F">
        <w:rPr>
          <w:rFonts w:ascii="Corbel" w:hAnsi="Corbel"/>
          <w:sz w:val="22"/>
          <w:szCs w:val="22"/>
        </w:rPr>
        <w:t xml:space="preserve"> (zoned and unzoned).</w:t>
      </w:r>
    </w:p>
    <w:bookmarkEnd w:id="54"/>
    <w:p w14:paraId="34CEEC8F" w14:textId="32E60166" w:rsidR="002763B5" w:rsidRPr="0009387F" w:rsidRDefault="00D55782" w:rsidP="00D67F67">
      <w:pPr>
        <w:spacing w:after="120"/>
        <w:ind w:left="-5" w:right="164"/>
        <w:rPr>
          <w:rFonts w:ascii="Corbel" w:hAnsi="Corbel"/>
          <w:sz w:val="22"/>
          <w:szCs w:val="22"/>
        </w:rPr>
      </w:pPr>
      <w:r w:rsidRPr="0009387F">
        <w:rPr>
          <w:rFonts w:ascii="Corbel" w:hAnsi="Corbel"/>
          <w:sz w:val="22"/>
          <w:szCs w:val="22"/>
        </w:rPr>
        <w:t xml:space="preserve">Table </w:t>
      </w:r>
      <w:r w:rsidR="00197F12">
        <w:rPr>
          <w:rFonts w:ascii="Corbel" w:hAnsi="Corbel"/>
          <w:sz w:val="22"/>
          <w:szCs w:val="22"/>
        </w:rPr>
        <w:t>4</w:t>
      </w:r>
      <w:r w:rsidRPr="0009387F">
        <w:rPr>
          <w:rFonts w:ascii="Corbel" w:hAnsi="Corbel"/>
          <w:sz w:val="22"/>
          <w:szCs w:val="22"/>
        </w:rPr>
        <w:t xml:space="preserve"> identifies the lot yield of zoned </w:t>
      </w:r>
      <w:r w:rsidR="00866834">
        <w:rPr>
          <w:rFonts w:ascii="Corbel" w:hAnsi="Corbel"/>
          <w:sz w:val="22"/>
          <w:szCs w:val="22"/>
        </w:rPr>
        <w:t xml:space="preserve">and unzoned </w:t>
      </w:r>
      <w:r w:rsidRPr="0009387F">
        <w:rPr>
          <w:rFonts w:ascii="Corbel" w:hAnsi="Corbel"/>
          <w:sz w:val="22"/>
          <w:szCs w:val="22"/>
        </w:rPr>
        <w:t xml:space="preserve">broadhectare </w:t>
      </w:r>
      <w:r w:rsidR="00E73FA3">
        <w:rPr>
          <w:rFonts w:ascii="Corbel" w:hAnsi="Corbel"/>
          <w:sz w:val="22"/>
          <w:szCs w:val="22"/>
        </w:rPr>
        <w:t>land</w:t>
      </w:r>
      <w:r w:rsidRPr="0009387F">
        <w:rPr>
          <w:rFonts w:ascii="Corbel" w:hAnsi="Corbel"/>
          <w:sz w:val="22"/>
          <w:szCs w:val="22"/>
        </w:rPr>
        <w:t xml:space="preserve"> stock</w:t>
      </w:r>
      <w:r w:rsidR="00E73FA3">
        <w:rPr>
          <w:rFonts w:ascii="Corbel" w:hAnsi="Corbel"/>
          <w:sz w:val="22"/>
          <w:szCs w:val="22"/>
        </w:rPr>
        <w:t>s</w:t>
      </w:r>
      <w:r w:rsidR="00866834">
        <w:rPr>
          <w:rFonts w:ascii="Corbel" w:hAnsi="Corbel"/>
          <w:sz w:val="22"/>
          <w:szCs w:val="22"/>
        </w:rPr>
        <w:t xml:space="preserve"> by urban centre/</w:t>
      </w:r>
      <w:r w:rsidR="00C65904">
        <w:rPr>
          <w:rFonts w:ascii="Corbel" w:hAnsi="Corbel"/>
          <w:sz w:val="22"/>
          <w:szCs w:val="22"/>
        </w:rPr>
        <w:t>sub-region</w:t>
      </w:r>
      <w:r w:rsidRPr="0009387F">
        <w:rPr>
          <w:rFonts w:ascii="Corbel" w:hAnsi="Corbel"/>
          <w:sz w:val="22"/>
          <w:szCs w:val="22"/>
        </w:rPr>
        <w:t xml:space="preserve">. </w:t>
      </w:r>
    </w:p>
    <w:p w14:paraId="0156037E" w14:textId="21D37363" w:rsidR="002763B5" w:rsidRDefault="00D55782">
      <w:pPr>
        <w:spacing w:after="10"/>
        <w:ind w:left="-5" w:right="165"/>
        <w:rPr>
          <w:rFonts w:ascii="Corbel" w:hAnsi="Corbel"/>
          <w:sz w:val="22"/>
          <w:szCs w:val="22"/>
        </w:rPr>
      </w:pPr>
      <w:bookmarkStart w:id="57" w:name="_Hlk13245916"/>
      <w:bookmarkStart w:id="58" w:name="_Hlk101101265"/>
      <w:bookmarkStart w:id="59" w:name="_Hlk523954243"/>
      <w:bookmarkStart w:id="60" w:name="_Hlk96358624"/>
      <w:r w:rsidRPr="0009387F">
        <w:rPr>
          <w:rFonts w:ascii="Corbel" w:hAnsi="Corbel"/>
          <w:b/>
          <w:sz w:val="22"/>
          <w:szCs w:val="22"/>
        </w:rPr>
        <w:t xml:space="preserve">Table </w:t>
      </w:r>
      <w:r w:rsidR="00197F12">
        <w:rPr>
          <w:rFonts w:ascii="Corbel" w:hAnsi="Corbel"/>
          <w:b/>
          <w:sz w:val="22"/>
          <w:szCs w:val="22"/>
        </w:rPr>
        <w:t>4</w:t>
      </w:r>
      <w:r w:rsidRPr="0009387F">
        <w:rPr>
          <w:rFonts w:ascii="Corbel" w:hAnsi="Corbel"/>
          <w:b/>
          <w:sz w:val="22"/>
          <w:szCs w:val="22"/>
        </w:rPr>
        <w:t>:</w:t>
      </w:r>
      <w:r w:rsidRPr="0009387F">
        <w:rPr>
          <w:rFonts w:ascii="Corbel" w:hAnsi="Corbel"/>
          <w:sz w:val="22"/>
          <w:szCs w:val="22"/>
        </w:rPr>
        <w:t xml:space="preserve"> </w:t>
      </w:r>
      <w:r w:rsidR="00866834">
        <w:rPr>
          <w:rFonts w:ascii="Corbel" w:hAnsi="Corbel"/>
          <w:sz w:val="22"/>
          <w:szCs w:val="22"/>
        </w:rPr>
        <w:t>Estimated</w:t>
      </w:r>
      <w:r w:rsidRPr="0009387F">
        <w:rPr>
          <w:rFonts w:ascii="Corbel" w:hAnsi="Corbel"/>
          <w:sz w:val="22"/>
          <w:szCs w:val="22"/>
        </w:rPr>
        <w:t xml:space="preserve"> </w:t>
      </w:r>
      <w:r w:rsidR="00EA1DF0">
        <w:rPr>
          <w:rFonts w:ascii="Corbel" w:hAnsi="Corbel"/>
          <w:sz w:val="22"/>
          <w:szCs w:val="22"/>
        </w:rPr>
        <w:t xml:space="preserve">Undeveloped Residential </w:t>
      </w:r>
      <w:r w:rsidRPr="0009387F">
        <w:rPr>
          <w:rFonts w:ascii="Corbel" w:hAnsi="Corbel"/>
          <w:sz w:val="22"/>
          <w:szCs w:val="22"/>
        </w:rPr>
        <w:t>Broadhectare</w:t>
      </w:r>
      <w:r w:rsidR="00B10D6E" w:rsidRPr="0009387F">
        <w:rPr>
          <w:rFonts w:ascii="Corbel" w:hAnsi="Corbel"/>
          <w:sz w:val="22"/>
          <w:szCs w:val="22"/>
        </w:rPr>
        <w:t xml:space="preserve"> </w:t>
      </w:r>
      <w:r w:rsidRPr="0009387F">
        <w:rPr>
          <w:rFonts w:ascii="Corbel" w:hAnsi="Corbel"/>
          <w:sz w:val="22"/>
          <w:szCs w:val="22"/>
        </w:rPr>
        <w:t xml:space="preserve">Lot </w:t>
      </w:r>
      <w:r w:rsidR="00866834">
        <w:rPr>
          <w:rFonts w:ascii="Corbel" w:hAnsi="Corbel"/>
          <w:sz w:val="22"/>
          <w:szCs w:val="22"/>
        </w:rPr>
        <w:t>Capacity</w:t>
      </w:r>
      <w:r w:rsidRPr="0009387F">
        <w:rPr>
          <w:rFonts w:ascii="Corbel" w:hAnsi="Corbel"/>
          <w:sz w:val="22"/>
          <w:szCs w:val="22"/>
        </w:rPr>
        <w:t xml:space="preserve">, </w:t>
      </w:r>
      <w:r w:rsidR="005257BC">
        <w:rPr>
          <w:rFonts w:ascii="Corbel" w:hAnsi="Corbel"/>
          <w:sz w:val="22"/>
          <w:szCs w:val="22"/>
        </w:rPr>
        <w:t xml:space="preserve">March </w:t>
      </w:r>
      <w:r w:rsidRPr="0009387F">
        <w:rPr>
          <w:rFonts w:ascii="Corbel" w:hAnsi="Corbel"/>
          <w:sz w:val="22"/>
          <w:szCs w:val="22"/>
        </w:rPr>
        <w:t>20</w:t>
      </w:r>
      <w:bookmarkEnd w:id="57"/>
      <w:r w:rsidR="00866834">
        <w:rPr>
          <w:rFonts w:ascii="Corbel" w:hAnsi="Corbel"/>
          <w:sz w:val="22"/>
          <w:szCs w:val="22"/>
        </w:rPr>
        <w:t>2</w:t>
      </w:r>
      <w:r w:rsidR="005257BC">
        <w:rPr>
          <w:rFonts w:ascii="Corbel" w:hAnsi="Corbel"/>
          <w:sz w:val="22"/>
          <w:szCs w:val="22"/>
        </w:rPr>
        <w:t>2</w:t>
      </w:r>
    </w:p>
    <w:tbl>
      <w:tblPr>
        <w:tblW w:w="8727" w:type="dxa"/>
        <w:tblLook w:val="04A0" w:firstRow="1" w:lastRow="0" w:firstColumn="1" w:lastColumn="0" w:noHBand="0" w:noVBand="1"/>
      </w:tblPr>
      <w:tblGrid>
        <w:gridCol w:w="3114"/>
        <w:gridCol w:w="960"/>
        <w:gridCol w:w="1273"/>
        <w:gridCol w:w="1120"/>
        <w:gridCol w:w="1300"/>
        <w:gridCol w:w="960"/>
      </w:tblGrid>
      <w:tr w:rsidR="00F92322" w:rsidRPr="00F92322" w14:paraId="2B5F6EA0" w14:textId="77777777" w:rsidTr="00D73221">
        <w:trPr>
          <w:trHeight w:val="864"/>
        </w:trPr>
        <w:tc>
          <w:tcPr>
            <w:tcW w:w="3114" w:type="dxa"/>
            <w:tcBorders>
              <w:top w:val="single" w:sz="4" w:space="0" w:color="auto"/>
              <w:left w:val="single" w:sz="4" w:space="0" w:color="auto"/>
              <w:bottom w:val="single" w:sz="4" w:space="0" w:color="auto"/>
              <w:right w:val="single" w:sz="4" w:space="0" w:color="auto"/>
            </w:tcBorders>
            <w:shd w:val="clear" w:color="auto" w:fill="C5D397"/>
            <w:noWrap/>
            <w:vAlign w:val="bottom"/>
            <w:hideMark/>
          </w:tcPr>
          <w:bookmarkEnd w:id="58"/>
          <w:p w14:paraId="002899B3"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w:t>
            </w:r>
          </w:p>
        </w:tc>
        <w:tc>
          <w:tcPr>
            <w:tcW w:w="960" w:type="dxa"/>
            <w:tcBorders>
              <w:top w:val="single" w:sz="4" w:space="0" w:color="auto"/>
              <w:left w:val="nil"/>
              <w:bottom w:val="single" w:sz="4" w:space="0" w:color="auto"/>
              <w:right w:val="nil"/>
            </w:tcBorders>
            <w:shd w:val="clear" w:color="auto" w:fill="C5D397"/>
            <w:vAlign w:val="bottom"/>
            <w:hideMark/>
          </w:tcPr>
          <w:p w14:paraId="309D1416"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Zoned</w:t>
            </w:r>
          </w:p>
        </w:tc>
        <w:tc>
          <w:tcPr>
            <w:tcW w:w="1273" w:type="dxa"/>
            <w:tcBorders>
              <w:top w:val="single" w:sz="4" w:space="0" w:color="auto"/>
              <w:left w:val="nil"/>
              <w:bottom w:val="single" w:sz="4" w:space="0" w:color="auto"/>
              <w:right w:val="single" w:sz="4" w:space="0" w:color="auto"/>
            </w:tcBorders>
            <w:shd w:val="clear" w:color="auto" w:fill="C5D397"/>
            <w:vAlign w:val="bottom"/>
            <w:hideMark/>
          </w:tcPr>
          <w:p w14:paraId="15186258"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Preliminary Approval</w:t>
            </w:r>
          </w:p>
        </w:tc>
        <w:tc>
          <w:tcPr>
            <w:tcW w:w="1120" w:type="dxa"/>
            <w:tcBorders>
              <w:top w:val="single" w:sz="4" w:space="0" w:color="auto"/>
              <w:left w:val="nil"/>
              <w:bottom w:val="single" w:sz="4" w:space="0" w:color="auto"/>
              <w:right w:val="nil"/>
            </w:tcBorders>
            <w:shd w:val="clear" w:color="auto" w:fill="C5D397"/>
            <w:vAlign w:val="bottom"/>
            <w:hideMark/>
          </w:tcPr>
          <w:p w14:paraId="63817D5E"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UGZ (PSP Required)</w:t>
            </w:r>
          </w:p>
        </w:tc>
        <w:tc>
          <w:tcPr>
            <w:tcW w:w="1300" w:type="dxa"/>
            <w:tcBorders>
              <w:top w:val="single" w:sz="4" w:space="0" w:color="auto"/>
              <w:left w:val="nil"/>
              <w:bottom w:val="single" w:sz="4" w:space="0" w:color="auto"/>
              <w:right w:val="nil"/>
            </w:tcBorders>
            <w:shd w:val="clear" w:color="auto" w:fill="C5D397"/>
            <w:vAlign w:val="bottom"/>
            <w:hideMark/>
          </w:tcPr>
          <w:p w14:paraId="79B37036"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Potential Residential (unzoned)</w:t>
            </w:r>
          </w:p>
        </w:tc>
        <w:tc>
          <w:tcPr>
            <w:tcW w:w="960" w:type="dxa"/>
            <w:tcBorders>
              <w:top w:val="single" w:sz="4" w:space="0" w:color="auto"/>
              <w:left w:val="single" w:sz="4" w:space="0" w:color="auto"/>
              <w:bottom w:val="single" w:sz="4" w:space="0" w:color="auto"/>
              <w:right w:val="single" w:sz="4" w:space="0" w:color="auto"/>
            </w:tcBorders>
            <w:shd w:val="clear" w:color="auto" w:fill="C5D397"/>
            <w:vAlign w:val="bottom"/>
            <w:hideMark/>
          </w:tcPr>
          <w:p w14:paraId="73E4CB7D"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 xml:space="preserve"> Total</w:t>
            </w:r>
          </w:p>
        </w:tc>
      </w:tr>
      <w:tr w:rsidR="00F92322" w:rsidRPr="00F92322" w14:paraId="039CD9F7"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0723BF7A"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Barwon Heads</w:t>
            </w:r>
          </w:p>
        </w:tc>
        <w:tc>
          <w:tcPr>
            <w:tcW w:w="960" w:type="dxa"/>
            <w:tcBorders>
              <w:top w:val="nil"/>
              <w:left w:val="nil"/>
              <w:bottom w:val="nil"/>
              <w:right w:val="nil"/>
            </w:tcBorders>
            <w:shd w:val="clear" w:color="auto" w:fill="auto"/>
            <w:noWrap/>
            <w:vAlign w:val="bottom"/>
            <w:hideMark/>
          </w:tcPr>
          <w:p w14:paraId="01756C83"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28</w:t>
            </w:r>
          </w:p>
        </w:tc>
        <w:tc>
          <w:tcPr>
            <w:tcW w:w="1273" w:type="dxa"/>
            <w:tcBorders>
              <w:top w:val="nil"/>
              <w:left w:val="nil"/>
              <w:bottom w:val="nil"/>
              <w:right w:val="single" w:sz="4" w:space="0" w:color="auto"/>
            </w:tcBorders>
            <w:shd w:val="clear" w:color="auto" w:fill="auto"/>
            <w:noWrap/>
            <w:vAlign w:val="bottom"/>
            <w:hideMark/>
          </w:tcPr>
          <w:p w14:paraId="10D0921E"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 </w:t>
            </w:r>
          </w:p>
        </w:tc>
        <w:tc>
          <w:tcPr>
            <w:tcW w:w="1120" w:type="dxa"/>
            <w:tcBorders>
              <w:top w:val="nil"/>
              <w:left w:val="nil"/>
              <w:bottom w:val="nil"/>
              <w:right w:val="nil"/>
            </w:tcBorders>
            <w:shd w:val="clear" w:color="auto" w:fill="auto"/>
            <w:noWrap/>
            <w:vAlign w:val="bottom"/>
            <w:hideMark/>
          </w:tcPr>
          <w:p w14:paraId="2C82490A"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1D38D632" w14:textId="77777777" w:rsidR="00F92322" w:rsidRPr="00F92322" w:rsidRDefault="00F92322" w:rsidP="00F92322">
            <w:pPr>
              <w:jc w:val="center"/>
              <w:rPr>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287DF7EC"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28</w:t>
            </w:r>
          </w:p>
        </w:tc>
      </w:tr>
      <w:tr w:rsidR="00F92322" w:rsidRPr="00F92322" w14:paraId="15E7E320"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33627D8F"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Drysdale/Clifton Springs</w:t>
            </w:r>
          </w:p>
        </w:tc>
        <w:tc>
          <w:tcPr>
            <w:tcW w:w="960" w:type="dxa"/>
            <w:tcBorders>
              <w:top w:val="nil"/>
              <w:left w:val="nil"/>
              <w:bottom w:val="nil"/>
              <w:right w:val="nil"/>
            </w:tcBorders>
            <w:shd w:val="clear" w:color="auto" w:fill="auto"/>
            <w:noWrap/>
            <w:vAlign w:val="bottom"/>
            <w:hideMark/>
          </w:tcPr>
          <w:p w14:paraId="6477A835"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1,012</w:t>
            </w:r>
          </w:p>
        </w:tc>
        <w:tc>
          <w:tcPr>
            <w:tcW w:w="1273" w:type="dxa"/>
            <w:tcBorders>
              <w:top w:val="nil"/>
              <w:left w:val="nil"/>
              <w:bottom w:val="nil"/>
              <w:right w:val="single" w:sz="4" w:space="0" w:color="auto"/>
            </w:tcBorders>
            <w:shd w:val="clear" w:color="auto" w:fill="auto"/>
            <w:noWrap/>
            <w:vAlign w:val="bottom"/>
            <w:hideMark/>
          </w:tcPr>
          <w:p w14:paraId="5D7CE5DC"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31</w:t>
            </w:r>
          </w:p>
        </w:tc>
        <w:tc>
          <w:tcPr>
            <w:tcW w:w="1120" w:type="dxa"/>
            <w:tcBorders>
              <w:top w:val="nil"/>
              <w:left w:val="nil"/>
              <w:bottom w:val="nil"/>
              <w:right w:val="nil"/>
            </w:tcBorders>
            <w:shd w:val="clear" w:color="auto" w:fill="auto"/>
            <w:noWrap/>
            <w:vAlign w:val="bottom"/>
            <w:hideMark/>
          </w:tcPr>
          <w:p w14:paraId="1B8B20F6"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437C3065"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2,100</w:t>
            </w:r>
          </w:p>
        </w:tc>
        <w:tc>
          <w:tcPr>
            <w:tcW w:w="960" w:type="dxa"/>
            <w:tcBorders>
              <w:top w:val="nil"/>
              <w:left w:val="single" w:sz="4" w:space="0" w:color="auto"/>
              <w:bottom w:val="nil"/>
              <w:right w:val="single" w:sz="4" w:space="0" w:color="auto"/>
            </w:tcBorders>
            <w:shd w:val="clear" w:color="auto" w:fill="auto"/>
            <w:noWrap/>
            <w:vAlign w:val="bottom"/>
            <w:hideMark/>
          </w:tcPr>
          <w:p w14:paraId="0E5960EB"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3,143</w:t>
            </w:r>
          </w:p>
        </w:tc>
      </w:tr>
      <w:tr w:rsidR="00F92322" w:rsidRPr="00F92322" w14:paraId="61847AA9"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7C010E99"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Indented Heads</w:t>
            </w:r>
          </w:p>
        </w:tc>
        <w:tc>
          <w:tcPr>
            <w:tcW w:w="960" w:type="dxa"/>
            <w:tcBorders>
              <w:top w:val="nil"/>
              <w:left w:val="nil"/>
              <w:bottom w:val="nil"/>
              <w:right w:val="nil"/>
            </w:tcBorders>
            <w:shd w:val="clear" w:color="auto" w:fill="auto"/>
            <w:noWrap/>
            <w:vAlign w:val="bottom"/>
            <w:hideMark/>
          </w:tcPr>
          <w:p w14:paraId="4F9A0AD4"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46</w:t>
            </w:r>
          </w:p>
        </w:tc>
        <w:tc>
          <w:tcPr>
            <w:tcW w:w="1273" w:type="dxa"/>
            <w:tcBorders>
              <w:top w:val="nil"/>
              <w:left w:val="nil"/>
              <w:bottom w:val="nil"/>
              <w:right w:val="single" w:sz="4" w:space="0" w:color="auto"/>
            </w:tcBorders>
            <w:shd w:val="clear" w:color="auto" w:fill="auto"/>
            <w:noWrap/>
            <w:vAlign w:val="bottom"/>
            <w:hideMark/>
          </w:tcPr>
          <w:p w14:paraId="639E3B9C"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26</w:t>
            </w:r>
          </w:p>
        </w:tc>
        <w:tc>
          <w:tcPr>
            <w:tcW w:w="1120" w:type="dxa"/>
            <w:tcBorders>
              <w:top w:val="nil"/>
              <w:left w:val="nil"/>
              <w:bottom w:val="nil"/>
              <w:right w:val="nil"/>
            </w:tcBorders>
            <w:shd w:val="clear" w:color="auto" w:fill="auto"/>
            <w:noWrap/>
            <w:vAlign w:val="bottom"/>
            <w:hideMark/>
          </w:tcPr>
          <w:p w14:paraId="4861AC48"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661B337A" w14:textId="77777777" w:rsidR="00F92322" w:rsidRPr="00F92322" w:rsidRDefault="00F92322" w:rsidP="00F92322">
            <w:pPr>
              <w:jc w:val="center"/>
              <w:rPr>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3C92A9AF"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72</w:t>
            </w:r>
          </w:p>
        </w:tc>
      </w:tr>
      <w:tr w:rsidR="00F92322" w:rsidRPr="00F92322" w14:paraId="35CD1ECC"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3262884D"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Leopold</w:t>
            </w:r>
          </w:p>
        </w:tc>
        <w:tc>
          <w:tcPr>
            <w:tcW w:w="960" w:type="dxa"/>
            <w:tcBorders>
              <w:top w:val="nil"/>
              <w:left w:val="nil"/>
              <w:bottom w:val="nil"/>
              <w:right w:val="nil"/>
            </w:tcBorders>
            <w:shd w:val="clear" w:color="auto" w:fill="auto"/>
            <w:noWrap/>
            <w:vAlign w:val="bottom"/>
            <w:hideMark/>
          </w:tcPr>
          <w:p w14:paraId="0913C2D3"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645</w:t>
            </w:r>
          </w:p>
        </w:tc>
        <w:tc>
          <w:tcPr>
            <w:tcW w:w="1273" w:type="dxa"/>
            <w:tcBorders>
              <w:top w:val="nil"/>
              <w:left w:val="nil"/>
              <w:bottom w:val="nil"/>
              <w:right w:val="single" w:sz="4" w:space="0" w:color="auto"/>
            </w:tcBorders>
            <w:shd w:val="clear" w:color="auto" w:fill="auto"/>
            <w:noWrap/>
            <w:vAlign w:val="bottom"/>
            <w:hideMark/>
          </w:tcPr>
          <w:p w14:paraId="5625CBC1"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107</w:t>
            </w:r>
          </w:p>
        </w:tc>
        <w:tc>
          <w:tcPr>
            <w:tcW w:w="1120" w:type="dxa"/>
            <w:tcBorders>
              <w:top w:val="nil"/>
              <w:left w:val="nil"/>
              <w:bottom w:val="nil"/>
              <w:right w:val="nil"/>
            </w:tcBorders>
            <w:shd w:val="clear" w:color="auto" w:fill="auto"/>
            <w:noWrap/>
            <w:vAlign w:val="bottom"/>
            <w:hideMark/>
          </w:tcPr>
          <w:p w14:paraId="03068050"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2B751E55"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501</w:t>
            </w:r>
          </w:p>
        </w:tc>
        <w:tc>
          <w:tcPr>
            <w:tcW w:w="960" w:type="dxa"/>
            <w:tcBorders>
              <w:top w:val="nil"/>
              <w:left w:val="single" w:sz="4" w:space="0" w:color="auto"/>
              <w:bottom w:val="nil"/>
              <w:right w:val="single" w:sz="4" w:space="0" w:color="auto"/>
            </w:tcBorders>
            <w:shd w:val="clear" w:color="auto" w:fill="auto"/>
            <w:noWrap/>
            <w:vAlign w:val="bottom"/>
            <w:hideMark/>
          </w:tcPr>
          <w:p w14:paraId="47196F3C"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1,253</w:t>
            </w:r>
          </w:p>
        </w:tc>
      </w:tr>
      <w:tr w:rsidR="00F92322" w:rsidRPr="00F92322" w14:paraId="21A22A18"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19235553"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Ocean Grove</w:t>
            </w:r>
          </w:p>
        </w:tc>
        <w:tc>
          <w:tcPr>
            <w:tcW w:w="960" w:type="dxa"/>
            <w:tcBorders>
              <w:top w:val="nil"/>
              <w:left w:val="nil"/>
              <w:bottom w:val="nil"/>
              <w:right w:val="nil"/>
            </w:tcBorders>
            <w:shd w:val="clear" w:color="auto" w:fill="auto"/>
            <w:noWrap/>
            <w:vAlign w:val="bottom"/>
            <w:hideMark/>
          </w:tcPr>
          <w:p w14:paraId="7B8D0320"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2,030</w:t>
            </w:r>
          </w:p>
        </w:tc>
        <w:tc>
          <w:tcPr>
            <w:tcW w:w="1273" w:type="dxa"/>
            <w:tcBorders>
              <w:top w:val="nil"/>
              <w:left w:val="nil"/>
              <w:bottom w:val="nil"/>
              <w:right w:val="single" w:sz="4" w:space="0" w:color="auto"/>
            </w:tcBorders>
            <w:shd w:val="clear" w:color="auto" w:fill="auto"/>
            <w:noWrap/>
            <w:vAlign w:val="bottom"/>
            <w:hideMark/>
          </w:tcPr>
          <w:p w14:paraId="6BBDE8BF"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242</w:t>
            </w:r>
          </w:p>
        </w:tc>
        <w:tc>
          <w:tcPr>
            <w:tcW w:w="1120" w:type="dxa"/>
            <w:tcBorders>
              <w:top w:val="nil"/>
              <w:left w:val="nil"/>
              <w:bottom w:val="nil"/>
              <w:right w:val="nil"/>
            </w:tcBorders>
            <w:shd w:val="clear" w:color="auto" w:fill="auto"/>
            <w:noWrap/>
            <w:vAlign w:val="bottom"/>
            <w:hideMark/>
          </w:tcPr>
          <w:p w14:paraId="6F96C69E"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064E9682" w14:textId="77777777" w:rsidR="00F92322" w:rsidRPr="00F92322" w:rsidRDefault="00F92322" w:rsidP="00F92322">
            <w:pPr>
              <w:jc w:val="center"/>
              <w:rPr>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0FF0BD7D"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2,272</w:t>
            </w:r>
          </w:p>
        </w:tc>
      </w:tr>
      <w:tr w:rsidR="00F92322" w:rsidRPr="00F92322" w14:paraId="2DFC5458"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6535B1B5"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Point Lonsdale</w:t>
            </w:r>
          </w:p>
        </w:tc>
        <w:tc>
          <w:tcPr>
            <w:tcW w:w="960" w:type="dxa"/>
            <w:tcBorders>
              <w:top w:val="nil"/>
              <w:left w:val="nil"/>
              <w:bottom w:val="nil"/>
              <w:right w:val="nil"/>
            </w:tcBorders>
            <w:shd w:val="clear" w:color="auto" w:fill="auto"/>
            <w:noWrap/>
            <w:vAlign w:val="bottom"/>
            <w:hideMark/>
          </w:tcPr>
          <w:p w14:paraId="57EF6889"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24</w:t>
            </w:r>
          </w:p>
        </w:tc>
        <w:tc>
          <w:tcPr>
            <w:tcW w:w="1273" w:type="dxa"/>
            <w:tcBorders>
              <w:top w:val="nil"/>
              <w:left w:val="nil"/>
              <w:bottom w:val="nil"/>
              <w:right w:val="single" w:sz="4" w:space="0" w:color="auto"/>
            </w:tcBorders>
            <w:shd w:val="clear" w:color="auto" w:fill="auto"/>
            <w:noWrap/>
            <w:vAlign w:val="bottom"/>
            <w:hideMark/>
          </w:tcPr>
          <w:p w14:paraId="168A2C4F"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177</w:t>
            </w:r>
          </w:p>
        </w:tc>
        <w:tc>
          <w:tcPr>
            <w:tcW w:w="1120" w:type="dxa"/>
            <w:tcBorders>
              <w:top w:val="nil"/>
              <w:left w:val="nil"/>
              <w:bottom w:val="nil"/>
              <w:right w:val="nil"/>
            </w:tcBorders>
            <w:shd w:val="clear" w:color="auto" w:fill="auto"/>
            <w:noWrap/>
            <w:vAlign w:val="bottom"/>
            <w:hideMark/>
          </w:tcPr>
          <w:p w14:paraId="4DD292B0"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2252486D" w14:textId="77777777" w:rsidR="00F92322" w:rsidRPr="00F92322" w:rsidRDefault="00F92322" w:rsidP="00F92322">
            <w:pPr>
              <w:jc w:val="center"/>
              <w:rPr>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49B132F2"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201</w:t>
            </w:r>
          </w:p>
        </w:tc>
      </w:tr>
      <w:tr w:rsidR="00F92322" w:rsidRPr="00F92322" w14:paraId="0595DA24"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443C730F"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Portarlington</w:t>
            </w:r>
          </w:p>
        </w:tc>
        <w:tc>
          <w:tcPr>
            <w:tcW w:w="960" w:type="dxa"/>
            <w:tcBorders>
              <w:top w:val="nil"/>
              <w:left w:val="nil"/>
              <w:bottom w:val="nil"/>
              <w:right w:val="nil"/>
            </w:tcBorders>
            <w:shd w:val="clear" w:color="auto" w:fill="auto"/>
            <w:noWrap/>
            <w:vAlign w:val="bottom"/>
            <w:hideMark/>
          </w:tcPr>
          <w:p w14:paraId="5E16DE0A"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300</w:t>
            </w:r>
          </w:p>
        </w:tc>
        <w:tc>
          <w:tcPr>
            <w:tcW w:w="1273" w:type="dxa"/>
            <w:tcBorders>
              <w:top w:val="nil"/>
              <w:left w:val="nil"/>
              <w:bottom w:val="nil"/>
              <w:right w:val="single" w:sz="4" w:space="0" w:color="auto"/>
            </w:tcBorders>
            <w:shd w:val="clear" w:color="auto" w:fill="auto"/>
            <w:noWrap/>
            <w:vAlign w:val="bottom"/>
            <w:hideMark/>
          </w:tcPr>
          <w:p w14:paraId="2E510C70"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 </w:t>
            </w:r>
          </w:p>
        </w:tc>
        <w:tc>
          <w:tcPr>
            <w:tcW w:w="1120" w:type="dxa"/>
            <w:tcBorders>
              <w:top w:val="nil"/>
              <w:left w:val="nil"/>
              <w:bottom w:val="nil"/>
              <w:right w:val="nil"/>
            </w:tcBorders>
            <w:shd w:val="clear" w:color="auto" w:fill="auto"/>
            <w:noWrap/>
            <w:vAlign w:val="bottom"/>
            <w:hideMark/>
          </w:tcPr>
          <w:p w14:paraId="7656E041"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7DE606F6" w14:textId="77777777" w:rsidR="00F92322" w:rsidRPr="00F92322" w:rsidRDefault="00F92322" w:rsidP="00F92322">
            <w:pPr>
              <w:jc w:val="center"/>
              <w:rPr>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7CA5F430"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300</w:t>
            </w:r>
          </w:p>
        </w:tc>
      </w:tr>
      <w:tr w:rsidR="00F92322" w:rsidRPr="00F92322" w14:paraId="34EC7745"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60DE3E90"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St Leonards</w:t>
            </w:r>
          </w:p>
        </w:tc>
        <w:tc>
          <w:tcPr>
            <w:tcW w:w="960" w:type="dxa"/>
            <w:tcBorders>
              <w:top w:val="nil"/>
              <w:left w:val="nil"/>
              <w:bottom w:val="nil"/>
              <w:right w:val="nil"/>
            </w:tcBorders>
            <w:shd w:val="clear" w:color="auto" w:fill="auto"/>
            <w:noWrap/>
            <w:vAlign w:val="bottom"/>
            <w:hideMark/>
          </w:tcPr>
          <w:p w14:paraId="49130FF3"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260</w:t>
            </w:r>
          </w:p>
        </w:tc>
        <w:tc>
          <w:tcPr>
            <w:tcW w:w="1273" w:type="dxa"/>
            <w:tcBorders>
              <w:top w:val="nil"/>
              <w:left w:val="nil"/>
              <w:bottom w:val="nil"/>
              <w:right w:val="single" w:sz="4" w:space="0" w:color="auto"/>
            </w:tcBorders>
            <w:shd w:val="clear" w:color="auto" w:fill="auto"/>
            <w:noWrap/>
            <w:vAlign w:val="bottom"/>
            <w:hideMark/>
          </w:tcPr>
          <w:p w14:paraId="7B57BDDB"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317</w:t>
            </w:r>
          </w:p>
        </w:tc>
        <w:tc>
          <w:tcPr>
            <w:tcW w:w="1120" w:type="dxa"/>
            <w:tcBorders>
              <w:top w:val="nil"/>
              <w:left w:val="nil"/>
              <w:bottom w:val="nil"/>
              <w:right w:val="nil"/>
            </w:tcBorders>
            <w:shd w:val="clear" w:color="auto" w:fill="auto"/>
            <w:noWrap/>
            <w:vAlign w:val="bottom"/>
            <w:hideMark/>
          </w:tcPr>
          <w:p w14:paraId="701B7FEE"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6A07B396" w14:textId="77777777" w:rsidR="00F92322" w:rsidRPr="00F92322" w:rsidRDefault="00F92322" w:rsidP="00F92322">
            <w:pPr>
              <w:jc w:val="center"/>
              <w:rPr>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44817183"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577</w:t>
            </w:r>
          </w:p>
        </w:tc>
      </w:tr>
      <w:tr w:rsidR="00F92322" w:rsidRPr="00F92322" w14:paraId="5F6BA109" w14:textId="77777777" w:rsidTr="00D73221">
        <w:trPr>
          <w:trHeight w:val="288"/>
        </w:trPr>
        <w:tc>
          <w:tcPr>
            <w:tcW w:w="3114" w:type="dxa"/>
            <w:tcBorders>
              <w:top w:val="single" w:sz="4" w:space="0" w:color="auto"/>
              <w:left w:val="single" w:sz="4" w:space="0" w:color="auto"/>
              <w:bottom w:val="single" w:sz="4" w:space="0" w:color="auto"/>
              <w:right w:val="single" w:sz="4" w:space="0" w:color="auto"/>
            </w:tcBorders>
            <w:shd w:val="clear" w:color="auto" w:fill="C5D397"/>
            <w:noWrap/>
            <w:vAlign w:val="bottom"/>
            <w:hideMark/>
          </w:tcPr>
          <w:p w14:paraId="6EA8733F" w14:textId="77777777" w:rsidR="00F92322" w:rsidRPr="00F92322" w:rsidRDefault="00F92322" w:rsidP="00F92322">
            <w:pPr>
              <w:rPr>
                <w:rFonts w:ascii="Calibri" w:hAnsi="Calibri" w:cs="Calibri"/>
                <w:b/>
                <w:bCs/>
                <w:color w:val="000000"/>
                <w:sz w:val="22"/>
                <w:szCs w:val="22"/>
              </w:rPr>
            </w:pPr>
            <w:r w:rsidRPr="00F92322">
              <w:rPr>
                <w:rFonts w:ascii="Calibri" w:hAnsi="Calibri" w:cs="Calibri"/>
                <w:b/>
                <w:bCs/>
                <w:color w:val="000000"/>
                <w:sz w:val="22"/>
                <w:szCs w:val="22"/>
              </w:rPr>
              <w:t>Bellarine Peninsula</w:t>
            </w:r>
          </w:p>
        </w:tc>
        <w:tc>
          <w:tcPr>
            <w:tcW w:w="960" w:type="dxa"/>
            <w:tcBorders>
              <w:top w:val="single" w:sz="4" w:space="0" w:color="auto"/>
              <w:left w:val="nil"/>
              <w:bottom w:val="single" w:sz="4" w:space="0" w:color="auto"/>
              <w:right w:val="nil"/>
            </w:tcBorders>
            <w:shd w:val="clear" w:color="auto" w:fill="C5D397"/>
            <w:noWrap/>
            <w:vAlign w:val="bottom"/>
            <w:hideMark/>
          </w:tcPr>
          <w:p w14:paraId="4F5A2847"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4,345</w:t>
            </w:r>
          </w:p>
        </w:tc>
        <w:tc>
          <w:tcPr>
            <w:tcW w:w="1273" w:type="dxa"/>
            <w:tcBorders>
              <w:top w:val="single" w:sz="4" w:space="0" w:color="auto"/>
              <w:left w:val="nil"/>
              <w:bottom w:val="single" w:sz="4" w:space="0" w:color="auto"/>
              <w:right w:val="single" w:sz="4" w:space="0" w:color="auto"/>
            </w:tcBorders>
            <w:shd w:val="clear" w:color="auto" w:fill="C5D397"/>
            <w:noWrap/>
            <w:vAlign w:val="bottom"/>
            <w:hideMark/>
          </w:tcPr>
          <w:p w14:paraId="50C81750"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900</w:t>
            </w:r>
          </w:p>
        </w:tc>
        <w:tc>
          <w:tcPr>
            <w:tcW w:w="1120" w:type="dxa"/>
            <w:tcBorders>
              <w:top w:val="single" w:sz="4" w:space="0" w:color="auto"/>
              <w:left w:val="nil"/>
              <w:bottom w:val="single" w:sz="4" w:space="0" w:color="auto"/>
              <w:right w:val="nil"/>
            </w:tcBorders>
            <w:shd w:val="clear" w:color="auto" w:fill="C5D397"/>
            <w:noWrap/>
            <w:vAlign w:val="bottom"/>
            <w:hideMark/>
          </w:tcPr>
          <w:p w14:paraId="27334B01"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 </w:t>
            </w:r>
          </w:p>
        </w:tc>
        <w:tc>
          <w:tcPr>
            <w:tcW w:w="1300" w:type="dxa"/>
            <w:tcBorders>
              <w:top w:val="single" w:sz="4" w:space="0" w:color="auto"/>
              <w:left w:val="nil"/>
              <w:bottom w:val="single" w:sz="4" w:space="0" w:color="auto"/>
              <w:right w:val="nil"/>
            </w:tcBorders>
            <w:shd w:val="clear" w:color="auto" w:fill="C5D397"/>
            <w:noWrap/>
            <w:vAlign w:val="bottom"/>
            <w:hideMark/>
          </w:tcPr>
          <w:p w14:paraId="75D13143"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2,601</w:t>
            </w:r>
          </w:p>
        </w:tc>
        <w:tc>
          <w:tcPr>
            <w:tcW w:w="960" w:type="dxa"/>
            <w:tcBorders>
              <w:top w:val="single" w:sz="4" w:space="0" w:color="auto"/>
              <w:left w:val="single" w:sz="4" w:space="0" w:color="auto"/>
              <w:bottom w:val="single" w:sz="4" w:space="0" w:color="auto"/>
              <w:right w:val="single" w:sz="4" w:space="0" w:color="auto"/>
            </w:tcBorders>
            <w:shd w:val="clear" w:color="auto" w:fill="C5D397"/>
            <w:noWrap/>
            <w:vAlign w:val="bottom"/>
            <w:hideMark/>
          </w:tcPr>
          <w:p w14:paraId="755BD79D"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7,846</w:t>
            </w:r>
          </w:p>
        </w:tc>
      </w:tr>
      <w:tr w:rsidR="00F92322" w:rsidRPr="00F92322" w14:paraId="126F40CD" w14:textId="77777777" w:rsidTr="00D73221">
        <w:trPr>
          <w:trHeight w:val="192"/>
        </w:trPr>
        <w:tc>
          <w:tcPr>
            <w:tcW w:w="3114" w:type="dxa"/>
            <w:tcBorders>
              <w:top w:val="nil"/>
              <w:left w:val="single" w:sz="4" w:space="0" w:color="auto"/>
              <w:bottom w:val="nil"/>
              <w:right w:val="single" w:sz="4" w:space="0" w:color="auto"/>
            </w:tcBorders>
            <w:shd w:val="clear" w:color="auto" w:fill="auto"/>
            <w:noWrap/>
            <w:vAlign w:val="bottom"/>
            <w:hideMark/>
          </w:tcPr>
          <w:p w14:paraId="3F0DD1FA"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w:t>
            </w:r>
          </w:p>
        </w:tc>
        <w:tc>
          <w:tcPr>
            <w:tcW w:w="960" w:type="dxa"/>
            <w:tcBorders>
              <w:top w:val="nil"/>
              <w:left w:val="nil"/>
              <w:bottom w:val="nil"/>
              <w:right w:val="nil"/>
            </w:tcBorders>
            <w:shd w:val="clear" w:color="auto" w:fill="auto"/>
            <w:noWrap/>
            <w:vAlign w:val="bottom"/>
            <w:hideMark/>
          </w:tcPr>
          <w:p w14:paraId="103D3964" w14:textId="77777777" w:rsidR="00F92322" w:rsidRPr="00F92322" w:rsidRDefault="00F92322" w:rsidP="00F92322">
            <w:pPr>
              <w:rPr>
                <w:rFonts w:ascii="Calibri" w:hAnsi="Calibri" w:cs="Calibri"/>
                <w:color w:val="000000"/>
                <w:sz w:val="22"/>
                <w:szCs w:val="22"/>
              </w:rPr>
            </w:pPr>
          </w:p>
        </w:tc>
        <w:tc>
          <w:tcPr>
            <w:tcW w:w="1273" w:type="dxa"/>
            <w:tcBorders>
              <w:top w:val="nil"/>
              <w:left w:val="nil"/>
              <w:bottom w:val="nil"/>
              <w:right w:val="single" w:sz="4" w:space="0" w:color="auto"/>
            </w:tcBorders>
            <w:shd w:val="clear" w:color="auto" w:fill="auto"/>
            <w:noWrap/>
            <w:vAlign w:val="bottom"/>
            <w:hideMark/>
          </w:tcPr>
          <w:p w14:paraId="17CF7571"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 </w:t>
            </w:r>
          </w:p>
        </w:tc>
        <w:tc>
          <w:tcPr>
            <w:tcW w:w="1120" w:type="dxa"/>
            <w:tcBorders>
              <w:top w:val="nil"/>
              <w:left w:val="nil"/>
              <w:bottom w:val="nil"/>
              <w:right w:val="nil"/>
            </w:tcBorders>
            <w:shd w:val="clear" w:color="auto" w:fill="auto"/>
            <w:noWrap/>
            <w:vAlign w:val="bottom"/>
            <w:hideMark/>
          </w:tcPr>
          <w:p w14:paraId="0CD927CD"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01D89C59" w14:textId="77777777" w:rsidR="00F92322" w:rsidRPr="00F92322" w:rsidRDefault="00F92322" w:rsidP="00F92322">
            <w:pPr>
              <w:jc w:val="center"/>
              <w:rPr>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6DF2B0A3"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 </w:t>
            </w:r>
          </w:p>
        </w:tc>
      </w:tr>
      <w:tr w:rsidR="00F92322" w:rsidRPr="00F92322" w14:paraId="2BE822D9"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5115ABF3"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Armstrong Creek Growth Area</w:t>
            </w:r>
          </w:p>
        </w:tc>
        <w:tc>
          <w:tcPr>
            <w:tcW w:w="960" w:type="dxa"/>
            <w:tcBorders>
              <w:top w:val="nil"/>
              <w:left w:val="nil"/>
              <w:bottom w:val="nil"/>
              <w:right w:val="nil"/>
            </w:tcBorders>
            <w:shd w:val="clear" w:color="auto" w:fill="auto"/>
            <w:noWrap/>
            <w:vAlign w:val="bottom"/>
            <w:hideMark/>
          </w:tcPr>
          <w:p w14:paraId="47725AF3"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9,901</w:t>
            </w:r>
          </w:p>
        </w:tc>
        <w:tc>
          <w:tcPr>
            <w:tcW w:w="1273" w:type="dxa"/>
            <w:tcBorders>
              <w:top w:val="nil"/>
              <w:left w:val="nil"/>
              <w:bottom w:val="nil"/>
              <w:right w:val="single" w:sz="4" w:space="0" w:color="auto"/>
            </w:tcBorders>
            <w:shd w:val="clear" w:color="auto" w:fill="auto"/>
            <w:noWrap/>
            <w:vAlign w:val="bottom"/>
            <w:hideMark/>
          </w:tcPr>
          <w:p w14:paraId="0917F5AC"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4,001</w:t>
            </w:r>
          </w:p>
        </w:tc>
        <w:tc>
          <w:tcPr>
            <w:tcW w:w="1120" w:type="dxa"/>
            <w:tcBorders>
              <w:top w:val="nil"/>
              <w:left w:val="nil"/>
              <w:bottom w:val="nil"/>
              <w:right w:val="nil"/>
            </w:tcBorders>
            <w:shd w:val="clear" w:color="auto" w:fill="auto"/>
            <w:noWrap/>
            <w:vAlign w:val="bottom"/>
            <w:hideMark/>
          </w:tcPr>
          <w:p w14:paraId="77386F58"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1,980</w:t>
            </w:r>
          </w:p>
        </w:tc>
        <w:tc>
          <w:tcPr>
            <w:tcW w:w="1300" w:type="dxa"/>
            <w:tcBorders>
              <w:top w:val="nil"/>
              <w:left w:val="nil"/>
              <w:bottom w:val="nil"/>
              <w:right w:val="nil"/>
            </w:tcBorders>
            <w:shd w:val="clear" w:color="auto" w:fill="auto"/>
            <w:noWrap/>
            <w:vAlign w:val="bottom"/>
            <w:hideMark/>
          </w:tcPr>
          <w:p w14:paraId="4B147516" w14:textId="77777777" w:rsidR="00F92322" w:rsidRPr="00F92322" w:rsidRDefault="00F92322" w:rsidP="00F92322">
            <w:pPr>
              <w:jc w:val="center"/>
              <w:rPr>
                <w:rFonts w:ascii="Calibri" w:hAnsi="Calibri" w:cs="Calibri"/>
                <w:color w:val="000000"/>
                <w:sz w:val="22"/>
                <w:szCs w:val="22"/>
              </w:rPr>
            </w:pPr>
          </w:p>
        </w:tc>
        <w:tc>
          <w:tcPr>
            <w:tcW w:w="960" w:type="dxa"/>
            <w:tcBorders>
              <w:top w:val="nil"/>
              <w:left w:val="single" w:sz="4" w:space="0" w:color="auto"/>
              <w:bottom w:val="nil"/>
              <w:right w:val="single" w:sz="4" w:space="0" w:color="auto"/>
            </w:tcBorders>
            <w:shd w:val="clear" w:color="auto" w:fill="auto"/>
            <w:noWrap/>
            <w:vAlign w:val="bottom"/>
            <w:hideMark/>
          </w:tcPr>
          <w:p w14:paraId="6ADC990B"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15,882</w:t>
            </w:r>
          </w:p>
        </w:tc>
      </w:tr>
      <w:tr w:rsidR="00F92322" w:rsidRPr="00F92322" w14:paraId="7F9777FB"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038DAF62"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Northern Growth Area</w:t>
            </w:r>
          </w:p>
        </w:tc>
        <w:tc>
          <w:tcPr>
            <w:tcW w:w="960" w:type="dxa"/>
            <w:tcBorders>
              <w:top w:val="nil"/>
              <w:left w:val="nil"/>
              <w:bottom w:val="nil"/>
              <w:right w:val="nil"/>
            </w:tcBorders>
            <w:shd w:val="clear" w:color="auto" w:fill="auto"/>
            <w:noWrap/>
            <w:vAlign w:val="bottom"/>
            <w:hideMark/>
          </w:tcPr>
          <w:p w14:paraId="6D8E0031"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2,765</w:t>
            </w:r>
          </w:p>
        </w:tc>
        <w:tc>
          <w:tcPr>
            <w:tcW w:w="1273" w:type="dxa"/>
            <w:tcBorders>
              <w:top w:val="nil"/>
              <w:left w:val="nil"/>
              <w:bottom w:val="nil"/>
              <w:right w:val="single" w:sz="4" w:space="0" w:color="auto"/>
            </w:tcBorders>
            <w:shd w:val="clear" w:color="auto" w:fill="auto"/>
            <w:noWrap/>
            <w:vAlign w:val="bottom"/>
            <w:hideMark/>
          </w:tcPr>
          <w:p w14:paraId="7BAA3D7A"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1,000</w:t>
            </w:r>
          </w:p>
        </w:tc>
        <w:tc>
          <w:tcPr>
            <w:tcW w:w="1120" w:type="dxa"/>
            <w:tcBorders>
              <w:top w:val="nil"/>
              <w:left w:val="nil"/>
              <w:bottom w:val="nil"/>
              <w:right w:val="nil"/>
            </w:tcBorders>
            <w:shd w:val="clear" w:color="auto" w:fill="auto"/>
            <w:noWrap/>
            <w:vAlign w:val="bottom"/>
            <w:hideMark/>
          </w:tcPr>
          <w:p w14:paraId="4D055DE4"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17,000</w:t>
            </w:r>
          </w:p>
        </w:tc>
        <w:tc>
          <w:tcPr>
            <w:tcW w:w="1300" w:type="dxa"/>
            <w:tcBorders>
              <w:top w:val="nil"/>
              <w:left w:val="nil"/>
              <w:bottom w:val="nil"/>
              <w:right w:val="nil"/>
            </w:tcBorders>
            <w:shd w:val="clear" w:color="auto" w:fill="auto"/>
            <w:noWrap/>
            <w:vAlign w:val="bottom"/>
            <w:hideMark/>
          </w:tcPr>
          <w:p w14:paraId="61EFD54F"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715</w:t>
            </w:r>
          </w:p>
        </w:tc>
        <w:tc>
          <w:tcPr>
            <w:tcW w:w="960" w:type="dxa"/>
            <w:tcBorders>
              <w:top w:val="nil"/>
              <w:left w:val="single" w:sz="4" w:space="0" w:color="auto"/>
              <w:bottom w:val="nil"/>
              <w:right w:val="single" w:sz="4" w:space="0" w:color="auto"/>
            </w:tcBorders>
            <w:shd w:val="clear" w:color="auto" w:fill="auto"/>
            <w:noWrap/>
            <w:vAlign w:val="bottom"/>
            <w:hideMark/>
          </w:tcPr>
          <w:p w14:paraId="48D71D9A"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21,480</w:t>
            </w:r>
          </w:p>
        </w:tc>
      </w:tr>
      <w:tr w:rsidR="00F92322" w:rsidRPr="00F92322" w14:paraId="6CED1ED8"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70E2CC9F"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Urban Geelong</w:t>
            </w:r>
          </w:p>
        </w:tc>
        <w:tc>
          <w:tcPr>
            <w:tcW w:w="960" w:type="dxa"/>
            <w:tcBorders>
              <w:top w:val="nil"/>
              <w:left w:val="nil"/>
              <w:bottom w:val="nil"/>
              <w:right w:val="nil"/>
            </w:tcBorders>
            <w:shd w:val="clear" w:color="auto" w:fill="auto"/>
            <w:noWrap/>
            <w:vAlign w:val="bottom"/>
            <w:hideMark/>
          </w:tcPr>
          <w:p w14:paraId="47D0D417"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1,809</w:t>
            </w:r>
          </w:p>
        </w:tc>
        <w:tc>
          <w:tcPr>
            <w:tcW w:w="1273" w:type="dxa"/>
            <w:tcBorders>
              <w:top w:val="nil"/>
              <w:left w:val="nil"/>
              <w:bottom w:val="nil"/>
              <w:right w:val="single" w:sz="4" w:space="0" w:color="auto"/>
            </w:tcBorders>
            <w:shd w:val="clear" w:color="auto" w:fill="auto"/>
            <w:noWrap/>
            <w:vAlign w:val="bottom"/>
            <w:hideMark/>
          </w:tcPr>
          <w:p w14:paraId="31655896"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202</w:t>
            </w:r>
          </w:p>
        </w:tc>
        <w:tc>
          <w:tcPr>
            <w:tcW w:w="1120" w:type="dxa"/>
            <w:tcBorders>
              <w:top w:val="nil"/>
              <w:left w:val="nil"/>
              <w:bottom w:val="nil"/>
              <w:right w:val="nil"/>
            </w:tcBorders>
            <w:shd w:val="clear" w:color="auto" w:fill="auto"/>
            <w:noWrap/>
            <w:vAlign w:val="bottom"/>
            <w:hideMark/>
          </w:tcPr>
          <w:p w14:paraId="1804515B"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78B1C1E2" w14:textId="77777777" w:rsidR="00F92322" w:rsidRPr="00F92322" w:rsidRDefault="00F92322" w:rsidP="00F92322">
            <w:pPr>
              <w:jc w:val="center"/>
              <w:rPr>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5667F349"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2,011</w:t>
            </w:r>
          </w:p>
        </w:tc>
      </w:tr>
      <w:tr w:rsidR="00F92322" w:rsidRPr="00F92322" w14:paraId="339019ED" w14:textId="77777777" w:rsidTr="00D73221">
        <w:trPr>
          <w:trHeight w:val="288"/>
        </w:trPr>
        <w:tc>
          <w:tcPr>
            <w:tcW w:w="3114" w:type="dxa"/>
            <w:tcBorders>
              <w:top w:val="nil"/>
              <w:left w:val="single" w:sz="4" w:space="0" w:color="auto"/>
              <w:bottom w:val="nil"/>
              <w:right w:val="single" w:sz="4" w:space="0" w:color="auto"/>
            </w:tcBorders>
            <w:shd w:val="clear" w:color="auto" w:fill="auto"/>
            <w:noWrap/>
            <w:vAlign w:val="bottom"/>
            <w:hideMark/>
          </w:tcPr>
          <w:p w14:paraId="5FC530D0" w14:textId="3F9B00C3"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xml:space="preserve">   Western Growth Area</w:t>
            </w:r>
          </w:p>
        </w:tc>
        <w:tc>
          <w:tcPr>
            <w:tcW w:w="960" w:type="dxa"/>
            <w:tcBorders>
              <w:top w:val="nil"/>
              <w:left w:val="nil"/>
              <w:bottom w:val="nil"/>
              <w:right w:val="nil"/>
            </w:tcBorders>
            <w:shd w:val="clear" w:color="auto" w:fill="auto"/>
            <w:noWrap/>
            <w:vAlign w:val="bottom"/>
            <w:hideMark/>
          </w:tcPr>
          <w:p w14:paraId="2AEE8E94" w14:textId="77777777" w:rsidR="00F92322" w:rsidRPr="00F92322" w:rsidRDefault="00F92322" w:rsidP="00F92322">
            <w:pPr>
              <w:rPr>
                <w:rFonts w:ascii="Calibri" w:hAnsi="Calibri" w:cs="Calibri"/>
                <w:color w:val="000000"/>
                <w:sz w:val="22"/>
                <w:szCs w:val="22"/>
              </w:rPr>
            </w:pPr>
          </w:p>
        </w:tc>
        <w:tc>
          <w:tcPr>
            <w:tcW w:w="1273" w:type="dxa"/>
            <w:tcBorders>
              <w:top w:val="nil"/>
              <w:left w:val="nil"/>
              <w:bottom w:val="nil"/>
              <w:right w:val="single" w:sz="4" w:space="0" w:color="auto"/>
            </w:tcBorders>
            <w:shd w:val="clear" w:color="auto" w:fill="auto"/>
            <w:noWrap/>
            <w:vAlign w:val="bottom"/>
            <w:hideMark/>
          </w:tcPr>
          <w:p w14:paraId="1CE096A4"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 </w:t>
            </w:r>
          </w:p>
        </w:tc>
        <w:tc>
          <w:tcPr>
            <w:tcW w:w="1120" w:type="dxa"/>
            <w:tcBorders>
              <w:top w:val="nil"/>
              <w:left w:val="nil"/>
              <w:bottom w:val="nil"/>
              <w:right w:val="nil"/>
            </w:tcBorders>
            <w:shd w:val="clear" w:color="auto" w:fill="auto"/>
            <w:noWrap/>
            <w:vAlign w:val="bottom"/>
            <w:hideMark/>
          </w:tcPr>
          <w:p w14:paraId="6EFFC101"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23,000</w:t>
            </w:r>
          </w:p>
        </w:tc>
        <w:tc>
          <w:tcPr>
            <w:tcW w:w="1300" w:type="dxa"/>
            <w:tcBorders>
              <w:top w:val="nil"/>
              <w:left w:val="nil"/>
              <w:bottom w:val="nil"/>
              <w:right w:val="nil"/>
            </w:tcBorders>
            <w:shd w:val="clear" w:color="auto" w:fill="auto"/>
            <w:noWrap/>
            <w:vAlign w:val="bottom"/>
            <w:hideMark/>
          </w:tcPr>
          <w:p w14:paraId="649C42BD" w14:textId="77777777" w:rsidR="00F92322" w:rsidRPr="00F92322" w:rsidRDefault="00F92322" w:rsidP="00F92322">
            <w:pPr>
              <w:jc w:val="center"/>
              <w:rPr>
                <w:rFonts w:ascii="Calibri" w:hAnsi="Calibri" w:cs="Calibri"/>
                <w:color w:val="000000"/>
                <w:sz w:val="22"/>
                <w:szCs w:val="22"/>
              </w:rPr>
            </w:pPr>
          </w:p>
        </w:tc>
        <w:tc>
          <w:tcPr>
            <w:tcW w:w="960" w:type="dxa"/>
            <w:tcBorders>
              <w:top w:val="nil"/>
              <w:left w:val="single" w:sz="4" w:space="0" w:color="auto"/>
              <w:bottom w:val="nil"/>
              <w:right w:val="single" w:sz="4" w:space="0" w:color="auto"/>
            </w:tcBorders>
            <w:shd w:val="clear" w:color="auto" w:fill="auto"/>
            <w:noWrap/>
            <w:vAlign w:val="bottom"/>
            <w:hideMark/>
          </w:tcPr>
          <w:p w14:paraId="59B944C5"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23,000</w:t>
            </w:r>
          </w:p>
        </w:tc>
      </w:tr>
      <w:tr w:rsidR="00F92322" w:rsidRPr="00F92322" w14:paraId="6912A13F" w14:textId="77777777" w:rsidTr="00D73221">
        <w:trPr>
          <w:trHeight w:val="288"/>
        </w:trPr>
        <w:tc>
          <w:tcPr>
            <w:tcW w:w="3114" w:type="dxa"/>
            <w:tcBorders>
              <w:top w:val="single" w:sz="4" w:space="0" w:color="auto"/>
              <w:left w:val="single" w:sz="4" w:space="0" w:color="auto"/>
              <w:bottom w:val="single" w:sz="4" w:space="0" w:color="auto"/>
              <w:right w:val="single" w:sz="4" w:space="0" w:color="auto"/>
            </w:tcBorders>
            <w:shd w:val="clear" w:color="auto" w:fill="C5D397"/>
            <w:noWrap/>
            <w:vAlign w:val="bottom"/>
            <w:hideMark/>
          </w:tcPr>
          <w:p w14:paraId="3A3F6334" w14:textId="77777777" w:rsidR="00F92322" w:rsidRPr="00F92322" w:rsidRDefault="00F92322" w:rsidP="00F92322">
            <w:pPr>
              <w:rPr>
                <w:rFonts w:ascii="Calibri" w:hAnsi="Calibri" w:cs="Calibri"/>
                <w:b/>
                <w:bCs/>
                <w:color w:val="000000"/>
                <w:sz w:val="22"/>
                <w:szCs w:val="22"/>
              </w:rPr>
            </w:pPr>
            <w:r w:rsidRPr="00F92322">
              <w:rPr>
                <w:rFonts w:ascii="Calibri" w:hAnsi="Calibri" w:cs="Calibri"/>
                <w:b/>
                <w:bCs/>
                <w:color w:val="000000"/>
                <w:sz w:val="22"/>
                <w:szCs w:val="22"/>
              </w:rPr>
              <w:t>Geelong</w:t>
            </w:r>
          </w:p>
        </w:tc>
        <w:tc>
          <w:tcPr>
            <w:tcW w:w="960" w:type="dxa"/>
            <w:tcBorders>
              <w:top w:val="single" w:sz="4" w:space="0" w:color="auto"/>
              <w:left w:val="nil"/>
              <w:bottom w:val="single" w:sz="4" w:space="0" w:color="auto"/>
              <w:right w:val="nil"/>
            </w:tcBorders>
            <w:shd w:val="clear" w:color="auto" w:fill="C5D397"/>
            <w:noWrap/>
            <w:vAlign w:val="bottom"/>
            <w:hideMark/>
          </w:tcPr>
          <w:p w14:paraId="2CCD8E05"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14,475</w:t>
            </w:r>
          </w:p>
        </w:tc>
        <w:tc>
          <w:tcPr>
            <w:tcW w:w="1273" w:type="dxa"/>
            <w:tcBorders>
              <w:top w:val="single" w:sz="4" w:space="0" w:color="auto"/>
              <w:left w:val="nil"/>
              <w:bottom w:val="single" w:sz="4" w:space="0" w:color="auto"/>
              <w:right w:val="single" w:sz="4" w:space="0" w:color="auto"/>
            </w:tcBorders>
            <w:shd w:val="clear" w:color="auto" w:fill="C5D397"/>
            <w:noWrap/>
            <w:vAlign w:val="bottom"/>
            <w:hideMark/>
          </w:tcPr>
          <w:p w14:paraId="64CE1E45"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5,203</w:t>
            </w:r>
          </w:p>
        </w:tc>
        <w:tc>
          <w:tcPr>
            <w:tcW w:w="1120" w:type="dxa"/>
            <w:tcBorders>
              <w:top w:val="single" w:sz="4" w:space="0" w:color="auto"/>
              <w:left w:val="nil"/>
              <w:bottom w:val="single" w:sz="4" w:space="0" w:color="auto"/>
              <w:right w:val="nil"/>
            </w:tcBorders>
            <w:shd w:val="clear" w:color="auto" w:fill="C5D397"/>
            <w:noWrap/>
            <w:vAlign w:val="bottom"/>
            <w:hideMark/>
          </w:tcPr>
          <w:p w14:paraId="526C2FB5"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41,980</w:t>
            </w:r>
          </w:p>
        </w:tc>
        <w:tc>
          <w:tcPr>
            <w:tcW w:w="1300" w:type="dxa"/>
            <w:tcBorders>
              <w:top w:val="single" w:sz="4" w:space="0" w:color="auto"/>
              <w:left w:val="nil"/>
              <w:bottom w:val="single" w:sz="4" w:space="0" w:color="auto"/>
              <w:right w:val="nil"/>
            </w:tcBorders>
            <w:shd w:val="clear" w:color="auto" w:fill="C5D397"/>
            <w:noWrap/>
            <w:vAlign w:val="bottom"/>
            <w:hideMark/>
          </w:tcPr>
          <w:p w14:paraId="1B6F0926"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715</w:t>
            </w:r>
          </w:p>
        </w:tc>
        <w:tc>
          <w:tcPr>
            <w:tcW w:w="960" w:type="dxa"/>
            <w:tcBorders>
              <w:top w:val="single" w:sz="4" w:space="0" w:color="auto"/>
              <w:left w:val="single" w:sz="4" w:space="0" w:color="auto"/>
              <w:bottom w:val="single" w:sz="4" w:space="0" w:color="auto"/>
              <w:right w:val="single" w:sz="4" w:space="0" w:color="auto"/>
            </w:tcBorders>
            <w:shd w:val="clear" w:color="auto" w:fill="C5D397"/>
            <w:noWrap/>
            <w:vAlign w:val="bottom"/>
            <w:hideMark/>
          </w:tcPr>
          <w:p w14:paraId="0DBEBAD8"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62,373</w:t>
            </w:r>
          </w:p>
        </w:tc>
      </w:tr>
      <w:tr w:rsidR="00F92322" w:rsidRPr="00F92322" w14:paraId="542166EA" w14:textId="77777777" w:rsidTr="00D73221">
        <w:trPr>
          <w:trHeight w:val="168"/>
        </w:trPr>
        <w:tc>
          <w:tcPr>
            <w:tcW w:w="3114" w:type="dxa"/>
            <w:tcBorders>
              <w:top w:val="nil"/>
              <w:left w:val="single" w:sz="4" w:space="0" w:color="auto"/>
              <w:bottom w:val="nil"/>
              <w:right w:val="single" w:sz="4" w:space="0" w:color="auto"/>
            </w:tcBorders>
            <w:shd w:val="clear" w:color="auto" w:fill="auto"/>
            <w:noWrap/>
            <w:vAlign w:val="bottom"/>
            <w:hideMark/>
          </w:tcPr>
          <w:p w14:paraId="0AC0D13F" w14:textId="77777777" w:rsidR="00F92322" w:rsidRPr="00F92322" w:rsidRDefault="00F92322" w:rsidP="00F92322">
            <w:pPr>
              <w:rPr>
                <w:rFonts w:ascii="Calibri" w:hAnsi="Calibri" w:cs="Calibri"/>
                <w:color w:val="000000"/>
                <w:sz w:val="22"/>
                <w:szCs w:val="22"/>
              </w:rPr>
            </w:pPr>
            <w:r w:rsidRPr="00F92322">
              <w:rPr>
                <w:rFonts w:ascii="Calibri" w:hAnsi="Calibri" w:cs="Calibri"/>
                <w:color w:val="000000"/>
                <w:sz w:val="22"/>
                <w:szCs w:val="22"/>
              </w:rPr>
              <w:t> </w:t>
            </w:r>
          </w:p>
        </w:tc>
        <w:tc>
          <w:tcPr>
            <w:tcW w:w="960" w:type="dxa"/>
            <w:tcBorders>
              <w:top w:val="nil"/>
              <w:left w:val="nil"/>
              <w:bottom w:val="nil"/>
              <w:right w:val="nil"/>
            </w:tcBorders>
            <w:shd w:val="clear" w:color="auto" w:fill="auto"/>
            <w:noWrap/>
            <w:vAlign w:val="bottom"/>
            <w:hideMark/>
          </w:tcPr>
          <w:p w14:paraId="22280BD2" w14:textId="77777777" w:rsidR="00F92322" w:rsidRPr="00F92322" w:rsidRDefault="00F92322" w:rsidP="00F92322">
            <w:pPr>
              <w:rPr>
                <w:rFonts w:ascii="Calibri" w:hAnsi="Calibri" w:cs="Calibri"/>
                <w:color w:val="000000"/>
                <w:sz w:val="22"/>
                <w:szCs w:val="22"/>
              </w:rPr>
            </w:pPr>
          </w:p>
        </w:tc>
        <w:tc>
          <w:tcPr>
            <w:tcW w:w="1273" w:type="dxa"/>
            <w:tcBorders>
              <w:top w:val="nil"/>
              <w:left w:val="nil"/>
              <w:bottom w:val="nil"/>
              <w:right w:val="single" w:sz="4" w:space="0" w:color="auto"/>
            </w:tcBorders>
            <w:shd w:val="clear" w:color="auto" w:fill="auto"/>
            <w:noWrap/>
            <w:vAlign w:val="bottom"/>
            <w:hideMark/>
          </w:tcPr>
          <w:p w14:paraId="755A3806" w14:textId="77777777" w:rsidR="00F92322" w:rsidRPr="00F92322" w:rsidRDefault="00F92322" w:rsidP="00F92322">
            <w:pPr>
              <w:jc w:val="center"/>
              <w:rPr>
                <w:rFonts w:ascii="Calibri" w:hAnsi="Calibri" w:cs="Calibri"/>
                <w:color w:val="000000"/>
                <w:sz w:val="22"/>
                <w:szCs w:val="22"/>
              </w:rPr>
            </w:pPr>
            <w:r w:rsidRPr="00F92322">
              <w:rPr>
                <w:rFonts w:ascii="Calibri" w:hAnsi="Calibri" w:cs="Calibri"/>
                <w:color w:val="000000"/>
                <w:sz w:val="22"/>
                <w:szCs w:val="22"/>
              </w:rPr>
              <w:t> </w:t>
            </w:r>
          </w:p>
        </w:tc>
        <w:tc>
          <w:tcPr>
            <w:tcW w:w="1120" w:type="dxa"/>
            <w:tcBorders>
              <w:top w:val="nil"/>
              <w:left w:val="nil"/>
              <w:bottom w:val="nil"/>
              <w:right w:val="nil"/>
            </w:tcBorders>
            <w:shd w:val="clear" w:color="auto" w:fill="auto"/>
            <w:noWrap/>
            <w:vAlign w:val="bottom"/>
            <w:hideMark/>
          </w:tcPr>
          <w:p w14:paraId="21243BFD" w14:textId="77777777" w:rsidR="00F92322" w:rsidRPr="00F92322" w:rsidRDefault="00F92322" w:rsidP="00F92322">
            <w:pPr>
              <w:jc w:val="center"/>
              <w:rPr>
                <w:rFonts w:ascii="Calibri" w:hAnsi="Calibri" w:cs="Calibri"/>
                <w:color w:val="000000"/>
                <w:sz w:val="22"/>
                <w:szCs w:val="22"/>
              </w:rPr>
            </w:pPr>
          </w:p>
        </w:tc>
        <w:tc>
          <w:tcPr>
            <w:tcW w:w="1300" w:type="dxa"/>
            <w:tcBorders>
              <w:top w:val="nil"/>
              <w:left w:val="nil"/>
              <w:bottom w:val="nil"/>
              <w:right w:val="nil"/>
            </w:tcBorders>
            <w:shd w:val="clear" w:color="auto" w:fill="auto"/>
            <w:noWrap/>
            <w:vAlign w:val="bottom"/>
            <w:hideMark/>
          </w:tcPr>
          <w:p w14:paraId="061E0B7E" w14:textId="77777777" w:rsidR="00F92322" w:rsidRPr="00F92322" w:rsidRDefault="00F92322" w:rsidP="00F92322">
            <w:pPr>
              <w:jc w:val="center"/>
              <w:rPr>
                <w:sz w:val="20"/>
                <w:szCs w:val="20"/>
              </w:rPr>
            </w:pPr>
          </w:p>
        </w:tc>
        <w:tc>
          <w:tcPr>
            <w:tcW w:w="960" w:type="dxa"/>
            <w:tcBorders>
              <w:top w:val="nil"/>
              <w:left w:val="single" w:sz="4" w:space="0" w:color="auto"/>
              <w:bottom w:val="nil"/>
              <w:right w:val="single" w:sz="4" w:space="0" w:color="auto"/>
            </w:tcBorders>
            <w:shd w:val="clear" w:color="auto" w:fill="auto"/>
            <w:noWrap/>
            <w:vAlign w:val="bottom"/>
            <w:hideMark/>
          </w:tcPr>
          <w:p w14:paraId="49AB8530"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 </w:t>
            </w:r>
          </w:p>
        </w:tc>
      </w:tr>
      <w:tr w:rsidR="00F92322" w:rsidRPr="00F92322" w14:paraId="37F133B8" w14:textId="77777777" w:rsidTr="00D73221">
        <w:trPr>
          <w:trHeight w:val="300"/>
        </w:trPr>
        <w:tc>
          <w:tcPr>
            <w:tcW w:w="3114" w:type="dxa"/>
            <w:tcBorders>
              <w:top w:val="single" w:sz="4" w:space="0" w:color="auto"/>
              <w:left w:val="single" w:sz="4" w:space="0" w:color="auto"/>
              <w:bottom w:val="double" w:sz="6" w:space="0" w:color="auto"/>
              <w:right w:val="single" w:sz="4" w:space="0" w:color="auto"/>
            </w:tcBorders>
            <w:shd w:val="clear" w:color="auto" w:fill="C5D397"/>
            <w:noWrap/>
            <w:vAlign w:val="bottom"/>
            <w:hideMark/>
          </w:tcPr>
          <w:p w14:paraId="20760F1A" w14:textId="77777777" w:rsidR="00F92322" w:rsidRPr="00F92322" w:rsidRDefault="00F92322" w:rsidP="00F92322">
            <w:pPr>
              <w:rPr>
                <w:rFonts w:ascii="Calibri" w:hAnsi="Calibri" w:cs="Calibri"/>
                <w:b/>
                <w:bCs/>
                <w:color w:val="000000"/>
                <w:sz w:val="22"/>
                <w:szCs w:val="22"/>
              </w:rPr>
            </w:pPr>
            <w:r w:rsidRPr="00F92322">
              <w:rPr>
                <w:rFonts w:ascii="Calibri" w:hAnsi="Calibri" w:cs="Calibri"/>
                <w:b/>
                <w:bCs/>
                <w:color w:val="000000"/>
                <w:sz w:val="22"/>
                <w:szCs w:val="22"/>
              </w:rPr>
              <w:t>CoGG</w:t>
            </w:r>
          </w:p>
        </w:tc>
        <w:tc>
          <w:tcPr>
            <w:tcW w:w="960" w:type="dxa"/>
            <w:tcBorders>
              <w:top w:val="single" w:sz="4" w:space="0" w:color="auto"/>
              <w:left w:val="nil"/>
              <w:bottom w:val="double" w:sz="6" w:space="0" w:color="auto"/>
              <w:right w:val="nil"/>
            </w:tcBorders>
            <w:shd w:val="clear" w:color="auto" w:fill="C5D397"/>
            <w:noWrap/>
            <w:vAlign w:val="bottom"/>
            <w:hideMark/>
          </w:tcPr>
          <w:p w14:paraId="6C2E2817"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18,820</w:t>
            </w:r>
          </w:p>
        </w:tc>
        <w:tc>
          <w:tcPr>
            <w:tcW w:w="1273" w:type="dxa"/>
            <w:tcBorders>
              <w:top w:val="single" w:sz="4" w:space="0" w:color="auto"/>
              <w:left w:val="nil"/>
              <w:bottom w:val="double" w:sz="6" w:space="0" w:color="auto"/>
              <w:right w:val="single" w:sz="4" w:space="0" w:color="auto"/>
            </w:tcBorders>
            <w:shd w:val="clear" w:color="auto" w:fill="C5D397"/>
            <w:noWrap/>
            <w:vAlign w:val="bottom"/>
            <w:hideMark/>
          </w:tcPr>
          <w:p w14:paraId="41C4FDC8"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6,103</w:t>
            </w:r>
          </w:p>
        </w:tc>
        <w:tc>
          <w:tcPr>
            <w:tcW w:w="1120" w:type="dxa"/>
            <w:tcBorders>
              <w:top w:val="single" w:sz="4" w:space="0" w:color="auto"/>
              <w:left w:val="nil"/>
              <w:bottom w:val="double" w:sz="6" w:space="0" w:color="auto"/>
              <w:right w:val="nil"/>
            </w:tcBorders>
            <w:shd w:val="clear" w:color="auto" w:fill="C5D397"/>
            <w:noWrap/>
            <w:vAlign w:val="bottom"/>
            <w:hideMark/>
          </w:tcPr>
          <w:p w14:paraId="3D48AC36"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41,980</w:t>
            </w:r>
          </w:p>
        </w:tc>
        <w:tc>
          <w:tcPr>
            <w:tcW w:w="1300" w:type="dxa"/>
            <w:tcBorders>
              <w:top w:val="single" w:sz="4" w:space="0" w:color="auto"/>
              <w:left w:val="nil"/>
              <w:bottom w:val="double" w:sz="6" w:space="0" w:color="auto"/>
              <w:right w:val="nil"/>
            </w:tcBorders>
            <w:shd w:val="clear" w:color="auto" w:fill="C5D397"/>
            <w:noWrap/>
            <w:vAlign w:val="bottom"/>
            <w:hideMark/>
          </w:tcPr>
          <w:p w14:paraId="28036331"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3,316</w:t>
            </w:r>
          </w:p>
        </w:tc>
        <w:tc>
          <w:tcPr>
            <w:tcW w:w="960" w:type="dxa"/>
            <w:tcBorders>
              <w:top w:val="single" w:sz="4" w:space="0" w:color="auto"/>
              <w:left w:val="single" w:sz="4" w:space="0" w:color="auto"/>
              <w:bottom w:val="double" w:sz="6" w:space="0" w:color="auto"/>
              <w:right w:val="single" w:sz="4" w:space="0" w:color="auto"/>
            </w:tcBorders>
            <w:shd w:val="clear" w:color="auto" w:fill="C5D397"/>
            <w:noWrap/>
            <w:vAlign w:val="bottom"/>
            <w:hideMark/>
          </w:tcPr>
          <w:p w14:paraId="250124E5" w14:textId="77777777" w:rsidR="00F92322" w:rsidRPr="00F92322" w:rsidRDefault="00F92322" w:rsidP="00F92322">
            <w:pPr>
              <w:jc w:val="center"/>
              <w:rPr>
                <w:rFonts w:ascii="Calibri" w:hAnsi="Calibri" w:cs="Calibri"/>
                <w:b/>
                <w:bCs/>
                <w:color w:val="000000"/>
                <w:sz w:val="22"/>
                <w:szCs w:val="22"/>
              </w:rPr>
            </w:pPr>
            <w:r w:rsidRPr="00F92322">
              <w:rPr>
                <w:rFonts w:ascii="Calibri" w:hAnsi="Calibri" w:cs="Calibri"/>
                <w:b/>
                <w:bCs/>
                <w:color w:val="000000"/>
                <w:sz w:val="22"/>
                <w:szCs w:val="22"/>
              </w:rPr>
              <w:t>70,219</w:t>
            </w:r>
          </w:p>
        </w:tc>
      </w:tr>
    </w:tbl>
    <w:bookmarkEnd w:id="59"/>
    <w:bookmarkEnd w:id="60"/>
    <w:p w14:paraId="48001CA5" w14:textId="52BED3BC" w:rsidR="002763B5" w:rsidRDefault="00D55782" w:rsidP="00D67F67">
      <w:pPr>
        <w:spacing w:after="120"/>
        <w:ind w:left="-6" w:right="3391" w:hanging="11"/>
        <w:rPr>
          <w:rFonts w:ascii="Corbel" w:hAnsi="Corbel"/>
          <w:sz w:val="16"/>
        </w:rPr>
      </w:pPr>
      <w:r w:rsidRPr="0009387F">
        <w:rPr>
          <w:rFonts w:ascii="Corbel" w:hAnsi="Corbel"/>
          <w:b/>
          <w:sz w:val="16"/>
        </w:rPr>
        <w:t>Source:</w:t>
      </w:r>
      <w:r w:rsidRPr="0009387F">
        <w:rPr>
          <w:rFonts w:ascii="Corbel" w:hAnsi="Corbel"/>
          <w:sz w:val="16"/>
        </w:rPr>
        <w:t xml:space="preserve"> Spatial Economics Pty Ltd </w:t>
      </w:r>
    </w:p>
    <w:p w14:paraId="7DCDB24D" w14:textId="77316A4A" w:rsidR="0057467C" w:rsidRDefault="00CA20E7" w:rsidP="00CA20E7">
      <w:pPr>
        <w:ind w:left="-6" w:right="3391" w:hanging="11"/>
        <w:rPr>
          <w:rFonts w:ascii="Corbel" w:hAnsi="Corbel"/>
          <w:b/>
          <w:sz w:val="22"/>
          <w:szCs w:val="22"/>
        </w:rPr>
      </w:pPr>
      <w:r>
        <w:rPr>
          <w:rFonts w:ascii="Corbel" w:hAnsi="Corbel"/>
          <w:b/>
          <w:sz w:val="22"/>
          <w:szCs w:val="22"/>
        </w:rPr>
        <w:t>Land Fragmentation</w:t>
      </w:r>
    </w:p>
    <w:p w14:paraId="6E170077" w14:textId="1CD4995E" w:rsidR="00CA20E7" w:rsidRDefault="00CA20E7" w:rsidP="00CA20E7">
      <w:pPr>
        <w:spacing w:after="120"/>
        <w:ind w:left="-6" w:right="7" w:hanging="11"/>
        <w:rPr>
          <w:rFonts w:ascii="Corbel" w:hAnsi="Corbel"/>
          <w:bCs/>
          <w:sz w:val="22"/>
          <w:szCs w:val="22"/>
        </w:rPr>
      </w:pPr>
      <w:r w:rsidRPr="00CA20E7">
        <w:rPr>
          <w:rFonts w:ascii="Corbel" w:hAnsi="Corbel"/>
          <w:bCs/>
          <w:sz w:val="22"/>
          <w:szCs w:val="22"/>
        </w:rPr>
        <w:t xml:space="preserve">It was highlighted </w:t>
      </w:r>
      <w:r>
        <w:rPr>
          <w:rFonts w:ascii="Corbel" w:hAnsi="Corbel"/>
          <w:bCs/>
          <w:sz w:val="22"/>
          <w:szCs w:val="22"/>
        </w:rPr>
        <w:t xml:space="preserve">to Spatial Economics </w:t>
      </w:r>
      <w:r w:rsidRPr="00CA20E7">
        <w:rPr>
          <w:rFonts w:ascii="Corbel" w:hAnsi="Corbel"/>
          <w:bCs/>
          <w:sz w:val="22"/>
          <w:szCs w:val="22"/>
        </w:rPr>
        <w:t xml:space="preserve">through the land development industry consultation </w:t>
      </w:r>
      <w:r>
        <w:rPr>
          <w:rFonts w:ascii="Corbel" w:hAnsi="Corbel"/>
          <w:bCs/>
          <w:sz w:val="22"/>
          <w:szCs w:val="22"/>
        </w:rPr>
        <w:t xml:space="preserve">process that land fragmentation within the Armstrong Creek Growth Area </w:t>
      </w:r>
      <w:r w:rsidR="00982FA1">
        <w:rPr>
          <w:rFonts w:ascii="Corbel" w:hAnsi="Corbel"/>
          <w:bCs/>
          <w:sz w:val="22"/>
          <w:szCs w:val="22"/>
        </w:rPr>
        <w:t>is</w:t>
      </w:r>
      <w:r>
        <w:rPr>
          <w:rFonts w:ascii="Corbel" w:hAnsi="Corbel"/>
          <w:bCs/>
          <w:sz w:val="22"/>
          <w:szCs w:val="22"/>
        </w:rPr>
        <w:t xml:space="preserve"> a potential issue in terms of land release timing. </w:t>
      </w:r>
      <w:bookmarkStart w:id="61" w:name="_Hlk101103989"/>
      <w:r w:rsidR="00DD48C0">
        <w:rPr>
          <w:rFonts w:ascii="Corbel" w:hAnsi="Corbel"/>
          <w:bCs/>
          <w:sz w:val="22"/>
          <w:szCs w:val="22"/>
        </w:rPr>
        <w:t xml:space="preserve">Industry stakeholders agreed that land identified as being heavily fragmented will be developed over the course of time. However, the issue highlighted was the uncertainty of </w:t>
      </w:r>
      <w:r w:rsidR="00982FA1">
        <w:rPr>
          <w:rFonts w:ascii="Corbel" w:hAnsi="Corbel"/>
          <w:bCs/>
          <w:sz w:val="22"/>
          <w:szCs w:val="22"/>
        </w:rPr>
        <w:t xml:space="preserve">the </w:t>
      </w:r>
      <w:r w:rsidR="00DD48C0">
        <w:rPr>
          <w:rFonts w:ascii="Corbel" w:hAnsi="Corbel"/>
          <w:bCs/>
          <w:sz w:val="22"/>
          <w:szCs w:val="22"/>
        </w:rPr>
        <w:t>timing</w:t>
      </w:r>
      <w:r w:rsidR="00982FA1">
        <w:rPr>
          <w:rFonts w:ascii="Corbel" w:hAnsi="Corbel"/>
          <w:bCs/>
          <w:sz w:val="22"/>
          <w:szCs w:val="22"/>
        </w:rPr>
        <w:t xml:space="preserve"> and scale</w:t>
      </w:r>
      <w:r w:rsidR="00DD48C0">
        <w:rPr>
          <w:rFonts w:ascii="Corbel" w:hAnsi="Corbel"/>
          <w:bCs/>
          <w:sz w:val="22"/>
          <w:szCs w:val="22"/>
        </w:rPr>
        <w:t xml:space="preserve"> of land development</w:t>
      </w:r>
      <w:r w:rsidR="00982FA1">
        <w:rPr>
          <w:rFonts w:ascii="Corbel" w:hAnsi="Corbel"/>
          <w:bCs/>
          <w:sz w:val="22"/>
          <w:szCs w:val="22"/>
        </w:rPr>
        <w:t xml:space="preserve"> outcomes</w:t>
      </w:r>
      <w:r w:rsidR="00DD48C0">
        <w:rPr>
          <w:rFonts w:ascii="Corbel" w:hAnsi="Corbel"/>
          <w:bCs/>
          <w:sz w:val="22"/>
          <w:szCs w:val="22"/>
        </w:rPr>
        <w:t xml:space="preserve">. </w:t>
      </w:r>
      <w:bookmarkEnd w:id="61"/>
      <w:r w:rsidR="00DD48C0">
        <w:rPr>
          <w:rFonts w:ascii="Corbel" w:hAnsi="Corbel"/>
          <w:bCs/>
          <w:sz w:val="22"/>
          <w:szCs w:val="22"/>
        </w:rPr>
        <w:t>This revolved around the ‘assembly’ of the fragmented land parcels.</w:t>
      </w:r>
    </w:p>
    <w:p w14:paraId="1C8EFC5F" w14:textId="230C7D1F" w:rsidR="00DD48C0" w:rsidRPr="00CA20E7" w:rsidRDefault="005646FB" w:rsidP="00CA20E7">
      <w:pPr>
        <w:spacing w:after="120"/>
        <w:ind w:left="-6" w:right="7" w:hanging="11"/>
        <w:rPr>
          <w:rFonts w:ascii="Corbel" w:hAnsi="Corbel"/>
          <w:bCs/>
          <w:sz w:val="22"/>
          <w:szCs w:val="22"/>
        </w:rPr>
      </w:pPr>
      <w:bookmarkStart w:id="62" w:name="_Hlk101103941"/>
      <w:r>
        <w:rPr>
          <w:rFonts w:ascii="Corbel" w:hAnsi="Corbel"/>
          <w:bCs/>
          <w:sz w:val="22"/>
          <w:szCs w:val="22"/>
        </w:rPr>
        <w:t xml:space="preserve">Spatial Economics have assessed the issue of land parcel fragmentation in </w:t>
      </w:r>
      <w:r w:rsidR="00982FA1">
        <w:rPr>
          <w:rFonts w:ascii="Corbel" w:hAnsi="Corbel"/>
          <w:bCs/>
          <w:sz w:val="22"/>
          <w:szCs w:val="22"/>
        </w:rPr>
        <w:t xml:space="preserve">the </w:t>
      </w:r>
      <w:r>
        <w:rPr>
          <w:rFonts w:ascii="Corbel" w:hAnsi="Corbel"/>
          <w:bCs/>
          <w:sz w:val="22"/>
          <w:szCs w:val="22"/>
        </w:rPr>
        <w:t xml:space="preserve">Armstrong Creek </w:t>
      </w:r>
      <w:r w:rsidR="00982FA1">
        <w:rPr>
          <w:rFonts w:ascii="Corbel" w:hAnsi="Corbel"/>
          <w:bCs/>
          <w:sz w:val="22"/>
          <w:szCs w:val="22"/>
        </w:rPr>
        <w:t xml:space="preserve">Growth Area </w:t>
      </w:r>
      <w:r>
        <w:rPr>
          <w:rFonts w:ascii="Corbel" w:hAnsi="Corbel"/>
          <w:bCs/>
          <w:sz w:val="22"/>
          <w:szCs w:val="22"/>
        </w:rPr>
        <w:t xml:space="preserve">with input from the industry consultation process. It is estimated that land parcels that </w:t>
      </w:r>
      <w:r>
        <w:rPr>
          <w:rFonts w:ascii="Corbel" w:hAnsi="Corbel"/>
          <w:bCs/>
          <w:sz w:val="22"/>
          <w:szCs w:val="22"/>
        </w:rPr>
        <w:lastRenderedPageBreak/>
        <w:t>are identified as fragmented within the Armstrong Creek</w:t>
      </w:r>
      <w:r w:rsidR="00982FA1">
        <w:rPr>
          <w:rFonts w:ascii="Corbel" w:hAnsi="Corbel"/>
          <w:bCs/>
          <w:sz w:val="22"/>
          <w:szCs w:val="22"/>
        </w:rPr>
        <w:t xml:space="preserve"> Growth Area</w:t>
      </w:r>
      <w:r>
        <w:rPr>
          <w:rFonts w:ascii="Corbel" w:hAnsi="Corbel"/>
          <w:bCs/>
          <w:sz w:val="22"/>
          <w:szCs w:val="22"/>
        </w:rPr>
        <w:t xml:space="preserve"> equate to</w:t>
      </w:r>
      <w:r w:rsidR="00982FA1">
        <w:rPr>
          <w:rFonts w:ascii="Corbel" w:hAnsi="Corbel"/>
          <w:bCs/>
          <w:sz w:val="22"/>
          <w:szCs w:val="22"/>
        </w:rPr>
        <w:t xml:space="preserve"> a </w:t>
      </w:r>
      <w:proofErr w:type="gramStart"/>
      <w:r w:rsidR="00982FA1">
        <w:rPr>
          <w:rFonts w:ascii="Corbel" w:hAnsi="Corbel"/>
          <w:bCs/>
          <w:sz w:val="22"/>
          <w:szCs w:val="22"/>
        </w:rPr>
        <w:t>lot</w:t>
      </w:r>
      <w:proofErr w:type="gramEnd"/>
      <w:r w:rsidR="00982FA1">
        <w:rPr>
          <w:rFonts w:ascii="Corbel" w:hAnsi="Corbel"/>
          <w:bCs/>
          <w:sz w:val="22"/>
          <w:szCs w:val="22"/>
        </w:rPr>
        <w:t xml:space="preserve"> potential yield of</w:t>
      </w:r>
      <w:r>
        <w:rPr>
          <w:rFonts w:ascii="Corbel" w:hAnsi="Corbel"/>
          <w:bCs/>
          <w:sz w:val="22"/>
          <w:szCs w:val="22"/>
        </w:rPr>
        <w:t xml:space="preserve"> 1,985.</w:t>
      </w:r>
    </w:p>
    <w:p w14:paraId="7BA6673B" w14:textId="237962E7" w:rsidR="002D2B4E" w:rsidRDefault="0091434A" w:rsidP="002D2B4E">
      <w:pPr>
        <w:pStyle w:val="Heading4"/>
        <w:keepNext w:val="0"/>
        <w:keepLines w:val="0"/>
        <w:widowControl w:val="0"/>
        <w:pBdr>
          <w:top w:val="single" w:sz="4" w:space="0" w:color="000000"/>
          <w:left w:val="single" w:sz="4" w:space="0" w:color="000000"/>
          <w:bottom w:val="single" w:sz="4" w:space="0" w:color="000000"/>
          <w:right w:val="single" w:sz="4" w:space="0" w:color="000000"/>
        </w:pBdr>
        <w:shd w:val="clear" w:color="auto" w:fill="EBF1DE"/>
        <w:spacing w:after="0" w:line="259" w:lineRule="auto"/>
        <w:ind w:left="-17" w:right="153" w:firstLine="0"/>
        <w:rPr>
          <w:rFonts w:cs="Times New Roman"/>
        </w:rPr>
      </w:pPr>
      <w:bookmarkStart w:id="63" w:name="_Hlk13143675"/>
      <w:bookmarkEnd w:id="62"/>
      <w:r>
        <w:rPr>
          <w:rFonts w:cs="Times New Roman"/>
        </w:rPr>
        <w:t>Summary</w:t>
      </w:r>
    </w:p>
    <w:p w14:paraId="7C9B6046" w14:textId="77777777" w:rsidR="002D2B4E" w:rsidRPr="002D2B4E" w:rsidRDefault="002D2B4E" w:rsidP="002D2B4E">
      <w:pPr>
        <w:pStyle w:val="Heading4"/>
        <w:keepNext w:val="0"/>
        <w:keepLines w:val="0"/>
        <w:widowControl w:val="0"/>
        <w:pBdr>
          <w:top w:val="single" w:sz="4" w:space="0" w:color="000000"/>
          <w:left w:val="single" w:sz="4" w:space="0" w:color="000000"/>
          <w:bottom w:val="single" w:sz="4" w:space="0" w:color="000000"/>
          <w:right w:val="single" w:sz="4" w:space="0" w:color="000000"/>
        </w:pBdr>
        <w:shd w:val="clear" w:color="auto" w:fill="EBF1DE"/>
        <w:spacing w:after="120" w:line="259" w:lineRule="auto"/>
        <w:ind w:left="-17" w:right="153" w:firstLine="0"/>
        <w:rPr>
          <w:b w:val="0"/>
          <w:bCs/>
        </w:rPr>
      </w:pPr>
      <w:bookmarkStart w:id="64" w:name="_Hlk101193431"/>
      <w:r w:rsidRPr="002D2B4E">
        <w:rPr>
          <w:b w:val="0"/>
          <w:bCs/>
        </w:rPr>
        <w:t>As at March 2022, there was an undeveloped residential lot capacity within zoned broadhectare sites of approximately 25,000 across the municipal area of Geelong. Of this zoned undeveloped broadhectare land stock, 6,100 lots have preliminary subdivision approval.</w:t>
      </w:r>
    </w:p>
    <w:bookmarkEnd w:id="64"/>
    <w:p w14:paraId="49F2F66E" w14:textId="77777777" w:rsidR="002D2B4E" w:rsidRPr="002D2B4E" w:rsidRDefault="002D2B4E" w:rsidP="002D2B4E">
      <w:pPr>
        <w:pStyle w:val="Heading4"/>
        <w:keepNext w:val="0"/>
        <w:keepLines w:val="0"/>
        <w:widowControl w:val="0"/>
        <w:pBdr>
          <w:top w:val="single" w:sz="4" w:space="0" w:color="000000"/>
          <w:left w:val="single" w:sz="4" w:space="0" w:color="000000"/>
          <w:bottom w:val="single" w:sz="4" w:space="0" w:color="000000"/>
          <w:right w:val="single" w:sz="4" w:space="0" w:color="000000"/>
        </w:pBdr>
        <w:shd w:val="clear" w:color="auto" w:fill="EBF1DE"/>
        <w:spacing w:after="120" w:line="259" w:lineRule="auto"/>
        <w:ind w:left="-17" w:right="153" w:firstLine="0"/>
        <w:rPr>
          <w:b w:val="0"/>
          <w:bCs/>
        </w:rPr>
      </w:pPr>
      <w:r w:rsidRPr="002D2B4E">
        <w:rPr>
          <w:b w:val="0"/>
          <w:bCs/>
        </w:rPr>
        <w:t xml:space="preserve">Spatial Economics have assessed the issue of land parcel fragmentation in the Armstrong Creek Growth Area with input from the industry consultation process. It is estimated that land parcels that are identified as fragmented within the Armstrong Creek Growth Area equate to a </w:t>
      </w:r>
      <w:proofErr w:type="gramStart"/>
      <w:r w:rsidRPr="002D2B4E">
        <w:rPr>
          <w:b w:val="0"/>
          <w:bCs/>
        </w:rPr>
        <w:t>lot</w:t>
      </w:r>
      <w:proofErr w:type="gramEnd"/>
      <w:r w:rsidRPr="002D2B4E">
        <w:rPr>
          <w:b w:val="0"/>
          <w:bCs/>
        </w:rPr>
        <w:t xml:space="preserve"> potential yield of 1,985</w:t>
      </w:r>
    </w:p>
    <w:p w14:paraId="1654C06C" w14:textId="77777777" w:rsidR="002D2B4E" w:rsidRPr="002D2B4E" w:rsidRDefault="002D2B4E" w:rsidP="002D2B4E">
      <w:pPr>
        <w:pStyle w:val="Heading4"/>
        <w:keepNext w:val="0"/>
        <w:keepLines w:val="0"/>
        <w:widowControl w:val="0"/>
        <w:pBdr>
          <w:top w:val="single" w:sz="4" w:space="0" w:color="000000"/>
          <w:left w:val="single" w:sz="4" w:space="0" w:color="000000"/>
          <w:bottom w:val="single" w:sz="4" w:space="0" w:color="000000"/>
          <w:right w:val="single" w:sz="4" w:space="0" w:color="000000"/>
        </w:pBdr>
        <w:shd w:val="clear" w:color="auto" w:fill="EBF1DE"/>
        <w:spacing w:after="120" w:line="259" w:lineRule="auto"/>
        <w:ind w:left="-17" w:right="153" w:firstLine="0"/>
        <w:rPr>
          <w:b w:val="0"/>
          <w:bCs/>
        </w:rPr>
      </w:pPr>
      <w:r w:rsidRPr="002D2B4E">
        <w:rPr>
          <w:b w:val="0"/>
          <w:bCs/>
        </w:rPr>
        <w:t>Industry stakeholders agreed that land identified as being heavily fragmented will be developed over the course of time. However, the issue highlighted was the uncertainty of the timing and scale of land development outcomes.</w:t>
      </w:r>
    </w:p>
    <w:p w14:paraId="02EE3F63" w14:textId="46E9E721" w:rsidR="002D2B4E" w:rsidRPr="002D2B4E" w:rsidRDefault="002D2B4E" w:rsidP="002D2B4E">
      <w:pPr>
        <w:pStyle w:val="Heading4"/>
        <w:keepNext w:val="0"/>
        <w:keepLines w:val="0"/>
        <w:widowControl w:val="0"/>
        <w:pBdr>
          <w:top w:val="single" w:sz="4" w:space="0" w:color="000000"/>
          <w:left w:val="single" w:sz="4" w:space="0" w:color="000000"/>
          <w:bottom w:val="single" w:sz="4" w:space="0" w:color="000000"/>
          <w:right w:val="single" w:sz="4" w:space="0" w:color="000000"/>
        </w:pBdr>
        <w:shd w:val="clear" w:color="auto" w:fill="EBF1DE"/>
        <w:spacing w:after="0" w:line="259" w:lineRule="auto"/>
        <w:ind w:left="-17" w:right="153" w:firstLine="0"/>
        <w:rPr>
          <w:b w:val="0"/>
          <w:bCs/>
        </w:rPr>
      </w:pPr>
      <w:bookmarkStart w:id="65" w:name="_Hlk101193467"/>
      <w:r w:rsidRPr="002D2B4E">
        <w:rPr>
          <w:b w:val="0"/>
          <w:bCs/>
        </w:rPr>
        <w:t>In addition to the zoned land stocks, there are approximately 4,200 hectares of land (with an estimated yield of 45,300 dwellings) identified for potential future broadhectare residential development across the municipal area. The bulk of this supply (88%) is located in the Northern and Western Growth areas of Geelong.</w:t>
      </w:r>
    </w:p>
    <w:bookmarkEnd w:id="65"/>
    <w:p w14:paraId="6DD1F9A5" w14:textId="77777777" w:rsidR="0057467C" w:rsidRPr="0057467C" w:rsidRDefault="0057467C" w:rsidP="0057467C"/>
    <w:bookmarkEnd w:id="63"/>
    <w:p w14:paraId="097FA556" w14:textId="77777777" w:rsidR="000D1246" w:rsidRDefault="000D1246">
      <w:pPr>
        <w:spacing w:after="160" w:line="259" w:lineRule="auto"/>
        <w:rPr>
          <w:highlight w:val="yellow"/>
        </w:rPr>
      </w:pPr>
      <w:r>
        <w:rPr>
          <w:highlight w:val="yellow"/>
        </w:rPr>
        <w:br w:type="page"/>
      </w:r>
    </w:p>
    <w:p w14:paraId="00F68DF1" w14:textId="48BE7106" w:rsidR="000D1246" w:rsidRPr="0009387F" w:rsidRDefault="007036C0">
      <w:pPr>
        <w:spacing w:after="160" w:line="259" w:lineRule="auto"/>
        <w:rPr>
          <w:rFonts w:ascii="Corbel" w:hAnsi="Corbel"/>
          <w:sz w:val="22"/>
          <w:szCs w:val="22"/>
        </w:rPr>
      </w:pPr>
      <w:bookmarkStart w:id="66" w:name="_Hlk13245976"/>
      <w:r w:rsidRPr="0009387F">
        <w:rPr>
          <w:rFonts w:ascii="Corbel" w:hAnsi="Corbel"/>
          <w:b/>
          <w:bCs/>
          <w:sz w:val="22"/>
          <w:szCs w:val="22"/>
        </w:rPr>
        <w:lastRenderedPageBreak/>
        <w:t xml:space="preserve">Map </w:t>
      </w:r>
      <w:r w:rsidR="00F81442">
        <w:rPr>
          <w:rFonts w:ascii="Corbel" w:hAnsi="Corbel"/>
          <w:b/>
          <w:bCs/>
          <w:sz w:val="22"/>
          <w:szCs w:val="22"/>
        </w:rPr>
        <w:t>3</w:t>
      </w:r>
      <w:r w:rsidRPr="0009387F">
        <w:rPr>
          <w:rFonts w:ascii="Corbel" w:hAnsi="Corbel"/>
          <w:b/>
          <w:bCs/>
          <w:sz w:val="22"/>
          <w:szCs w:val="22"/>
        </w:rPr>
        <w:t>:</w:t>
      </w:r>
      <w:r w:rsidRPr="0009387F">
        <w:rPr>
          <w:rFonts w:ascii="Corbel" w:hAnsi="Corbel"/>
          <w:sz w:val="22"/>
          <w:szCs w:val="22"/>
        </w:rPr>
        <w:t xml:space="preserve"> Residential Land Supply– </w:t>
      </w:r>
      <w:r w:rsidR="00F81442">
        <w:rPr>
          <w:rFonts w:ascii="Corbel" w:hAnsi="Corbel"/>
          <w:sz w:val="22"/>
          <w:szCs w:val="22"/>
        </w:rPr>
        <w:t>Northern Growth Area (Lara)</w:t>
      </w:r>
    </w:p>
    <w:bookmarkEnd w:id="66"/>
    <w:p w14:paraId="0DB004C9" w14:textId="6202744C" w:rsidR="000D1246" w:rsidRPr="005450E5" w:rsidRDefault="001B5090">
      <w:pPr>
        <w:spacing w:after="160" w:line="259" w:lineRule="auto"/>
      </w:pPr>
      <w:r>
        <w:rPr>
          <w:noProof/>
        </w:rPr>
        <w:drawing>
          <wp:inline distT="0" distB="0" distL="0" distR="0" wp14:anchorId="40AC3720" wp14:editId="1376B11D">
            <wp:extent cx="5832325" cy="4602480"/>
            <wp:effectExtent l="0" t="0" r="0" b="7620"/>
            <wp:docPr id="82886" name="Picture 8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37885" cy="4606868"/>
                    </a:xfrm>
                    <a:prstGeom prst="rect">
                      <a:avLst/>
                    </a:prstGeom>
                    <a:noFill/>
                  </pic:spPr>
                </pic:pic>
              </a:graphicData>
            </a:graphic>
          </wp:inline>
        </w:drawing>
      </w:r>
    </w:p>
    <w:p w14:paraId="2378A05E" w14:textId="77777777" w:rsidR="00150149" w:rsidRDefault="00150149">
      <w:pPr>
        <w:spacing w:after="160" w:line="259" w:lineRule="auto"/>
        <w:rPr>
          <w:rFonts w:ascii="Corbel" w:hAnsi="Corbel"/>
          <w:b/>
          <w:bCs/>
          <w:sz w:val="22"/>
          <w:szCs w:val="22"/>
        </w:rPr>
      </w:pPr>
      <w:bookmarkStart w:id="67" w:name="_Hlk13245985"/>
      <w:r>
        <w:rPr>
          <w:rFonts w:ascii="Corbel" w:hAnsi="Corbel"/>
          <w:b/>
          <w:bCs/>
          <w:sz w:val="22"/>
          <w:szCs w:val="22"/>
        </w:rPr>
        <w:br w:type="page"/>
      </w:r>
    </w:p>
    <w:p w14:paraId="34B44945" w14:textId="3869E482" w:rsidR="007036C0" w:rsidRPr="0009387F" w:rsidRDefault="007036C0" w:rsidP="007036C0">
      <w:pPr>
        <w:spacing w:after="160" w:line="259" w:lineRule="auto"/>
        <w:rPr>
          <w:rFonts w:ascii="Corbel" w:hAnsi="Corbel"/>
          <w:sz w:val="22"/>
          <w:szCs w:val="22"/>
        </w:rPr>
      </w:pPr>
      <w:bookmarkStart w:id="68" w:name="_Hlk96508292"/>
      <w:r w:rsidRPr="0009387F">
        <w:rPr>
          <w:rFonts w:ascii="Corbel" w:hAnsi="Corbel"/>
          <w:b/>
          <w:bCs/>
          <w:sz w:val="22"/>
          <w:szCs w:val="22"/>
        </w:rPr>
        <w:lastRenderedPageBreak/>
        <w:t xml:space="preserve">Map </w:t>
      </w:r>
      <w:r w:rsidR="00F81442">
        <w:rPr>
          <w:rFonts w:ascii="Corbel" w:hAnsi="Corbel"/>
          <w:b/>
          <w:bCs/>
          <w:sz w:val="22"/>
          <w:szCs w:val="22"/>
        </w:rPr>
        <w:t>4</w:t>
      </w:r>
      <w:r w:rsidRPr="0009387F">
        <w:rPr>
          <w:rFonts w:ascii="Corbel" w:hAnsi="Corbel"/>
          <w:b/>
          <w:bCs/>
          <w:sz w:val="22"/>
          <w:szCs w:val="22"/>
        </w:rPr>
        <w:t>:</w:t>
      </w:r>
      <w:r w:rsidRPr="0009387F">
        <w:rPr>
          <w:rFonts w:ascii="Corbel" w:hAnsi="Corbel"/>
          <w:sz w:val="22"/>
          <w:szCs w:val="22"/>
        </w:rPr>
        <w:t xml:space="preserve"> </w:t>
      </w:r>
      <w:r w:rsidR="00150149" w:rsidRPr="0009387F">
        <w:rPr>
          <w:rFonts w:ascii="Corbel" w:hAnsi="Corbel"/>
          <w:sz w:val="22"/>
          <w:szCs w:val="22"/>
        </w:rPr>
        <w:t xml:space="preserve">Residential Land Supply– </w:t>
      </w:r>
      <w:r w:rsidR="00F81442">
        <w:rPr>
          <w:rFonts w:ascii="Corbel" w:hAnsi="Corbel"/>
          <w:sz w:val="22"/>
          <w:szCs w:val="22"/>
        </w:rPr>
        <w:t>Northern Growth Area (Lovely Banks)</w:t>
      </w:r>
    </w:p>
    <w:bookmarkEnd w:id="67"/>
    <w:bookmarkEnd w:id="68"/>
    <w:p w14:paraId="036BAE87" w14:textId="21AC9A59" w:rsidR="00DE609C" w:rsidRPr="00C41CEB" w:rsidRDefault="001B5090">
      <w:pPr>
        <w:spacing w:after="160" w:line="259" w:lineRule="auto"/>
      </w:pPr>
      <w:r>
        <w:rPr>
          <w:noProof/>
        </w:rPr>
        <w:drawing>
          <wp:inline distT="0" distB="0" distL="0" distR="0" wp14:anchorId="15EB60D1" wp14:editId="6C8655E3">
            <wp:extent cx="5894980" cy="5196840"/>
            <wp:effectExtent l="0" t="0" r="0" b="3810"/>
            <wp:docPr id="82887" name="Picture 8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4403" cy="5205147"/>
                    </a:xfrm>
                    <a:prstGeom prst="rect">
                      <a:avLst/>
                    </a:prstGeom>
                    <a:noFill/>
                  </pic:spPr>
                </pic:pic>
              </a:graphicData>
            </a:graphic>
          </wp:inline>
        </w:drawing>
      </w:r>
    </w:p>
    <w:p w14:paraId="55AC6A54" w14:textId="77777777" w:rsidR="00150149" w:rsidRDefault="00150149">
      <w:pPr>
        <w:spacing w:after="160" w:line="259" w:lineRule="auto"/>
        <w:rPr>
          <w:rFonts w:ascii="Corbel" w:hAnsi="Corbel"/>
          <w:b/>
          <w:bCs/>
          <w:sz w:val="22"/>
          <w:szCs w:val="22"/>
        </w:rPr>
      </w:pPr>
      <w:bookmarkStart w:id="69" w:name="_Hlk13245994"/>
      <w:r>
        <w:rPr>
          <w:rFonts w:ascii="Corbel" w:hAnsi="Corbel"/>
          <w:b/>
          <w:bCs/>
          <w:sz w:val="22"/>
          <w:szCs w:val="22"/>
        </w:rPr>
        <w:br w:type="page"/>
      </w:r>
    </w:p>
    <w:p w14:paraId="551333B1" w14:textId="55B0B0AF" w:rsidR="007036C0" w:rsidRPr="0009387F" w:rsidRDefault="007036C0" w:rsidP="007036C0">
      <w:pPr>
        <w:spacing w:after="160" w:line="259" w:lineRule="auto"/>
        <w:rPr>
          <w:rFonts w:ascii="Corbel" w:hAnsi="Corbel"/>
          <w:sz w:val="22"/>
          <w:szCs w:val="22"/>
        </w:rPr>
      </w:pPr>
      <w:bookmarkStart w:id="70" w:name="_Hlk96508301"/>
      <w:r w:rsidRPr="0009387F">
        <w:rPr>
          <w:rFonts w:ascii="Corbel" w:hAnsi="Corbel"/>
          <w:b/>
          <w:bCs/>
          <w:sz w:val="22"/>
          <w:szCs w:val="22"/>
        </w:rPr>
        <w:lastRenderedPageBreak/>
        <w:t xml:space="preserve">Map </w:t>
      </w:r>
      <w:r w:rsidR="00F81442">
        <w:rPr>
          <w:rFonts w:ascii="Corbel" w:hAnsi="Corbel"/>
          <w:b/>
          <w:bCs/>
          <w:sz w:val="22"/>
          <w:szCs w:val="22"/>
        </w:rPr>
        <w:t>5</w:t>
      </w:r>
      <w:r w:rsidRPr="0009387F">
        <w:rPr>
          <w:rFonts w:ascii="Corbel" w:hAnsi="Corbel"/>
          <w:b/>
          <w:bCs/>
          <w:sz w:val="22"/>
          <w:szCs w:val="22"/>
        </w:rPr>
        <w:t>:</w:t>
      </w:r>
      <w:r w:rsidRPr="0009387F">
        <w:rPr>
          <w:rFonts w:ascii="Corbel" w:hAnsi="Corbel"/>
          <w:sz w:val="22"/>
          <w:szCs w:val="22"/>
        </w:rPr>
        <w:t xml:space="preserve"> </w:t>
      </w:r>
      <w:r w:rsidR="00150149" w:rsidRPr="0009387F">
        <w:rPr>
          <w:rFonts w:ascii="Corbel" w:hAnsi="Corbel"/>
          <w:sz w:val="22"/>
          <w:szCs w:val="22"/>
        </w:rPr>
        <w:t xml:space="preserve">Residential Land Supply– </w:t>
      </w:r>
      <w:r w:rsidR="00F81442">
        <w:rPr>
          <w:rFonts w:ascii="Corbel" w:hAnsi="Corbel"/>
          <w:sz w:val="22"/>
          <w:szCs w:val="22"/>
        </w:rPr>
        <w:t>Geelong Urban (North)</w:t>
      </w:r>
    </w:p>
    <w:bookmarkEnd w:id="69"/>
    <w:bookmarkEnd w:id="70"/>
    <w:p w14:paraId="5CB2E9CC" w14:textId="3CA4A1E8" w:rsidR="00816A11" w:rsidRDefault="001B5090">
      <w:pPr>
        <w:spacing w:after="160" w:line="259" w:lineRule="auto"/>
      </w:pPr>
      <w:r>
        <w:rPr>
          <w:noProof/>
        </w:rPr>
        <w:drawing>
          <wp:inline distT="0" distB="0" distL="0" distR="0" wp14:anchorId="471D6A24" wp14:editId="38AE3853">
            <wp:extent cx="5878830" cy="4440186"/>
            <wp:effectExtent l="0" t="0" r="7620" b="0"/>
            <wp:docPr id="82888" name="Picture 8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93478" cy="4451250"/>
                    </a:xfrm>
                    <a:prstGeom prst="rect">
                      <a:avLst/>
                    </a:prstGeom>
                    <a:noFill/>
                  </pic:spPr>
                </pic:pic>
              </a:graphicData>
            </a:graphic>
          </wp:inline>
        </w:drawing>
      </w:r>
    </w:p>
    <w:p w14:paraId="56C02D32" w14:textId="2F270B02" w:rsidR="00150149" w:rsidRDefault="00150149">
      <w:pPr>
        <w:spacing w:after="160" w:line="259" w:lineRule="auto"/>
      </w:pPr>
      <w:r>
        <w:br w:type="page"/>
      </w:r>
    </w:p>
    <w:p w14:paraId="63864C5F" w14:textId="6050E256" w:rsidR="00150149" w:rsidRPr="0009387F" w:rsidRDefault="00150149" w:rsidP="00150149">
      <w:pPr>
        <w:spacing w:after="160" w:line="259" w:lineRule="auto"/>
        <w:rPr>
          <w:rFonts w:ascii="Corbel" w:hAnsi="Corbel"/>
          <w:sz w:val="22"/>
          <w:szCs w:val="22"/>
        </w:rPr>
      </w:pPr>
      <w:bookmarkStart w:id="71" w:name="_Hlk96508308"/>
      <w:r w:rsidRPr="0009387F">
        <w:rPr>
          <w:rFonts w:ascii="Corbel" w:hAnsi="Corbel"/>
          <w:b/>
          <w:bCs/>
          <w:sz w:val="22"/>
          <w:szCs w:val="22"/>
        </w:rPr>
        <w:lastRenderedPageBreak/>
        <w:t xml:space="preserve">Map </w:t>
      </w:r>
      <w:r w:rsidR="00F81442">
        <w:rPr>
          <w:rFonts w:ascii="Corbel" w:hAnsi="Corbel"/>
          <w:b/>
          <w:bCs/>
          <w:sz w:val="22"/>
          <w:szCs w:val="22"/>
        </w:rPr>
        <w:t>6</w:t>
      </w:r>
      <w:r w:rsidRPr="0009387F">
        <w:rPr>
          <w:rFonts w:ascii="Corbel" w:hAnsi="Corbel"/>
          <w:b/>
          <w:bCs/>
          <w:sz w:val="22"/>
          <w:szCs w:val="22"/>
        </w:rPr>
        <w:t>:</w:t>
      </w:r>
      <w:r w:rsidRPr="0009387F">
        <w:rPr>
          <w:rFonts w:ascii="Corbel" w:hAnsi="Corbel"/>
          <w:sz w:val="22"/>
          <w:szCs w:val="22"/>
        </w:rPr>
        <w:t xml:space="preserve"> Residential Land Supply– </w:t>
      </w:r>
      <w:r w:rsidR="00F81442">
        <w:rPr>
          <w:rFonts w:ascii="Corbel" w:hAnsi="Corbel"/>
          <w:sz w:val="22"/>
          <w:szCs w:val="22"/>
        </w:rPr>
        <w:t>Western Growth Area</w:t>
      </w:r>
    </w:p>
    <w:bookmarkEnd w:id="71"/>
    <w:p w14:paraId="09243373" w14:textId="75DAD301" w:rsidR="00660724" w:rsidRDefault="001B5090">
      <w:pPr>
        <w:spacing w:after="160" w:line="259" w:lineRule="auto"/>
      </w:pPr>
      <w:r>
        <w:rPr>
          <w:noProof/>
        </w:rPr>
        <w:drawing>
          <wp:inline distT="0" distB="0" distL="0" distR="0" wp14:anchorId="367EFEA9" wp14:editId="0C42B307">
            <wp:extent cx="5895340" cy="6889115"/>
            <wp:effectExtent l="0" t="0" r="0" b="6985"/>
            <wp:docPr id="82889" name="Picture 8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5340" cy="6889115"/>
                    </a:xfrm>
                    <a:prstGeom prst="rect">
                      <a:avLst/>
                    </a:prstGeom>
                    <a:noFill/>
                  </pic:spPr>
                </pic:pic>
              </a:graphicData>
            </a:graphic>
          </wp:inline>
        </w:drawing>
      </w:r>
    </w:p>
    <w:p w14:paraId="4CD684CA" w14:textId="2731F885" w:rsidR="00150149" w:rsidRDefault="00150149">
      <w:pPr>
        <w:spacing w:after="160" w:line="259" w:lineRule="auto"/>
      </w:pPr>
      <w:r>
        <w:br w:type="page"/>
      </w:r>
    </w:p>
    <w:p w14:paraId="5CB11432" w14:textId="1156D051" w:rsidR="007036C0" w:rsidRPr="0009387F" w:rsidRDefault="007036C0" w:rsidP="007036C0">
      <w:pPr>
        <w:spacing w:after="160" w:line="259" w:lineRule="auto"/>
        <w:rPr>
          <w:rFonts w:ascii="Corbel" w:hAnsi="Corbel"/>
          <w:sz w:val="22"/>
          <w:szCs w:val="22"/>
        </w:rPr>
      </w:pPr>
      <w:bookmarkStart w:id="72" w:name="_Hlk13246017"/>
      <w:r w:rsidRPr="0009387F">
        <w:rPr>
          <w:rFonts w:ascii="Corbel" w:hAnsi="Corbel"/>
          <w:b/>
          <w:bCs/>
          <w:sz w:val="22"/>
          <w:szCs w:val="22"/>
        </w:rPr>
        <w:lastRenderedPageBreak/>
        <w:t xml:space="preserve">Map </w:t>
      </w:r>
      <w:r w:rsidR="00F81442">
        <w:rPr>
          <w:rFonts w:ascii="Corbel" w:hAnsi="Corbel"/>
          <w:b/>
          <w:bCs/>
          <w:sz w:val="22"/>
          <w:szCs w:val="22"/>
        </w:rPr>
        <w:t>7</w:t>
      </w:r>
      <w:r w:rsidRPr="0009387F">
        <w:rPr>
          <w:rFonts w:ascii="Corbel" w:hAnsi="Corbel"/>
          <w:b/>
          <w:bCs/>
          <w:sz w:val="22"/>
          <w:szCs w:val="22"/>
        </w:rPr>
        <w:t>:</w:t>
      </w:r>
      <w:r w:rsidRPr="0009387F">
        <w:rPr>
          <w:rFonts w:ascii="Corbel" w:hAnsi="Corbel"/>
          <w:sz w:val="22"/>
          <w:szCs w:val="22"/>
        </w:rPr>
        <w:t xml:space="preserve"> </w:t>
      </w:r>
      <w:r w:rsidR="00150149" w:rsidRPr="0009387F">
        <w:rPr>
          <w:rFonts w:ascii="Corbel" w:hAnsi="Corbel"/>
          <w:sz w:val="22"/>
          <w:szCs w:val="22"/>
        </w:rPr>
        <w:t xml:space="preserve">Residential Land Supply– </w:t>
      </w:r>
      <w:r w:rsidR="00F81442">
        <w:rPr>
          <w:rFonts w:ascii="Corbel" w:hAnsi="Corbel"/>
          <w:sz w:val="22"/>
          <w:szCs w:val="22"/>
        </w:rPr>
        <w:t>Geelong Urban (South)</w:t>
      </w:r>
    </w:p>
    <w:bookmarkEnd w:id="72"/>
    <w:p w14:paraId="1060A1B3" w14:textId="5B57FEA3" w:rsidR="00561AED" w:rsidRDefault="001B5090">
      <w:pPr>
        <w:spacing w:after="160" w:line="259" w:lineRule="auto"/>
      </w:pPr>
      <w:r>
        <w:rPr>
          <w:noProof/>
        </w:rPr>
        <w:drawing>
          <wp:inline distT="0" distB="0" distL="0" distR="0" wp14:anchorId="63C5E6E1" wp14:editId="7CC8E6E3">
            <wp:extent cx="5601033" cy="8313420"/>
            <wp:effectExtent l="0" t="0" r="0" b="0"/>
            <wp:docPr id="82890" name="Picture 8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3640" cy="8332132"/>
                    </a:xfrm>
                    <a:prstGeom prst="rect">
                      <a:avLst/>
                    </a:prstGeom>
                    <a:noFill/>
                  </pic:spPr>
                </pic:pic>
              </a:graphicData>
            </a:graphic>
          </wp:inline>
        </w:drawing>
      </w:r>
    </w:p>
    <w:p w14:paraId="07CF0A55" w14:textId="77777777" w:rsidR="00150149" w:rsidRDefault="00150149">
      <w:pPr>
        <w:spacing w:after="160" w:line="259" w:lineRule="auto"/>
        <w:rPr>
          <w:rFonts w:ascii="Corbel" w:hAnsi="Corbel"/>
          <w:b/>
          <w:bCs/>
          <w:sz w:val="22"/>
          <w:szCs w:val="22"/>
        </w:rPr>
      </w:pPr>
      <w:bookmarkStart w:id="73" w:name="_Hlk13246027"/>
      <w:r>
        <w:rPr>
          <w:rFonts w:ascii="Corbel" w:hAnsi="Corbel"/>
          <w:b/>
          <w:bCs/>
          <w:sz w:val="22"/>
          <w:szCs w:val="22"/>
        </w:rPr>
        <w:br w:type="page"/>
      </w:r>
    </w:p>
    <w:p w14:paraId="66281A34" w14:textId="3DC02D47" w:rsidR="00CD06BF" w:rsidRPr="0009387F" w:rsidRDefault="00CD06BF" w:rsidP="00CD06BF">
      <w:pPr>
        <w:spacing w:after="160" w:line="259" w:lineRule="auto"/>
        <w:rPr>
          <w:rFonts w:ascii="Corbel" w:hAnsi="Corbel"/>
          <w:sz w:val="22"/>
          <w:szCs w:val="22"/>
        </w:rPr>
      </w:pPr>
      <w:bookmarkStart w:id="74" w:name="_Hlk96508322"/>
      <w:r w:rsidRPr="0009387F">
        <w:rPr>
          <w:rFonts w:ascii="Corbel" w:hAnsi="Corbel"/>
          <w:b/>
          <w:bCs/>
          <w:sz w:val="22"/>
          <w:szCs w:val="22"/>
        </w:rPr>
        <w:lastRenderedPageBreak/>
        <w:t xml:space="preserve">Map </w:t>
      </w:r>
      <w:r w:rsidR="00F81442">
        <w:rPr>
          <w:rFonts w:ascii="Corbel" w:hAnsi="Corbel"/>
          <w:b/>
          <w:bCs/>
          <w:sz w:val="22"/>
          <w:szCs w:val="22"/>
        </w:rPr>
        <w:t>8</w:t>
      </w:r>
      <w:r w:rsidRPr="0009387F">
        <w:rPr>
          <w:rFonts w:ascii="Corbel" w:hAnsi="Corbel"/>
          <w:b/>
          <w:bCs/>
          <w:sz w:val="22"/>
          <w:szCs w:val="22"/>
        </w:rPr>
        <w:t>:</w:t>
      </w:r>
      <w:r w:rsidRPr="0009387F">
        <w:rPr>
          <w:rFonts w:ascii="Corbel" w:hAnsi="Corbel"/>
          <w:sz w:val="22"/>
          <w:szCs w:val="22"/>
        </w:rPr>
        <w:t xml:space="preserve"> </w:t>
      </w:r>
      <w:r w:rsidR="00150149" w:rsidRPr="0009387F">
        <w:rPr>
          <w:rFonts w:ascii="Corbel" w:hAnsi="Corbel"/>
          <w:sz w:val="22"/>
          <w:szCs w:val="22"/>
        </w:rPr>
        <w:t xml:space="preserve">Residential Land Supply– </w:t>
      </w:r>
      <w:r w:rsidR="00F81442">
        <w:rPr>
          <w:rFonts w:ascii="Corbel" w:hAnsi="Corbel"/>
          <w:sz w:val="22"/>
          <w:szCs w:val="22"/>
        </w:rPr>
        <w:t>Armstrong Creek Growth Area</w:t>
      </w:r>
    </w:p>
    <w:bookmarkEnd w:id="73"/>
    <w:bookmarkEnd w:id="74"/>
    <w:p w14:paraId="2B82365A" w14:textId="6038E0BC" w:rsidR="00561AED" w:rsidRDefault="001B5090">
      <w:pPr>
        <w:spacing w:after="160" w:line="259" w:lineRule="auto"/>
      </w:pPr>
      <w:r>
        <w:rPr>
          <w:noProof/>
        </w:rPr>
        <w:drawing>
          <wp:inline distT="0" distB="0" distL="0" distR="0" wp14:anchorId="5D8973DD" wp14:editId="2EA28F93">
            <wp:extent cx="5891719" cy="4259580"/>
            <wp:effectExtent l="0" t="0" r="0" b="7620"/>
            <wp:docPr id="82891" name="Picture 8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99164" cy="4264963"/>
                    </a:xfrm>
                    <a:prstGeom prst="rect">
                      <a:avLst/>
                    </a:prstGeom>
                    <a:noFill/>
                  </pic:spPr>
                </pic:pic>
              </a:graphicData>
            </a:graphic>
          </wp:inline>
        </w:drawing>
      </w:r>
    </w:p>
    <w:p w14:paraId="3D6BDF08" w14:textId="3A5472D6" w:rsidR="00150149" w:rsidRDefault="00150149">
      <w:pPr>
        <w:spacing w:after="160" w:line="259" w:lineRule="auto"/>
      </w:pPr>
      <w:r>
        <w:br w:type="page"/>
      </w:r>
    </w:p>
    <w:p w14:paraId="6E58028E" w14:textId="26E8B559" w:rsidR="00CD06BF" w:rsidRPr="0009387F" w:rsidRDefault="00CD06BF" w:rsidP="00CD06BF">
      <w:pPr>
        <w:spacing w:after="160" w:line="259" w:lineRule="auto"/>
        <w:rPr>
          <w:rFonts w:ascii="Corbel" w:hAnsi="Corbel"/>
          <w:sz w:val="22"/>
          <w:szCs w:val="22"/>
        </w:rPr>
      </w:pPr>
      <w:bookmarkStart w:id="75" w:name="_Hlk13246037"/>
      <w:r w:rsidRPr="0009387F">
        <w:rPr>
          <w:rFonts w:ascii="Corbel" w:hAnsi="Corbel"/>
          <w:b/>
          <w:bCs/>
          <w:sz w:val="22"/>
          <w:szCs w:val="22"/>
        </w:rPr>
        <w:lastRenderedPageBreak/>
        <w:t xml:space="preserve">Map </w:t>
      </w:r>
      <w:r w:rsidR="00F81442">
        <w:rPr>
          <w:rFonts w:ascii="Corbel" w:hAnsi="Corbel"/>
          <w:b/>
          <w:bCs/>
          <w:sz w:val="22"/>
          <w:szCs w:val="22"/>
        </w:rPr>
        <w:t>9</w:t>
      </w:r>
      <w:r w:rsidRPr="0009387F">
        <w:rPr>
          <w:rFonts w:ascii="Corbel" w:hAnsi="Corbel"/>
          <w:b/>
          <w:bCs/>
          <w:sz w:val="22"/>
          <w:szCs w:val="22"/>
        </w:rPr>
        <w:t>:</w:t>
      </w:r>
      <w:r w:rsidRPr="0009387F">
        <w:rPr>
          <w:rFonts w:ascii="Corbel" w:hAnsi="Corbel"/>
          <w:sz w:val="22"/>
          <w:szCs w:val="22"/>
        </w:rPr>
        <w:t xml:space="preserve"> </w:t>
      </w:r>
      <w:r w:rsidR="00150149" w:rsidRPr="0009387F">
        <w:rPr>
          <w:rFonts w:ascii="Corbel" w:hAnsi="Corbel"/>
          <w:sz w:val="22"/>
          <w:szCs w:val="22"/>
        </w:rPr>
        <w:t xml:space="preserve">Residential Land Supply– </w:t>
      </w:r>
      <w:r w:rsidR="00F81442">
        <w:rPr>
          <w:rFonts w:ascii="Corbel" w:hAnsi="Corbel"/>
          <w:sz w:val="22"/>
          <w:szCs w:val="22"/>
        </w:rPr>
        <w:t>C</w:t>
      </w:r>
      <w:r w:rsidR="00720C2B">
        <w:rPr>
          <w:rFonts w:ascii="Corbel" w:hAnsi="Corbel"/>
          <w:sz w:val="22"/>
          <w:szCs w:val="22"/>
        </w:rPr>
        <w:t>lifton Springs/Drysdale</w:t>
      </w:r>
    </w:p>
    <w:bookmarkEnd w:id="75"/>
    <w:p w14:paraId="4166FAD2" w14:textId="3D8DF519" w:rsidR="00B234CF" w:rsidRDefault="001B5090">
      <w:pPr>
        <w:spacing w:after="160" w:line="259" w:lineRule="auto"/>
      </w:pPr>
      <w:r>
        <w:rPr>
          <w:noProof/>
        </w:rPr>
        <w:drawing>
          <wp:inline distT="0" distB="0" distL="0" distR="0" wp14:anchorId="40B49EBA" wp14:editId="7A46D18D">
            <wp:extent cx="5955030" cy="4976177"/>
            <wp:effectExtent l="0" t="0" r="7620" b="0"/>
            <wp:docPr id="82900" name="Picture 8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6469" cy="4985736"/>
                    </a:xfrm>
                    <a:prstGeom prst="rect">
                      <a:avLst/>
                    </a:prstGeom>
                    <a:noFill/>
                  </pic:spPr>
                </pic:pic>
              </a:graphicData>
            </a:graphic>
          </wp:inline>
        </w:drawing>
      </w:r>
    </w:p>
    <w:p w14:paraId="0A9ADAE7" w14:textId="0A2E1E1F" w:rsidR="001B5090" w:rsidRPr="0009387F" w:rsidRDefault="00150149" w:rsidP="001B5090">
      <w:pPr>
        <w:spacing w:after="160" w:line="259" w:lineRule="auto"/>
        <w:rPr>
          <w:rFonts w:ascii="Corbel" w:hAnsi="Corbel"/>
          <w:sz w:val="22"/>
          <w:szCs w:val="22"/>
        </w:rPr>
      </w:pPr>
      <w:r>
        <w:br w:type="page"/>
      </w:r>
      <w:r w:rsidR="001B5090" w:rsidRPr="0009387F">
        <w:rPr>
          <w:rFonts w:ascii="Corbel" w:hAnsi="Corbel"/>
          <w:b/>
          <w:bCs/>
          <w:sz w:val="22"/>
          <w:szCs w:val="22"/>
        </w:rPr>
        <w:lastRenderedPageBreak/>
        <w:t xml:space="preserve">Map </w:t>
      </w:r>
      <w:r w:rsidR="00F81442">
        <w:rPr>
          <w:rFonts w:ascii="Corbel" w:hAnsi="Corbel"/>
          <w:b/>
          <w:bCs/>
          <w:sz w:val="22"/>
          <w:szCs w:val="22"/>
        </w:rPr>
        <w:t>10</w:t>
      </w:r>
      <w:r w:rsidR="001B5090" w:rsidRPr="0009387F">
        <w:rPr>
          <w:rFonts w:ascii="Corbel" w:hAnsi="Corbel"/>
          <w:b/>
          <w:bCs/>
          <w:sz w:val="22"/>
          <w:szCs w:val="22"/>
        </w:rPr>
        <w:t>:</w:t>
      </w:r>
      <w:r w:rsidR="001B5090" w:rsidRPr="0009387F">
        <w:rPr>
          <w:rFonts w:ascii="Corbel" w:hAnsi="Corbel"/>
          <w:sz w:val="22"/>
          <w:szCs w:val="22"/>
        </w:rPr>
        <w:t xml:space="preserve"> Residential Land Supply– </w:t>
      </w:r>
      <w:r w:rsidR="00720C2B">
        <w:rPr>
          <w:rFonts w:ascii="Corbel" w:hAnsi="Corbel"/>
          <w:sz w:val="22"/>
          <w:szCs w:val="22"/>
        </w:rPr>
        <w:t>Indented Head</w:t>
      </w:r>
    </w:p>
    <w:p w14:paraId="71CC73BB" w14:textId="31F64A2D" w:rsidR="001B5090" w:rsidRDefault="00632AAA" w:rsidP="001B5090">
      <w:pPr>
        <w:spacing w:after="160" w:line="259" w:lineRule="auto"/>
      </w:pPr>
      <w:r>
        <w:rPr>
          <w:noProof/>
        </w:rPr>
        <w:drawing>
          <wp:inline distT="0" distB="0" distL="0" distR="0" wp14:anchorId="4744EDCF" wp14:editId="030FADA5">
            <wp:extent cx="5905011" cy="5753100"/>
            <wp:effectExtent l="0" t="0" r="635" b="0"/>
            <wp:docPr id="82901" name="Picture 8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08710" cy="5756704"/>
                    </a:xfrm>
                    <a:prstGeom prst="rect">
                      <a:avLst/>
                    </a:prstGeom>
                    <a:noFill/>
                  </pic:spPr>
                </pic:pic>
              </a:graphicData>
            </a:graphic>
          </wp:inline>
        </w:drawing>
      </w:r>
    </w:p>
    <w:p w14:paraId="4B80C664" w14:textId="77777777" w:rsidR="001B5090" w:rsidRDefault="001B5090" w:rsidP="001B5090">
      <w:pPr>
        <w:spacing w:after="160" w:line="259" w:lineRule="auto"/>
      </w:pPr>
      <w:r>
        <w:br w:type="page"/>
      </w:r>
    </w:p>
    <w:p w14:paraId="43A57644" w14:textId="19F05D0F" w:rsidR="001B5090" w:rsidRPr="0009387F" w:rsidRDefault="001B5090" w:rsidP="001B5090">
      <w:pPr>
        <w:spacing w:after="160" w:line="259" w:lineRule="auto"/>
        <w:rPr>
          <w:rFonts w:ascii="Corbel" w:hAnsi="Corbel"/>
          <w:sz w:val="22"/>
          <w:szCs w:val="22"/>
        </w:rPr>
      </w:pPr>
      <w:r w:rsidRPr="0009387F">
        <w:rPr>
          <w:rFonts w:ascii="Corbel" w:hAnsi="Corbel"/>
          <w:b/>
          <w:bCs/>
          <w:sz w:val="22"/>
          <w:szCs w:val="22"/>
        </w:rPr>
        <w:lastRenderedPageBreak/>
        <w:t xml:space="preserve">Map </w:t>
      </w:r>
      <w:r w:rsidR="00F81442">
        <w:rPr>
          <w:rFonts w:ascii="Corbel" w:hAnsi="Corbel"/>
          <w:b/>
          <w:bCs/>
          <w:sz w:val="22"/>
          <w:szCs w:val="22"/>
        </w:rPr>
        <w:t>11</w:t>
      </w:r>
      <w:r w:rsidRPr="0009387F">
        <w:rPr>
          <w:rFonts w:ascii="Corbel" w:hAnsi="Corbel"/>
          <w:b/>
          <w:bCs/>
          <w:sz w:val="22"/>
          <w:szCs w:val="22"/>
        </w:rPr>
        <w:t>:</w:t>
      </w:r>
      <w:r w:rsidRPr="0009387F">
        <w:rPr>
          <w:rFonts w:ascii="Corbel" w:hAnsi="Corbel"/>
          <w:sz w:val="22"/>
          <w:szCs w:val="22"/>
        </w:rPr>
        <w:t xml:space="preserve"> Residential Land Supply– </w:t>
      </w:r>
      <w:r w:rsidR="00720C2B">
        <w:rPr>
          <w:rFonts w:ascii="Corbel" w:hAnsi="Corbel"/>
          <w:sz w:val="22"/>
          <w:szCs w:val="22"/>
        </w:rPr>
        <w:t>Ocean Grove</w:t>
      </w:r>
    </w:p>
    <w:p w14:paraId="3DB6E459" w14:textId="3FB160E9" w:rsidR="001B5090" w:rsidRDefault="00632AAA" w:rsidP="001B5090">
      <w:pPr>
        <w:spacing w:after="160" w:line="259" w:lineRule="auto"/>
      </w:pPr>
      <w:r>
        <w:rPr>
          <w:noProof/>
        </w:rPr>
        <w:drawing>
          <wp:inline distT="0" distB="0" distL="0" distR="0" wp14:anchorId="43B8A38E" wp14:editId="2C505BC7">
            <wp:extent cx="5869305" cy="5947628"/>
            <wp:effectExtent l="0" t="0" r="0" b="0"/>
            <wp:docPr id="82902" name="Picture 8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78438" cy="5956883"/>
                    </a:xfrm>
                    <a:prstGeom prst="rect">
                      <a:avLst/>
                    </a:prstGeom>
                    <a:noFill/>
                  </pic:spPr>
                </pic:pic>
              </a:graphicData>
            </a:graphic>
          </wp:inline>
        </w:drawing>
      </w:r>
    </w:p>
    <w:p w14:paraId="2C62F569" w14:textId="77777777" w:rsidR="001B5090" w:rsidRDefault="001B5090" w:rsidP="001B5090">
      <w:pPr>
        <w:spacing w:after="160" w:line="259" w:lineRule="auto"/>
      </w:pPr>
      <w:r>
        <w:br w:type="page"/>
      </w:r>
    </w:p>
    <w:p w14:paraId="05E8F885" w14:textId="44AB9609" w:rsidR="001B5090" w:rsidRPr="0009387F" w:rsidRDefault="001B5090" w:rsidP="001B5090">
      <w:pPr>
        <w:spacing w:after="160" w:line="259" w:lineRule="auto"/>
        <w:rPr>
          <w:rFonts w:ascii="Corbel" w:hAnsi="Corbel"/>
          <w:sz w:val="22"/>
          <w:szCs w:val="22"/>
        </w:rPr>
      </w:pPr>
      <w:r w:rsidRPr="0009387F">
        <w:rPr>
          <w:rFonts w:ascii="Corbel" w:hAnsi="Corbel"/>
          <w:b/>
          <w:bCs/>
          <w:sz w:val="22"/>
          <w:szCs w:val="22"/>
        </w:rPr>
        <w:lastRenderedPageBreak/>
        <w:t xml:space="preserve">Map </w:t>
      </w:r>
      <w:r w:rsidR="00F81442">
        <w:rPr>
          <w:rFonts w:ascii="Corbel" w:hAnsi="Corbel"/>
          <w:b/>
          <w:bCs/>
          <w:sz w:val="22"/>
          <w:szCs w:val="22"/>
        </w:rPr>
        <w:t>12</w:t>
      </w:r>
      <w:r w:rsidRPr="0009387F">
        <w:rPr>
          <w:rFonts w:ascii="Corbel" w:hAnsi="Corbel"/>
          <w:b/>
          <w:bCs/>
          <w:sz w:val="22"/>
          <w:szCs w:val="22"/>
        </w:rPr>
        <w:t>:</w:t>
      </w:r>
      <w:r w:rsidRPr="0009387F">
        <w:rPr>
          <w:rFonts w:ascii="Corbel" w:hAnsi="Corbel"/>
          <w:sz w:val="22"/>
          <w:szCs w:val="22"/>
        </w:rPr>
        <w:t xml:space="preserve"> Residential Land Supply– </w:t>
      </w:r>
      <w:r w:rsidR="00720C2B">
        <w:rPr>
          <w:rFonts w:ascii="Corbel" w:hAnsi="Corbel"/>
          <w:sz w:val="22"/>
          <w:szCs w:val="22"/>
        </w:rPr>
        <w:t>Point Lonsdale</w:t>
      </w:r>
    </w:p>
    <w:p w14:paraId="5592AEED" w14:textId="0E0425CC" w:rsidR="001B5090" w:rsidRDefault="00632AAA" w:rsidP="001B5090">
      <w:pPr>
        <w:spacing w:after="160" w:line="259" w:lineRule="auto"/>
      </w:pPr>
      <w:r>
        <w:rPr>
          <w:noProof/>
        </w:rPr>
        <w:drawing>
          <wp:inline distT="0" distB="0" distL="0" distR="0" wp14:anchorId="127438BB" wp14:editId="221107CE">
            <wp:extent cx="5899594" cy="558546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5528" cy="5591078"/>
                    </a:xfrm>
                    <a:prstGeom prst="rect">
                      <a:avLst/>
                    </a:prstGeom>
                    <a:noFill/>
                  </pic:spPr>
                </pic:pic>
              </a:graphicData>
            </a:graphic>
          </wp:inline>
        </w:drawing>
      </w:r>
    </w:p>
    <w:p w14:paraId="774DA52B" w14:textId="77777777" w:rsidR="001B5090" w:rsidRDefault="001B5090" w:rsidP="001B5090">
      <w:pPr>
        <w:spacing w:after="160" w:line="259" w:lineRule="auto"/>
      </w:pPr>
      <w:r>
        <w:br w:type="page"/>
      </w:r>
    </w:p>
    <w:p w14:paraId="6BA4ADFF" w14:textId="25057A75" w:rsidR="001B5090" w:rsidRPr="0009387F" w:rsidRDefault="001B5090" w:rsidP="001B5090">
      <w:pPr>
        <w:spacing w:after="160" w:line="259" w:lineRule="auto"/>
        <w:rPr>
          <w:rFonts w:ascii="Corbel" w:hAnsi="Corbel"/>
          <w:sz w:val="22"/>
          <w:szCs w:val="22"/>
        </w:rPr>
      </w:pPr>
      <w:r w:rsidRPr="0009387F">
        <w:rPr>
          <w:rFonts w:ascii="Corbel" w:hAnsi="Corbel"/>
          <w:b/>
          <w:bCs/>
          <w:sz w:val="22"/>
          <w:szCs w:val="22"/>
        </w:rPr>
        <w:lastRenderedPageBreak/>
        <w:t xml:space="preserve">Map </w:t>
      </w:r>
      <w:r w:rsidR="00F81442">
        <w:rPr>
          <w:rFonts w:ascii="Corbel" w:hAnsi="Corbel"/>
          <w:b/>
          <w:bCs/>
          <w:sz w:val="22"/>
          <w:szCs w:val="22"/>
        </w:rPr>
        <w:t>13</w:t>
      </w:r>
      <w:r w:rsidRPr="0009387F">
        <w:rPr>
          <w:rFonts w:ascii="Corbel" w:hAnsi="Corbel"/>
          <w:b/>
          <w:bCs/>
          <w:sz w:val="22"/>
          <w:szCs w:val="22"/>
        </w:rPr>
        <w:t>:</w:t>
      </w:r>
      <w:r w:rsidRPr="0009387F">
        <w:rPr>
          <w:rFonts w:ascii="Corbel" w:hAnsi="Corbel"/>
          <w:sz w:val="22"/>
          <w:szCs w:val="22"/>
        </w:rPr>
        <w:t xml:space="preserve"> Residential Land Supply– </w:t>
      </w:r>
      <w:r w:rsidR="00720C2B">
        <w:rPr>
          <w:rFonts w:ascii="Corbel" w:hAnsi="Corbel"/>
          <w:sz w:val="22"/>
          <w:szCs w:val="22"/>
        </w:rPr>
        <w:t xml:space="preserve">Portarlington </w:t>
      </w:r>
    </w:p>
    <w:p w14:paraId="27B40474" w14:textId="2A53CB73" w:rsidR="001B5090" w:rsidRDefault="00632AAA" w:rsidP="001B5090">
      <w:pPr>
        <w:spacing w:after="160" w:line="259" w:lineRule="auto"/>
      </w:pPr>
      <w:r>
        <w:rPr>
          <w:noProof/>
        </w:rPr>
        <w:drawing>
          <wp:inline distT="0" distB="0" distL="0" distR="0" wp14:anchorId="641A0018" wp14:editId="25B49A40">
            <wp:extent cx="5882005" cy="5090599"/>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2547" cy="5099723"/>
                    </a:xfrm>
                    <a:prstGeom prst="rect">
                      <a:avLst/>
                    </a:prstGeom>
                    <a:noFill/>
                  </pic:spPr>
                </pic:pic>
              </a:graphicData>
            </a:graphic>
          </wp:inline>
        </w:drawing>
      </w:r>
    </w:p>
    <w:p w14:paraId="401B9083" w14:textId="77777777" w:rsidR="001B5090" w:rsidRDefault="001B5090" w:rsidP="001B5090">
      <w:pPr>
        <w:spacing w:after="160" w:line="259" w:lineRule="auto"/>
      </w:pPr>
      <w:r>
        <w:br w:type="page"/>
      </w:r>
    </w:p>
    <w:p w14:paraId="1EE12E6B" w14:textId="650AE647" w:rsidR="001B5090" w:rsidRPr="0009387F" w:rsidRDefault="001B5090" w:rsidP="001B5090">
      <w:pPr>
        <w:spacing w:after="160" w:line="259" w:lineRule="auto"/>
        <w:rPr>
          <w:rFonts w:ascii="Corbel" w:hAnsi="Corbel"/>
          <w:sz w:val="22"/>
          <w:szCs w:val="22"/>
        </w:rPr>
      </w:pPr>
      <w:r w:rsidRPr="0009387F">
        <w:rPr>
          <w:rFonts w:ascii="Corbel" w:hAnsi="Corbel"/>
          <w:b/>
          <w:bCs/>
          <w:sz w:val="22"/>
          <w:szCs w:val="22"/>
        </w:rPr>
        <w:lastRenderedPageBreak/>
        <w:t xml:space="preserve">Map </w:t>
      </w:r>
      <w:r w:rsidR="00F81442">
        <w:rPr>
          <w:rFonts w:ascii="Corbel" w:hAnsi="Corbel"/>
          <w:b/>
          <w:bCs/>
          <w:sz w:val="22"/>
          <w:szCs w:val="22"/>
        </w:rPr>
        <w:t>14</w:t>
      </w:r>
      <w:r w:rsidRPr="0009387F">
        <w:rPr>
          <w:rFonts w:ascii="Corbel" w:hAnsi="Corbel"/>
          <w:b/>
          <w:bCs/>
          <w:sz w:val="22"/>
          <w:szCs w:val="22"/>
        </w:rPr>
        <w:t>:</w:t>
      </w:r>
      <w:r w:rsidRPr="0009387F">
        <w:rPr>
          <w:rFonts w:ascii="Corbel" w:hAnsi="Corbel"/>
          <w:sz w:val="22"/>
          <w:szCs w:val="22"/>
        </w:rPr>
        <w:t xml:space="preserve"> Residential Land Supply– </w:t>
      </w:r>
      <w:r w:rsidR="00720C2B">
        <w:rPr>
          <w:rFonts w:ascii="Corbel" w:hAnsi="Corbel"/>
          <w:sz w:val="22"/>
          <w:szCs w:val="22"/>
        </w:rPr>
        <w:t>St Leonards</w:t>
      </w:r>
    </w:p>
    <w:p w14:paraId="3FBE8082" w14:textId="0820DC0A" w:rsidR="001B5090" w:rsidRDefault="00632AAA" w:rsidP="001B5090">
      <w:pPr>
        <w:spacing w:after="160" w:line="259" w:lineRule="auto"/>
      </w:pPr>
      <w:r>
        <w:rPr>
          <w:noProof/>
        </w:rPr>
        <w:drawing>
          <wp:inline distT="0" distB="0" distL="0" distR="0" wp14:anchorId="24AF4956" wp14:editId="2F1307D9">
            <wp:extent cx="5937885" cy="6943725"/>
            <wp:effectExtent l="0" t="0" r="571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7885" cy="6943725"/>
                    </a:xfrm>
                    <a:prstGeom prst="rect">
                      <a:avLst/>
                    </a:prstGeom>
                    <a:noFill/>
                  </pic:spPr>
                </pic:pic>
              </a:graphicData>
            </a:graphic>
          </wp:inline>
        </w:drawing>
      </w:r>
    </w:p>
    <w:p w14:paraId="0A54D991" w14:textId="77777777" w:rsidR="001B5090" w:rsidRDefault="001B5090" w:rsidP="001B5090">
      <w:pPr>
        <w:spacing w:after="160" w:line="259" w:lineRule="auto"/>
      </w:pPr>
      <w:r>
        <w:br w:type="page"/>
      </w:r>
    </w:p>
    <w:p w14:paraId="7F30792B" w14:textId="6AD8EC03" w:rsidR="001B5090" w:rsidRPr="0009387F" w:rsidRDefault="001B5090" w:rsidP="001B5090">
      <w:pPr>
        <w:spacing w:after="160" w:line="259" w:lineRule="auto"/>
        <w:rPr>
          <w:rFonts w:ascii="Corbel" w:hAnsi="Corbel"/>
          <w:sz w:val="22"/>
          <w:szCs w:val="22"/>
        </w:rPr>
      </w:pPr>
      <w:r w:rsidRPr="0009387F">
        <w:rPr>
          <w:rFonts w:ascii="Corbel" w:hAnsi="Corbel"/>
          <w:b/>
          <w:bCs/>
          <w:sz w:val="22"/>
          <w:szCs w:val="22"/>
        </w:rPr>
        <w:lastRenderedPageBreak/>
        <w:t xml:space="preserve">Map </w:t>
      </w:r>
      <w:r w:rsidR="00F81442">
        <w:rPr>
          <w:rFonts w:ascii="Corbel" w:hAnsi="Corbel"/>
          <w:b/>
          <w:bCs/>
          <w:sz w:val="22"/>
          <w:szCs w:val="22"/>
        </w:rPr>
        <w:t>15</w:t>
      </w:r>
      <w:r w:rsidRPr="0009387F">
        <w:rPr>
          <w:rFonts w:ascii="Corbel" w:hAnsi="Corbel"/>
          <w:b/>
          <w:bCs/>
          <w:sz w:val="22"/>
          <w:szCs w:val="22"/>
        </w:rPr>
        <w:t>:</w:t>
      </w:r>
      <w:r w:rsidRPr="0009387F">
        <w:rPr>
          <w:rFonts w:ascii="Corbel" w:hAnsi="Corbel"/>
          <w:sz w:val="22"/>
          <w:szCs w:val="22"/>
        </w:rPr>
        <w:t xml:space="preserve"> Residential Land Supply– </w:t>
      </w:r>
      <w:r w:rsidR="00720C2B">
        <w:rPr>
          <w:rFonts w:ascii="Corbel" w:hAnsi="Corbel"/>
          <w:sz w:val="22"/>
          <w:szCs w:val="22"/>
        </w:rPr>
        <w:t>Leopold</w:t>
      </w:r>
    </w:p>
    <w:p w14:paraId="01A57297" w14:textId="77777777" w:rsidR="001B5090" w:rsidRDefault="001B5090" w:rsidP="001B5090">
      <w:pPr>
        <w:spacing w:after="160" w:line="259" w:lineRule="auto"/>
      </w:pPr>
      <w:r>
        <w:rPr>
          <w:noProof/>
        </w:rPr>
        <w:drawing>
          <wp:inline distT="0" distB="0" distL="0" distR="0" wp14:anchorId="35380061" wp14:editId="40735105">
            <wp:extent cx="5932170" cy="6523454"/>
            <wp:effectExtent l="0" t="0" r="0" b="0"/>
            <wp:docPr id="82898" name="Picture 8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3813" cy="6525261"/>
                    </a:xfrm>
                    <a:prstGeom prst="rect">
                      <a:avLst/>
                    </a:prstGeom>
                    <a:noFill/>
                  </pic:spPr>
                </pic:pic>
              </a:graphicData>
            </a:graphic>
          </wp:inline>
        </w:drawing>
      </w:r>
    </w:p>
    <w:p w14:paraId="4329CA05" w14:textId="77777777" w:rsidR="001B5090" w:rsidRDefault="001B5090" w:rsidP="001B5090">
      <w:pPr>
        <w:spacing w:after="160" w:line="259" w:lineRule="auto"/>
      </w:pPr>
      <w:r>
        <w:br w:type="page"/>
      </w:r>
    </w:p>
    <w:p w14:paraId="11AA47A7" w14:textId="773C7E23" w:rsidR="002763B5" w:rsidRDefault="00950A25">
      <w:pPr>
        <w:pStyle w:val="Heading1"/>
        <w:tabs>
          <w:tab w:val="center" w:pos="2189"/>
        </w:tabs>
        <w:ind w:left="-15" w:firstLine="0"/>
      </w:pPr>
      <w:bookmarkStart w:id="76" w:name="_Toc101202500"/>
      <w:r>
        <w:lastRenderedPageBreak/>
        <w:t>6</w:t>
      </w:r>
      <w:r w:rsidR="00D55782">
        <w:t xml:space="preserve">.0 </w:t>
      </w:r>
      <w:r w:rsidR="00E87E6D">
        <w:t xml:space="preserve"> </w:t>
      </w:r>
      <w:r w:rsidR="00D55782">
        <w:t>Adequacy of Land Stocks</w:t>
      </w:r>
      <w:bookmarkEnd w:id="76"/>
      <w:r w:rsidR="00D55782">
        <w:t xml:space="preserve">  </w:t>
      </w:r>
    </w:p>
    <w:p w14:paraId="6AE42472" w14:textId="77777777" w:rsidR="001925EC" w:rsidRPr="00456AEA" w:rsidRDefault="001925EC" w:rsidP="003B6C1C">
      <w:pPr>
        <w:spacing w:after="120"/>
        <w:ind w:left="-6" w:right="181" w:hanging="11"/>
        <w:rPr>
          <w:rFonts w:ascii="Corbel" w:hAnsi="Corbel"/>
          <w:sz w:val="22"/>
          <w:szCs w:val="22"/>
        </w:rPr>
      </w:pPr>
      <w:r w:rsidRPr="00456AEA">
        <w:rPr>
          <w:rFonts w:ascii="Corbel" w:hAnsi="Corbel"/>
          <w:sz w:val="22"/>
          <w:szCs w:val="22"/>
        </w:rPr>
        <w:t>With the amount of supply and demand estimated, it is possible to describe the results in years of supply (a simple and understandable measure). For example, it can be stated that there are X years of supply based on projected demand within a given housing market and by supply type.</w:t>
      </w:r>
    </w:p>
    <w:p w14:paraId="4D571C21" w14:textId="77777777" w:rsidR="002763B5" w:rsidRPr="00456AEA" w:rsidRDefault="00D55782" w:rsidP="000A4B7B">
      <w:pPr>
        <w:spacing w:after="120"/>
        <w:ind w:left="-6" w:right="180" w:hanging="11"/>
        <w:rPr>
          <w:rFonts w:ascii="Corbel" w:hAnsi="Corbel"/>
          <w:sz w:val="22"/>
          <w:szCs w:val="22"/>
        </w:rPr>
      </w:pPr>
      <w:r w:rsidRPr="00456AEA">
        <w:rPr>
          <w:rFonts w:ascii="Corbel" w:hAnsi="Corbel"/>
          <w:sz w:val="22"/>
          <w:szCs w:val="22"/>
        </w:rPr>
        <w:t xml:space="preserve">This succinct way of describing adequacy is standard across most State Governments in Australia and incorporates a wealth of information into a single figure. A series of adequacy numbers can be provided to reflect differing demand scenarios.  </w:t>
      </w:r>
    </w:p>
    <w:p w14:paraId="21DEFB6D" w14:textId="77777777" w:rsidR="00C8755E" w:rsidRPr="00456AEA" w:rsidRDefault="00D55782" w:rsidP="00C8755E">
      <w:pPr>
        <w:spacing w:after="120"/>
        <w:ind w:left="-6" w:right="181" w:hanging="11"/>
        <w:rPr>
          <w:rFonts w:ascii="Corbel" w:hAnsi="Corbel"/>
          <w:sz w:val="22"/>
          <w:szCs w:val="22"/>
        </w:rPr>
      </w:pPr>
      <w:r w:rsidRPr="00456AEA">
        <w:rPr>
          <w:rFonts w:ascii="Corbel" w:hAnsi="Corbel"/>
          <w:sz w:val="22"/>
          <w:szCs w:val="22"/>
        </w:rPr>
        <w:t xml:space="preserve">It is also possible to describe adequacy in a qualitative sense but with both the private and public sector familiar to this methodology, it seems appropriate to adopt the above approach. </w:t>
      </w:r>
    </w:p>
    <w:p w14:paraId="02604B7C" w14:textId="4EB38F80" w:rsidR="002763B5" w:rsidRPr="00456AEA" w:rsidRDefault="00D55782" w:rsidP="00C8755E">
      <w:pPr>
        <w:spacing w:after="120"/>
        <w:ind w:left="-6" w:right="181" w:hanging="11"/>
        <w:rPr>
          <w:rFonts w:ascii="Corbel" w:hAnsi="Corbel"/>
          <w:sz w:val="22"/>
          <w:szCs w:val="22"/>
        </w:rPr>
      </w:pPr>
      <w:r w:rsidRPr="00456AEA">
        <w:rPr>
          <w:rFonts w:ascii="Corbel" w:hAnsi="Corbel"/>
          <w:sz w:val="22"/>
          <w:szCs w:val="22"/>
        </w:rPr>
        <w:t xml:space="preserve">Years of supply can also be linked to trigger points relating to the need for additional land and more importantly triggering specific strategic land use planning responses. The adequacy of broadhectare residential land supply sources is calculated as a residual </w:t>
      </w:r>
      <w:proofErr w:type="gramStart"/>
      <w:r w:rsidRPr="00456AEA">
        <w:rPr>
          <w:rFonts w:ascii="Corbel" w:hAnsi="Corbel"/>
          <w:sz w:val="22"/>
          <w:szCs w:val="22"/>
        </w:rPr>
        <w:t>taking into account</w:t>
      </w:r>
      <w:proofErr w:type="gramEnd"/>
      <w:r w:rsidRPr="00456AEA">
        <w:rPr>
          <w:rFonts w:ascii="Corbel" w:hAnsi="Corbel"/>
          <w:sz w:val="22"/>
          <w:szCs w:val="22"/>
        </w:rPr>
        <w:t xml:space="preserve"> the state of the other supply types. </w:t>
      </w:r>
    </w:p>
    <w:p w14:paraId="433C8114" w14:textId="66D0349E" w:rsidR="002763B5" w:rsidRDefault="00D55782" w:rsidP="000A4B7B">
      <w:pPr>
        <w:spacing w:after="120"/>
        <w:ind w:left="-6" w:right="165" w:hanging="11"/>
        <w:rPr>
          <w:rFonts w:ascii="Corbel" w:hAnsi="Corbel"/>
          <w:sz w:val="22"/>
          <w:szCs w:val="22"/>
        </w:rPr>
      </w:pPr>
      <w:r w:rsidRPr="00456AEA">
        <w:rPr>
          <w:rFonts w:ascii="Corbel" w:hAnsi="Corbel"/>
          <w:sz w:val="22"/>
          <w:szCs w:val="22"/>
        </w:rPr>
        <w:t xml:space="preserve">Analysis has been undertaken to estimate the years of broadhectare residential land stocks </w:t>
      </w:r>
      <w:r w:rsidR="000A4B7B" w:rsidRPr="00456AEA">
        <w:rPr>
          <w:rFonts w:ascii="Corbel" w:hAnsi="Corbel"/>
          <w:sz w:val="22"/>
          <w:szCs w:val="22"/>
        </w:rPr>
        <w:t xml:space="preserve">for </w:t>
      </w:r>
      <w:r w:rsidR="00CB153D" w:rsidRPr="00456AEA">
        <w:rPr>
          <w:rFonts w:ascii="Corbel" w:hAnsi="Corbel"/>
          <w:sz w:val="22"/>
          <w:szCs w:val="22"/>
        </w:rPr>
        <w:t xml:space="preserve">the </w:t>
      </w:r>
      <w:r w:rsidR="000A4B7B" w:rsidRPr="00456AEA">
        <w:rPr>
          <w:rFonts w:ascii="Corbel" w:hAnsi="Corbel"/>
          <w:sz w:val="22"/>
          <w:szCs w:val="22"/>
        </w:rPr>
        <w:t>municipal area</w:t>
      </w:r>
      <w:r w:rsidRPr="00456AEA">
        <w:rPr>
          <w:rFonts w:ascii="Corbel" w:hAnsi="Corbel"/>
          <w:sz w:val="22"/>
          <w:szCs w:val="22"/>
        </w:rPr>
        <w:t xml:space="preserve"> </w:t>
      </w:r>
      <w:r w:rsidR="000156EB" w:rsidRPr="00456AEA">
        <w:rPr>
          <w:rFonts w:ascii="Corbel" w:hAnsi="Corbel"/>
          <w:sz w:val="22"/>
          <w:szCs w:val="22"/>
        </w:rPr>
        <w:t xml:space="preserve">of </w:t>
      </w:r>
      <w:r w:rsidR="00171A76">
        <w:rPr>
          <w:rFonts w:ascii="Corbel" w:hAnsi="Corbel"/>
          <w:sz w:val="22"/>
          <w:szCs w:val="22"/>
        </w:rPr>
        <w:t>Geelong</w:t>
      </w:r>
      <w:r w:rsidR="000156EB" w:rsidRPr="00456AEA">
        <w:rPr>
          <w:rFonts w:ascii="Corbel" w:hAnsi="Corbel"/>
          <w:sz w:val="22"/>
          <w:szCs w:val="22"/>
        </w:rPr>
        <w:t xml:space="preserve"> </w:t>
      </w:r>
      <w:r w:rsidRPr="00456AEA">
        <w:rPr>
          <w:rFonts w:ascii="Corbel" w:hAnsi="Corbel"/>
          <w:sz w:val="22"/>
          <w:szCs w:val="22"/>
        </w:rPr>
        <w:t xml:space="preserve">– this is outlined below. </w:t>
      </w:r>
    </w:p>
    <w:p w14:paraId="0330BC7B" w14:textId="6FD159CF" w:rsidR="002763B5" w:rsidRPr="000156EB" w:rsidRDefault="00950A25">
      <w:pPr>
        <w:pStyle w:val="Heading1"/>
        <w:tabs>
          <w:tab w:val="center" w:pos="2657"/>
        </w:tabs>
        <w:ind w:left="-15" w:firstLine="0"/>
      </w:pPr>
      <w:bookmarkStart w:id="77" w:name="_Toc101202501"/>
      <w:r>
        <w:t>6</w:t>
      </w:r>
      <w:r w:rsidR="00D55782" w:rsidRPr="000156EB">
        <w:t xml:space="preserve">.1 </w:t>
      </w:r>
      <w:r w:rsidR="00D55782" w:rsidRPr="000156EB">
        <w:tab/>
        <w:t xml:space="preserve">Years of Supply – </w:t>
      </w:r>
      <w:r w:rsidR="00171A76">
        <w:t>City of Greater Geelong</w:t>
      </w:r>
      <w:bookmarkEnd w:id="77"/>
      <w:r w:rsidR="00D55782" w:rsidRPr="000156EB">
        <w:t xml:space="preserve"> </w:t>
      </w:r>
    </w:p>
    <w:p w14:paraId="4C9F97B2" w14:textId="282157B8" w:rsidR="00B03D78" w:rsidRDefault="00B03D78" w:rsidP="00B03D78">
      <w:pPr>
        <w:spacing w:after="120"/>
        <w:ind w:left="-6" w:right="164"/>
        <w:rPr>
          <w:rFonts w:ascii="Corbel" w:hAnsi="Corbel"/>
          <w:sz w:val="22"/>
          <w:szCs w:val="22"/>
        </w:rPr>
      </w:pPr>
      <w:bookmarkStart w:id="78" w:name="_Hlk13234658"/>
      <w:r w:rsidRPr="00456AEA">
        <w:rPr>
          <w:rFonts w:ascii="Corbel" w:hAnsi="Corbel"/>
          <w:sz w:val="22"/>
          <w:szCs w:val="22"/>
        </w:rPr>
        <w:t xml:space="preserve">The </w:t>
      </w:r>
      <w:proofErr w:type="gramStart"/>
      <w:r w:rsidRPr="00456AEA">
        <w:rPr>
          <w:rFonts w:ascii="Corbel" w:hAnsi="Corbel"/>
          <w:sz w:val="22"/>
          <w:szCs w:val="22"/>
        </w:rPr>
        <w:t>years</w:t>
      </w:r>
      <w:proofErr w:type="gramEnd"/>
      <w:r w:rsidRPr="00456AEA">
        <w:rPr>
          <w:rFonts w:ascii="Corbel" w:hAnsi="Corbel"/>
          <w:sz w:val="22"/>
          <w:szCs w:val="22"/>
        </w:rPr>
        <w:t xml:space="preserve"> of supply is not only dependent on the projected number of dwellings in total, the share of total dwellings within broadhectare supply areas but also the timely realisation of the identified supply opportunities. Therefore, caution is highlighted in the interpretation of the years of broadhectare land supply, as a major assumption is that the identified supply is realised in a development timing setting.</w:t>
      </w:r>
      <w:bookmarkEnd w:id="78"/>
    </w:p>
    <w:p w14:paraId="222EEF68" w14:textId="238A021F" w:rsidR="00BA7C7A" w:rsidRDefault="00BA7C7A" w:rsidP="00B03D78">
      <w:pPr>
        <w:spacing w:after="120"/>
        <w:ind w:left="-6" w:right="164"/>
        <w:rPr>
          <w:rFonts w:ascii="Corbel" w:hAnsi="Corbel"/>
          <w:sz w:val="22"/>
          <w:szCs w:val="22"/>
        </w:rPr>
      </w:pPr>
      <w:r>
        <w:rPr>
          <w:rFonts w:ascii="Corbel" w:hAnsi="Corbel"/>
          <w:sz w:val="22"/>
          <w:szCs w:val="22"/>
        </w:rPr>
        <w:t xml:space="preserve">In terms of zoned undeveloped broadhectare land stocks there is approximately </w:t>
      </w:r>
      <w:r w:rsidRPr="00BA7C7A">
        <w:rPr>
          <w:rFonts w:ascii="Corbel" w:hAnsi="Corbel"/>
          <w:b/>
          <w:bCs/>
          <w:sz w:val="22"/>
          <w:szCs w:val="22"/>
        </w:rPr>
        <w:t>8 years of supply</w:t>
      </w:r>
      <w:r>
        <w:rPr>
          <w:rFonts w:ascii="Corbel" w:hAnsi="Corbel"/>
          <w:sz w:val="22"/>
          <w:szCs w:val="22"/>
        </w:rPr>
        <w:t xml:space="preserve"> across the municipal area of Geelong. If the land parcels identified as fragmented in Armstrong Creek is discounted from the supply side</w:t>
      </w:r>
      <w:r w:rsidR="00461027">
        <w:rPr>
          <w:rFonts w:ascii="Corbel" w:hAnsi="Corbel"/>
          <w:sz w:val="22"/>
          <w:szCs w:val="22"/>
        </w:rPr>
        <w:t>, the years of supply would be reduced by approximately 8 months.</w:t>
      </w:r>
    </w:p>
    <w:p w14:paraId="008025EC" w14:textId="1886964D" w:rsidR="00461027" w:rsidRDefault="00461027" w:rsidP="00B03D78">
      <w:pPr>
        <w:spacing w:after="120"/>
        <w:ind w:left="-6" w:right="164"/>
        <w:rPr>
          <w:rFonts w:ascii="Corbel" w:hAnsi="Corbel"/>
          <w:sz w:val="22"/>
          <w:szCs w:val="22"/>
        </w:rPr>
      </w:pPr>
      <w:r>
        <w:rPr>
          <w:rFonts w:ascii="Corbel" w:hAnsi="Corbel"/>
          <w:sz w:val="22"/>
          <w:szCs w:val="22"/>
        </w:rPr>
        <w:t xml:space="preserve">In terms of unzoned broadhectare residential land stocks there is approximately an additional </w:t>
      </w:r>
      <w:r w:rsidRPr="00461027">
        <w:rPr>
          <w:rFonts w:ascii="Corbel" w:hAnsi="Corbel"/>
          <w:b/>
          <w:bCs/>
          <w:sz w:val="22"/>
          <w:szCs w:val="22"/>
        </w:rPr>
        <w:t>14 years of supply</w:t>
      </w:r>
      <w:r>
        <w:rPr>
          <w:rFonts w:ascii="Corbel" w:hAnsi="Corbel"/>
          <w:sz w:val="22"/>
          <w:szCs w:val="22"/>
        </w:rPr>
        <w:t xml:space="preserve"> across the municipal area of Geelong.</w:t>
      </w:r>
      <w:r w:rsidR="001B0F1A">
        <w:rPr>
          <w:rFonts w:ascii="Corbel" w:hAnsi="Corbel"/>
          <w:sz w:val="22"/>
          <w:szCs w:val="22"/>
        </w:rPr>
        <w:t xml:space="preserve"> It is assumed ant fragmented land parcels over this development horizon will be available for development.</w:t>
      </w:r>
    </w:p>
    <w:p w14:paraId="4549CCDE" w14:textId="7BAC4312" w:rsidR="00171A76" w:rsidRDefault="001B0F1A" w:rsidP="00B03D78">
      <w:pPr>
        <w:spacing w:after="120"/>
        <w:ind w:left="-6" w:right="164"/>
        <w:rPr>
          <w:rFonts w:ascii="Corbel" w:hAnsi="Corbel"/>
          <w:sz w:val="22"/>
          <w:szCs w:val="22"/>
        </w:rPr>
      </w:pPr>
      <w:r>
        <w:rPr>
          <w:rFonts w:ascii="Corbel" w:hAnsi="Corbel"/>
          <w:sz w:val="22"/>
          <w:szCs w:val="22"/>
        </w:rPr>
        <w:t xml:space="preserve">In total there is approximately </w:t>
      </w:r>
      <w:r w:rsidRPr="000B371C">
        <w:rPr>
          <w:rFonts w:ascii="Corbel" w:hAnsi="Corbel"/>
          <w:b/>
          <w:bCs/>
          <w:sz w:val="22"/>
          <w:szCs w:val="22"/>
        </w:rPr>
        <w:t>22 years supply</w:t>
      </w:r>
      <w:r>
        <w:rPr>
          <w:rFonts w:ascii="Corbel" w:hAnsi="Corbel"/>
          <w:sz w:val="22"/>
          <w:szCs w:val="22"/>
        </w:rPr>
        <w:t xml:space="preserve"> of undeveloped (zoned and unzoned) residential broadhectare land stocks across the municipal area of Geelong.</w:t>
      </w:r>
    </w:p>
    <w:p w14:paraId="416458A5" w14:textId="240FB929" w:rsidR="00097CF3" w:rsidRDefault="0091434A" w:rsidP="0091434A">
      <w:pPr>
        <w:pStyle w:val="Heading4"/>
        <w:keepNext w:val="0"/>
        <w:keepLines w:val="0"/>
        <w:widowControl w:val="0"/>
        <w:pBdr>
          <w:top w:val="single" w:sz="4" w:space="0" w:color="000000"/>
          <w:left w:val="single" w:sz="4" w:space="0" w:color="000000"/>
          <w:bottom w:val="single" w:sz="4" w:space="0" w:color="000000"/>
          <w:right w:val="single" w:sz="4" w:space="0" w:color="000000"/>
        </w:pBdr>
        <w:shd w:val="clear" w:color="auto" w:fill="EBF1DE"/>
        <w:spacing w:after="0" w:line="240" w:lineRule="auto"/>
        <w:ind w:left="-17" w:right="153" w:firstLine="0"/>
        <w:rPr>
          <w:rFonts w:cs="Times New Roman"/>
        </w:rPr>
      </w:pPr>
      <w:r>
        <w:rPr>
          <w:rFonts w:cs="Times New Roman"/>
        </w:rPr>
        <w:t>Summary</w:t>
      </w:r>
      <w:r w:rsidR="002D2B4E" w:rsidRPr="0009387F">
        <w:rPr>
          <w:rFonts w:cs="Times New Roman"/>
        </w:rPr>
        <w:t xml:space="preserve"> </w:t>
      </w:r>
    </w:p>
    <w:p w14:paraId="253B066A" w14:textId="77777777" w:rsidR="00097CF3" w:rsidRPr="0091434A" w:rsidRDefault="00097CF3" w:rsidP="0091434A">
      <w:pPr>
        <w:pStyle w:val="Heading4"/>
        <w:keepNext w:val="0"/>
        <w:keepLines w:val="0"/>
        <w:widowControl w:val="0"/>
        <w:pBdr>
          <w:top w:val="single" w:sz="4" w:space="0" w:color="000000"/>
          <w:left w:val="single" w:sz="4" w:space="0" w:color="000000"/>
          <w:bottom w:val="single" w:sz="4" w:space="0" w:color="000000"/>
          <w:right w:val="single" w:sz="4" w:space="0" w:color="000000"/>
        </w:pBdr>
        <w:shd w:val="clear" w:color="auto" w:fill="EBF1DE"/>
        <w:spacing w:after="120" w:line="240" w:lineRule="auto"/>
        <w:ind w:left="-17" w:right="153" w:firstLine="0"/>
        <w:rPr>
          <w:b w:val="0"/>
          <w:bCs/>
        </w:rPr>
      </w:pPr>
      <w:bookmarkStart w:id="79" w:name="_Hlk101193536"/>
      <w:r w:rsidRPr="0091434A">
        <w:rPr>
          <w:b w:val="0"/>
          <w:bCs/>
        </w:rPr>
        <w:t>In total there is approximately 22 years supply of undeveloped (zoned and unzoned) residential broadhectare land stocks across the municipal area of Geelong. Of this supply, there is approximately 8 years supply of zoned residential broadhectare lands.</w:t>
      </w:r>
    </w:p>
    <w:p w14:paraId="26070C47" w14:textId="77777777" w:rsidR="00097CF3" w:rsidRPr="0091434A" w:rsidRDefault="00097CF3" w:rsidP="0091434A">
      <w:pPr>
        <w:pStyle w:val="Heading4"/>
        <w:keepNext w:val="0"/>
        <w:keepLines w:val="0"/>
        <w:widowControl w:val="0"/>
        <w:pBdr>
          <w:top w:val="single" w:sz="4" w:space="0" w:color="000000"/>
          <w:left w:val="single" w:sz="4" w:space="0" w:color="000000"/>
          <w:bottom w:val="single" w:sz="4" w:space="0" w:color="000000"/>
          <w:right w:val="single" w:sz="4" w:space="0" w:color="000000"/>
        </w:pBdr>
        <w:shd w:val="clear" w:color="auto" w:fill="EBF1DE"/>
        <w:spacing w:after="120" w:line="240" w:lineRule="auto"/>
        <w:ind w:left="-17" w:right="153" w:firstLine="0"/>
        <w:rPr>
          <w:b w:val="0"/>
          <w:bCs/>
        </w:rPr>
      </w:pPr>
      <w:r w:rsidRPr="0091434A">
        <w:rPr>
          <w:b w:val="0"/>
          <w:bCs/>
        </w:rPr>
        <w:t>The incidence of land fragmentation within the Armstrong Creek Growth Area represents approximately 8 months of supply. It is considered that over-time, these fragmented land parcels will be developed.</w:t>
      </w:r>
    </w:p>
    <w:p w14:paraId="34400716" w14:textId="7EBCF9FF" w:rsidR="00097CF3" w:rsidRPr="0091434A" w:rsidRDefault="00097CF3" w:rsidP="0091434A">
      <w:pPr>
        <w:pStyle w:val="Heading4"/>
        <w:keepNext w:val="0"/>
        <w:keepLines w:val="0"/>
        <w:widowControl w:val="0"/>
        <w:pBdr>
          <w:top w:val="single" w:sz="4" w:space="0" w:color="000000"/>
          <w:left w:val="single" w:sz="4" w:space="0" w:color="000000"/>
          <w:bottom w:val="single" w:sz="4" w:space="0" w:color="000000"/>
          <w:right w:val="single" w:sz="4" w:space="0" w:color="000000"/>
        </w:pBdr>
        <w:shd w:val="clear" w:color="auto" w:fill="EBF1DE"/>
        <w:spacing w:after="0" w:line="240" w:lineRule="auto"/>
        <w:ind w:left="-17" w:right="153" w:firstLine="0"/>
        <w:rPr>
          <w:b w:val="0"/>
          <w:bCs/>
        </w:rPr>
      </w:pPr>
      <w:bookmarkStart w:id="80" w:name="_Hlk101193586"/>
      <w:bookmarkEnd w:id="79"/>
      <w:r w:rsidRPr="0091434A">
        <w:rPr>
          <w:b w:val="0"/>
          <w:bCs/>
        </w:rPr>
        <w:t xml:space="preserve">Spatial Economics consider that maintaining a minimum of ten years supply </w:t>
      </w:r>
      <w:r w:rsidR="009A178E">
        <w:rPr>
          <w:b w:val="0"/>
          <w:bCs/>
        </w:rPr>
        <w:t xml:space="preserve">of </w:t>
      </w:r>
      <w:r w:rsidRPr="0091434A">
        <w:rPr>
          <w:b w:val="0"/>
          <w:bCs/>
        </w:rPr>
        <w:t xml:space="preserve">zoned broadhectare land stocks is optimum. This allows sufficient zoned land stocks </w:t>
      </w:r>
      <w:proofErr w:type="gramStart"/>
      <w:r w:rsidRPr="0091434A">
        <w:rPr>
          <w:b w:val="0"/>
          <w:bCs/>
        </w:rPr>
        <w:t>to:</w:t>
      </w:r>
      <w:proofErr w:type="gramEnd"/>
      <w:r w:rsidRPr="0091434A">
        <w:rPr>
          <w:b w:val="0"/>
          <w:bCs/>
        </w:rPr>
        <w:t xml:space="preserve"> a) respond to sustained/and or rapid increases in demand levels; b) foster industry competition and multiple development fronts; and c) absorb land development issues such as land fragmentation, ownership/development intention issues.</w:t>
      </w:r>
    </w:p>
    <w:bookmarkEnd w:id="80"/>
    <w:p w14:paraId="619A3049" w14:textId="77777777" w:rsidR="002D2B4E" w:rsidRPr="0057467C" w:rsidRDefault="002D2B4E" w:rsidP="002D2B4E"/>
    <w:p w14:paraId="1A9610DD" w14:textId="77777777" w:rsidR="002D2B4E" w:rsidRDefault="002D2B4E" w:rsidP="00B03D78">
      <w:pPr>
        <w:spacing w:after="120"/>
        <w:ind w:left="-6" w:right="164"/>
        <w:rPr>
          <w:rFonts w:ascii="Corbel" w:hAnsi="Corbel"/>
          <w:sz w:val="22"/>
          <w:szCs w:val="22"/>
        </w:rPr>
      </w:pPr>
    </w:p>
    <w:sectPr w:rsidR="002D2B4E">
      <w:footerReference w:type="even" r:id="rId30"/>
      <w:footerReference w:type="default" r:id="rId31"/>
      <w:footerReference w:type="first" r:id="rId32"/>
      <w:footnotePr>
        <w:numRestart w:val="eachPage"/>
      </w:footnotePr>
      <w:pgSz w:w="11904" w:h="16840"/>
      <w:pgMar w:top="1320" w:right="1243" w:bottom="1469"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16FCCB" w14:textId="77777777" w:rsidR="001A0A35" w:rsidRDefault="001A0A35">
      <w:r>
        <w:separator/>
      </w:r>
    </w:p>
  </w:endnote>
  <w:endnote w:type="continuationSeparator" w:id="0">
    <w:p w14:paraId="7B5F8E1D" w14:textId="77777777" w:rsidR="001A0A35" w:rsidRDefault="001A0A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0C607" w14:textId="55DD3431" w:rsidR="00F86658" w:rsidRDefault="005A1341">
    <w:pPr>
      <w:tabs>
        <w:tab w:val="center" w:pos="283"/>
        <w:tab w:val="center" w:pos="4513"/>
        <w:tab w:val="center" w:pos="7532"/>
      </w:tabs>
      <w:spacing w:line="259" w:lineRule="auto"/>
      <w:ind w:left="-509"/>
    </w:pPr>
    <w:r>
      <w:rPr>
        <w:noProof/>
      </w:rPr>
      <mc:AlternateContent>
        <mc:Choice Requires="wpg">
          <w:drawing>
            <wp:anchor distT="0" distB="0" distL="114300" distR="114300" simplePos="0" relativeHeight="251662336" behindDoc="0" locked="0" layoutInCell="1" allowOverlap="1" wp14:anchorId="3D042ABE" wp14:editId="7EC49035">
              <wp:simplePos x="0" y="0"/>
              <wp:positionH relativeFrom="page">
                <wp:posOffset>2927350</wp:posOffset>
              </wp:positionH>
              <wp:positionV relativeFrom="page">
                <wp:posOffset>10305415</wp:posOffset>
              </wp:positionV>
              <wp:extent cx="4049395" cy="91440"/>
              <wp:effectExtent l="12700" t="18415" r="14605" b="13970"/>
              <wp:wrapSquare wrapText="bothSides"/>
              <wp:docPr id="14" name="Group 829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9395" cy="91440"/>
                        <a:chOff x="0" y="0"/>
                        <a:chExt cx="40492" cy="914"/>
                      </a:xfrm>
                    </wpg:grpSpPr>
                    <wps:wsp>
                      <wps:cNvPr id="15" name="Shape 82941"/>
                      <wps:cNvSpPr>
                        <a:spLocks/>
                      </wps:cNvSpPr>
                      <wps:spPr bwMode="auto">
                        <a:xfrm>
                          <a:off x="0" y="0"/>
                          <a:ext cx="40462" cy="0"/>
                        </a:xfrm>
                        <a:custGeom>
                          <a:avLst/>
                          <a:gdLst>
                            <a:gd name="T0" fmla="*/ 0 w 4046220"/>
                            <a:gd name="T1" fmla="*/ 4046220 w 4046220"/>
                            <a:gd name="T2" fmla="*/ 0 w 4046220"/>
                            <a:gd name="T3" fmla="*/ 4046220 w 4046220"/>
                          </a:gdLst>
                          <a:ahLst/>
                          <a:cxnLst>
                            <a:cxn ang="0">
                              <a:pos x="T0" y="0"/>
                            </a:cxn>
                            <a:cxn ang="0">
                              <a:pos x="T1" y="0"/>
                            </a:cxn>
                          </a:cxnLst>
                          <a:rect l="T2" t="0" r="T3" b="0"/>
                          <a:pathLst>
                            <a:path w="4046220">
                              <a:moveTo>
                                <a:pt x="0" y="0"/>
                              </a:moveTo>
                              <a:lnTo>
                                <a:pt x="4046220" y="0"/>
                              </a:lnTo>
                            </a:path>
                          </a:pathLst>
                        </a:custGeom>
                        <a:noFill/>
                        <a:ln w="25400">
                          <a:solidFill>
                            <a:srgbClr val="7E9A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Shape 82942"/>
                      <wps:cNvSpPr>
                        <a:spLocks/>
                      </wps:cNvSpPr>
                      <wps:spPr bwMode="auto">
                        <a:xfrm>
                          <a:off x="19903" y="472"/>
                          <a:ext cx="20589" cy="0"/>
                        </a:xfrm>
                        <a:custGeom>
                          <a:avLst/>
                          <a:gdLst>
                            <a:gd name="T0" fmla="*/ 0 w 2058924"/>
                            <a:gd name="T1" fmla="*/ 2058924 w 2058924"/>
                            <a:gd name="T2" fmla="*/ 0 w 2058924"/>
                            <a:gd name="T3" fmla="*/ 2058924 w 2058924"/>
                          </a:gdLst>
                          <a:ahLst/>
                          <a:cxnLst>
                            <a:cxn ang="0">
                              <a:pos x="T0" y="0"/>
                            </a:cxn>
                            <a:cxn ang="0">
                              <a:pos x="T1" y="0"/>
                            </a:cxn>
                          </a:cxnLst>
                          <a:rect l="T2" t="0" r="T3" b="0"/>
                          <a:pathLst>
                            <a:path w="2058924">
                              <a:moveTo>
                                <a:pt x="0" y="0"/>
                              </a:moveTo>
                              <a:lnTo>
                                <a:pt x="2058924" y="0"/>
                              </a:lnTo>
                            </a:path>
                          </a:pathLst>
                        </a:custGeom>
                        <a:noFill/>
                        <a:ln w="25400">
                          <a:solidFill>
                            <a:srgbClr val="B8C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Shape 82943"/>
                      <wps:cNvSpPr>
                        <a:spLocks/>
                      </wps:cNvSpPr>
                      <wps:spPr bwMode="auto">
                        <a:xfrm>
                          <a:off x="30464" y="914"/>
                          <a:ext cx="10028" cy="0"/>
                        </a:xfrm>
                        <a:custGeom>
                          <a:avLst/>
                          <a:gdLst>
                            <a:gd name="T0" fmla="*/ 0 w 1002792"/>
                            <a:gd name="T1" fmla="*/ 1002792 w 1002792"/>
                            <a:gd name="T2" fmla="*/ 0 w 1002792"/>
                            <a:gd name="T3" fmla="*/ 1002792 w 1002792"/>
                          </a:gdLst>
                          <a:ahLst/>
                          <a:cxnLst>
                            <a:cxn ang="0">
                              <a:pos x="T0" y="0"/>
                            </a:cxn>
                            <a:cxn ang="0">
                              <a:pos x="T1" y="0"/>
                            </a:cxn>
                          </a:cxnLst>
                          <a:rect l="T2" t="0" r="T3" b="0"/>
                          <a:pathLst>
                            <a:path w="1002792">
                              <a:moveTo>
                                <a:pt x="0" y="0"/>
                              </a:moveTo>
                              <a:lnTo>
                                <a:pt x="1002792" y="0"/>
                              </a:lnTo>
                            </a:path>
                          </a:pathLst>
                        </a:custGeom>
                        <a:noFill/>
                        <a:ln w="25400">
                          <a:solidFill>
                            <a:srgbClr val="A3AD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64DF7F" id="Group 82940" o:spid="_x0000_s1026" style="position:absolute;margin-left:230.5pt;margin-top:811.45pt;width:318.85pt;height:7.2pt;z-index:251662336;mso-position-horizontal-relative:page;mso-position-vertical-relative:page" coordsize="40492,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">
              <v:shape id="Shape 82941" o:spid="_x0000_s1027" style="position:absolute;width:40462;height:0;visibility:visible;mso-wrap-style:square;v-text-anchor:top" coordsize="4046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" path="m,l4046220,e" filled="f" strokecolor="#7e9a16" strokeweight="2pt">
                <v:path arrowok="t" o:connecttype="custom" o:connectlocs="0,0;40462,0" o:connectangles="0,0" textboxrect="0,0,4046220,0"/>
              </v:shape>
              <v:shape id="Shape 82942" o:spid="_x0000_s1028" style="position:absolute;left:19903;top:472;width:20589;height:0;visibility:visible;mso-wrap-style:square;v-text-anchor:top" coordsize="2058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" path="m,l2058924,e" filled="f" strokecolor="#b8cd00" strokeweight="2pt">
                <v:path arrowok="t" o:connecttype="custom" o:connectlocs="0,0;20589,0" o:connectangles="0,0" textboxrect="0,0,2058924,0"/>
              </v:shape>
              <v:shape id="Shape 82943" o:spid="_x0000_s1029" style="position:absolute;left:30464;top:914;width:10028;height:0;visibility:visible;mso-wrap-style:square;v-text-anchor:top" coordsize="1002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" path="m,l1002792,e" filled="f" strokecolor="#a3ad21" strokeweight="2pt">
                <v:path arrowok="t" o:connecttype="custom" o:connectlocs="0,0;10028,0" o:connectangles="0,0" textboxrect="0,0,1002792,0"/>
              </v:shape>
              <w10:wrap type="square" anchorx="page" anchory="page"/>
            </v:group>
          </w:pict>
        </mc:Fallback>
      </mc:AlternateContent>
    </w:r>
    <w:r w:rsidR="00F86658">
      <w:rPr>
        <w:noProof/>
      </w:rPr>
      <w:drawing>
        <wp:anchor distT="0" distB="0" distL="114300" distR="114300" simplePos="0" relativeHeight="251663360" behindDoc="0" locked="0" layoutInCell="1" allowOverlap="0" wp14:anchorId="34557589" wp14:editId="4D8AEAA0">
          <wp:simplePos x="0" y="0"/>
          <wp:positionH relativeFrom="page">
            <wp:posOffset>591312</wp:posOffset>
          </wp:positionH>
          <wp:positionV relativeFrom="page">
            <wp:posOffset>9947145</wp:posOffset>
          </wp:positionV>
          <wp:extent cx="304800" cy="466344"/>
          <wp:effectExtent l="0" t="0" r="0" b="0"/>
          <wp:wrapSquare wrapText="bothSides"/>
          <wp:docPr id="13079" name="Picture 13079"/>
          <wp:cNvGraphicFramePr/>
          <a:graphic xmlns:a="http://schemas.openxmlformats.org/drawingml/2006/main">
            <a:graphicData uri="http://schemas.openxmlformats.org/drawingml/2006/picture">
              <pic:pic xmlns:pic="http://schemas.openxmlformats.org/drawingml/2006/picture">
                <pic:nvPicPr>
                  <pic:cNvPr id="13079" name="Picture 13079"/>
                  <pic:cNvPicPr/>
                </pic:nvPicPr>
                <pic:blipFill>
                  <a:blip r:embed="rId1"/>
                  <a:stretch>
                    <a:fillRect/>
                  </a:stretch>
                </pic:blipFill>
                <pic:spPr>
                  <a:xfrm>
                    <a:off x="0" y="0"/>
                    <a:ext cx="304800" cy="466344"/>
                  </a:xfrm>
                  <a:prstGeom prst="rect">
                    <a:avLst/>
                  </a:prstGeom>
                </pic:spPr>
              </pic:pic>
            </a:graphicData>
          </a:graphic>
        </wp:anchor>
      </w:drawing>
    </w:r>
    <w:r w:rsidR="00F86658">
      <w:rPr>
        <w:rFonts w:ascii="Cambria" w:eastAsia="Cambria" w:hAnsi="Cambria" w:cs="Cambria"/>
        <w:b/>
        <w:i/>
        <w:sz w:val="15"/>
      </w:rPr>
      <w:tab/>
      <w:t xml:space="preserve"> </w:t>
    </w:r>
    <w:r w:rsidR="00F86658">
      <w:rPr>
        <w:rFonts w:ascii="Cambria" w:eastAsia="Cambria" w:hAnsi="Cambria" w:cs="Cambria"/>
        <w:b/>
        <w:i/>
        <w:sz w:val="15"/>
      </w:rPr>
      <w:tab/>
      <w:t>Demand &amp; Supply</w:t>
    </w:r>
    <w:r w:rsidR="00F86658">
      <w:rPr>
        <w:rFonts w:ascii="Cambria" w:eastAsia="Cambria" w:hAnsi="Cambria" w:cs="Cambria"/>
        <w:b/>
        <w:i/>
        <w:sz w:val="16"/>
      </w:rPr>
      <w:t xml:space="preserve"> – Residential Land Bacchus Marsh  </w:t>
    </w:r>
    <w:r w:rsidR="00F86658">
      <w:rPr>
        <w:rFonts w:ascii="Cambria" w:eastAsia="Cambria" w:hAnsi="Cambria" w:cs="Cambria"/>
        <w:b/>
        <w:i/>
        <w:sz w:val="16"/>
      </w:rPr>
      <w:tab/>
      <w:t xml:space="preserve">Page | </w:t>
    </w:r>
    <w:r w:rsidR="00F86658">
      <w:fldChar w:fldCharType="begin"/>
    </w:r>
    <w:r w:rsidR="00F86658">
      <w:instrText xml:space="preserve"> PAGE   \* MERGEFORMAT </w:instrText>
    </w:r>
    <w:r w:rsidR="00F86658">
      <w:fldChar w:fldCharType="separate"/>
    </w:r>
    <w:r w:rsidR="00F86658">
      <w:rPr>
        <w:rFonts w:ascii="Cambria" w:eastAsia="Cambria" w:hAnsi="Cambria" w:cs="Cambria"/>
        <w:b/>
        <w:i/>
        <w:sz w:val="16"/>
      </w:rPr>
      <w:t>36</w:t>
    </w:r>
    <w:r w:rsidR="00F86658">
      <w:rPr>
        <w:rFonts w:ascii="Cambria" w:eastAsia="Cambria" w:hAnsi="Cambria" w:cs="Cambria"/>
        <w:b/>
        <w:i/>
        <w:sz w:val="16"/>
      </w:rPr>
      <w:fldChar w:fldCharType="end"/>
    </w:r>
    <w:r w:rsidR="00F86658">
      <w:rPr>
        <w:rFonts w:ascii="Cambria" w:eastAsia="Cambria" w:hAnsi="Cambria" w:cs="Cambria"/>
        <w:b/>
        <w:i/>
        <w:sz w:val="16"/>
      </w:rPr>
      <w:t xml:space="preserve"> </w:t>
    </w:r>
    <w:r w:rsidR="00F86658">
      <w:rPr>
        <w:sz w:val="18"/>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7663C" w14:textId="46C34A37" w:rsidR="00F86658" w:rsidRDefault="005A1341">
    <w:pPr>
      <w:tabs>
        <w:tab w:val="center" w:pos="283"/>
        <w:tab w:val="center" w:pos="4513"/>
        <w:tab w:val="center" w:pos="7532"/>
      </w:tabs>
      <w:spacing w:line="259" w:lineRule="auto"/>
      <w:ind w:left="-509"/>
    </w:pPr>
    <w:r>
      <w:rPr>
        <w:noProof/>
      </w:rPr>
      <mc:AlternateContent>
        <mc:Choice Requires="wpg">
          <w:drawing>
            <wp:anchor distT="0" distB="0" distL="114300" distR="114300" simplePos="0" relativeHeight="251664384" behindDoc="0" locked="0" layoutInCell="1" allowOverlap="1" wp14:anchorId="039F39BF" wp14:editId="3BE7D51F">
              <wp:simplePos x="0" y="0"/>
              <wp:positionH relativeFrom="page">
                <wp:posOffset>2927350</wp:posOffset>
              </wp:positionH>
              <wp:positionV relativeFrom="page">
                <wp:posOffset>10305415</wp:posOffset>
              </wp:positionV>
              <wp:extent cx="4049395" cy="91440"/>
              <wp:effectExtent l="12700" t="18415" r="14605" b="13970"/>
              <wp:wrapSquare wrapText="bothSides"/>
              <wp:docPr id="1" name="Group 82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49395" cy="91440"/>
                        <a:chOff x="0" y="0"/>
                        <a:chExt cx="40492" cy="914"/>
                      </a:xfrm>
                    </wpg:grpSpPr>
                    <wps:wsp>
                      <wps:cNvPr id="6" name="Shape 82920"/>
                      <wps:cNvSpPr>
                        <a:spLocks/>
                      </wps:cNvSpPr>
                      <wps:spPr bwMode="auto">
                        <a:xfrm>
                          <a:off x="0" y="0"/>
                          <a:ext cx="40462" cy="0"/>
                        </a:xfrm>
                        <a:custGeom>
                          <a:avLst/>
                          <a:gdLst>
                            <a:gd name="T0" fmla="*/ 0 w 4046220"/>
                            <a:gd name="T1" fmla="*/ 4046220 w 4046220"/>
                            <a:gd name="T2" fmla="*/ 0 w 4046220"/>
                            <a:gd name="T3" fmla="*/ 4046220 w 4046220"/>
                          </a:gdLst>
                          <a:ahLst/>
                          <a:cxnLst>
                            <a:cxn ang="0">
                              <a:pos x="T0" y="0"/>
                            </a:cxn>
                            <a:cxn ang="0">
                              <a:pos x="T1" y="0"/>
                            </a:cxn>
                          </a:cxnLst>
                          <a:rect l="T2" t="0" r="T3" b="0"/>
                          <a:pathLst>
                            <a:path w="4046220">
                              <a:moveTo>
                                <a:pt x="0" y="0"/>
                              </a:moveTo>
                              <a:lnTo>
                                <a:pt x="4046220" y="0"/>
                              </a:lnTo>
                            </a:path>
                          </a:pathLst>
                        </a:custGeom>
                        <a:noFill/>
                        <a:ln w="25400">
                          <a:solidFill>
                            <a:srgbClr val="7E9A1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 name="Shape 82921"/>
                      <wps:cNvSpPr>
                        <a:spLocks/>
                      </wps:cNvSpPr>
                      <wps:spPr bwMode="auto">
                        <a:xfrm>
                          <a:off x="19903" y="472"/>
                          <a:ext cx="20589" cy="0"/>
                        </a:xfrm>
                        <a:custGeom>
                          <a:avLst/>
                          <a:gdLst>
                            <a:gd name="T0" fmla="*/ 0 w 2058924"/>
                            <a:gd name="T1" fmla="*/ 2058924 w 2058924"/>
                            <a:gd name="T2" fmla="*/ 0 w 2058924"/>
                            <a:gd name="T3" fmla="*/ 2058924 w 2058924"/>
                          </a:gdLst>
                          <a:ahLst/>
                          <a:cxnLst>
                            <a:cxn ang="0">
                              <a:pos x="T0" y="0"/>
                            </a:cxn>
                            <a:cxn ang="0">
                              <a:pos x="T1" y="0"/>
                            </a:cxn>
                          </a:cxnLst>
                          <a:rect l="T2" t="0" r="T3" b="0"/>
                          <a:pathLst>
                            <a:path w="2058924">
                              <a:moveTo>
                                <a:pt x="0" y="0"/>
                              </a:moveTo>
                              <a:lnTo>
                                <a:pt x="2058924" y="0"/>
                              </a:lnTo>
                            </a:path>
                          </a:pathLst>
                        </a:custGeom>
                        <a:noFill/>
                        <a:ln w="25400">
                          <a:solidFill>
                            <a:srgbClr val="B8C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Shape 82922"/>
                      <wps:cNvSpPr>
                        <a:spLocks/>
                      </wps:cNvSpPr>
                      <wps:spPr bwMode="auto">
                        <a:xfrm>
                          <a:off x="30464" y="914"/>
                          <a:ext cx="10028" cy="0"/>
                        </a:xfrm>
                        <a:custGeom>
                          <a:avLst/>
                          <a:gdLst>
                            <a:gd name="T0" fmla="*/ 0 w 1002792"/>
                            <a:gd name="T1" fmla="*/ 1002792 w 1002792"/>
                            <a:gd name="T2" fmla="*/ 0 w 1002792"/>
                            <a:gd name="T3" fmla="*/ 1002792 w 1002792"/>
                          </a:gdLst>
                          <a:ahLst/>
                          <a:cxnLst>
                            <a:cxn ang="0">
                              <a:pos x="T0" y="0"/>
                            </a:cxn>
                            <a:cxn ang="0">
                              <a:pos x="T1" y="0"/>
                            </a:cxn>
                          </a:cxnLst>
                          <a:rect l="T2" t="0" r="T3" b="0"/>
                          <a:pathLst>
                            <a:path w="1002792">
                              <a:moveTo>
                                <a:pt x="0" y="0"/>
                              </a:moveTo>
                              <a:lnTo>
                                <a:pt x="1002792" y="0"/>
                              </a:lnTo>
                            </a:path>
                          </a:pathLst>
                        </a:custGeom>
                        <a:noFill/>
                        <a:ln w="25400">
                          <a:solidFill>
                            <a:srgbClr val="A3AD2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070BB6" id="Group 82919" o:spid="_x0000_s1026" style="position:absolute;margin-left:230.5pt;margin-top:811.45pt;width:318.85pt;height:7.2pt;z-index:251664384;mso-position-horizontal-relative:page;mso-position-vertical-relative:page" coordsize="40492,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">
              <v:shape id="Shape 82920" o:spid="_x0000_s1027" style="position:absolute;width:40462;height:0;visibility:visible;mso-wrap-style:square;v-text-anchor:top" coordsize="40462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" path="m,l4046220,e" filled="f" strokecolor="#7e9a16" strokeweight="2pt">
                <v:path arrowok="t" o:connecttype="custom" o:connectlocs="0,0;40462,0" o:connectangles="0,0" textboxrect="0,0,4046220,0"/>
              </v:shape>
              <v:shape id="Shape 82921" o:spid="_x0000_s1028" style="position:absolute;left:19903;top:472;width:20589;height:0;visibility:visible;mso-wrap-style:square;v-text-anchor:top" coordsize="2058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" path="m,l2058924,e" filled="f" strokecolor="#b8cd00" strokeweight="2pt">
                <v:path arrowok="t" o:connecttype="custom" o:connectlocs="0,0;20589,0" o:connectangles="0,0" textboxrect="0,0,2058924,0"/>
              </v:shape>
              <v:shape id="Shape 82922" o:spid="_x0000_s1029" style="position:absolute;left:30464;top:914;width:10028;height:0;visibility:visible;mso-wrap-style:square;v-text-anchor:top" coordsize="1002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" path="m,l1002792,e" filled="f" strokecolor="#a3ad21" strokeweight="2pt">
                <v:path arrowok="t" o:connecttype="custom" o:connectlocs="0,0;10028,0" o:connectangles="0,0" textboxrect="0,0,1002792,0"/>
              </v:shape>
              <w10:wrap type="square" anchorx="page" anchory="page"/>
            </v:group>
          </w:pict>
        </mc:Fallback>
      </mc:AlternateContent>
    </w:r>
    <w:r w:rsidR="00F86658">
      <w:rPr>
        <w:noProof/>
      </w:rPr>
      <w:drawing>
        <wp:anchor distT="0" distB="0" distL="114300" distR="114300" simplePos="0" relativeHeight="251665408" behindDoc="0" locked="0" layoutInCell="1" allowOverlap="0" wp14:anchorId="52670E58" wp14:editId="569E189D">
          <wp:simplePos x="0" y="0"/>
          <wp:positionH relativeFrom="page">
            <wp:posOffset>591312</wp:posOffset>
          </wp:positionH>
          <wp:positionV relativeFrom="page">
            <wp:posOffset>9947145</wp:posOffset>
          </wp:positionV>
          <wp:extent cx="304800" cy="466344"/>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3079" name="Picture 13079"/>
                  <pic:cNvPicPr/>
                </pic:nvPicPr>
                <pic:blipFill>
                  <a:blip r:embed="rId1"/>
                  <a:stretch>
                    <a:fillRect/>
                  </a:stretch>
                </pic:blipFill>
                <pic:spPr>
                  <a:xfrm>
                    <a:off x="0" y="0"/>
                    <a:ext cx="304800" cy="466344"/>
                  </a:xfrm>
                  <a:prstGeom prst="rect">
                    <a:avLst/>
                  </a:prstGeom>
                </pic:spPr>
              </pic:pic>
            </a:graphicData>
          </a:graphic>
        </wp:anchor>
      </w:drawing>
    </w:r>
    <w:r w:rsidR="00F86658">
      <w:rPr>
        <w:rFonts w:ascii="Cambria" w:eastAsia="Cambria" w:hAnsi="Cambria" w:cs="Cambria"/>
        <w:b/>
        <w:i/>
        <w:sz w:val="15"/>
      </w:rPr>
      <w:tab/>
      <w:t xml:space="preserve"> </w:t>
    </w:r>
    <w:r w:rsidR="00F86658">
      <w:rPr>
        <w:rFonts w:ascii="Cambria" w:eastAsia="Cambria" w:hAnsi="Cambria" w:cs="Cambria"/>
        <w:b/>
        <w:i/>
        <w:sz w:val="15"/>
      </w:rPr>
      <w:tab/>
    </w:r>
    <w:r w:rsidR="00D4356A">
      <w:rPr>
        <w:rFonts w:ascii="Cambria" w:eastAsia="Cambria" w:hAnsi="Cambria" w:cs="Cambria"/>
        <w:b/>
        <w:i/>
        <w:sz w:val="15"/>
      </w:rPr>
      <w:t>Residential Broadhectare Land Supply Assessment – City of Greater Geelong</w:t>
    </w:r>
    <w:r w:rsidR="00D4356A">
      <w:rPr>
        <w:rFonts w:ascii="Cambria" w:eastAsia="Cambria" w:hAnsi="Cambria" w:cs="Cambria"/>
        <w:b/>
        <w:i/>
        <w:sz w:val="15"/>
      </w:rPr>
      <w:tab/>
    </w:r>
    <w:r w:rsidR="00F86658">
      <w:rPr>
        <w:rFonts w:ascii="Cambria" w:eastAsia="Cambria" w:hAnsi="Cambria" w:cs="Cambria"/>
        <w:b/>
        <w:i/>
        <w:sz w:val="16"/>
      </w:rPr>
      <w:t xml:space="preserve">  </w:t>
    </w:r>
    <w:r w:rsidR="00F86658">
      <w:rPr>
        <w:rFonts w:ascii="Cambria" w:eastAsia="Cambria" w:hAnsi="Cambria" w:cs="Cambria"/>
        <w:b/>
        <w:i/>
        <w:sz w:val="16"/>
      </w:rPr>
      <w:tab/>
      <w:t xml:space="preserve">Page | </w:t>
    </w:r>
    <w:r w:rsidR="00F86658">
      <w:fldChar w:fldCharType="begin"/>
    </w:r>
    <w:r w:rsidR="00F86658">
      <w:instrText xml:space="preserve"> PAGE   \* MERGEFORMAT </w:instrText>
    </w:r>
    <w:r w:rsidR="00F86658">
      <w:fldChar w:fldCharType="separate"/>
    </w:r>
    <w:r w:rsidR="00F86658" w:rsidRPr="00F96A95">
      <w:rPr>
        <w:rFonts w:ascii="Cambria" w:eastAsia="Cambria" w:hAnsi="Cambria" w:cs="Cambria"/>
        <w:b/>
        <w:i/>
        <w:noProof/>
        <w:sz w:val="16"/>
      </w:rPr>
      <w:t>40</w:t>
    </w:r>
    <w:r w:rsidR="00F86658">
      <w:rPr>
        <w:rFonts w:ascii="Cambria" w:eastAsia="Cambria" w:hAnsi="Cambria" w:cs="Cambria"/>
        <w:b/>
        <w:i/>
        <w:sz w:val="16"/>
      </w:rPr>
      <w:fldChar w:fldCharType="end"/>
    </w:r>
    <w:r w:rsidR="00F86658">
      <w:rPr>
        <w:rFonts w:ascii="Cambria" w:eastAsia="Cambria" w:hAnsi="Cambria" w:cs="Cambria"/>
        <w:b/>
        <w:i/>
        <w:sz w:val="16"/>
      </w:rPr>
      <w:t xml:space="preserve"> </w:t>
    </w:r>
    <w:r w:rsidR="00F86658">
      <w:rPr>
        <w:sz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C222D" w14:textId="77777777" w:rsidR="00F86658" w:rsidRDefault="00F86658">
    <w:pPr>
      <w:spacing w:after="160" w:line="259"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2C90BE" w14:textId="77777777" w:rsidR="001A0A35" w:rsidRDefault="001A0A35">
      <w:pPr>
        <w:spacing w:line="259" w:lineRule="auto"/>
        <w:ind w:left="283"/>
      </w:pPr>
      <w:r>
        <w:separator/>
      </w:r>
    </w:p>
  </w:footnote>
  <w:footnote w:type="continuationSeparator" w:id="0">
    <w:p w14:paraId="51B8ABD7" w14:textId="77777777" w:rsidR="001A0A35" w:rsidRDefault="001A0A35">
      <w:pPr>
        <w:spacing w:line="259" w:lineRule="auto"/>
        <w:ind w:left="283"/>
      </w:pPr>
      <w:r>
        <w:continuationSeparator/>
      </w:r>
    </w:p>
  </w:footnote>
  <w:footnote w:id="1">
    <w:p w14:paraId="780C14D6" w14:textId="45B59D38" w:rsidR="00394B48" w:rsidRDefault="00394B48" w:rsidP="00394B48">
      <w:pPr>
        <w:pStyle w:val="FootnoteText"/>
      </w:pPr>
      <w:r>
        <w:rPr>
          <w:rStyle w:val="FootnoteReference"/>
        </w:rPr>
        <w:footnoteRef/>
      </w:r>
      <w:r>
        <w:t xml:space="preserve"> </w:t>
      </w:r>
      <w:r w:rsidRPr="00394B48">
        <w:rPr>
          <w:rFonts w:ascii="Corbel" w:hAnsi="Corbel"/>
          <w:sz w:val="18"/>
          <w:szCs w:val="18"/>
        </w:rPr>
        <w:t>Sales price data supplied</w:t>
      </w:r>
      <w:r w:rsidRPr="00C05CF8">
        <w:rPr>
          <w:rFonts w:ascii="Corbel" w:hAnsi="Corbel"/>
          <w:sz w:val="18"/>
          <w:szCs w:val="18"/>
        </w:rPr>
        <w:t xml:space="preserve"> by </w:t>
      </w:r>
      <w:r>
        <w:rPr>
          <w:rFonts w:ascii="Corbel" w:hAnsi="Corbel"/>
          <w:sz w:val="18"/>
          <w:szCs w:val="18"/>
        </w:rPr>
        <w:t xml:space="preserve">Oliver Hume Research and </w:t>
      </w:r>
      <w:r w:rsidRPr="00C05CF8">
        <w:rPr>
          <w:rFonts w:ascii="Corbel" w:hAnsi="Corbel"/>
          <w:sz w:val="18"/>
          <w:szCs w:val="18"/>
        </w:rPr>
        <w:t>Core Projects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363F2"/>
    <w:multiLevelType w:val="hybridMultilevel"/>
    <w:tmpl w:val="1EB4247C"/>
    <w:lvl w:ilvl="0" w:tplc="0C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287C5CE0"/>
    <w:multiLevelType w:val="hybridMultilevel"/>
    <w:tmpl w:val="738884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E3F41D6"/>
    <w:multiLevelType w:val="hybridMultilevel"/>
    <w:tmpl w:val="DEA27ACA"/>
    <w:lvl w:ilvl="0" w:tplc="AE6AA62C">
      <w:start w:val="1"/>
      <w:numFmt w:val="decimal"/>
      <w:lvlText w:val="%1)"/>
      <w:lvlJc w:val="left"/>
      <w:pPr>
        <w:ind w:left="1080" w:hanging="360"/>
      </w:pPr>
      <w:rPr>
        <w:rFonts w:hint="default"/>
        <w:b/>
        <w:sz w:val="16"/>
      </w:rPr>
    </w:lvl>
    <w:lvl w:ilvl="1" w:tplc="0C090019" w:tentative="1">
      <w:start w:val="1"/>
      <w:numFmt w:val="lowerLetter"/>
      <w:lvlText w:val="%2."/>
      <w:lvlJc w:val="left"/>
      <w:pPr>
        <w:ind w:left="2177" w:hanging="360"/>
      </w:pPr>
    </w:lvl>
    <w:lvl w:ilvl="2" w:tplc="0C09001B" w:tentative="1">
      <w:start w:val="1"/>
      <w:numFmt w:val="lowerRoman"/>
      <w:lvlText w:val="%3."/>
      <w:lvlJc w:val="right"/>
      <w:pPr>
        <w:ind w:left="2897" w:hanging="180"/>
      </w:pPr>
    </w:lvl>
    <w:lvl w:ilvl="3" w:tplc="0C09000F" w:tentative="1">
      <w:start w:val="1"/>
      <w:numFmt w:val="decimal"/>
      <w:lvlText w:val="%4."/>
      <w:lvlJc w:val="left"/>
      <w:pPr>
        <w:ind w:left="3617" w:hanging="360"/>
      </w:pPr>
    </w:lvl>
    <w:lvl w:ilvl="4" w:tplc="0C090019" w:tentative="1">
      <w:start w:val="1"/>
      <w:numFmt w:val="lowerLetter"/>
      <w:lvlText w:val="%5."/>
      <w:lvlJc w:val="left"/>
      <w:pPr>
        <w:ind w:left="4337" w:hanging="360"/>
      </w:pPr>
    </w:lvl>
    <w:lvl w:ilvl="5" w:tplc="0C09001B" w:tentative="1">
      <w:start w:val="1"/>
      <w:numFmt w:val="lowerRoman"/>
      <w:lvlText w:val="%6."/>
      <w:lvlJc w:val="right"/>
      <w:pPr>
        <w:ind w:left="5057" w:hanging="180"/>
      </w:pPr>
    </w:lvl>
    <w:lvl w:ilvl="6" w:tplc="0C09000F" w:tentative="1">
      <w:start w:val="1"/>
      <w:numFmt w:val="decimal"/>
      <w:lvlText w:val="%7."/>
      <w:lvlJc w:val="left"/>
      <w:pPr>
        <w:ind w:left="5777" w:hanging="360"/>
      </w:pPr>
    </w:lvl>
    <w:lvl w:ilvl="7" w:tplc="0C090019" w:tentative="1">
      <w:start w:val="1"/>
      <w:numFmt w:val="lowerLetter"/>
      <w:lvlText w:val="%8."/>
      <w:lvlJc w:val="left"/>
      <w:pPr>
        <w:ind w:left="6497" w:hanging="360"/>
      </w:pPr>
    </w:lvl>
    <w:lvl w:ilvl="8" w:tplc="0C09001B" w:tentative="1">
      <w:start w:val="1"/>
      <w:numFmt w:val="lowerRoman"/>
      <w:lvlText w:val="%9."/>
      <w:lvlJc w:val="right"/>
      <w:pPr>
        <w:ind w:left="7217" w:hanging="180"/>
      </w:pPr>
    </w:lvl>
  </w:abstractNum>
  <w:abstractNum w:abstractNumId="3" w15:restartNumberingAfterBreak="0">
    <w:nsid w:val="450E6E2F"/>
    <w:multiLevelType w:val="hybridMultilevel"/>
    <w:tmpl w:val="B70A7D96"/>
    <w:lvl w:ilvl="0" w:tplc="7FBE2E1C">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3BE5D54">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16615A0">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00E2DAA">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F14B7EA">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B220212">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CE4DC7A">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FE8D41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4400C74">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46BA08BA"/>
    <w:multiLevelType w:val="hybridMultilevel"/>
    <w:tmpl w:val="50BEECFA"/>
    <w:lvl w:ilvl="0" w:tplc="AE6AA62C">
      <w:start w:val="1"/>
      <w:numFmt w:val="decimal"/>
      <w:lvlText w:val="%1)"/>
      <w:lvlJc w:val="left"/>
      <w:pPr>
        <w:ind w:left="343" w:hanging="360"/>
      </w:pPr>
      <w:rPr>
        <w:rFonts w:hint="default"/>
        <w:b/>
        <w:sz w:val="16"/>
      </w:rPr>
    </w:lvl>
    <w:lvl w:ilvl="1" w:tplc="0C090019" w:tentative="1">
      <w:start w:val="1"/>
      <w:numFmt w:val="lowerLetter"/>
      <w:lvlText w:val="%2."/>
      <w:lvlJc w:val="left"/>
      <w:pPr>
        <w:ind w:left="1063" w:hanging="360"/>
      </w:pPr>
    </w:lvl>
    <w:lvl w:ilvl="2" w:tplc="0C09001B" w:tentative="1">
      <w:start w:val="1"/>
      <w:numFmt w:val="lowerRoman"/>
      <w:lvlText w:val="%3."/>
      <w:lvlJc w:val="right"/>
      <w:pPr>
        <w:ind w:left="1783" w:hanging="180"/>
      </w:pPr>
    </w:lvl>
    <w:lvl w:ilvl="3" w:tplc="0C09000F" w:tentative="1">
      <w:start w:val="1"/>
      <w:numFmt w:val="decimal"/>
      <w:lvlText w:val="%4."/>
      <w:lvlJc w:val="left"/>
      <w:pPr>
        <w:ind w:left="2503" w:hanging="360"/>
      </w:pPr>
    </w:lvl>
    <w:lvl w:ilvl="4" w:tplc="0C090019" w:tentative="1">
      <w:start w:val="1"/>
      <w:numFmt w:val="lowerLetter"/>
      <w:lvlText w:val="%5."/>
      <w:lvlJc w:val="left"/>
      <w:pPr>
        <w:ind w:left="3223" w:hanging="360"/>
      </w:pPr>
    </w:lvl>
    <w:lvl w:ilvl="5" w:tplc="0C09001B" w:tentative="1">
      <w:start w:val="1"/>
      <w:numFmt w:val="lowerRoman"/>
      <w:lvlText w:val="%6."/>
      <w:lvlJc w:val="right"/>
      <w:pPr>
        <w:ind w:left="3943" w:hanging="180"/>
      </w:pPr>
    </w:lvl>
    <w:lvl w:ilvl="6" w:tplc="0C09000F" w:tentative="1">
      <w:start w:val="1"/>
      <w:numFmt w:val="decimal"/>
      <w:lvlText w:val="%7."/>
      <w:lvlJc w:val="left"/>
      <w:pPr>
        <w:ind w:left="4663" w:hanging="360"/>
      </w:pPr>
    </w:lvl>
    <w:lvl w:ilvl="7" w:tplc="0C090019" w:tentative="1">
      <w:start w:val="1"/>
      <w:numFmt w:val="lowerLetter"/>
      <w:lvlText w:val="%8."/>
      <w:lvlJc w:val="left"/>
      <w:pPr>
        <w:ind w:left="5383" w:hanging="360"/>
      </w:pPr>
    </w:lvl>
    <w:lvl w:ilvl="8" w:tplc="0C09001B" w:tentative="1">
      <w:start w:val="1"/>
      <w:numFmt w:val="lowerRoman"/>
      <w:lvlText w:val="%9."/>
      <w:lvlJc w:val="right"/>
      <w:pPr>
        <w:ind w:left="6103" w:hanging="180"/>
      </w:pPr>
    </w:lvl>
  </w:abstractNum>
  <w:abstractNum w:abstractNumId="5" w15:restartNumberingAfterBreak="0">
    <w:nsid w:val="472B7D5E"/>
    <w:multiLevelType w:val="hybridMultilevel"/>
    <w:tmpl w:val="A2423A0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4F496329"/>
    <w:multiLevelType w:val="hybridMultilevel"/>
    <w:tmpl w:val="DB90D5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55D63A1E"/>
    <w:multiLevelType w:val="hybridMultilevel"/>
    <w:tmpl w:val="C826111A"/>
    <w:lvl w:ilvl="0" w:tplc="0C090001">
      <w:start w:val="1"/>
      <w:numFmt w:val="bullet"/>
      <w:lvlText w:val=""/>
      <w:lvlJc w:val="left"/>
      <w:pPr>
        <w:ind w:left="72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64C425F0">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1A0C84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88EB0A8">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764C52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93484F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5B69624">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1D6573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8F28DB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596F453D"/>
    <w:multiLevelType w:val="hybridMultilevel"/>
    <w:tmpl w:val="166ECEC0"/>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61D15D7A"/>
    <w:multiLevelType w:val="hybridMultilevel"/>
    <w:tmpl w:val="B04A763A"/>
    <w:lvl w:ilvl="0" w:tplc="AE6AA62C">
      <w:start w:val="1"/>
      <w:numFmt w:val="decimal"/>
      <w:lvlText w:val="%1)"/>
      <w:lvlJc w:val="left"/>
      <w:pPr>
        <w:ind w:left="1080" w:hanging="360"/>
      </w:pPr>
      <w:rPr>
        <w:rFonts w:hint="default"/>
        <w:b/>
        <w:sz w:val="16"/>
      </w:rPr>
    </w:lvl>
    <w:lvl w:ilvl="1" w:tplc="0C090019" w:tentative="1">
      <w:start w:val="1"/>
      <w:numFmt w:val="lowerLetter"/>
      <w:lvlText w:val="%2."/>
      <w:lvlJc w:val="left"/>
      <w:pPr>
        <w:ind w:left="2177" w:hanging="360"/>
      </w:pPr>
    </w:lvl>
    <w:lvl w:ilvl="2" w:tplc="0C09001B" w:tentative="1">
      <w:start w:val="1"/>
      <w:numFmt w:val="lowerRoman"/>
      <w:lvlText w:val="%3."/>
      <w:lvlJc w:val="right"/>
      <w:pPr>
        <w:ind w:left="2897" w:hanging="180"/>
      </w:pPr>
    </w:lvl>
    <w:lvl w:ilvl="3" w:tplc="0C09000F" w:tentative="1">
      <w:start w:val="1"/>
      <w:numFmt w:val="decimal"/>
      <w:lvlText w:val="%4."/>
      <w:lvlJc w:val="left"/>
      <w:pPr>
        <w:ind w:left="3617" w:hanging="360"/>
      </w:pPr>
    </w:lvl>
    <w:lvl w:ilvl="4" w:tplc="0C090019" w:tentative="1">
      <w:start w:val="1"/>
      <w:numFmt w:val="lowerLetter"/>
      <w:lvlText w:val="%5."/>
      <w:lvlJc w:val="left"/>
      <w:pPr>
        <w:ind w:left="4337" w:hanging="360"/>
      </w:pPr>
    </w:lvl>
    <w:lvl w:ilvl="5" w:tplc="0C09001B" w:tentative="1">
      <w:start w:val="1"/>
      <w:numFmt w:val="lowerRoman"/>
      <w:lvlText w:val="%6."/>
      <w:lvlJc w:val="right"/>
      <w:pPr>
        <w:ind w:left="5057" w:hanging="180"/>
      </w:pPr>
    </w:lvl>
    <w:lvl w:ilvl="6" w:tplc="0C09000F" w:tentative="1">
      <w:start w:val="1"/>
      <w:numFmt w:val="decimal"/>
      <w:lvlText w:val="%7."/>
      <w:lvlJc w:val="left"/>
      <w:pPr>
        <w:ind w:left="5777" w:hanging="360"/>
      </w:pPr>
    </w:lvl>
    <w:lvl w:ilvl="7" w:tplc="0C090019" w:tentative="1">
      <w:start w:val="1"/>
      <w:numFmt w:val="lowerLetter"/>
      <w:lvlText w:val="%8."/>
      <w:lvlJc w:val="left"/>
      <w:pPr>
        <w:ind w:left="6497" w:hanging="360"/>
      </w:pPr>
    </w:lvl>
    <w:lvl w:ilvl="8" w:tplc="0C09001B" w:tentative="1">
      <w:start w:val="1"/>
      <w:numFmt w:val="lowerRoman"/>
      <w:lvlText w:val="%9."/>
      <w:lvlJc w:val="right"/>
      <w:pPr>
        <w:ind w:left="7217" w:hanging="180"/>
      </w:pPr>
    </w:lvl>
  </w:abstractNum>
  <w:abstractNum w:abstractNumId="10" w15:restartNumberingAfterBreak="0">
    <w:nsid w:val="69954D9E"/>
    <w:multiLevelType w:val="hybridMultilevel"/>
    <w:tmpl w:val="82FA3B92"/>
    <w:lvl w:ilvl="0" w:tplc="0C090001">
      <w:start w:val="1"/>
      <w:numFmt w:val="bullet"/>
      <w:lvlText w:val=""/>
      <w:lvlJc w:val="left"/>
      <w:pPr>
        <w:ind w:left="720"/>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F796F89A">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AB29414">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284169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C8AA21C">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41A669C">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1B82908">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A9C6238">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7504C00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7C120761"/>
    <w:multiLevelType w:val="hybridMultilevel"/>
    <w:tmpl w:val="7DBACEDC"/>
    <w:lvl w:ilvl="0" w:tplc="51F0C9C8">
      <w:start w:val="1"/>
      <w:numFmt w:val="bullet"/>
      <w:lvlText w:val="•"/>
      <w:lvlJc w:val="left"/>
      <w:pPr>
        <w:ind w:left="71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B5A4FD04">
      <w:start w:val="1"/>
      <w:numFmt w:val="bullet"/>
      <w:lvlText w:val="o"/>
      <w:lvlJc w:val="left"/>
      <w:pPr>
        <w:ind w:left="143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4BA3372">
      <w:start w:val="1"/>
      <w:numFmt w:val="bullet"/>
      <w:lvlText w:val="▪"/>
      <w:lvlJc w:val="left"/>
      <w:pPr>
        <w:ind w:left="21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CE4A5CC">
      <w:start w:val="1"/>
      <w:numFmt w:val="bullet"/>
      <w:lvlText w:val="•"/>
      <w:lvlJc w:val="left"/>
      <w:pPr>
        <w:ind w:left="287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ED02030">
      <w:start w:val="1"/>
      <w:numFmt w:val="bullet"/>
      <w:lvlText w:val="o"/>
      <w:lvlJc w:val="left"/>
      <w:pPr>
        <w:ind w:left="359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3B848C0C">
      <w:start w:val="1"/>
      <w:numFmt w:val="bullet"/>
      <w:lvlText w:val="▪"/>
      <w:lvlJc w:val="left"/>
      <w:pPr>
        <w:ind w:left="431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77817B8">
      <w:start w:val="1"/>
      <w:numFmt w:val="bullet"/>
      <w:lvlText w:val="•"/>
      <w:lvlJc w:val="left"/>
      <w:pPr>
        <w:ind w:left="503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F985DA6">
      <w:start w:val="1"/>
      <w:numFmt w:val="bullet"/>
      <w:lvlText w:val="o"/>
      <w:lvlJc w:val="left"/>
      <w:pPr>
        <w:ind w:left="575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F2E3A32">
      <w:start w:val="1"/>
      <w:numFmt w:val="bullet"/>
      <w:lvlText w:val="▪"/>
      <w:lvlJc w:val="left"/>
      <w:pPr>
        <w:ind w:left="647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16cid:durableId="877745837">
    <w:abstractNumId w:val="3"/>
  </w:num>
  <w:num w:numId="2" w16cid:durableId="1513570045">
    <w:abstractNumId w:val="11"/>
  </w:num>
  <w:num w:numId="3" w16cid:durableId="1446998580">
    <w:abstractNumId w:val="7"/>
  </w:num>
  <w:num w:numId="4" w16cid:durableId="1094592786">
    <w:abstractNumId w:val="10"/>
  </w:num>
  <w:num w:numId="5" w16cid:durableId="1420524071">
    <w:abstractNumId w:val="5"/>
  </w:num>
  <w:num w:numId="6" w16cid:durableId="1804693502">
    <w:abstractNumId w:val="4"/>
  </w:num>
  <w:num w:numId="7" w16cid:durableId="283662087">
    <w:abstractNumId w:val="9"/>
  </w:num>
  <w:num w:numId="8" w16cid:durableId="479271586">
    <w:abstractNumId w:val="2"/>
  </w:num>
  <w:num w:numId="9" w16cid:durableId="1318218554">
    <w:abstractNumId w:val="1"/>
  </w:num>
  <w:num w:numId="10" w16cid:durableId="1810636047">
    <w:abstractNumId w:val="8"/>
  </w:num>
  <w:num w:numId="11" w16cid:durableId="31031032">
    <w:abstractNumId w:val="0"/>
  </w:num>
  <w:num w:numId="12" w16cid:durableId="198397505">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63B5"/>
    <w:rsid w:val="000038A6"/>
    <w:rsid w:val="000045ED"/>
    <w:rsid w:val="000050A3"/>
    <w:rsid w:val="000051C8"/>
    <w:rsid w:val="00005939"/>
    <w:rsid w:val="00010CB7"/>
    <w:rsid w:val="000156EB"/>
    <w:rsid w:val="00015E57"/>
    <w:rsid w:val="00016A2F"/>
    <w:rsid w:val="0002015B"/>
    <w:rsid w:val="000237A2"/>
    <w:rsid w:val="0002590F"/>
    <w:rsid w:val="00025B5C"/>
    <w:rsid w:val="00026A02"/>
    <w:rsid w:val="000276FE"/>
    <w:rsid w:val="00027E5A"/>
    <w:rsid w:val="00031ECF"/>
    <w:rsid w:val="00032D76"/>
    <w:rsid w:val="00035A1E"/>
    <w:rsid w:val="00036B1B"/>
    <w:rsid w:val="00037DA8"/>
    <w:rsid w:val="000414C8"/>
    <w:rsid w:val="00042081"/>
    <w:rsid w:val="0004295E"/>
    <w:rsid w:val="00042D21"/>
    <w:rsid w:val="000443D0"/>
    <w:rsid w:val="00044CA9"/>
    <w:rsid w:val="00044D52"/>
    <w:rsid w:val="000463A3"/>
    <w:rsid w:val="00050F0C"/>
    <w:rsid w:val="000537C6"/>
    <w:rsid w:val="00055C2E"/>
    <w:rsid w:val="00056043"/>
    <w:rsid w:val="00057822"/>
    <w:rsid w:val="00057D9E"/>
    <w:rsid w:val="000671C8"/>
    <w:rsid w:val="00071777"/>
    <w:rsid w:val="000730A2"/>
    <w:rsid w:val="00075B24"/>
    <w:rsid w:val="0007642B"/>
    <w:rsid w:val="00083649"/>
    <w:rsid w:val="0008628B"/>
    <w:rsid w:val="0008646C"/>
    <w:rsid w:val="000910FA"/>
    <w:rsid w:val="0009387F"/>
    <w:rsid w:val="000955EF"/>
    <w:rsid w:val="000962DE"/>
    <w:rsid w:val="0009778A"/>
    <w:rsid w:val="00097CF3"/>
    <w:rsid w:val="000A4B7B"/>
    <w:rsid w:val="000A52C8"/>
    <w:rsid w:val="000A530E"/>
    <w:rsid w:val="000A6F23"/>
    <w:rsid w:val="000B371C"/>
    <w:rsid w:val="000B4DAF"/>
    <w:rsid w:val="000B51A9"/>
    <w:rsid w:val="000B5418"/>
    <w:rsid w:val="000C14F4"/>
    <w:rsid w:val="000C1E0C"/>
    <w:rsid w:val="000C3CA8"/>
    <w:rsid w:val="000C44D2"/>
    <w:rsid w:val="000C508E"/>
    <w:rsid w:val="000C5DDF"/>
    <w:rsid w:val="000D1246"/>
    <w:rsid w:val="000D2E45"/>
    <w:rsid w:val="000D77FB"/>
    <w:rsid w:val="000E0161"/>
    <w:rsid w:val="000E176A"/>
    <w:rsid w:val="000E4E19"/>
    <w:rsid w:val="000E5C7A"/>
    <w:rsid w:val="000F0096"/>
    <w:rsid w:val="000F7883"/>
    <w:rsid w:val="00102D2D"/>
    <w:rsid w:val="00104935"/>
    <w:rsid w:val="00104A48"/>
    <w:rsid w:val="00104B8A"/>
    <w:rsid w:val="00105ABB"/>
    <w:rsid w:val="00106C11"/>
    <w:rsid w:val="00106F48"/>
    <w:rsid w:val="00110746"/>
    <w:rsid w:val="00111806"/>
    <w:rsid w:val="00112DDF"/>
    <w:rsid w:val="0011322C"/>
    <w:rsid w:val="00115102"/>
    <w:rsid w:val="00116D60"/>
    <w:rsid w:val="00117C7D"/>
    <w:rsid w:val="00117CA1"/>
    <w:rsid w:val="00117E3A"/>
    <w:rsid w:val="00124F79"/>
    <w:rsid w:val="00125F4E"/>
    <w:rsid w:val="0012624D"/>
    <w:rsid w:val="001271C9"/>
    <w:rsid w:val="0013038E"/>
    <w:rsid w:val="0013124C"/>
    <w:rsid w:val="00132038"/>
    <w:rsid w:val="001320A3"/>
    <w:rsid w:val="00134616"/>
    <w:rsid w:val="00134F19"/>
    <w:rsid w:val="001367DF"/>
    <w:rsid w:val="00137926"/>
    <w:rsid w:val="00141800"/>
    <w:rsid w:val="00142F0C"/>
    <w:rsid w:val="00144287"/>
    <w:rsid w:val="00144596"/>
    <w:rsid w:val="001452AC"/>
    <w:rsid w:val="001459E9"/>
    <w:rsid w:val="00145CB2"/>
    <w:rsid w:val="00150149"/>
    <w:rsid w:val="001520C0"/>
    <w:rsid w:val="00152E23"/>
    <w:rsid w:val="00153719"/>
    <w:rsid w:val="0015413B"/>
    <w:rsid w:val="00156A38"/>
    <w:rsid w:val="00160056"/>
    <w:rsid w:val="0016015B"/>
    <w:rsid w:val="001609AA"/>
    <w:rsid w:val="0016471E"/>
    <w:rsid w:val="00164A49"/>
    <w:rsid w:val="00167550"/>
    <w:rsid w:val="0017028D"/>
    <w:rsid w:val="00171A76"/>
    <w:rsid w:val="00172B53"/>
    <w:rsid w:val="00173428"/>
    <w:rsid w:val="00174A00"/>
    <w:rsid w:val="00176E3A"/>
    <w:rsid w:val="0018226B"/>
    <w:rsid w:val="001825A6"/>
    <w:rsid w:val="00183734"/>
    <w:rsid w:val="001856A1"/>
    <w:rsid w:val="001858F6"/>
    <w:rsid w:val="0018781F"/>
    <w:rsid w:val="00187A12"/>
    <w:rsid w:val="001918DC"/>
    <w:rsid w:val="001925EC"/>
    <w:rsid w:val="00193063"/>
    <w:rsid w:val="00193C48"/>
    <w:rsid w:val="00195C05"/>
    <w:rsid w:val="00197F12"/>
    <w:rsid w:val="001A0A35"/>
    <w:rsid w:val="001A3103"/>
    <w:rsid w:val="001A4E21"/>
    <w:rsid w:val="001A50D6"/>
    <w:rsid w:val="001A525C"/>
    <w:rsid w:val="001A7B6A"/>
    <w:rsid w:val="001B0484"/>
    <w:rsid w:val="001B0864"/>
    <w:rsid w:val="001B0F1A"/>
    <w:rsid w:val="001B109A"/>
    <w:rsid w:val="001B443C"/>
    <w:rsid w:val="001B4DD4"/>
    <w:rsid w:val="001B5090"/>
    <w:rsid w:val="001B75F3"/>
    <w:rsid w:val="001C536B"/>
    <w:rsid w:val="001C5615"/>
    <w:rsid w:val="001D1941"/>
    <w:rsid w:val="001D24D5"/>
    <w:rsid w:val="001D2CD1"/>
    <w:rsid w:val="001D35E8"/>
    <w:rsid w:val="001D46F7"/>
    <w:rsid w:val="001D767D"/>
    <w:rsid w:val="001E05A0"/>
    <w:rsid w:val="001E418D"/>
    <w:rsid w:val="001E5EB1"/>
    <w:rsid w:val="001E6851"/>
    <w:rsid w:val="001E7D65"/>
    <w:rsid w:val="001F1BBE"/>
    <w:rsid w:val="001F31E0"/>
    <w:rsid w:val="001F623C"/>
    <w:rsid w:val="00203534"/>
    <w:rsid w:val="002057BA"/>
    <w:rsid w:val="00205EDE"/>
    <w:rsid w:val="0020711F"/>
    <w:rsid w:val="002125BE"/>
    <w:rsid w:val="00213A89"/>
    <w:rsid w:val="00221735"/>
    <w:rsid w:val="00222434"/>
    <w:rsid w:val="00222626"/>
    <w:rsid w:val="00222AE0"/>
    <w:rsid w:val="00224148"/>
    <w:rsid w:val="00224B3D"/>
    <w:rsid w:val="00226C8B"/>
    <w:rsid w:val="002316E4"/>
    <w:rsid w:val="00233ADE"/>
    <w:rsid w:val="002409B7"/>
    <w:rsid w:val="00251199"/>
    <w:rsid w:val="00252415"/>
    <w:rsid w:val="00254880"/>
    <w:rsid w:val="0025663A"/>
    <w:rsid w:val="002623F5"/>
    <w:rsid w:val="00262975"/>
    <w:rsid w:val="0026547A"/>
    <w:rsid w:val="00265AA2"/>
    <w:rsid w:val="00265B7C"/>
    <w:rsid w:val="0026714E"/>
    <w:rsid w:val="00267ACA"/>
    <w:rsid w:val="0027277B"/>
    <w:rsid w:val="002737AC"/>
    <w:rsid w:val="00273B4A"/>
    <w:rsid w:val="002747CC"/>
    <w:rsid w:val="00276199"/>
    <w:rsid w:val="002763B5"/>
    <w:rsid w:val="00281DB4"/>
    <w:rsid w:val="00282AAC"/>
    <w:rsid w:val="00285A80"/>
    <w:rsid w:val="00290303"/>
    <w:rsid w:val="002904E2"/>
    <w:rsid w:val="00290B60"/>
    <w:rsid w:val="00290B6F"/>
    <w:rsid w:val="00293A5F"/>
    <w:rsid w:val="00294A33"/>
    <w:rsid w:val="002A029C"/>
    <w:rsid w:val="002A2310"/>
    <w:rsid w:val="002A258B"/>
    <w:rsid w:val="002A5D4D"/>
    <w:rsid w:val="002A6762"/>
    <w:rsid w:val="002A7A9A"/>
    <w:rsid w:val="002B0ABE"/>
    <w:rsid w:val="002B3198"/>
    <w:rsid w:val="002B31D5"/>
    <w:rsid w:val="002B3ED9"/>
    <w:rsid w:val="002B4E19"/>
    <w:rsid w:val="002B555B"/>
    <w:rsid w:val="002C026C"/>
    <w:rsid w:val="002C2800"/>
    <w:rsid w:val="002C2C87"/>
    <w:rsid w:val="002C437E"/>
    <w:rsid w:val="002C63DB"/>
    <w:rsid w:val="002D0EC5"/>
    <w:rsid w:val="002D12F1"/>
    <w:rsid w:val="002D1F74"/>
    <w:rsid w:val="002D2500"/>
    <w:rsid w:val="002D2B4E"/>
    <w:rsid w:val="002D3032"/>
    <w:rsid w:val="002D55E3"/>
    <w:rsid w:val="002D7902"/>
    <w:rsid w:val="002E0897"/>
    <w:rsid w:val="002E2515"/>
    <w:rsid w:val="002E3B52"/>
    <w:rsid w:val="002E47A5"/>
    <w:rsid w:val="002E62D4"/>
    <w:rsid w:val="002E7206"/>
    <w:rsid w:val="002E795B"/>
    <w:rsid w:val="002E7F27"/>
    <w:rsid w:val="002F3996"/>
    <w:rsid w:val="002F3B74"/>
    <w:rsid w:val="002F7FC9"/>
    <w:rsid w:val="00310000"/>
    <w:rsid w:val="003116E6"/>
    <w:rsid w:val="0031278D"/>
    <w:rsid w:val="0031513E"/>
    <w:rsid w:val="00315999"/>
    <w:rsid w:val="00315D86"/>
    <w:rsid w:val="00316412"/>
    <w:rsid w:val="00316FC9"/>
    <w:rsid w:val="00321885"/>
    <w:rsid w:val="003225D5"/>
    <w:rsid w:val="00323071"/>
    <w:rsid w:val="003244F4"/>
    <w:rsid w:val="00326EBB"/>
    <w:rsid w:val="003323F8"/>
    <w:rsid w:val="00335CB9"/>
    <w:rsid w:val="00340A6F"/>
    <w:rsid w:val="00340F4D"/>
    <w:rsid w:val="00343208"/>
    <w:rsid w:val="003435D4"/>
    <w:rsid w:val="00343A43"/>
    <w:rsid w:val="003473EF"/>
    <w:rsid w:val="00347804"/>
    <w:rsid w:val="0035026B"/>
    <w:rsid w:val="00350F9F"/>
    <w:rsid w:val="003517E5"/>
    <w:rsid w:val="00352A93"/>
    <w:rsid w:val="00352C99"/>
    <w:rsid w:val="0035437F"/>
    <w:rsid w:val="003605BC"/>
    <w:rsid w:val="003621FC"/>
    <w:rsid w:val="003642A0"/>
    <w:rsid w:val="0036686A"/>
    <w:rsid w:val="00367939"/>
    <w:rsid w:val="0038079F"/>
    <w:rsid w:val="00380D69"/>
    <w:rsid w:val="0038434E"/>
    <w:rsid w:val="003853D3"/>
    <w:rsid w:val="00390DD7"/>
    <w:rsid w:val="00394B48"/>
    <w:rsid w:val="00395026"/>
    <w:rsid w:val="003A00BF"/>
    <w:rsid w:val="003A066C"/>
    <w:rsid w:val="003A0E6D"/>
    <w:rsid w:val="003A2B49"/>
    <w:rsid w:val="003A3A7C"/>
    <w:rsid w:val="003A6576"/>
    <w:rsid w:val="003A6B74"/>
    <w:rsid w:val="003B223C"/>
    <w:rsid w:val="003B443B"/>
    <w:rsid w:val="003B4C03"/>
    <w:rsid w:val="003B6B70"/>
    <w:rsid w:val="003B6C1C"/>
    <w:rsid w:val="003B7610"/>
    <w:rsid w:val="003C04E4"/>
    <w:rsid w:val="003C2D98"/>
    <w:rsid w:val="003C7B2B"/>
    <w:rsid w:val="003D1286"/>
    <w:rsid w:val="003D22A3"/>
    <w:rsid w:val="003D5193"/>
    <w:rsid w:val="003D747A"/>
    <w:rsid w:val="003E46E3"/>
    <w:rsid w:val="003E50A4"/>
    <w:rsid w:val="003E577D"/>
    <w:rsid w:val="003E6E97"/>
    <w:rsid w:val="003E6F87"/>
    <w:rsid w:val="003E79A9"/>
    <w:rsid w:val="003F1152"/>
    <w:rsid w:val="003F1640"/>
    <w:rsid w:val="003F66B2"/>
    <w:rsid w:val="003F67B3"/>
    <w:rsid w:val="003F6A20"/>
    <w:rsid w:val="003F7F6F"/>
    <w:rsid w:val="004022D6"/>
    <w:rsid w:val="00403D33"/>
    <w:rsid w:val="00404D35"/>
    <w:rsid w:val="0040640C"/>
    <w:rsid w:val="004066AF"/>
    <w:rsid w:val="00406BEF"/>
    <w:rsid w:val="00406C00"/>
    <w:rsid w:val="00407079"/>
    <w:rsid w:val="00410B14"/>
    <w:rsid w:val="00411C1E"/>
    <w:rsid w:val="00412B0C"/>
    <w:rsid w:val="00413E3F"/>
    <w:rsid w:val="00414BC5"/>
    <w:rsid w:val="00414EDE"/>
    <w:rsid w:val="00417A24"/>
    <w:rsid w:val="004218BA"/>
    <w:rsid w:val="00421BDC"/>
    <w:rsid w:val="00422B28"/>
    <w:rsid w:val="00422F1B"/>
    <w:rsid w:val="00425BA8"/>
    <w:rsid w:val="00426748"/>
    <w:rsid w:val="00430DA1"/>
    <w:rsid w:val="00433CB4"/>
    <w:rsid w:val="00434890"/>
    <w:rsid w:val="00435E8A"/>
    <w:rsid w:val="00437892"/>
    <w:rsid w:val="004413DE"/>
    <w:rsid w:val="0044301D"/>
    <w:rsid w:val="004461C4"/>
    <w:rsid w:val="004477E6"/>
    <w:rsid w:val="00451E91"/>
    <w:rsid w:val="0045245F"/>
    <w:rsid w:val="00452EFF"/>
    <w:rsid w:val="00453A5B"/>
    <w:rsid w:val="004547F5"/>
    <w:rsid w:val="00456AEA"/>
    <w:rsid w:val="00457411"/>
    <w:rsid w:val="00460D9A"/>
    <w:rsid w:val="00460E3E"/>
    <w:rsid w:val="00461027"/>
    <w:rsid w:val="00461E48"/>
    <w:rsid w:val="004632A8"/>
    <w:rsid w:val="00467CE7"/>
    <w:rsid w:val="00474D10"/>
    <w:rsid w:val="004768BE"/>
    <w:rsid w:val="00476E91"/>
    <w:rsid w:val="00477DBE"/>
    <w:rsid w:val="00485D1D"/>
    <w:rsid w:val="0048651A"/>
    <w:rsid w:val="004915B3"/>
    <w:rsid w:val="004930AF"/>
    <w:rsid w:val="00495C9C"/>
    <w:rsid w:val="0049690F"/>
    <w:rsid w:val="00496915"/>
    <w:rsid w:val="00496A3F"/>
    <w:rsid w:val="00496FD2"/>
    <w:rsid w:val="00497308"/>
    <w:rsid w:val="004A2A73"/>
    <w:rsid w:val="004A6928"/>
    <w:rsid w:val="004A6FEE"/>
    <w:rsid w:val="004B053A"/>
    <w:rsid w:val="004B0D20"/>
    <w:rsid w:val="004B12A7"/>
    <w:rsid w:val="004B134B"/>
    <w:rsid w:val="004B2D3C"/>
    <w:rsid w:val="004B3167"/>
    <w:rsid w:val="004B44BA"/>
    <w:rsid w:val="004B63DC"/>
    <w:rsid w:val="004B6F95"/>
    <w:rsid w:val="004B739F"/>
    <w:rsid w:val="004B743A"/>
    <w:rsid w:val="004B7BCB"/>
    <w:rsid w:val="004C093D"/>
    <w:rsid w:val="004C2F86"/>
    <w:rsid w:val="004C3462"/>
    <w:rsid w:val="004C39F4"/>
    <w:rsid w:val="004C4677"/>
    <w:rsid w:val="004C4975"/>
    <w:rsid w:val="004C6031"/>
    <w:rsid w:val="004C7582"/>
    <w:rsid w:val="004C7C5F"/>
    <w:rsid w:val="004D0999"/>
    <w:rsid w:val="004D2829"/>
    <w:rsid w:val="004D301C"/>
    <w:rsid w:val="004D4129"/>
    <w:rsid w:val="004D45C0"/>
    <w:rsid w:val="004D6B40"/>
    <w:rsid w:val="004E2278"/>
    <w:rsid w:val="004E3DA4"/>
    <w:rsid w:val="004E6F8B"/>
    <w:rsid w:val="004F40EA"/>
    <w:rsid w:val="004F42C9"/>
    <w:rsid w:val="004F5331"/>
    <w:rsid w:val="004F59AA"/>
    <w:rsid w:val="004F5ED5"/>
    <w:rsid w:val="00500B78"/>
    <w:rsid w:val="00501B68"/>
    <w:rsid w:val="00501BCF"/>
    <w:rsid w:val="0050577F"/>
    <w:rsid w:val="00514C72"/>
    <w:rsid w:val="00515A7A"/>
    <w:rsid w:val="00520051"/>
    <w:rsid w:val="0052121D"/>
    <w:rsid w:val="00521232"/>
    <w:rsid w:val="005229D3"/>
    <w:rsid w:val="00522BBC"/>
    <w:rsid w:val="00522DA6"/>
    <w:rsid w:val="00523D9C"/>
    <w:rsid w:val="005257BC"/>
    <w:rsid w:val="00527086"/>
    <w:rsid w:val="00530A71"/>
    <w:rsid w:val="0053113B"/>
    <w:rsid w:val="00531EAC"/>
    <w:rsid w:val="0053325C"/>
    <w:rsid w:val="00533515"/>
    <w:rsid w:val="00533726"/>
    <w:rsid w:val="00534804"/>
    <w:rsid w:val="00535A3A"/>
    <w:rsid w:val="00535AB7"/>
    <w:rsid w:val="00536C4D"/>
    <w:rsid w:val="00537222"/>
    <w:rsid w:val="00541AB2"/>
    <w:rsid w:val="005438EA"/>
    <w:rsid w:val="0054428D"/>
    <w:rsid w:val="00544AF5"/>
    <w:rsid w:val="00544B75"/>
    <w:rsid w:val="005450E5"/>
    <w:rsid w:val="005451A1"/>
    <w:rsid w:val="005473DB"/>
    <w:rsid w:val="00550637"/>
    <w:rsid w:val="005516D2"/>
    <w:rsid w:val="005522F1"/>
    <w:rsid w:val="00552AD7"/>
    <w:rsid w:val="00553839"/>
    <w:rsid w:val="005568C0"/>
    <w:rsid w:val="00557364"/>
    <w:rsid w:val="005611A8"/>
    <w:rsid w:val="00561AED"/>
    <w:rsid w:val="00563C15"/>
    <w:rsid w:val="00564685"/>
    <w:rsid w:val="005646FB"/>
    <w:rsid w:val="00566266"/>
    <w:rsid w:val="00572DA3"/>
    <w:rsid w:val="00573649"/>
    <w:rsid w:val="00573C13"/>
    <w:rsid w:val="00573D50"/>
    <w:rsid w:val="0057467C"/>
    <w:rsid w:val="00574F61"/>
    <w:rsid w:val="00580820"/>
    <w:rsid w:val="00580AC8"/>
    <w:rsid w:val="00583458"/>
    <w:rsid w:val="00585C8B"/>
    <w:rsid w:val="00585FC6"/>
    <w:rsid w:val="005862DA"/>
    <w:rsid w:val="00593A7B"/>
    <w:rsid w:val="005A0B56"/>
    <w:rsid w:val="005A1341"/>
    <w:rsid w:val="005A15F0"/>
    <w:rsid w:val="005B2A08"/>
    <w:rsid w:val="005B4A8C"/>
    <w:rsid w:val="005B5DA7"/>
    <w:rsid w:val="005B7F69"/>
    <w:rsid w:val="005C05DA"/>
    <w:rsid w:val="005C091E"/>
    <w:rsid w:val="005C19FD"/>
    <w:rsid w:val="005C3414"/>
    <w:rsid w:val="005C3573"/>
    <w:rsid w:val="005C412C"/>
    <w:rsid w:val="005C42A6"/>
    <w:rsid w:val="005C5FF6"/>
    <w:rsid w:val="005C665E"/>
    <w:rsid w:val="005D2169"/>
    <w:rsid w:val="005D4BB0"/>
    <w:rsid w:val="005D5B0B"/>
    <w:rsid w:val="005E0BCA"/>
    <w:rsid w:val="005E4485"/>
    <w:rsid w:val="005E55C3"/>
    <w:rsid w:val="005E701A"/>
    <w:rsid w:val="005E7695"/>
    <w:rsid w:val="005F13C7"/>
    <w:rsid w:val="005F26B5"/>
    <w:rsid w:val="005F4F9B"/>
    <w:rsid w:val="005F5685"/>
    <w:rsid w:val="005F59C9"/>
    <w:rsid w:val="005F656A"/>
    <w:rsid w:val="0060463C"/>
    <w:rsid w:val="0060467D"/>
    <w:rsid w:val="00604FE9"/>
    <w:rsid w:val="0060638A"/>
    <w:rsid w:val="00607652"/>
    <w:rsid w:val="006111AA"/>
    <w:rsid w:val="00611FB1"/>
    <w:rsid w:val="00613849"/>
    <w:rsid w:val="00623086"/>
    <w:rsid w:val="00624FBE"/>
    <w:rsid w:val="00625D5F"/>
    <w:rsid w:val="0062710D"/>
    <w:rsid w:val="0063010C"/>
    <w:rsid w:val="00630E2C"/>
    <w:rsid w:val="00631AAD"/>
    <w:rsid w:val="00632AAA"/>
    <w:rsid w:val="0063304A"/>
    <w:rsid w:val="00636598"/>
    <w:rsid w:val="00637697"/>
    <w:rsid w:val="00640A96"/>
    <w:rsid w:val="00640EB6"/>
    <w:rsid w:val="006421E0"/>
    <w:rsid w:val="00642A7E"/>
    <w:rsid w:val="006430AF"/>
    <w:rsid w:val="00644153"/>
    <w:rsid w:val="00645B85"/>
    <w:rsid w:val="00645BB4"/>
    <w:rsid w:val="006466B2"/>
    <w:rsid w:val="00646C12"/>
    <w:rsid w:val="00651D11"/>
    <w:rsid w:val="006546CB"/>
    <w:rsid w:val="00655B5D"/>
    <w:rsid w:val="00657269"/>
    <w:rsid w:val="00657933"/>
    <w:rsid w:val="00660689"/>
    <w:rsid w:val="00660724"/>
    <w:rsid w:val="00661082"/>
    <w:rsid w:val="0066117B"/>
    <w:rsid w:val="0066144B"/>
    <w:rsid w:val="006621D4"/>
    <w:rsid w:val="00667AC4"/>
    <w:rsid w:val="00667E60"/>
    <w:rsid w:val="0067165C"/>
    <w:rsid w:val="00676733"/>
    <w:rsid w:val="00676C74"/>
    <w:rsid w:val="0068127D"/>
    <w:rsid w:val="006839F4"/>
    <w:rsid w:val="00686AC5"/>
    <w:rsid w:val="006904FB"/>
    <w:rsid w:val="00691F06"/>
    <w:rsid w:val="0069344C"/>
    <w:rsid w:val="0069400A"/>
    <w:rsid w:val="00694BFB"/>
    <w:rsid w:val="006A3B69"/>
    <w:rsid w:val="006A699E"/>
    <w:rsid w:val="006B2B4F"/>
    <w:rsid w:val="006B3E5C"/>
    <w:rsid w:val="006B4296"/>
    <w:rsid w:val="006B4B22"/>
    <w:rsid w:val="006B596A"/>
    <w:rsid w:val="006B65E4"/>
    <w:rsid w:val="006B740B"/>
    <w:rsid w:val="006C021C"/>
    <w:rsid w:val="006C23AF"/>
    <w:rsid w:val="006C45F2"/>
    <w:rsid w:val="006C7757"/>
    <w:rsid w:val="006C7E74"/>
    <w:rsid w:val="006C7FA3"/>
    <w:rsid w:val="006C7FFE"/>
    <w:rsid w:val="006D24C0"/>
    <w:rsid w:val="006D2A6A"/>
    <w:rsid w:val="006D2DE9"/>
    <w:rsid w:val="006D3336"/>
    <w:rsid w:val="006D3D44"/>
    <w:rsid w:val="006D61AD"/>
    <w:rsid w:val="006D61FC"/>
    <w:rsid w:val="006E2AE7"/>
    <w:rsid w:val="006E3963"/>
    <w:rsid w:val="006E3E11"/>
    <w:rsid w:val="006E418A"/>
    <w:rsid w:val="006E564B"/>
    <w:rsid w:val="006E6AD1"/>
    <w:rsid w:val="006E7125"/>
    <w:rsid w:val="006E772E"/>
    <w:rsid w:val="006F0625"/>
    <w:rsid w:val="006F35D7"/>
    <w:rsid w:val="006F3C5C"/>
    <w:rsid w:val="006F50BD"/>
    <w:rsid w:val="00700E31"/>
    <w:rsid w:val="00701113"/>
    <w:rsid w:val="00701D6D"/>
    <w:rsid w:val="007020C0"/>
    <w:rsid w:val="007036C0"/>
    <w:rsid w:val="00705C1B"/>
    <w:rsid w:val="00711124"/>
    <w:rsid w:val="00713803"/>
    <w:rsid w:val="007144E1"/>
    <w:rsid w:val="00715403"/>
    <w:rsid w:val="00720C2B"/>
    <w:rsid w:val="00720FA1"/>
    <w:rsid w:val="00721A2B"/>
    <w:rsid w:val="007223F5"/>
    <w:rsid w:val="0072262C"/>
    <w:rsid w:val="007231E4"/>
    <w:rsid w:val="007243EF"/>
    <w:rsid w:val="00727115"/>
    <w:rsid w:val="007305EC"/>
    <w:rsid w:val="00734C38"/>
    <w:rsid w:val="00743085"/>
    <w:rsid w:val="00744285"/>
    <w:rsid w:val="00745F58"/>
    <w:rsid w:val="00745FEF"/>
    <w:rsid w:val="00746E2F"/>
    <w:rsid w:val="007476B9"/>
    <w:rsid w:val="00747F03"/>
    <w:rsid w:val="007509F1"/>
    <w:rsid w:val="007529E8"/>
    <w:rsid w:val="00756DFB"/>
    <w:rsid w:val="0075791F"/>
    <w:rsid w:val="00757E46"/>
    <w:rsid w:val="00757E8D"/>
    <w:rsid w:val="00760797"/>
    <w:rsid w:val="007607B0"/>
    <w:rsid w:val="00762655"/>
    <w:rsid w:val="007634BF"/>
    <w:rsid w:val="00766B2E"/>
    <w:rsid w:val="007677DF"/>
    <w:rsid w:val="00767EF9"/>
    <w:rsid w:val="007701B5"/>
    <w:rsid w:val="00775B9D"/>
    <w:rsid w:val="007764D0"/>
    <w:rsid w:val="00777DA7"/>
    <w:rsid w:val="00784379"/>
    <w:rsid w:val="00784804"/>
    <w:rsid w:val="007864DD"/>
    <w:rsid w:val="007867D2"/>
    <w:rsid w:val="00787A83"/>
    <w:rsid w:val="00791447"/>
    <w:rsid w:val="00792CD3"/>
    <w:rsid w:val="00795EA6"/>
    <w:rsid w:val="00796761"/>
    <w:rsid w:val="00797398"/>
    <w:rsid w:val="007A0BDB"/>
    <w:rsid w:val="007A2EBC"/>
    <w:rsid w:val="007A57C6"/>
    <w:rsid w:val="007A6CB8"/>
    <w:rsid w:val="007A7BAE"/>
    <w:rsid w:val="007B15E1"/>
    <w:rsid w:val="007B1A04"/>
    <w:rsid w:val="007B4B60"/>
    <w:rsid w:val="007B5868"/>
    <w:rsid w:val="007B641C"/>
    <w:rsid w:val="007B6C26"/>
    <w:rsid w:val="007B7686"/>
    <w:rsid w:val="007C1882"/>
    <w:rsid w:val="007C7FB0"/>
    <w:rsid w:val="007D518C"/>
    <w:rsid w:val="007D5ADB"/>
    <w:rsid w:val="007D6231"/>
    <w:rsid w:val="007D658E"/>
    <w:rsid w:val="007E25F0"/>
    <w:rsid w:val="007E507B"/>
    <w:rsid w:val="007E56C0"/>
    <w:rsid w:val="007E597D"/>
    <w:rsid w:val="007E5D54"/>
    <w:rsid w:val="007E7EFB"/>
    <w:rsid w:val="007F0628"/>
    <w:rsid w:val="007F1290"/>
    <w:rsid w:val="007F2586"/>
    <w:rsid w:val="007F2733"/>
    <w:rsid w:val="007F3056"/>
    <w:rsid w:val="007F3D29"/>
    <w:rsid w:val="007F50A1"/>
    <w:rsid w:val="00800BBC"/>
    <w:rsid w:val="00800C4F"/>
    <w:rsid w:val="00800D79"/>
    <w:rsid w:val="008024F9"/>
    <w:rsid w:val="008030DB"/>
    <w:rsid w:val="00805A95"/>
    <w:rsid w:val="00805C91"/>
    <w:rsid w:val="00806EAE"/>
    <w:rsid w:val="0080750C"/>
    <w:rsid w:val="00807700"/>
    <w:rsid w:val="00807CFF"/>
    <w:rsid w:val="00810557"/>
    <w:rsid w:val="00814321"/>
    <w:rsid w:val="00816A11"/>
    <w:rsid w:val="008173EE"/>
    <w:rsid w:val="00822108"/>
    <w:rsid w:val="008221D0"/>
    <w:rsid w:val="008227D5"/>
    <w:rsid w:val="00827B30"/>
    <w:rsid w:val="008300C6"/>
    <w:rsid w:val="00833F78"/>
    <w:rsid w:val="008346DF"/>
    <w:rsid w:val="008366D9"/>
    <w:rsid w:val="0084174B"/>
    <w:rsid w:val="00843134"/>
    <w:rsid w:val="0084462A"/>
    <w:rsid w:val="00846658"/>
    <w:rsid w:val="0084679F"/>
    <w:rsid w:val="008507F1"/>
    <w:rsid w:val="00850D4C"/>
    <w:rsid w:val="00851883"/>
    <w:rsid w:val="00852111"/>
    <w:rsid w:val="0085212A"/>
    <w:rsid w:val="00864ABB"/>
    <w:rsid w:val="00866834"/>
    <w:rsid w:val="00866AF7"/>
    <w:rsid w:val="00866D32"/>
    <w:rsid w:val="00867972"/>
    <w:rsid w:val="00871E1C"/>
    <w:rsid w:val="00875186"/>
    <w:rsid w:val="00875E83"/>
    <w:rsid w:val="00877C76"/>
    <w:rsid w:val="00877E51"/>
    <w:rsid w:val="008821A6"/>
    <w:rsid w:val="00890159"/>
    <w:rsid w:val="008902F8"/>
    <w:rsid w:val="00890CEE"/>
    <w:rsid w:val="008931F2"/>
    <w:rsid w:val="0089454A"/>
    <w:rsid w:val="00894789"/>
    <w:rsid w:val="008968CE"/>
    <w:rsid w:val="008A2465"/>
    <w:rsid w:val="008A2E98"/>
    <w:rsid w:val="008A5116"/>
    <w:rsid w:val="008A7C7F"/>
    <w:rsid w:val="008B2D2C"/>
    <w:rsid w:val="008B3321"/>
    <w:rsid w:val="008B4EDE"/>
    <w:rsid w:val="008B7015"/>
    <w:rsid w:val="008B7D38"/>
    <w:rsid w:val="008C0CA2"/>
    <w:rsid w:val="008C17C2"/>
    <w:rsid w:val="008C1CA7"/>
    <w:rsid w:val="008C2FE4"/>
    <w:rsid w:val="008C3468"/>
    <w:rsid w:val="008C49F2"/>
    <w:rsid w:val="008C5216"/>
    <w:rsid w:val="008D1A6F"/>
    <w:rsid w:val="008D4367"/>
    <w:rsid w:val="008D4B34"/>
    <w:rsid w:val="008D4D7A"/>
    <w:rsid w:val="008D7BF8"/>
    <w:rsid w:val="008D7EB4"/>
    <w:rsid w:val="008E03BA"/>
    <w:rsid w:val="008E4D60"/>
    <w:rsid w:val="008F215F"/>
    <w:rsid w:val="008F2A36"/>
    <w:rsid w:val="008F2EA5"/>
    <w:rsid w:val="008F3CF5"/>
    <w:rsid w:val="008F5344"/>
    <w:rsid w:val="008F5DAA"/>
    <w:rsid w:val="00903495"/>
    <w:rsid w:val="009038DA"/>
    <w:rsid w:val="00905171"/>
    <w:rsid w:val="00906679"/>
    <w:rsid w:val="009074E0"/>
    <w:rsid w:val="0091434A"/>
    <w:rsid w:val="00915D43"/>
    <w:rsid w:val="009167F0"/>
    <w:rsid w:val="00916B72"/>
    <w:rsid w:val="009200E1"/>
    <w:rsid w:val="00921D81"/>
    <w:rsid w:val="00924256"/>
    <w:rsid w:val="009253A1"/>
    <w:rsid w:val="00930164"/>
    <w:rsid w:val="00931AFE"/>
    <w:rsid w:val="00931BC2"/>
    <w:rsid w:val="00931BF5"/>
    <w:rsid w:val="00934241"/>
    <w:rsid w:val="0093592C"/>
    <w:rsid w:val="00935D40"/>
    <w:rsid w:val="00936BD1"/>
    <w:rsid w:val="009402EC"/>
    <w:rsid w:val="0094047A"/>
    <w:rsid w:val="009456CB"/>
    <w:rsid w:val="00945723"/>
    <w:rsid w:val="00945834"/>
    <w:rsid w:val="00946DCE"/>
    <w:rsid w:val="00950086"/>
    <w:rsid w:val="00950949"/>
    <w:rsid w:val="00950A25"/>
    <w:rsid w:val="00950B47"/>
    <w:rsid w:val="009540C7"/>
    <w:rsid w:val="009560ED"/>
    <w:rsid w:val="0095692E"/>
    <w:rsid w:val="009620EF"/>
    <w:rsid w:val="009636E2"/>
    <w:rsid w:val="0096656E"/>
    <w:rsid w:val="00967534"/>
    <w:rsid w:val="00967D6C"/>
    <w:rsid w:val="00967F8C"/>
    <w:rsid w:val="00970074"/>
    <w:rsid w:val="00970F0F"/>
    <w:rsid w:val="00971147"/>
    <w:rsid w:val="0097387F"/>
    <w:rsid w:val="009739BC"/>
    <w:rsid w:val="009766C1"/>
    <w:rsid w:val="00977786"/>
    <w:rsid w:val="009810C3"/>
    <w:rsid w:val="00981679"/>
    <w:rsid w:val="00982493"/>
    <w:rsid w:val="00982FA1"/>
    <w:rsid w:val="009872D9"/>
    <w:rsid w:val="0098783A"/>
    <w:rsid w:val="00987DD3"/>
    <w:rsid w:val="00991DFA"/>
    <w:rsid w:val="009926A5"/>
    <w:rsid w:val="00993D8F"/>
    <w:rsid w:val="00994969"/>
    <w:rsid w:val="009A178E"/>
    <w:rsid w:val="009A477C"/>
    <w:rsid w:val="009A4C34"/>
    <w:rsid w:val="009A59BA"/>
    <w:rsid w:val="009A64D8"/>
    <w:rsid w:val="009A7274"/>
    <w:rsid w:val="009B008F"/>
    <w:rsid w:val="009B06C5"/>
    <w:rsid w:val="009B25A1"/>
    <w:rsid w:val="009B2C5A"/>
    <w:rsid w:val="009B4B17"/>
    <w:rsid w:val="009B7479"/>
    <w:rsid w:val="009C12CC"/>
    <w:rsid w:val="009C181E"/>
    <w:rsid w:val="009C46A7"/>
    <w:rsid w:val="009C58AE"/>
    <w:rsid w:val="009C5D2F"/>
    <w:rsid w:val="009D0071"/>
    <w:rsid w:val="009D0BBD"/>
    <w:rsid w:val="009D0D41"/>
    <w:rsid w:val="009D1D8E"/>
    <w:rsid w:val="009D64EE"/>
    <w:rsid w:val="009D7623"/>
    <w:rsid w:val="009E4347"/>
    <w:rsid w:val="009F16B8"/>
    <w:rsid w:val="009F3A80"/>
    <w:rsid w:val="009F4FDD"/>
    <w:rsid w:val="009F558C"/>
    <w:rsid w:val="00A03760"/>
    <w:rsid w:val="00A04428"/>
    <w:rsid w:val="00A0456B"/>
    <w:rsid w:val="00A06559"/>
    <w:rsid w:val="00A12B02"/>
    <w:rsid w:val="00A1554D"/>
    <w:rsid w:val="00A168EB"/>
    <w:rsid w:val="00A16D68"/>
    <w:rsid w:val="00A17EE8"/>
    <w:rsid w:val="00A20A94"/>
    <w:rsid w:val="00A214E7"/>
    <w:rsid w:val="00A26AF2"/>
    <w:rsid w:val="00A27A9C"/>
    <w:rsid w:val="00A27D22"/>
    <w:rsid w:val="00A3002A"/>
    <w:rsid w:val="00A33F1D"/>
    <w:rsid w:val="00A351DA"/>
    <w:rsid w:val="00A36451"/>
    <w:rsid w:val="00A36993"/>
    <w:rsid w:val="00A401FA"/>
    <w:rsid w:val="00A41357"/>
    <w:rsid w:val="00A41503"/>
    <w:rsid w:val="00A430E7"/>
    <w:rsid w:val="00A44097"/>
    <w:rsid w:val="00A44302"/>
    <w:rsid w:val="00A44714"/>
    <w:rsid w:val="00A47992"/>
    <w:rsid w:val="00A52C2D"/>
    <w:rsid w:val="00A531CB"/>
    <w:rsid w:val="00A532E0"/>
    <w:rsid w:val="00A5468E"/>
    <w:rsid w:val="00A5635D"/>
    <w:rsid w:val="00A56DE1"/>
    <w:rsid w:val="00A61C92"/>
    <w:rsid w:val="00A641B8"/>
    <w:rsid w:val="00A64AB7"/>
    <w:rsid w:val="00A64B56"/>
    <w:rsid w:val="00A678BC"/>
    <w:rsid w:val="00A6794C"/>
    <w:rsid w:val="00A7004B"/>
    <w:rsid w:val="00A70FB9"/>
    <w:rsid w:val="00A719DA"/>
    <w:rsid w:val="00A72038"/>
    <w:rsid w:val="00A731E5"/>
    <w:rsid w:val="00A7392A"/>
    <w:rsid w:val="00A755E7"/>
    <w:rsid w:val="00A762EC"/>
    <w:rsid w:val="00A84C89"/>
    <w:rsid w:val="00A84D95"/>
    <w:rsid w:val="00A863A0"/>
    <w:rsid w:val="00A86887"/>
    <w:rsid w:val="00A875E8"/>
    <w:rsid w:val="00A87BE3"/>
    <w:rsid w:val="00A906EB"/>
    <w:rsid w:val="00A924BE"/>
    <w:rsid w:val="00A93E5C"/>
    <w:rsid w:val="00AA24FF"/>
    <w:rsid w:val="00AA3959"/>
    <w:rsid w:val="00AA442E"/>
    <w:rsid w:val="00AA4537"/>
    <w:rsid w:val="00AA5414"/>
    <w:rsid w:val="00AA57E5"/>
    <w:rsid w:val="00AA59D4"/>
    <w:rsid w:val="00AA6CF1"/>
    <w:rsid w:val="00AA6E6B"/>
    <w:rsid w:val="00AA7B99"/>
    <w:rsid w:val="00AB0474"/>
    <w:rsid w:val="00AB17FD"/>
    <w:rsid w:val="00AB2F33"/>
    <w:rsid w:val="00AB308D"/>
    <w:rsid w:val="00AB3419"/>
    <w:rsid w:val="00AB46FF"/>
    <w:rsid w:val="00AB4E87"/>
    <w:rsid w:val="00AB547D"/>
    <w:rsid w:val="00AB659E"/>
    <w:rsid w:val="00AB710E"/>
    <w:rsid w:val="00AB7D0D"/>
    <w:rsid w:val="00AB7D58"/>
    <w:rsid w:val="00AC2C0D"/>
    <w:rsid w:val="00AC365D"/>
    <w:rsid w:val="00AC5830"/>
    <w:rsid w:val="00AC614B"/>
    <w:rsid w:val="00AD0F71"/>
    <w:rsid w:val="00AD4A94"/>
    <w:rsid w:val="00AD7B1E"/>
    <w:rsid w:val="00AE08EF"/>
    <w:rsid w:val="00AE32D8"/>
    <w:rsid w:val="00AE69EF"/>
    <w:rsid w:val="00AF2730"/>
    <w:rsid w:val="00AF4C32"/>
    <w:rsid w:val="00B011C8"/>
    <w:rsid w:val="00B0253B"/>
    <w:rsid w:val="00B03136"/>
    <w:rsid w:val="00B03D78"/>
    <w:rsid w:val="00B042C1"/>
    <w:rsid w:val="00B06308"/>
    <w:rsid w:val="00B10D6E"/>
    <w:rsid w:val="00B11D23"/>
    <w:rsid w:val="00B138B9"/>
    <w:rsid w:val="00B14547"/>
    <w:rsid w:val="00B15404"/>
    <w:rsid w:val="00B156A8"/>
    <w:rsid w:val="00B21F23"/>
    <w:rsid w:val="00B234CF"/>
    <w:rsid w:val="00B24AA3"/>
    <w:rsid w:val="00B2510C"/>
    <w:rsid w:val="00B256F0"/>
    <w:rsid w:val="00B25750"/>
    <w:rsid w:val="00B25C73"/>
    <w:rsid w:val="00B25C7E"/>
    <w:rsid w:val="00B275AE"/>
    <w:rsid w:val="00B3022B"/>
    <w:rsid w:val="00B304D2"/>
    <w:rsid w:val="00B3128E"/>
    <w:rsid w:val="00B341D6"/>
    <w:rsid w:val="00B362B7"/>
    <w:rsid w:val="00B362EC"/>
    <w:rsid w:val="00B369A4"/>
    <w:rsid w:val="00B4071D"/>
    <w:rsid w:val="00B40D2E"/>
    <w:rsid w:val="00B4314E"/>
    <w:rsid w:val="00B44568"/>
    <w:rsid w:val="00B4719B"/>
    <w:rsid w:val="00B51532"/>
    <w:rsid w:val="00B51700"/>
    <w:rsid w:val="00B53668"/>
    <w:rsid w:val="00B61315"/>
    <w:rsid w:val="00B62FD4"/>
    <w:rsid w:val="00B62FEC"/>
    <w:rsid w:val="00B63256"/>
    <w:rsid w:val="00B63881"/>
    <w:rsid w:val="00B6576F"/>
    <w:rsid w:val="00B65AEB"/>
    <w:rsid w:val="00B70F5A"/>
    <w:rsid w:val="00B718A3"/>
    <w:rsid w:val="00B71D99"/>
    <w:rsid w:val="00B72114"/>
    <w:rsid w:val="00B72D86"/>
    <w:rsid w:val="00B743AC"/>
    <w:rsid w:val="00B74BD0"/>
    <w:rsid w:val="00B75F61"/>
    <w:rsid w:val="00B773C1"/>
    <w:rsid w:val="00B822F6"/>
    <w:rsid w:val="00B82835"/>
    <w:rsid w:val="00B84AF5"/>
    <w:rsid w:val="00B84E71"/>
    <w:rsid w:val="00B94455"/>
    <w:rsid w:val="00B94CB4"/>
    <w:rsid w:val="00B951A0"/>
    <w:rsid w:val="00B95F09"/>
    <w:rsid w:val="00BA0B95"/>
    <w:rsid w:val="00BA42C3"/>
    <w:rsid w:val="00BA44A2"/>
    <w:rsid w:val="00BA67BA"/>
    <w:rsid w:val="00BA68D0"/>
    <w:rsid w:val="00BA7C7A"/>
    <w:rsid w:val="00BB12CB"/>
    <w:rsid w:val="00BB2F30"/>
    <w:rsid w:val="00BB5CC6"/>
    <w:rsid w:val="00BC0C20"/>
    <w:rsid w:val="00BC102D"/>
    <w:rsid w:val="00BC14FC"/>
    <w:rsid w:val="00BC3E1C"/>
    <w:rsid w:val="00BC463A"/>
    <w:rsid w:val="00BC522F"/>
    <w:rsid w:val="00BC5612"/>
    <w:rsid w:val="00BC7A81"/>
    <w:rsid w:val="00BD060C"/>
    <w:rsid w:val="00BD347C"/>
    <w:rsid w:val="00BD501A"/>
    <w:rsid w:val="00BD5134"/>
    <w:rsid w:val="00BD5778"/>
    <w:rsid w:val="00BD68A7"/>
    <w:rsid w:val="00BE0D89"/>
    <w:rsid w:val="00BE393D"/>
    <w:rsid w:val="00BE52BD"/>
    <w:rsid w:val="00BE761F"/>
    <w:rsid w:val="00BF29F6"/>
    <w:rsid w:val="00BF56C9"/>
    <w:rsid w:val="00BF6F3B"/>
    <w:rsid w:val="00C01767"/>
    <w:rsid w:val="00C01984"/>
    <w:rsid w:val="00C04D0A"/>
    <w:rsid w:val="00C05CF8"/>
    <w:rsid w:val="00C0633D"/>
    <w:rsid w:val="00C078B4"/>
    <w:rsid w:val="00C07925"/>
    <w:rsid w:val="00C10415"/>
    <w:rsid w:val="00C1120B"/>
    <w:rsid w:val="00C12753"/>
    <w:rsid w:val="00C136F9"/>
    <w:rsid w:val="00C143B1"/>
    <w:rsid w:val="00C15753"/>
    <w:rsid w:val="00C15E11"/>
    <w:rsid w:val="00C15FC8"/>
    <w:rsid w:val="00C16BBB"/>
    <w:rsid w:val="00C20B44"/>
    <w:rsid w:val="00C22147"/>
    <w:rsid w:val="00C24A68"/>
    <w:rsid w:val="00C251BF"/>
    <w:rsid w:val="00C30E7F"/>
    <w:rsid w:val="00C31209"/>
    <w:rsid w:val="00C314B0"/>
    <w:rsid w:val="00C32725"/>
    <w:rsid w:val="00C33959"/>
    <w:rsid w:val="00C351F3"/>
    <w:rsid w:val="00C36286"/>
    <w:rsid w:val="00C362D9"/>
    <w:rsid w:val="00C36E06"/>
    <w:rsid w:val="00C37A6E"/>
    <w:rsid w:val="00C40128"/>
    <w:rsid w:val="00C41CEB"/>
    <w:rsid w:val="00C43667"/>
    <w:rsid w:val="00C46A44"/>
    <w:rsid w:val="00C473ED"/>
    <w:rsid w:val="00C477F6"/>
    <w:rsid w:val="00C47D1A"/>
    <w:rsid w:val="00C503E4"/>
    <w:rsid w:val="00C5149D"/>
    <w:rsid w:val="00C51D14"/>
    <w:rsid w:val="00C5296D"/>
    <w:rsid w:val="00C533CD"/>
    <w:rsid w:val="00C54E90"/>
    <w:rsid w:val="00C553C9"/>
    <w:rsid w:val="00C5579B"/>
    <w:rsid w:val="00C5639B"/>
    <w:rsid w:val="00C60449"/>
    <w:rsid w:val="00C620BE"/>
    <w:rsid w:val="00C627C2"/>
    <w:rsid w:val="00C62C17"/>
    <w:rsid w:val="00C63A27"/>
    <w:rsid w:val="00C63B60"/>
    <w:rsid w:val="00C64D89"/>
    <w:rsid w:val="00C64F95"/>
    <w:rsid w:val="00C65904"/>
    <w:rsid w:val="00C66D75"/>
    <w:rsid w:val="00C6770B"/>
    <w:rsid w:val="00C67A8F"/>
    <w:rsid w:val="00C67E95"/>
    <w:rsid w:val="00C717DB"/>
    <w:rsid w:val="00C71E6F"/>
    <w:rsid w:val="00C723A2"/>
    <w:rsid w:val="00C74858"/>
    <w:rsid w:val="00C74865"/>
    <w:rsid w:val="00C77B19"/>
    <w:rsid w:val="00C80498"/>
    <w:rsid w:val="00C80F85"/>
    <w:rsid w:val="00C823FB"/>
    <w:rsid w:val="00C8526C"/>
    <w:rsid w:val="00C85CD1"/>
    <w:rsid w:val="00C85F2B"/>
    <w:rsid w:val="00C8755E"/>
    <w:rsid w:val="00C87943"/>
    <w:rsid w:val="00C87A16"/>
    <w:rsid w:val="00C90D7E"/>
    <w:rsid w:val="00C93037"/>
    <w:rsid w:val="00C95DD0"/>
    <w:rsid w:val="00C97ED7"/>
    <w:rsid w:val="00C97EF5"/>
    <w:rsid w:val="00CA20E7"/>
    <w:rsid w:val="00CA266E"/>
    <w:rsid w:val="00CA4CB1"/>
    <w:rsid w:val="00CB153D"/>
    <w:rsid w:val="00CB1E24"/>
    <w:rsid w:val="00CB2F14"/>
    <w:rsid w:val="00CB3F9B"/>
    <w:rsid w:val="00CB42E3"/>
    <w:rsid w:val="00CB4734"/>
    <w:rsid w:val="00CB61B0"/>
    <w:rsid w:val="00CC0432"/>
    <w:rsid w:val="00CC1D88"/>
    <w:rsid w:val="00CC3DFC"/>
    <w:rsid w:val="00CC74FA"/>
    <w:rsid w:val="00CC7DF5"/>
    <w:rsid w:val="00CD06BF"/>
    <w:rsid w:val="00CD1BEB"/>
    <w:rsid w:val="00CD3085"/>
    <w:rsid w:val="00CD3A3A"/>
    <w:rsid w:val="00CD5098"/>
    <w:rsid w:val="00CD5440"/>
    <w:rsid w:val="00CD577B"/>
    <w:rsid w:val="00CD7278"/>
    <w:rsid w:val="00CD74A2"/>
    <w:rsid w:val="00CE080E"/>
    <w:rsid w:val="00CE0F85"/>
    <w:rsid w:val="00CE3F6F"/>
    <w:rsid w:val="00CE5387"/>
    <w:rsid w:val="00CE561A"/>
    <w:rsid w:val="00CE6E4D"/>
    <w:rsid w:val="00CF4281"/>
    <w:rsid w:val="00CF5F7B"/>
    <w:rsid w:val="00CF71C9"/>
    <w:rsid w:val="00D01074"/>
    <w:rsid w:val="00D03949"/>
    <w:rsid w:val="00D11628"/>
    <w:rsid w:val="00D11B42"/>
    <w:rsid w:val="00D12F86"/>
    <w:rsid w:val="00D138E8"/>
    <w:rsid w:val="00D13AD3"/>
    <w:rsid w:val="00D16543"/>
    <w:rsid w:val="00D174C3"/>
    <w:rsid w:val="00D21C70"/>
    <w:rsid w:val="00D2317B"/>
    <w:rsid w:val="00D24F13"/>
    <w:rsid w:val="00D26EF5"/>
    <w:rsid w:val="00D31040"/>
    <w:rsid w:val="00D3278D"/>
    <w:rsid w:val="00D36233"/>
    <w:rsid w:val="00D371C7"/>
    <w:rsid w:val="00D37D1F"/>
    <w:rsid w:val="00D40750"/>
    <w:rsid w:val="00D41766"/>
    <w:rsid w:val="00D41BF6"/>
    <w:rsid w:val="00D4356A"/>
    <w:rsid w:val="00D439F3"/>
    <w:rsid w:val="00D44008"/>
    <w:rsid w:val="00D448D0"/>
    <w:rsid w:val="00D46E18"/>
    <w:rsid w:val="00D47DF6"/>
    <w:rsid w:val="00D507B1"/>
    <w:rsid w:val="00D50B53"/>
    <w:rsid w:val="00D52011"/>
    <w:rsid w:val="00D523FE"/>
    <w:rsid w:val="00D55782"/>
    <w:rsid w:val="00D57EEF"/>
    <w:rsid w:val="00D63C73"/>
    <w:rsid w:val="00D6499B"/>
    <w:rsid w:val="00D653FA"/>
    <w:rsid w:val="00D66525"/>
    <w:rsid w:val="00D67F67"/>
    <w:rsid w:val="00D70CC4"/>
    <w:rsid w:val="00D73221"/>
    <w:rsid w:val="00D74F5D"/>
    <w:rsid w:val="00D75AC2"/>
    <w:rsid w:val="00D75B1B"/>
    <w:rsid w:val="00D76000"/>
    <w:rsid w:val="00D80A72"/>
    <w:rsid w:val="00D81B11"/>
    <w:rsid w:val="00D820CA"/>
    <w:rsid w:val="00D842EF"/>
    <w:rsid w:val="00D87D4A"/>
    <w:rsid w:val="00D90522"/>
    <w:rsid w:val="00D90E02"/>
    <w:rsid w:val="00D94254"/>
    <w:rsid w:val="00DA011A"/>
    <w:rsid w:val="00DA1B75"/>
    <w:rsid w:val="00DA35E0"/>
    <w:rsid w:val="00DA3643"/>
    <w:rsid w:val="00DA3FE3"/>
    <w:rsid w:val="00DA59F7"/>
    <w:rsid w:val="00DA6EFE"/>
    <w:rsid w:val="00DB0436"/>
    <w:rsid w:val="00DB44FE"/>
    <w:rsid w:val="00DB69C2"/>
    <w:rsid w:val="00DB70C0"/>
    <w:rsid w:val="00DB7CFD"/>
    <w:rsid w:val="00DC144C"/>
    <w:rsid w:val="00DC3487"/>
    <w:rsid w:val="00DC4B9F"/>
    <w:rsid w:val="00DC7DC5"/>
    <w:rsid w:val="00DD017C"/>
    <w:rsid w:val="00DD12A5"/>
    <w:rsid w:val="00DD47FB"/>
    <w:rsid w:val="00DD48C0"/>
    <w:rsid w:val="00DD5487"/>
    <w:rsid w:val="00DD56C8"/>
    <w:rsid w:val="00DD5DA2"/>
    <w:rsid w:val="00DD64FC"/>
    <w:rsid w:val="00DD656D"/>
    <w:rsid w:val="00DD6B6A"/>
    <w:rsid w:val="00DD6F92"/>
    <w:rsid w:val="00DD7904"/>
    <w:rsid w:val="00DE0FF6"/>
    <w:rsid w:val="00DE161A"/>
    <w:rsid w:val="00DE3389"/>
    <w:rsid w:val="00DE3A2C"/>
    <w:rsid w:val="00DE493D"/>
    <w:rsid w:val="00DE609C"/>
    <w:rsid w:val="00DE7024"/>
    <w:rsid w:val="00DF061C"/>
    <w:rsid w:val="00DF0A7E"/>
    <w:rsid w:val="00DF259B"/>
    <w:rsid w:val="00DF33C1"/>
    <w:rsid w:val="00DF3B4C"/>
    <w:rsid w:val="00DF6E54"/>
    <w:rsid w:val="00DF6ED1"/>
    <w:rsid w:val="00DF7385"/>
    <w:rsid w:val="00E00400"/>
    <w:rsid w:val="00E03841"/>
    <w:rsid w:val="00E03985"/>
    <w:rsid w:val="00E060EF"/>
    <w:rsid w:val="00E06416"/>
    <w:rsid w:val="00E10823"/>
    <w:rsid w:val="00E13D80"/>
    <w:rsid w:val="00E1610E"/>
    <w:rsid w:val="00E21223"/>
    <w:rsid w:val="00E2248C"/>
    <w:rsid w:val="00E23C6D"/>
    <w:rsid w:val="00E2406A"/>
    <w:rsid w:val="00E244AB"/>
    <w:rsid w:val="00E305BC"/>
    <w:rsid w:val="00E333A5"/>
    <w:rsid w:val="00E33F4D"/>
    <w:rsid w:val="00E34B61"/>
    <w:rsid w:val="00E365F5"/>
    <w:rsid w:val="00E372DF"/>
    <w:rsid w:val="00E37323"/>
    <w:rsid w:val="00E374C9"/>
    <w:rsid w:val="00E41AB2"/>
    <w:rsid w:val="00E427D8"/>
    <w:rsid w:val="00E42F53"/>
    <w:rsid w:val="00E4547D"/>
    <w:rsid w:val="00E455E0"/>
    <w:rsid w:val="00E464DB"/>
    <w:rsid w:val="00E4772C"/>
    <w:rsid w:val="00E4776C"/>
    <w:rsid w:val="00E47BDF"/>
    <w:rsid w:val="00E502A3"/>
    <w:rsid w:val="00E5195A"/>
    <w:rsid w:val="00E5226F"/>
    <w:rsid w:val="00E5260C"/>
    <w:rsid w:val="00E527B6"/>
    <w:rsid w:val="00E544F1"/>
    <w:rsid w:val="00E557D5"/>
    <w:rsid w:val="00E566F4"/>
    <w:rsid w:val="00E609BF"/>
    <w:rsid w:val="00E617CF"/>
    <w:rsid w:val="00E61846"/>
    <w:rsid w:val="00E6262A"/>
    <w:rsid w:val="00E63470"/>
    <w:rsid w:val="00E64405"/>
    <w:rsid w:val="00E64B20"/>
    <w:rsid w:val="00E64B8F"/>
    <w:rsid w:val="00E65322"/>
    <w:rsid w:val="00E65890"/>
    <w:rsid w:val="00E66CC5"/>
    <w:rsid w:val="00E675D2"/>
    <w:rsid w:val="00E70164"/>
    <w:rsid w:val="00E70248"/>
    <w:rsid w:val="00E716FA"/>
    <w:rsid w:val="00E72AFC"/>
    <w:rsid w:val="00E73FA3"/>
    <w:rsid w:val="00E74579"/>
    <w:rsid w:val="00E806C6"/>
    <w:rsid w:val="00E8144A"/>
    <w:rsid w:val="00E8152D"/>
    <w:rsid w:val="00E81A3C"/>
    <w:rsid w:val="00E842E5"/>
    <w:rsid w:val="00E850A0"/>
    <w:rsid w:val="00E857D7"/>
    <w:rsid w:val="00E85F31"/>
    <w:rsid w:val="00E8708E"/>
    <w:rsid w:val="00E87E6D"/>
    <w:rsid w:val="00E92A10"/>
    <w:rsid w:val="00E94A2A"/>
    <w:rsid w:val="00E94B97"/>
    <w:rsid w:val="00E96325"/>
    <w:rsid w:val="00EA034D"/>
    <w:rsid w:val="00EA18AB"/>
    <w:rsid w:val="00EA1DF0"/>
    <w:rsid w:val="00EA3C51"/>
    <w:rsid w:val="00EB18E2"/>
    <w:rsid w:val="00EB2F9A"/>
    <w:rsid w:val="00EB3C7C"/>
    <w:rsid w:val="00EB535B"/>
    <w:rsid w:val="00EB61FE"/>
    <w:rsid w:val="00EB69FA"/>
    <w:rsid w:val="00EB7125"/>
    <w:rsid w:val="00EB7704"/>
    <w:rsid w:val="00EB7A88"/>
    <w:rsid w:val="00EB7F08"/>
    <w:rsid w:val="00EC2DAC"/>
    <w:rsid w:val="00EC31F1"/>
    <w:rsid w:val="00EC3913"/>
    <w:rsid w:val="00EC5963"/>
    <w:rsid w:val="00EC5BE9"/>
    <w:rsid w:val="00ED2335"/>
    <w:rsid w:val="00ED4925"/>
    <w:rsid w:val="00ED7512"/>
    <w:rsid w:val="00ED7637"/>
    <w:rsid w:val="00EE7CE5"/>
    <w:rsid w:val="00EF1EFF"/>
    <w:rsid w:val="00EF2031"/>
    <w:rsid w:val="00EF2283"/>
    <w:rsid w:val="00EF5FDC"/>
    <w:rsid w:val="00F04ABF"/>
    <w:rsid w:val="00F106C2"/>
    <w:rsid w:val="00F112AA"/>
    <w:rsid w:val="00F13ADD"/>
    <w:rsid w:val="00F1414F"/>
    <w:rsid w:val="00F16C2A"/>
    <w:rsid w:val="00F16FCE"/>
    <w:rsid w:val="00F17510"/>
    <w:rsid w:val="00F17EA8"/>
    <w:rsid w:val="00F17EB0"/>
    <w:rsid w:val="00F22665"/>
    <w:rsid w:val="00F23063"/>
    <w:rsid w:val="00F23C9C"/>
    <w:rsid w:val="00F24625"/>
    <w:rsid w:val="00F248BA"/>
    <w:rsid w:val="00F256DA"/>
    <w:rsid w:val="00F262C4"/>
    <w:rsid w:val="00F2781B"/>
    <w:rsid w:val="00F31533"/>
    <w:rsid w:val="00F337C6"/>
    <w:rsid w:val="00F34926"/>
    <w:rsid w:val="00F34C18"/>
    <w:rsid w:val="00F3558A"/>
    <w:rsid w:val="00F402CF"/>
    <w:rsid w:val="00F44452"/>
    <w:rsid w:val="00F446CF"/>
    <w:rsid w:val="00F467EF"/>
    <w:rsid w:val="00F46FD8"/>
    <w:rsid w:val="00F47D49"/>
    <w:rsid w:val="00F51241"/>
    <w:rsid w:val="00F52565"/>
    <w:rsid w:val="00F54351"/>
    <w:rsid w:val="00F54C2B"/>
    <w:rsid w:val="00F60BE9"/>
    <w:rsid w:val="00F61C8C"/>
    <w:rsid w:val="00F62FF8"/>
    <w:rsid w:val="00F63C85"/>
    <w:rsid w:val="00F6506E"/>
    <w:rsid w:val="00F6545B"/>
    <w:rsid w:val="00F677EE"/>
    <w:rsid w:val="00F70260"/>
    <w:rsid w:val="00F73715"/>
    <w:rsid w:val="00F75B9A"/>
    <w:rsid w:val="00F76229"/>
    <w:rsid w:val="00F806CE"/>
    <w:rsid w:val="00F81442"/>
    <w:rsid w:val="00F818B6"/>
    <w:rsid w:val="00F85979"/>
    <w:rsid w:val="00F86658"/>
    <w:rsid w:val="00F87872"/>
    <w:rsid w:val="00F92322"/>
    <w:rsid w:val="00F9435B"/>
    <w:rsid w:val="00F96A95"/>
    <w:rsid w:val="00F96B4A"/>
    <w:rsid w:val="00F974A1"/>
    <w:rsid w:val="00FA1500"/>
    <w:rsid w:val="00FA2420"/>
    <w:rsid w:val="00FA2733"/>
    <w:rsid w:val="00FA3178"/>
    <w:rsid w:val="00FA3A39"/>
    <w:rsid w:val="00FA471C"/>
    <w:rsid w:val="00FA51C4"/>
    <w:rsid w:val="00FA6EF2"/>
    <w:rsid w:val="00FA7F39"/>
    <w:rsid w:val="00FB22ED"/>
    <w:rsid w:val="00FB391F"/>
    <w:rsid w:val="00FB4AE5"/>
    <w:rsid w:val="00FB58AF"/>
    <w:rsid w:val="00FB6AEE"/>
    <w:rsid w:val="00FC3E6B"/>
    <w:rsid w:val="00FC57AC"/>
    <w:rsid w:val="00FC6CD3"/>
    <w:rsid w:val="00FC7095"/>
    <w:rsid w:val="00FD217D"/>
    <w:rsid w:val="00FD2405"/>
    <w:rsid w:val="00FE2378"/>
    <w:rsid w:val="00FE33C5"/>
    <w:rsid w:val="00FE44D2"/>
    <w:rsid w:val="00FE4B8B"/>
    <w:rsid w:val="00FE4DA3"/>
    <w:rsid w:val="00FE657C"/>
    <w:rsid w:val="00FE6B96"/>
    <w:rsid w:val="00FF08B7"/>
    <w:rsid w:val="00FF5A7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82FF69"/>
  <w15:docId w15:val="{03BF5430-82EE-4DB7-A24F-459BCEBD13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0D6E"/>
    <w:pPr>
      <w:spacing w:after="0" w:line="240" w:lineRule="auto"/>
    </w:pPr>
    <w:rPr>
      <w:rFonts w:ascii="Times New Roman" w:eastAsia="Times New Roman" w:hAnsi="Times New Roman" w:cs="Times New Roman"/>
      <w:sz w:val="24"/>
      <w:szCs w:val="24"/>
    </w:rPr>
  </w:style>
  <w:style w:type="paragraph" w:styleId="Heading1">
    <w:name w:val="heading 1"/>
    <w:next w:val="Normal"/>
    <w:link w:val="Heading1Char"/>
    <w:uiPriority w:val="9"/>
    <w:unhideWhenUsed/>
    <w:qFormat/>
    <w:pPr>
      <w:keepNext/>
      <w:keepLines/>
      <w:spacing w:after="0"/>
      <w:ind w:left="10" w:hanging="10"/>
      <w:outlineLvl w:val="0"/>
    </w:pPr>
    <w:rPr>
      <w:rFonts w:ascii="Cambria" w:eastAsia="Cambria" w:hAnsi="Cambria" w:cs="Cambria"/>
      <w:b/>
      <w:color w:val="7D9B16"/>
      <w:sz w:val="26"/>
    </w:rPr>
  </w:style>
  <w:style w:type="paragraph" w:styleId="Heading2">
    <w:name w:val="heading 2"/>
    <w:next w:val="Normal"/>
    <w:link w:val="Heading2Char"/>
    <w:uiPriority w:val="9"/>
    <w:unhideWhenUsed/>
    <w:qFormat/>
    <w:pPr>
      <w:keepNext/>
      <w:keepLines/>
      <w:spacing w:after="9" w:line="249" w:lineRule="auto"/>
      <w:ind w:left="10" w:hanging="10"/>
      <w:outlineLvl w:val="1"/>
    </w:pPr>
    <w:rPr>
      <w:rFonts w:ascii="Corbel" w:eastAsia="Corbel" w:hAnsi="Corbel" w:cs="Corbel"/>
      <w:b/>
      <w:color w:val="000000"/>
    </w:rPr>
  </w:style>
  <w:style w:type="paragraph" w:styleId="Heading3">
    <w:name w:val="heading 3"/>
    <w:next w:val="Normal"/>
    <w:link w:val="Heading3Char"/>
    <w:uiPriority w:val="9"/>
    <w:unhideWhenUsed/>
    <w:qFormat/>
    <w:pPr>
      <w:keepNext/>
      <w:keepLines/>
      <w:spacing w:after="0"/>
      <w:ind w:left="293" w:hanging="10"/>
      <w:outlineLvl w:val="2"/>
    </w:pPr>
    <w:rPr>
      <w:rFonts w:ascii="Corbel" w:eastAsia="Corbel" w:hAnsi="Corbel" w:cs="Corbel"/>
      <w:b/>
      <w:color w:val="7D9B16"/>
    </w:rPr>
  </w:style>
  <w:style w:type="paragraph" w:styleId="Heading4">
    <w:name w:val="heading 4"/>
    <w:next w:val="Normal"/>
    <w:link w:val="Heading4Char"/>
    <w:uiPriority w:val="9"/>
    <w:unhideWhenUsed/>
    <w:qFormat/>
    <w:pPr>
      <w:keepNext/>
      <w:keepLines/>
      <w:spacing w:after="9" w:line="249" w:lineRule="auto"/>
      <w:ind w:left="10" w:hanging="10"/>
      <w:outlineLvl w:val="3"/>
    </w:pPr>
    <w:rPr>
      <w:rFonts w:ascii="Corbel" w:eastAsia="Corbel" w:hAnsi="Corbel" w:cs="Corbel"/>
      <w:b/>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otnotedescription">
    <w:name w:val="footnote description"/>
    <w:next w:val="Normal"/>
    <w:link w:val="footnotedescriptionChar"/>
    <w:hidden/>
    <w:pPr>
      <w:spacing w:after="0"/>
      <w:ind w:left="283"/>
    </w:pPr>
    <w:rPr>
      <w:rFonts w:ascii="Corbel" w:eastAsia="Corbel" w:hAnsi="Corbel" w:cs="Corbel"/>
      <w:color w:val="000000"/>
      <w:sz w:val="18"/>
    </w:rPr>
  </w:style>
  <w:style w:type="character" w:customStyle="1" w:styleId="footnotedescriptionChar">
    <w:name w:val="footnote description Char"/>
    <w:link w:val="footnotedescription"/>
    <w:rPr>
      <w:rFonts w:ascii="Corbel" w:eastAsia="Corbel" w:hAnsi="Corbel" w:cs="Corbel"/>
      <w:color w:val="000000"/>
      <w:sz w:val="18"/>
    </w:rPr>
  </w:style>
  <w:style w:type="character" w:customStyle="1" w:styleId="Heading4Char">
    <w:name w:val="Heading 4 Char"/>
    <w:link w:val="Heading4"/>
    <w:rPr>
      <w:rFonts w:ascii="Corbel" w:eastAsia="Corbel" w:hAnsi="Corbel" w:cs="Corbel"/>
      <w:b/>
      <w:color w:val="000000"/>
      <w:sz w:val="22"/>
    </w:rPr>
  </w:style>
  <w:style w:type="character" w:customStyle="1" w:styleId="Heading1Char">
    <w:name w:val="Heading 1 Char"/>
    <w:link w:val="Heading1"/>
    <w:rPr>
      <w:rFonts w:ascii="Cambria" w:eastAsia="Cambria" w:hAnsi="Cambria" w:cs="Cambria"/>
      <w:b/>
      <w:color w:val="7D9B16"/>
      <w:sz w:val="26"/>
    </w:rPr>
  </w:style>
  <w:style w:type="character" w:customStyle="1" w:styleId="Heading2Char">
    <w:name w:val="Heading 2 Char"/>
    <w:link w:val="Heading2"/>
    <w:rPr>
      <w:rFonts w:ascii="Corbel" w:eastAsia="Corbel" w:hAnsi="Corbel" w:cs="Corbel"/>
      <w:b/>
      <w:color w:val="000000"/>
      <w:sz w:val="22"/>
    </w:rPr>
  </w:style>
  <w:style w:type="character" w:customStyle="1" w:styleId="Heading3Char">
    <w:name w:val="Heading 3 Char"/>
    <w:link w:val="Heading3"/>
    <w:rPr>
      <w:rFonts w:ascii="Corbel" w:eastAsia="Corbel" w:hAnsi="Corbel" w:cs="Corbel"/>
      <w:b/>
      <w:color w:val="7D9B16"/>
      <w:sz w:val="22"/>
    </w:rPr>
  </w:style>
  <w:style w:type="paragraph" w:styleId="TOC1">
    <w:name w:val="toc 1"/>
    <w:hidden/>
    <w:uiPriority w:val="39"/>
    <w:pPr>
      <w:spacing w:after="108" w:line="248" w:lineRule="auto"/>
      <w:ind w:left="246" w:right="181" w:hanging="10"/>
    </w:pPr>
    <w:rPr>
      <w:rFonts w:ascii="Corbel" w:eastAsia="Corbel" w:hAnsi="Corbel" w:cs="Corbel"/>
      <w:color w:val="000000"/>
    </w:rPr>
  </w:style>
  <w:style w:type="paragraph" w:styleId="TOC2">
    <w:name w:val="toc 2"/>
    <w:hidden/>
    <w:uiPriority w:val="39"/>
    <w:pPr>
      <w:spacing w:after="108" w:line="248" w:lineRule="auto"/>
      <w:ind w:left="246" w:right="181" w:hanging="10"/>
    </w:pPr>
    <w:rPr>
      <w:rFonts w:ascii="Corbel" w:eastAsia="Corbel" w:hAnsi="Corbel" w:cs="Corbel"/>
      <w:color w:val="000000"/>
    </w:rPr>
  </w:style>
  <w:style w:type="paragraph" w:styleId="TOC3">
    <w:name w:val="toc 3"/>
    <w:hidden/>
    <w:uiPriority w:val="39"/>
    <w:pPr>
      <w:spacing w:after="111"/>
      <w:ind w:left="730" w:right="184"/>
      <w:jc w:val="right"/>
    </w:pPr>
    <w:rPr>
      <w:rFonts w:ascii="Corbel" w:eastAsia="Corbel" w:hAnsi="Corbel" w:cs="Corbel"/>
      <w:color w:val="000000"/>
    </w:rPr>
  </w:style>
  <w:style w:type="character" w:customStyle="1" w:styleId="footnotemark">
    <w:name w:val="footnote mark"/>
    <w:hidden/>
    <w:rPr>
      <w:rFonts w:ascii="Corbel" w:eastAsia="Corbel" w:hAnsi="Corbel" w:cs="Corbel"/>
      <w:color w:val="000000"/>
      <w:sz w:val="18"/>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D90522"/>
    <w:rPr>
      <w:color w:val="0563C1" w:themeColor="hyperlink"/>
      <w:u w:val="single"/>
    </w:rPr>
  </w:style>
  <w:style w:type="character" w:styleId="UnresolvedMention">
    <w:name w:val="Unresolved Mention"/>
    <w:basedOn w:val="DefaultParagraphFont"/>
    <w:uiPriority w:val="99"/>
    <w:semiHidden/>
    <w:unhideWhenUsed/>
    <w:rsid w:val="00D90522"/>
    <w:rPr>
      <w:color w:val="808080"/>
      <w:shd w:val="clear" w:color="auto" w:fill="E6E6E6"/>
    </w:rPr>
  </w:style>
  <w:style w:type="paragraph" w:styleId="ListParagraph">
    <w:name w:val="List Paragraph"/>
    <w:basedOn w:val="Normal"/>
    <w:link w:val="ListParagraphChar"/>
    <w:uiPriority w:val="34"/>
    <w:qFormat/>
    <w:rsid w:val="00D138E8"/>
    <w:pPr>
      <w:ind w:left="720"/>
      <w:contextualSpacing/>
    </w:pPr>
  </w:style>
  <w:style w:type="paragraph" w:styleId="Header">
    <w:name w:val="header"/>
    <w:basedOn w:val="Normal"/>
    <w:link w:val="HeaderChar"/>
    <w:uiPriority w:val="99"/>
    <w:unhideWhenUsed/>
    <w:rsid w:val="00E96325"/>
    <w:pPr>
      <w:tabs>
        <w:tab w:val="center" w:pos="4513"/>
        <w:tab w:val="right" w:pos="9026"/>
      </w:tabs>
    </w:pPr>
  </w:style>
  <w:style w:type="character" w:customStyle="1" w:styleId="HeaderChar">
    <w:name w:val="Header Char"/>
    <w:basedOn w:val="DefaultParagraphFont"/>
    <w:link w:val="Header"/>
    <w:uiPriority w:val="99"/>
    <w:rsid w:val="00E96325"/>
    <w:rPr>
      <w:rFonts w:ascii="Corbel" w:eastAsia="Corbel" w:hAnsi="Corbel" w:cs="Corbel"/>
      <w:color w:val="000000"/>
    </w:rPr>
  </w:style>
  <w:style w:type="character" w:customStyle="1" w:styleId="ListParagraphChar">
    <w:name w:val="List Paragraph Char"/>
    <w:link w:val="ListParagraph"/>
    <w:uiPriority w:val="34"/>
    <w:rsid w:val="00B24AA3"/>
    <w:rPr>
      <w:rFonts w:ascii="Corbel" w:eastAsia="Corbel" w:hAnsi="Corbel" w:cs="Corbel"/>
      <w:color w:val="000000"/>
    </w:rPr>
  </w:style>
  <w:style w:type="paragraph" w:styleId="NormalWeb">
    <w:name w:val="Normal (Web)"/>
    <w:basedOn w:val="Normal"/>
    <w:uiPriority w:val="99"/>
    <w:unhideWhenUsed/>
    <w:rsid w:val="00222AE0"/>
    <w:pPr>
      <w:spacing w:before="100" w:beforeAutospacing="1" w:after="100" w:afterAutospacing="1"/>
    </w:pPr>
  </w:style>
  <w:style w:type="table" w:styleId="TableGrid0">
    <w:name w:val="Table Grid"/>
    <w:basedOn w:val="TableNormal"/>
    <w:uiPriority w:val="39"/>
    <w:rsid w:val="00F46F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D507B1"/>
    <w:rPr>
      <w:sz w:val="20"/>
      <w:szCs w:val="20"/>
    </w:rPr>
  </w:style>
  <w:style w:type="character" w:customStyle="1" w:styleId="FootnoteTextChar">
    <w:name w:val="Footnote Text Char"/>
    <w:basedOn w:val="DefaultParagraphFont"/>
    <w:link w:val="FootnoteText"/>
    <w:uiPriority w:val="99"/>
    <w:semiHidden/>
    <w:rsid w:val="00D507B1"/>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D507B1"/>
    <w:rPr>
      <w:vertAlign w:val="superscript"/>
    </w:rPr>
  </w:style>
  <w:style w:type="character" w:styleId="FollowedHyperlink">
    <w:name w:val="FollowedHyperlink"/>
    <w:basedOn w:val="DefaultParagraphFont"/>
    <w:uiPriority w:val="99"/>
    <w:semiHidden/>
    <w:unhideWhenUsed/>
    <w:rsid w:val="009766C1"/>
    <w:rPr>
      <w:color w:val="954F72" w:themeColor="followedHyperlink"/>
      <w:u w:val="single"/>
    </w:rPr>
  </w:style>
  <w:style w:type="table" w:styleId="GridTable4-Accent1">
    <w:name w:val="Grid Table 4 Accent 1"/>
    <w:basedOn w:val="TableNormal"/>
    <w:uiPriority w:val="49"/>
    <w:rsid w:val="00316412"/>
    <w:pPr>
      <w:spacing w:after="0" w:line="240" w:lineRule="auto"/>
    </w:pPr>
    <w:rPr>
      <w:rFonts w:eastAsiaTheme="minorHAnsi"/>
      <w:lang w:eastAsia="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789515">
      <w:bodyDiv w:val="1"/>
      <w:marLeft w:val="0"/>
      <w:marRight w:val="0"/>
      <w:marTop w:val="0"/>
      <w:marBottom w:val="0"/>
      <w:divBdr>
        <w:top w:val="none" w:sz="0" w:space="0" w:color="auto"/>
        <w:left w:val="none" w:sz="0" w:space="0" w:color="auto"/>
        <w:bottom w:val="none" w:sz="0" w:space="0" w:color="auto"/>
        <w:right w:val="none" w:sz="0" w:space="0" w:color="auto"/>
      </w:divBdr>
    </w:div>
    <w:div w:id="59401894">
      <w:bodyDiv w:val="1"/>
      <w:marLeft w:val="0"/>
      <w:marRight w:val="0"/>
      <w:marTop w:val="0"/>
      <w:marBottom w:val="0"/>
      <w:divBdr>
        <w:top w:val="none" w:sz="0" w:space="0" w:color="auto"/>
        <w:left w:val="none" w:sz="0" w:space="0" w:color="auto"/>
        <w:bottom w:val="none" w:sz="0" w:space="0" w:color="auto"/>
        <w:right w:val="none" w:sz="0" w:space="0" w:color="auto"/>
      </w:divBdr>
    </w:div>
    <w:div w:id="61563782">
      <w:bodyDiv w:val="1"/>
      <w:marLeft w:val="0"/>
      <w:marRight w:val="0"/>
      <w:marTop w:val="0"/>
      <w:marBottom w:val="0"/>
      <w:divBdr>
        <w:top w:val="none" w:sz="0" w:space="0" w:color="auto"/>
        <w:left w:val="none" w:sz="0" w:space="0" w:color="auto"/>
        <w:bottom w:val="none" w:sz="0" w:space="0" w:color="auto"/>
        <w:right w:val="none" w:sz="0" w:space="0" w:color="auto"/>
      </w:divBdr>
    </w:div>
    <w:div w:id="139150882">
      <w:bodyDiv w:val="1"/>
      <w:marLeft w:val="0"/>
      <w:marRight w:val="0"/>
      <w:marTop w:val="0"/>
      <w:marBottom w:val="0"/>
      <w:divBdr>
        <w:top w:val="none" w:sz="0" w:space="0" w:color="auto"/>
        <w:left w:val="none" w:sz="0" w:space="0" w:color="auto"/>
        <w:bottom w:val="none" w:sz="0" w:space="0" w:color="auto"/>
        <w:right w:val="none" w:sz="0" w:space="0" w:color="auto"/>
      </w:divBdr>
    </w:div>
    <w:div w:id="161774545">
      <w:bodyDiv w:val="1"/>
      <w:marLeft w:val="0"/>
      <w:marRight w:val="0"/>
      <w:marTop w:val="0"/>
      <w:marBottom w:val="0"/>
      <w:divBdr>
        <w:top w:val="none" w:sz="0" w:space="0" w:color="auto"/>
        <w:left w:val="none" w:sz="0" w:space="0" w:color="auto"/>
        <w:bottom w:val="none" w:sz="0" w:space="0" w:color="auto"/>
        <w:right w:val="none" w:sz="0" w:space="0" w:color="auto"/>
      </w:divBdr>
    </w:div>
    <w:div w:id="170685735">
      <w:bodyDiv w:val="1"/>
      <w:marLeft w:val="0"/>
      <w:marRight w:val="0"/>
      <w:marTop w:val="0"/>
      <w:marBottom w:val="0"/>
      <w:divBdr>
        <w:top w:val="none" w:sz="0" w:space="0" w:color="auto"/>
        <w:left w:val="none" w:sz="0" w:space="0" w:color="auto"/>
        <w:bottom w:val="none" w:sz="0" w:space="0" w:color="auto"/>
        <w:right w:val="none" w:sz="0" w:space="0" w:color="auto"/>
      </w:divBdr>
    </w:div>
    <w:div w:id="237716418">
      <w:bodyDiv w:val="1"/>
      <w:marLeft w:val="0"/>
      <w:marRight w:val="0"/>
      <w:marTop w:val="0"/>
      <w:marBottom w:val="0"/>
      <w:divBdr>
        <w:top w:val="none" w:sz="0" w:space="0" w:color="auto"/>
        <w:left w:val="none" w:sz="0" w:space="0" w:color="auto"/>
        <w:bottom w:val="none" w:sz="0" w:space="0" w:color="auto"/>
        <w:right w:val="none" w:sz="0" w:space="0" w:color="auto"/>
      </w:divBdr>
    </w:div>
    <w:div w:id="253712920">
      <w:bodyDiv w:val="1"/>
      <w:marLeft w:val="0"/>
      <w:marRight w:val="0"/>
      <w:marTop w:val="0"/>
      <w:marBottom w:val="0"/>
      <w:divBdr>
        <w:top w:val="none" w:sz="0" w:space="0" w:color="auto"/>
        <w:left w:val="none" w:sz="0" w:space="0" w:color="auto"/>
        <w:bottom w:val="none" w:sz="0" w:space="0" w:color="auto"/>
        <w:right w:val="none" w:sz="0" w:space="0" w:color="auto"/>
      </w:divBdr>
    </w:div>
    <w:div w:id="295792824">
      <w:bodyDiv w:val="1"/>
      <w:marLeft w:val="0"/>
      <w:marRight w:val="0"/>
      <w:marTop w:val="0"/>
      <w:marBottom w:val="0"/>
      <w:divBdr>
        <w:top w:val="none" w:sz="0" w:space="0" w:color="auto"/>
        <w:left w:val="none" w:sz="0" w:space="0" w:color="auto"/>
        <w:bottom w:val="none" w:sz="0" w:space="0" w:color="auto"/>
        <w:right w:val="none" w:sz="0" w:space="0" w:color="auto"/>
      </w:divBdr>
    </w:div>
    <w:div w:id="296299831">
      <w:bodyDiv w:val="1"/>
      <w:marLeft w:val="0"/>
      <w:marRight w:val="0"/>
      <w:marTop w:val="0"/>
      <w:marBottom w:val="0"/>
      <w:divBdr>
        <w:top w:val="none" w:sz="0" w:space="0" w:color="auto"/>
        <w:left w:val="none" w:sz="0" w:space="0" w:color="auto"/>
        <w:bottom w:val="none" w:sz="0" w:space="0" w:color="auto"/>
        <w:right w:val="none" w:sz="0" w:space="0" w:color="auto"/>
      </w:divBdr>
    </w:div>
    <w:div w:id="369231414">
      <w:bodyDiv w:val="1"/>
      <w:marLeft w:val="0"/>
      <w:marRight w:val="0"/>
      <w:marTop w:val="0"/>
      <w:marBottom w:val="0"/>
      <w:divBdr>
        <w:top w:val="none" w:sz="0" w:space="0" w:color="auto"/>
        <w:left w:val="none" w:sz="0" w:space="0" w:color="auto"/>
        <w:bottom w:val="none" w:sz="0" w:space="0" w:color="auto"/>
        <w:right w:val="none" w:sz="0" w:space="0" w:color="auto"/>
      </w:divBdr>
    </w:div>
    <w:div w:id="482549765">
      <w:bodyDiv w:val="1"/>
      <w:marLeft w:val="0"/>
      <w:marRight w:val="0"/>
      <w:marTop w:val="0"/>
      <w:marBottom w:val="0"/>
      <w:divBdr>
        <w:top w:val="none" w:sz="0" w:space="0" w:color="auto"/>
        <w:left w:val="none" w:sz="0" w:space="0" w:color="auto"/>
        <w:bottom w:val="none" w:sz="0" w:space="0" w:color="auto"/>
        <w:right w:val="none" w:sz="0" w:space="0" w:color="auto"/>
      </w:divBdr>
    </w:div>
    <w:div w:id="542981566">
      <w:bodyDiv w:val="1"/>
      <w:marLeft w:val="0"/>
      <w:marRight w:val="0"/>
      <w:marTop w:val="0"/>
      <w:marBottom w:val="0"/>
      <w:divBdr>
        <w:top w:val="none" w:sz="0" w:space="0" w:color="auto"/>
        <w:left w:val="none" w:sz="0" w:space="0" w:color="auto"/>
        <w:bottom w:val="none" w:sz="0" w:space="0" w:color="auto"/>
        <w:right w:val="none" w:sz="0" w:space="0" w:color="auto"/>
      </w:divBdr>
    </w:div>
    <w:div w:id="553390898">
      <w:bodyDiv w:val="1"/>
      <w:marLeft w:val="0"/>
      <w:marRight w:val="0"/>
      <w:marTop w:val="0"/>
      <w:marBottom w:val="0"/>
      <w:divBdr>
        <w:top w:val="none" w:sz="0" w:space="0" w:color="auto"/>
        <w:left w:val="none" w:sz="0" w:space="0" w:color="auto"/>
        <w:bottom w:val="none" w:sz="0" w:space="0" w:color="auto"/>
        <w:right w:val="none" w:sz="0" w:space="0" w:color="auto"/>
      </w:divBdr>
    </w:div>
    <w:div w:id="730730495">
      <w:bodyDiv w:val="1"/>
      <w:marLeft w:val="0"/>
      <w:marRight w:val="0"/>
      <w:marTop w:val="0"/>
      <w:marBottom w:val="0"/>
      <w:divBdr>
        <w:top w:val="none" w:sz="0" w:space="0" w:color="auto"/>
        <w:left w:val="none" w:sz="0" w:space="0" w:color="auto"/>
        <w:bottom w:val="none" w:sz="0" w:space="0" w:color="auto"/>
        <w:right w:val="none" w:sz="0" w:space="0" w:color="auto"/>
      </w:divBdr>
    </w:div>
    <w:div w:id="798571688">
      <w:bodyDiv w:val="1"/>
      <w:marLeft w:val="0"/>
      <w:marRight w:val="0"/>
      <w:marTop w:val="0"/>
      <w:marBottom w:val="0"/>
      <w:divBdr>
        <w:top w:val="none" w:sz="0" w:space="0" w:color="auto"/>
        <w:left w:val="none" w:sz="0" w:space="0" w:color="auto"/>
        <w:bottom w:val="none" w:sz="0" w:space="0" w:color="auto"/>
        <w:right w:val="none" w:sz="0" w:space="0" w:color="auto"/>
      </w:divBdr>
    </w:div>
    <w:div w:id="819348855">
      <w:bodyDiv w:val="1"/>
      <w:marLeft w:val="0"/>
      <w:marRight w:val="0"/>
      <w:marTop w:val="0"/>
      <w:marBottom w:val="0"/>
      <w:divBdr>
        <w:top w:val="none" w:sz="0" w:space="0" w:color="auto"/>
        <w:left w:val="none" w:sz="0" w:space="0" w:color="auto"/>
        <w:bottom w:val="none" w:sz="0" w:space="0" w:color="auto"/>
        <w:right w:val="none" w:sz="0" w:space="0" w:color="auto"/>
      </w:divBdr>
    </w:div>
    <w:div w:id="903880707">
      <w:bodyDiv w:val="1"/>
      <w:marLeft w:val="0"/>
      <w:marRight w:val="0"/>
      <w:marTop w:val="0"/>
      <w:marBottom w:val="0"/>
      <w:divBdr>
        <w:top w:val="none" w:sz="0" w:space="0" w:color="auto"/>
        <w:left w:val="none" w:sz="0" w:space="0" w:color="auto"/>
        <w:bottom w:val="none" w:sz="0" w:space="0" w:color="auto"/>
        <w:right w:val="none" w:sz="0" w:space="0" w:color="auto"/>
      </w:divBdr>
    </w:div>
    <w:div w:id="951403636">
      <w:bodyDiv w:val="1"/>
      <w:marLeft w:val="0"/>
      <w:marRight w:val="0"/>
      <w:marTop w:val="0"/>
      <w:marBottom w:val="0"/>
      <w:divBdr>
        <w:top w:val="none" w:sz="0" w:space="0" w:color="auto"/>
        <w:left w:val="none" w:sz="0" w:space="0" w:color="auto"/>
        <w:bottom w:val="none" w:sz="0" w:space="0" w:color="auto"/>
        <w:right w:val="none" w:sz="0" w:space="0" w:color="auto"/>
      </w:divBdr>
    </w:div>
    <w:div w:id="1000084400">
      <w:bodyDiv w:val="1"/>
      <w:marLeft w:val="0"/>
      <w:marRight w:val="0"/>
      <w:marTop w:val="0"/>
      <w:marBottom w:val="0"/>
      <w:divBdr>
        <w:top w:val="none" w:sz="0" w:space="0" w:color="auto"/>
        <w:left w:val="none" w:sz="0" w:space="0" w:color="auto"/>
        <w:bottom w:val="none" w:sz="0" w:space="0" w:color="auto"/>
        <w:right w:val="none" w:sz="0" w:space="0" w:color="auto"/>
      </w:divBdr>
    </w:div>
    <w:div w:id="1021976730">
      <w:bodyDiv w:val="1"/>
      <w:marLeft w:val="0"/>
      <w:marRight w:val="0"/>
      <w:marTop w:val="0"/>
      <w:marBottom w:val="0"/>
      <w:divBdr>
        <w:top w:val="none" w:sz="0" w:space="0" w:color="auto"/>
        <w:left w:val="none" w:sz="0" w:space="0" w:color="auto"/>
        <w:bottom w:val="none" w:sz="0" w:space="0" w:color="auto"/>
        <w:right w:val="none" w:sz="0" w:space="0" w:color="auto"/>
      </w:divBdr>
    </w:div>
    <w:div w:id="1088698537">
      <w:bodyDiv w:val="1"/>
      <w:marLeft w:val="0"/>
      <w:marRight w:val="0"/>
      <w:marTop w:val="0"/>
      <w:marBottom w:val="0"/>
      <w:divBdr>
        <w:top w:val="none" w:sz="0" w:space="0" w:color="auto"/>
        <w:left w:val="none" w:sz="0" w:space="0" w:color="auto"/>
        <w:bottom w:val="none" w:sz="0" w:space="0" w:color="auto"/>
        <w:right w:val="none" w:sz="0" w:space="0" w:color="auto"/>
      </w:divBdr>
    </w:div>
    <w:div w:id="1095787599">
      <w:bodyDiv w:val="1"/>
      <w:marLeft w:val="0"/>
      <w:marRight w:val="0"/>
      <w:marTop w:val="0"/>
      <w:marBottom w:val="0"/>
      <w:divBdr>
        <w:top w:val="none" w:sz="0" w:space="0" w:color="auto"/>
        <w:left w:val="none" w:sz="0" w:space="0" w:color="auto"/>
        <w:bottom w:val="none" w:sz="0" w:space="0" w:color="auto"/>
        <w:right w:val="none" w:sz="0" w:space="0" w:color="auto"/>
      </w:divBdr>
    </w:div>
    <w:div w:id="1097210542">
      <w:bodyDiv w:val="1"/>
      <w:marLeft w:val="0"/>
      <w:marRight w:val="0"/>
      <w:marTop w:val="0"/>
      <w:marBottom w:val="0"/>
      <w:divBdr>
        <w:top w:val="none" w:sz="0" w:space="0" w:color="auto"/>
        <w:left w:val="none" w:sz="0" w:space="0" w:color="auto"/>
        <w:bottom w:val="none" w:sz="0" w:space="0" w:color="auto"/>
        <w:right w:val="none" w:sz="0" w:space="0" w:color="auto"/>
      </w:divBdr>
    </w:div>
    <w:div w:id="1104302546">
      <w:bodyDiv w:val="1"/>
      <w:marLeft w:val="0"/>
      <w:marRight w:val="0"/>
      <w:marTop w:val="0"/>
      <w:marBottom w:val="0"/>
      <w:divBdr>
        <w:top w:val="none" w:sz="0" w:space="0" w:color="auto"/>
        <w:left w:val="none" w:sz="0" w:space="0" w:color="auto"/>
        <w:bottom w:val="none" w:sz="0" w:space="0" w:color="auto"/>
        <w:right w:val="none" w:sz="0" w:space="0" w:color="auto"/>
      </w:divBdr>
    </w:div>
    <w:div w:id="1178153383">
      <w:bodyDiv w:val="1"/>
      <w:marLeft w:val="0"/>
      <w:marRight w:val="0"/>
      <w:marTop w:val="0"/>
      <w:marBottom w:val="0"/>
      <w:divBdr>
        <w:top w:val="none" w:sz="0" w:space="0" w:color="auto"/>
        <w:left w:val="none" w:sz="0" w:space="0" w:color="auto"/>
        <w:bottom w:val="none" w:sz="0" w:space="0" w:color="auto"/>
        <w:right w:val="none" w:sz="0" w:space="0" w:color="auto"/>
      </w:divBdr>
    </w:div>
    <w:div w:id="1298755922">
      <w:bodyDiv w:val="1"/>
      <w:marLeft w:val="0"/>
      <w:marRight w:val="0"/>
      <w:marTop w:val="0"/>
      <w:marBottom w:val="0"/>
      <w:divBdr>
        <w:top w:val="none" w:sz="0" w:space="0" w:color="auto"/>
        <w:left w:val="none" w:sz="0" w:space="0" w:color="auto"/>
        <w:bottom w:val="none" w:sz="0" w:space="0" w:color="auto"/>
        <w:right w:val="none" w:sz="0" w:space="0" w:color="auto"/>
      </w:divBdr>
    </w:div>
    <w:div w:id="1316689050">
      <w:bodyDiv w:val="1"/>
      <w:marLeft w:val="0"/>
      <w:marRight w:val="0"/>
      <w:marTop w:val="0"/>
      <w:marBottom w:val="0"/>
      <w:divBdr>
        <w:top w:val="none" w:sz="0" w:space="0" w:color="auto"/>
        <w:left w:val="none" w:sz="0" w:space="0" w:color="auto"/>
        <w:bottom w:val="none" w:sz="0" w:space="0" w:color="auto"/>
        <w:right w:val="none" w:sz="0" w:space="0" w:color="auto"/>
      </w:divBdr>
    </w:div>
    <w:div w:id="1320691302">
      <w:bodyDiv w:val="1"/>
      <w:marLeft w:val="0"/>
      <w:marRight w:val="0"/>
      <w:marTop w:val="0"/>
      <w:marBottom w:val="0"/>
      <w:divBdr>
        <w:top w:val="none" w:sz="0" w:space="0" w:color="auto"/>
        <w:left w:val="none" w:sz="0" w:space="0" w:color="auto"/>
        <w:bottom w:val="none" w:sz="0" w:space="0" w:color="auto"/>
        <w:right w:val="none" w:sz="0" w:space="0" w:color="auto"/>
      </w:divBdr>
    </w:div>
    <w:div w:id="1329285106">
      <w:bodyDiv w:val="1"/>
      <w:marLeft w:val="0"/>
      <w:marRight w:val="0"/>
      <w:marTop w:val="0"/>
      <w:marBottom w:val="0"/>
      <w:divBdr>
        <w:top w:val="none" w:sz="0" w:space="0" w:color="auto"/>
        <w:left w:val="none" w:sz="0" w:space="0" w:color="auto"/>
        <w:bottom w:val="none" w:sz="0" w:space="0" w:color="auto"/>
        <w:right w:val="none" w:sz="0" w:space="0" w:color="auto"/>
      </w:divBdr>
    </w:div>
    <w:div w:id="1382752221">
      <w:bodyDiv w:val="1"/>
      <w:marLeft w:val="0"/>
      <w:marRight w:val="0"/>
      <w:marTop w:val="0"/>
      <w:marBottom w:val="0"/>
      <w:divBdr>
        <w:top w:val="none" w:sz="0" w:space="0" w:color="auto"/>
        <w:left w:val="none" w:sz="0" w:space="0" w:color="auto"/>
        <w:bottom w:val="none" w:sz="0" w:space="0" w:color="auto"/>
        <w:right w:val="none" w:sz="0" w:space="0" w:color="auto"/>
      </w:divBdr>
    </w:div>
    <w:div w:id="1519852037">
      <w:bodyDiv w:val="1"/>
      <w:marLeft w:val="0"/>
      <w:marRight w:val="0"/>
      <w:marTop w:val="0"/>
      <w:marBottom w:val="0"/>
      <w:divBdr>
        <w:top w:val="none" w:sz="0" w:space="0" w:color="auto"/>
        <w:left w:val="none" w:sz="0" w:space="0" w:color="auto"/>
        <w:bottom w:val="none" w:sz="0" w:space="0" w:color="auto"/>
        <w:right w:val="none" w:sz="0" w:space="0" w:color="auto"/>
      </w:divBdr>
    </w:div>
    <w:div w:id="1661152867">
      <w:bodyDiv w:val="1"/>
      <w:marLeft w:val="0"/>
      <w:marRight w:val="0"/>
      <w:marTop w:val="0"/>
      <w:marBottom w:val="0"/>
      <w:divBdr>
        <w:top w:val="none" w:sz="0" w:space="0" w:color="auto"/>
        <w:left w:val="none" w:sz="0" w:space="0" w:color="auto"/>
        <w:bottom w:val="none" w:sz="0" w:space="0" w:color="auto"/>
        <w:right w:val="none" w:sz="0" w:space="0" w:color="auto"/>
      </w:divBdr>
    </w:div>
    <w:div w:id="1703824788">
      <w:bodyDiv w:val="1"/>
      <w:marLeft w:val="0"/>
      <w:marRight w:val="0"/>
      <w:marTop w:val="0"/>
      <w:marBottom w:val="0"/>
      <w:divBdr>
        <w:top w:val="none" w:sz="0" w:space="0" w:color="auto"/>
        <w:left w:val="none" w:sz="0" w:space="0" w:color="auto"/>
        <w:bottom w:val="none" w:sz="0" w:space="0" w:color="auto"/>
        <w:right w:val="none" w:sz="0" w:space="0" w:color="auto"/>
      </w:divBdr>
    </w:div>
    <w:div w:id="1809860991">
      <w:bodyDiv w:val="1"/>
      <w:marLeft w:val="0"/>
      <w:marRight w:val="0"/>
      <w:marTop w:val="0"/>
      <w:marBottom w:val="0"/>
      <w:divBdr>
        <w:top w:val="none" w:sz="0" w:space="0" w:color="auto"/>
        <w:left w:val="none" w:sz="0" w:space="0" w:color="auto"/>
        <w:bottom w:val="none" w:sz="0" w:space="0" w:color="auto"/>
        <w:right w:val="none" w:sz="0" w:space="0" w:color="auto"/>
      </w:divBdr>
    </w:div>
    <w:div w:id="1902324031">
      <w:bodyDiv w:val="1"/>
      <w:marLeft w:val="0"/>
      <w:marRight w:val="0"/>
      <w:marTop w:val="0"/>
      <w:marBottom w:val="0"/>
      <w:divBdr>
        <w:top w:val="none" w:sz="0" w:space="0" w:color="auto"/>
        <w:left w:val="none" w:sz="0" w:space="0" w:color="auto"/>
        <w:bottom w:val="none" w:sz="0" w:space="0" w:color="auto"/>
        <w:right w:val="none" w:sz="0" w:space="0" w:color="auto"/>
      </w:divBdr>
    </w:div>
    <w:div w:id="1958834495">
      <w:bodyDiv w:val="1"/>
      <w:marLeft w:val="0"/>
      <w:marRight w:val="0"/>
      <w:marTop w:val="0"/>
      <w:marBottom w:val="0"/>
      <w:divBdr>
        <w:top w:val="none" w:sz="0" w:space="0" w:color="auto"/>
        <w:left w:val="none" w:sz="0" w:space="0" w:color="auto"/>
        <w:bottom w:val="none" w:sz="0" w:space="0" w:color="auto"/>
        <w:right w:val="none" w:sz="0" w:space="0" w:color="auto"/>
      </w:divBdr>
    </w:div>
    <w:div w:id="1990477168">
      <w:bodyDiv w:val="1"/>
      <w:marLeft w:val="0"/>
      <w:marRight w:val="0"/>
      <w:marTop w:val="0"/>
      <w:marBottom w:val="0"/>
      <w:divBdr>
        <w:top w:val="none" w:sz="0" w:space="0" w:color="auto"/>
        <w:left w:val="none" w:sz="0" w:space="0" w:color="auto"/>
        <w:bottom w:val="none" w:sz="0" w:space="0" w:color="auto"/>
        <w:right w:val="none" w:sz="0" w:space="0" w:color="auto"/>
      </w:divBdr>
    </w:div>
    <w:div w:id="2041273326">
      <w:bodyDiv w:val="1"/>
      <w:marLeft w:val="0"/>
      <w:marRight w:val="0"/>
      <w:marTop w:val="0"/>
      <w:marBottom w:val="0"/>
      <w:divBdr>
        <w:top w:val="none" w:sz="0" w:space="0" w:color="auto"/>
        <w:left w:val="none" w:sz="0" w:space="0" w:color="auto"/>
        <w:bottom w:val="none" w:sz="0" w:space="0" w:color="auto"/>
        <w:right w:val="none" w:sz="0" w:space="0" w:color="auto"/>
      </w:divBdr>
    </w:div>
    <w:div w:id="2051950077">
      <w:bodyDiv w:val="1"/>
      <w:marLeft w:val="0"/>
      <w:marRight w:val="0"/>
      <w:marTop w:val="0"/>
      <w:marBottom w:val="0"/>
      <w:divBdr>
        <w:top w:val="none" w:sz="0" w:space="0" w:color="auto"/>
        <w:left w:val="none" w:sz="0" w:space="0" w:color="auto"/>
        <w:bottom w:val="none" w:sz="0" w:space="0" w:color="auto"/>
        <w:right w:val="none" w:sz="0" w:space="0" w:color="auto"/>
      </w:divBdr>
    </w:div>
    <w:div w:id="20897705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3.jpg"/></Relationships>
</file>

<file path=word/_rels/footer2.xml.rels><?xml version="1.0" encoding="UTF-8" standalone="yes"?>
<Relationships xmlns="http://schemas.openxmlformats.org/package/2006/relationships"><Relationship Id="rId1"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146F70-C5F0-4157-8EDD-EFDCBC5DAB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7798</Words>
  <Characters>44453</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Microsoft Word - 5021-96e7-ebb1-14e3</vt:lpstr>
    </vt:vector>
  </TitlesOfParts>
  <Company/>
  <LinksUpToDate>false</LinksUpToDate>
  <CharactersWithSpaces>52147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- 5021-96e7-ebb1-14e3</dc:title>
  <dc:subject/>
  <dc:creator>SM</dc:creator>
  <cp:keywords/>
  <dc:description/>
  <cp:lastModifiedBy>Dale Stokes</cp:lastModifiedBy>
  <cp:revision>3</cp:revision>
  <cp:lastPrinted>2022-04-21T07:02:00Z</cp:lastPrinted>
  <dcterms:created xsi:type="dcterms:W3CDTF">2022-04-21T07:02:00Z</dcterms:created>
  <dcterms:modified xsi:type="dcterms:W3CDTF">2022-04-21T07:02:00Z</dcterms:modified>
</cp:coreProperties>
</file>