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35A3" w14:textId="641E39E4" w:rsidR="0023080E" w:rsidRPr="00BC75D9" w:rsidRDefault="00E722EF" w:rsidP="00E722EF">
      <w:pPr>
        <w:pStyle w:val="Heading1"/>
        <w:rPr>
          <w:b/>
          <w:bCs/>
          <w:sz w:val="36"/>
          <w:szCs w:val="36"/>
        </w:rPr>
      </w:pPr>
      <w:bookmarkStart w:id="0" w:name="_Toc108180690"/>
      <w:r w:rsidRPr="00BC75D9">
        <w:rPr>
          <w:b/>
          <w:bCs/>
          <w:sz w:val="36"/>
          <w:szCs w:val="36"/>
        </w:rPr>
        <w:t>Vital Communities - c</w:t>
      </w:r>
      <w:r w:rsidR="0023080E" w:rsidRPr="00BC75D9">
        <w:rPr>
          <w:b/>
          <w:bCs/>
          <w:sz w:val="36"/>
          <w:szCs w:val="36"/>
        </w:rPr>
        <w:t xml:space="preserve">ase </w:t>
      </w:r>
      <w:r w:rsidRPr="00BC75D9">
        <w:rPr>
          <w:b/>
          <w:bCs/>
          <w:sz w:val="36"/>
          <w:szCs w:val="36"/>
        </w:rPr>
        <w:t>s</w:t>
      </w:r>
      <w:r w:rsidR="0023080E" w:rsidRPr="00BC75D9">
        <w:rPr>
          <w:b/>
          <w:bCs/>
          <w:sz w:val="36"/>
          <w:szCs w:val="36"/>
        </w:rPr>
        <w:t>tudies with employment outcomes</w:t>
      </w:r>
      <w:bookmarkEnd w:id="0"/>
    </w:p>
    <w:sdt>
      <w:sdtPr>
        <w:rPr>
          <w:rFonts w:asciiTheme="minorHAnsi" w:eastAsiaTheme="minorHAnsi" w:hAnsiTheme="minorHAnsi" w:cstheme="minorBidi"/>
          <w:color w:val="auto"/>
          <w:sz w:val="22"/>
          <w:szCs w:val="22"/>
          <w:lang w:val="en-AU"/>
        </w:rPr>
        <w:id w:val="-894581832"/>
        <w:docPartObj>
          <w:docPartGallery w:val="Table of Contents"/>
          <w:docPartUnique/>
        </w:docPartObj>
      </w:sdtPr>
      <w:sdtEndPr>
        <w:rPr>
          <w:b/>
          <w:bCs/>
          <w:noProof/>
        </w:rPr>
      </w:sdtEndPr>
      <w:sdtContent>
        <w:p w14:paraId="7D6AB1FB" w14:textId="2F1F7850" w:rsidR="00E722EF" w:rsidRDefault="00E722EF">
          <w:pPr>
            <w:pStyle w:val="TOCHeading"/>
          </w:pPr>
          <w:r>
            <w:t>Contents</w:t>
          </w:r>
        </w:p>
        <w:p w14:paraId="7354543D" w14:textId="57881398" w:rsidR="00E722EF" w:rsidRDefault="00E722EF">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08180691" w:history="1">
            <w:r w:rsidRPr="006E7047">
              <w:rPr>
                <w:rStyle w:val="Hyperlink"/>
                <w:noProof/>
              </w:rPr>
              <w:t>Greater Geelong Focus</w:t>
            </w:r>
            <w:r>
              <w:rPr>
                <w:noProof/>
                <w:webHidden/>
              </w:rPr>
              <w:tab/>
            </w:r>
            <w:r>
              <w:rPr>
                <w:noProof/>
                <w:webHidden/>
              </w:rPr>
              <w:fldChar w:fldCharType="begin"/>
            </w:r>
            <w:r>
              <w:rPr>
                <w:noProof/>
                <w:webHidden/>
              </w:rPr>
              <w:instrText xml:space="preserve"> PAGEREF _Toc108180691 \h </w:instrText>
            </w:r>
            <w:r>
              <w:rPr>
                <w:noProof/>
                <w:webHidden/>
              </w:rPr>
            </w:r>
            <w:r>
              <w:rPr>
                <w:noProof/>
                <w:webHidden/>
              </w:rPr>
              <w:fldChar w:fldCharType="separate"/>
            </w:r>
            <w:r>
              <w:rPr>
                <w:noProof/>
                <w:webHidden/>
              </w:rPr>
              <w:t>2</w:t>
            </w:r>
            <w:r>
              <w:rPr>
                <w:noProof/>
                <w:webHidden/>
              </w:rPr>
              <w:fldChar w:fldCharType="end"/>
            </w:r>
          </w:hyperlink>
        </w:p>
        <w:p w14:paraId="05309CC1" w14:textId="3ABB8C9A" w:rsidR="00E722EF" w:rsidRDefault="004E2080">
          <w:pPr>
            <w:pStyle w:val="TOC2"/>
            <w:tabs>
              <w:tab w:val="right" w:leader="dot" w:pos="9016"/>
            </w:tabs>
            <w:rPr>
              <w:rFonts w:eastAsiaTheme="minorEastAsia"/>
              <w:noProof/>
              <w:lang w:eastAsia="en-AU"/>
            </w:rPr>
          </w:pPr>
          <w:hyperlink w:anchor="_Toc108180692" w:history="1">
            <w:r w:rsidR="00E722EF" w:rsidRPr="006E7047">
              <w:rPr>
                <w:rStyle w:val="Hyperlink"/>
                <w:noProof/>
              </w:rPr>
              <w:t>Whittington Works Alliance: Local Jobs, Education and Training Program</w:t>
            </w:r>
            <w:r w:rsidR="00E722EF">
              <w:rPr>
                <w:noProof/>
                <w:webHidden/>
              </w:rPr>
              <w:tab/>
            </w:r>
            <w:r w:rsidR="00E722EF">
              <w:rPr>
                <w:noProof/>
                <w:webHidden/>
              </w:rPr>
              <w:fldChar w:fldCharType="begin"/>
            </w:r>
            <w:r w:rsidR="00E722EF">
              <w:rPr>
                <w:noProof/>
                <w:webHidden/>
              </w:rPr>
              <w:instrText xml:space="preserve"> PAGEREF _Toc108180692 \h </w:instrText>
            </w:r>
            <w:r w:rsidR="00E722EF">
              <w:rPr>
                <w:noProof/>
                <w:webHidden/>
              </w:rPr>
            </w:r>
            <w:r w:rsidR="00E722EF">
              <w:rPr>
                <w:noProof/>
                <w:webHidden/>
              </w:rPr>
              <w:fldChar w:fldCharType="separate"/>
            </w:r>
            <w:r w:rsidR="00E722EF">
              <w:rPr>
                <w:noProof/>
                <w:webHidden/>
              </w:rPr>
              <w:t>2</w:t>
            </w:r>
            <w:r w:rsidR="00E722EF">
              <w:rPr>
                <w:noProof/>
                <w:webHidden/>
              </w:rPr>
              <w:fldChar w:fldCharType="end"/>
            </w:r>
          </w:hyperlink>
        </w:p>
        <w:p w14:paraId="34FA3D81" w14:textId="618364B0" w:rsidR="00E722EF" w:rsidRDefault="004E2080">
          <w:pPr>
            <w:pStyle w:val="TOC1"/>
            <w:tabs>
              <w:tab w:val="right" w:leader="dot" w:pos="9016"/>
            </w:tabs>
            <w:rPr>
              <w:rFonts w:eastAsiaTheme="minorEastAsia"/>
              <w:noProof/>
              <w:lang w:eastAsia="en-AU"/>
            </w:rPr>
          </w:pPr>
          <w:hyperlink w:anchor="_Toc108180693" w:history="1">
            <w:r w:rsidR="00E722EF" w:rsidRPr="006E7047">
              <w:rPr>
                <w:rStyle w:val="Hyperlink"/>
                <w:noProof/>
              </w:rPr>
              <w:t>Victoria (Regional Focus)</w:t>
            </w:r>
            <w:r w:rsidR="00E722EF">
              <w:rPr>
                <w:noProof/>
                <w:webHidden/>
              </w:rPr>
              <w:tab/>
            </w:r>
            <w:r w:rsidR="00E722EF">
              <w:rPr>
                <w:noProof/>
                <w:webHidden/>
              </w:rPr>
              <w:fldChar w:fldCharType="begin"/>
            </w:r>
            <w:r w:rsidR="00E722EF">
              <w:rPr>
                <w:noProof/>
                <w:webHidden/>
              </w:rPr>
              <w:instrText xml:space="preserve"> PAGEREF _Toc108180693 \h </w:instrText>
            </w:r>
            <w:r w:rsidR="00E722EF">
              <w:rPr>
                <w:noProof/>
                <w:webHidden/>
              </w:rPr>
            </w:r>
            <w:r w:rsidR="00E722EF">
              <w:rPr>
                <w:noProof/>
                <w:webHidden/>
              </w:rPr>
              <w:fldChar w:fldCharType="separate"/>
            </w:r>
            <w:r w:rsidR="00E722EF">
              <w:rPr>
                <w:noProof/>
                <w:webHidden/>
              </w:rPr>
              <w:t>2</w:t>
            </w:r>
            <w:r w:rsidR="00E722EF">
              <w:rPr>
                <w:noProof/>
                <w:webHidden/>
              </w:rPr>
              <w:fldChar w:fldCharType="end"/>
            </w:r>
          </w:hyperlink>
        </w:p>
        <w:p w14:paraId="7F1649D6" w14:textId="647BAE43" w:rsidR="00E722EF" w:rsidRDefault="004E2080">
          <w:pPr>
            <w:pStyle w:val="TOC2"/>
            <w:tabs>
              <w:tab w:val="right" w:leader="dot" w:pos="9016"/>
            </w:tabs>
            <w:rPr>
              <w:rFonts w:eastAsiaTheme="minorEastAsia"/>
              <w:noProof/>
              <w:lang w:eastAsia="en-AU"/>
            </w:rPr>
          </w:pPr>
          <w:hyperlink w:anchor="_Toc108180694" w:history="1">
            <w:r w:rsidR="00E722EF" w:rsidRPr="006E7047">
              <w:rPr>
                <w:rStyle w:val="Hyperlink"/>
                <w:noProof/>
              </w:rPr>
              <w:t>GROW: Regional Job Creation Initiative</w:t>
            </w:r>
            <w:r w:rsidR="00E722EF">
              <w:rPr>
                <w:noProof/>
                <w:webHidden/>
              </w:rPr>
              <w:tab/>
            </w:r>
            <w:r w:rsidR="00E722EF">
              <w:rPr>
                <w:noProof/>
                <w:webHidden/>
              </w:rPr>
              <w:fldChar w:fldCharType="begin"/>
            </w:r>
            <w:r w:rsidR="00E722EF">
              <w:rPr>
                <w:noProof/>
                <w:webHidden/>
              </w:rPr>
              <w:instrText xml:space="preserve"> PAGEREF _Toc108180694 \h </w:instrText>
            </w:r>
            <w:r w:rsidR="00E722EF">
              <w:rPr>
                <w:noProof/>
                <w:webHidden/>
              </w:rPr>
            </w:r>
            <w:r w:rsidR="00E722EF">
              <w:rPr>
                <w:noProof/>
                <w:webHidden/>
              </w:rPr>
              <w:fldChar w:fldCharType="separate"/>
            </w:r>
            <w:r w:rsidR="00E722EF">
              <w:rPr>
                <w:noProof/>
                <w:webHidden/>
              </w:rPr>
              <w:t>2</w:t>
            </w:r>
            <w:r w:rsidR="00E722EF">
              <w:rPr>
                <w:noProof/>
                <w:webHidden/>
              </w:rPr>
              <w:fldChar w:fldCharType="end"/>
            </w:r>
          </w:hyperlink>
        </w:p>
        <w:p w14:paraId="151B9DFE" w14:textId="36B887C8" w:rsidR="00E722EF" w:rsidRDefault="004E2080">
          <w:pPr>
            <w:pStyle w:val="TOC1"/>
            <w:tabs>
              <w:tab w:val="right" w:leader="dot" w:pos="9016"/>
            </w:tabs>
            <w:rPr>
              <w:rFonts w:eastAsiaTheme="minorEastAsia"/>
              <w:noProof/>
              <w:lang w:eastAsia="en-AU"/>
            </w:rPr>
          </w:pPr>
          <w:hyperlink w:anchor="_Toc108180695" w:history="1">
            <w:r w:rsidR="00E722EF" w:rsidRPr="006E7047">
              <w:rPr>
                <w:rStyle w:val="Hyperlink"/>
                <w:noProof/>
              </w:rPr>
              <w:t>Victoria (Local Focus)</w:t>
            </w:r>
            <w:r w:rsidR="00E722EF">
              <w:rPr>
                <w:noProof/>
                <w:webHidden/>
              </w:rPr>
              <w:tab/>
            </w:r>
            <w:r w:rsidR="00E722EF">
              <w:rPr>
                <w:noProof/>
                <w:webHidden/>
              </w:rPr>
              <w:fldChar w:fldCharType="begin"/>
            </w:r>
            <w:r w:rsidR="00E722EF">
              <w:rPr>
                <w:noProof/>
                <w:webHidden/>
              </w:rPr>
              <w:instrText xml:space="preserve"> PAGEREF _Toc108180695 \h </w:instrText>
            </w:r>
            <w:r w:rsidR="00E722EF">
              <w:rPr>
                <w:noProof/>
                <w:webHidden/>
              </w:rPr>
            </w:r>
            <w:r w:rsidR="00E722EF">
              <w:rPr>
                <w:noProof/>
                <w:webHidden/>
              </w:rPr>
              <w:fldChar w:fldCharType="separate"/>
            </w:r>
            <w:r w:rsidR="00E722EF">
              <w:rPr>
                <w:noProof/>
                <w:webHidden/>
              </w:rPr>
              <w:t>3</w:t>
            </w:r>
            <w:r w:rsidR="00E722EF">
              <w:rPr>
                <w:noProof/>
                <w:webHidden/>
              </w:rPr>
              <w:fldChar w:fldCharType="end"/>
            </w:r>
          </w:hyperlink>
        </w:p>
        <w:p w14:paraId="5F88C781" w14:textId="4980CAF6" w:rsidR="00E722EF" w:rsidRDefault="004E2080">
          <w:pPr>
            <w:pStyle w:val="TOC2"/>
            <w:tabs>
              <w:tab w:val="right" w:leader="dot" w:pos="9016"/>
            </w:tabs>
            <w:rPr>
              <w:rFonts w:eastAsiaTheme="minorEastAsia"/>
              <w:noProof/>
              <w:lang w:eastAsia="en-AU"/>
            </w:rPr>
          </w:pPr>
          <w:hyperlink w:anchor="_Toc108180696" w:history="1">
            <w:r w:rsidR="00E722EF" w:rsidRPr="006E7047">
              <w:rPr>
                <w:rStyle w:val="Hyperlink"/>
                <w:noProof/>
              </w:rPr>
              <w:t>Neighbourhood Renewal Program: Place-Based Initiative to Tackle Locational Disadvantage</w:t>
            </w:r>
            <w:r w:rsidR="00E722EF">
              <w:rPr>
                <w:noProof/>
                <w:webHidden/>
              </w:rPr>
              <w:tab/>
            </w:r>
            <w:r w:rsidR="00E722EF">
              <w:rPr>
                <w:noProof/>
                <w:webHidden/>
              </w:rPr>
              <w:fldChar w:fldCharType="begin"/>
            </w:r>
            <w:r w:rsidR="00E722EF">
              <w:rPr>
                <w:noProof/>
                <w:webHidden/>
              </w:rPr>
              <w:instrText xml:space="preserve"> PAGEREF _Toc108180696 \h </w:instrText>
            </w:r>
            <w:r w:rsidR="00E722EF">
              <w:rPr>
                <w:noProof/>
                <w:webHidden/>
              </w:rPr>
            </w:r>
            <w:r w:rsidR="00E722EF">
              <w:rPr>
                <w:noProof/>
                <w:webHidden/>
              </w:rPr>
              <w:fldChar w:fldCharType="separate"/>
            </w:r>
            <w:r w:rsidR="00E722EF">
              <w:rPr>
                <w:noProof/>
                <w:webHidden/>
              </w:rPr>
              <w:t>3</w:t>
            </w:r>
            <w:r w:rsidR="00E722EF">
              <w:rPr>
                <w:noProof/>
                <w:webHidden/>
              </w:rPr>
              <w:fldChar w:fldCharType="end"/>
            </w:r>
          </w:hyperlink>
        </w:p>
        <w:p w14:paraId="1D5A7C7A" w14:textId="72D6431F" w:rsidR="00E722EF" w:rsidRDefault="004E2080">
          <w:pPr>
            <w:pStyle w:val="TOC2"/>
            <w:tabs>
              <w:tab w:val="right" w:leader="dot" w:pos="9016"/>
            </w:tabs>
            <w:rPr>
              <w:rFonts w:eastAsiaTheme="minorEastAsia"/>
              <w:noProof/>
              <w:lang w:eastAsia="en-AU"/>
            </w:rPr>
          </w:pPr>
          <w:hyperlink w:anchor="_Toc108180697" w:history="1">
            <w:r w:rsidR="00E722EF" w:rsidRPr="006E7047">
              <w:rPr>
                <w:rStyle w:val="Hyperlink"/>
                <w:noProof/>
              </w:rPr>
              <w:t>Shutterbugs + I Heart Maryborough: Community Photography Projects</w:t>
            </w:r>
            <w:r w:rsidR="00E722EF">
              <w:rPr>
                <w:noProof/>
                <w:webHidden/>
              </w:rPr>
              <w:tab/>
            </w:r>
            <w:r w:rsidR="00E722EF">
              <w:rPr>
                <w:noProof/>
                <w:webHidden/>
              </w:rPr>
              <w:fldChar w:fldCharType="begin"/>
            </w:r>
            <w:r w:rsidR="00E722EF">
              <w:rPr>
                <w:noProof/>
                <w:webHidden/>
              </w:rPr>
              <w:instrText xml:space="preserve"> PAGEREF _Toc108180697 \h </w:instrText>
            </w:r>
            <w:r w:rsidR="00E722EF">
              <w:rPr>
                <w:noProof/>
                <w:webHidden/>
              </w:rPr>
            </w:r>
            <w:r w:rsidR="00E722EF">
              <w:rPr>
                <w:noProof/>
                <w:webHidden/>
              </w:rPr>
              <w:fldChar w:fldCharType="separate"/>
            </w:r>
            <w:r w:rsidR="00E722EF">
              <w:rPr>
                <w:noProof/>
                <w:webHidden/>
              </w:rPr>
              <w:t>4</w:t>
            </w:r>
            <w:r w:rsidR="00E722EF">
              <w:rPr>
                <w:noProof/>
                <w:webHidden/>
              </w:rPr>
              <w:fldChar w:fldCharType="end"/>
            </w:r>
          </w:hyperlink>
        </w:p>
        <w:p w14:paraId="33661B47" w14:textId="18AA8C6E" w:rsidR="00E722EF" w:rsidRDefault="004E2080">
          <w:pPr>
            <w:pStyle w:val="TOC1"/>
            <w:tabs>
              <w:tab w:val="right" w:leader="dot" w:pos="9016"/>
            </w:tabs>
            <w:rPr>
              <w:rFonts w:eastAsiaTheme="minorEastAsia"/>
              <w:noProof/>
              <w:lang w:eastAsia="en-AU"/>
            </w:rPr>
          </w:pPr>
          <w:hyperlink w:anchor="_Toc108180698" w:history="1">
            <w:r w:rsidR="00E722EF" w:rsidRPr="006E7047">
              <w:rPr>
                <w:rStyle w:val="Hyperlink"/>
                <w:noProof/>
              </w:rPr>
              <w:t>National Programs</w:t>
            </w:r>
            <w:r w:rsidR="00E722EF">
              <w:rPr>
                <w:noProof/>
                <w:webHidden/>
              </w:rPr>
              <w:tab/>
            </w:r>
            <w:r w:rsidR="00E722EF">
              <w:rPr>
                <w:noProof/>
                <w:webHidden/>
              </w:rPr>
              <w:fldChar w:fldCharType="begin"/>
            </w:r>
            <w:r w:rsidR="00E722EF">
              <w:rPr>
                <w:noProof/>
                <w:webHidden/>
              </w:rPr>
              <w:instrText xml:space="preserve"> PAGEREF _Toc108180698 \h </w:instrText>
            </w:r>
            <w:r w:rsidR="00E722EF">
              <w:rPr>
                <w:noProof/>
                <w:webHidden/>
              </w:rPr>
            </w:r>
            <w:r w:rsidR="00E722EF">
              <w:rPr>
                <w:noProof/>
                <w:webHidden/>
              </w:rPr>
              <w:fldChar w:fldCharType="separate"/>
            </w:r>
            <w:r w:rsidR="00E722EF">
              <w:rPr>
                <w:noProof/>
                <w:webHidden/>
              </w:rPr>
              <w:t>5</w:t>
            </w:r>
            <w:r w:rsidR="00E722EF">
              <w:rPr>
                <w:noProof/>
                <w:webHidden/>
              </w:rPr>
              <w:fldChar w:fldCharType="end"/>
            </w:r>
          </w:hyperlink>
        </w:p>
        <w:p w14:paraId="6F314D27" w14:textId="6FB8204E" w:rsidR="00E722EF" w:rsidRDefault="004E2080">
          <w:pPr>
            <w:pStyle w:val="TOC2"/>
            <w:tabs>
              <w:tab w:val="right" w:leader="dot" w:pos="9016"/>
            </w:tabs>
            <w:rPr>
              <w:rFonts w:eastAsiaTheme="minorEastAsia"/>
              <w:noProof/>
              <w:lang w:eastAsia="en-AU"/>
            </w:rPr>
          </w:pPr>
          <w:hyperlink w:anchor="_Toc108180699" w:history="1">
            <w:r w:rsidR="00E722EF" w:rsidRPr="006E7047">
              <w:rPr>
                <w:rStyle w:val="Hyperlink"/>
                <w:noProof/>
              </w:rPr>
              <w:t>Australian Indigenous Mentoring Experience (AIME)</w:t>
            </w:r>
            <w:r w:rsidR="00E722EF">
              <w:rPr>
                <w:noProof/>
                <w:webHidden/>
              </w:rPr>
              <w:tab/>
            </w:r>
            <w:r w:rsidR="00E722EF">
              <w:rPr>
                <w:noProof/>
                <w:webHidden/>
              </w:rPr>
              <w:fldChar w:fldCharType="begin"/>
            </w:r>
            <w:r w:rsidR="00E722EF">
              <w:rPr>
                <w:noProof/>
                <w:webHidden/>
              </w:rPr>
              <w:instrText xml:space="preserve"> PAGEREF _Toc108180699 \h </w:instrText>
            </w:r>
            <w:r w:rsidR="00E722EF">
              <w:rPr>
                <w:noProof/>
                <w:webHidden/>
              </w:rPr>
            </w:r>
            <w:r w:rsidR="00E722EF">
              <w:rPr>
                <w:noProof/>
                <w:webHidden/>
              </w:rPr>
              <w:fldChar w:fldCharType="separate"/>
            </w:r>
            <w:r w:rsidR="00E722EF">
              <w:rPr>
                <w:noProof/>
                <w:webHidden/>
              </w:rPr>
              <w:t>5</w:t>
            </w:r>
            <w:r w:rsidR="00E722EF">
              <w:rPr>
                <w:noProof/>
                <w:webHidden/>
              </w:rPr>
              <w:fldChar w:fldCharType="end"/>
            </w:r>
          </w:hyperlink>
        </w:p>
        <w:p w14:paraId="5169D39E" w14:textId="4DEAF33A" w:rsidR="00E722EF" w:rsidRDefault="004E2080">
          <w:pPr>
            <w:pStyle w:val="TOC1"/>
            <w:tabs>
              <w:tab w:val="right" w:leader="dot" w:pos="9016"/>
            </w:tabs>
            <w:rPr>
              <w:rFonts w:eastAsiaTheme="minorEastAsia"/>
              <w:noProof/>
              <w:lang w:eastAsia="en-AU"/>
            </w:rPr>
          </w:pPr>
          <w:hyperlink w:anchor="_Toc108180700" w:history="1">
            <w:r w:rsidR="00E722EF" w:rsidRPr="006E7047">
              <w:rPr>
                <w:rStyle w:val="Hyperlink"/>
                <w:noProof/>
              </w:rPr>
              <w:t>International Case Studies</w:t>
            </w:r>
            <w:r w:rsidR="00E722EF">
              <w:rPr>
                <w:noProof/>
                <w:webHidden/>
              </w:rPr>
              <w:tab/>
            </w:r>
            <w:r w:rsidR="00E722EF">
              <w:rPr>
                <w:noProof/>
                <w:webHidden/>
              </w:rPr>
              <w:fldChar w:fldCharType="begin"/>
            </w:r>
            <w:r w:rsidR="00E722EF">
              <w:rPr>
                <w:noProof/>
                <w:webHidden/>
              </w:rPr>
              <w:instrText xml:space="preserve"> PAGEREF _Toc108180700 \h </w:instrText>
            </w:r>
            <w:r w:rsidR="00E722EF">
              <w:rPr>
                <w:noProof/>
                <w:webHidden/>
              </w:rPr>
            </w:r>
            <w:r w:rsidR="00E722EF">
              <w:rPr>
                <w:noProof/>
                <w:webHidden/>
              </w:rPr>
              <w:fldChar w:fldCharType="separate"/>
            </w:r>
            <w:r w:rsidR="00E722EF">
              <w:rPr>
                <w:noProof/>
                <w:webHidden/>
              </w:rPr>
              <w:t>6</w:t>
            </w:r>
            <w:r w:rsidR="00E722EF">
              <w:rPr>
                <w:noProof/>
                <w:webHidden/>
              </w:rPr>
              <w:fldChar w:fldCharType="end"/>
            </w:r>
          </w:hyperlink>
        </w:p>
        <w:p w14:paraId="63E83760" w14:textId="160DAEB9" w:rsidR="00E722EF" w:rsidRDefault="004E2080">
          <w:pPr>
            <w:pStyle w:val="TOC2"/>
            <w:tabs>
              <w:tab w:val="right" w:leader="dot" w:pos="9016"/>
            </w:tabs>
            <w:rPr>
              <w:rFonts w:eastAsiaTheme="minorEastAsia"/>
              <w:noProof/>
              <w:lang w:eastAsia="en-AU"/>
            </w:rPr>
          </w:pPr>
          <w:hyperlink w:anchor="_Toc108180701" w:history="1">
            <w:r w:rsidR="00E722EF" w:rsidRPr="006E7047">
              <w:rPr>
                <w:rStyle w:val="Hyperlink"/>
                <w:noProof/>
              </w:rPr>
              <w:t>Best Babies Zone: Place-based Multisector Program to Reduce Health Inequalities</w:t>
            </w:r>
            <w:r w:rsidR="00E722EF">
              <w:rPr>
                <w:noProof/>
                <w:webHidden/>
              </w:rPr>
              <w:tab/>
            </w:r>
            <w:r w:rsidR="00E722EF">
              <w:rPr>
                <w:noProof/>
                <w:webHidden/>
              </w:rPr>
              <w:fldChar w:fldCharType="begin"/>
            </w:r>
            <w:r w:rsidR="00E722EF">
              <w:rPr>
                <w:noProof/>
                <w:webHidden/>
              </w:rPr>
              <w:instrText xml:space="preserve"> PAGEREF _Toc108180701 \h </w:instrText>
            </w:r>
            <w:r w:rsidR="00E722EF">
              <w:rPr>
                <w:noProof/>
                <w:webHidden/>
              </w:rPr>
            </w:r>
            <w:r w:rsidR="00E722EF">
              <w:rPr>
                <w:noProof/>
                <w:webHidden/>
              </w:rPr>
              <w:fldChar w:fldCharType="separate"/>
            </w:r>
            <w:r w:rsidR="00E722EF">
              <w:rPr>
                <w:noProof/>
                <w:webHidden/>
              </w:rPr>
              <w:t>6</w:t>
            </w:r>
            <w:r w:rsidR="00E722EF">
              <w:rPr>
                <w:noProof/>
                <w:webHidden/>
              </w:rPr>
              <w:fldChar w:fldCharType="end"/>
            </w:r>
          </w:hyperlink>
        </w:p>
        <w:p w14:paraId="5EA15C0D" w14:textId="7F9EEA86" w:rsidR="00E722EF" w:rsidRDefault="004E2080">
          <w:pPr>
            <w:pStyle w:val="TOC2"/>
            <w:tabs>
              <w:tab w:val="right" w:leader="dot" w:pos="9016"/>
            </w:tabs>
            <w:rPr>
              <w:rFonts w:eastAsiaTheme="minorEastAsia"/>
              <w:noProof/>
              <w:lang w:eastAsia="en-AU"/>
            </w:rPr>
          </w:pPr>
          <w:hyperlink w:anchor="_Toc108180702" w:history="1">
            <w:r w:rsidR="00E722EF" w:rsidRPr="006E7047">
              <w:rPr>
                <w:rStyle w:val="Hyperlink"/>
                <w:noProof/>
              </w:rPr>
              <w:t>Sustainable South Bronx Project: Urban Greening, Training, and Local Job Creation</w:t>
            </w:r>
            <w:r w:rsidR="00E722EF">
              <w:rPr>
                <w:noProof/>
                <w:webHidden/>
              </w:rPr>
              <w:tab/>
            </w:r>
            <w:r w:rsidR="00E722EF">
              <w:rPr>
                <w:noProof/>
                <w:webHidden/>
              </w:rPr>
              <w:fldChar w:fldCharType="begin"/>
            </w:r>
            <w:r w:rsidR="00E722EF">
              <w:rPr>
                <w:noProof/>
                <w:webHidden/>
              </w:rPr>
              <w:instrText xml:space="preserve"> PAGEREF _Toc108180702 \h </w:instrText>
            </w:r>
            <w:r w:rsidR="00E722EF">
              <w:rPr>
                <w:noProof/>
                <w:webHidden/>
              </w:rPr>
            </w:r>
            <w:r w:rsidR="00E722EF">
              <w:rPr>
                <w:noProof/>
                <w:webHidden/>
              </w:rPr>
              <w:fldChar w:fldCharType="separate"/>
            </w:r>
            <w:r w:rsidR="00E722EF">
              <w:rPr>
                <w:noProof/>
                <w:webHidden/>
              </w:rPr>
              <w:t>7</w:t>
            </w:r>
            <w:r w:rsidR="00E722EF">
              <w:rPr>
                <w:noProof/>
                <w:webHidden/>
              </w:rPr>
              <w:fldChar w:fldCharType="end"/>
            </w:r>
          </w:hyperlink>
        </w:p>
        <w:p w14:paraId="6F555A6D" w14:textId="0BD01395" w:rsidR="00E722EF" w:rsidRDefault="004E2080">
          <w:pPr>
            <w:pStyle w:val="TOC2"/>
            <w:tabs>
              <w:tab w:val="right" w:leader="dot" w:pos="9016"/>
            </w:tabs>
            <w:rPr>
              <w:rFonts w:eastAsiaTheme="minorEastAsia"/>
              <w:noProof/>
              <w:lang w:eastAsia="en-AU"/>
            </w:rPr>
          </w:pPr>
          <w:hyperlink w:anchor="_Toc108180703" w:history="1">
            <w:r w:rsidR="00E722EF" w:rsidRPr="006E7047">
              <w:rPr>
                <w:rStyle w:val="Hyperlink"/>
                <w:noProof/>
              </w:rPr>
              <w:t>The Broomhill Project: Arts-led Community Regeneration and Public Housing Upgrade</w:t>
            </w:r>
            <w:r w:rsidR="00E722EF">
              <w:rPr>
                <w:noProof/>
                <w:webHidden/>
              </w:rPr>
              <w:tab/>
            </w:r>
            <w:r w:rsidR="00E722EF">
              <w:rPr>
                <w:noProof/>
                <w:webHidden/>
              </w:rPr>
              <w:fldChar w:fldCharType="begin"/>
            </w:r>
            <w:r w:rsidR="00E722EF">
              <w:rPr>
                <w:noProof/>
                <w:webHidden/>
              </w:rPr>
              <w:instrText xml:space="preserve"> PAGEREF _Toc108180703 \h </w:instrText>
            </w:r>
            <w:r w:rsidR="00E722EF">
              <w:rPr>
                <w:noProof/>
                <w:webHidden/>
              </w:rPr>
            </w:r>
            <w:r w:rsidR="00E722EF">
              <w:rPr>
                <w:noProof/>
                <w:webHidden/>
              </w:rPr>
              <w:fldChar w:fldCharType="separate"/>
            </w:r>
            <w:r w:rsidR="00E722EF">
              <w:rPr>
                <w:noProof/>
                <w:webHidden/>
              </w:rPr>
              <w:t>8</w:t>
            </w:r>
            <w:r w:rsidR="00E722EF">
              <w:rPr>
                <w:noProof/>
                <w:webHidden/>
              </w:rPr>
              <w:fldChar w:fldCharType="end"/>
            </w:r>
          </w:hyperlink>
        </w:p>
        <w:p w14:paraId="387B0388" w14:textId="5D435B93" w:rsidR="00E722EF" w:rsidRDefault="004E2080">
          <w:pPr>
            <w:pStyle w:val="TOC2"/>
            <w:tabs>
              <w:tab w:val="right" w:leader="dot" w:pos="9016"/>
            </w:tabs>
            <w:rPr>
              <w:rFonts w:eastAsiaTheme="minorEastAsia"/>
              <w:noProof/>
              <w:lang w:eastAsia="en-AU"/>
            </w:rPr>
          </w:pPr>
          <w:hyperlink w:anchor="_Toc108180704" w:history="1">
            <w:r w:rsidR="00E722EF" w:rsidRPr="006E7047">
              <w:rPr>
                <w:rStyle w:val="Hyperlink"/>
                <w:noProof/>
              </w:rPr>
              <w:t>The Skip Garden and Kitchen, Story Garden, Paper Garden:</w:t>
            </w:r>
            <w:r w:rsidR="00E722EF">
              <w:rPr>
                <w:noProof/>
                <w:webHidden/>
              </w:rPr>
              <w:tab/>
            </w:r>
            <w:r w:rsidR="00E722EF">
              <w:rPr>
                <w:noProof/>
                <w:webHidden/>
              </w:rPr>
              <w:fldChar w:fldCharType="begin"/>
            </w:r>
            <w:r w:rsidR="00E722EF">
              <w:rPr>
                <w:noProof/>
                <w:webHidden/>
              </w:rPr>
              <w:instrText xml:space="preserve"> PAGEREF _Toc108180704 \h </w:instrText>
            </w:r>
            <w:r w:rsidR="00E722EF">
              <w:rPr>
                <w:noProof/>
                <w:webHidden/>
              </w:rPr>
            </w:r>
            <w:r w:rsidR="00E722EF">
              <w:rPr>
                <w:noProof/>
                <w:webHidden/>
              </w:rPr>
              <w:fldChar w:fldCharType="separate"/>
            </w:r>
            <w:r w:rsidR="00E722EF">
              <w:rPr>
                <w:noProof/>
                <w:webHidden/>
              </w:rPr>
              <w:t>9</w:t>
            </w:r>
            <w:r w:rsidR="00E722EF">
              <w:rPr>
                <w:noProof/>
                <w:webHidden/>
              </w:rPr>
              <w:fldChar w:fldCharType="end"/>
            </w:r>
          </w:hyperlink>
        </w:p>
        <w:p w14:paraId="62433CAA" w14:textId="7E389920" w:rsidR="00E722EF" w:rsidRDefault="004E2080">
          <w:pPr>
            <w:pStyle w:val="TOC2"/>
            <w:tabs>
              <w:tab w:val="right" w:leader="dot" w:pos="9016"/>
            </w:tabs>
            <w:rPr>
              <w:rFonts w:eastAsiaTheme="minorEastAsia"/>
              <w:noProof/>
              <w:lang w:eastAsia="en-AU"/>
            </w:rPr>
          </w:pPr>
          <w:hyperlink w:anchor="_Toc108180705" w:history="1">
            <w:r w:rsidR="00E722EF" w:rsidRPr="006E7047">
              <w:rPr>
                <w:rStyle w:val="Hyperlink"/>
                <w:noProof/>
              </w:rPr>
              <w:t>Community Gardens for Learning, Health, and Social Inclusion</w:t>
            </w:r>
            <w:r w:rsidR="00E722EF">
              <w:rPr>
                <w:noProof/>
                <w:webHidden/>
              </w:rPr>
              <w:tab/>
            </w:r>
            <w:r w:rsidR="00E722EF">
              <w:rPr>
                <w:noProof/>
                <w:webHidden/>
              </w:rPr>
              <w:fldChar w:fldCharType="begin"/>
            </w:r>
            <w:r w:rsidR="00E722EF">
              <w:rPr>
                <w:noProof/>
                <w:webHidden/>
              </w:rPr>
              <w:instrText xml:space="preserve"> PAGEREF _Toc108180705 \h </w:instrText>
            </w:r>
            <w:r w:rsidR="00E722EF">
              <w:rPr>
                <w:noProof/>
                <w:webHidden/>
              </w:rPr>
            </w:r>
            <w:r w:rsidR="00E722EF">
              <w:rPr>
                <w:noProof/>
                <w:webHidden/>
              </w:rPr>
              <w:fldChar w:fldCharType="separate"/>
            </w:r>
            <w:r w:rsidR="00E722EF">
              <w:rPr>
                <w:noProof/>
                <w:webHidden/>
              </w:rPr>
              <w:t>9</w:t>
            </w:r>
            <w:r w:rsidR="00E722EF">
              <w:rPr>
                <w:noProof/>
                <w:webHidden/>
              </w:rPr>
              <w:fldChar w:fldCharType="end"/>
            </w:r>
          </w:hyperlink>
        </w:p>
        <w:p w14:paraId="487B31CE" w14:textId="242F8897" w:rsidR="00E722EF" w:rsidRDefault="004E2080">
          <w:pPr>
            <w:pStyle w:val="TOC2"/>
            <w:tabs>
              <w:tab w:val="right" w:leader="dot" w:pos="9016"/>
            </w:tabs>
            <w:rPr>
              <w:rFonts w:eastAsiaTheme="minorEastAsia"/>
              <w:noProof/>
              <w:lang w:eastAsia="en-AU"/>
            </w:rPr>
          </w:pPr>
          <w:hyperlink w:anchor="_Toc108180706" w:history="1">
            <w:r w:rsidR="00E722EF" w:rsidRPr="006E7047">
              <w:rPr>
                <w:rStyle w:val="Hyperlink"/>
                <w:noProof/>
              </w:rPr>
              <w:t>Oslo Living Lab: Green Jobs Training and Placemaking For At-Risk Youth</w:t>
            </w:r>
            <w:r w:rsidR="00E722EF">
              <w:rPr>
                <w:noProof/>
                <w:webHidden/>
              </w:rPr>
              <w:tab/>
            </w:r>
            <w:r w:rsidR="00E722EF">
              <w:rPr>
                <w:noProof/>
                <w:webHidden/>
              </w:rPr>
              <w:fldChar w:fldCharType="begin"/>
            </w:r>
            <w:r w:rsidR="00E722EF">
              <w:rPr>
                <w:noProof/>
                <w:webHidden/>
              </w:rPr>
              <w:instrText xml:space="preserve"> PAGEREF _Toc108180706 \h </w:instrText>
            </w:r>
            <w:r w:rsidR="00E722EF">
              <w:rPr>
                <w:noProof/>
                <w:webHidden/>
              </w:rPr>
            </w:r>
            <w:r w:rsidR="00E722EF">
              <w:rPr>
                <w:noProof/>
                <w:webHidden/>
              </w:rPr>
              <w:fldChar w:fldCharType="separate"/>
            </w:r>
            <w:r w:rsidR="00E722EF">
              <w:rPr>
                <w:noProof/>
                <w:webHidden/>
              </w:rPr>
              <w:t>11</w:t>
            </w:r>
            <w:r w:rsidR="00E722EF">
              <w:rPr>
                <w:noProof/>
                <w:webHidden/>
              </w:rPr>
              <w:fldChar w:fldCharType="end"/>
            </w:r>
          </w:hyperlink>
        </w:p>
        <w:p w14:paraId="393282D4" w14:textId="0F001776" w:rsidR="00E722EF" w:rsidRDefault="004E2080">
          <w:pPr>
            <w:pStyle w:val="TOC2"/>
            <w:tabs>
              <w:tab w:val="right" w:leader="dot" w:pos="9016"/>
            </w:tabs>
            <w:rPr>
              <w:rFonts w:eastAsiaTheme="minorEastAsia"/>
              <w:noProof/>
              <w:lang w:eastAsia="en-AU"/>
            </w:rPr>
          </w:pPr>
          <w:hyperlink w:anchor="_Toc108180707" w:history="1">
            <w:r w:rsidR="00E722EF" w:rsidRPr="006E7047">
              <w:rPr>
                <w:rStyle w:val="Hyperlink"/>
                <w:noProof/>
              </w:rPr>
              <w:t>We Design for Life: Design-Led Policy Development and Participatory Urban Regeneration</w:t>
            </w:r>
            <w:r w:rsidR="00E722EF">
              <w:rPr>
                <w:noProof/>
                <w:webHidden/>
              </w:rPr>
              <w:tab/>
            </w:r>
            <w:r w:rsidR="00E722EF">
              <w:rPr>
                <w:noProof/>
                <w:webHidden/>
              </w:rPr>
              <w:fldChar w:fldCharType="begin"/>
            </w:r>
            <w:r w:rsidR="00E722EF">
              <w:rPr>
                <w:noProof/>
                <w:webHidden/>
              </w:rPr>
              <w:instrText xml:space="preserve"> PAGEREF _Toc108180707 \h </w:instrText>
            </w:r>
            <w:r w:rsidR="00E722EF">
              <w:rPr>
                <w:noProof/>
                <w:webHidden/>
              </w:rPr>
            </w:r>
            <w:r w:rsidR="00E722EF">
              <w:rPr>
                <w:noProof/>
                <w:webHidden/>
              </w:rPr>
              <w:fldChar w:fldCharType="separate"/>
            </w:r>
            <w:r w:rsidR="00E722EF">
              <w:rPr>
                <w:noProof/>
                <w:webHidden/>
              </w:rPr>
              <w:t>13</w:t>
            </w:r>
            <w:r w:rsidR="00E722EF">
              <w:rPr>
                <w:noProof/>
                <w:webHidden/>
              </w:rPr>
              <w:fldChar w:fldCharType="end"/>
            </w:r>
          </w:hyperlink>
        </w:p>
        <w:p w14:paraId="61D1D46F" w14:textId="03F8037F" w:rsidR="00E722EF" w:rsidRDefault="004E2080">
          <w:pPr>
            <w:pStyle w:val="TOC2"/>
            <w:tabs>
              <w:tab w:val="right" w:leader="dot" w:pos="9016"/>
            </w:tabs>
            <w:rPr>
              <w:rFonts w:eastAsiaTheme="minorEastAsia"/>
              <w:noProof/>
              <w:lang w:eastAsia="en-AU"/>
            </w:rPr>
          </w:pPr>
          <w:hyperlink w:anchor="_Toc108180708" w:history="1">
            <w:r w:rsidR="00E722EF" w:rsidRPr="006E7047">
              <w:rPr>
                <w:rStyle w:val="Hyperlink"/>
                <w:noProof/>
              </w:rPr>
              <w:t>All Right? Community-Led Mental Health Initiative For Disaster Recovery</w:t>
            </w:r>
            <w:r w:rsidR="00E722EF">
              <w:rPr>
                <w:noProof/>
                <w:webHidden/>
              </w:rPr>
              <w:tab/>
            </w:r>
            <w:r w:rsidR="00E722EF">
              <w:rPr>
                <w:noProof/>
                <w:webHidden/>
              </w:rPr>
              <w:fldChar w:fldCharType="begin"/>
            </w:r>
            <w:r w:rsidR="00E722EF">
              <w:rPr>
                <w:noProof/>
                <w:webHidden/>
              </w:rPr>
              <w:instrText xml:space="preserve"> PAGEREF _Toc108180708 \h </w:instrText>
            </w:r>
            <w:r w:rsidR="00E722EF">
              <w:rPr>
                <w:noProof/>
                <w:webHidden/>
              </w:rPr>
            </w:r>
            <w:r w:rsidR="00E722EF">
              <w:rPr>
                <w:noProof/>
                <w:webHidden/>
              </w:rPr>
              <w:fldChar w:fldCharType="separate"/>
            </w:r>
            <w:r w:rsidR="00E722EF">
              <w:rPr>
                <w:noProof/>
                <w:webHidden/>
              </w:rPr>
              <w:t>14</w:t>
            </w:r>
            <w:r w:rsidR="00E722EF">
              <w:rPr>
                <w:noProof/>
                <w:webHidden/>
              </w:rPr>
              <w:fldChar w:fldCharType="end"/>
            </w:r>
          </w:hyperlink>
        </w:p>
        <w:p w14:paraId="013ADF9A" w14:textId="49CF82DC" w:rsidR="00E722EF" w:rsidRDefault="00E722EF">
          <w:r>
            <w:rPr>
              <w:b/>
              <w:bCs/>
              <w:noProof/>
            </w:rPr>
            <w:fldChar w:fldCharType="end"/>
          </w:r>
        </w:p>
      </w:sdtContent>
    </w:sdt>
    <w:p w14:paraId="19DA892E" w14:textId="769FBF35" w:rsidR="0023080E" w:rsidRDefault="0023080E" w:rsidP="00BF12E4"/>
    <w:p w14:paraId="69775D38" w14:textId="23402F0C" w:rsidR="00E722EF" w:rsidRDefault="00E722EF" w:rsidP="00BF12E4"/>
    <w:p w14:paraId="7059A2F1" w14:textId="5620853F" w:rsidR="00E722EF" w:rsidRDefault="00E722EF" w:rsidP="00E722EF">
      <w:pPr>
        <w:jc w:val="right"/>
      </w:pPr>
    </w:p>
    <w:p w14:paraId="38A493A2" w14:textId="3929C056" w:rsidR="00E722EF" w:rsidRDefault="00E722EF" w:rsidP="00BF12E4"/>
    <w:p w14:paraId="11C46BB3" w14:textId="47E265F8" w:rsidR="00E722EF" w:rsidRDefault="00E722EF" w:rsidP="00BF12E4"/>
    <w:p w14:paraId="536EB23C" w14:textId="52F334F8" w:rsidR="00E722EF" w:rsidRDefault="00E722EF" w:rsidP="00BF12E4"/>
    <w:p w14:paraId="5743E589" w14:textId="0C2674C8" w:rsidR="00E722EF" w:rsidRDefault="00E722EF" w:rsidP="00BF12E4"/>
    <w:p w14:paraId="3A5AE603" w14:textId="539F5779" w:rsidR="00E722EF" w:rsidRDefault="00E722EF" w:rsidP="00BF12E4"/>
    <w:p w14:paraId="22EB9034" w14:textId="77777777" w:rsidR="00E722EF" w:rsidRPr="00BF12E4" w:rsidRDefault="00E722EF" w:rsidP="00BF12E4"/>
    <w:p w14:paraId="6FCD70D1" w14:textId="77777777" w:rsidR="0023080E" w:rsidRPr="00BC75D9" w:rsidRDefault="0023080E" w:rsidP="0023080E">
      <w:pPr>
        <w:pStyle w:val="Heading1"/>
        <w:rPr>
          <w:b/>
          <w:bCs/>
        </w:rPr>
      </w:pPr>
      <w:bookmarkStart w:id="1" w:name="_Toc108180691"/>
      <w:r w:rsidRPr="00BC75D9">
        <w:rPr>
          <w:b/>
          <w:bCs/>
        </w:rPr>
        <w:lastRenderedPageBreak/>
        <w:t>Greater Geelong Focus</w:t>
      </w:r>
      <w:bookmarkEnd w:id="1"/>
    </w:p>
    <w:p w14:paraId="376DEA3A" w14:textId="77777777" w:rsidR="0023080E" w:rsidRPr="00BF12E4" w:rsidRDefault="0023080E" w:rsidP="0023080E">
      <w:pPr>
        <w:pStyle w:val="Heading2"/>
      </w:pPr>
      <w:bookmarkStart w:id="2" w:name="_Toc108180692"/>
      <w:bookmarkStart w:id="3" w:name="_Hlk70863274"/>
      <w:r w:rsidRPr="00BF12E4">
        <w:t>Whittington Works Alliance: Local Jobs, Education and Training Program</w:t>
      </w:r>
      <w:bookmarkEnd w:id="2"/>
    </w:p>
    <w:p w14:paraId="64A7A2A9" w14:textId="71A445AD" w:rsidR="0023080E" w:rsidRPr="00BF12E4" w:rsidRDefault="0023080E" w:rsidP="00BF12E4">
      <w:r w:rsidRPr="00BF12E4">
        <w:t xml:space="preserve">Whittington and Eastern Suburbs, Geelong </w:t>
      </w:r>
      <w:bookmarkStart w:id="4" w:name="_Hlk70863243"/>
      <w:r w:rsidRPr="00BF12E4">
        <w:t>(2013–2020)</w:t>
      </w:r>
      <w:bookmarkEnd w:id="3"/>
      <w:bookmarkEnd w:id="4"/>
    </w:p>
    <w:p w14:paraId="0E181D91" w14:textId="77777777"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Employment, Education</w:t>
      </w:r>
    </w:p>
    <w:p w14:paraId="13C4CA67" w14:textId="06E674DF" w:rsidR="0023080E" w:rsidRPr="0023080E" w:rsidRDefault="0023080E" w:rsidP="0023080E">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Health and Wellbeing</w:t>
      </w:r>
    </w:p>
    <w:p w14:paraId="29960EA5" w14:textId="41E559B0"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Focused on the Geelong’s eastern suburbs, the Whittington Works Alliance (WWA) was a multi-organisation partnership that supports long-term unemployed residents through a pathway to employment program</w:t>
      </w:r>
      <w:r w:rsidR="00B21A7D">
        <w:rPr>
          <w:rFonts w:asciiTheme="majorHAnsi" w:hAnsiTheme="majorHAnsi" w:cstheme="majorHAnsi"/>
          <w:sz w:val="23"/>
          <w:szCs w:val="23"/>
        </w:rPr>
        <w:t>, delivered in Whittington</w:t>
      </w:r>
      <w:r w:rsidRPr="0023080E">
        <w:rPr>
          <w:rFonts w:asciiTheme="majorHAnsi" w:hAnsiTheme="majorHAnsi" w:cstheme="majorHAnsi"/>
          <w:sz w:val="23"/>
          <w:szCs w:val="23"/>
        </w:rPr>
        <w:t>. WWA supported residents from Whittington and surrounding areas to reskill, retrain, and build confidence for work. Jobseekers engaged in the program could undertake courses and qualifications, and “work mentors” helped them to find jobs through connections with local employers. Facilitated by The Gordon TAFE and Deakin University, the training courses include Certificate II in Cleaning Operations and General Automotive; Certificate III in Aged and Community Care and Early Childhood Education; and short courses in Food Processing Skill Set and Bricklaying Skill Set.</w:t>
      </w:r>
    </w:p>
    <w:p w14:paraId="6A630B00" w14:textId="6B712388"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The WWA program sought to address disadvantage and the subsequent health risks. Participants often presented with psycho-social challenges (mental health, alcohol and drug, and personal relationship issues). Through their work mentors, they received support and referral to community service organisations to help address these challenges. As a result of the program, the Eastern Geelong Business Network was formed to connect small to medium enterprises via monthly meetings, where members network and learn new skills (What is Whittington Works? 2013). In 2016 the program received $755,000 from the Victorian Government’s Department of Economic Development, Jobs Transport and Resources (G21, 2016). Partners include The Gordon TAFE, Brotherhood of St Laurence, and Encompass Community Services (Skilling the Bay, 2016, 2017).</w:t>
      </w:r>
    </w:p>
    <w:p w14:paraId="388DC11D" w14:textId="6E6D0A12"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As of 2019, Whittington Works consisted of two State Government funded initiatives: Jobs Victoria Employment Network (JVEN) and Skilling the Bay. Based on an Education to Employment (E2E) model of service delivery, Whittington Works focuses on community engagement, job coaching, and employer engagement. Concern that the program might lose funding arose in 2019 (McDonald et al, 2019), and the state government extended support to June 2020. </w:t>
      </w:r>
    </w:p>
    <w:p w14:paraId="31365A2A"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From 2014–2017, over 70 percent of participants completed courses, with 46 percent securing employment. One ongoing program challenge was helping jobseekers and employers sustain employment beyond the six-month mark. In response, additional investment was allocated to resource and evaluate the program (City of Greater Geelong, 2019). </w:t>
      </w:r>
    </w:p>
    <w:p w14:paraId="0D2DD4ED" w14:textId="77777777" w:rsidR="0023080E" w:rsidRPr="00BC75D9" w:rsidRDefault="0023080E" w:rsidP="0023080E">
      <w:pPr>
        <w:pStyle w:val="Heading1"/>
        <w:rPr>
          <w:b/>
          <w:bCs/>
        </w:rPr>
      </w:pPr>
      <w:bookmarkStart w:id="5" w:name="_Toc108180693"/>
      <w:r w:rsidRPr="00BC75D9">
        <w:rPr>
          <w:b/>
          <w:bCs/>
        </w:rPr>
        <w:t>Victoria (Regional Focus)</w:t>
      </w:r>
      <w:bookmarkEnd w:id="5"/>
    </w:p>
    <w:p w14:paraId="324E4F81" w14:textId="77777777" w:rsidR="0023080E" w:rsidRPr="00BF12E4" w:rsidRDefault="0023080E" w:rsidP="0023080E">
      <w:pPr>
        <w:pStyle w:val="Heading2"/>
      </w:pPr>
      <w:bookmarkStart w:id="6" w:name="_Toc108180694"/>
      <w:bookmarkStart w:id="7" w:name="_Hlk70863328"/>
      <w:r w:rsidRPr="00BF12E4">
        <w:t>GROW: Regional Job Creation Initiative</w:t>
      </w:r>
      <w:bookmarkEnd w:id="6"/>
    </w:p>
    <w:p w14:paraId="7E13E134" w14:textId="590DF114" w:rsidR="0023080E" w:rsidRPr="00BF12E4" w:rsidRDefault="0023080E" w:rsidP="00BF12E4">
      <w:r w:rsidRPr="00BF12E4">
        <w:t>South-Western Victoria (2014–present)</w:t>
      </w:r>
      <w:bookmarkEnd w:id="7"/>
    </w:p>
    <w:p w14:paraId="5BB39368" w14:textId="03D9E409" w:rsidR="0023080E" w:rsidRPr="0023080E" w:rsidRDefault="0023080E" w:rsidP="0023080E">
      <w:pPr>
        <w:spacing w:after="0"/>
        <w:rPr>
          <w:b/>
          <w:bCs/>
          <w:color w:val="595959" w:themeColor="text1" w:themeTint="A6"/>
        </w:rPr>
      </w:pPr>
      <w:r w:rsidRPr="0023080E">
        <w:rPr>
          <w:b/>
          <w:bCs/>
          <w:color w:val="595959" w:themeColor="text1" w:themeTint="A6"/>
        </w:rPr>
        <w:t>Main Practice Domain(s):</w:t>
      </w:r>
      <w:r w:rsidRPr="0023080E">
        <w:rPr>
          <w:b/>
          <w:bCs/>
          <w:color w:val="595959" w:themeColor="text1" w:themeTint="A6"/>
        </w:rPr>
        <w:tab/>
        <w:t>Employment</w:t>
      </w:r>
    </w:p>
    <w:p w14:paraId="706F414A" w14:textId="3F154E2F" w:rsidR="0023080E" w:rsidRPr="0023080E" w:rsidRDefault="0023080E" w:rsidP="0023080E">
      <w:pPr>
        <w:rPr>
          <w:b/>
          <w:bCs/>
          <w:color w:val="595959" w:themeColor="text1" w:themeTint="A6"/>
        </w:rPr>
      </w:pPr>
      <w:r w:rsidRPr="0023080E">
        <w:rPr>
          <w:b/>
          <w:bCs/>
          <w:color w:val="595959" w:themeColor="text1" w:themeTint="A6"/>
        </w:rPr>
        <w:t>Secondary Practice Domain(s):</w:t>
      </w:r>
      <w:r w:rsidRPr="0023080E">
        <w:rPr>
          <w:b/>
          <w:bCs/>
          <w:color w:val="595959" w:themeColor="text1" w:themeTint="A6"/>
        </w:rPr>
        <w:tab/>
        <w:t>Liveability</w:t>
      </w:r>
    </w:p>
    <w:p w14:paraId="7728A5D9"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The G21 Region Opportunities for Work (GROW) initiative aims to address place-based disadvantage by focusing on job creation for vulnerable communities. The initiative was </w:t>
      </w:r>
      <w:r w:rsidRPr="00E722EF">
        <w:rPr>
          <w:rFonts w:asciiTheme="majorHAnsi" w:hAnsiTheme="majorHAnsi" w:cstheme="majorHAnsi"/>
          <w:sz w:val="23"/>
          <w:szCs w:val="23"/>
        </w:rPr>
        <w:lastRenderedPageBreak/>
        <w:t>developed from a G21 Addressing Disadvantage Taskforce Report in 2014, and the “Vision to Address Disadvantage” created by the Give Where You Live Foundation.</w:t>
      </w:r>
    </w:p>
    <w:p w14:paraId="6D6F5A4F"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GROW has received State Government funding ($1 million) and is jointly funded through Regional Development Victoria, Give Where You Live, and five local governments that make up the G21 Geelong Region Alliance (the City of Greater Geelong, Colac Otway Shire, Surfcoast Shire, Golden Plains Shire, and the Borough of Queenscliffe). The GROW program runs in seven target localities across the G21 area: Corio, Norlane, Thomson, Colac (central and east), Whittington, Bell Park, and St Leonards. GROW works closely with key local organisations, including Northern Futures.</w:t>
      </w:r>
    </w:p>
    <w:p w14:paraId="63E878DD"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Several key strategies underpin GROW’s work:</w:t>
      </w:r>
    </w:p>
    <w:p w14:paraId="6871B357" w14:textId="77777777" w:rsidR="0023080E" w:rsidRPr="00E722EF" w:rsidRDefault="0023080E" w:rsidP="00BF12E4">
      <w:pPr>
        <w:numPr>
          <w:ilvl w:val="0"/>
          <w:numId w:val="1"/>
        </w:numPr>
        <w:rPr>
          <w:rFonts w:asciiTheme="majorHAnsi" w:hAnsiTheme="majorHAnsi" w:cstheme="majorHAnsi"/>
          <w:sz w:val="23"/>
          <w:szCs w:val="23"/>
        </w:rPr>
      </w:pPr>
      <w:r w:rsidRPr="00E722EF">
        <w:rPr>
          <w:rFonts w:asciiTheme="majorHAnsi" w:hAnsiTheme="majorHAnsi" w:cstheme="majorHAnsi"/>
          <w:sz w:val="23"/>
          <w:szCs w:val="23"/>
        </w:rPr>
        <w:t xml:space="preserve">Social procurement: encouraging people to buy locally and working with local businesses and suppliers who support vulnerable communities. </w:t>
      </w:r>
    </w:p>
    <w:p w14:paraId="6CF9F083" w14:textId="77777777" w:rsidR="0023080E" w:rsidRPr="00E722EF" w:rsidRDefault="0023080E" w:rsidP="00BF12E4">
      <w:pPr>
        <w:numPr>
          <w:ilvl w:val="0"/>
          <w:numId w:val="1"/>
        </w:numPr>
        <w:rPr>
          <w:rFonts w:asciiTheme="majorHAnsi" w:hAnsiTheme="majorHAnsi" w:cstheme="majorHAnsi"/>
          <w:sz w:val="23"/>
          <w:szCs w:val="23"/>
        </w:rPr>
      </w:pPr>
      <w:r w:rsidRPr="00E722EF">
        <w:rPr>
          <w:rFonts w:asciiTheme="majorHAnsi" w:hAnsiTheme="majorHAnsi" w:cstheme="majorHAnsi"/>
          <w:sz w:val="23"/>
          <w:szCs w:val="23"/>
        </w:rPr>
        <w:t>Place-based investment: encouraging and attracting investment opportunities and fostering entrepreneurship.</w:t>
      </w:r>
    </w:p>
    <w:p w14:paraId="4B8CBE9C" w14:textId="77777777" w:rsidR="0023080E" w:rsidRPr="00E722EF" w:rsidRDefault="0023080E" w:rsidP="00BF12E4">
      <w:pPr>
        <w:numPr>
          <w:ilvl w:val="0"/>
          <w:numId w:val="1"/>
        </w:numPr>
        <w:rPr>
          <w:rFonts w:asciiTheme="majorHAnsi" w:hAnsiTheme="majorHAnsi" w:cstheme="majorHAnsi"/>
          <w:sz w:val="23"/>
          <w:szCs w:val="23"/>
        </w:rPr>
      </w:pPr>
      <w:r w:rsidRPr="00E722EF">
        <w:rPr>
          <w:rFonts w:asciiTheme="majorHAnsi" w:hAnsiTheme="majorHAnsi" w:cstheme="majorHAnsi"/>
          <w:sz w:val="23"/>
          <w:szCs w:val="23"/>
        </w:rPr>
        <w:t xml:space="preserve">Demand-led employment brokerage: identifying and addressing workforce needs through providing required education, training and support for </w:t>
      </w:r>
      <w:proofErr w:type="gramStart"/>
      <w:r w:rsidRPr="00E722EF">
        <w:rPr>
          <w:rFonts w:asciiTheme="majorHAnsi" w:hAnsiTheme="majorHAnsi" w:cstheme="majorHAnsi"/>
          <w:sz w:val="23"/>
          <w:szCs w:val="23"/>
        </w:rPr>
        <w:t>job-seekers</w:t>
      </w:r>
      <w:proofErr w:type="gramEnd"/>
      <w:r w:rsidRPr="00E722EF">
        <w:rPr>
          <w:rFonts w:asciiTheme="majorHAnsi" w:hAnsiTheme="majorHAnsi" w:cstheme="majorHAnsi"/>
          <w:sz w:val="23"/>
          <w:szCs w:val="23"/>
        </w:rPr>
        <w:t xml:space="preserve">. </w:t>
      </w:r>
    </w:p>
    <w:p w14:paraId="71794B99" w14:textId="77777777" w:rsidR="0023080E" w:rsidRPr="00E722EF" w:rsidRDefault="0023080E" w:rsidP="00BF12E4">
      <w:pPr>
        <w:numPr>
          <w:ilvl w:val="0"/>
          <w:numId w:val="1"/>
        </w:numPr>
        <w:rPr>
          <w:rFonts w:asciiTheme="majorHAnsi" w:hAnsiTheme="majorHAnsi" w:cstheme="majorHAnsi"/>
          <w:sz w:val="23"/>
          <w:szCs w:val="23"/>
        </w:rPr>
      </w:pPr>
      <w:r w:rsidRPr="00E722EF">
        <w:rPr>
          <w:rFonts w:asciiTheme="majorHAnsi" w:hAnsiTheme="majorHAnsi" w:cstheme="majorHAnsi"/>
          <w:sz w:val="23"/>
          <w:szCs w:val="23"/>
        </w:rPr>
        <w:t xml:space="preserve">Tracking and measuring job outcomes: GROW tracks and shares progress through a </w:t>
      </w:r>
      <w:r w:rsidRPr="00E722EF">
        <w:rPr>
          <w:rFonts w:asciiTheme="majorHAnsi" w:hAnsiTheme="majorHAnsi" w:cstheme="majorHAnsi"/>
          <w:sz w:val="23"/>
          <w:szCs w:val="23"/>
          <w:u w:val="single"/>
        </w:rPr>
        <w:t>‘Regional Dashboard’</w:t>
      </w:r>
      <w:r w:rsidRPr="00E722EF">
        <w:rPr>
          <w:rFonts w:asciiTheme="majorHAnsi" w:hAnsiTheme="majorHAnsi" w:cstheme="majorHAnsi"/>
          <w:sz w:val="23"/>
          <w:szCs w:val="23"/>
        </w:rPr>
        <w:t xml:space="preserve">, annual </w:t>
      </w:r>
      <w:r w:rsidRPr="00E722EF">
        <w:rPr>
          <w:rFonts w:asciiTheme="majorHAnsi" w:hAnsiTheme="majorHAnsi" w:cstheme="majorHAnsi"/>
          <w:sz w:val="23"/>
          <w:szCs w:val="23"/>
          <w:u w:val="single"/>
        </w:rPr>
        <w:t>‘Report Card’,</w:t>
      </w:r>
      <w:r w:rsidRPr="00E722EF">
        <w:rPr>
          <w:rFonts w:asciiTheme="majorHAnsi" w:hAnsiTheme="majorHAnsi" w:cstheme="majorHAnsi"/>
          <w:sz w:val="23"/>
          <w:szCs w:val="23"/>
        </w:rPr>
        <w:t xml:space="preserve"> and short films and Case Studies known as </w:t>
      </w:r>
      <w:r w:rsidRPr="00E722EF">
        <w:rPr>
          <w:rFonts w:asciiTheme="majorHAnsi" w:hAnsiTheme="majorHAnsi" w:cstheme="majorHAnsi"/>
          <w:sz w:val="23"/>
          <w:szCs w:val="23"/>
          <w:u w:val="single"/>
        </w:rPr>
        <w:t>‘Voices of GROW’</w:t>
      </w:r>
      <w:r w:rsidRPr="00E722EF">
        <w:rPr>
          <w:rFonts w:asciiTheme="majorHAnsi" w:hAnsiTheme="majorHAnsi" w:cstheme="majorHAnsi"/>
          <w:sz w:val="23"/>
          <w:szCs w:val="23"/>
        </w:rPr>
        <w:t>.</w:t>
      </w:r>
    </w:p>
    <w:p w14:paraId="5556201F"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In 2019, </w:t>
      </w:r>
      <w:r w:rsidRPr="00E722EF">
        <w:rPr>
          <w:rFonts w:asciiTheme="majorHAnsi" w:hAnsiTheme="majorHAnsi" w:cstheme="majorHAnsi"/>
          <w:sz w:val="23"/>
          <w:szCs w:val="23"/>
          <w:u w:val="single"/>
        </w:rPr>
        <w:t>GROW reported</w:t>
      </w:r>
      <w:r w:rsidRPr="00E722EF">
        <w:rPr>
          <w:rFonts w:asciiTheme="majorHAnsi" w:hAnsiTheme="majorHAnsi" w:cstheme="majorHAnsi"/>
          <w:sz w:val="23"/>
          <w:szCs w:val="23"/>
        </w:rPr>
        <w:t xml:space="preserve"> the creation of 247 jobs and 39 employment pathways from the target areas since 2016, and 110 signatory organisations have committed to addressing place-based disadvantage through GROW strategies (GROW G21 Region, 2019). The GROW Compact Action Network meets six times yearly to support and guide strategies for social procurement. </w:t>
      </w:r>
    </w:p>
    <w:p w14:paraId="641B22B2"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GROW is governed through a Strategic Directions Group, who meet quarterly. This includes an executive, a small operations team (Director, Engagement Officer, and Evaluation and Data Analyst) and two patrons. Several “champions” have also been appointed from businesses and local organisations to support implementation (GROW, n.d.).</w:t>
      </w:r>
    </w:p>
    <w:p w14:paraId="58B0050A" w14:textId="4A7EFBBE" w:rsidR="0023080E" w:rsidRPr="00E722EF" w:rsidRDefault="004E2080" w:rsidP="00BF12E4">
      <w:pPr>
        <w:rPr>
          <w:rFonts w:asciiTheme="majorHAnsi" w:hAnsiTheme="majorHAnsi" w:cstheme="majorHAnsi"/>
          <w:sz w:val="23"/>
          <w:szCs w:val="23"/>
        </w:rPr>
      </w:pPr>
      <w:hyperlink r:id="rId12" w:history="1">
        <w:r w:rsidR="0023080E" w:rsidRPr="00E722EF">
          <w:rPr>
            <w:rStyle w:val="Hyperlink"/>
            <w:rFonts w:asciiTheme="majorHAnsi" w:hAnsiTheme="majorHAnsi" w:cstheme="majorHAnsi"/>
            <w:sz w:val="23"/>
            <w:szCs w:val="23"/>
          </w:rPr>
          <w:t>An evaluation of GROW</w:t>
        </w:r>
      </w:hyperlink>
      <w:r w:rsidR="0023080E" w:rsidRPr="00E722EF">
        <w:rPr>
          <w:rFonts w:asciiTheme="majorHAnsi" w:hAnsiTheme="majorHAnsi" w:cstheme="majorHAnsi"/>
          <w:sz w:val="23"/>
          <w:szCs w:val="23"/>
        </w:rPr>
        <w:t>, conducted for the Give Where You Live Foundation, found significant learning and change occurring in business, government, and non-government mindsets, which would likely not have occurred without the initiative (Clear Horizon, 2019). The evaluation made several recommendations to help GROW gain momentum and increase impact.</w:t>
      </w:r>
    </w:p>
    <w:p w14:paraId="73BE30D7" w14:textId="77777777" w:rsidR="0023080E" w:rsidRPr="00BC75D9" w:rsidRDefault="0023080E" w:rsidP="0023080E">
      <w:pPr>
        <w:pStyle w:val="Heading1"/>
        <w:rPr>
          <w:b/>
          <w:bCs/>
        </w:rPr>
      </w:pPr>
      <w:bookmarkStart w:id="8" w:name="_Toc108180695"/>
      <w:r w:rsidRPr="00BC75D9">
        <w:rPr>
          <w:b/>
          <w:bCs/>
        </w:rPr>
        <w:t>Victoria (Local Focus)</w:t>
      </w:r>
      <w:bookmarkEnd w:id="8"/>
    </w:p>
    <w:p w14:paraId="62649845" w14:textId="77777777" w:rsidR="0023080E" w:rsidRPr="00BF12E4" w:rsidRDefault="0023080E" w:rsidP="0023080E">
      <w:pPr>
        <w:pStyle w:val="Heading2"/>
      </w:pPr>
      <w:bookmarkStart w:id="9" w:name="_Toc108180696"/>
      <w:bookmarkStart w:id="10" w:name="_Hlk70863653"/>
      <w:r w:rsidRPr="00BF12E4">
        <w:t>Neighbourhood Renewal Program: Place-Based Initiative to Tackle Locational Disadvantage</w:t>
      </w:r>
      <w:bookmarkEnd w:id="9"/>
    </w:p>
    <w:p w14:paraId="5636612B" w14:textId="1BB5601A" w:rsidR="0023080E" w:rsidRPr="00BF12E4" w:rsidRDefault="0023080E" w:rsidP="00BF12E4">
      <w:r w:rsidRPr="00BF12E4">
        <w:t>Corio-Norlane (2003–2010); 20 other sites across Victoria (2002–2010)</w:t>
      </w:r>
      <w:bookmarkEnd w:id="10"/>
    </w:p>
    <w:p w14:paraId="0671C76F" w14:textId="0C2E5AF8" w:rsidR="0023080E" w:rsidRPr="0023080E" w:rsidRDefault="0023080E" w:rsidP="00BF12E4">
      <w:pPr>
        <w:rPr>
          <w:b/>
          <w:bCs/>
          <w:color w:val="595959" w:themeColor="text1" w:themeTint="A6"/>
        </w:rPr>
      </w:pPr>
      <w:r w:rsidRPr="0023080E">
        <w:rPr>
          <w:b/>
          <w:bCs/>
          <w:color w:val="595959" w:themeColor="text1" w:themeTint="A6"/>
        </w:rPr>
        <w:t>All Practice Domains: Employment, Education, Housing, Liveability, Health and Wellbeing</w:t>
      </w:r>
    </w:p>
    <w:p w14:paraId="5A86098E" w14:textId="6964914A"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The Neighbourhood Renewal Program (NRP) was a Victorian State Government initiative that sought to narrow the gap between communities affected by disadvantage and the rest of Victoria (Victorian Government, 2007). Its broad goals were socioeconomic inclusion, social cohesion, and </w:t>
      </w:r>
      <w:r w:rsidRPr="00E722EF">
        <w:rPr>
          <w:rFonts w:asciiTheme="majorHAnsi" w:hAnsiTheme="majorHAnsi" w:cstheme="majorHAnsi"/>
          <w:sz w:val="23"/>
          <w:szCs w:val="23"/>
        </w:rPr>
        <w:lastRenderedPageBreak/>
        <w:t>urban renewal. The program ran in 21 areas with concentrations of poverty, unemployment and public housing. As we have noted, Corio–Norlane was one target site (see Section 2, p. 21, and Section 3, p. 49).</w:t>
      </w:r>
    </w:p>
    <w:p w14:paraId="45D27AB3" w14:textId="5226C2BC"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The NRP sought to target the drivers of inequality (Klein &amp; Knowles, 2005: 3). Its primary goal was to increase local employment, learning and economic activity, but it also aimed to improve service delivery and access, enhance public housing and local amenities, boost community pride and participation, reduce crime, and promote health and wellbeing. Key priorities were early intervention and tackling intergenerational poverty. Comparable overseas initiatives include the New Deal for Communities program (UK), established in 1998 by Tony Blair.</w:t>
      </w:r>
    </w:p>
    <w:p w14:paraId="1B533B37" w14:textId="340993FE"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Built around “place-based partnerships” between government, the community sector, business and local communities, the NRP took a whole-of-government approach. While state-funded, the program was tailored closely to the needs of local communities. Small teams oversaw a range of sub-projects designed to manifest at neighbourhood level. Key initiatives included targeted employment programs (skills registers, “one-stop” job shops for public housing tenants), learning and capacity-building projects (disengaged youth initiative, homework clubs, community IT hubs), social enterprises (catering companies, cafes), new community infrastructure and safety improvements (basketball courts, community gardens, local park and social housing upgrades, bus route variations, demolition of “unsafe” public spaces).</w:t>
      </w:r>
    </w:p>
    <w:p w14:paraId="7C36D9D7" w14:textId="6E7F4E1D"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As discussed in Section 3, benefits of the NRP varied by area, but overall outcomes were positive (Wood &amp; </w:t>
      </w:r>
      <w:proofErr w:type="spellStart"/>
      <w:r w:rsidRPr="00E722EF">
        <w:rPr>
          <w:rFonts w:asciiTheme="majorHAnsi" w:hAnsiTheme="majorHAnsi" w:cstheme="majorHAnsi"/>
          <w:sz w:val="23"/>
          <w:szCs w:val="23"/>
        </w:rPr>
        <w:t>Cigdem</w:t>
      </w:r>
      <w:proofErr w:type="spellEnd"/>
      <w:r w:rsidRPr="00E722EF">
        <w:rPr>
          <w:rFonts w:asciiTheme="majorHAnsi" w:hAnsiTheme="majorHAnsi" w:cstheme="majorHAnsi"/>
          <w:sz w:val="23"/>
          <w:szCs w:val="23"/>
        </w:rPr>
        <w:t xml:space="preserve">, 2012: 6). The program was found to reduce disadvantage, social exclusion, unemployment, crime, and school absenteeism, and increased further education qualifications, community participation, and housing conditions (Neighbourhood Renewal Unit 2008: 1). </w:t>
      </w:r>
      <w:hyperlink r:id="rId13" w:history="1">
        <w:r w:rsidRPr="00E722EF">
          <w:rPr>
            <w:rStyle w:val="Hyperlink"/>
            <w:rFonts w:asciiTheme="majorHAnsi" w:hAnsiTheme="majorHAnsi" w:cstheme="majorHAnsi"/>
            <w:sz w:val="23"/>
            <w:szCs w:val="23"/>
          </w:rPr>
          <w:t>One evaluation</w:t>
        </w:r>
      </w:hyperlink>
      <w:r w:rsidRPr="00E722EF">
        <w:rPr>
          <w:rFonts w:asciiTheme="majorHAnsi" w:hAnsiTheme="majorHAnsi" w:cstheme="majorHAnsi"/>
          <w:sz w:val="23"/>
          <w:szCs w:val="23"/>
        </w:rPr>
        <w:t xml:space="preserve"> found no area-wide health </w:t>
      </w:r>
      <w:proofErr w:type="gramStart"/>
      <w:r w:rsidRPr="00E722EF">
        <w:rPr>
          <w:rFonts w:asciiTheme="majorHAnsi" w:hAnsiTheme="majorHAnsi" w:cstheme="majorHAnsi"/>
          <w:sz w:val="23"/>
          <w:szCs w:val="23"/>
        </w:rPr>
        <w:t>effects, but</w:t>
      </w:r>
      <w:proofErr w:type="gramEnd"/>
      <w:r w:rsidRPr="00E722EF">
        <w:rPr>
          <w:rFonts w:asciiTheme="majorHAnsi" w:hAnsiTheme="majorHAnsi" w:cstheme="majorHAnsi"/>
          <w:sz w:val="23"/>
          <w:szCs w:val="23"/>
        </w:rPr>
        <w:t xml:space="preserve"> noted improved health and life satisfaction amongst program participants (</w:t>
      </w:r>
      <w:proofErr w:type="spellStart"/>
      <w:r w:rsidRPr="00E722EF">
        <w:rPr>
          <w:rFonts w:asciiTheme="majorHAnsi" w:hAnsiTheme="majorHAnsi" w:cstheme="majorHAnsi"/>
          <w:sz w:val="23"/>
          <w:szCs w:val="23"/>
        </w:rPr>
        <w:t>Kelaher</w:t>
      </w:r>
      <w:proofErr w:type="spellEnd"/>
      <w:r w:rsidRPr="00E722EF">
        <w:rPr>
          <w:rFonts w:asciiTheme="majorHAnsi" w:hAnsiTheme="majorHAnsi" w:cstheme="majorHAnsi"/>
          <w:sz w:val="23"/>
          <w:szCs w:val="23"/>
        </w:rPr>
        <w:t xml:space="preserve"> et al, 2010). </w:t>
      </w:r>
    </w:p>
    <w:p w14:paraId="1DDED8A7" w14:textId="24E49C62"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In one study Corio Norlane residents </w:t>
      </w:r>
      <w:hyperlink r:id="rId14">
        <w:r w:rsidRPr="00E722EF">
          <w:rPr>
            <w:rStyle w:val="Hyperlink"/>
            <w:rFonts w:asciiTheme="majorHAnsi" w:hAnsiTheme="majorHAnsi" w:cstheme="majorHAnsi"/>
            <w:sz w:val="23"/>
            <w:szCs w:val="23"/>
          </w:rPr>
          <w:t>reported</w:t>
        </w:r>
      </w:hyperlink>
      <w:r w:rsidRPr="00E722EF">
        <w:rPr>
          <w:rFonts w:asciiTheme="majorHAnsi" w:hAnsiTheme="majorHAnsi" w:cstheme="majorHAnsi"/>
          <w:sz w:val="23"/>
          <w:szCs w:val="23"/>
        </w:rPr>
        <w:t xml:space="preserve"> greater trust in government, increased feelings of influence over decisions affecting the community, and improved community participation (Shield et al, 2011). The NRP generated an average return of $2.20 in non-housing benefits for every $1 spent on renewal. However, it also raised house prices in some areas (Wood, 2014). As noted in Section 3, the gentrification effect of NR programs may </w:t>
      </w:r>
      <w:proofErr w:type="gramStart"/>
      <w:r w:rsidRPr="00E722EF">
        <w:rPr>
          <w:rFonts w:asciiTheme="majorHAnsi" w:hAnsiTheme="majorHAnsi" w:cstheme="majorHAnsi"/>
          <w:sz w:val="23"/>
          <w:szCs w:val="23"/>
        </w:rPr>
        <w:t>decreased</w:t>
      </w:r>
      <w:proofErr w:type="gramEnd"/>
      <w:r w:rsidRPr="00E722EF">
        <w:rPr>
          <w:rFonts w:asciiTheme="majorHAnsi" w:hAnsiTheme="majorHAnsi" w:cstheme="majorHAnsi"/>
          <w:sz w:val="23"/>
          <w:szCs w:val="23"/>
        </w:rPr>
        <w:t xml:space="preserve"> housing affordability and exacerbate disadvantage amongst local communities.</w:t>
      </w:r>
    </w:p>
    <w:p w14:paraId="37CBEDD3" w14:textId="048C76C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Over eight years the NRP spawned numerous local projects. Not all were documented, but two small-scale arts initiatives run in one target site are profiled below.</w:t>
      </w:r>
    </w:p>
    <w:p w14:paraId="256F7A7E" w14:textId="77777777" w:rsidR="0023080E" w:rsidRPr="00BF12E4" w:rsidRDefault="0023080E" w:rsidP="0023080E">
      <w:pPr>
        <w:pStyle w:val="Heading2"/>
      </w:pPr>
      <w:bookmarkStart w:id="11" w:name="_Toc108180697"/>
      <w:r w:rsidRPr="00BF12E4">
        <w:t>Shutterbugs + I Heart Maryborough: Community Photography Projects</w:t>
      </w:r>
      <w:bookmarkEnd w:id="11"/>
    </w:p>
    <w:p w14:paraId="5D68D25E" w14:textId="71501A2A" w:rsidR="0023080E" w:rsidRPr="00BF12E4" w:rsidRDefault="0023080E" w:rsidP="00BF12E4">
      <w:r w:rsidRPr="00BF12E4">
        <w:t>Maryborough, Victoria (2011–2014)</w:t>
      </w:r>
    </w:p>
    <w:p w14:paraId="195B54D1" w14:textId="77777777"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Liveability, Education</w:t>
      </w:r>
    </w:p>
    <w:p w14:paraId="037FF261" w14:textId="18347494" w:rsidR="0023080E" w:rsidRPr="00E722EF" w:rsidRDefault="0023080E" w:rsidP="00E722EF">
      <w:pPr>
        <w:rPr>
          <w:b/>
          <w:bCs/>
          <w:color w:val="595959" w:themeColor="text1" w:themeTint="A6"/>
        </w:rPr>
      </w:pPr>
      <w:r w:rsidRPr="0023080E">
        <w:rPr>
          <w:b/>
          <w:bCs/>
          <w:color w:val="595959" w:themeColor="text1" w:themeTint="A6"/>
        </w:rPr>
        <w:t>Secondary Practice Domain(s):</w:t>
      </w:r>
      <w:r w:rsidRPr="0023080E">
        <w:rPr>
          <w:b/>
          <w:bCs/>
          <w:color w:val="595959" w:themeColor="text1" w:themeTint="A6"/>
        </w:rPr>
        <w:tab/>
        <w:t>Employment, Health and Wellbeing</w:t>
      </w:r>
    </w:p>
    <w:p w14:paraId="43309F59" w14:textId="5E2544BD"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The Victorian Goldfields town of Maryborough (pop. 8000) was a Neighbourhood Renewal site from 2010–2015. The local NRP team ran several community arts projects, including two focused on photography: the Maryborough Photography Project, and the I Heart Maryborough photo competition.</w:t>
      </w:r>
    </w:p>
    <w:p w14:paraId="204EF940" w14:textId="56CB006B"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lastRenderedPageBreak/>
        <w:t>The Maryborough Photography Project (2011) was funded through the NRP and Castanet, a Victorian network of community arts development providers. The project involved a series of workshops led by a professional photographer, and a group exhibition in 2011. The participant group of 10 locals, who named themselves the Shutterbugs, gained skills in exhibition setup, confidence in their work, and positive exposure in the community.</w:t>
      </w:r>
    </w:p>
    <w:p w14:paraId="37361029" w14:textId="44DBE914"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As a result of the program two members joined the local Neighbourhood Renewal Steering, and one member won a state-wide photography competition. Other members began selling their photographic work and providing paid services through wedding photography (Castanet, 2014).</w:t>
      </w:r>
    </w:p>
    <w:p w14:paraId="3016CF69"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The I Heart Maryborough competition (2014) invited residents to send in a captioned photo that showed their pride for being part of the area and local community. Captions followed the format: “I Heart Maryborough…” The competition was run online, and 30 entries were selected for inclusion in an online exhibition. Prizes were awarded based on content quality and caption, rather than photographic skills. The three winning photos were published in the local newspaper, the </w:t>
      </w:r>
      <w:r w:rsidRPr="00E722EF">
        <w:rPr>
          <w:rFonts w:asciiTheme="majorHAnsi" w:hAnsiTheme="majorHAnsi" w:cstheme="majorHAnsi"/>
          <w:i/>
          <w:iCs/>
          <w:sz w:val="23"/>
          <w:szCs w:val="23"/>
        </w:rPr>
        <w:t xml:space="preserve">Maryborough Advertiser </w:t>
      </w:r>
      <w:r w:rsidRPr="00E722EF">
        <w:rPr>
          <w:rFonts w:asciiTheme="majorHAnsi" w:hAnsiTheme="majorHAnsi" w:cstheme="majorHAnsi"/>
          <w:sz w:val="23"/>
          <w:szCs w:val="23"/>
        </w:rPr>
        <w:t>(Maryborough CAG, 2015).</w:t>
      </w:r>
    </w:p>
    <w:p w14:paraId="761FB2CD" w14:textId="77777777" w:rsidR="0023080E" w:rsidRPr="00BC75D9" w:rsidRDefault="0023080E" w:rsidP="0023080E">
      <w:pPr>
        <w:pStyle w:val="Heading1"/>
        <w:rPr>
          <w:b/>
          <w:bCs/>
        </w:rPr>
      </w:pPr>
      <w:bookmarkStart w:id="12" w:name="_Toc108180698"/>
      <w:r w:rsidRPr="00BC75D9">
        <w:rPr>
          <w:b/>
          <w:bCs/>
        </w:rPr>
        <w:t>National Programs</w:t>
      </w:r>
      <w:bookmarkEnd w:id="12"/>
    </w:p>
    <w:p w14:paraId="391B6380" w14:textId="77777777" w:rsidR="0023080E" w:rsidRPr="00BF12E4" w:rsidRDefault="0023080E" w:rsidP="0023080E">
      <w:pPr>
        <w:pStyle w:val="Heading2"/>
      </w:pPr>
      <w:bookmarkStart w:id="13" w:name="_Toc108180699"/>
      <w:bookmarkStart w:id="14" w:name="_Hlk70863951"/>
      <w:r w:rsidRPr="00BF12E4">
        <w:t>Australian Indigenous Mentoring Experience (AIME)</w:t>
      </w:r>
      <w:bookmarkEnd w:id="13"/>
    </w:p>
    <w:p w14:paraId="214E0C3F" w14:textId="48245AF3" w:rsidR="0023080E" w:rsidRPr="00BF12E4" w:rsidRDefault="0023080E" w:rsidP="00BF12E4">
      <w:r w:rsidRPr="00BF12E4">
        <w:t>Australia-wide, scaled to four other countries (2005–present)</w:t>
      </w:r>
      <w:bookmarkEnd w:id="14"/>
    </w:p>
    <w:p w14:paraId="4A389724" w14:textId="3C51E987" w:rsidR="0023080E" w:rsidRPr="0023080E" w:rsidRDefault="0023080E" w:rsidP="0023080E">
      <w:pPr>
        <w:spacing w:after="0"/>
        <w:rPr>
          <w:b/>
          <w:bCs/>
          <w:color w:val="595959" w:themeColor="text1" w:themeTint="A6"/>
        </w:rPr>
      </w:pPr>
      <w:r w:rsidRPr="0023080E">
        <w:rPr>
          <w:b/>
          <w:bCs/>
          <w:color w:val="595959" w:themeColor="text1" w:themeTint="A6"/>
        </w:rPr>
        <w:t>Main Practice Domain(s):</w:t>
      </w:r>
      <w:r w:rsidRPr="0023080E">
        <w:rPr>
          <w:b/>
          <w:bCs/>
          <w:color w:val="595959" w:themeColor="text1" w:themeTint="A6"/>
        </w:rPr>
        <w:tab/>
        <w:t>Education</w:t>
      </w:r>
    </w:p>
    <w:p w14:paraId="5CF6BDA7" w14:textId="35C1F571" w:rsidR="0023080E" w:rsidRPr="0023080E" w:rsidRDefault="0023080E" w:rsidP="0023080E">
      <w:pPr>
        <w:rPr>
          <w:b/>
          <w:bCs/>
          <w:color w:val="595959" w:themeColor="text1" w:themeTint="A6"/>
        </w:rPr>
      </w:pPr>
      <w:r w:rsidRPr="0023080E">
        <w:rPr>
          <w:b/>
          <w:bCs/>
          <w:color w:val="595959" w:themeColor="text1" w:themeTint="A6"/>
        </w:rPr>
        <w:t>Secondary Practice Domain(s):</w:t>
      </w:r>
      <w:r w:rsidRPr="0023080E">
        <w:rPr>
          <w:b/>
          <w:bCs/>
          <w:color w:val="595959" w:themeColor="text1" w:themeTint="A6"/>
        </w:rPr>
        <w:tab/>
        <w:t>Employment, Health and Wellbeing</w:t>
      </w:r>
    </w:p>
    <w:p w14:paraId="453D25AB" w14:textId="6CF1CFBB"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The Australian Indigenous Mentoring Experience (AIME) is an educational mentoring program for high school students (aged 12–18) across Australia and beyond. The program aims to support Indigenous and marginalised students to complete their education and secure opportunities in further education and employment after completing Year 12.</w:t>
      </w:r>
    </w:p>
    <w:p w14:paraId="4BE4ABF3" w14:textId="13BB376A"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One key aim is to close the gap between Indigenous and non-Indigenous educational outcomes by connecting Indigenous students with university student mentors (AIME Mentoring, n.d.; Social Ventures Australia, n.d.). Since its inception, the program has expanded to include students from a range of cultural backgrounds, including young African Australians (</w:t>
      </w:r>
      <w:proofErr w:type="spellStart"/>
      <w:r w:rsidRPr="00E722EF">
        <w:rPr>
          <w:rFonts w:asciiTheme="majorHAnsi" w:hAnsiTheme="majorHAnsi" w:cstheme="majorHAnsi"/>
          <w:sz w:val="23"/>
          <w:szCs w:val="23"/>
        </w:rPr>
        <w:t>Fulloon</w:t>
      </w:r>
      <w:proofErr w:type="spellEnd"/>
      <w:r w:rsidRPr="00E722EF">
        <w:rPr>
          <w:rFonts w:asciiTheme="majorHAnsi" w:hAnsiTheme="majorHAnsi" w:cstheme="majorHAnsi"/>
          <w:sz w:val="23"/>
          <w:szCs w:val="23"/>
        </w:rPr>
        <w:t>, 2019).</w:t>
      </w:r>
    </w:p>
    <w:p w14:paraId="4A0365A1" w14:textId="1049A85D"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Primarily volunteer-based, the program was founded by Bundjalung man Jack Manning Bancroft when he was aged 19. Participants are provided with free academic tutoring (20–30 sessions annually), “Theatre of Education” sessions (45 x one-hour sessions), and one-to-one career transitions support for Year 12 participants. Between 2005 to 2018 the program grew from 25 to 10,000 students, and from 965 university mentors to over 3000. The scalable program has now expanded from Australia to four other countries: Uganda, South Africa, Nigeria, and the US (</w:t>
      </w:r>
      <w:proofErr w:type="spellStart"/>
      <w:r w:rsidRPr="00E722EF">
        <w:rPr>
          <w:rFonts w:asciiTheme="majorHAnsi" w:hAnsiTheme="majorHAnsi" w:cstheme="majorHAnsi"/>
          <w:sz w:val="23"/>
          <w:szCs w:val="23"/>
        </w:rPr>
        <w:t>Fulloon</w:t>
      </w:r>
      <w:proofErr w:type="spellEnd"/>
      <w:r w:rsidRPr="00E722EF">
        <w:rPr>
          <w:rFonts w:asciiTheme="majorHAnsi" w:hAnsiTheme="majorHAnsi" w:cstheme="majorHAnsi"/>
          <w:sz w:val="23"/>
          <w:szCs w:val="23"/>
        </w:rPr>
        <w:t>, 2019).</w:t>
      </w:r>
    </w:p>
    <w:p w14:paraId="700A4E3A" w14:textId="74CCBCDE"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A research partnership has been forged with the University of Wollongong (UOW) and the University of Technology, Sydney (UTS) to better understand the program’s impact. </w:t>
      </w:r>
      <w:hyperlink r:id="rId15" w:history="1">
        <w:r w:rsidRPr="00E722EF">
          <w:rPr>
            <w:rStyle w:val="Hyperlink"/>
            <w:rFonts w:asciiTheme="majorHAnsi" w:hAnsiTheme="majorHAnsi" w:cstheme="majorHAnsi"/>
            <w:sz w:val="23"/>
            <w:szCs w:val="23"/>
          </w:rPr>
          <w:t>An evaluation</w:t>
        </w:r>
      </w:hyperlink>
      <w:r w:rsidRPr="00E722EF">
        <w:rPr>
          <w:rFonts w:asciiTheme="majorHAnsi" w:hAnsiTheme="majorHAnsi" w:cstheme="majorHAnsi"/>
          <w:sz w:val="23"/>
          <w:szCs w:val="23"/>
        </w:rPr>
        <w:t xml:space="preserve"> of its first five years found positive results. Around 88 percent of participants completed high school, with 36 percent gaining university entry in 2011 (Harwood et al, 2013).</w:t>
      </w:r>
    </w:p>
    <w:p w14:paraId="6BA78B51" w14:textId="0A5A112F"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A 2014</w:t>
      </w:r>
      <w:hyperlink r:id="rId16" w:history="1">
        <w:r w:rsidRPr="00E722EF">
          <w:rPr>
            <w:rStyle w:val="Hyperlink"/>
            <w:rFonts w:asciiTheme="majorHAnsi" w:hAnsiTheme="majorHAnsi" w:cstheme="majorHAnsi"/>
            <w:sz w:val="23"/>
            <w:szCs w:val="23"/>
          </w:rPr>
          <w:t xml:space="preserve"> evaluation</w:t>
        </w:r>
      </w:hyperlink>
      <w:r w:rsidRPr="00E722EF">
        <w:rPr>
          <w:rFonts w:asciiTheme="majorHAnsi" w:hAnsiTheme="majorHAnsi" w:cstheme="majorHAnsi"/>
          <w:sz w:val="23"/>
          <w:szCs w:val="23"/>
        </w:rPr>
        <w:t xml:space="preserve"> found that the program’s junior-high Indigenous students were academically on parity with non-Indigenous students, while the senior-high students were close to parity, and </w:t>
      </w:r>
      <w:r w:rsidRPr="00E722EF">
        <w:rPr>
          <w:rFonts w:asciiTheme="majorHAnsi" w:hAnsiTheme="majorHAnsi" w:cstheme="majorHAnsi"/>
          <w:sz w:val="23"/>
          <w:szCs w:val="23"/>
        </w:rPr>
        <w:lastRenderedPageBreak/>
        <w:t xml:space="preserve">the Year 12 cohort outperformed national non-Indigenous rates. Of the 2014 cohort, 76 percent transitioned into university, further education, training, or employment (Priestly et al., 2015). KMPG </w:t>
      </w:r>
      <w:hyperlink r:id="rId17" w:history="1">
        <w:r w:rsidRPr="00E722EF">
          <w:rPr>
            <w:rStyle w:val="Hyperlink"/>
            <w:rFonts w:asciiTheme="majorHAnsi" w:hAnsiTheme="majorHAnsi" w:cstheme="majorHAnsi"/>
            <w:sz w:val="23"/>
            <w:szCs w:val="23"/>
          </w:rPr>
          <w:t>evaluations</w:t>
        </w:r>
      </w:hyperlink>
      <w:r w:rsidRPr="00E722EF">
        <w:rPr>
          <w:rFonts w:asciiTheme="majorHAnsi" w:hAnsiTheme="majorHAnsi" w:cstheme="majorHAnsi"/>
          <w:sz w:val="23"/>
          <w:szCs w:val="23"/>
        </w:rPr>
        <w:t xml:space="preserve"> found that found that for every dollar invested in the program, $8.90 of direct benefits were generated to society (KPMG, 2018), and that an AIME mentee who attends university will earn up to $332,000 more over their lifetime than an Indigenous student who does not complete high school (KPMG, 2013). The program’s US rollout is the focus of a Harvard University Business School </w:t>
      </w:r>
      <w:hyperlink r:id="rId18" w:history="1">
        <w:r w:rsidRPr="00E722EF">
          <w:rPr>
            <w:rStyle w:val="Hyperlink"/>
            <w:rFonts w:asciiTheme="majorHAnsi" w:hAnsiTheme="majorHAnsi" w:cstheme="majorHAnsi"/>
            <w:sz w:val="23"/>
            <w:szCs w:val="23"/>
          </w:rPr>
          <w:t>case study</w:t>
        </w:r>
      </w:hyperlink>
      <w:r w:rsidRPr="00E722EF">
        <w:rPr>
          <w:rFonts w:asciiTheme="majorHAnsi" w:hAnsiTheme="majorHAnsi" w:cstheme="majorHAnsi"/>
          <w:sz w:val="23"/>
          <w:szCs w:val="23"/>
        </w:rPr>
        <w:t xml:space="preserve"> (</w:t>
      </w:r>
      <w:proofErr w:type="spellStart"/>
      <w:r w:rsidRPr="00E722EF">
        <w:rPr>
          <w:rFonts w:asciiTheme="majorHAnsi" w:hAnsiTheme="majorHAnsi" w:cstheme="majorHAnsi"/>
          <w:sz w:val="23"/>
          <w:szCs w:val="23"/>
        </w:rPr>
        <w:t>Barlett</w:t>
      </w:r>
      <w:proofErr w:type="spellEnd"/>
      <w:r w:rsidRPr="00E722EF">
        <w:rPr>
          <w:rFonts w:asciiTheme="majorHAnsi" w:hAnsiTheme="majorHAnsi" w:cstheme="majorHAnsi"/>
          <w:sz w:val="23"/>
          <w:szCs w:val="23"/>
        </w:rPr>
        <w:t>, 2019).</w:t>
      </w:r>
    </w:p>
    <w:p w14:paraId="1598A242" w14:textId="77777777" w:rsidR="0023080E" w:rsidRPr="00BC75D9" w:rsidRDefault="0023080E" w:rsidP="0023080E">
      <w:pPr>
        <w:pStyle w:val="Heading1"/>
        <w:rPr>
          <w:b/>
          <w:bCs/>
        </w:rPr>
      </w:pPr>
      <w:bookmarkStart w:id="15" w:name="_Toc108180700"/>
      <w:r w:rsidRPr="00BC75D9">
        <w:rPr>
          <w:b/>
          <w:bCs/>
        </w:rPr>
        <w:t>International Case Studies</w:t>
      </w:r>
      <w:bookmarkEnd w:id="15"/>
    </w:p>
    <w:p w14:paraId="1B956CF6" w14:textId="77777777" w:rsidR="0023080E" w:rsidRPr="00BF12E4" w:rsidRDefault="0023080E" w:rsidP="0023080E">
      <w:pPr>
        <w:pStyle w:val="Heading2"/>
      </w:pPr>
      <w:bookmarkStart w:id="16" w:name="_Toc108180701"/>
      <w:bookmarkStart w:id="17" w:name="_Hlk70863965"/>
      <w:r w:rsidRPr="00BF12E4">
        <w:t>Best Babies Zone: Place-based Multisector Program to Reduce Health Inequalities</w:t>
      </w:r>
      <w:bookmarkEnd w:id="16"/>
    </w:p>
    <w:p w14:paraId="63F87383" w14:textId="1641FE80" w:rsidR="0023080E" w:rsidRPr="0023080E" w:rsidRDefault="0023080E" w:rsidP="00BF12E4">
      <w:r w:rsidRPr="00BF12E4">
        <w:t>Castlemont, East Oakland, California (2012–2015); 10 other US locations (2012–present)</w:t>
      </w:r>
      <w:bookmarkEnd w:id="17"/>
    </w:p>
    <w:p w14:paraId="4D7446B3" w14:textId="4BA4DCA9"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Health and Wellbeing, Liveability</w:t>
      </w:r>
    </w:p>
    <w:p w14:paraId="3EE77F02" w14:textId="0EB22E84" w:rsidR="0023080E" w:rsidRPr="0023080E" w:rsidRDefault="0023080E" w:rsidP="0023080E">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Employment, Education</w:t>
      </w:r>
    </w:p>
    <w:p w14:paraId="7188CBFF" w14:textId="76FF9AFA"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Located on the San Francisco Bay, East Oakland is an urban area of concentrated disadvantage and historic disinvestment, with high unemployment, violent crime, and health inequalities. The population is culturally diverse and majority non-white. Almost 50 percent of residents live in poverty, and 40 percent of students drop out of high school (Chow et al, 2018 :3). East Oakland is a USDA-designated “food desert”, a low-income area with limited access to fresh, nutritious and affordable food.</w:t>
      </w:r>
    </w:p>
    <w:p w14:paraId="2D00F711" w14:textId="46E96AF8"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In 2012, East Oakland’s Castlemont neighbourhood (pop. 5000) was one of three US communities chosen for a three-year pilot program, the Best Babies Zone (BBZ) Initiative. BBZ is a national, multi-year, place-based program that seeks to reduce infant mortality rates in select urban neighbourhoods. More widely, it aims to mobilise and empower residents, change children’s life trajectories, and improve conditions across target communities by addressing the social determinants of health.</w:t>
      </w:r>
    </w:p>
    <w:p w14:paraId="09433D8A" w14:textId="03B99991"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The BBZ program emphasises community-led and participatory approaches. Grounded in Life Course Theory (Deme, 2017), it was developed by public health experts at the University of California, Berkley. Target localities have strong community pride, thriving local organisations, income inequality, limited economic opportunities, and poor birth outcomes linked to racial disparities. BBZ is run by local lead agencies, supported by a national Technical Assistance </w:t>
      </w:r>
      <w:proofErr w:type="spellStart"/>
      <w:r w:rsidRPr="00E722EF">
        <w:rPr>
          <w:rFonts w:asciiTheme="majorHAnsi" w:hAnsiTheme="majorHAnsi" w:cstheme="majorHAnsi"/>
          <w:sz w:val="23"/>
          <w:szCs w:val="23"/>
        </w:rPr>
        <w:t>Center</w:t>
      </w:r>
      <w:proofErr w:type="spellEnd"/>
      <w:r w:rsidRPr="00E722EF">
        <w:rPr>
          <w:rFonts w:asciiTheme="majorHAnsi" w:hAnsiTheme="majorHAnsi" w:cstheme="majorHAnsi"/>
          <w:sz w:val="23"/>
          <w:szCs w:val="23"/>
        </w:rPr>
        <w:t>. The Castlemont program was led by Building Blocks, a division of local government, in partnership with multiple local agencies.</w:t>
      </w:r>
    </w:p>
    <w:p w14:paraId="739C982B"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Activities in the Castlemont BBZ program included:</w:t>
      </w:r>
    </w:p>
    <w:p w14:paraId="59869CEF" w14:textId="77777777" w:rsidR="0023080E" w:rsidRPr="00E722EF" w:rsidRDefault="0023080E" w:rsidP="00BF12E4">
      <w:pPr>
        <w:numPr>
          <w:ilvl w:val="0"/>
          <w:numId w:val="2"/>
        </w:numPr>
        <w:rPr>
          <w:rFonts w:asciiTheme="majorHAnsi" w:hAnsiTheme="majorHAnsi" w:cstheme="majorHAnsi"/>
          <w:sz w:val="23"/>
          <w:szCs w:val="23"/>
        </w:rPr>
      </w:pPr>
      <w:r w:rsidRPr="00E722EF">
        <w:rPr>
          <w:rFonts w:asciiTheme="majorHAnsi" w:hAnsiTheme="majorHAnsi" w:cstheme="majorHAnsi"/>
          <w:sz w:val="23"/>
          <w:szCs w:val="23"/>
        </w:rPr>
        <w:t>Summer Block Party where residents shared ideas for a thriving community</w:t>
      </w:r>
    </w:p>
    <w:p w14:paraId="1C3F6BA5" w14:textId="77777777" w:rsidR="0023080E" w:rsidRPr="00E722EF" w:rsidRDefault="0023080E" w:rsidP="00BF12E4">
      <w:pPr>
        <w:numPr>
          <w:ilvl w:val="0"/>
          <w:numId w:val="2"/>
        </w:numPr>
        <w:rPr>
          <w:rFonts w:asciiTheme="majorHAnsi" w:hAnsiTheme="majorHAnsi" w:cstheme="majorHAnsi"/>
          <w:sz w:val="23"/>
          <w:szCs w:val="23"/>
        </w:rPr>
      </w:pPr>
      <w:r w:rsidRPr="00E722EF">
        <w:rPr>
          <w:rFonts w:asciiTheme="majorHAnsi" w:hAnsiTheme="majorHAnsi" w:cstheme="majorHAnsi"/>
          <w:sz w:val="23"/>
          <w:szCs w:val="23"/>
        </w:rPr>
        <w:t>Design Sprints: local agency staff met weekly, generating ideas via Design Thinking to stimulate the local economy (</w:t>
      </w:r>
      <w:hyperlink r:id="rId19">
        <w:r w:rsidRPr="00E722EF">
          <w:rPr>
            <w:rStyle w:val="Hyperlink"/>
            <w:rFonts w:asciiTheme="majorHAnsi" w:hAnsiTheme="majorHAnsi" w:cstheme="majorHAnsi"/>
            <w:sz w:val="23"/>
            <w:szCs w:val="23"/>
          </w:rPr>
          <w:t>evaluated here</w:t>
        </w:r>
      </w:hyperlink>
      <w:r w:rsidRPr="00E722EF">
        <w:rPr>
          <w:rFonts w:asciiTheme="majorHAnsi" w:hAnsiTheme="majorHAnsi" w:cstheme="majorHAnsi"/>
          <w:sz w:val="23"/>
          <w:szCs w:val="23"/>
        </w:rPr>
        <w:t xml:space="preserve">: </w:t>
      </w:r>
      <w:proofErr w:type="spellStart"/>
      <w:r w:rsidRPr="00E722EF">
        <w:rPr>
          <w:rFonts w:asciiTheme="majorHAnsi" w:hAnsiTheme="majorHAnsi" w:cstheme="majorHAnsi"/>
          <w:sz w:val="23"/>
          <w:szCs w:val="23"/>
        </w:rPr>
        <w:t>Vechakul</w:t>
      </w:r>
      <w:proofErr w:type="spellEnd"/>
      <w:r w:rsidRPr="00E722EF">
        <w:rPr>
          <w:rFonts w:asciiTheme="majorHAnsi" w:hAnsiTheme="majorHAnsi" w:cstheme="majorHAnsi"/>
          <w:sz w:val="23"/>
          <w:szCs w:val="23"/>
        </w:rPr>
        <w:t>, 2014)</w:t>
      </w:r>
    </w:p>
    <w:p w14:paraId="48116538" w14:textId="77777777" w:rsidR="0023080E" w:rsidRPr="00E722EF" w:rsidRDefault="0023080E" w:rsidP="00BF12E4">
      <w:pPr>
        <w:numPr>
          <w:ilvl w:val="0"/>
          <w:numId w:val="2"/>
        </w:numPr>
        <w:rPr>
          <w:rFonts w:asciiTheme="majorHAnsi" w:hAnsiTheme="majorHAnsi" w:cstheme="majorHAnsi"/>
          <w:sz w:val="23"/>
          <w:szCs w:val="23"/>
        </w:rPr>
      </w:pPr>
      <w:r w:rsidRPr="00E722EF">
        <w:rPr>
          <w:rFonts w:asciiTheme="majorHAnsi" w:hAnsiTheme="majorHAnsi" w:cstheme="majorHAnsi"/>
          <w:sz w:val="23"/>
          <w:szCs w:val="23"/>
        </w:rPr>
        <w:t>East Oakland Innovators: leadership program supporting residents to develop projects to meet identified community priorities (safety and violence, local economy, community-building, education), using Design Thinking strategies</w:t>
      </w:r>
    </w:p>
    <w:p w14:paraId="5E64EBBC" w14:textId="77777777" w:rsidR="0023080E" w:rsidRPr="00E722EF" w:rsidRDefault="0023080E" w:rsidP="00BF12E4">
      <w:pPr>
        <w:numPr>
          <w:ilvl w:val="0"/>
          <w:numId w:val="2"/>
        </w:numPr>
        <w:rPr>
          <w:rFonts w:asciiTheme="majorHAnsi" w:hAnsiTheme="majorHAnsi" w:cstheme="majorHAnsi"/>
          <w:sz w:val="23"/>
          <w:szCs w:val="23"/>
        </w:rPr>
      </w:pPr>
      <w:r w:rsidRPr="00E722EF">
        <w:rPr>
          <w:rFonts w:asciiTheme="majorHAnsi" w:hAnsiTheme="majorHAnsi" w:cstheme="majorHAnsi"/>
          <w:sz w:val="23"/>
          <w:szCs w:val="23"/>
        </w:rPr>
        <w:lastRenderedPageBreak/>
        <w:t>new childhood hub, playgroups, community cafes, fatherhood groups, MCH home visits, youth storefront murals</w:t>
      </w:r>
    </w:p>
    <w:p w14:paraId="60B475B2" w14:textId="77777777" w:rsidR="0023080E" w:rsidRPr="00E722EF" w:rsidRDefault="0023080E" w:rsidP="00BF12E4">
      <w:pPr>
        <w:numPr>
          <w:ilvl w:val="0"/>
          <w:numId w:val="2"/>
        </w:numPr>
        <w:rPr>
          <w:rFonts w:asciiTheme="majorHAnsi" w:hAnsiTheme="majorHAnsi" w:cstheme="majorHAnsi"/>
          <w:sz w:val="23"/>
          <w:szCs w:val="23"/>
        </w:rPr>
      </w:pPr>
      <w:r w:rsidRPr="00E722EF">
        <w:rPr>
          <w:rFonts w:asciiTheme="majorHAnsi" w:hAnsiTheme="majorHAnsi" w:cstheme="majorHAnsi"/>
          <w:sz w:val="23"/>
          <w:szCs w:val="23"/>
        </w:rPr>
        <w:t>resident-run mini-grant program, plus financial literacy classes, business development, and entrepreneurship training</w:t>
      </w:r>
    </w:p>
    <w:p w14:paraId="49093631" w14:textId="049BF17E" w:rsidR="0023080E" w:rsidRPr="00E722EF" w:rsidRDefault="0023080E" w:rsidP="00BF12E4">
      <w:pPr>
        <w:numPr>
          <w:ilvl w:val="0"/>
          <w:numId w:val="2"/>
        </w:numPr>
        <w:rPr>
          <w:rFonts w:asciiTheme="majorHAnsi" w:hAnsiTheme="majorHAnsi" w:cstheme="majorHAnsi"/>
          <w:sz w:val="23"/>
          <w:szCs w:val="23"/>
        </w:rPr>
      </w:pPr>
      <w:r w:rsidRPr="00E722EF">
        <w:rPr>
          <w:rFonts w:asciiTheme="majorHAnsi" w:hAnsiTheme="majorHAnsi" w:cstheme="majorHAnsi"/>
          <w:sz w:val="23"/>
          <w:szCs w:val="23"/>
        </w:rPr>
        <w:t xml:space="preserve">monthly Community Market at Castlemont High School, in partnership with Youth </w:t>
      </w:r>
      <w:proofErr w:type="spellStart"/>
      <w:r w:rsidRPr="00E722EF">
        <w:rPr>
          <w:rFonts w:asciiTheme="majorHAnsi" w:hAnsiTheme="majorHAnsi" w:cstheme="majorHAnsi"/>
          <w:sz w:val="23"/>
          <w:szCs w:val="23"/>
        </w:rPr>
        <w:t>UpRising</w:t>
      </w:r>
      <w:proofErr w:type="spellEnd"/>
      <w:r w:rsidRPr="00E722EF">
        <w:rPr>
          <w:rFonts w:asciiTheme="majorHAnsi" w:hAnsiTheme="majorHAnsi" w:cstheme="majorHAnsi"/>
          <w:sz w:val="23"/>
          <w:szCs w:val="23"/>
        </w:rPr>
        <w:t>, a local community development organisation (</w:t>
      </w:r>
      <w:proofErr w:type="spellStart"/>
      <w:r w:rsidRPr="00E722EF">
        <w:rPr>
          <w:rFonts w:asciiTheme="majorHAnsi" w:hAnsiTheme="majorHAnsi" w:cstheme="majorHAnsi"/>
          <w:sz w:val="23"/>
          <w:szCs w:val="23"/>
        </w:rPr>
        <w:t>Iton</w:t>
      </w:r>
      <w:proofErr w:type="spellEnd"/>
      <w:r w:rsidRPr="00E722EF">
        <w:rPr>
          <w:rFonts w:asciiTheme="majorHAnsi" w:hAnsiTheme="majorHAnsi" w:cstheme="majorHAnsi"/>
          <w:sz w:val="23"/>
          <w:szCs w:val="23"/>
        </w:rPr>
        <w:t xml:space="preserve"> et al, 2016).</w:t>
      </w:r>
    </w:p>
    <w:p w14:paraId="5F05E1D2" w14:textId="6D8C131C"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The community market provided a launchpad for small businesses, a regular all-ages gathering to foster community-building, and leadership opportunities through a vendors’ association. In 2014 the market hosted 20 vendors, generated US$3212 in profit, and attracted 585 attendees. Rising sales and attendance indicated community support (</w:t>
      </w:r>
      <w:proofErr w:type="spellStart"/>
      <w:r w:rsidRPr="00E722EF">
        <w:rPr>
          <w:rFonts w:asciiTheme="majorHAnsi" w:hAnsiTheme="majorHAnsi" w:cstheme="majorHAnsi"/>
          <w:sz w:val="23"/>
          <w:szCs w:val="23"/>
        </w:rPr>
        <w:t>Vechakul</w:t>
      </w:r>
      <w:proofErr w:type="spellEnd"/>
      <w:r w:rsidRPr="00E722EF">
        <w:rPr>
          <w:rFonts w:asciiTheme="majorHAnsi" w:hAnsiTheme="majorHAnsi" w:cstheme="majorHAnsi"/>
          <w:sz w:val="23"/>
          <w:szCs w:val="23"/>
        </w:rPr>
        <w:t xml:space="preserve"> et al., 2015: 2557). Specific o</w:t>
      </w:r>
      <w:proofErr w:type="spellStart"/>
      <w:r w:rsidRPr="00E722EF">
        <w:rPr>
          <w:rFonts w:asciiTheme="majorHAnsi" w:hAnsiTheme="majorHAnsi" w:cstheme="majorHAnsi"/>
          <w:sz w:val="23"/>
          <w:szCs w:val="23"/>
          <w:lang w:val="en-GB"/>
        </w:rPr>
        <w:t>utcome</w:t>
      </w:r>
      <w:proofErr w:type="spellEnd"/>
      <w:r w:rsidRPr="00E722EF">
        <w:rPr>
          <w:rFonts w:asciiTheme="majorHAnsi" w:hAnsiTheme="majorHAnsi" w:cstheme="majorHAnsi"/>
          <w:sz w:val="23"/>
          <w:szCs w:val="23"/>
          <w:lang w:val="en-GB"/>
        </w:rPr>
        <w:t xml:space="preserve"> data for BBZ Castlemont is unavailable, but a </w:t>
      </w:r>
      <w:hyperlink r:id="rId20">
        <w:r w:rsidRPr="00E722EF">
          <w:rPr>
            <w:rStyle w:val="Hyperlink"/>
            <w:rFonts w:asciiTheme="majorHAnsi" w:hAnsiTheme="majorHAnsi" w:cstheme="majorHAnsi"/>
            <w:sz w:val="23"/>
            <w:szCs w:val="23"/>
            <w:lang w:val="en-GB"/>
          </w:rPr>
          <w:t>national evaluation</w:t>
        </w:r>
      </w:hyperlink>
      <w:r w:rsidRPr="00E722EF">
        <w:rPr>
          <w:rFonts w:asciiTheme="majorHAnsi" w:hAnsiTheme="majorHAnsi" w:cstheme="majorHAnsi"/>
          <w:sz w:val="23"/>
          <w:szCs w:val="23"/>
          <w:lang w:val="en-GB"/>
        </w:rPr>
        <w:t xml:space="preserve"> (</w:t>
      </w:r>
      <w:proofErr w:type="spellStart"/>
      <w:r w:rsidRPr="00E722EF">
        <w:rPr>
          <w:rFonts w:asciiTheme="majorHAnsi" w:hAnsiTheme="majorHAnsi" w:cstheme="majorHAnsi"/>
          <w:sz w:val="23"/>
          <w:szCs w:val="23"/>
          <w:lang w:val="en-GB"/>
        </w:rPr>
        <w:t>Harder+Company</w:t>
      </w:r>
      <w:proofErr w:type="spellEnd"/>
      <w:r w:rsidRPr="00E722EF">
        <w:rPr>
          <w:rFonts w:asciiTheme="majorHAnsi" w:hAnsiTheme="majorHAnsi" w:cstheme="majorHAnsi"/>
          <w:sz w:val="23"/>
          <w:szCs w:val="23"/>
          <w:lang w:val="en-GB"/>
        </w:rPr>
        <w:t>, 2018) noted key success factors: authentic engagement with residents, including “community champions”; effective staff support; and building strong local multi-sector partnerships.</w:t>
      </w:r>
    </w:p>
    <w:p w14:paraId="5FB64643" w14:textId="31C61D0C"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BBZ is guided by four strategies: zonal focus (place-based, small geographic areas); multi-sector collaboration (economic development, community services, health, and education); community-driven action (residents’ input drives the program); and social movement cultivation (advancing racial and social justice) (Pies et al, 2016: 5).</w:t>
      </w:r>
    </w:p>
    <w:p w14:paraId="6EB25A91"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The W.K. Kellogg foundation is the program’s primary funder. In May 2019 program stewardship transferred from UC Berkeley to </w:t>
      </w:r>
      <w:proofErr w:type="spellStart"/>
      <w:r w:rsidRPr="00E722EF">
        <w:rPr>
          <w:rFonts w:asciiTheme="majorHAnsi" w:hAnsiTheme="majorHAnsi" w:cstheme="majorHAnsi"/>
          <w:sz w:val="23"/>
          <w:szCs w:val="23"/>
        </w:rPr>
        <w:t>CityMatCH</w:t>
      </w:r>
      <w:proofErr w:type="spellEnd"/>
      <w:r w:rsidRPr="00E722EF">
        <w:rPr>
          <w:rFonts w:asciiTheme="majorHAnsi" w:hAnsiTheme="majorHAnsi" w:cstheme="majorHAnsi"/>
          <w:sz w:val="23"/>
          <w:szCs w:val="23"/>
        </w:rPr>
        <w:t>, a national Maternal and Child Health organisation (University of Nebraska Medical Centre). BBZ has run in 11 neighbourhoods across the US.</w:t>
      </w:r>
    </w:p>
    <w:p w14:paraId="4B4971E6" w14:textId="77777777" w:rsidR="0023080E" w:rsidRPr="00BF12E4" w:rsidRDefault="0023080E" w:rsidP="0023080E">
      <w:pPr>
        <w:pStyle w:val="Heading2"/>
      </w:pPr>
      <w:bookmarkStart w:id="18" w:name="_Toc108180702"/>
      <w:bookmarkStart w:id="19" w:name="_Hlk70864159"/>
      <w:r w:rsidRPr="00BF12E4">
        <w:t>Sustainable South Bronx Project: Urban Greening, Training, and Local Job Creation</w:t>
      </w:r>
      <w:bookmarkEnd w:id="18"/>
    </w:p>
    <w:p w14:paraId="252F9CF4" w14:textId="18552336" w:rsidR="0023080E" w:rsidRPr="00BF12E4" w:rsidRDefault="0023080E" w:rsidP="00BF12E4">
      <w:r w:rsidRPr="00BF12E4">
        <w:t>South Bronx, New York City, USA (2001–present)</w:t>
      </w:r>
      <w:bookmarkEnd w:id="19"/>
    </w:p>
    <w:p w14:paraId="2EA4F55D" w14:textId="180DDF28" w:rsidR="0023080E" w:rsidRPr="0023080E" w:rsidRDefault="0023080E" w:rsidP="0023080E">
      <w:pPr>
        <w:spacing w:after="0"/>
        <w:rPr>
          <w:b/>
          <w:bCs/>
          <w:color w:val="595959" w:themeColor="text1" w:themeTint="A6"/>
        </w:rPr>
      </w:pPr>
      <w:r w:rsidRPr="0023080E">
        <w:rPr>
          <w:b/>
          <w:bCs/>
          <w:color w:val="595959" w:themeColor="text1" w:themeTint="A6"/>
        </w:rPr>
        <w:t>Main Practice Domain(s):</w:t>
      </w:r>
      <w:r w:rsidRPr="0023080E">
        <w:rPr>
          <w:b/>
          <w:bCs/>
          <w:color w:val="595959" w:themeColor="text1" w:themeTint="A6"/>
        </w:rPr>
        <w:tab/>
        <w:t>Employment, Education, Liveability</w:t>
      </w:r>
    </w:p>
    <w:p w14:paraId="1E3E2EC7" w14:textId="6736C14B" w:rsidR="0023080E" w:rsidRPr="0023080E" w:rsidRDefault="0023080E" w:rsidP="0023080E">
      <w:pPr>
        <w:rPr>
          <w:b/>
          <w:bCs/>
          <w:color w:val="595959" w:themeColor="text1" w:themeTint="A6"/>
        </w:rPr>
      </w:pPr>
      <w:r w:rsidRPr="0023080E">
        <w:rPr>
          <w:b/>
          <w:bCs/>
          <w:color w:val="595959" w:themeColor="text1" w:themeTint="A6"/>
        </w:rPr>
        <w:t>Secondary Practice Domain(s):</w:t>
      </w:r>
      <w:r w:rsidRPr="0023080E">
        <w:rPr>
          <w:b/>
          <w:bCs/>
          <w:color w:val="595959" w:themeColor="text1" w:themeTint="A6"/>
        </w:rPr>
        <w:tab/>
        <w:t>Health and Wellbeing</w:t>
      </w:r>
    </w:p>
    <w:p w14:paraId="44534D05" w14:textId="02CDDC9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New York’s South Bronx area has long been a site of entrenched poverty, high unemployment, health inequality, youth disengagement, violent crime, and concentrated industrial zones. It also has a history of urban creativity and resourcefulness. Founded in 2001 by locally raised urban revitalization strategist Majora Cater, the Sustainable South Bronx project (</w:t>
      </w: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xml:space="preserve">) is a green jobs training program and environmental justice organisation working with communities affected by disadvantage, both locally and across greater New York City. </w:t>
      </w: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xml:space="preserve"> has trained more than 500 low-income New York residents to work in the city’s growing green collar sector (Jennings et al, 2017).</w:t>
      </w:r>
    </w:p>
    <w:p w14:paraId="0C4965FE" w14:textId="2E944EB8" w:rsidR="0023080E" w:rsidRPr="00E722EF" w:rsidRDefault="0023080E" w:rsidP="00BF12E4">
      <w:pPr>
        <w:rPr>
          <w:rFonts w:asciiTheme="majorHAnsi" w:hAnsiTheme="majorHAnsi" w:cstheme="majorHAnsi"/>
          <w:sz w:val="23"/>
          <w:szCs w:val="23"/>
        </w:rPr>
      </w:pP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xml:space="preserve"> spearheaded the creation of the Hunts Point Riverside Park, a US$3.2 million project that transformed a vacant lot and illegal dumping ground into an award-winning 1.4-acre public green space on the Harlem River. Constructed in 2004 on the former site of a Robert Moses bridge, it was the first riverside park built in the area in over 60 years, and is part of the ongoing South Bronx Greenway project, a planned 6.5-kilometre stretch of green spaces linked by a bikeway.</w:t>
      </w:r>
    </w:p>
    <w:p w14:paraId="3433ED24" w14:textId="0A9CB5BA"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These urban greening projects have had multiple benefits: they provided new open space and river access for the community, promoted physical activity by creating bicycle- and pedestrian-friendly infrastructure, beautified a degraded area, supported local economic development, </w:t>
      </w:r>
      <w:r w:rsidRPr="00E722EF">
        <w:rPr>
          <w:rFonts w:asciiTheme="majorHAnsi" w:hAnsiTheme="majorHAnsi" w:cstheme="majorHAnsi"/>
          <w:sz w:val="23"/>
          <w:szCs w:val="23"/>
        </w:rPr>
        <w:lastRenderedPageBreak/>
        <w:t>upskilled the workforce, and created new jobs and social networks for communities affected by disadvantage.</w:t>
      </w:r>
    </w:p>
    <w:p w14:paraId="67DA07C9" w14:textId="31718A60"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In 2003, </w:t>
      </w: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xml:space="preserve"> founded the Bronx Environmental Stewardship (BEST) Academy, which trains low-income NYC residents for environmental jobs. In the intensive course, trainees take part in local greening programs, conduct tree surveys and plantings, test water quality, learn life skills, and help restore and maintain waterfronts. </w:t>
      </w:r>
      <w:hyperlink r:id="rId21">
        <w:r w:rsidRPr="00E722EF">
          <w:rPr>
            <w:rStyle w:val="Hyperlink"/>
            <w:rFonts w:asciiTheme="majorHAnsi" w:hAnsiTheme="majorHAnsi" w:cstheme="majorHAnsi"/>
            <w:sz w:val="23"/>
            <w:szCs w:val="23"/>
          </w:rPr>
          <w:t>One evaluation</w:t>
        </w:r>
      </w:hyperlink>
      <w:r w:rsidRPr="00E722EF">
        <w:rPr>
          <w:rFonts w:asciiTheme="majorHAnsi" w:hAnsiTheme="majorHAnsi" w:cstheme="majorHAnsi"/>
          <w:sz w:val="23"/>
          <w:szCs w:val="23"/>
        </w:rPr>
        <w:t xml:space="preserve"> found that 85 percent of program graduates gained employment, with more than 90 percent working in green-collar jobs and nearly 10 percent engaging in college education (Pacific Institute, 2013; </w:t>
      </w:r>
      <w:proofErr w:type="spellStart"/>
      <w:r w:rsidRPr="00E722EF">
        <w:rPr>
          <w:rFonts w:asciiTheme="majorHAnsi" w:hAnsiTheme="majorHAnsi" w:cstheme="majorHAnsi"/>
          <w:sz w:val="23"/>
          <w:szCs w:val="23"/>
        </w:rPr>
        <w:t>Quennell</w:t>
      </w:r>
      <w:proofErr w:type="spellEnd"/>
      <w:r w:rsidRPr="00E722EF">
        <w:rPr>
          <w:rFonts w:asciiTheme="majorHAnsi" w:hAnsiTheme="majorHAnsi" w:cstheme="majorHAnsi"/>
          <w:sz w:val="23"/>
          <w:szCs w:val="23"/>
        </w:rPr>
        <w:t xml:space="preserve">, 2011). In 2015 </w:t>
      </w: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xml:space="preserve"> partnered with the HOPE Program, a workforce development organisation (</w:t>
      </w: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n.d.).</w:t>
      </w:r>
    </w:p>
    <w:p w14:paraId="164A7135" w14:textId="6BD64BFB"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BEST program graduates can also work in </w:t>
      </w:r>
      <w:proofErr w:type="spellStart"/>
      <w:r w:rsidRPr="00E722EF">
        <w:rPr>
          <w:rFonts w:asciiTheme="majorHAnsi" w:hAnsiTheme="majorHAnsi" w:cstheme="majorHAnsi"/>
          <w:sz w:val="23"/>
          <w:szCs w:val="23"/>
        </w:rPr>
        <w:t>SSBx’s</w:t>
      </w:r>
      <w:proofErr w:type="spellEnd"/>
      <w:r w:rsidRPr="00E722EF">
        <w:rPr>
          <w:rFonts w:asciiTheme="majorHAnsi" w:hAnsiTheme="majorHAnsi" w:cstheme="majorHAnsi"/>
          <w:sz w:val="23"/>
          <w:szCs w:val="23"/>
        </w:rPr>
        <w:t xml:space="preserve"> for-profit NYC °</w:t>
      </w:r>
      <w:proofErr w:type="spellStart"/>
      <w:r w:rsidRPr="00E722EF">
        <w:rPr>
          <w:rFonts w:asciiTheme="majorHAnsi" w:hAnsiTheme="majorHAnsi" w:cstheme="majorHAnsi"/>
          <w:sz w:val="23"/>
          <w:szCs w:val="23"/>
        </w:rPr>
        <w:t>CoolRoofs</w:t>
      </w:r>
      <w:proofErr w:type="spellEnd"/>
      <w:r w:rsidRPr="00E722EF">
        <w:rPr>
          <w:rFonts w:asciiTheme="majorHAnsi" w:hAnsiTheme="majorHAnsi" w:cstheme="majorHAnsi"/>
          <w:sz w:val="23"/>
          <w:szCs w:val="23"/>
        </w:rPr>
        <w:t xml:space="preserve"> program, installing green roofs and energy-saving reflective rooftops across the city, a practice supported by New York City’s Green Roofs Act (2019); the New York City Department of Small Business Services is a program partner. </w:t>
      </w:r>
      <w:proofErr w:type="spellStart"/>
      <w:r w:rsidRPr="00E722EF">
        <w:rPr>
          <w:rFonts w:asciiTheme="majorHAnsi" w:hAnsiTheme="majorHAnsi" w:cstheme="majorHAnsi"/>
          <w:sz w:val="23"/>
          <w:szCs w:val="23"/>
        </w:rPr>
        <w:t>SSBx</w:t>
      </w:r>
      <w:proofErr w:type="spellEnd"/>
      <w:r w:rsidRPr="00E722EF">
        <w:rPr>
          <w:rFonts w:asciiTheme="majorHAnsi" w:hAnsiTheme="majorHAnsi" w:cstheme="majorHAnsi"/>
          <w:sz w:val="23"/>
          <w:szCs w:val="23"/>
        </w:rPr>
        <w:t xml:space="preserve"> also runs a social enterprise, </w:t>
      </w:r>
      <w:proofErr w:type="spellStart"/>
      <w:r w:rsidRPr="00E722EF">
        <w:rPr>
          <w:rFonts w:asciiTheme="majorHAnsi" w:hAnsiTheme="majorHAnsi" w:cstheme="majorHAnsi"/>
          <w:sz w:val="23"/>
          <w:szCs w:val="23"/>
        </w:rPr>
        <w:t>Intervine</w:t>
      </w:r>
      <w:proofErr w:type="spellEnd"/>
      <w:r w:rsidRPr="00E722EF">
        <w:rPr>
          <w:rFonts w:asciiTheme="majorHAnsi" w:hAnsiTheme="majorHAnsi" w:cstheme="majorHAnsi"/>
          <w:sz w:val="23"/>
          <w:szCs w:val="23"/>
        </w:rPr>
        <w:t xml:space="preserve">, which trains and employs local workers to create and maintain sustainable green infrastructure, and the </w:t>
      </w:r>
      <w:proofErr w:type="spellStart"/>
      <w:r w:rsidRPr="00E722EF">
        <w:rPr>
          <w:rFonts w:asciiTheme="majorHAnsi" w:hAnsiTheme="majorHAnsi" w:cstheme="majorHAnsi"/>
          <w:sz w:val="23"/>
          <w:szCs w:val="23"/>
        </w:rPr>
        <w:t>SSBxFab</w:t>
      </w:r>
      <w:proofErr w:type="spellEnd"/>
      <w:r w:rsidRPr="00E722EF">
        <w:rPr>
          <w:rFonts w:asciiTheme="majorHAnsi" w:hAnsiTheme="majorHAnsi" w:cstheme="majorHAnsi"/>
          <w:sz w:val="23"/>
          <w:szCs w:val="23"/>
        </w:rPr>
        <w:t xml:space="preserve"> program, in partnership with the Massachusetts Institute of Technology, which offers fellowships for South Bronx-based eco-designers.</w:t>
      </w:r>
    </w:p>
    <w:p w14:paraId="43E4B1D0" w14:textId="2D78B563" w:rsidR="0023080E" w:rsidRPr="00E722EF" w:rsidRDefault="0023080E" w:rsidP="00E722EF">
      <w:pPr>
        <w:rPr>
          <w:rFonts w:asciiTheme="majorHAnsi" w:hAnsiTheme="majorHAnsi" w:cstheme="majorHAnsi"/>
          <w:sz w:val="23"/>
          <w:szCs w:val="23"/>
        </w:rPr>
      </w:pPr>
      <w:r w:rsidRPr="00E722EF">
        <w:rPr>
          <w:rFonts w:asciiTheme="majorHAnsi" w:hAnsiTheme="majorHAnsi" w:cstheme="majorHAnsi"/>
          <w:sz w:val="23"/>
          <w:szCs w:val="23"/>
        </w:rPr>
        <w:t xml:space="preserve">Director Majora Cater is a major factor in </w:t>
      </w:r>
      <w:proofErr w:type="spellStart"/>
      <w:r w:rsidRPr="00E722EF">
        <w:rPr>
          <w:rFonts w:asciiTheme="majorHAnsi" w:hAnsiTheme="majorHAnsi" w:cstheme="majorHAnsi"/>
          <w:sz w:val="23"/>
          <w:szCs w:val="23"/>
        </w:rPr>
        <w:t>SSBx’s</w:t>
      </w:r>
      <w:proofErr w:type="spellEnd"/>
      <w:r w:rsidRPr="00E722EF">
        <w:rPr>
          <w:rFonts w:asciiTheme="majorHAnsi" w:hAnsiTheme="majorHAnsi" w:cstheme="majorHAnsi"/>
          <w:sz w:val="23"/>
          <w:szCs w:val="23"/>
        </w:rPr>
        <w:t xml:space="preserve"> success: her expertise, activism, local connections and ongoing leadership continue to be a driving force. Other success factors include effective partnership-building, close alignment with policy initiatives (urban greening), access to public land, income generation through for-profit sub-projects, and a multi-pronged approach to improving community outcomes (skills development, employment, place-making, social connections, open space access).</w:t>
      </w:r>
    </w:p>
    <w:p w14:paraId="5ACA9637" w14:textId="77777777" w:rsidR="0023080E" w:rsidRPr="00BF12E4" w:rsidRDefault="0023080E" w:rsidP="0023080E">
      <w:pPr>
        <w:pStyle w:val="Heading2"/>
      </w:pPr>
      <w:bookmarkStart w:id="20" w:name="_Toc108180703"/>
      <w:bookmarkStart w:id="21" w:name="_Hlk70864243"/>
      <w:r w:rsidRPr="00BF12E4">
        <w:t>The Broomhill Project: Arts-led Community Regeneration and Public Housing Upgrade</w:t>
      </w:r>
      <w:bookmarkEnd w:id="20"/>
    </w:p>
    <w:p w14:paraId="5B34FB1C" w14:textId="776D07AA" w:rsidR="0023080E" w:rsidRPr="00BF12E4" w:rsidRDefault="0023080E" w:rsidP="00BF12E4">
      <w:r w:rsidRPr="00BF12E4">
        <w:t>Greenock, Glasgow, Scotland (2015–present)</w:t>
      </w:r>
      <w:bookmarkEnd w:id="21"/>
    </w:p>
    <w:p w14:paraId="1A92444E" w14:textId="5971A252"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Liveability, Housing</w:t>
      </w:r>
    </w:p>
    <w:p w14:paraId="785323B9" w14:textId="77777777" w:rsidR="0023080E" w:rsidRPr="0023080E" w:rsidRDefault="0023080E" w:rsidP="0023080E">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Employment, Education, Health and Wellbeing</w:t>
      </w:r>
    </w:p>
    <w:p w14:paraId="073FE2C7" w14:textId="2BDA2E4F"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Broomhill is an area of high socioeconomic disadvantage located in Greenock, 40 kilometres from central Glasgow. In 2016 Broomhill (pop. 14,000) was listed in the top 10 percent of deprived areas in Scotland (Scottish Index of Multiple Deprivation, 2016).</w:t>
      </w:r>
    </w:p>
    <w:p w14:paraId="41F59EE5" w14:textId="6C2F6796"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Launched in 2015, the Broomhill Project centres on community-led collaborations between </w:t>
      </w:r>
      <w:proofErr w:type="gramStart"/>
      <w:r w:rsidRPr="0023080E">
        <w:rPr>
          <w:rFonts w:asciiTheme="majorHAnsi" w:hAnsiTheme="majorHAnsi" w:cstheme="majorHAnsi"/>
          <w:sz w:val="23"/>
          <w:szCs w:val="23"/>
        </w:rPr>
        <w:t>local residents</w:t>
      </w:r>
      <w:proofErr w:type="gramEnd"/>
      <w:r w:rsidRPr="0023080E">
        <w:rPr>
          <w:rFonts w:asciiTheme="majorHAnsi" w:hAnsiTheme="majorHAnsi" w:cstheme="majorHAnsi"/>
          <w:sz w:val="23"/>
          <w:szCs w:val="23"/>
        </w:rPr>
        <w:t xml:space="preserve"> and experienced artists. Activities have included workshops, artist residencies, films, community events, murals, public gardens, heritage projects, and exhibitions.</w:t>
      </w:r>
    </w:p>
    <w:p w14:paraId="06DD8B7D"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The Broomhill Project was developed alongside a major local social housing project. In 2014 housing association River Clyde Homes began a £26m program to upgrade 600 Broomhill properties. Local arts charity RIG Arts was granted initial three-year funding to work creatively with disengaged community members. Additional funding was invested in a range of sub-projects:</w:t>
      </w:r>
    </w:p>
    <w:p w14:paraId="7C3CFB25" w14:textId="77777777" w:rsidR="0023080E" w:rsidRPr="0023080E" w:rsidRDefault="0023080E" w:rsidP="00BF12E4">
      <w:pPr>
        <w:numPr>
          <w:ilvl w:val="0"/>
          <w:numId w:val="3"/>
        </w:numPr>
        <w:rPr>
          <w:rFonts w:asciiTheme="majorHAnsi" w:hAnsiTheme="majorHAnsi" w:cstheme="majorHAnsi"/>
          <w:sz w:val="23"/>
          <w:szCs w:val="23"/>
        </w:rPr>
      </w:pPr>
      <w:r w:rsidRPr="0023080E">
        <w:rPr>
          <w:rFonts w:asciiTheme="majorHAnsi" w:hAnsiTheme="majorHAnsi" w:cstheme="majorHAnsi"/>
          <w:sz w:val="23"/>
          <w:szCs w:val="23"/>
        </w:rPr>
        <w:t xml:space="preserve">Broomhill Art Flat (2015): dedicated hub for free creative workshops: </w:t>
      </w:r>
      <w:proofErr w:type="spellStart"/>
      <w:r w:rsidRPr="0023080E">
        <w:rPr>
          <w:rFonts w:asciiTheme="majorHAnsi" w:hAnsiTheme="majorHAnsi" w:cstheme="majorHAnsi"/>
          <w:sz w:val="23"/>
          <w:szCs w:val="23"/>
        </w:rPr>
        <w:t>songwriting</w:t>
      </w:r>
      <w:proofErr w:type="spellEnd"/>
      <w:r w:rsidRPr="0023080E">
        <w:rPr>
          <w:rFonts w:asciiTheme="majorHAnsi" w:hAnsiTheme="majorHAnsi" w:cstheme="majorHAnsi"/>
          <w:sz w:val="23"/>
          <w:szCs w:val="23"/>
        </w:rPr>
        <w:t>, photography, filmmaking, painting, stained glass, carving, ceramics, textiles, 3D drawing, mosaic, upcycling. Sited in a public housing tower, it became a popular cultural hub and meeting place.</w:t>
      </w:r>
    </w:p>
    <w:p w14:paraId="4A7BB83F" w14:textId="77777777" w:rsidR="0023080E" w:rsidRPr="0023080E" w:rsidRDefault="0023080E" w:rsidP="00BF12E4">
      <w:pPr>
        <w:numPr>
          <w:ilvl w:val="0"/>
          <w:numId w:val="3"/>
        </w:numPr>
        <w:rPr>
          <w:rFonts w:asciiTheme="majorHAnsi" w:hAnsiTheme="majorHAnsi" w:cstheme="majorHAnsi"/>
          <w:sz w:val="23"/>
          <w:szCs w:val="23"/>
        </w:rPr>
      </w:pPr>
      <w:r w:rsidRPr="0023080E">
        <w:rPr>
          <w:rFonts w:asciiTheme="majorHAnsi" w:hAnsiTheme="majorHAnsi" w:cstheme="majorHAnsi"/>
          <w:sz w:val="23"/>
          <w:szCs w:val="23"/>
        </w:rPr>
        <w:lastRenderedPageBreak/>
        <w:t>Heid O’ The Hill (2015–2016): 12-month pilot arts scheme exploring Broomhill’s rich heritage. Participants created works celebrating the area’s history as a former metal foundry, its 1970s punk music scene, and childhood games fondly recalled by older residents.</w:t>
      </w:r>
    </w:p>
    <w:p w14:paraId="075821D5" w14:textId="77777777" w:rsidR="0023080E" w:rsidRPr="0023080E" w:rsidRDefault="0023080E" w:rsidP="00BF12E4">
      <w:pPr>
        <w:numPr>
          <w:ilvl w:val="0"/>
          <w:numId w:val="3"/>
        </w:numPr>
        <w:rPr>
          <w:rFonts w:asciiTheme="majorHAnsi" w:hAnsiTheme="majorHAnsi" w:cstheme="majorHAnsi"/>
          <w:sz w:val="23"/>
          <w:szCs w:val="23"/>
        </w:rPr>
      </w:pPr>
      <w:r w:rsidRPr="0023080E">
        <w:rPr>
          <w:rFonts w:asciiTheme="majorHAnsi" w:hAnsiTheme="majorHAnsi" w:cstheme="majorHAnsi"/>
          <w:sz w:val="23"/>
          <w:szCs w:val="23"/>
        </w:rPr>
        <w:t>Up the Broomy (2017–2019): a two-year sub-project focused on training, creativity, and capacity building. RIG Arts worked with local agencies to recruit “community champions” who could benefit from arts training. Participants created inspiring objects, events, and performances. Ongoing supports were embedded via partnerships with mental health organisations, schools, and youth services.</w:t>
      </w:r>
    </w:p>
    <w:p w14:paraId="5B168CCB" w14:textId="77777777" w:rsidR="0023080E" w:rsidRPr="0023080E" w:rsidRDefault="0023080E" w:rsidP="00BF12E4">
      <w:pPr>
        <w:numPr>
          <w:ilvl w:val="0"/>
          <w:numId w:val="3"/>
        </w:numPr>
        <w:rPr>
          <w:rFonts w:asciiTheme="majorHAnsi" w:hAnsiTheme="majorHAnsi" w:cstheme="majorHAnsi"/>
          <w:sz w:val="23"/>
          <w:szCs w:val="23"/>
        </w:rPr>
      </w:pPr>
      <w:proofErr w:type="spellStart"/>
      <w:r w:rsidRPr="0023080E">
        <w:rPr>
          <w:rFonts w:asciiTheme="majorHAnsi" w:hAnsiTheme="majorHAnsi" w:cstheme="majorHAnsi"/>
          <w:sz w:val="23"/>
          <w:szCs w:val="23"/>
        </w:rPr>
        <w:t>Broomy’s</w:t>
      </w:r>
      <w:proofErr w:type="spellEnd"/>
      <w:r w:rsidRPr="0023080E">
        <w:rPr>
          <w:rFonts w:asciiTheme="majorHAnsi" w:hAnsiTheme="majorHAnsi" w:cstheme="majorHAnsi"/>
          <w:sz w:val="23"/>
          <w:szCs w:val="23"/>
        </w:rPr>
        <w:t xml:space="preserve"> Bees (2018): community co-designed pocket park and educational sensory garden, created on a derelict site opposite a public housing tower. Increases biodiversity, promotes eco-friendly behaviour, references local heritage, and provides welcoming green space. Has all-weather seating and interactive night-lighting. Children created tile artworks and bee habitats.</w:t>
      </w:r>
    </w:p>
    <w:p w14:paraId="0B242C3A" w14:textId="77777777" w:rsidR="0023080E" w:rsidRPr="0023080E" w:rsidRDefault="0023080E" w:rsidP="00BF12E4">
      <w:pPr>
        <w:numPr>
          <w:ilvl w:val="0"/>
          <w:numId w:val="3"/>
        </w:numPr>
        <w:rPr>
          <w:rFonts w:asciiTheme="majorHAnsi" w:hAnsiTheme="majorHAnsi" w:cstheme="majorHAnsi"/>
          <w:sz w:val="23"/>
          <w:szCs w:val="23"/>
        </w:rPr>
      </w:pPr>
      <w:r w:rsidRPr="0023080E">
        <w:rPr>
          <w:rFonts w:asciiTheme="majorHAnsi" w:hAnsiTheme="majorHAnsi" w:cstheme="majorHAnsi"/>
          <w:sz w:val="23"/>
          <w:szCs w:val="23"/>
        </w:rPr>
        <w:t>Plastic Fantastic: eco-focused project engaging local schools and residents to increase environmental literacy, promote recycling, and reduce landfill. Includes upcycling workshops (furniture, clothes mending), an innovative plastic recycling machine (converts discarded bottles into material for 3-D printing), and a public display of upcycled items.</w:t>
      </w:r>
    </w:p>
    <w:p w14:paraId="05C176CE"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Over four years, around 3600 people participated directly in the Broomhill Project, and over 500 activities were delivered. </w:t>
      </w:r>
      <w:hyperlink r:id="rId22">
        <w:r w:rsidRPr="0023080E">
          <w:rPr>
            <w:rStyle w:val="Hyperlink"/>
            <w:rFonts w:asciiTheme="majorHAnsi" w:hAnsiTheme="majorHAnsi" w:cstheme="majorHAnsi"/>
            <w:sz w:val="23"/>
            <w:szCs w:val="23"/>
          </w:rPr>
          <w:t>Evaluated</w:t>
        </w:r>
      </w:hyperlink>
      <w:r w:rsidRPr="0023080E">
        <w:rPr>
          <w:rFonts w:asciiTheme="majorHAnsi" w:hAnsiTheme="majorHAnsi" w:cstheme="majorHAnsi"/>
          <w:sz w:val="23"/>
          <w:szCs w:val="23"/>
        </w:rPr>
        <w:t xml:space="preserve"> as part of a broader assessment, the project was found to have improved social cohesion, raised community spirit, helped residents build transferable skills, given them a voice in the regeneration process, strengthened sense of place, attracted people to the area, and reduced place-based stigma. It also fostered economic development, created new community assets, improved wellbeing, and increased residents’ opportunities for work, education, and training (Anderson et al, 2019: 29–30; Orr, 2019). As of early 2021, elements of the project remain active.</w:t>
      </w:r>
    </w:p>
    <w:p w14:paraId="69F7661F" w14:textId="77777777" w:rsidR="0023080E" w:rsidRPr="00BF12E4" w:rsidRDefault="0023080E" w:rsidP="00BF12E4">
      <w:r w:rsidRPr="0023080E">
        <w:rPr>
          <w:rFonts w:asciiTheme="majorHAnsi" w:hAnsiTheme="majorHAnsi" w:cstheme="majorHAnsi"/>
          <w:sz w:val="23"/>
          <w:szCs w:val="23"/>
        </w:rPr>
        <w:t xml:space="preserve">The Broomhill Project </w:t>
      </w:r>
      <w:proofErr w:type="spellStart"/>
      <w:r w:rsidRPr="0023080E">
        <w:rPr>
          <w:rFonts w:asciiTheme="majorHAnsi" w:hAnsiTheme="majorHAnsi" w:cstheme="majorHAnsi"/>
          <w:sz w:val="23"/>
          <w:szCs w:val="23"/>
        </w:rPr>
        <w:t>project</w:t>
      </w:r>
      <w:proofErr w:type="spellEnd"/>
      <w:r w:rsidRPr="0023080E">
        <w:rPr>
          <w:rFonts w:asciiTheme="majorHAnsi" w:hAnsiTheme="majorHAnsi" w:cstheme="majorHAnsi"/>
          <w:sz w:val="23"/>
          <w:szCs w:val="23"/>
        </w:rPr>
        <w:t xml:space="preserve"> won a 2017 Scottish Urban Regeneration Forum best-practice award (SURF, 2017: 6). Success factors include robust collaborative partnerships, a strong focus on community-led and co-design approaches, alignment with a concurrent housing/revitalisation project, the creative hub being sited within a housing estate, the skills of individual artists, and the innovative approach of RIG Arts, which oversaw a steering group of participating artists and community members. Funding partners included Creative Scotland, Riverside Inverclyde, British Gas, Heritage Lottery Fund, Tesco, People’s Postcode Trust, Climate Challenge Fund, and the Scottish Government.</w:t>
      </w:r>
    </w:p>
    <w:p w14:paraId="53159052" w14:textId="77777777" w:rsidR="0023080E" w:rsidRPr="00BF12E4" w:rsidRDefault="0023080E" w:rsidP="0023080E">
      <w:pPr>
        <w:pStyle w:val="Heading2"/>
      </w:pPr>
      <w:bookmarkStart w:id="22" w:name="_Toc108180704"/>
      <w:bookmarkStart w:id="23" w:name="_Hlk70864411"/>
      <w:r w:rsidRPr="00BF12E4">
        <w:t>The Skip Garden and Kitchen, Story Garden, Paper Garden:</w:t>
      </w:r>
      <w:bookmarkEnd w:id="22"/>
    </w:p>
    <w:p w14:paraId="7D4E8A8D" w14:textId="77777777" w:rsidR="0023080E" w:rsidRPr="00BF12E4" w:rsidRDefault="0023080E" w:rsidP="0023080E">
      <w:pPr>
        <w:pStyle w:val="Heading2"/>
      </w:pPr>
      <w:bookmarkStart w:id="24" w:name="_Toc108180705"/>
      <w:r w:rsidRPr="00BF12E4">
        <w:t>Community Gardens for Learning, Health, and Social Inclusion</w:t>
      </w:r>
      <w:bookmarkEnd w:id="24"/>
    </w:p>
    <w:p w14:paraId="5E14C5D3" w14:textId="25206F36" w:rsidR="0023080E" w:rsidRPr="00BF12E4" w:rsidRDefault="0023080E" w:rsidP="00BF12E4">
      <w:r w:rsidRPr="00BF12E4">
        <w:t>King’s Cross, London (2009 –present)</w:t>
      </w:r>
      <w:bookmarkEnd w:id="23"/>
    </w:p>
    <w:p w14:paraId="5DF623CA" w14:textId="77777777"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Health and Wellbeing, Liveability, Education</w:t>
      </w:r>
    </w:p>
    <w:p w14:paraId="7E91366C" w14:textId="3D9E3A46" w:rsidR="0023080E" w:rsidRPr="0023080E" w:rsidRDefault="0023080E" w:rsidP="0023080E">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Employment, Housing</w:t>
      </w:r>
    </w:p>
    <w:p w14:paraId="23E1D23C"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London is a city of high rents, spatial inequalities, overcrowded housing, and wealth disparity. Despite several policy initiatives targeting food security, it remains a major issue. Food banks struggle to meet demand and 9 percent of children sometimes or often go to bed hungry </w:t>
      </w:r>
      <w:r w:rsidRPr="0023080E">
        <w:rPr>
          <w:rFonts w:asciiTheme="majorHAnsi" w:hAnsiTheme="majorHAnsi" w:cstheme="majorHAnsi"/>
          <w:sz w:val="23"/>
          <w:szCs w:val="23"/>
        </w:rPr>
        <w:lastRenderedPageBreak/>
        <w:t>(</w:t>
      </w:r>
      <w:proofErr w:type="spellStart"/>
      <w:r w:rsidRPr="0023080E">
        <w:rPr>
          <w:rFonts w:asciiTheme="majorHAnsi" w:hAnsiTheme="majorHAnsi" w:cstheme="majorHAnsi"/>
          <w:sz w:val="23"/>
          <w:szCs w:val="23"/>
        </w:rPr>
        <w:t>Marovelli</w:t>
      </w:r>
      <w:proofErr w:type="spellEnd"/>
      <w:r w:rsidRPr="0023080E">
        <w:rPr>
          <w:rFonts w:asciiTheme="majorHAnsi" w:hAnsiTheme="majorHAnsi" w:cstheme="majorHAnsi"/>
          <w:sz w:val="23"/>
          <w:szCs w:val="23"/>
        </w:rPr>
        <w:t>, 2019: 191; Sustain, 2016). In 2015 London was rated the loneliest region in the UK (ACEVO, 2015).</w:t>
      </w:r>
    </w:p>
    <w:p w14:paraId="3EF7E2AF" w14:textId="72A8487A"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Many of London’s low-income residents are clustered in council estates and social housing blocks, with minimal or non-existent access to communal spaces. This limits social interaction, community cohesion, and play opportunities for children. King’s Cross (pop. 13,400) is a multicultural neighbourhood in central London. In 2015 around 48 percent of local children lived in poverty, and 45 percent of older residents lived in deprivation (Kings Cross, 2015). Until recently it had limited green space and a longstanding reputation for crime and drugs.</w:t>
      </w:r>
    </w:p>
    <w:p w14:paraId="56D73EF4" w14:textId="3CF164E9"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In 2007 Kings Cross became the site of a huge urban regeneration project, now nearing completion. In 2009 Global Generation, an education charity, established a community garden on the 67-acre construction site. The Skip Garden was set up as a temporary food growing space, under a “meanwhile lease” as part of the developer’s strategy for “sustainable innovation and community involvement”. The £200,000 project was funded by the Big Lottery, Islington and Camden Councils, and developers (Interim Spaces, n.d.). The installation became an epicentre for a range of community development and engagement activities.</w:t>
      </w:r>
    </w:p>
    <w:p w14:paraId="2C9164FA" w14:textId="13B90A66"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The Skip Garden was designed to be portable, moving to different locations as land was sold for construction. Built by young people and local volunteers, it was created from upcycled rubbish skips and polytunnels, with material donated by construction companies. Residents grew fruit trees, vegetables, herbs, and flowers, and maintained beehives. Based on organic practices (rotational planting, rainwater harvesting, aerobic composting), the garden was largely self-sustaining (Global Generation, n.d.).</w:t>
      </w:r>
    </w:p>
    <w:p w14:paraId="60DB92D3"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The project combined food education for kids, healthy food-sharing activities, workshops, recreational programs, and the Skip Kitchen, a small but lively vegetarian cafe that generated independent income. Staff and volunteers were primarily women from different ethnic backgrounds. Young people with learning disabilities also helped prepare and serve meals. The food preparation area was open to the dining room, and staff, guests, and volunteers ate together at shared tables (</w:t>
      </w:r>
      <w:proofErr w:type="spellStart"/>
      <w:r w:rsidRPr="0023080E">
        <w:rPr>
          <w:rFonts w:asciiTheme="majorHAnsi" w:hAnsiTheme="majorHAnsi" w:cstheme="majorHAnsi"/>
          <w:sz w:val="23"/>
          <w:szCs w:val="23"/>
        </w:rPr>
        <w:t>Marovelli</w:t>
      </w:r>
      <w:proofErr w:type="spellEnd"/>
      <w:r w:rsidRPr="0023080E">
        <w:rPr>
          <w:rFonts w:asciiTheme="majorHAnsi" w:hAnsiTheme="majorHAnsi" w:cstheme="majorHAnsi"/>
          <w:sz w:val="23"/>
          <w:szCs w:val="23"/>
        </w:rPr>
        <w:t xml:space="preserve">, 2019: 196). </w:t>
      </w:r>
    </w:p>
    <w:p w14:paraId="629C97D8"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Sub-projects included:</w:t>
      </w:r>
    </w:p>
    <w:p w14:paraId="2C7A2897" w14:textId="77777777" w:rsidR="0023080E" w:rsidRPr="0023080E" w:rsidRDefault="0023080E" w:rsidP="00BF12E4">
      <w:pPr>
        <w:numPr>
          <w:ilvl w:val="0"/>
          <w:numId w:val="4"/>
        </w:numPr>
        <w:rPr>
          <w:rFonts w:asciiTheme="majorHAnsi" w:hAnsiTheme="majorHAnsi" w:cstheme="majorHAnsi"/>
          <w:sz w:val="23"/>
          <w:szCs w:val="23"/>
        </w:rPr>
      </w:pPr>
      <w:r w:rsidRPr="0023080E">
        <w:rPr>
          <w:rFonts w:asciiTheme="majorHAnsi" w:hAnsiTheme="majorHAnsi" w:cstheme="majorHAnsi"/>
          <w:sz w:val="23"/>
          <w:szCs w:val="23"/>
        </w:rPr>
        <w:t>Junior Chef Club: 10-session program teaching kids about seasonality and diverse culinary traditions</w:t>
      </w:r>
    </w:p>
    <w:p w14:paraId="6573EAA4" w14:textId="77777777" w:rsidR="0023080E" w:rsidRPr="0023080E" w:rsidRDefault="0023080E" w:rsidP="00BF12E4">
      <w:pPr>
        <w:numPr>
          <w:ilvl w:val="0"/>
          <w:numId w:val="4"/>
        </w:numPr>
        <w:rPr>
          <w:rFonts w:asciiTheme="majorHAnsi" w:hAnsiTheme="majorHAnsi" w:cstheme="majorHAnsi"/>
          <w:sz w:val="23"/>
          <w:szCs w:val="23"/>
        </w:rPr>
      </w:pPr>
      <w:r w:rsidRPr="0023080E">
        <w:rPr>
          <w:rFonts w:asciiTheme="majorHAnsi" w:hAnsiTheme="majorHAnsi" w:cstheme="majorHAnsi"/>
          <w:sz w:val="23"/>
          <w:szCs w:val="23"/>
        </w:rPr>
        <w:t>Friday Night Out: fortnightly program for kids aged 8–14 to play football, cook and eat together (fostering healthy attitudes towards sports and food)</w:t>
      </w:r>
    </w:p>
    <w:p w14:paraId="5A6B4DBA" w14:textId="126E4B92" w:rsidR="0023080E" w:rsidRPr="0023080E" w:rsidRDefault="0023080E" w:rsidP="00BF12E4">
      <w:pPr>
        <w:numPr>
          <w:ilvl w:val="0"/>
          <w:numId w:val="4"/>
        </w:numPr>
        <w:rPr>
          <w:rFonts w:asciiTheme="majorHAnsi" w:hAnsiTheme="majorHAnsi" w:cstheme="majorHAnsi"/>
          <w:sz w:val="23"/>
          <w:szCs w:val="23"/>
        </w:rPr>
      </w:pPr>
      <w:r w:rsidRPr="0023080E">
        <w:rPr>
          <w:rFonts w:asciiTheme="majorHAnsi" w:hAnsiTheme="majorHAnsi" w:cstheme="majorHAnsi"/>
          <w:sz w:val="23"/>
          <w:szCs w:val="23"/>
        </w:rPr>
        <w:t>Lunch and Learning: kids meet local businesses owners and volunteers, do workshops together, co-design products and activities, then share lunch (</w:t>
      </w:r>
      <w:proofErr w:type="spellStart"/>
      <w:r w:rsidRPr="0023080E">
        <w:rPr>
          <w:rFonts w:asciiTheme="majorHAnsi" w:hAnsiTheme="majorHAnsi" w:cstheme="majorHAnsi"/>
          <w:sz w:val="23"/>
          <w:szCs w:val="23"/>
        </w:rPr>
        <w:t>Marovelli</w:t>
      </w:r>
      <w:proofErr w:type="spellEnd"/>
      <w:r w:rsidRPr="0023080E">
        <w:rPr>
          <w:rFonts w:asciiTheme="majorHAnsi" w:hAnsiTheme="majorHAnsi" w:cstheme="majorHAnsi"/>
          <w:sz w:val="23"/>
          <w:szCs w:val="23"/>
        </w:rPr>
        <w:t>, 2019: 193).</w:t>
      </w:r>
    </w:p>
    <w:p w14:paraId="30B21292" w14:textId="37F43A09"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A recent </w:t>
      </w:r>
      <w:hyperlink r:id="rId23" w:history="1">
        <w:r w:rsidRPr="0023080E">
          <w:rPr>
            <w:rStyle w:val="Hyperlink"/>
            <w:rFonts w:asciiTheme="majorHAnsi" w:hAnsiTheme="majorHAnsi" w:cstheme="majorHAnsi"/>
            <w:sz w:val="23"/>
            <w:szCs w:val="23"/>
          </w:rPr>
          <w:t>ethnographic study</w:t>
        </w:r>
      </w:hyperlink>
      <w:r w:rsidRPr="0023080E">
        <w:rPr>
          <w:rFonts w:asciiTheme="majorHAnsi" w:hAnsiTheme="majorHAnsi" w:cstheme="majorHAnsi"/>
          <w:sz w:val="23"/>
          <w:szCs w:val="23"/>
        </w:rPr>
        <w:t xml:space="preserve"> found that the Skip Garden and Kitchen provided a safe, welcoming space for people to socialise, eat nourishing meals together, exchange knowledge, and share experiences. It fostered social cohesion, built community across difference, and eased loneliness for both participants and volunteers (</w:t>
      </w:r>
      <w:proofErr w:type="spellStart"/>
      <w:r w:rsidRPr="0023080E">
        <w:rPr>
          <w:rFonts w:asciiTheme="majorHAnsi" w:hAnsiTheme="majorHAnsi" w:cstheme="majorHAnsi"/>
          <w:sz w:val="23"/>
          <w:szCs w:val="23"/>
        </w:rPr>
        <w:t>Marovelli</w:t>
      </w:r>
      <w:proofErr w:type="spellEnd"/>
      <w:r w:rsidRPr="0023080E">
        <w:rPr>
          <w:rFonts w:asciiTheme="majorHAnsi" w:hAnsiTheme="majorHAnsi" w:cstheme="majorHAnsi"/>
          <w:sz w:val="23"/>
          <w:szCs w:val="23"/>
        </w:rPr>
        <w:t xml:space="preserve">, 2019). The project also improved residents’ food security, access to communal space, and knowledge of healthy food. Parents said the garden was “the perfect antidote” to urban lifestyles, and that it encouraged kids to leave the house (Global </w:t>
      </w:r>
      <w:r w:rsidRPr="0023080E">
        <w:rPr>
          <w:rFonts w:asciiTheme="majorHAnsi" w:hAnsiTheme="majorHAnsi" w:cstheme="majorHAnsi"/>
          <w:sz w:val="23"/>
          <w:szCs w:val="23"/>
        </w:rPr>
        <w:lastRenderedPageBreak/>
        <w:t>Generation, 2016). The Skip Garden and Kitchen ran for 10 years, closing in October 2019. In early 2021, some of the skips were relocated to form “parklets” in Kentish Town.</w:t>
      </w:r>
    </w:p>
    <w:p w14:paraId="3A7F46D4"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Story Garden: In June 2019 work began on a new temporary garden in Somers Town, an adjacent suburb. The Story Garden is sited on a one-acre block behind the British Library. Around 650 adults and 300 young people co-designed and created the new garden, including residents, school students, local workers, and library staff. Strategies to foster collective ownership included kids’ design and build sessions, university collaborations, drop-in volunteer sessions, holiday clubs, and work experience placements.</w:t>
      </w:r>
    </w:p>
    <w:p w14:paraId="35A17FB1" w14:textId="3CD0B708"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The site includes garden beds, a kitchen, classroom, gathering space, and workshop. Run by Central Saint Martin’s (University of the Arts), the MAKE workshop provides space, guidance, and equipment to help young people co-create projects with community members. Activities include weaving, upcycling, carpentry, permaculture, cooking, and storytelling workshops.</w:t>
      </w:r>
    </w:p>
    <w:p w14:paraId="0FAC8145"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Paper Garden + Floating Garden: As of April 2021, two new participatory projects are underway: the Paper Garden, a “collaborative seedbed” for intergenerational knowledge-sharing, creativity, and community-building, sited in an old print factory in Canada Water, a major new development site in London’s Docklands; and a project involving young people and architects co-designing a floating garden on a barge along a nearby canal.</w:t>
      </w:r>
    </w:p>
    <w:p w14:paraId="4814C0DF" w14:textId="2C55EBDE"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Success factors include the lead agency’s expertise; its flexible, inclusive, and creative approach; effective community engagement strategies; a strong volunteer population; and robust partnerships with local councils, developers, businesses, schools, universities, and community organisations.</w:t>
      </w:r>
    </w:p>
    <w:p w14:paraId="5F38163C" w14:textId="77777777" w:rsidR="0023080E" w:rsidRPr="00BF12E4" w:rsidRDefault="0023080E" w:rsidP="0023080E">
      <w:pPr>
        <w:pStyle w:val="Heading2"/>
      </w:pPr>
      <w:bookmarkStart w:id="25" w:name="_Toc108180706"/>
      <w:bookmarkStart w:id="26" w:name="_Hlk70864721"/>
      <w:r w:rsidRPr="00BF12E4">
        <w:t xml:space="preserve">Oslo Living Lab: Green Jobs Training and Placemaking </w:t>
      </w:r>
      <w:proofErr w:type="gramStart"/>
      <w:r w:rsidRPr="00BF12E4">
        <w:t>For</w:t>
      </w:r>
      <w:proofErr w:type="gramEnd"/>
      <w:r w:rsidRPr="00BF12E4">
        <w:t xml:space="preserve"> At-Risk Youth</w:t>
      </w:r>
      <w:bookmarkEnd w:id="25"/>
    </w:p>
    <w:p w14:paraId="44DB44AC" w14:textId="42AD0690" w:rsidR="0023080E" w:rsidRPr="00BF12E4" w:rsidRDefault="0023080E" w:rsidP="00BF12E4">
      <w:bookmarkStart w:id="27" w:name="_Hlk61881185"/>
      <w:proofErr w:type="spellStart"/>
      <w:r w:rsidRPr="00BF12E4">
        <w:t>Grønland</w:t>
      </w:r>
      <w:proofErr w:type="spellEnd"/>
      <w:r w:rsidRPr="00BF12E4">
        <w:t xml:space="preserve">, </w:t>
      </w:r>
      <w:bookmarkEnd w:id="27"/>
      <w:r w:rsidRPr="00BF12E4">
        <w:t>Oslo, Norway (Feb 2019–present)</w:t>
      </w:r>
      <w:bookmarkEnd w:id="26"/>
    </w:p>
    <w:p w14:paraId="2AE652E7" w14:textId="6A707E99"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Education, Employment</w:t>
      </w:r>
    </w:p>
    <w:p w14:paraId="6AA12D1E" w14:textId="6A653824" w:rsidR="0023080E" w:rsidRPr="0023080E" w:rsidRDefault="0023080E" w:rsidP="00BF12E4">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Health and Wellbeing, Liveability</w:t>
      </w:r>
    </w:p>
    <w:p w14:paraId="503C8F73" w14:textId="4827A8FA"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Norway is a wealthy country, but in the capital city of Oslo (pop. 1,000,000) there is significant and growing spatial inequality (</w:t>
      </w:r>
      <w:proofErr w:type="spellStart"/>
      <w:r w:rsidRPr="0023080E">
        <w:rPr>
          <w:rFonts w:asciiTheme="majorHAnsi" w:hAnsiTheme="majorHAnsi" w:cstheme="majorHAnsi"/>
          <w:sz w:val="23"/>
          <w:szCs w:val="23"/>
        </w:rPr>
        <w:t>Finnvold</w:t>
      </w:r>
      <w:proofErr w:type="spellEnd"/>
      <w:r w:rsidRPr="0023080E">
        <w:rPr>
          <w:rFonts w:asciiTheme="majorHAnsi" w:hAnsiTheme="majorHAnsi" w:cstheme="majorHAnsi"/>
          <w:sz w:val="23"/>
          <w:szCs w:val="23"/>
        </w:rPr>
        <w:t>, 2019). Urban regeneration projects devised to tackle this problem have in fact gentrified some areas, pushing out low-income residents (</w:t>
      </w:r>
      <w:proofErr w:type="spellStart"/>
      <w:r w:rsidRPr="0023080E">
        <w:rPr>
          <w:rFonts w:asciiTheme="majorHAnsi" w:hAnsiTheme="majorHAnsi" w:cstheme="majorHAnsi"/>
          <w:sz w:val="23"/>
          <w:szCs w:val="23"/>
        </w:rPr>
        <w:t>Huse</w:t>
      </w:r>
      <w:proofErr w:type="spellEnd"/>
      <w:r w:rsidRPr="0023080E">
        <w:rPr>
          <w:rFonts w:asciiTheme="majorHAnsi" w:hAnsiTheme="majorHAnsi" w:cstheme="majorHAnsi"/>
          <w:sz w:val="23"/>
          <w:szCs w:val="23"/>
        </w:rPr>
        <w:t>, 2014).</w:t>
      </w:r>
    </w:p>
    <w:p w14:paraId="5169716A" w14:textId="348A47E0" w:rsidR="0023080E" w:rsidRPr="0023080E" w:rsidRDefault="0023080E" w:rsidP="00BF12E4">
      <w:pPr>
        <w:rPr>
          <w:rFonts w:asciiTheme="majorHAnsi" w:hAnsiTheme="majorHAnsi" w:cstheme="majorHAnsi"/>
          <w:sz w:val="23"/>
          <w:szCs w:val="23"/>
        </w:rPr>
      </w:pPr>
      <w:proofErr w:type="spellStart"/>
      <w:r w:rsidRPr="0023080E">
        <w:rPr>
          <w:rFonts w:asciiTheme="majorHAnsi" w:hAnsiTheme="majorHAnsi" w:cstheme="majorHAnsi"/>
          <w:sz w:val="23"/>
          <w:szCs w:val="23"/>
        </w:rPr>
        <w:t>Grønland</w:t>
      </w:r>
      <w:proofErr w:type="spellEnd"/>
      <w:r w:rsidRPr="0023080E">
        <w:rPr>
          <w:rFonts w:asciiTheme="majorHAnsi" w:hAnsiTheme="majorHAnsi" w:cstheme="majorHAnsi"/>
          <w:sz w:val="23"/>
          <w:szCs w:val="23"/>
        </w:rPr>
        <w:t xml:space="preserve"> (pop. 9000) is Oslo’s most culturally diverse neighbourhood. Almost half of </w:t>
      </w:r>
      <w:proofErr w:type="gramStart"/>
      <w:r w:rsidRPr="0023080E">
        <w:rPr>
          <w:rFonts w:asciiTheme="majorHAnsi" w:hAnsiTheme="majorHAnsi" w:cstheme="majorHAnsi"/>
          <w:sz w:val="23"/>
          <w:szCs w:val="23"/>
        </w:rPr>
        <w:t>local residents</w:t>
      </w:r>
      <w:proofErr w:type="gramEnd"/>
      <w:r w:rsidRPr="0023080E">
        <w:rPr>
          <w:rFonts w:asciiTheme="majorHAnsi" w:hAnsiTheme="majorHAnsi" w:cstheme="majorHAnsi"/>
          <w:sz w:val="23"/>
          <w:szCs w:val="23"/>
        </w:rPr>
        <w:t xml:space="preserve"> have an immigrant background (</w:t>
      </w:r>
      <w:proofErr w:type="spellStart"/>
      <w:r w:rsidRPr="0023080E">
        <w:rPr>
          <w:rFonts w:asciiTheme="majorHAnsi" w:hAnsiTheme="majorHAnsi" w:cstheme="majorHAnsi"/>
          <w:sz w:val="23"/>
          <w:szCs w:val="23"/>
        </w:rPr>
        <w:t>Vassenden</w:t>
      </w:r>
      <w:proofErr w:type="spellEnd"/>
      <w:r w:rsidRPr="0023080E">
        <w:rPr>
          <w:rFonts w:asciiTheme="majorHAnsi" w:hAnsiTheme="majorHAnsi" w:cstheme="majorHAnsi"/>
          <w:sz w:val="23"/>
          <w:szCs w:val="23"/>
        </w:rPr>
        <w:t xml:space="preserve"> &amp; Andersson, 2011); key ethic groups include Pakistani, Somali, and </w:t>
      </w:r>
      <w:proofErr w:type="spellStart"/>
      <w:r w:rsidRPr="0023080E">
        <w:rPr>
          <w:rFonts w:asciiTheme="majorHAnsi" w:hAnsiTheme="majorHAnsi" w:cstheme="majorHAnsi"/>
          <w:sz w:val="23"/>
          <w:szCs w:val="23"/>
        </w:rPr>
        <w:t>Iraqui</w:t>
      </w:r>
      <w:proofErr w:type="spellEnd"/>
      <w:r w:rsidRPr="0023080E">
        <w:rPr>
          <w:rFonts w:asciiTheme="majorHAnsi" w:hAnsiTheme="majorHAnsi" w:cstheme="majorHAnsi"/>
          <w:sz w:val="23"/>
          <w:szCs w:val="23"/>
        </w:rPr>
        <w:t xml:space="preserve">. Bounded by major roads and railway lines, the suburb is spatially isolated from wider Oslo. A vibrant place characterised by strong social networks (Miller, 2016: 10, 50), </w:t>
      </w:r>
      <w:proofErr w:type="spellStart"/>
      <w:r w:rsidRPr="0023080E">
        <w:rPr>
          <w:rFonts w:asciiTheme="majorHAnsi" w:hAnsiTheme="majorHAnsi" w:cstheme="majorHAnsi"/>
          <w:sz w:val="23"/>
          <w:szCs w:val="23"/>
        </w:rPr>
        <w:t>Grønland</w:t>
      </w:r>
      <w:proofErr w:type="spellEnd"/>
      <w:r w:rsidRPr="0023080E">
        <w:rPr>
          <w:rFonts w:asciiTheme="majorHAnsi" w:hAnsiTheme="majorHAnsi" w:cstheme="majorHAnsi"/>
          <w:sz w:val="23"/>
          <w:szCs w:val="23"/>
        </w:rPr>
        <w:t xml:space="preserve"> also has high unemployment and concentrated public housing. Sixty percent of children live in poverty (Taylor, 2017); one-third of young people drop out of high school, and a quarter believe they will become unemployed (Placemaking Europe, 2019). There are few extra-curricular activities for youth, and limited access to high-quality public space (Miller, 2016). </w:t>
      </w:r>
    </w:p>
    <w:p w14:paraId="5530DFAD"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Established in 2018, the Oslo Living Lab (OLL) provides work experience and urban greening training to young people from the local </w:t>
      </w:r>
      <w:proofErr w:type="spellStart"/>
      <w:r w:rsidRPr="0023080E">
        <w:rPr>
          <w:rFonts w:asciiTheme="majorHAnsi" w:hAnsiTheme="majorHAnsi" w:cstheme="majorHAnsi"/>
          <w:sz w:val="23"/>
          <w:szCs w:val="23"/>
        </w:rPr>
        <w:t>Hersleb</w:t>
      </w:r>
      <w:proofErr w:type="spellEnd"/>
      <w:r w:rsidRPr="0023080E">
        <w:rPr>
          <w:rFonts w:asciiTheme="majorHAnsi" w:hAnsiTheme="majorHAnsi" w:cstheme="majorHAnsi"/>
          <w:sz w:val="23"/>
          <w:szCs w:val="23"/>
        </w:rPr>
        <w:t xml:space="preserve"> High School (H20). The program also empowers them to improve public spaces using tactical urbanism. Run by </w:t>
      </w:r>
      <w:proofErr w:type="spellStart"/>
      <w:r w:rsidRPr="0023080E">
        <w:rPr>
          <w:rFonts w:asciiTheme="majorHAnsi" w:hAnsiTheme="majorHAnsi" w:cstheme="majorHAnsi"/>
          <w:sz w:val="23"/>
          <w:szCs w:val="23"/>
        </w:rPr>
        <w:t>Nabolagshager</w:t>
      </w:r>
      <w:proofErr w:type="spellEnd"/>
      <w:r w:rsidRPr="0023080E">
        <w:rPr>
          <w:rFonts w:asciiTheme="majorHAnsi" w:hAnsiTheme="majorHAnsi" w:cstheme="majorHAnsi"/>
          <w:sz w:val="23"/>
          <w:szCs w:val="23"/>
        </w:rPr>
        <w:t xml:space="preserve"> (Neighbourhood Gardens), a local </w:t>
      </w:r>
      <w:proofErr w:type="spellStart"/>
      <w:r w:rsidRPr="0023080E">
        <w:rPr>
          <w:rFonts w:asciiTheme="majorHAnsi" w:hAnsiTheme="majorHAnsi" w:cstheme="majorHAnsi"/>
          <w:sz w:val="23"/>
          <w:szCs w:val="23"/>
        </w:rPr>
        <w:t>Grønland</w:t>
      </w:r>
      <w:proofErr w:type="spellEnd"/>
      <w:r w:rsidRPr="0023080E">
        <w:rPr>
          <w:rFonts w:asciiTheme="majorHAnsi" w:hAnsiTheme="majorHAnsi" w:cstheme="majorHAnsi"/>
          <w:sz w:val="23"/>
          <w:szCs w:val="23"/>
        </w:rPr>
        <w:t xml:space="preserve">-based urban agriculture and place-making organisation, the program </w:t>
      </w:r>
      <w:r w:rsidRPr="0023080E">
        <w:rPr>
          <w:rFonts w:asciiTheme="majorHAnsi" w:hAnsiTheme="majorHAnsi" w:cstheme="majorHAnsi"/>
          <w:sz w:val="23"/>
          <w:szCs w:val="23"/>
        </w:rPr>
        <w:lastRenderedPageBreak/>
        <w:t xml:space="preserve">is founded in participatory design principles. Young people are encouraged to drive innovation, with guidance from professional mentors. </w:t>
      </w:r>
    </w:p>
    <w:p w14:paraId="12279C2C" w14:textId="0AD36C89"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The H20 school has struggled with a negative public reputation and </w:t>
      </w:r>
      <w:proofErr w:type="gramStart"/>
      <w:r w:rsidRPr="0023080E">
        <w:rPr>
          <w:rFonts w:asciiTheme="majorHAnsi" w:hAnsiTheme="majorHAnsi" w:cstheme="majorHAnsi"/>
          <w:sz w:val="23"/>
          <w:szCs w:val="23"/>
        </w:rPr>
        <w:t>low test</w:t>
      </w:r>
      <w:proofErr w:type="gramEnd"/>
      <w:r w:rsidRPr="0023080E">
        <w:rPr>
          <w:rFonts w:asciiTheme="majorHAnsi" w:hAnsiTheme="majorHAnsi" w:cstheme="majorHAnsi"/>
          <w:sz w:val="23"/>
          <w:szCs w:val="23"/>
        </w:rPr>
        <w:t xml:space="preserve"> scores, and students face a range of barriers (Placemaking Europe, 2019). The schoolyard, a large area of underused open space, presented an opportunity to improve the whole neighbourhood’s living environment. Students researched community needs, then tested and implemented short-term actions designed to create inclusive neighbourhood meeting places.</w:t>
      </w:r>
    </w:p>
    <w:p w14:paraId="35063352" w14:textId="7746769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Success factors include </w:t>
      </w:r>
      <w:proofErr w:type="spellStart"/>
      <w:r w:rsidRPr="0023080E">
        <w:rPr>
          <w:rFonts w:asciiTheme="majorHAnsi" w:hAnsiTheme="majorHAnsi" w:cstheme="majorHAnsi"/>
          <w:sz w:val="23"/>
          <w:szCs w:val="23"/>
        </w:rPr>
        <w:t>Nabolagshager’s</w:t>
      </w:r>
      <w:proofErr w:type="spellEnd"/>
      <w:r w:rsidRPr="0023080E">
        <w:rPr>
          <w:rFonts w:asciiTheme="majorHAnsi" w:hAnsiTheme="majorHAnsi" w:cstheme="majorHAnsi"/>
          <w:sz w:val="23"/>
          <w:szCs w:val="23"/>
        </w:rPr>
        <w:t xml:space="preserve"> local connections, significant expertise, and existing resources; its effective use of co-design, participatory, and mentoring approaches to engage young people; strong local partnerships; and diverse funding sources. Oslo Living Lab is also part of two key EU research projects, the Edible City Network and the </w:t>
      </w:r>
      <w:proofErr w:type="spellStart"/>
      <w:r w:rsidRPr="0023080E">
        <w:rPr>
          <w:rFonts w:asciiTheme="majorHAnsi" w:hAnsiTheme="majorHAnsi" w:cstheme="majorHAnsi"/>
          <w:sz w:val="23"/>
          <w:szCs w:val="23"/>
        </w:rPr>
        <w:t>PlaceCity</w:t>
      </w:r>
      <w:proofErr w:type="spellEnd"/>
      <w:r w:rsidRPr="0023080E">
        <w:rPr>
          <w:rFonts w:asciiTheme="majorHAnsi" w:hAnsiTheme="majorHAnsi" w:cstheme="majorHAnsi"/>
          <w:sz w:val="23"/>
          <w:szCs w:val="23"/>
        </w:rPr>
        <w:t xml:space="preserve"> project. While no formal evaluation is yet available, the program will be tracked through these initiatives.</w:t>
      </w:r>
    </w:p>
    <w:p w14:paraId="6E93AFF6" w14:textId="654081FA"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Placemaking Sub-Projects (Tactical Urbanism):</w:t>
      </w:r>
    </w:p>
    <w:p w14:paraId="32D273CB" w14:textId="77777777" w:rsidR="0023080E" w:rsidRPr="0023080E" w:rsidRDefault="0023080E" w:rsidP="00BF12E4">
      <w:pPr>
        <w:numPr>
          <w:ilvl w:val="0"/>
          <w:numId w:val="7"/>
        </w:numPr>
        <w:rPr>
          <w:rFonts w:asciiTheme="majorHAnsi" w:hAnsiTheme="majorHAnsi" w:cstheme="majorHAnsi"/>
          <w:sz w:val="23"/>
          <w:szCs w:val="23"/>
        </w:rPr>
      </w:pPr>
      <w:r w:rsidRPr="0023080E">
        <w:rPr>
          <w:rFonts w:asciiTheme="majorHAnsi" w:hAnsiTheme="majorHAnsi" w:cstheme="majorHAnsi"/>
          <w:sz w:val="23"/>
          <w:szCs w:val="23"/>
        </w:rPr>
        <w:t xml:space="preserve">Pop-up furniture: Oslo Living Lab employed local youth to co-create a colourful meeting place in their schoolyard for (and with) the local community. Working alongside volunteers from the local community, and guided by mentors from Makers’ Hub, a group of participatory building experts, the young people learned how to build pop-up furniture. They chose paint colours, built and painted six movable seating modules, and planted fruit and flowers in integrated planters. Music and lunch were provided. Participants gained practical skills and made new connections. Funding sources included the JPI </w:t>
      </w:r>
      <w:proofErr w:type="spellStart"/>
      <w:r w:rsidRPr="0023080E">
        <w:rPr>
          <w:rFonts w:asciiTheme="majorHAnsi" w:hAnsiTheme="majorHAnsi" w:cstheme="majorHAnsi"/>
          <w:sz w:val="23"/>
          <w:szCs w:val="23"/>
        </w:rPr>
        <w:t>PlaceCity</w:t>
      </w:r>
      <w:proofErr w:type="spellEnd"/>
      <w:r w:rsidRPr="0023080E">
        <w:rPr>
          <w:rFonts w:asciiTheme="majorHAnsi" w:hAnsiTheme="majorHAnsi" w:cstheme="majorHAnsi"/>
          <w:sz w:val="23"/>
          <w:szCs w:val="23"/>
        </w:rPr>
        <w:t xml:space="preserve"> project (Placemaking Europe, n.d.).</w:t>
      </w:r>
    </w:p>
    <w:p w14:paraId="4EB0FD4D" w14:textId="77777777" w:rsidR="0023080E" w:rsidRPr="0023080E" w:rsidRDefault="0023080E" w:rsidP="00BF12E4">
      <w:pPr>
        <w:numPr>
          <w:ilvl w:val="0"/>
          <w:numId w:val="7"/>
        </w:numPr>
        <w:rPr>
          <w:rFonts w:asciiTheme="majorHAnsi" w:hAnsiTheme="majorHAnsi" w:cstheme="majorHAnsi"/>
          <w:sz w:val="23"/>
          <w:szCs w:val="23"/>
        </w:rPr>
      </w:pPr>
      <w:r w:rsidRPr="0023080E">
        <w:rPr>
          <w:rFonts w:asciiTheme="majorHAnsi" w:hAnsiTheme="majorHAnsi" w:cstheme="majorHAnsi"/>
          <w:sz w:val="23"/>
          <w:szCs w:val="23"/>
        </w:rPr>
        <w:t>Parking Day: 13 students transformed an underused street outside their school into a community space, staging a street party with music, workshops, fun activities, and food from local businesses. Young people offered snacks to passing residents.</w:t>
      </w:r>
    </w:p>
    <w:p w14:paraId="46EFCAF4" w14:textId="44BACCB2" w:rsidR="0023080E" w:rsidRPr="0023080E" w:rsidRDefault="0023080E" w:rsidP="00BF12E4">
      <w:pPr>
        <w:numPr>
          <w:ilvl w:val="0"/>
          <w:numId w:val="7"/>
        </w:numPr>
        <w:rPr>
          <w:rFonts w:asciiTheme="majorHAnsi" w:hAnsiTheme="majorHAnsi" w:cstheme="majorHAnsi"/>
          <w:sz w:val="23"/>
          <w:szCs w:val="23"/>
        </w:rPr>
      </w:pPr>
      <w:r w:rsidRPr="0023080E">
        <w:rPr>
          <w:rFonts w:asciiTheme="majorHAnsi" w:hAnsiTheme="majorHAnsi" w:cstheme="majorHAnsi"/>
          <w:sz w:val="23"/>
          <w:szCs w:val="23"/>
        </w:rPr>
        <w:t>Pop-up Cafes: students created three temporary spaces for students and passers-by to sit and socialise, sharing free food and drinks.</w:t>
      </w:r>
    </w:p>
    <w:p w14:paraId="40872FC1" w14:textId="4D4B95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Green Training and Employment Sub-Projects:</w:t>
      </w:r>
    </w:p>
    <w:p w14:paraId="1D3FDCDA" w14:textId="77777777" w:rsidR="0023080E" w:rsidRPr="0023080E" w:rsidRDefault="0023080E" w:rsidP="00BF12E4">
      <w:pPr>
        <w:numPr>
          <w:ilvl w:val="0"/>
          <w:numId w:val="5"/>
        </w:numPr>
        <w:rPr>
          <w:rFonts w:asciiTheme="majorHAnsi" w:hAnsiTheme="majorHAnsi" w:cstheme="majorHAnsi"/>
          <w:sz w:val="23"/>
          <w:szCs w:val="23"/>
        </w:rPr>
      </w:pPr>
      <w:r w:rsidRPr="0023080E">
        <w:rPr>
          <w:rFonts w:asciiTheme="majorHAnsi" w:hAnsiTheme="majorHAnsi" w:cstheme="majorHAnsi"/>
          <w:sz w:val="23"/>
          <w:szCs w:val="23"/>
        </w:rPr>
        <w:t xml:space="preserve">Rooftop garden: 12 at-risk young people (aged 16–20) were paid a union wage to work part time in </w:t>
      </w:r>
      <w:proofErr w:type="spellStart"/>
      <w:r w:rsidRPr="0023080E">
        <w:rPr>
          <w:rFonts w:asciiTheme="majorHAnsi" w:hAnsiTheme="majorHAnsi" w:cstheme="majorHAnsi"/>
          <w:sz w:val="23"/>
          <w:szCs w:val="23"/>
        </w:rPr>
        <w:t>Nabolagshager’s</w:t>
      </w:r>
      <w:proofErr w:type="spellEnd"/>
      <w:r w:rsidRPr="0023080E">
        <w:rPr>
          <w:rFonts w:asciiTheme="majorHAnsi" w:hAnsiTheme="majorHAnsi" w:cstheme="majorHAnsi"/>
          <w:sz w:val="23"/>
          <w:szCs w:val="23"/>
        </w:rPr>
        <w:t xml:space="preserve"> rooftop garden in summer 2018. The garden has 30 raised beds, a greenhouse, beehives, fruit trees, and laying hens. Participants planted, grew, and harvested food, cared for animals, undertook construction projects, and did workplace skills training. The project is being evaluated, but </w:t>
      </w:r>
      <w:hyperlink r:id="rId24" w:history="1">
        <w:r w:rsidRPr="0023080E">
          <w:rPr>
            <w:rStyle w:val="Hyperlink"/>
            <w:rFonts w:asciiTheme="majorHAnsi" w:hAnsiTheme="majorHAnsi" w:cstheme="majorHAnsi"/>
            <w:sz w:val="23"/>
            <w:szCs w:val="23"/>
          </w:rPr>
          <w:t>initial findings</w:t>
        </w:r>
      </w:hyperlink>
      <w:r w:rsidRPr="0023080E">
        <w:rPr>
          <w:rFonts w:asciiTheme="majorHAnsi" w:hAnsiTheme="majorHAnsi" w:cstheme="majorHAnsi"/>
          <w:sz w:val="23"/>
          <w:szCs w:val="23"/>
        </w:rPr>
        <w:t xml:space="preserve"> suggest it fostered social inclusion. Participants received written references to use in job applications, and many expressed </w:t>
      </w:r>
      <w:proofErr w:type="gramStart"/>
      <w:r w:rsidRPr="0023080E">
        <w:rPr>
          <w:rFonts w:asciiTheme="majorHAnsi" w:hAnsiTheme="majorHAnsi" w:cstheme="majorHAnsi"/>
          <w:sz w:val="23"/>
          <w:szCs w:val="23"/>
        </w:rPr>
        <w:t>interest</w:t>
      </w:r>
      <w:proofErr w:type="gramEnd"/>
      <w:r w:rsidRPr="0023080E">
        <w:rPr>
          <w:rFonts w:asciiTheme="majorHAnsi" w:hAnsiTheme="majorHAnsi" w:cstheme="majorHAnsi"/>
          <w:sz w:val="23"/>
          <w:szCs w:val="23"/>
        </w:rPr>
        <w:t xml:space="preserve"> in further work. Program funding came from private and public grants. Future graduates will be trained to work as consultants and peer mentors (Curtis &amp; </w:t>
      </w:r>
      <w:proofErr w:type="spellStart"/>
      <w:r w:rsidRPr="0023080E">
        <w:rPr>
          <w:rFonts w:asciiTheme="majorHAnsi" w:hAnsiTheme="majorHAnsi" w:cstheme="majorHAnsi"/>
          <w:sz w:val="23"/>
          <w:szCs w:val="23"/>
        </w:rPr>
        <w:t>Gallis</w:t>
      </w:r>
      <w:proofErr w:type="spellEnd"/>
      <w:r w:rsidRPr="0023080E">
        <w:rPr>
          <w:rFonts w:asciiTheme="majorHAnsi" w:hAnsiTheme="majorHAnsi" w:cstheme="majorHAnsi"/>
          <w:sz w:val="23"/>
          <w:szCs w:val="23"/>
        </w:rPr>
        <w:t xml:space="preserve">, 2018: 15–17). </w:t>
      </w:r>
    </w:p>
    <w:p w14:paraId="787B8AC3" w14:textId="5705BD89" w:rsidR="0023080E" w:rsidRPr="0023080E" w:rsidRDefault="0023080E" w:rsidP="00BF12E4">
      <w:pPr>
        <w:numPr>
          <w:ilvl w:val="0"/>
          <w:numId w:val="5"/>
        </w:numPr>
        <w:rPr>
          <w:rFonts w:asciiTheme="majorHAnsi" w:hAnsiTheme="majorHAnsi" w:cstheme="majorHAnsi"/>
          <w:sz w:val="23"/>
          <w:szCs w:val="23"/>
        </w:rPr>
      </w:pPr>
      <w:r w:rsidRPr="0023080E">
        <w:rPr>
          <w:rFonts w:asciiTheme="majorHAnsi" w:hAnsiTheme="majorHAnsi" w:cstheme="majorHAnsi"/>
          <w:sz w:val="23"/>
          <w:szCs w:val="23"/>
        </w:rPr>
        <w:t xml:space="preserve">Circular business model: In 2018–2019, OLL ran an award-winning pilot program using waste from five local businesses to produce a new product. Using bokashi composting, young people made an organic fertiliser, along with a “growing kit” for urban farmers, selling them via pop-up stands at markets. Participants learned business planning, branding, social media, </w:t>
      </w:r>
      <w:r w:rsidRPr="0023080E">
        <w:rPr>
          <w:rFonts w:asciiTheme="majorHAnsi" w:hAnsiTheme="majorHAnsi" w:cstheme="majorHAnsi"/>
          <w:sz w:val="23"/>
          <w:szCs w:val="23"/>
        </w:rPr>
        <w:lastRenderedPageBreak/>
        <w:t>production, marketing, and sales. Project partners included local businesses and Oslo School of Architecture and Design (</w:t>
      </w:r>
      <w:proofErr w:type="spellStart"/>
      <w:r w:rsidRPr="0023080E">
        <w:rPr>
          <w:rFonts w:asciiTheme="majorHAnsi" w:hAnsiTheme="majorHAnsi" w:cstheme="majorHAnsi"/>
          <w:sz w:val="23"/>
          <w:szCs w:val="23"/>
        </w:rPr>
        <w:t>Sæstad</w:t>
      </w:r>
      <w:proofErr w:type="spellEnd"/>
      <w:r w:rsidRPr="0023080E">
        <w:rPr>
          <w:rFonts w:asciiTheme="majorHAnsi" w:hAnsiTheme="majorHAnsi" w:cstheme="majorHAnsi"/>
          <w:sz w:val="23"/>
          <w:szCs w:val="23"/>
        </w:rPr>
        <w:t>, 2019).</w:t>
      </w:r>
    </w:p>
    <w:p w14:paraId="368762E9" w14:textId="77777777" w:rsidR="0023080E" w:rsidRPr="00BF12E4" w:rsidRDefault="0023080E" w:rsidP="0023080E">
      <w:pPr>
        <w:pStyle w:val="Heading2"/>
      </w:pPr>
      <w:bookmarkStart w:id="28" w:name="_Toc108180707"/>
      <w:bookmarkStart w:id="29" w:name="_Hlk70864745"/>
      <w:r w:rsidRPr="00BF12E4">
        <w:t>We Design for Life: Design-Led Policy Development and Participatory Urban Regeneration</w:t>
      </w:r>
      <w:bookmarkEnd w:id="28"/>
    </w:p>
    <w:p w14:paraId="73689607" w14:textId="67B1D709" w:rsidR="0023080E" w:rsidRPr="00BF12E4" w:rsidRDefault="0023080E" w:rsidP="00BF12E4">
      <w:r w:rsidRPr="00BF12E4">
        <w:t>Kolding, Denmark (2012–present)</w:t>
      </w:r>
      <w:bookmarkEnd w:id="29"/>
    </w:p>
    <w:p w14:paraId="0E50801C" w14:textId="3697B917"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Liveability</w:t>
      </w:r>
    </w:p>
    <w:p w14:paraId="21653BAA" w14:textId="6BF787E1" w:rsidR="0023080E" w:rsidRPr="00E722EF" w:rsidRDefault="0023080E" w:rsidP="00E722EF">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Education, Employment, Housing, Health and Wellbeing</w:t>
      </w:r>
    </w:p>
    <w:p w14:paraId="1E95257C" w14:textId="75A48995"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Kolding (pop. 61,000) is a seaport city in Denmark. The city is now a high-tech manufacturing and transport hub, but its historic roots lie in textile manufacturing and silver production. A UNESCO City of Design since 2017, Kolding is part of Denmark’s Triangle Region, made up of seven Danish municipalities that cooperate economically and politically.</w:t>
      </w:r>
    </w:p>
    <w:p w14:paraId="58C66B3E" w14:textId="443F1E5A"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While English-language data on Kolding is scant, there is evidence of locational disadvantage. The suburb of </w:t>
      </w:r>
      <w:proofErr w:type="spellStart"/>
      <w:r w:rsidRPr="00E722EF">
        <w:rPr>
          <w:rFonts w:asciiTheme="majorHAnsi" w:hAnsiTheme="majorHAnsi" w:cstheme="majorHAnsi"/>
          <w:sz w:val="23"/>
          <w:szCs w:val="23"/>
        </w:rPr>
        <w:t>Skovvejen</w:t>
      </w:r>
      <w:proofErr w:type="spellEnd"/>
      <w:r w:rsidRPr="00E722EF">
        <w:rPr>
          <w:rFonts w:asciiTheme="majorHAnsi" w:hAnsiTheme="majorHAnsi" w:cstheme="majorHAnsi"/>
          <w:sz w:val="23"/>
          <w:szCs w:val="23"/>
        </w:rPr>
        <w:t>/</w:t>
      </w:r>
      <w:proofErr w:type="spellStart"/>
      <w:r w:rsidRPr="00E722EF">
        <w:rPr>
          <w:rFonts w:asciiTheme="majorHAnsi" w:hAnsiTheme="majorHAnsi" w:cstheme="majorHAnsi"/>
          <w:sz w:val="23"/>
          <w:szCs w:val="23"/>
        </w:rPr>
        <w:t>Skovparken</w:t>
      </w:r>
      <w:proofErr w:type="spellEnd"/>
      <w:r w:rsidRPr="00E722EF">
        <w:rPr>
          <w:rFonts w:asciiTheme="majorHAnsi" w:hAnsiTheme="majorHAnsi" w:cstheme="majorHAnsi"/>
          <w:sz w:val="23"/>
          <w:szCs w:val="23"/>
        </w:rPr>
        <w:t xml:space="preserve">, for example, is one of Denmark’s 15 legally designated “ghettos”, controversially defined as a neighbourhood of 1000-plus where 50 percent of residents have “non-Western” heritage, and where income, education, and employment levels are low. The area has a high concentration of social </w:t>
      </w:r>
      <w:proofErr w:type="gramStart"/>
      <w:r w:rsidRPr="00E722EF">
        <w:rPr>
          <w:rFonts w:asciiTheme="majorHAnsi" w:hAnsiTheme="majorHAnsi" w:cstheme="majorHAnsi"/>
          <w:sz w:val="23"/>
          <w:szCs w:val="23"/>
        </w:rPr>
        <w:t>housing</w:t>
      </w:r>
      <w:proofErr w:type="gramEnd"/>
      <w:r w:rsidRPr="00E722EF">
        <w:rPr>
          <w:rFonts w:asciiTheme="majorHAnsi" w:hAnsiTheme="majorHAnsi" w:cstheme="majorHAnsi"/>
          <w:sz w:val="23"/>
          <w:szCs w:val="23"/>
        </w:rPr>
        <w:t xml:space="preserve"> and many residents are from refugee backgrounds (Overgaard, 2018; Barrett, 2020; Nord News, 2020).</w:t>
      </w:r>
    </w:p>
    <w:p w14:paraId="416F16A6" w14:textId="447C3B09"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 xml:space="preserve">In 2010, the Kolding Municipal Council began exploring options to regenerate the city, which was being impacted by the GFC, an ageing population, and a lacklustre reputation. After conducting a survey on the city’s image, in 2012 Council engaged a consultant to run staff workshops and in-depth citizen interviews to pinpoint Kolding’s main strengths. Four “future scenarios” were then devised and tested in creative workshops with residents. Finally, 650 citizens attended a public meeting (“Vision Forum”) to explore scenarios in depth. SMS responses were streamed to a big screen, and attendees voted for their preferred scenario. Co-designed with 900 residents, the resulting Vision Statement positioned Kolding as a hub for entrepreneurship, social innovation, and education. In December 2012 it evolved into a municipal strategy called “We Design </w:t>
      </w:r>
      <w:proofErr w:type="gramStart"/>
      <w:r w:rsidRPr="00E722EF">
        <w:rPr>
          <w:rFonts w:asciiTheme="majorHAnsi" w:hAnsiTheme="majorHAnsi" w:cstheme="majorHAnsi"/>
          <w:sz w:val="23"/>
          <w:szCs w:val="23"/>
        </w:rPr>
        <w:t>For</w:t>
      </w:r>
      <w:proofErr w:type="gramEnd"/>
      <w:r w:rsidRPr="00E722EF">
        <w:rPr>
          <w:rFonts w:asciiTheme="majorHAnsi" w:hAnsiTheme="majorHAnsi" w:cstheme="majorHAnsi"/>
          <w:sz w:val="23"/>
          <w:szCs w:val="23"/>
        </w:rPr>
        <w:t xml:space="preserve"> Life”, which puts design at the centre of all civic processes.</w:t>
      </w:r>
    </w:p>
    <w:p w14:paraId="5BE25741" w14:textId="6CF1A80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Kolding’s approach went beyond the traditional formats for design-led regeneration: urban design (new/upgraded public facilities), creative industries approaches (attracting creative workers), cultural planning (devising events to attract investment), and place-branding. Criticisms of these approaches highlight their high cost, tendency to fragment into projects run by separate departments, and focus on material outcomes, rather than design-led processes (</w:t>
      </w:r>
      <w:proofErr w:type="spellStart"/>
      <w:r w:rsidRPr="00E722EF">
        <w:rPr>
          <w:rFonts w:asciiTheme="majorHAnsi" w:hAnsiTheme="majorHAnsi" w:cstheme="majorHAnsi"/>
          <w:sz w:val="23"/>
          <w:szCs w:val="23"/>
        </w:rPr>
        <w:t>Julier</w:t>
      </w:r>
      <w:proofErr w:type="spellEnd"/>
      <w:r w:rsidRPr="00E722EF">
        <w:rPr>
          <w:rFonts w:asciiTheme="majorHAnsi" w:hAnsiTheme="majorHAnsi" w:cstheme="majorHAnsi"/>
          <w:sz w:val="23"/>
          <w:szCs w:val="23"/>
        </w:rPr>
        <w:t xml:space="preserve"> &amp; </w:t>
      </w:r>
      <w:proofErr w:type="spellStart"/>
      <w:r w:rsidRPr="00E722EF">
        <w:rPr>
          <w:rFonts w:asciiTheme="majorHAnsi" w:hAnsiTheme="majorHAnsi" w:cstheme="majorHAnsi"/>
          <w:sz w:val="23"/>
          <w:szCs w:val="23"/>
        </w:rPr>
        <w:t>Leerberg</w:t>
      </w:r>
      <w:proofErr w:type="spellEnd"/>
      <w:r w:rsidRPr="00E722EF">
        <w:rPr>
          <w:rFonts w:asciiTheme="majorHAnsi" w:hAnsiTheme="majorHAnsi" w:cstheme="majorHAnsi"/>
          <w:sz w:val="23"/>
          <w:szCs w:val="23"/>
        </w:rPr>
        <w:t>, 2014).</w:t>
      </w:r>
    </w:p>
    <w:p w14:paraId="76AE06CA" w14:textId="0DC7F3A1"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t>Kolding’s strategy exemplifies the emergent use of “design thinking” as a policy development tool (Armstrong et al, 2014). Design thinking is an exploratory, iterative, collaborative process in which participants redefine problems and co-create solutions. It emphasises empathy, observation, visualisation, prototyping, and testing (</w:t>
      </w:r>
      <w:proofErr w:type="spellStart"/>
      <w:r w:rsidRPr="00E722EF">
        <w:rPr>
          <w:rFonts w:asciiTheme="majorHAnsi" w:hAnsiTheme="majorHAnsi" w:cstheme="majorHAnsi"/>
          <w:sz w:val="23"/>
          <w:szCs w:val="23"/>
        </w:rPr>
        <w:t>Mintrom</w:t>
      </w:r>
      <w:proofErr w:type="spellEnd"/>
      <w:r w:rsidRPr="00E722EF">
        <w:rPr>
          <w:rFonts w:asciiTheme="majorHAnsi" w:hAnsiTheme="majorHAnsi" w:cstheme="majorHAnsi"/>
          <w:sz w:val="23"/>
          <w:szCs w:val="23"/>
        </w:rPr>
        <w:t xml:space="preserve"> &amp; </w:t>
      </w:r>
      <w:proofErr w:type="spellStart"/>
      <w:r w:rsidRPr="00E722EF">
        <w:rPr>
          <w:rFonts w:asciiTheme="majorHAnsi" w:hAnsiTheme="majorHAnsi" w:cstheme="majorHAnsi"/>
          <w:sz w:val="23"/>
          <w:szCs w:val="23"/>
        </w:rPr>
        <w:t>Luetjens</w:t>
      </w:r>
      <w:proofErr w:type="spellEnd"/>
      <w:r w:rsidRPr="00E722EF">
        <w:rPr>
          <w:rFonts w:asciiTheme="majorHAnsi" w:hAnsiTheme="majorHAnsi" w:cstheme="majorHAnsi"/>
          <w:sz w:val="23"/>
          <w:szCs w:val="23"/>
        </w:rPr>
        <w:t>, 2016). To support the new strategy the City created a Design Secretariat, established a new role of Chief Design Officer, trained 25 staff in design thinking, engaged 250 municipal managers to revise council systems, and recruited 50 local representatives as “vision ambassadors” (</w:t>
      </w:r>
      <w:proofErr w:type="spellStart"/>
      <w:r w:rsidRPr="00E722EF">
        <w:rPr>
          <w:rFonts w:asciiTheme="majorHAnsi" w:hAnsiTheme="majorHAnsi" w:cstheme="majorHAnsi"/>
          <w:sz w:val="23"/>
          <w:szCs w:val="23"/>
        </w:rPr>
        <w:t>Jungersen</w:t>
      </w:r>
      <w:proofErr w:type="spellEnd"/>
      <w:r w:rsidRPr="00E722EF">
        <w:rPr>
          <w:rFonts w:asciiTheme="majorHAnsi" w:hAnsiTheme="majorHAnsi" w:cstheme="majorHAnsi"/>
          <w:sz w:val="23"/>
          <w:szCs w:val="23"/>
        </w:rPr>
        <w:t xml:space="preserve"> &amp; Hansen 2014).</w:t>
      </w:r>
    </w:p>
    <w:p w14:paraId="0D476E7E" w14:textId="77777777" w:rsidR="0023080E" w:rsidRPr="00E722EF" w:rsidRDefault="0023080E" w:rsidP="00BF12E4">
      <w:pPr>
        <w:rPr>
          <w:rFonts w:asciiTheme="majorHAnsi" w:hAnsiTheme="majorHAnsi" w:cstheme="majorHAnsi"/>
          <w:sz w:val="23"/>
          <w:szCs w:val="23"/>
        </w:rPr>
      </w:pPr>
      <w:r w:rsidRPr="00E722EF">
        <w:rPr>
          <w:rFonts w:asciiTheme="majorHAnsi" w:hAnsiTheme="majorHAnsi" w:cstheme="majorHAnsi"/>
          <w:sz w:val="23"/>
          <w:szCs w:val="23"/>
        </w:rPr>
        <w:lastRenderedPageBreak/>
        <w:t>One evaluation found Kolding’s shift to design-driven processes reduced the municipality’s expenses by 6.6 million Euros per year from 2013–2015 (UNESCO, n.d.). Success factors include effective citizen engagement; partnerships with local universities and business associations; and an existing Danish governance culture that emphasise co-creation, participation, and decentralised decision-making. Detailed English-language sources are scant, but many initiatives evidently seek to engage citizens in addressing social disadvantage and/or sustainability. Examples include:</w:t>
      </w:r>
    </w:p>
    <w:p w14:paraId="08669C09" w14:textId="77777777" w:rsidR="0023080E" w:rsidRPr="00E722EF" w:rsidRDefault="0023080E" w:rsidP="00BF12E4">
      <w:pPr>
        <w:numPr>
          <w:ilvl w:val="0"/>
          <w:numId w:val="6"/>
        </w:numPr>
        <w:rPr>
          <w:rFonts w:asciiTheme="majorHAnsi" w:hAnsiTheme="majorHAnsi" w:cstheme="majorHAnsi"/>
          <w:sz w:val="23"/>
          <w:szCs w:val="23"/>
        </w:rPr>
      </w:pPr>
      <w:proofErr w:type="gramStart"/>
      <w:r w:rsidRPr="00E722EF">
        <w:rPr>
          <w:rFonts w:asciiTheme="majorHAnsi" w:hAnsiTheme="majorHAnsi" w:cstheme="majorHAnsi"/>
          <w:sz w:val="23"/>
          <w:szCs w:val="23"/>
        </w:rPr>
        <w:t>RE:USE</w:t>
      </w:r>
      <w:proofErr w:type="gramEnd"/>
      <w:r w:rsidRPr="00E722EF">
        <w:rPr>
          <w:rFonts w:asciiTheme="majorHAnsi" w:hAnsiTheme="majorHAnsi" w:cstheme="majorHAnsi"/>
          <w:sz w:val="23"/>
          <w:szCs w:val="23"/>
        </w:rPr>
        <w:t xml:space="preserve"> circular economy project: unwanted household items are donated to the city’s recycling depot, upcycled by staff, and displayed in a showroom. Unemployed citizens can collect the items for free. In 2018, 36.5 tons of furniture and appliances were donated to vulnerable residents; 52 unemployed people worked in the project, 50 percent of whom subsequently took up employment, internships, or education opportunities (Kolding Municipality, 2019: 14–15).</w:t>
      </w:r>
    </w:p>
    <w:p w14:paraId="637CCAF3" w14:textId="77777777" w:rsidR="0023080E" w:rsidRPr="00E722EF" w:rsidRDefault="0023080E" w:rsidP="00BF12E4">
      <w:pPr>
        <w:numPr>
          <w:ilvl w:val="0"/>
          <w:numId w:val="6"/>
        </w:numPr>
        <w:rPr>
          <w:rFonts w:asciiTheme="majorHAnsi" w:hAnsiTheme="majorHAnsi" w:cstheme="majorHAnsi"/>
          <w:sz w:val="23"/>
          <w:szCs w:val="23"/>
        </w:rPr>
      </w:pPr>
      <w:r w:rsidRPr="00E722EF">
        <w:rPr>
          <w:rFonts w:asciiTheme="majorHAnsi" w:hAnsiTheme="majorHAnsi" w:cstheme="majorHAnsi"/>
          <w:sz w:val="23"/>
          <w:szCs w:val="23"/>
        </w:rPr>
        <w:t>Sustainable City: retrofitted portable shipping container where citizens co-design sustainability projects (repair events, urban gardens, sustainable festivals) with municipal staff (ICLEI, n.d.).</w:t>
      </w:r>
    </w:p>
    <w:p w14:paraId="4582C9A2" w14:textId="77777777" w:rsidR="0023080E" w:rsidRPr="00E722EF" w:rsidRDefault="0023080E" w:rsidP="00BF12E4">
      <w:pPr>
        <w:numPr>
          <w:ilvl w:val="0"/>
          <w:numId w:val="6"/>
        </w:numPr>
        <w:rPr>
          <w:rFonts w:asciiTheme="majorHAnsi" w:hAnsiTheme="majorHAnsi" w:cstheme="majorHAnsi"/>
          <w:sz w:val="23"/>
          <w:szCs w:val="23"/>
        </w:rPr>
      </w:pPr>
      <w:r w:rsidRPr="00E722EF">
        <w:rPr>
          <w:rFonts w:asciiTheme="majorHAnsi" w:hAnsiTheme="majorHAnsi" w:cstheme="majorHAnsi"/>
          <w:sz w:val="23"/>
          <w:szCs w:val="23"/>
        </w:rPr>
        <w:t>International Design Camp 2017: over two weeks, Danish and international students joined companies, designers and researchers to co-design “scalable design solutions to meet the world’s sustainability challenges” (partnership with Kolding Design School and Business Kolding)</w:t>
      </w:r>
    </w:p>
    <w:p w14:paraId="457E2145" w14:textId="77777777" w:rsidR="0023080E" w:rsidRPr="00E722EF" w:rsidRDefault="0023080E" w:rsidP="00BF12E4">
      <w:pPr>
        <w:numPr>
          <w:ilvl w:val="0"/>
          <w:numId w:val="6"/>
        </w:numPr>
        <w:rPr>
          <w:rFonts w:asciiTheme="majorHAnsi" w:hAnsiTheme="majorHAnsi" w:cstheme="majorHAnsi"/>
          <w:sz w:val="23"/>
          <w:szCs w:val="23"/>
        </w:rPr>
      </w:pPr>
      <w:r w:rsidRPr="00E722EF">
        <w:rPr>
          <w:rFonts w:asciiTheme="majorHAnsi" w:hAnsiTheme="majorHAnsi" w:cstheme="majorHAnsi"/>
          <w:sz w:val="23"/>
          <w:szCs w:val="23"/>
        </w:rPr>
        <w:t>Sustainable Social Housing Project: university-City partnership that challenged PhD students to design strategies to upgrade Kolding’s social housing spaces (</w:t>
      </w:r>
      <w:proofErr w:type="spellStart"/>
      <w:r w:rsidRPr="00E722EF">
        <w:rPr>
          <w:rFonts w:asciiTheme="majorHAnsi" w:hAnsiTheme="majorHAnsi" w:cstheme="majorHAnsi"/>
          <w:sz w:val="23"/>
          <w:szCs w:val="23"/>
        </w:rPr>
        <w:t>Jungersen</w:t>
      </w:r>
      <w:proofErr w:type="spellEnd"/>
      <w:r w:rsidRPr="00E722EF">
        <w:rPr>
          <w:rFonts w:asciiTheme="majorHAnsi" w:hAnsiTheme="majorHAnsi" w:cstheme="majorHAnsi"/>
          <w:sz w:val="23"/>
          <w:szCs w:val="23"/>
        </w:rPr>
        <w:t xml:space="preserve"> &amp; Calleja, 2017: 5)</w:t>
      </w:r>
    </w:p>
    <w:p w14:paraId="12CF309B" w14:textId="77777777" w:rsidR="0023080E" w:rsidRPr="00E722EF" w:rsidRDefault="0023080E" w:rsidP="00BF12E4">
      <w:pPr>
        <w:numPr>
          <w:ilvl w:val="0"/>
          <w:numId w:val="6"/>
        </w:numPr>
        <w:rPr>
          <w:rFonts w:asciiTheme="majorHAnsi" w:hAnsiTheme="majorHAnsi" w:cstheme="majorHAnsi"/>
          <w:sz w:val="23"/>
          <w:szCs w:val="23"/>
        </w:rPr>
      </w:pPr>
      <w:r w:rsidRPr="00E722EF">
        <w:rPr>
          <w:rFonts w:asciiTheme="majorHAnsi" w:hAnsiTheme="majorHAnsi" w:cstheme="majorHAnsi"/>
          <w:sz w:val="23"/>
          <w:szCs w:val="23"/>
        </w:rPr>
        <w:t>Warm Hearted Job Centre (2015): jobseekers found Kolding’s Job Centre unwelcoming and did not enjoy engaging with staff. This intervention sought to make the place more “warm hearted” for them. Workshops were run, and a script for a “warm hearted” phone conversation was developed; the user journey through the centre was mapped, décor upgraded, and architectural firms submitted proposals for a café in the foyer. An evaluation found improved user perceptions of interactions with staff (City of Kolding, 2017).</w:t>
      </w:r>
    </w:p>
    <w:p w14:paraId="31886A4C" w14:textId="77777777" w:rsidR="0023080E" w:rsidRPr="00BF12E4" w:rsidRDefault="0023080E" w:rsidP="0023080E">
      <w:pPr>
        <w:pStyle w:val="Heading2"/>
      </w:pPr>
      <w:bookmarkStart w:id="30" w:name="_Toc108180708"/>
      <w:bookmarkStart w:id="31" w:name="_Hlk70864771"/>
      <w:r w:rsidRPr="00BF12E4">
        <w:t xml:space="preserve">All Right? Community-Led Mental Health Initiative </w:t>
      </w:r>
      <w:proofErr w:type="gramStart"/>
      <w:r w:rsidRPr="00BF12E4">
        <w:t>For</w:t>
      </w:r>
      <w:proofErr w:type="gramEnd"/>
      <w:r w:rsidRPr="00BF12E4">
        <w:t xml:space="preserve"> Disaster Recovery</w:t>
      </w:r>
      <w:bookmarkEnd w:id="30"/>
    </w:p>
    <w:p w14:paraId="3D09A86E" w14:textId="12450238" w:rsidR="0023080E" w:rsidRPr="00BF12E4" w:rsidRDefault="0023080E" w:rsidP="00BF12E4">
      <w:r w:rsidRPr="00BF12E4">
        <w:t>Christchurch, New Zealand (2013–present)</w:t>
      </w:r>
      <w:bookmarkEnd w:id="31"/>
    </w:p>
    <w:p w14:paraId="368F6A64" w14:textId="3F013A03" w:rsidR="0023080E" w:rsidRPr="0023080E" w:rsidRDefault="0023080E" w:rsidP="0023080E">
      <w:pPr>
        <w:spacing w:after="0"/>
        <w:rPr>
          <w:b/>
          <w:bCs/>
          <w:color w:val="595959" w:themeColor="text1" w:themeTint="A6"/>
        </w:rPr>
      </w:pPr>
      <w:r w:rsidRPr="0023080E">
        <w:rPr>
          <w:b/>
          <w:bCs/>
          <w:color w:val="595959" w:themeColor="text1" w:themeTint="A6"/>
        </w:rPr>
        <w:t xml:space="preserve">Main Practice Domain(s): </w:t>
      </w:r>
      <w:r w:rsidRPr="0023080E">
        <w:rPr>
          <w:b/>
          <w:bCs/>
          <w:color w:val="595959" w:themeColor="text1" w:themeTint="A6"/>
        </w:rPr>
        <w:tab/>
        <w:t xml:space="preserve">Health and Wellbeing </w:t>
      </w:r>
    </w:p>
    <w:p w14:paraId="5FCE0976" w14:textId="2D1B629A" w:rsidR="0023080E" w:rsidRPr="0023080E" w:rsidRDefault="0023080E" w:rsidP="0023080E">
      <w:pPr>
        <w:rPr>
          <w:b/>
          <w:bCs/>
          <w:color w:val="595959" w:themeColor="text1" w:themeTint="A6"/>
        </w:rPr>
      </w:pPr>
      <w:r w:rsidRPr="0023080E">
        <w:rPr>
          <w:b/>
          <w:bCs/>
          <w:color w:val="595959" w:themeColor="text1" w:themeTint="A6"/>
        </w:rPr>
        <w:t xml:space="preserve">Secondary Practice Domain(s): </w:t>
      </w:r>
      <w:r w:rsidRPr="0023080E">
        <w:rPr>
          <w:b/>
          <w:bCs/>
          <w:color w:val="595959" w:themeColor="text1" w:themeTint="A6"/>
        </w:rPr>
        <w:tab/>
        <w:t xml:space="preserve">Education, Employment, Housing, </w:t>
      </w:r>
    </w:p>
    <w:p w14:paraId="7E4DDAAA"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In 2010 and 2011, the city of Christchurch was rocked by a series of devastating earthquakes that killed 185 people, injured 6659 more, destroyed over 10,000 homes, and reduced much of the city to rubble. In the aftermath, safeguarding residents’ wellbeing became an urgent priority for local government. The disaster sparked trauma, anxiety, and chronic stress, and exacerbated hardship and disadvantage (Sullivan &amp; Wong, 2011; Thornley et al, 2015). In a survey of 800 residents in 2012, almost one-third of respondents said the earthquakes had caused them financial problems, over one third stated that their life was worse since the quakes, and one third said they were now experiencing more health issues (All Right? 2013).</w:t>
      </w:r>
    </w:p>
    <w:p w14:paraId="7A6A4025" w14:textId="08C06DC3"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lastRenderedPageBreak/>
        <w:t xml:space="preserve">Launched in February 2013, All Right? began as a mental health promotion campaign designed to support the psychosocial recovery of Christchurch residents (pop. 390,000) and the wider Canterbury region (pop. 645,000) after the quakes. It was a community-led project, with the campaign designed by a cross-disciplinary project team made up of </w:t>
      </w:r>
      <w:proofErr w:type="gramStart"/>
      <w:r w:rsidRPr="0023080E">
        <w:rPr>
          <w:rFonts w:asciiTheme="majorHAnsi" w:hAnsiTheme="majorHAnsi" w:cstheme="majorHAnsi"/>
          <w:sz w:val="23"/>
          <w:szCs w:val="23"/>
        </w:rPr>
        <w:t>local residents</w:t>
      </w:r>
      <w:proofErr w:type="gramEnd"/>
      <w:r w:rsidRPr="0023080E">
        <w:rPr>
          <w:rFonts w:asciiTheme="majorHAnsi" w:hAnsiTheme="majorHAnsi" w:cstheme="majorHAnsi"/>
          <w:sz w:val="23"/>
          <w:szCs w:val="23"/>
        </w:rPr>
        <w:t>. The initial rollout featured validating messages and gentle questions about mental health, self-care, and the importance of seeking support from family and friends. These conversation prompts were placed on hoardings, road cones, and banners around the city. The campaign was deliberately designed to resemble guerrilla street art, not a branded official government message (SRRG, 2019: 54–62).</w:t>
      </w:r>
    </w:p>
    <w:p w14:paraId="7DB50757" w14:textId="593F750E"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The All Right? program sought to normalise conversations around wellbeing, promote responsibility-sharing, and build community capacity and resilience. It was informed by the “social determinants of health” approach, local action research, and academic literature on disaster recovery. It drew on a briefing paper by NZ’s Chief Science Advisor about the likely psychosocial effects of the quakes, and strategies for mitigating harm (</w:t>
      </w:r>
      <w:proofErr w:type="spellStart"/>
      <w:r w:rsidRPr="0023080E">
        <w:rPr>
          <w:rFonts w:asciiTheme="majorHAnsi" w:hAnsiTheme="majorHAnsi" w:cstheme="majorHAnsi"/>
          <w:sz w:val="23"/>
          <w:szCs w:val="23"/>
        </w:rPr>
        <w:t>Gluckman</w:t>
      </w:r>
      <w:proofErr w:type="spellEnd"/>
      <w:r w:rsidRPr="0023080E">
        <w:rPr>
          <w:rFonts w:asciiTheme="majorHAnsi" w:hAnsiTheme="majorHAnsi" w:cstheme="majorHAnsi"/>
          <w:sz w:val="23"/>
          <w:szCs w:val="23"/>
        </w:rPr>
        <w:t>, 2011). Post-disaster research posits four stages of recovery: the Heroic Phase, Honeymoon Phase, Disillusionment Phase, and Reconstruction Phase. All Right? was launched two years after the main quakes, during the “disillusionment phase”, when people begin to grasp how long recovery will take and start feeling frustrated, tired, overwhelmed, and a sense of grief (SRRG, 2019: 57).</w:t>
      </w:r>
    </w:p>
    <w:p w14:paraId="63CBB4F1" w14:textId="727A8229"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All Right? has evolved into an ongoing, national wellbeing and mental health program. It runs social media campaigns, publishes research, and provides free online and hard-copy resources for kids and adults, including apps, games, and parenting courses. Playful and creative elements have included singing telegrams, reassurance postcards, and tear-off complement posters. Project partners include the Canterbury District Health Board and the Mental Health Foundation of New Zealand (All Right? n.d.).</w:t>
      </w:r>
    </w:p>
    <w:p w14:paraId="4D2168F4" w14:textId="60E04432"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 xml:space="preserve">A </w:t>
      </w:r>
      <w:hyperlink r:id="rId25" w:history="1">
        <w:r w:rsidRPr="0023080E">
          <w:rPr>
            <w:rStyle w:val="Hyperlink"/>
            <w:rFonts w:asciiTheme="majorHAnsi" w:hAnsiTheme="majorHAnsi" w:cstheme="majorHAnsi"/>
            <w:sz w:val="23"/>
            <w:szCs w:val="23"/>
          </w:rPr>
          <w:t>2019 evaluation</w:t>
        </w:r>
      </w:hyperlink>
      <w:r w:rsidRPr="0023080E">
        <w:rPr>
          <w:rFonts w:asciiTheme="majorHAnsi" w:hAnsiTheme="majorHAnsi" w:cstheme="majorHAnsi"/>
          <w:sz w:val="23"/>
          <w:szCs w:val="23"/>
        </w:rPr>
        <w:t xml:space="preserve"> found that 98 percent of respondents said the All Right? campaign’s social media messages were helpful, and 96 percent said it gave them ideas about ways to help themselves (SRRG, 2019: 61). Success factors include a clear policy mandate, ongoing funding, sound research and evaluation, a basis in established practice models, effective engagement tools, and a diverse multidisciplinary team who built community trust (SRRG, 2019: 58–59). The program also helped foster several community-led recovery projects, including River of Flowers (annual memorial event), the participatory place-making project Gap Filler (tactical urbanism), and Greening the Rubble (urban greening). A “Champions Network” of residents who were recruited early in the campaign remains connected, with 60 members reuniting after the 2019 mosque attacks.</w:t>
      </w:r>
    </w:p>
    <w:p w14:paraId="15C43F72" w14:textId="77777777" w:rsidR="0023080E" w:rsidRPr="0023080E" w:rsidRDefault="0023080E" w:rsidP="00BF12E4">
      <w:pPr>
        <w:rPr>
          <w:rFonts w:asciiTheme="majorHAnsi" w:hAnsiTheme="majorHAnsi" w:cstheme="majorHAnsi"/>
          <w:sz w:val="23"/>
          <w:szCs w:val="23"/>
        </w:rPr>
      </w:pPr>
      <w:r w:rsidRPr="0023080E">
        <w:rPr>
          <w:rFonts w:asciiTheme="majorHAnsi" w:hAnsiTheme="majorHAnsi" w:cstheme="majorHAnsi"/>
          <w:sz w:val="23"/>
          <w:szCs w:val="23"/>
        </w:rPr>
        <w:t>Despite schooling disruptions, a 2017 study found that overall, the quakes did not impact school completion rates for students who remained living in Christchurch after the quakes. The study suggests post-quake health-promotion initiatives likely served as a protective factor, increasing community cohesion and helping residents manage stress (</w:t>
      </w:r>
      <w:proofErr w:type="spellStart"/>
      <w:r w:rsidRPr="0023080E">
        <w:rPr>
          <w:rFonts w:asciiTheme="majorHAnsi" w:hAnsiTheme="majorHAnsi" w:cstheme="majorHAnsi"/>
          <w:sz w:val="23"/>
          <w:szCs w:val="23"/>
        </w:rPr>
        <w:t>Beaglehole</w:t>
      </w:r>
      <w:proofErr w:type="spellEnd"/>
      <w:r w:rsidRPr="0023080E">
        <w:rPr>
          <w:rFonts w:asciiTheme="majorHAnsi" w:hAnsiTheme="majorHAnsi" w:cstheme="majorHAnsi"/>
          <w:sz w:val="23"/>
          <w:szCs w:val="23"/>
        </w:rPr>
        <w:t xml:space="preserve"> et al., 2017: 73).</w:t>
      </w:r>
    </w:p>
    <w:p w14:paraId="2E6D20B3" w14:textId="77777777" w:rsidR="00BF12E4" w:rsidRDefault="00BF12E4"/>
    <w:sectPr w:rsidR="00BF12E4">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F49B8" w14:textId="77777777" w:rsidR="004E2080" w:rsidRDefault="004E2080" w:rsidP="00BF12E4">
      <w:pPr>
        <w:spacing w:after="0" w:line="240" w:lineRule="auto"/>
      </w:pPr>
      <w:r>
        <w:separator/>
      </w:r>
    </w:p>
  </w:endnote>
  <w:endnote w:type="continuationSeparator" w:id="0">
    <w:p w14:paraId="18E4F454" w14:textId="77777777" w:rsidR="004E2080" w:rsidRDefault="004E2080" w:rsidP="00BF1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36D0" w14:textId="77777777" w:rsidR="00BC75D9" w:rsidRDefault="00BC75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26039"/>
      <w:docPartObj>
        <w:docPartGallery w:val="Page Numbers (Bottom of Page)"/>
        <w:docPartUnique/>
      </w:docPartObj>
    </w:sdtPr>
    <w:sdtEndPr>
      <w:rPr>
        <w:noProof/>
      </w:rPr>
    </w:sdtEndPr>
    <w:sdtContent>
      <w:p w14:paraId="4C903DCE" w14:textId="164248C5" w:rsidR="00E722EF" w:rsidRDefault="00E722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92277E" w14:textId="77777777" w:rsidR="00BF12E4" w:rsidRDefault="00BF1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2139E" w14:textId="77777777" w:rsidR="00BC75D9" w:rsidRDefault="00BC7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424D5" w14:textId="77777777" w:rsidR="004E2080" w:rsidRDefault="004E2080" w:rsidP="00BF12E4">
      <w:pPr>
        <w:spacing w:after="0" w:line="240" w:lineRule="auto"/>
      </w:pPr>
      <w:r>
        <w:separator/>
      </w:r>
    </w:p>
  </w:footnote>
  <w:footnote w:type="continuationSeparator" w:id="0">
    <w:p w14:paraId="634F97D6" w14:textId="77777777" w:rsidR="004E2080" w:rsidRDefault="004E2080" w:rsidP="00BF1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93C76" w14:textId="77777777" w:rsidR="00BC75D9" w:rsidRDefault="00BC7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1D34" w14:textId="77777777" w:rsidR="00BC75D9" w:rsidRDefault="00BC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2E86" w14:textId="77777777" w:rsidR="00BC75D9" w:rsidRDefault="00BC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72AA"/>
    <w:multiLevelType w:val="hybridMultilevel"/>
    <w:tmpl w:val="AA60C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5D1D3E"/>
    <w:multiLevelType w:val="hybridMultilevel"/>
    <w:tmpl w:val="08202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D552AD"/>
    <w:multiLevelType w:val="hybridMultilevel"/>
    <w:tmpl w:val="F572C5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FA69AA"/>
    <w:multiLevelType w:val="hybridMultilevel"/>
    <w:tmpl w:val="B7F274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EFA611C"/>
    <w:multiLevelType w:val="hybridMultilevel"/>
    <w:tmpl w:val="4ED838B2"/>
    <w:lvl w:ilvl="0" w:tplc="0C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0453FB"/>
    <w:multiLevelType w:val="hybridMultilevel"/>
    <w:tmpl w:val="3B582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50C153AC"/>
    <w:multiLevelType w:val="hybridMultilevel"/>
    <w:tmpl w:val="FFFFFFFF"/>
    <w:lvl w:ilvl="0" w:tplc="5358AFF0">
      <w:start w:val="1"/>
      <w:numFmt w:val="bullet"/>
      <w:lvlText w:val="·"/>
      <w:lvlJc w:val="left"/>
      <w:pPr>
        <w:ind w:left="360" w:hanging="360"/>
      </w:pPr>
      <w:rPr>
        <w:rFonts w:ascii="Symbol" w:hAnsi="Symbol" w:hint="default"/>
      </w:rPr>
    </w:lvl>
    <w:lvl w:ilvl="1" w:tplc="005C3D3C">
      <w:start w:val="1"/>
      <w:numFmt w:val="bullet"/>
      <w:lvlText w:val="o"/>
      <w:lvlJc w:val="left"/>
      <w:pPr>
        <w:ind w:left="1080" w:hanging="360"/>
      </w:pPr>
      <w:rPr>
        <w:rFonts w:ascii="Courier New" w:hAnsi="Courier New" w:hint="default"/>
      </w:rPr>
    </w:lvl>
    <w:lvl w:ilvl="2" w:tplc="9384C4BA">
      <w:start w:val="1"/>
      <w:numFmt w:val="bullet"/>
      <w:lvlText w:val=""/>
      <w:lvlJc w:val="left"/>
      <w:pPr>
        <w:ind w:left="1800" w:hanging="360"/>
      </w:pPr>
      <w:rPr>
        <w:rFonts w:ascii="Wingdings" w:hAnsi="Wingdings" w:hint="default"/>
      </w:rPr>
    </w:lvl>
    <w:lvl w:ilvl="3" w:tplc="A66292B8">
      <w:start w:val="1"/>
      <w:numFmt w:val="bullet"/>
      <w:lvlText w:val=""/>
      <w:lvlJc w:val="left"/>
      <w:pPr>
        <w:ind w:left="2520" w:hanging="360"/>
      </w:pPr>
      <w:rPr>
        <w:rFonts w:ascii="Symbol" w:hAnsi="Symbol" w:hint="default"/>
      </w:rPr>
    </w:lvl>
    <w:lvl w:ilvl="4" w:tplc="1CE6F7E4">
      <w:start w:val="1"/>
      <w:numFmt w:val="bullet"/>
      <w:lvlText w:val="o"/>
      <w:lvlJc w:val="left"/>
      <w:pPr>
        <w:ind w:left="3240" w:hanging="360"/>
      </w:pPr>
      <w:rPr>
        <w:rFonts w:ascii="Courier New" w:hAnsi="Courier New" w:hint="default"/>
      </w:rPr>
    </w:lvl>
    <w:lvl w:ilvl="5" w:tplc="7E96A024">
      <w:start w:val="1"/>
      <w:numFmt w:val="bullet"/>
      <w:lvlText w:val=""/>
      <w:lvlJc w:val="left"/>
      <w:pPr>
        <w:ind w:left="3960" w:hanging="360"/>
      </w:pPr>
      <w:rPr>
        <w:rFonts w:ascii="Wingdings" w:hAnsi="Wingdings" w:hint="default"/>
      </w:rPr>
    </w:lvl>
    <w:lvl w:ilvl="6" w:tplc="160AC50E">
      <w:start w:val="1"/>
      <w:numFmt w:val="bullet"/>
      <w:lvlText w:val=""/>
      <w:lvlJc w:val="left"/>
      <w:pPr>
        <w:ind w:left="4680" w:hanging="360"/>
      </w:pPr>
      <w:rPr>
        <w:rFonts w:ascii="Symbol" w:hAnsi="Symbol" w:hint="default"/>
      </w:rPr>
    </w:lvl>
    <w:lvl w:ilvl="7" w:tplc="2EA4AB20">
      <w:start w:val="1"/>
      <w:numFmt w:val="bullet"/>
      <w:lvlText w:val="o"/>
      <w:lvlJc w:val="left"/>
      <w:pPr>
        <w:ind w:left="5400" w:hanging="360"/>
      </w:pPr>
      <w:rPr>
        <w:rFonts w:ascii="Courier New" w:hAnsi="Courier New" w:hint="default"/>
      </w:rPr>
    </w:lvl>
    <w:lvl w:ilvl="8" w:tplc="7278C320">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2E4"/>
    <w:rsid w:val="0023080E"/>
    <w:rsid w:val="004E2080"/>
    <w:rsid w:val="007D20AF"/>
    <w:rsid w:val="008253D7"/>
    <w:rsid w:val="00A52C3F"/>
    <w:rsid w:val="00B21A7D"/>
    <w:rsid w:val="00BC75D9"/>
    <w:rsid w:val="00BF12E4"/>
    <w:rsid w:val="00C11FD2"/>
    <w:rsid w:val="00D65E07"/>
    <w:rsid w:val="00E722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DBDBC"/>
  <w15:chartTrackingRefBased/>
  <w15:docId w15:val="{52EDA37F-C487-4446-A10F-7EE7B404F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8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08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2E4"/>
  </w:style>
  <w:style w:type="paragraph" w:styleId="Footer">
    <w:name w:val="footer"/>
    <w:basedOn w:val="Normal"/>
    <w:link w:val="FooterChar"/>
    <w:uiPriority w:val="99"/>
    <w:unhideWhenUsed/>
    <w:rsid w:val="00BF12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2E4"/>
  </w:style>
  <w:style w:type="table" w:styleId="GridTable4-Accent5">
    <w:name w:val="Grid Table 4 Accent 5"/>
    <w:basedOn w:val="TableNormal"/>
    <w:uiPriority w:val="49"/>
    <w:rsid w:val="00BF12E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BF12E4"/>
    <w:rPr>
      <w:color w:val="0563C1" w:themeColor="hyperlink"/>
      <w:u w:val="single"/>
    </w:rPr>
  </w:style>
  <w:style w:type="character" w:styleId="UnresolvedMention">
    <w:name w:val="Unresolved Mention"/>
    <w:basedOn w:val="DefaultParagraphFont"/>
    <w:uiPriority w:val="99"/>
    <w:semiHidden/>
    <w:unhideWhenUsed/>
    <w:rsid w:val="00BF12E4"/>
    <w:rPr>
      <w:color w:val="605E5C"/>
      <w:shd w:val="clear" w:color="auto" w:fill="E1DFDD"/>
    </w:rPr>
  </w:style>
  <w:style w:type="character" w:customStyle="1" w:styleId="Heading1Char">
    <w:name w:val="Heading 1 Char"/>
    <w:basedOn w:val="DefaultParagraphFont"/>
    <w:link w:val="Heading1"/>
    <w:uiPriority w:val="9"/>
    <w:rsid w:val="0023080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080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722EF"/>
    <w:pPr>
      <w:outlineLvl w:val="9"/>
    </w:pPr>
    <w:rPr>
      <w:lang w:val="en-US"/>
    </w:rPr>
  </w:style>
  <w:style w:type="paragraph" w:styleId="TOC1">
    <w:name w:val="toc 1"/>
    <w:basedOn w:val="Normal"/>
    <w:next w:val="Normal"/>
    <w:autoRedefine/>
    <w:uiPriority w:val="39"/>
    <w:unhideWhenUsed/>
    <w:rsid w:val="00E722EF"/>
    <w:pPr>
      <w:spacing w:after="100"/>
    </w:pPr>
  </w:style>
  <w:style w:type="paragraph" w:styleId="TOC2">
    <w:name w:val="toc 2"/>
    <w:basedOn w:val="Normal"/>
    <w:next w:val="Normal"/>
    <w:autoRedefine/>
    <w:uiPriority w:val="39"/>
    <w:unhideWhenUsed/>
    <w:rsid w:val="00E722E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ademia.edu/19880769/Evaluating_health_impacts_Results_from_the_neighbourhood_renewal_stratgey_in_Victoria_Australia" TargetMode="External"/><Relationship Id="rId18" Type="http://schemas.openxmlformats.org/officeDocument/2006/relationships/hyperlink" Target="https://store.hbr.org/product/aime-high-a-social-entrepreneur-s-moon-shot/91941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google.com.au/url?sa=t&amp;rct=j&amp;q=&amp;esrc=s&amp;source=web&amp;cd=&amp;ved=2ahUKEwjq3P-j7YjuAhUzzTgGHd6yDY0QFjAEegQICBAC&amp;url=https%3A%2F%2Fwww.mcgill.ca%2Fihsp%2Ffiles%2Fihsp%2F2011posterpresentation_kara.pptx&amp;usg=AOvVaw1sQL8GiLxLyzbkdH32kjFO" TargetMode="External"/><Relationship Id="rId7" Type="http://schemas.openxmlformats.org/officeDocument/2006/relationships/styles" Target="styles.xml"/><Relationship Id="rId12" Type="http://schemas.openxmlformats.org/officeDocument/2006/relationships/hyperlink" Target="https://grow.g21.com.au/wp-content/uploads/pdf/GROW-Review-Report-FINAL-JUNE-2019.pdf" TargetMode="External"/><Relationship Id="rId17" Type="http://schemas.openxmlformats.org/officeDocument/2006/relationships/hyperlink" Target="file:///C://Users/megmu/Downloads/kpmg_report_2013%20(2).pdf" TargetMode="External"/><Relationship Id="rId25" Type="http://schemas.openxmlformats.org/officeDocument/2006/relationships/hyperlink" Target="https://knowledge.aidr.org.au/media/7351/case-studies-exploring-community-led-recovery-and-coordination-final.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du.edu.au/sites/default/files/the-northern-institute/10.18793-lcj215.17.04.pdf" TargetMode="External"/><Relationship Id="rId20" Type="http://schemas.openxmlformats.org/officeDocument/2006/relationships/hyperlink" Target="https://cfon.issuelab.org/resource/best-babies-zone-year-6-evaluation-report.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uaf.org/assets/2019/11/UA-Magazine-no.-35-Youth-in-Food-Opportunities-for-education-and-employment.pdf"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o.uow.edu.au/cgi/viewcontent.cgi?article=1223&amp;context=ahsri" TargetMode="External"/><Relationship Id="rId23" Type="http://schemas.openxmlformats.org/officeDocument/2006/relationships/hyperlink" Target="https://www.sciencedirect.com/science/article/pii/S0016718518302653?via%3Dihub"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jessvech.files.wordpress.com/2014/05/bbz-design-sprint-evaluation-report.pdf"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Users/megmu/Downloads/30-30-1-PB%20(2).pdf" TargetMode="External"/><Relationship Id="rId22" Type="http://schemas.openxmlformats.org/officeDocument/2006/relationships/hyperlink" Target="https://www.riverclydehomes.org.uk/uploaded/river-clyde-web/passthrough/broomhill_report_stirling_university.pdf"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32C16003CCCB40BC04FC53917FEABD" ma:contentTypeVersion="10" ma:contentTypeDescription="Create a new document." ma:contentTypeScope="" ma:versionID="36126d3b2563cefcfc1f511ecc62be28">
  <xsd:schema xmlns:xsd="http://www.w3.org/2001/XMLSchema" xmlns:xs="http://www.w3.org/2001/XMLSchema" xmlns:p="http://schemas.microsoft.com/office/2006/metadata/properties" xmlns:ns3="802374c5-84e5-4374-aec5-4af8d47b5b04" targetNamespace="http://schemas.microsoft.com/office/2006/metadata/properties" ma:root="true" ma:fieldsID="67a90fe5e99060d6d6b92a392ec24a7a" ns3:_="">
    <xsd:import namespace="802374c5-84e5-4374-aec5-4af8d47b5b0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374c5-84e5-4374-aec5-4af8d47b5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813B8D4-251E-47CB-9655-71EFACC145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F0AA31-C4CF-4924-8633-0F84CB1D94BC}">
  <ds:schemaRefs>
    <ds:schemaRef ds:uri="http://schemas.openxmlformats.org/officeDocument/2006/bibliography"/>
  </ds:schemaRefs>
</ds:datastoreItem>
</file>

<file path=customXml/itemProps3.xml><?xml version="1.0" encoding="utf-8"?>
<ds:datastoreItem xmlns:ds="http://schemas.openxmlformats.org/officeDocument/2006/customXml" ds:itemID="{A8707FA7-D961-4F86-8D04-CBC4FE8C8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2374c5-84e5-4374-aec5-4af8d47b5b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491765-8631-42F6-90E3-0781CC38291B}">
  <ds:schemaRefs>
    <ds:schemaRef ds:uri="http://schemas.microsoft.com/sharepoint/v3/contenttype/forms"/>
  </ds:schemaRefs>
</ds:datastoreItem>
</file>

<file path=customXml/itemProps5.xml><?xml version="1.0" encoding="utf-8"?>
<ds:datastoreItem xmlns:ds="http://schemas.openxmlformats.org/officeDocument/2006/customXml" ds:itemID="{481B755C-7732-4394-BBE5-55D719EFC8C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7329</Words>
  <Characters>41779</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Tanner</dc:creator>
  <cp:keywords/>
  <dc:description/>
  <cp:lastModifiedBy>Rhiannon Tanner</cp:lastModifiedBy>
  <cp:revision>5</cp:revision>
  <dcterms:created xsi:type="dcterms:W3CDTF">2022-06-28T02:16:00Z</dcterms:created>
  <dcterms:modified xsi:type="dcterms:W3CDTF">2022-08-02T00:34:00Z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0x0101000332C16003CCCB40BC04FC53917FEABD</vt:lpwstr>
  </property>
</Properties>
</file>