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6BD84" w14:textId="77BEBB79" w:rsidR="00E348F7" w:rsidRPr="006D6309" w:rsidRDefault="00E348F7" w:rsidP="006D6309">
      <w:pPr>
        <w:spacing w:after="0"/>
        <w:rPr>
          <w:bCs/>
          <w:color w:val="2F5496" w:themeColor="accent1" w:themeShade="BF"/>
          <w:sz w:val="23"/>
          <w:szCs w:val="23"/>
        </w:rPr>
      </w:pPr>
      <w:r w:rsidRPr="007765F5">
        <w:rPr>
          <w:b/>
          <w:color w:val="2F5496" w:themeColor="accent1" w:themeShade="BF"/>
          <w:sz w:val="36"/>
          <w:szCs w:val="36"/>
          <w:u w:val="single"/>
        </w:rPr>
        <w:t>Vital Communities Education Findings Summary</w:t>
      </w:r>
      <w:r w:rsidR="006D6309">
        <w:rPr>
          <w:b/>
          <w:color w:val="2F5496" w:themeColor="accent1" w:themeShade="BF"/>
          <w:sz w:val="36"/>
          <w:szCs w:val="36"/>
          <w:u w:val="single"/>
        </w:rPr>
        <w:br/>
      </w:r>
      <w:r w:rsidR="006D6309" w:rsidRPr="00BE3446">
        <w:rPr>
          <w:bCs/>
          <w:color w:val="2F5496" w:themeColor="accent1" w:themeShade="BF"/>
          <w:sz w:val="23"/>
          <w:szCs w:val="23"/>
        </w:rPr>
        <w:t xml:space="preserve">Extracts from </w:t>
      </w:r>
      <w:r w:rsidR="006D6309">
        <w:rPr>
          <w:bCs/>
          <w:color w:val="2F5496" w:themeColor="accent1" w:themeShade="BF"/>
          <w:sz w:val="23"/>
          <w:szCs w:val="23"/>
        </w:rPr>
        <w:t>Vital Communities: Strategies for Alleviating Locational Disadvantage in Geelong, 2021</w:t>
      </w:r>
    </w:p>
    <w:sdt>
      <w:sdtPr>
        <w:rPr>
          <w:rFonts w:asciiTheme="minorHAnsi" w:eastAsiaTheme="minorHAnsi" w:hAnsiTheme="minorHAnsi" w:cstheme="minorBidi"/>
          <w:color w:val="auto"/>
          <w:sz w:val="22"/>
          <w:szCs w:val="22"/>
          <w:lang w:val="en-AU"/>
        </w:rPr>
        <w:id w:val="-1044600852"/>
        <w:docPartObj>
          <w:docPartGallery w:val="Table of Contents"/>
          <w:docPartUnique/>
        </w:docPartObj>
      </w:sdtPr>
      <w:sdtEndPr>
        <w:rPr>
          <w:b/>
          <w:bCs/>
          <w:noProof/>
        </w:rPr>
      </w:sdtEndPr>
      <w:sdtContent>
        <w:p w14:paraId="6EFD0132" w14:textId="697FA4B4" w:rsidR="009175B3" w:rsidRPr="007765F5" w:rsidRDefault="009175B3">
          <w:pPr>
            <w:pStyle w:val="TOCHeading"/>
            <w:rPr>
              <w:b/>
              <w:bCs/>
              <w:u w:val="single"/>
              <w:lang w:val="en-AU"/>
            </w:rPr>
          </w:pPr>
          <w:r w:rsidRPr="007765F5">
            <w:rPr>
              <w:b/>
              <w:bCs/>
              <w:u w:val="single"/>
              <w:lang w:val="en-AU"/>
            </w:rPr>
            <w:t>Contents</w:t>
          </w:r>
        </w:p>
        <w:p w14:paraId="19565AA5" w14:textId="6F7AD86D" w:rsidR="00B83B87" w:rsidRDefault="009175B3">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07841576" w:history="1">
            <w:r w:rsidR="00B83B87" w:rsidRPr="002326A4">
              <w:rPr>
                <w:rStyle w:val="Hyperlink"/>
                <w:b/>
                <w:bCs/>
                <w:noProof/>
              </w:rPr>
              <w:t>Background</w:t>
            </w:r>
            <w:r w:rsidR="00B83B87">
              <w:rPr>
                <w:noProof/>
                <w:webHidden/>
              </w:rPr>
              <w:tab/>
            </w:r>
            <w:r w:rsidR="00B83B87">
              <w:rPr>
                <w:noProof/>
                <w:webHidden/>
              </w:rPr>
              <w:fldChar w:fldCharType="begin"/>
            </w:r>
            <w:r w:rsidR="00B83B87">
              <w:rPr>
                <w:noProof/>
                <w:webHidden/>
              </w:rPr>
              <w:instrText xml:space="preserve"> PAGEREF _Toc107841576 \h </w:instrText>
            </w:r>
            <w:r w:rsidR="00B83B87">
              <w:rPr>
                <w:noProof/>
                <w:webHidden/>
              </w:rPr>
            </w:r>
            <w:r w:rsidR="00B83B87">
              <w:rPr>
                <w:noProof/>
                <w:webHidden/>
              </w:rPr>
              <w:fldChar w:fldCharType="separate"/>
            </w:r>
            <w:r w:rsidR="00B83B87">
              <w:rPr>
                <w:noProof/>
                <w:webHidden/>
              </w:rPr>
              <w:t>1</w:t>
            </w:r>
            <w:r w:rsidR="00B83B87">
              <w:rPr>
                <w:noProof/>
                <w:webHidden/>
              </w:rPr>
              <w:fldChar w:fldCharType="end"/>
            </w:r>
          </w:hyperlink>
        </w:p>
        <w:p w14:paraId="20E02257" w14:textId="2F4C4CE7" w:rsidR="00B83B87" w:rsidRDefault="00C8131A">
          <w:pPr>
            <w:pStyle w:val="TOC1"/>
            <w:tabs>
              <w:tab w:val="right" w:leader="dot" w:pos="9016"/>
            </w:tabs>
            <w:rPr>
              <w:rFonts w:eastAsiaTheme="minorEastAsia"/>
              <w:noProof/>
              <w:lang w:eastAsia="en-AU"/>
            </w:rPr>
          </w:pPr>
          <w:hyperlink w:anchor="_Toc107841577" w:history="1">
            <w:r w:rsidR="00B83B87" w:rsidRPr="002326A4">
              <w:rPr>
                <w:rStyle w:val="Hyperlink"/>
                <w:b/>
                <w:bCs/>
                <w:noProof/>
              </w:rPr>
              <w:t>Determining strategies and responses</w:t>
            </w:r>
            <w:r w:rsidR="00B83B87">
              <w:rPr>
                <w:noProof/>
                <w:webHidden/>
              </w:rPr>
              <w:tab/>
            </w:r>
            <w:r w:rsidR="00B83B87">
              <w:rPr>
                <w:noProof/>
                <w:webHidden/>
              </w:rPr>
              <w:fldChar w:fldCharType="begin"/>
            </w:r>
            <w:r w:rsidR="00B83B87">
              <w:rPr>
                <w:noProof/>
                <w:webHidden/>
              </w:rPr>
              <w:instrText xml:space="preserve"> PAGEREF _Toc107841577 \h </w:instrText>
            </w:r>
            <w:r w:rsidR="00B83B87">
              <w:rPr>
                <w:noProof/>
                <w:webHidden/>
              </w:rPr>
            </w:r>
            <w:r w:rsidR="00B83B87">
              <w:rPr>
                <w:noProof/>
                <w:webHidden/>
              </w:rPr>
              <w:fldChar w:fldCharType="separate"/>
            </w:r>
            <w:r w:rsidR="00B83B87">
              <w:rPr>
                <w:noProof/>
                <w:webHidden/>
              </w:rPr>
              <w:t>5</w:t>
            </w:r>
            <w:r w:rsidR="00B83B87">
              <w:rPr>
                <w:noProof/>
                <w:webHidden/>
              </w:rPr>
              <w:fldChar w:fldCharType="end"/>
            </w:r>
          </w:hyperlink>
        </w:p>
        <w:p w14:paraId="51923880" w14:textId="175AC2F6" w:rsidR="00B83B87" w:rsidRDefault="00C8131A">
          <w:pPr>
            <w:pStyle w:val="TOC1"/>
            <w:tabs>
              <w:tab w:val="right" w:leader="dot" w:pos="9016"/>
            </w:tabs>
            <w:rPr>
              <w:rFonts w:eastAsiaTheme="minorEastAsia"/>
              <w:noProof/>
              <w:lang w:eastAsia="en-AU"/>
            </w:rPr>
          </w:pPr>
          <w:hyperlink w:anchor="_Toc107841578" w:history="1">
            <w:r w:rsidR="00B83B87" w:rsidRPr="002326A4">
              <w:rPr>
                <w:rStyle w:val="Hyperlink"/>
                <w:b/>
                <w:bCs/>
                <w:noProof/>
              </w:rPr>
              <w:t>Recommendations relating to the education domain.</w:t>
            </w:r>
            <w:r w:rsidR="00B83B87">
              <w:rPr>
                <w:noProof/>
                <w:webHidden/>
              </w:rPr>
              <w:tab/>
            </w:r>
            <w:r w:rsidR="00B83B87">
              <w:rPr>
                <w:noProof/>
                <w:webHidden/>
              </w:rPr>
              <w:fldChar w:fldCharType="begin"/>
            </w:r>
            <w:r w:rsidR="00B83B87">
              <w:rPr>
                <w:noProof/>
                <w:webHidden/>
              </w:rPr>
              <w:instrText xml:space="preserve"> PAGEREF _Toc107841578 \h </w:instrText>
            </w:r>
            <w:r w:rsidR="00B83B87">
              <w:rPr>
                <w:noProof/>
                <w:webHidden/>
              </w:rPr>
            </w:r>
            <w:r w:rsidR="00B83B87">
              <w:rPr>
                <w:noProof/>
                <w:webHidden/>
              </w:rPr>
              <w:fldChar w:fldCharType="separate"/>
            </w:r>
            <w:r w:rsidR="00B83B87">
              <w:rPr>
                <w:noProof/>
                <w:webHidden/>
              </w:rPr>
              <w:t>9</w:t>
            </w:r>
            <w:r w:rsidR="00B83B87">
              <w:rPr>
                <w:noProof/>
                <w:webHidden/>
              </w:rPr>
              <w:fldChar w:fldCharType="end"/>
            </w:r>
          </w:hyperlink>
        </w:p>
        <w:p w14:paraId="7B23CBB4" w14:textId="718E589E" w:rsidR="009175B3" w:rsidRDefault="009175B3">
          <w:r>
            <w:rPr>
              <w:b/>
              <w:bCs/>
              <w:noProof/>
            </w:rPr>
            <w:fldChar w:fldCharType="end"/>
          </w:r>
        </w:p>
      </w:sdtContent>
    </w:sdt>
    <w:p w14:paraId="2B4F7B2A" w14:textId="711ECE4B" w:rsidR="00010F40" w:rsidRPr="007765F5" w:rsidRDefault="00010F40" w:rsidP="009175B3">
      <w:pPr>
        <w:pStyle w:val="Heading1"/>
        <w:rPr>
          <w:b/>
          <w:bCs/>
          <w:u w:val="single"/>
        </w:rPr>
      </w:pPr>
      <w:bookmarkStart w:id="0" w:name="_Toc107841576"/>
      <w:r w:rsidRPr="007765F5">
        <w:rPr>
          <w:b/>
          <w:bCs/>
          <w:u w:val="single"/>
        </w:rPr>
        <w:t>Background</w:t>
      </w:r>
      <w:bookmarkEnd w:id="0"/>
    </w:p>
    <w:p w14:paraId="1F17ED8E" w14:textId="5A222559" w:rsidR="00E348F7" w:rsidRPr="007765F5" w:rsidRDefault="00E348F7" w:rsidP="00E348F7">
      <w:pPr>
        <w:pStyle w:val="ListParagraph"/>
        <w:numPr>
          <w:ilvl w:val="0"/>
          <w:numId w:val="1"/>
        </w:numPr>
        <w:rPr>
          <w:rFonts w:ascii="Calibri" w:eastAsia="Calibri" w:hAnsi="Calibri" w:cs="Calibri"/>
          <w:b/>
          <w:color w:val="2F5496" w:themeColor="accent1" w:themeShade="BF"/>
          <w:sz w:val="25"/>
          <w:szCs w:val="25"/>
        </w:rPr>
      </w:pPr>
      <w:r w:rsidRPr="007765F5">
        <w:rPr>
          <w:rFonts w:ascii="Calibri" w:eastAsia="Calibri" w:hAnsi="Calibri" w:cs="Calibri"/>
          <w:b/>
          <w:color w:val="2F5496" w:themeColor="accent1" w:themeShade="BF"/>
          <w:sz w:val="25"/>
          <w:szCs w:val="25"/>
        </w:rPr>
        <w:t>Project Aims</w:t>
      </w:r>
    </w:p>
    <w:p w14:paraId="707171A1" w14:textId="77777777" w:rsidR="00E348F7" w:rsidRDefault="00E348F7" w:rsidP="00E348F7">
      <w:pPr>
        <w:spacing w:after="0" w:line="276" w:lineRule="auto"/>
        <w:rPr>
          <w:rFonts w:asciiTheme="majorHAnsi" w:eastAsia="Times New Roman" w:hAnsiTheme="majorHAnsi" w:cstheme="majorBidi"/>
          <w:sz w:val="23"/>
          <w:szCs w:val="23"/>
          <w:lang w:val="en-GB"/>
        </w:rPr>
      </w:pPr>
      <w:r w:rsidRPr="00122BBD">
        <w:rPr>
          <w:rFonts w:asciiTheme="majorHAnsi" w:eastAsia="Times New Roman" w:hAnsiTheme="majorHAnsi" w:cstheme="majorBidi"/>
          <w:sz w:val="23"/>
          <w:szCs w:val="23"/>
          <w:lang w:val="en-GB"/>
        </w:rPr>
        <w:t xml:space="preserve">The Vital Communities project was established in October 2019 to improve </w:t>
      </w:r>
      <w:r>
        <w:rPr>
          <w:rFonts w:asciiTheme="majorHAnsi" w:eastAsia="Times New Roman" w:hAnsiTheme="majorHAnsi" w:cstheme="majorBidi"/>
          <w:sz w:val="23"/>
          <w:szCs w:val="23"/>
          <w:lang w:val="en-GB"/>
        </w:rPr>
        <w:t>the City of Greater Geelong</w:t>
      </w:r>
      <w:r w:rsidRPr="00122BBD">
        <w:rPr>
          <w:rFonts w:asciiTheme="majorHAnsi" w:eastAsia="Times New Roman" w:hAnsiTheme="majorHAnsi" w:cstheme="majorBidi"/>
          <w:sz w:val="23"/>
          <w:szCs w:val="23"/>
          <w:lang w:val="en-GB"/>
        </w:rPr>
        <w:t xml:space="preserve">’s coordination, planning, and leadership of integrated social and economic </w:t>
      </w:r>
      <w:r>
        <w:rPr>
          <w:rFonts w:asciiTheme="majorHAnsi" w:eastAsia="Times New Roman" w:hAnsiTheme="majorHAnsi" w:cstheme="majorBidi"/>
          <w:sz w:val="23"/>
          <w:szCs w:val="23"/>
          <w:lang w:val="en-GB"/>
        </w:rPr>
        <w:t>d</w:t>
      </w:r>
      <w:r w:rsidRPr="00122BBD">
        <w:rPr>
          <w:rFonts w:asciiTheme="majorHAnsi" w:eastAsia="Times New Roman" w:hAnsiTheme="majorHAnsi" w:cstheme="majorBidi"/>
          <w:sz w:val="23"/>
          <w:szCs w:val="23"/>
          <w:lang w:val="en-GB"/>
        </w:rPr>
        <w:t xml:space="preserve">evelopment, and to </w:t>
      </w:r>
      <w:r>
        <w:rPr>
          <w:rFonts w:asciiTheme="majorHAnsi" w:eastAsia="Times New Roman" w:hAnsiTheme="majorHAnsi" w:cstheme="majorBidi"/>
          <w:sz w:val="23"/>
          <w:szCs w:val="23"/>
          <w:lang w:val="en-GB"/>
        </w:rPr>
        <w:t>increase</w:t>
      </w:r>
      <w:r w:rsidRPr="00122BBD">
        <w:rPr>
          <w:rFonts w:asciiTheme="majorHAnsi" w:eastAsia="Times New Roman" w:hAnsiTheme="majorHAnsi" w:cstheme="majorBidi"/>
          <w:sz w:val="23"/>
          <w:szCs w:val="23"/>
          <w:lang w:val="en-GB"/>
        </w:rPr>
        <w:t xml:space="preserve"> social equity and prosperity for communities</w:t>
      </w:r>
      <w:r>
        <w:rPr>
          <w:rFonts w:asciiTheme="majorHAnsi" w:eastAsia="Times New Roman" w:hAnsiTheme="majorHAnsi" w:cstheme="majorBidi"/>
          <w:sz w:val="23"/>
          <w:szCs w:val="23"/>
          <w:lang w:val="en-GB"/>
        </w:rPr>
        <w:t xml:space="preserve"> in</w:t>
      </w:r>
      <w:r w:rsidRPr="00122BBD">
        <w:rPr>
          <w:rFonts w:asciiTheme="majorHAnsi" w:eastAsia="Times New Roman" w:hAnsiTheme="majorHAnsi" w:cstheme="majorBidi"/>
          <w:sz w:val="23"/>
          <w:szCs w:val="23"/>
          <w:lang w:val="en-GB"/>
        </w:rPr>
        <w:t xml:space="preserve"> Corio, </w:t>
      </w:r>
      <w:proofErr w:type="spellStart"/>
      <w:r w:rsidRPr="00122BBD">
        <w:rPr>
          <w:rFonts w:asciiTheme="majorHAnsi" w:eastAsia="Times New Roman" w:hAnsiTheme="majorHAnsi" w:cstheme="majorBidi"/>
          <w:sz w:val="23"/>
          <w:szCs w:val="23"/>
          <w:lang w:val="en-GB"/>
        </w:rPr>
        <w:t>Norlane</w:t>
      </w:r>
      <w:proofErr w:type="spellEnd"/>
      <w:r>
        <w:rPr>
          <w:rFonts w:asciiTheme="majorHAnsi" w:eastAsia="Times New Roman" w:hAnsiTheme="majorHAnsi" w:cstheme="majorBidi"/>
          <w:sz w:val="23"/>
          <w:szCs w:val="23"/>
          <w:lang w:val="en-GB"/>
        </w:rPr>
        <w:t>,</w:t>
      </w:r>
      <w:r w:rsidRPr="00122BBD">
        <w:rPr>
          <w:rFonts w:asciiTheme="majorHAnsi" w:eastAsia="Times New Roman" w:hAnsiTheme="majorHAnsi" w:cstheme="majorBidi"/>
          <w:sz w:val="23"/>
          <w:szCs w:val="23"/>
          <w:lang w:val="en-GB"/>
        </w:rPr>
        <w:t xml:space="preserve"> and Whittington. The pro</w:t>
      </w:r>
      <w:r>
        <w:rPr>
          <w:rFonts w:asciiTheme="majorHAnsi" w:eastAsia="Times New Roman" w:hAnsiTheme="majorHAnsi" w:cstheme="majorBidi"/>
          <w:sz w:val="23"/>
          <w:szCs w:val="23"/>
          <w:lang w:val="en-GB"/>
        </w:rPr>
        <w:t>ject</w:t>
      </w:r>
      <w:r w:rsidRPr="00122BBD">
        <w:rPr>
          <w:rFonts w:asciiTheme="majorHAnsi" w:eastAsia="Times New Roman" w:hAnsiTheme="majorHAnsi" w:cstheme="majorBidi"/>
          <w:sz w:val="23"/>
          <w:szCs w:val="23"/>
          <w:lang w:val="en-GB"/>
        </w:rPr>
        <w:t xml:space="preserve"> aims to enhance residents’ quality of life </w:t>
      </w:r>
      <w:r>
        <w:rPr>
          <w:rFonts w:asciiTheme="majorHAnsi" w:eastAsia="Times New Roman" w:hAnsiTheme="majorHAnsi" w:cstheme="majorBidi"/>
          <w:sz w:val="23"/>
          <w:szCs w:val="23"/>
          <w:lang w:val="en-GB"/>
        </w:rPr>
        <w:t>and neighbourhood</w:t>
      </w:r>
      <w:r w:rsidRPr="00122BBD">
        <w:rPr>
          <w:rFonts w:asciiTheme="majorHAnsi" w:eastAsia="Times New Roman" w:hAnsiTheme="majorHAnsi" w:cstheme="majorBidi"/>
          <w:sz w:val="23"/>
          <w:szCs w:val="23"/>
          <w:lang w:val="en-GB"/>
        </w:rPr>
        <w:t xml:space="preserve"> liveability</w:t>
      </w:r>
      <w:r>
        <w:rPr>
          <w:rFonts w:asciiTheme="majorHAnsi" w:eastAsia="Times New Roman" w:hAnsiTheme="majorHAnsi" w:cstheme="majorBidi"/>
          <w:sz w:val="23"/>
          <w:szCs w:val="23"/>
          <w:lang w:val="en-GB"/>
        </w:rPr>
        <w:t xml:space="preserve"> </w:t>
      </w:r>
      <w:r w:rsidRPr="00122BBD">
        <w:rPr>
          <w:rFonts w:asciiTheme="majorHAnsi" w:eastAsia="Times New Roman" w:hAnsiTheme="majorHAnsi" w:cstheme="majorBidi"/>
          <w:sz w:val="23"/>
          <w:szCs w:val="23"/>
          <w:lang w:val="en-GB"/>
        </w:rPr>
        <w:t>by improving community outcomes across five “</w:t>
      </w:r>
      <w:r>
        <w:rPr>
          <w:rFonts w:asciiTheme="majorHAnsi" w:eastAsia="Times New Roman" w:hAnsiTheme="majorHAnsi" w:cstheme="majorBidi"/>
          <w:sz w:val="23"/>
          <w:szCs w:val="23"/>
          <w:lang w:val="en-GB"/>
        </w:rPr>
        <w:t>Practice Domain</w:t>
      </w:r>
      <w:r w:rsidRPr="00122BBD">
        <w:rPr>
          <w:rFonts w:asciiTheme="majorHAnsi" w:eastAsia="Times New Roman" w:hAnsiTheme="majorHAnsi" w:cstheme="majorBidi"/>
          <w:sz w:val="23"/>
          <w:szCs w:val="23"/>
          <w:lang w:val="en-GB"/>
        </w:rPr>
        <w:t xml:space="preserve">s”: </w:t>
      </w:r>
    </w:p>
    <w:p w14:paraId="4B212B98" w14:textId="77777777" w:rsidR="00E348F7" w:rsidRDefault="00E348F7" w:rsidP="00E348F7">
      <w:pPr>
        <w:pStyle w:val="ListParagraph"/>
        <w:numPr>
          <w:ilvl w:val="0"/>
          <w:numId w:val="3"/>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 xml:space="preserve">Education </w:t>
      </w:r>
    </w:p>
    <w:p w14:paraId="529234AB" w14:textId="77777777" w:rsidR="00E348F7" w:rsidRDefault="00E348F7" w:rsidP="00E348F7">
      <w:pPr>
        <w:pStyle w:val="ListParagraph"/>
        <w:numPr>
          <w:ilvl w:val="0"/>
          <w:numId w:val="3"/>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 xml:space="preserve">Employment </w:t>
      </w:r>
    </w:p>
    <w:p w14:paraId="4DFB64C7" w14:textId="77777777" w:rsidR="00E348F7" w:rsidRDefault="00E348F7" w:rsidP="00E348F7">
      <w:pPr>
        <w:pStyle w:val="ListParagraph"/>
        <w:numPr>
          <w:ilvl w:val="0"/>
          <w:numId w:val="3"/>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 xml:space="preserve">Housing </w:t>
      </w:r>
    </w:p>
    <w:p w14:paraId="40560C45" w14:textId="77777777" w:rsidR="00E348F7" w:rsidRDefault="00E348F7" w:rsidP="00E348F7">
      <w:pPr>
        <w:pStyle w:val="ListParagraph"/>
        <w:numPr>
          <w:ilvl w:val="0"/>
          <w:numId w:val="3"/>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 xml:space="preserve">Liveability, and </w:t>
      </w:r>
    </w:p>
    <w:p w14:paraId="40219513" w14:textId="77777777" w:rsidR="00E348F7" w:rsidRPr="001132AD" w:rsidRDefault="00E348F7" w:rsidP="00E348F7">
      <w:pPr>
        <w:pStyle w:val="ListParagraph"/>
        <w:numPr>
          <w:ilvl w:val="0"/>
          <w:numId w:val="3"/>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Health and Wellbeing.</w:t>
      </w:r>
    </w:p>
    <w:p w14:paraId="6AFFBFE4" w14:textId="19B5243A" w:rsidR="00E348F7" w:rsidRDefault="00E348F7" w:rsidP="00E348F7">
      <w:pPr>
        <w:rPr>
          <w:rFonts w:asciiTheme="majorHAnsi" w:eastAsia="Times New Roman" w:hAnsiTheme="majorHAnsi" w:cstheme="majorBidi"/>
          <w:sz w:val="23"/>
          <w:szCs w:val="23"/>
          <w:lang w:val="en-GB"/>
        </w:rPr>
      </w:pPr>
      <w:r w:rsidRPr="0049055F">
        <w:rPr>
          <w:rFonts w:asciiTheme="majorHAnsi" w:eastAsia="Times New Roman" w:hAnsiTheme="majorHAnsi" w:cstheme="majorBidi"/>
          <w:sz w:val="23"/>
          <w:szCs w:val="23"/>
          <w:lang w:val="en-GB"/>
        </w:rPr>
        <w:t>Below is a summary of content relating to e</w:t>
      </w:r>
      <w:r>
        <w:rPr>
          <w:rFonts w:asciiTheme="majorHAnsi" w:eastAsia="Times New Roman" w:hAnsiTheme="majorHAnsi" w:cstheme="majorBidi"/>
          <w:sz w:val="23"/>
          <w:szCs w:val="23"/>
          <w:lang w:val="en-GB"/>
        </w:rPr>
        <w:t>ducation</w:t>
      </w:r>
      <w:r w:rsidRPr="0049055F">
        <w:rPr>
          <w:rFonts w:asciiTheme="majorHAnsi" w:eastAsia="Times New Roman" w:hAnsiTheme="majorHAnsi" w:cstheme="majorBidi"/>
          <w:sz w:val="23"/>
          <w:szCs w:val="23"/>
          <w:lang w:val="en-GB"/>
        </w:rPr>
        <w:t>.</w:t>
      </w:r>
    </w:p>
    <w:p w14:paraId="553B8103" w14:textId="64AA1EDF" w:rsidR="00C95C96" w:rsidRPr="00A52632" w:rsidRDefault="00C95C96" w:rsidP="00E348F7">
      <w:pPr>
        <w:rPr>
          <w:b/>
          <w:color w:val="2E74B5" w:themeColor="accent5" w:themeShade="BF"/>
          <w:sz w:val="25"/>
          <w:szCs w:val="25"/>
        </w:rPr>
      </w:pPr>
      <w:r>
        <w:rPr>
          <w:rFonts w:asciiTheme="majorHAnsi" w:eastAsia="Times New Roman" w:hAnsiTheme="majorHAnsi" w:cstheme="majorBidi"/>
          <w:sz w:val="23"/>
          <w:szCs w:val="23"/>
          <w:lang w:val="en-GB"/>
        </w:rPr>
        <w:t>Note: all table, figure and page numbers refer to those in the full report.</w:t>
      </w:r>
    </w:p>
    <w:p w14:paraId="3905DD5F" w14:textId="3405C67A" w:rsidR="00463CEC" w:rsidRPr="007765F5" w:rsidRDefault="00463CEC" w:rsidP="00E348F7">
      <w:pPr>
        <w:pStyle w:val="ListParagraph"/>
        <w:numPr>
          <w:ilvl w:val="0"/>
          <w:numId w:val="1"/>
        </w:numPr>
        <w:spacing w:before="100" w:beforeAutospacing="1" w:after="0" w:line="276" w:lineRule="auto"/>
        <w:rPr>
          <w:rFonts w:ascii="Calibri" w:eastAsia="Calibri" w:hAnsi="Calibri" w:cs="Calibri"/>
          <w:b/>
          <w:color w:val="2F5496" w:themeColor="accent1" w:themeShade="BF"/>
          <w:sz w:val="25"/>
          <w:szCs w:val="25"/>
        </w:rPr>
      </w:pPr>
      <w:r w:rsidRPr="007765F5">
        <w:rPr>
          <w:rFonts w:ascii="Calibri" w:eastAsia="Calibri" w:hAnsi="Calibri" w:cs="Calibri"/>
          <w:b/>
          <w:color w:val="2F5496" w:themeColor="accent1" w:themeShade="BF"/>
          <w:sz w:val="25"/>
          <w:szCs w:val="25"/>
        </w:rPr>
        <w:t>Statistical Profile: Corio, Norlane and Whittington in 2020</w:t>
      </w:r>
    </w:p>
    <w:p w14:paraId="0B79929D" w14:textId="77777777" w:rsidR="00463CEC" w:rsidRPr="007765F5" w:rsidRDefault="00463CEC" w:rsidP="007765F5">
      <w:pPr>
        <w:spacing w:after="0" w:line="276" w:lineRule="auto"/>
        <w:rPr>
          <w:rFonts w:ascii="Calibri" w:eastAsia="Calibri" w:hAnsi="Calibri" w:cs="Calibri"/>
          <w:b/>
          <w:color w:val="2F5496" w:themeColor="accent1" w:themeShade="BF"/>
          <w:sz w:val="25"/>
          <w:szCs w:val="25"/>
        </w:rPr>
      </w:pPr>
      <w:r w:rsidRPr="007765F5">
        <w:rPr>
          <w:rFonts w:ascii="Calibri" w:eastAsia="Calibri" w:hAnsi="Calibri" w:cs="Calibri"/>
          <w:b/>
          <w:color w:val="2F5496" w:themeColor="accent1" w:themeShade="BF"/>
          <w:sz w:val="25"/>
          <w:szCs w:val="25"/>
        </w:rPr>
        <w:t>Education</w:t>
      </w:r>
    </w:p>
    <w:p w14:paraId="51FA3A3F" w14:textId="64F25467" w:rsidR="00463CEC" w:rsidRPr="00463CEC" w:rsidRDefault="00BC39E3" w:rsidP="00463CEC">
      <w:pPr>
        <w:spacing w:line="276" w:lineRule="auto"/>
        <w:rPr>
          <w:rFonts w:asciiTheme="majorHAnsi" w:hAnsiTheme="majorHAnsi" w:cstheme="majorHAnsi"/>
          <w:sz w:val="23"/>
          <w:szCs w:val="23"/>
        </w:rPr>
      </w:pPr>
      <w:r>
        <w:rPr>
          <w:rFonts w:asciiTheme="majorHAnsi" w:hAnsiTheme="majorHAnsi" w:cstheme="majorHAnsi"/>
          <w:sz w:val="23"/>
          <w:szCs w:val="23"/>
        </w:rPr>
        <w:t>D</w:t>
      </w:r>
      <w:r w:rsidR="00463CEC" w:rsidRPr="00463CEC">
        <w:rPr>
          <w:rFonts w:asciiTheme="majorHAnsi" w:hAnsiTheme="majorHAnsi" w:cstheme="majorHAnsi"/>
          <w:sz w:val="23"/>
          <w:szCs w:val="23"/>
        </w:rPr>
        <w:t xml:space="preserve">ata on education levels in Corio, Norlane, and Whittington indicates relatively low levels of educational achievement, and few students who go on to tertiary study, but about-average levels of trade and technical training (ABS, 2016; Profile.id). The </w:t>
      </w:r>
      <w:r w:rsidR="00463CEC" w:rsidRPr="00463CEC">
        <w:rPr>
          <w:rFonts w:asciiTheme="majorHAnsi" w:hAnsiTheme="majorHAnsi" w:cstheme="majorHAnsi"/>
          <w:noProof/>
          <w:sz w:val="23"/>
          <w:szCs w:val="23"/>
        </w:rPr>
        <w:t>My School (2021)</w:t>
      </w:r>
      <w:r w:rsidR="00463CEC" w:rsidRPr="00463CEC">
        <w:rPr>
          <w:rFonts w:asciiTheme="majorHAnsi" w:hAnsiTheme="majorHAnsi" w:cstheme="majorHAnsi"/>
          <w:sz w:val="23"/>
          <w:szCs w:val="23"/>
        </w:rPr>
        <w:t xml:space="preserve"> website offers insight into the key educational institutions in these areas.</w:t>
      </w:r>
    </w:p>
    <w:p w14:paraId="079958FC" w14:textId="77777777" w:rsidR="00463CEC" w:rsidRPr="00463CEC" w:rsidRDefault="00463CEC" w:rsidP="00463CEC">
      <w:pPr>
        <w:spacing w:line="276" w:lineRule="auto"/>
        <w:rPr>
          <w:rFonts w:asciiTheme="majorHAnsi" w:hAnsiTheme="majorHAnsi" w:cstheme="majorHAnsi"/>
          <w:sz w:val="23"/>
          <w:szCs w:val="23"/>
        </w:rPr>
      </w:pPr>
      <w:r w:rsidRPr="00463CEC">
        <w:rPr>
          <w:rFonts w:asciiTheme="majorHAnsi" w:hAnsiTheme="majorHAnsi" w:cstheme="majorHAnsi"/>
          <w:sz w:val="23"/>
          <w:szCs w:val="23"/>
        </w:rPr>
        <w:t>Local primary education comprises a mix of public and Catholic schools, which all differ in terms of student socioeconomic profiles, NAPLAN results, and funding levels per student. Primary schools with high student representation in the lowest socio-educational quartiles tend to have significant proportions of students from both Indigenous and non-English-speaking backgrounds. We know from other research that these student groups fared relatively poorly during COVID-19 lockdowns and home schooling, and that school attendance is generally lower on average for Indigenous students than non-Indigenous students. ATSI and CALD students thus present two cohorts for whom targeted educational support will be needed going forward.</w:t>
      </w:r>
    </w:p>
    <w:p w14:paraId="20F763B6" w14:textId="77777777" w:rsidR="00463CEC" w:rsidRPr="00463CEC" w:rsidRDefault="00463CEC" w:rsidP="00463CEC">
      <w:pPr>
        <w:spacing w:after="0" w:line="276" w:lineRule="auto"/>
        <w:rPr>
          <w:rFonts w:asciiTheme="majorHAnsi" w:hAnsiTheme="majorHAnsi" w:cstheme="majorHAnsi"/>
          <w:sz w:val="23"/>
          <w:szCs w:val="23"/>
        </w:rPr>
      </w:pPr>
      <w:r w:rsidRPr="00463CEC">
        <w:rPr>
          <w:rFonts w:asciiTheme="majorHAnsi" w:hAnsiTheme="majorHAnsi" w:cstheme="majorHAnsi"/>
          <w:sz w:val="23"/>
          <w:szCs w:val="23"/>
        </w:rPr>
        <w:lastRenderedPageBreak/>
        <w:t xml:space="preserve">Significantly, however, these patterns do not necessarily map onto local NAPLAN results. For example, Whittington Primary, which has the lowest </w:t>
      </w:r>
      <w:bookmarkStart w:id="1" w:name="_Hlk71048813"/>
      <w:r w:rsidRPr="00463CEC">
        <w:rPr>
          <w:rFonts w:asciiTheme="majorHAnsi" w:hAnsiTheme="majorHAnsi" w:cstheme="majorHAnsi"/>
          <w:sz w:val="23"/>
          <w:szCs w:val="23"/>
        </w:rPr>
        <w:t xml:space="preserve">SEIFA Socio-Educational Profile </w:t>
      </w:r>
      <w:bookmarkEnd w:id="1"/>
      <w:r w:rsidRPr="00463CEC">
        <w:rPr>
          <w:rFonts w:asciiTheme="majorHAnsi" w:hAnsiTheme="majorHAnsi" w:cstheme="majorHAnsi"/>
          <w:sz w:val="23"/>
          <w:szCs w:val="23"/>
        </w:rPr>
        <w:t>of any local school, had NAPLAN result on par with Christ the King Primary School in reading, writing, and numeracy in 2019. This may well confirm the value of quality teaching and leadership, while also pointing out the perils of mapping somewhat blunt indicators of socio-economic disadvantage against educational outcomes. However, the funding level variations between local schools are significant, given that they all serve areas of high social disadvantage. Table 7.11 (below) provides some comparative figures for local primary schools. (References to “Quartiles” refer to the school’s SEIFA Socio-Educational Profile.)</w:t>
      </w:r>
    </w:p>
    <w:p w14:paraId="4DB8FE61" w14:textId="77777777" w:rsidR="00463CEC" w:rsidRPr="00463CEC" w:rsidRDefault="00463CEC" w:rsidP="00463CEC">
      <w:pPr>
        <w:spacing w:after="0" w:line="276" w:lineRule="auto"/>
        <w:rPr>
          <w:rStyle w:val="Hyperlink"/>
          <w:rFonts w:asciiTheme="majorHAnsi" w:hAnsiTheme="majorHAnsi" w:cstheme="majorHAnsi"/>
          <w:sz w:val="20"/>
          <w:szCs w:val="20"/>
        </w:rPr>
      </w:pPr>
    </w:p>
    <w:tbl>
      <w:tblPr>
        <w:tblStyle w:val="TableGrid"/>
        <w:tblW w:w="9470" w:type="dxa"/>
        <w:tblInd w:w="-5" w:type="dxa"/>
        <w:tblLook w:val="04A0" w:firstRow="1" w:lastRow="0" w:firstColumn="1" w:lastColumn="0" w:noHBand="0" w:noVBand="1"/>
      </w:tblPr>
      <w:tblGrid>
        <w:gridCol w:w="1546"/>
        <w:gridCol w:w="1091"/>
        <w:gridCol w:w="984"/>
        <w:gridCol w:w="984"/>
        <w:gridCol w:w="1329"/>
        <w:gridCol w:w="1148"/>
        <w:gridCol w:w="1142"/>
        <w:gridCol w:w="1246"/>
      </w:tblGrid>
      <w:tr w:rsidR="00463CEC" w:rsidRPr="002C52A2" w14:paraId="5A46B8E7" w14:textId="77777777" w:rsidTr="00A1784D">
        <w:trPr>
          <w:trHeight w:val="1008"/>
        </w:trPr>
        <w:tc>
          <w:tcPr>
            <w:tcW w:w="1546" w:type="dxa"/>
            <w:shd w:val="clear" w:color="auto" w:fill="D0CECE" w:themeFill="background2" w:themeFillShade="E6"/>
          </w:tcPr>
          <w:p w14:paraId="4D03B118" w14:textId="77777777" w:rsidR="00463CEC" w:rsidRDefault="00463CEC" w:rsidP="00A1784D">
            <w:pPr>
              <w:rPr>
                <w:rFonts w:cstheme="minorHAnsi"/>
                <w:b/>
                <w:bCs/>
                <w:sz w:val="21"/>
                <w:szCs w:val="21"/>
              </w:rPr>
            </w:pPr>
            <w:r w:rsidRPr="002C52A2">
              <w:rPr>
                <w:rFonts w:cstheme="minorHAnsi"/>
                <w:b/>
                <w:bCs/>
                <w:sz w:val="21"/>
                <w:szCs w:val="21"/>
              </w:rPr>
              <w:t>School</w:t>
            </w:r>
          </w:p>
          <w:p w14:paraId="21ADC81A" w14:textId="77777777" w:rsidR="00463CEC" w:rsidRPr="002C52A2" w:rsidRDefault="00463CEC" w:rsidP="00A1784D">
            <w:pPr>
              <w:rPr>
                <w:rFonts w:cstheme="minorHAnsi"/>
                <w:b/>
                <w:bCs/>
                <w:sz w:val="21"/>
                <w:szCs w:val="21"/>
              </w:rPr>
            </w:pPr>
          </w:p>
        </w:tc>
        <w:tc>
          <w:tcPr>
            <w:tcW w:w="1091" w:type="dxa"/>
            <w:shd w:val="clear" w:color="auto" w:fill="D0CECE" w:themeFill="background2" w:themeFillShade="E6"/>
          </w:tcPr>
          <w:p w14:paraId="22E253E1" w14:textId="77777777" w:rsidR="00463CEC" w:rsidRPr="002C52A2" w:rsidRDefault="00463CEC" w:rsidP="00A1784D">
            <w:pPr>
              <w:rPr>
                <w:rFonts w:cstheme="minorHAnsi"/>
                <w:b/>
                <w:bCs/>
                <w:sz w:val="21"/>
                <w:szCs w:val="21"/>
              </w:rPr>
            </w:pPr>
            <w:r w:rsidRPr="002C52A2">
              <w:rPr>
                <w:rFonts w:cstheme="minorHAnsi"/>
                <w:b/>
                <w:bCs/>
                <w:sz w:val="21"/>
                <w:szCs w:val="21"/>
              </w:rPr>
              <w:t>Bottom Quartile</w:t>
            </w:r>
          </w:p>
        </w:tc>
        <w:tc>
          <w:tcPr>
            <w:tcW w:w="984" w:type="dxa"/>
            <w:shd w:val="clear" w:color="auto" w:fill="D0CECE" w:themeFill="background2" w:themeFillShade="E6"/>
          </w:tcPr>
          <w:p w14:paraId="5FB8AEAF" w14:textId="77777777" w:rsidR="00463CEC" w:rsidRPr="002C52A2" w:rsidRDefault="00463CEC" w:rsidP="00A1784D">
            <w:pPr>
              <w:rPr>
                <w:rFonts w:cstheme="minorHAnsi"/>
                <w:b/>
                <w:bCs/>
                <w:sz w:val="21"/>
                <w:szCs w:val="21"/>
              </w:rPr>
            </w:pPr>
            <w:r w:rsidRPr="002C52A2">
              <w:rPr>
                <w:rFonts w:cstheme="minorHAnsi"/>
                <w:b/>
                <w:bCs/>
                <w:sz w:val="21"/>
                <w:szCs w:val="21"/>
              </w:rPr>
              <w:t>Mid</w:t>
            </w:r>
            <w:r>
              <w:rPr>
                <w:rFonts w:cstheme="minorHAnsi"/>
                <w:b/>
                <w:bCs/>
                <w:sz w:val="21"/>
                <w:szCs w:val="21"/>
              </w:rPr>
              <w:t>dle</w:t>
            </w:r>
          </w:p>
          <w:p w14:paraId="4B126882" w14:textId="77777777" w:rsidR="00463CEC" w:rsidRPr="002C52A2" w:rsidRDefault="00463CEC" w:rsidP="00A1784D">
            <w:pPr>
              <w:rPr>
                <w:rFonts w:cstheme="minorHAnsi"/>
                <w:b/>
                <w:bCs/>
                <w:sz w:val="21"/>
                <w:szCs w:val="21"/>
              </w:rPr>
            </w:pPr>
            <w:r w:rsidRPr="002C52A2">
              <w:rPr>
                <w:rFonts w:cstheme="minorHAnsi"/>
                <w:b/>
                <w:bCs/>
                <w:sz w:val="21"/>
                <w:szCs w:val="21"/>
              </w:rPr>
              <w:t>Quartile</w:t>
            </w:r>
          </w:p>
        </w:tc>
        <w:tc>
          <w:tcPr>
            <w:tcW w:w="984" w:type="dxa"/>
            <w:shd w:val="clear" w:color="auto" w:fill="D0CECE" w:themeFill="background2" w:themeFillShade="E6"/>
          </w:tcPr>
          <w:p w14:paraId="1C402383" w14:textId="77777777" w:rsidR="00463CEC" w:rsidRPr="002C52A2" w:rsidRDefault="00463CEC" w:rsidP="00A1784D">
            <w:pPr>
              <w:rPr>
                <w:rFonts w:cstheme="minorHAnsi"/>
                <w:b/>
                <w:bCs/>
                <w:sz w:val="21"/>
                <w:szCs w:val="21"/>
              </w:rPr>
            </w:pPr>
            <w:r>
              <w:rPr>
                <w:rFonts w:cstheme="minorHAnsi"/>
                <w:b/>
                <w:bCs/>
                <w:sz w:val="21"/>
                <w:szCs w:val="21"/>
              </w:rPr>
              <w:t>Top</w:t>
            </w:r>
          </w:p>
          <w:p w14:paraId="639F1BB9" w14:textId="77777777" w:rsidR="00463CEC" w:rsidRPr="002C52A2" w:rsidRDefault="00463CEC" w:rsidP="00A1784D">
            <w:pPr>
              <w:rPr>
                <w:rFonts w:cstheme="minorHAnsi"/>
                <w:b/>
                <w:bCs/>
                <w:sz w:val="21"/>
                <w:szCs w:val="21"/>
              </w:rPr>
            </w:pPr>
            <w:r w:rsidRPr="002C52A2">
              <w:rPr>
                <w:rFonts w:cstheme="minorHAnsi"/>
                <w:b/>
                <w:bCs/>
                <w:sz w:val="21"/>
                <w:szCs w:val="21"/>
              </w:rPr>
              <w:t>Quartile</w:t>
            </w:r>
          </w:p>
        </w:tc>
        <w:tc>
          <w:tcPr>
            <w:tcW w:w="1329" w:type="dxa"/>
            <w:shd w:val="clear" w:color="auto" w:fill="D0CECE" w:themeFill="background2" w:themeFillShade="E6"/>
          </w:tcPr>
          <w:p w14:paraId="69F77ED1" w14:textId="77777777" w:rsidR="00463CEC" w:rsidRPr="002C52A2" w:rsidRDefault="00463CEC" w:rsidP="00A1784D">
            <w:pPr>
              <w:rPr>
                <w:rFonts w:cstheme="minorHAnsi"/>
                <w:b/>
                <w:bCs/>
                <w:sz w:val="21"/>
                <w:szCs w:val="21"/>
              </w:rPr>
            </w:pPr>
            <w:r w:rsidRPr="002C52A2">
              <w:rPr>
                <w:rFonts w:cstheme="minorHAnsi"/>
                <w:b/>
                <w:bCs/>
                <w:sz w:val="21"/>
                <w:szCs w:val="21"/>
              </w:rPr>
              <w:t>Index of Community Socio-Educational Advantage</w:t>
            </w:r>
          </w:p>
        </w:tc>
        <w:tc>
          <w:tcPr>
            <w:tcW w:w="1148" w:type="dxa"/>
            <w:shd w:val="clear" w:color="auto" w:fill="D0CECE" w:themeFill="background2" w:themeFillShade="E6"/>
          </w:tcPr>
          <w:p w14:paraId="56C9065E" w14:textId="77777777" w:rsidR="00463CEC" w:rsidRPr="002C52A2" w:rsidRDefault="00463CEC" w:rsidP="00A1784D">
            <w:pPr>
              <w:rPr>
                <w:rFonts w:cstheme="minorHAnsi"/>
                <w:b/>
                <w:bCs/>
                <w:sz w:val="21"/>
                <w:szCs w:val="21"/>
              </w:rPr>
            </w:pPr>
            <w:r w:rsidRPr="002C52A2">
              <w:rPr>
                <w:rFonts w:cstheme="minorHAnsi"/>
                <w:b/>
                <w:bCs/>
                <w:sz w:val="21"/>
                <w:szCs w:val="21"/>
              </w:rPr>
              <w:t xml:space="preserve">ATSI </w:t>
            </w:r>
            <w:r>
              <w:rPr>
                <w:rFonts w:cstheme="minorHAnsi"/>
                <w:b/>
                <w:bCs/>
                <w:sz w:val="21"/>
                <w:szCs w:val="21"/>
              </w:rPr>
              <w:t>S</w:t>
            </w:r>
            <w:r w:rsidRPr="002C52A2">
              <w:rPr>
                <w:rFonts w:cstheme="minorHAnsi"/>
                <w:b/>
                <w:bCs/>
                <w:sz w:val="21"/>
                <w:szCs w:val="21"/>
              </w:rPr>
              <w:t>tudents</w:t>
            </w:r>
          </w:p>
          <w:p w14:paraId="79063A4F" w14:textId="77777777" w:rsidR="00463CEC" w:rsidRPr="002C52A2" w:rsidRDefault="00463CEC" w:rsidP="00A1784D">
            <w:pPr>
              <w:rPr>
                <w:rFonts w:cstheme="minorHAnsi"/>
                <w:b/>
                <w:bCs/>
                <w:sz w:val="21"/>
                <w:szCs w:val="21"/>
              </w:rPr>
            </w:pPr>
            <w:r w:rsidRPr="002C52A2">
              <w:rPr>
                <w:rFonts w:cstheme="minorHAnsi"/>
                <w:b/>
                <w:bCs/>
                <w:sz w:val="21"/>
                <w:szCs w:val="21"/>
              </w:rPr>
              <w:t>(%)</w:t>
            </w:r>
          </w:p>
        </w:tc>
        <w:tc>
          <w:tcPr>
            <w:tcW w:w="1142" w:type="dxa"/>
            <w:shd w:val="clear" w:color="auto" w:fill="D0CECE" w:themeFill="background2" w:themeFillShade="E6"/>
          </w:tcPr>
          <w:p w14:paraId="7EF7D3B1" w14:textId="77777777" w:rsidR="00463CEC" w:rsidRPr="002C52A2" w:rsidRDefault="00463CEC" w:rsidP="00A1784D">
            <w:pPr>
              <w:rPr>
                <w:rFonts w:cstheme="minorHAnsi"/>
                <w:b/>
                <w:bCs/>
                <w:sz w:val="21"/>
                <w:szCs w:val="21"/>
              </w:rPr>
            </w:pPr>
            <w:r w:rsidRPr="002C52A2">
              <w:rPr>
                <w:rFonts w:cstheme="minorHAnsi"/>
                <w:b/>
                <w:bCs/>
                <w:sz w:val="21"/>
                <w:szCs w:val="21"/>
              </w:rPr>
              <w:t xml:space="preserve">Language </w:t>
            </w:r>
            <w:r>
              <w:rPr>
                <w:rFonts w:cstheme="minorHAnsi"/>
                <w:b/>
                <w:bCs/>
                <w:sz w:val="21"/>
                <w:szCs w:val="21"/>
              </w:rPr>
              <w:t>O</w:t>
            </w:r>
            <w:r w:rsidRPr="002C52A2">
              <w:rPr>
                <w:rFonts w:cstheme="minorHAnsi"/>
                <w:b/>
                <w:bCs/>
                <w:sz w:val="21"/>
                <w:szCs w:val="21"/>
              </w:rPr>
              <w:t xml:space="preserve">ther </w:t>
            </w:r>
            <w:r>
              <w:rPr>
                <w:rFonts w:cstheme="minorHAnsi"/>
                <w:b/>
                <w:bCs/>
                <w:sz w:val="21"/>
                <w:szCs w:val="21"/>
              </w:rPr>
              <w:t>T</w:t>
            </w:r>
            <w:r w:rsidRPr="002C52A2">
              <w:rPr>
                <w:rFonts w:cstheme="minorHAnsi"/>
                <w:b/>
                <w:bCs/>
                <w:sz w:val="21"/>
                <w:szCs w:val="21"/>
              </w:rPr>
              <w:t>han English</w:t>
            </w:r>
            <w:r>
              <w:rPr>
                <w:rFonts w:cstheme="minorHAnsi"/>
                <w:b/>
                <w:bCs/>
                <w:sz w:val="21"/>
                <w:szCs w:val="21"/>
              </w:rPr>
              <w:t xml:space="preserve"> Students</w:t>
            </w:r>
          </w:p>
        </w:tc>
        <w:tc>
          <w:tcPr>
            <w:tcW w:w="1246" w:type="dxa"/>
            <w:shd w:val="clear" w:color="auto" w:fill="D0CECE" w:themeFill="background2" w:themeFillShade="E6"/>
          </w:tcPr>
          <w:p w14:paraId="04813C31" w14:textId="77777777" w:rsidR="00463CEC" w:rsidRPr="002C52A2" w:rsidRDefault="00463CEC" w:rsidP="00A1784D">
            <w:pPr>
              <w:rPr>
                <w:rFonts w:cstheme="minorHAnsi"/>
                <w:b/>
                <w:bCs/>
                <w:sz w:val="21"/>
                <w:szCs w:val="21"/>
              </w:rPr>
            </w:pPr>
            <w:r w:rsidRPr="002C52A2">
              <w:rPr>
                <w:rFonts w:cstheme="minorHAnsi"/>
                <w:b/>
                <w:bCs/>
                <w:sz w:val="21"/>
                <w:szCs w:val="21"/>
              </w:rPr>
              <w:t xml:space="preserve">Funding </w:t>
            </w:r>
          </w:p>
          <w:p w14:paraId="6CEEE642" w14:textId="77777777" w:rsidR="00463CEC" w:rsidRPr="002C52A2" w:rsidRDefault="00463CEC" w:rsidP="00A1784D">
            <w:pPr>
              <w:rPr>
                <w:rFonts w:cstheme="minorHAnsi"/>
                <w:b/>
                <w:bCs/>
                <w:sz w:val="21"/>
                <w:szCs w:val="21"/>
              </w:rPr>
            </w:pPr>
            <w:r w:rsidRPr="002C52A2">
              <w:rPr>
                <w:rFonts w:cstheme="minorHAnsi"/>
                <w:b/>
                <w:bCs/>
                <w:sz w:val="21"/>
                <w:szCs w:val="21"/>
              </w:rPr>
              <w:t xml:space="preserve">Per </w:t>
            </w:r>
            <w:r>
              <w:rPr>
                <w:rFonts w:cstheme="minorHAnsi"/>
                <w:b/>
                <w:bCs/>
                <w:sz w:val="21"/>
                <w:szCs w:val="21"/>
              </w:rPr>
              <w:t>S</w:t>
            </w:r>
            <w:r w:rsidRPr="002C52A2">
              <w:rPr>
                <w:rFonts w:cstheme="minorHAnsi"/>
                <w:b/>
                <w:bCs/>
                <w:sz w:val="21"/>
                <w:szCs w:val="21"/>
              </w:rPr>
              <w:t>tudent</w:t>
            </w:r>
          </w:p>
          <w:p w14:paraId="2404769A" w14:textId="77777777" w:rsidR="00463CEC" w:rsidRPr="002C52A2" w:rsidRDefault="00463CEC" w:rsidP="00A1784D">
            <w:pPr>
              <w:rPr>
                <w:rFonts w:cstheme="minorHAnsi"/>
                <w:b/>
                <w:bCs/>
                <w:sz w:val="21"/>
                <w:szCs w:val="21"/>
              </w:rPr>
            </w:pPr>
            <w:r w:rsidRPr="002C52A2">
              <w:rPr>
                <w:rFonts w:cstheme="minorHAnsi"/>
                <w:b/>
                <w:bCs/>
                <w:sz w:val="21"/>
                <w:szCs w:val="21"/>
              </w:rPr>
              <w:t>($)</w:t>
            </w:r>
          </w:p>
        </w:tc>
      </w:tr>
      <w:tr w:rsidR="00463CEC" w:rsidRPr="002C52A2" w14:paraId="5F4D866C" w14:textId="77777777" w:rsidTr="00A1784D">
        <w:trPr>
          <w:trHeight w:val="702"/>
        </w:trPr>
        <w:tc>
          <w:tcPr>
            <w:tcW w:w="1546" w:type="dxa"/>
            <w:vAlign w:val="center"/>
          </w:tcPr>
          <w:p w14:paraId="66305048" w14:textId="77777777" w:rsidR="00463CEC" w:rsidRPr="00E0466C" w:rsidRDefault="00463CEC" w:rsidP="00A1784D">
            <w:pPr>
              <w:rPr>
                <w:rFonts w:asciiTheme="majorHAnsi" w:hAnsiTheme="majorHAnsi" w:cstheme="majorHAnsi"/>
                <w:sz w:val="21"/>
                <w:szCs w:val="21"/>
              </w:rPr>
            </w:pPr>
            <w:r w:rsidRPr="00E0466C">
              <w:rPr>
                <w:rFonts w:asciiTheme="majorHAnsi" w:hAnsiTheme="majorHAnsi" w:cstheme="majorHAnsi"/>
                <w:sz w:val="21"/>
                <w:szCs w:val="21"/>
              </w:rPr>
              <w:t xml:space="preserve">St Francis Xavier </w:t>
            </w:r>
            <w:r>
              <w:rPr>
                <w:rFonts w:asciiTheme="majorHAnsi" w:hAnsiTheme="majorHAnsi" w:cstheme="majorHAnsi"/>
                <w:sz w:val="21"/>
                <w:szCs w:val="21"/>
              </w:rPr>
              <w:t>(</w:t>
            </w:r>
            <w:r w:rsidRPr="00E0466C">
              <w:rPr>
                <w:rFonts w:asciiTheme="majorHAnsi" w:hAnsiTheme="majorHAnsi" w:cstheme="majorHAnsi"/>
                <w:sz w:val="21"/>
                <w:szCs w:val="21"/>
              </w:rPr>
              <w:t>Corio</w:t>
            </w:r>
            <w:r>
              <w:rPr>
                <w:rFonts w:asciiTheme="majorHAnsi" w:hAnsiTheme="majorHAnsi" w:cstheme="majorHAnsi"/>
                <w:sz w:val="21"/>
                <w:szCs w:val="21"/>
              </w:rPr>
              <w:t>)</w:t>
            </w:r>
          </w:p>
        </w:tc>
        <w:tc>
          <w:tcPr>
            <w:tcW w:w="1091" w:type="dxa"/>
            <w:vAlign w:val="center"/>
          </w:tcPr>
          <w:p w14:paraId="6684B63E"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59</w:t>
            </w:r>
          </w:p>
        </w:tc>
        <w:tc>
          <w:tcPr>
            <w:tcW w:w="984" w:type="dxa"/>
            <w:vAlign w:val="center"/>
          </w:tcPr>
          <w:p w14:paraId="0C504B6F"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31</w:t>
            </w:r>
          </w:p>
        </w:tc>
        <w:tc>
          <w:tcPr>
            <w:tcW w:w="984" w:type="dxa"/>
            <w:vAlign w:val="center"/>
          </w:tcPr>
          <w:p w14:paraId="7F6A8BCE"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9</w:t>
            </w:r>
          </w:p>
        </w:tc>
        <w:tc>
          <w:tcPr>
            <w:tcW w:w="1329" w:type="dxa"/>
            <w:vAlign w:val="center"/>
          </w:tcPr>
          <w:p w14:paraId="35825DAA"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936</w:t>
            </w:r>
          </w:p>
        </w:tc>
        <w:tc>
          <w:tcPr>
            <w:tcW w:w="1148" w:type="dxa"/>
            <w:vAlign w:val="center"/>
          </w:tcPr>
          <w:p w14:paraId="65501819"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3</w:t>
            </w:r>
          </w:p>
        </w:tc>
        <w:tc>
          <w:tcPr>
            <w:tcW w:w="1142" w:type="dxa"/>
            <w:vAlign w:val="center"/>
          </w:tcPr>
          <w:p w14:paraId="4CB97303"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36</w:t>
            </w:r>
          </w:p>
        </w:tc>
        <w:tc>
          <w:tcPr>
            <w:tcW w:w="1246" w:type="dxa"/>
            <w:vAlign w:val="center"/>
          </w:tcPr>
          <w:p w14:paraId="017E2491"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14</w:t>
            </w:r>
            <w:r>
              <w:rPr>
                <w:rFonts w:asciiTheme="majorHAnsi" w:hAnsiTheme="majorHAnsi" w:cstheme="majorHAnsi"/>
                <w:sz w:val="21"/>
                <w:szCs w:val="21"/>
              </w:rPr>
              <w:t>,</w:t>
            </w:r>
            <w:r w:rsidRPr="002C52A2">
              <w:rPr>
                <w:rFonts w:asciiTheme="majorHAnsi" w:hAnsiTheme="majorHAnsi" w:cstheme="majorHAnsi"/>
                <w:sz w:val="21"/>
                <w:szCs w:val="21"/>
              </w:rPr>
              <w:t>357</w:t>
            </w:r>
          </w:p>
        </w:tc>
      </w:tr>
      <w:tr w:rsidR="00463CEC" w:rsidRPr="002C52A2" w14:paraId="1B8FBEF4" w14:textId="77777777" w:rsidTr="00A1784D">
        <w:trPr>
          <w:trHeight w:val="592"/>
        </w:trPr>
        <w:tc>
          <w:tcPr>
            <w:tcW w:w="1546" w:type="dxa"/>
            <w:vAlign w:val="center"/>
          </w:tcPr>
          <w:p w14:paraId="3C2ABC78" w14:textId="77777777" w:rsidR="00463CEC" w:rsidRPr="00E0466C" w:rsidRDefault="00463CEC" w:rsidP="00A1784D">
            <w:pPr>
              <w:rPr>
                <w:rFonts w:asciiTheme="majorHAnsi" w:hAnsiTheme="majorHAnsi" w:cstheme="majorHAnsi"/>
                <w:sz w:val="21"/>
                <w:szCs w:val="21"/>
              </w:rPr>
            </w:pPr>
            <w:r w:rsidRPr="00E0466C">
              <w:rPr>
                <w:rFonts w:asciiTheme="majorHAnsi" w:hAnsiTheme="majorHAnsi" w:cstheme="majorHAnsi"/>
                <w:sz w:val="21"/>
                <w:szCs w:val="21"/>
              </w:rPr>
              <w:t xml:space="preserve">St Thomas Aquinas </w:t>
            </w:r>
            <w:r>
              <w:rPr>
                <w:rFonts w:asciiTheme="majorHAnsi" w:hAnsiTheme="majorHAnsi" w:cstheme="majorHAnsi"/>
                <w:sz w:val="21"/>
                <w:szCs w:val="21"/>
              </w:rPr>
              <w:t>(</w:t>
            </w:r>
            <w:r w:rsidRPr="00E0466C">
              <w:rPr>
                <w:rFonts w:asciiTheme="majorHAnsi" w:hAnsiTheme="majorHAnsi" w:cstheme="majorHAnsi"/>
                <w:sz w:val="21"/>
                <w:szCs w:val="21"/>
              </w:rPr>
              <w:t>Norlane</w:t>
            </w:r>
            <w:r>
              <w:rPr>
                <w:rFonts w:asciiTheme="majorHAnsi" w:hAnsiTheme="majorHAnsi" w:cstheme="majorHAnsi"/>
                <w:sz w:val="21"/>
                <w:szCs w:val="21"/>
              </w:rPr>
              <w:t>)</w:t>
            </w:r>
          </w:p>
        </w:tc>
        <w:tc>
          <w:tcPr>
            <w:tcW w:w="1091" w:type="dxa"/>
            <w:vAlign w:val="center"/>
          </w:tcPr>
          <w:p w14:paraId="4E8D27BA"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66</w:t>
            </w:r>
          </w:p>
        </w:tc>
        <w:tc>
          <w:tcPr>
            <w:tcW w:w="984" w:type="dxa"/>
            <w:vAlign w:val="center"/>
          </w:tcPr>
          <w:p w14:paraId="1839E623"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22</w:t>
            </w:r>
          </w:p>
        </w:tc>
        <w:tc>
          <w:tcPr>
            <w:tcW w:w="984" w:type="dxa"/>
            <w:vAlign w:val="center"/>
          </w:tcPr>
          <w:p w14:paraId="003E7ED9"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9</w:t>
            </w:r>
          </w:p>
        </w:tc>
        <w:tc>
          <w:tcPr>
            <w:tcW w:w="1329" w:type="dxa"/>
            <w:vAlign w:val="center"/>
          </w:tcPr>
          <w:p w14:paraId="7894EBCC"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917</w:t>
            </w:r>
          </w:p>
        </w:tc>
        <w:tc>
          <w:tcPr>
            <w:tcW w:w="1148" w:type="dxa"/>
            <w:vAlign w:val="center"/>
          </w:tcPr>
          <w:p w14:paraId="0426EE52"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9</w:t>
            </w:r>
          </w:p>
        </w:tc>
        <w:tc>
          <w:tcPr>
            <w:tcW w:w="1142" w:type="dxa"/>
            <w:vAlign w:val="center"/>
          </w:tcPr>
          <w:p w14:paraId="64916F5E"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25</w:t>
            </w:r>
          </w:p>
        </w:tc>
        <w:tc>
          <w:tcPr>
            <w:tcW w:w="1246" w:type="dxa"/>
            <w:vAlign w:val="center"/>
          </w:tcPr>
          <w:p w14:paraId="3A6A501A"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21</w:t>
            </w:r>
            <w:r>
              <w:rPr>
                <w:rFonts w:asciiTheme="majorHAnsi" w:hAnsiTheme="majorHAnsi" w:cstheme="majorHAnsi"/>
                <w:sz w:val="21"/>
                <w:szCs w:val="21"/>
              </w:rPr>
              <w:t>,</w:t>
            </w:r>
            <w:r w:rsidRPr="002C52A2">
              <w:rPr>
                <w:rFonts w:asciiTheme="majorHAnsi" w:hAnsiTheme="majorHAnsi" w:cstheme="majorHAnsi"/>
                <w:sz w:val="21"/>
                <w:szCs w:val="21"/>
              </w:rPr>
              <w:t>045</w:t>
            </w:r>
          </w:p>
        </w:tc>
      </w:tr>
      <w:tr w:rsidR="00463CEC" w:rsidRPr="002C52A2" w14:paraId="183583FD" w14:textId="77777777" w:rsidTr="00A1784D">
        <w:trPr>
          <w:trHeight w:val="527"/>
        </w:trPr>
        <w:tc>
          <w:tcPr>
            <w:tcW w:w="1546" w:type="dxa"/>
            <w:vAlign w:val="center"/>
          </w:tcPr>
          <w:p w14:paraId="749D5162"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Whittington Primary</w:t>
            </w:r>
          </w:p>
        </w:tc>
        <w:tc>
          <w:tcPr>
            <w:tcW w:w="1091" w:type="dxa"/>
            <w:vAlign w:val="center"/>
          </w:tcPr>
          <w:p w14:paraId="52480606"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82</w:t>
            </w:r>
          </w:p>
        </w:tc>
        <w:tc>
          <w:tcPr>
            <w:tcW w:w="984" w:type="dxa"/>
            <w:vAlign w:val="center"/>
          </w:tcPr>
          <w:p w14:paraId="301C03E6"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14</w:t>
            </w:r>
          </w:p>
        </w:tc>
        <w:tc>
          <w:tcPr>
            <w:tcW w:w="984" w:type="dxa"/>
            <w:vAlign w:val="center"/>
          </w:tcPr>
          <w:p w14:paraId="3DCE61BA"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3</w:t>
            </w:r>
          </w:p>
        </w:tc>
        <w:tc>
          <w:tcPr>
            <w:tcW w:w="1329" w:type="dxa"/>
            <w:vAlign w:val="center"/>
          </w:tcPr>
          <w:p w14:paraId="3187E7E0"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862</w:t>
            </w:r>
          </w:p>
        </w:tc>
        <w:tc>
          <w:tcPr>
            <w:tcW w:w="1148" w:type="dxa"/>
            <w:vAlign w:val="center"/>
          </w:tcPr>
          <w:p w14:paraId="45D744E8"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12</w:t>
            </w:r>
          </w:p>
        </w:tc>
        <w:tc>
          <w:tcPr>
            <w:tcW w:w="1142" w:type="dxa"/>
            <w:vAlign w:val="center"/>
          </w:tcPr>
          <w:p w14:paraId="6E7B4B86"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11</w:t>
            </w:r>
          </w:p>
        </w:tc>
        <w:tc>
          <w:tcPr>
            <w:tcW w:w="1246" w:type="dxa"/>
            <w:vAlign w:val="center"/>
          </w:tcPr>
          <w:p w14:paraId="0B0D4C51"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17</w:t>
            </w:r>
            <w:r>
              <w:rPr>
                <w:rFonts w:asciiTheme="majorHAnsi" w:hAnsiTheme="majorHAnsi" w:cstheme="majorHAnsi"/>
                <w:sz w:val="21"/>
                <w:szCs w:val="21"/>
              </w:rPr>
              <w:t>,</w:t>
            </w:r>
            <w:r w:rsidRPr="002C52A2">
              <w:rPr>
                <w:rFonts w:asciiTheme="majorHAnsi" w:hAnsiTheme="majorHAnsi" w:cstheme="majorHAnsi"/>
                <w:sz w:val="21"/>
                <w:szCs w:val="21"/>
              </w:rPr>
              <w:t>202</w:t>
            </w:r>
          </w:p>
        </w:tc>
      </w:tr>
      <w:tr w:rsidR="00463CEC" w:rsidRPr="002C52A2" w14:paraId="385FB3DD" w14:textId="77777777" w:rsidTr="00A1784D">
        <w:trPr>
          <w:trHeight w:val="527"/>
        </w:trPr>
        <w:tc>
          <w:tcPr>
            <w:tcW w:w="1546" w:type="dxa"/>
            <w:vAlign w:val="center"/>
          </w:tcPr>
          <w:p w14:paraId="58153C1A"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Newcomb Park</w:t>
            </w:r>
          </w:p>
        </w:tc>
        <w:tc>
          <w:tcPr>
            <w:tcW w:w="1091" w:type="dxa"/>
            <w:vAlign w:val="center"/>
          </w:tcPr>
          <w:p w14:paraId="41AF9E51"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67</w:t>
            </w:r>
          </w:p>
        </w:tc>
        <w:tc>
          <w:tcPr>
            <w:tcW w:w="984" w:type="dxa"/>
            <w:vAlign w:val="center"/>
          </w:tcPr>
          <w:p w14:paraId="09596059"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20</w:t>
            </w:r>
          </w:p>
        </w:tc>
        <w:tc>
          <w:tcPr>
            <w:tcW w:w="984" w:type="dxa"/>
            <w:vAlign w:val="center"/>
          </w:tcPr>
          <w:p w14:paraId="44D1DE6B"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10</w:t>
            </w:r>
          </w:p>
        </w:tc>
        <w:tc>
          <w:tcPr>
            <w:tcW w:w="1329" w:type="dxa"/>
            <w:vAlign w:val="center"/>
          </w:tcPr>
          <w:p w14:paraId="424E8F87"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925</w:t>
            </w:r>
          </w:p>
        </w:tc>
        <w:tc>
          <w:tcPr>
            <w:tcW w:w="1148" w:type="dxa"/>
            <w:vAlign w:val="center"/>
          </w:tcPr>
          <w:p w14:paraId="5AE51405"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6</w:t>
            </w:r>
          </w:p>
        </w:tc>
        <w:tc>
          <w:tcPr>
            <w:tcW w:w="1142" w:type="dxa"/>
            <w:vAlign w:val="center"/>
          </w:tcPr>
          <w:p w14:paraId="213DE5D3"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7</w:t>
            </w:r>
          </w:p>
        </w:tc>
        <w:tc>
          <w:tcPr>
            <w:tcW w:w="1246" w:type="dxa"/>
            <w:vAlign w:val="center"/>
          </w:tcPr>
          <w:p w14:paraId="5EA6999B"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15</w:t>
            </w:r>
            <w:r>
              <w:rPr>
                <w:rFonts w:asciiTheme="majorHAnsi" w:hAnsiTheme="majorHAnsi" w:cstheme="majorHAnsi"/>
                <w:sz w:val="21"/>
                <w:szCs w:val="21"/>
              </w:rPr>
              <w:t>,</w:t>
            </w:r>
            <w:r w:rsidRPr="002C52A2">
              <w:rPr>
                <w:rFonts w:asciiTheme="majorHAnsi" w:hAnsiTheme="majorHAnsi" w:cstheme="majorHAnsi"/>
                <w:sz w:val="21"/>
                <w:szCs w:val="21"/>
              </w:rPr>
              <w:t>836</w:t>
            </w:r>
          </w:p>
        </w:tc>
      </w:tr>
      <w:tr w:rsidR="00463CEC" w:rsidRPr="002C52A2" w14:paraId="202BB437" w14:textId="77777777" w:rsidTr="00A1784D">
        <w:trPr>
          <w:trHeight w:val="725"/>
        </w:trPr>
        <w:tc>
          <w:tcPr>
            <w:tcW w:w="1546" w:type="dxa"/>
            <w:vAlign w:val="center"/>
          </w:tcPr>
          <w:p w14:paraId="4A83F5FC"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Christ the King</w:t>
            </w:r>
            <w:r>
              <w:rPr>
                <w:rFonts w:asciiTheme="majorHAnsi" w:hAnsiTheme="majorHAnsi" w:cstheme="majorHAnsi"/>
                <w:sz w:val="21"/>
                <w:szCs w:val="21"/>
              </w:rPr>
              <w:t xml:space="preserve"> (Newcomb)</w:t>
            </w:r>
          </w:p>
        </w:tc>
        <w:tc>
          <w:tcPr>
            <w:tcW w:w="1091" w:type="dxa"/>
            <w:vAlign w:val="center"/>
          </w:tcPr>
          <w:p w14:paraId="43809013"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20</w:t>
            </w:r>
          </w:p>
        </w:tc>
        <w:tc>
          <w:tcPr>
            <w:tcW w:w="984" w:type="dxa"/>
            <w:vAlign w:val="center"/>
          </w:tcPr>
          <w:p w14:paraId="36240657"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37</w:t>
            </w:r>
          </w:p>
        </w:tc>
        <w:tc>
          <w:tcPr>
            <w:tcW w:w="984" w:type="dxa"/>
            <w:vAlign w:val="center"/>
          </w:tcPr>
          <w:p w14:paraId="1F13FE7D"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29</w:t>
            </w:r>
          </w:p>
        </w:tc>
        <w:tc>
          <w:tcPr>
            <w:tcW w:w="1329" w:type="dxa"/>
            <w:vAlign w:val="center"/>
          </w:tcPr>
          <w:p w14:paraId="5D16D4CE"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1027</w:t>
            </w:r>
          </w:p>
        </w:tc>
        <w:tc>
          <w:tcPr>
            <w:tcW w:w="1148" w:type="dxa"/>
            <w:vAlign w:val="center"/>
          </w:tcPr>
          <w:p w14:paraId="4FEEC30B"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1</w:t>
            </w:r>
          </w:p>
        </w:tc>
        <w:tc>
          <w:tcPr>
            <w:tcW w:w="1142" w:type="dxa"/>
            <w:vAlign w:val="center"/>
          </w:tcPr>
          <w:p w14:paraId="15BD5F88"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6</w:t>
            </w:r>
          </w:p>
        </w:tc>
        <w:tc>
          <w:tcPr>
            <w:tcW w:w="1246" w:type="dxa"/>
            <w:vAlign w:val="center"/>
          </w:tcPr>
          <w:p w14:paraId="1D06926A" w14:textId="77777777" w:rsidR="00463CEC" w:rsidRPr="002C52A2" w:rsidRDefault="00463CEC" w:rsidP="00A1784D">
            <w:pPr>
              <w:rPr>
                <w:rFonts w:asciiTheme="majorHAnsi" w:hAnsiTheme="majorHAnsi" w:cstheme="majorHAnsi"/>
                <w:sz w:val="21"/>
                <w:szCs w:val="21"/>
              </w:rPr>
            </w:pPr>
            <w:r w:rsidRPr="002C52A2">
              <w:rPr>
                <w:rFonts w:asciiTheme="majorHAnsi" w:hAnsiTheme="majorHAnsi" w:cstheme="majorHAnsi"/>
                <w:sz w:val="21"/>
                <w:szCs w:val="21"/>
              </w:rPr>
              <w:t>15</w:t>
            </w:r>
            <w:r>
              <w:rPr>
                <w:rFonts w:asciiTheme="majorHAnsi" w:hAnsiTheme="majorHAnsi" w:cstheme="majorHAnsi"/>
                <w:sz w:val="21"/>
                <w:szCs w:val="21"/>
              </w:rPr>
              <w:t>,</w:t>
            </w:r>
            <w:r w:rsidRPr="002C52A2">
              <w:rPr>
                <w:rFonts w:asciiTheme="majorHAnsi" w:hAnsiTheme="majorHAnsi" w:cstheme="majorHAnsi"/>
                <w:sz w:val="21"/>
                <w:szCs w:val="21"/>
              </w:rPr>
              <w:t>057</w:t>
            </w:r>
          </w:p>
        </w:tc>
      </w:tr>
    </w:tbl>
    <w:p w14:paraId="47AD754D" w14:textId="77777777" w:rsidR="00463CEC" w:rsidRPr="00463CEC" w:rsidRDefault="00463CEC" w:rsidP="00463CEC">
      <w:pPr>
        <w:spacing w:after="0" w:line="276" w:lineRule="auto"/>
        <w:rPr>
          <w:rFonts w:cstheme="minorHAnsi"/>
          <w:b/>
          <w:sz w:val="21"/>
          <w:szCs w:val="21"/>
        </w:rPr>
      </w:pPr>
      <w:r w:rsidRPr="00463CEC">
        <w:rPr>
          <w:rFonts w:cstheme="minorHAnsi"/>
          <w:b/>
          <w:sz w:val="21"/>
          <w:szCs w:val="21"/>
        </w:rPr>
        <w:t xml:space="preserve">Table 7.11: Education Indicators for Primary Schools in the Corio, Norlane, and Whittington Areas </w:t>
      </w:r>
    </w:p>
    <w:p w14:paraId="6479E436" w14:textId="77777777" w:rsidR="00463CEC" w:rsidRPr="00463CEC" w:rsidRDefault="00463CEC" w:rsidP="00463CEC">
      <w:pPr>
        <w:spacing w:after="0" w:line="276" w:lineRule="auto"/>
        <w:rPr>
          <w:rFonts w:cstheme="minorHAnsi"/>
          <w:b/>
          <w:noProof/>
          <w:sz w:val="21"/>
          <w:szCs w:val="21"/>
        </w:rPr>
      </w:pPr>
      <w:r w:rsidRPr="00463CEC">
        <w:rPr>
          <w:rFonts w:cstheme="minorHAnsi"/>
          <w:b/>
          <w:noProof/>
          <w:sz w:val="21"/>
          <w:szCs w:val="21"/>
        </w:rPr>
        <w:t>(Source: My School, 2021)</w:t>
      </w:r>
    </w:p>
    <w:p w14:paraId="3334D245" w14:textId="77777777" w:rsidR="00463CEC" w:rsidRPr="00463CEC" w:rsidRDefault="00463CEC" w:rsidP="00463CEC">
      <w:pPr>
        <w:spacing w:after="0" w:line="276" w:lineRule="auto"/>
        <w:rPr>
          <w:rFonts w:cstheme="minorHAnsi"/>
          <w:b/>
          <w:sz w:val="16"/>
          <w:szCs w:val="16"/>
        </w:rPr>
      </w:pPr>
    </w:p>
    <w:p w14:paraId="0C737511" w14:textId="77777777" w:rsidR="00463CEC" w:rsidRPr="00463CEC" w:rsidRDefault="00463CEC" w:rsidP="00463CEC">
      <w:pPr>
        <w:spacing w:line="276" w:lineRule="auto"/>
        <w:rPr>
          <w:rFonts w:asciiTheme="majorHAnsi" w:hAnsiTheme="majorHAnsi" w:cstheme="majorHAnsi"/>
          <w:sz w:val="23"/>
          <w:szCs w:val="23"/>
        </w:rPr>
      </w:pPr>
      <w:r w:rsidRPr="00463CEC">
        <w:rPr>
          <w:rFonts w:asciiTheme="majorHAnsi" w:hAnsiTheme="majorHAnsi" w:cstheme="majorHAnsi"/>
          <w:sz w:val="23"/>
          <w:szCs w:val="23"/>
        </w:rPr>
        <w:t>Turning to local high schools, Northern Bay College in Corio serves the Corio–Norlane area. In 2019 the school had 1935 students. Given that Aboriginal and Torres Strait Islander Australians make up less than 1 percent of the Geelong population, it is notable that 8 percent of students at this high school are Indigenous. Figures for the same year (2019) show that 34 percent of students have a language background other than English (up from 23 percent in 2014), indicating that this school attracts a growing number of newly arrived migrants, including refugees.</w:t>
      </w:r>
    </w:p>
    <w:p w14:paraId="445EB20A" w14:textId="77777777" w:rsidR="00463CEC" w:rsidRPr="00463CEC" w:rsidRDefault="00463CEC" w:rsidP="00463CEC">
      <w:pPr>
        <w:spacing w:line="276" w:lineRule="auto"/>
        <w:rPr>
          <w:rFonts w:asciiTheme="majorHAnsi" w:hAnsiTheme="majorHAnsi" w:cstheme="majorHAnsi"/>
          <w:sz w:val="23"/>
          <w:szCs w:val="23"/>
        </w:rPr>
      </w:pPr>
      <w:r w:rsidRPr="00463CEC">
        <w:rPr>
          <w:rFonts w:asciiTheme="majorHAnsi" w:hAnsiTheme="majorHAnsi" w:cstheme="majorHAnsi"/>
          <w:sz w:val="23"/>
          <w:szCs w:val="23"/>
        </w:rPr>
        <w:t xml:space="preserve">Northern Bay College’s SEIFA Index ranking for Socio-Educational Advantage has remained relatively stable over time, at 882, and is higher than the </w:t>
      </w:r>
      <w:proofErr w:type="gramStart"/>
      <w:r w:rsidRPr="00463CEC">
        <w:rPr>
          <w:rFonts w:asciiTheme="majorHAnsi" w:hAnsiTheme="majorHAnsi" w:cstheme="majorHAnsi"/>
          <w:sz w:val="23"/>
          <w:szCs w:val="23"/>
        </w:rPr>
        <w:t>area as a whole</w:t>
      </w:r>
      <w:proofErr w:type="gramEnd"/>
      <w:r w:rsidRPr="00463CEC">
        <w:rPr>
          <w:rFonts w:asciiTheme="majorHAnsi" w:hAnsiTheme="majorHAnsi" w:cstheme="majorHAnsi"/>
          <w:sz w:val="23"/>
          <w:szCs w:val="23"/>
        </w:rPr>
        <w:t>. This suggest that students attending this school are from more affluent and secure households – which begs the question as to where other students in the community attend high school. However, this score remains well short of the 1000 average, which helps explain why only 54 VCE Certificates were awarded at the school in 2019 (up from 31 in 2014, but still very low). The distribution of Socio-Educational Advantage is revealing, especially when compared to the other major high school in the area, Geelong Grammar, whose 1152-strong student population has a very different profile.</w:t>
      </w:r>
    </w:p>
    <w:p w14:paraId="7FE1118E" w14:textId="1AD23CBA" w:rsidR="00463CEC" w:rsidRDefault="00463CEC" w:rsidP="00463CEC">
      <w:pPr>
        <w:spacing w:after="0" w:line="276" w:lineRule="auto"/>
        <w:rPr>
          <w:rFonts w:asciiTheme="majorHAnsi" w:hAnsiTheme="majorHAnsi" w:cstheme="majorBidi"/>
          <w:sz w:val="23"/>
          <w:szCs w:val="23"/>
        </w:rPr>
      </w:pPr>
      <w:r w:rsidRPr="00463CEC">
        <w:rPr>
          <w:rFonts w:asciiTheme="majorHAnsi" w:hAnsiTheme="majorHAnsi" w:cstheme="majorBidi"/>
          <w:sz w:val="23"/>
          <w:szCs w:val="23"/>
        </w:rPr>
        <w:lastRenderedPageBreak/>
        <w:t>Newcomb Secondary College serves the Whittington area, along with St Albans, Moolap, and Newcomb. It has a high proportion of students in the lowest quartile of Socio-Educational Advantage, along with a large representation of Indigenous students (4 percent). Whittington also has St Helen’s Special School, a small Catholic school for special-needs students. With only 95 students, St Helen’s receives high levels of specialist Australian government funding ($46,899 per student, compared to $3331 for Northern Bay and $4762 for Geelong Grammar). While St Helen’s has a high Index of Socio-Educational Advantage (959), it still has a significant number of low-income students, as Table 7.12 (below) shows.</w:t>
      </w:r>
    </w:p>
    <w:p w14:paraId="786B7250" w14:textId="559DD1ED" w:rsidR="00463CEC" w:rsidRPr="00010F40" w:rsidRDefault="00463CEC" w:rsidP="00010F40">
      <w:pPr>
        <w:spacing w:after="0" w:line="276" w:lineRule="auto"/>
        <w:rPr>
          <w:rFonts w:asciiTheme="majorHAnsi" w:hAnsiTheme="majorHAnsi" w:cstheme="majorBidi"/>
          <w:sz w:val="12"/>
          <w:szCs w:val="12"/>
        </w:rPr>
      </w:pPr>
      <w:r w:rsidRPr="00010F40">
        <w:rPr>
          <w:rFonts w:asciiTheme="majorHAnsi" w:hAnsiTheme="majorHAnsi" w:cstheme="majorBidi"/>
          <w:sz w:val="12"/>
          <w:szCs w:val="12"/>
        </w:rPr>
        <w:t xml:space="preserve">   </w:t>
      </w:r>
    </w:p>
    <w:tbl>
      <w:tblPr>
        <w:tblStyle w:val="TableGrid"/>
        <w:tblW w:w="9613" w:type="dxa"/>
        <w:tblInd w:w="-5" w:type="dxa"/>
        <w:tblLook w:val="04A0" w:firstRow="1" w:lastRow="0" w:firstColumn="1" w:lastColumn="0" w:noHBand="0" w:noVBand="1"/>
      </w:tblPr>
      <w:tblGrid>
        <w:gridCol w:w="1462"/>
        <w:gridCol w:w="1082"/>
        <w:gridCol w:w="1132"/>
        <w:gridCol w:w="1090"/>
        <w:gridCol w:w="1355"/>
        <w:gridCol w:w="1104"/>
        <w:gridCol w:w="1298"/>
        <w:gridCol w:w="1090"/>
      </w:tblGrid>
      <w:tr w:rsidR="00463CEC" w:rsidRPr="00866FE5" w14:paraId="5387D590" w14:textId="77777777" w:rsidTr="00A1784D">
        <w:trPr>
          <w:trHeight w:val="826"/>
        </w:trPr>
        <w:tc>
          <w:tcPr>
            <w:tcW w:w="1462" w:type="dxa"/>
            <w:shd w:val="clear" w:color="auto" w:fill="D0CECE" w:themeFill="background2" w:themeFillShade="E6"/>
          </w:tcPr>
          <w:p w14:paraId="4D0D5F79" w14:textId="77777777" w:rsidR="00463CEC" w:rsidRPr="00866FE5" w:rsidRDefault="00463CEC" w:rsidP="00A1784D">
            <w:pPr>
              <w:rPr>
                <w:rFonts w:cstheme="minorHAnsi"/>
                <w:b/>
                <w:bCs/>
                <w:sz w:val="21"/>
                <w:szCs w:val="21"/>
              </w:rPr>
            </w:pPr>
            <w:r w:rsidRPr="00866FE5">
              <w:rPr>
                <w:rFonts w:cstheme="minorHAnsi"/>
                <w:b/>
                <w:bCs/>
                <w:sz w:val="21"/>
                <w:szCs w:val="21"/>
              </w:rPr>
              <w:t>School</w:t>
            </w:r>
          </w:p>
        </w:tc>
        <w:tc>
          <w:tcPr>
            <w:tcW w:w="1082" w:type="dxa"/>
            <w:shd w:val="clear" w:color="auto" w:fill="D0CECE" w:themeFill="background2" w:themeFillShade="E6"/>
          </w:tcPr>
          <w:p w14:paraId="15147AE7" w14:textId="77777777" w:rsidR="00463CEC" w:rsidRPr="00866FE5" w:rsidRDefault="00463CEC" w:rsidP="00A1784D">
            <w:pPr>
              <w:rPr>
                <w:rFonts w:cstheme="minorHAnsi"/>
                <w:b/>
                <w:bCs/>
                <w:sz w:val="21"/>
                <w:szCs w:val="21"/>
              </w:rPr>
            </w:pPr>
            <w:r w:rsidRPr="00866FE5">
              <w:rPr>
                <w:rFonts w:cstheme="minorHAnsi"/>
                <w:b/>
                <w:bCs/>
                <w:sz w:val="21"/>
                <w:szCs w:val="21"/>
              </w:rPr>
              <w:t xml:space="preserve">Bottom </w:t>
            </w:r>
            <w:r>
              <w:rPr>
                <w:rFonts w:cstheme="minorHAnsi"/>
                <w:b/>
                <w:bCs/>
                <w:sz w:val="21"/>
                <w:szCs w:val="21"/>
              </w:rPr>
              <w:t>Q</w:t>
            </w:r>
            <w:r w:rsidRPr="00866FE5">
              <w:rPr>
                <w:rFonts w:cstheme="minorHAnsi"/>
                <w:b/>
                <w:bCs/>
                <w:sz w:val="21"/>
                <w:szCs w:val="21"/>
              </w:rPr>
              <w:t>uartile</w:t>
            </w:r>
          </w:p>
        </w:tc>
        <w:tc>
          <w:tcPr>
            <w:tcW w:w="1132" w:type="dxa"/>
            <w:shd w:val="clear" w:color="auto" w:fill="D0CECE" w:themeFill="background2" w:themeFillShade="E6"/>
          </w:tcPr>
          <w:p w14:paraId="4DBBB081" w14:textId="77777777" w:rsidR="00463CEC" w:rsidRPr="00866FE5" w:rsidRDefault="00463CEC" w:rsidP="00A1784D">
            <w:pPr>
              <w:rPr>
                <w:rFonts w:cstheme="minorHAnsi"/>
                <w:b/>
                <w:bCs/>
                <w:sz w:val="21"/>
                <w:szCs w:val="21"/>
              </w:rPr>
            </w:pPr>
            <w:r w:rsidRPr="00866FE5">
              <w:rPr>
                <w:rFonts w:cstheme="minorHAnsi"/>
                <w:b/>
                <w:bCs/>
                <w:sz w:val="21"/>
                <w:szCs w:val="21"/>
              </w:rPr>
              <w:t>Middle Quartile</w:t>
            </w:r>
          </w:p>
        </w:tc>
        <w:tc>
          <w:tcPr>
            <w:tcW w:w="1090" w:type="dxa"/>
            <w:shd w:val="clear" w:color="auto" w:fill="D0CECE" w:themeFill="background2" w:themeFillShade="E6"/>
          </w:tcPr>
          <w:p w14:paraId="346F34BB" w14:textId="77777777" w:rsidR="00463CEC" w:rsidRPr="00866FE5" w:rsidRDefault="00463CEC" w:rsidP="00A1784D">
            <w:pPr>
              <w:rPr>
                <w:rFonts w:cstheme="minorHAnsi"/>
                <w:b/>
                <w:bCs/>
                <w:sz w:val="21"/>
                <w:szCs w:val="21"/>
              </w:rPr>
            </w:pPr>
            <w:r>
              <w:rPr>
                <w:rFonts w:cstheme="minorHAnsi"/>
                <w:b/>
                <w:bCs/>
                <w:sz w:val="21"/>
                <w:szCs w:val="21"/>
              </w:rPr>
              <w:t>Top</w:t>
            </w:r>
            <w:r w:rsidRPr="00866FE5">
              <w:rPr>
                <w:rFonts w:cstheme="minorHAnsi"/>
                <w:b/>
                <w:bCs/>
                <w:sz w:val="21"/>
                <w:szCs w:val="21"/>
              </w:rPr>
              <w:t xml:space="preserve"> Quartile</w:t>
            </w:r>
          </w:p>
        </w:tc>
        <w:tc>
          <w:tcPr>
            <w:tcW w:w="1355" w:type="dxa"/>
            <w:shd w:val="clear" w:color="auto" w:fill="D0CECE" w:themeFill="background2" w:themeFillShade="E6"/>
          </w:tcPr>
          <w:p w14:paraId="2946CB0B" w14:textId="77777777" w:rsidR="00463CEC" w:rsidRPr="00866FE5" w:rsidRDefault="00463CEC" w:rsidP="00A1784D">
            <w:pPr>
              <w:rPr>
                <w:rFonts w:cstheme="minorHAnsi"/>
                <w:b/>
                <w:bCs/>
                <w:sz w:val="21"/>
                <w:szCs w:val="21"/>
              </w:rPr>
            </w:pPr>
            <w:r w:rsidRPr="00866FE5">
              <w:rPr>
                <w:rFonts w:cstheme="minorHAnsi"/>
                <w:b/>
                <w:bCs/>
                <w:sz w:val="21"/>
                <w:szCs w:val="21"/>
              </w:rPr>
              <w:t>Index of Socio-Educational Advantage</w:t>
            </w:r>
          </w:p>
        </w:tc>
        <w:tc>
          <w:tcPr>
            <w:tcW w:w="1104" w:type="dxa"/>
            <w:shd w:val="clear" w:color="auto" w:fill="D0CECE" w:themeFill="background2" w:themeFillShade="E6"/>
          </w:tcPr>
          <w:p w14:paraId="1BE8280F" w14:textId="77777777" w:rsidR="00463CEC" w:rsidRPr="00866FE5" w:rsidRDefault="00463CEC" w:rsidP="00A1784D">
            <w:pPr>
              <w:rPr>
                <w:rFonts w:cstheme="minorHAnsi"/>
                <w:b/>
                <w:bCs/>
                <w:sz w:val="21"/>
                <w:szCs w:val="21"/>
              </w:rPr>
            </w:pPr>
            <w:r w:rsidRPr="00866FE5">
              <w:rPr>
                <w:rFonts w:cstheme="minorHAnsi"/>
                <w:b/>
                <w:bCs/>
                <w:sz w:val="21"/>
                <w:szCs w:val="21"/>
              </w:rPr>
              <w:t>ATSI students</w:t>
            </w:r>
          </w:p>
          <w:p w14:paraId="345590BB" w14:textId="77777777" w:rsidR="00463CEC" w:rsidRPr="00866FE5" w:rsidRDefault="00463CEC" w:rsidP="00A1784D">
            <w:pPr>
              <w:rPr>
                <w:rFonts w:cstheme="minorHAnsi"/>
                <w:b/>
                <w:bCs/>
                <w:sz w:val="21"/>
                <w:szCs w:val="21"/>
              </w:rPr>
            </w:pPr>
            <w:r w:rsidRPr="00866FE5">
              <w:rPr>
                <w:rFonts w:cstheme="minorHAnsi"/>
                <w:b/>
                <w:bCs/>
                <w:sz w:val="21"/>
                <w:szCs w:val="21"/>
              </w:rPr>
              <w:t>(%)</w:t>
            </w:r>
          </w:p>
        </w:tc>
        <w:tc>
          <w:tcPr>
            <w:tcW w:w="1298" w:type="dxa"/>
            <w:shd w:val="clear" w:color="auto" w:fill="D0CECE" w:themeFill="background2" w:themeFillShade="E6"/>
          </w:tcPr>
          <w:p w14:paraId="519E2223" w14:textId="77777777" w:rsidR="00463CEC" w:rsidRPr="00866FE5" w:rsidRDefault="00463CEC" w:rsidP="00A1784D">
            <w:pPr>
              <w:rPr>
                <w:rFonts w:cstheme="minorHAnsi"/>
                <w:b/>
                <w:bCs/>
                <w:sz w:val="21"/>
                <w:szCs w:val="21"/>
              </w:rPr>
            </w:pPr>
            <w:r w:rsidRPr="00866FE5">
              <w:rPr>
                <w:rFonts w:cstheme="minorHAnsi"/>
                <w:b/>
                <w:bCs/>
                <w:sz w:val="21"/>
                <w:szCs w:val="21"/>
              </w:rPr>
              <w:t xml:space="preserve">Language </w:t>
            </w:r>
            <w:r>
              <w:rPr>
                <w:rFonts w:cstheme="minorHAnsi"/>
                <w:b/>
                <w:bCs/>
                <w:sz w:val="21"/>
                <w:szCs w:val="21"/>
              </w:rPr>
              <w:t>O</w:t>
            </w:r>
            <w:r w:rsidRPr="00866FE5">
              <w:rPr>
                <w:rFonts w:cstheme="minorHAnsi"/>
                <w:b/>
                <w:bCs/>
                <w:sz w:val="21"/>
                <w:szCs w:val="21"/>
              </w:rPr>
              <w:t xml:space="preserve">ther </w:t>
            </w:r>
            <w:r>
              <w:rPr>
                <w:rFonts w:cstheme="minorHAnsi"/>
                <w:b/>
                <w:bCs/>
                <w:sz w:val="21"/>
                <w:szCs w:val="21"/>
              </w:rPr>
              <w:t>T</w:t>
            </w:r>
            <w:r w:rsidRPr="00866FE5">
              <w:rPr>
                <w:rFonts w:cstheme="minorHAnsi"/>
                <w:b/>
                <w:bCs/>
                <w:sz w:val="21"/>
                <w:szCs w:val="21"/>
              </w:rPr>
              <w:t>han English</w:t>
            </w:r>
            <w:r>
              <w:rPr>
                <w:rFonts w:cstheme="minorHAnsi"/>
                <w:b/>
                <w:bCs/>
                <w:sz w:val="21"/>
                <w:szCs w:val="21"/>
              </w:rPr>
              <w:t xml:space="preserve"> Students</w:t>
            </w:r>
          </w:p>
        </w:tc>
        <w:tc>
          <w:tcPr>
            <w:tcW w:w="1090" w:type="dxa"/>
            <w:shd w:val="clear" w:color="auto" w:fill="D0CECE" w:themeFill="background2" w:themeFillShade="E6"/>
          </w:tcPr>
          <w:p w14:paraId="3A906824" w14:textId="77777777" w:rsidR="00463CEC" w:rsidRPr="00866FE5" w:rsidRDefault="00463CEC" w:rsidP="00A1784D">
            <w:pPr>
              <w:rPr>
                <w:rFonts w:cstheme="minorHAnsi"/>
                <w:b/>
                <w:bCs/>
                <w:sz w:val="21"/>
                <w:szCs w:val="21"/>
              </w:rPr>
            </w:pPr>
            <w:r w:rsidRPr="00866FE5">
              <w:rPr>
                <w:rFonts w:cstheme="minorHAnsi"/>
                <w:b/>
                <w:bCs/>
                <w:sz w:val="21"/>
                <w:szCs w:val="21"/>
              </w:rPr>
              <w:t xml:space="preserve">Funding </w:t>
            </w:r>
            <w:r>
              <w:rPr>
                <w:rFonts w:cstheme="minorHAnsi"/>
                <w:b/>
                <w:bCs/>
                <w:sz w:val="21"/>
                <w:szCs w:val="21"/>
              </w:rPr>
              <w:t>P</w:t>
            </w:r>
            <w:r w:rsidRPr="00866FE5">
              <w:rPr>
                <w:rFonts w:cstheme="minorHAnsi"/>
                <w:b/>
                <w:bCs/>
                <w:sz w:val="21"/>
                <w:szCs w:val="21"/>
              </w:rPr>
              <w:t xml:space="preserve">er </w:t>
            </w:r>
            <w:r>
              <w:rPr>
                <w:rFonts w:cstheme="minorHAnsi"/>
                <w:b/>
                <w:bCs/>
                <w:sz w:val="21"/>
                <w:szCs w:val="21"/>
              </w:rPr>
              <w:t>S</w:t>
            </w:r>
            <w:r w:rsidRPr="00866FE5">
              <w:rPr>
                <w:rFonts w:cstheme="minorHAnsi"/>
                <w:b/>
                <w:bCs/>
                <w:sz w:val="21"/>
                <w:szCs w:val="21"/>
              </w:rPr>
              <w:t>tudent</w:t>
            </w:r>
          </w:p>
          <w:p w14:paraId="50F7F53C" w14:textId="77777777" w:rsidR="00463CEC" w:rsidRPr="00866FE5" w:rsidRDefault="00463CEC" w:rsidP="00A1784D">
            <w:pPr>
              <w:rPr>
                <w:rFonts w:cstheme="minorHAnsi"/>
                <w:b/>
                <w:bCs/>
                <w:sz w:val="21"/>
                <w:szCs w:val="21"/>
              </w:rPr>
            </w:pPr>
            <w:r w:rsidRPr="00866FE5">
              <w:rPr>
                <w:rFonts w:cstheme="minorHAnsi"/>
                <w:b/>
                <w:bCs/>
                <w:sz w:val="21"/>
                <w:szCs w:val="21"/>
              </w:rPr>
              <w:t>($)</w:t>
            </w:r>
          </w:p>
        </w:tc>
      </w:tr>
      <w:tr w:rsidR="00463CEC" w:rsidRPr="00866FE5" w14:paraId="762404A4" w14:textId="77777777" w:rsidTr="00A1784D">
        <w:trPr>
          <w:trHeight w:val="545"/>
        </w:trPr>
        <w:tc>
          <w:tcPr>
            <w:tcW w:w="1462" w:type="dxa"/>
            <w:vAlign w:val="center"/>
          </w:tcPr>
          <w:p w14:paraId="1D18DC31"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Northern Bay College</w:t>
            </w:r>
            <w:r>
              <w:rPr>
                <w:rFonts w:asciiTheme="majorHAnsi" w:hAnsiTheme="majorHAnsi" w:cstheme="majorHAnsi"/>
                <w:sz w:val="21"/>
                <w:szCs w:val="21"/>
              </w:rPr>
              <w:t xml:space="preserve"> (Corio)</w:t>
            </w:r>
          </w:p>
        </w:tc>
        <w:tc>
          <w:tcPr>
            <w:tcW w:w="1082" w:type="dxa"/>
            <w:vAlign w:val="center"/>
          </w:tcPr>
          <w:p w14:paraId="5DC40656"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78</w:t>
            </w:r>
          </w:p>
        </w:tc>
        <w:tc>
          <w:tcPr>
            <w:tcW w:w="1132" w:type="dxa"/>
            <w:vAlign w:val="center"/>
          </w:tcPr>
          <w:p w14:paraId="4433F678"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16</w:t>
            </w:r>
          </w:p>
        </w:tc>
        <w:tc>
          <w:tcPr>
            <w:tcW w:w="1090" w:type="dxa"/>
            <w:vAlign w:val="center"/>
          </w:tcPr>
          <w:p w14:paraId="188342A5"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5</w:t>
            </w:r>
          </w:p>
        </w:tc>
        <w:tc>
          <w:tcPr>
            <w:tcW w:w="1355" w:type="dxa"/>
            <w:vAlign w:val="center"/>
          </w:tcPr>
          <w:p w14:paraId="7EA080BD"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882</w:t>
            </w:r>
          </w:p>
        </w:tc>
        <w:tc>
          <w:tcPr>
            <w:tcW w:w="1104" w:type="dxa"/>
            <w:vAlign w:val="center"/>
          </w:tcPr>
          <w:p w14:paraId="6E77D9D4"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8</w:t>
            </w:r>
          </w:p>
        </w:tc>
        <w:tc>
          <w:tcPr>
            <w:tcW w:w="1298" w:type="dxa"/>
            <w:vAlign w:val="center"/>
          </w:tcPr>
          <w:p w14:paraId="06EC8DEF"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34</w:t>
            </w:r>
          </w:p>
        </w:tc>
        <w:tc>
          <w:tcPr>
            <w:tcW w:w="1090" w:type="dxa"/>
            <w:vAlign w:val="center"/>
          </w:tcPr>
          <w:p w14:paraId="3C0DBD4D"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18</w:t>
            </w:r>
            <w:r>
              <w:rPr>
                <w:rFonts w:asciiTheme="majorHAnsi" w:hAnsiTheme="majorHAnsi" w:cstheme="majorHAnsi"/>
                <w:sz w:val="21"/>
                <w:szCs w:val="21"/>
              </w:rPr>
              <w:t>,</w:t>
            </w:r>
            <w:r w:rsidRPr="00866FE5">
              <w:rPr>
                <w:rFonts w:asciiTheme="majorHAnsi" w:hAnsiTheme="majorHAnsi" w:cstheme="majorHAnsi"/>
                <w:sz w:val="21"/>
                <w:szCs w:val="21"/>
              </w:rPr>
              <w:t>181</w:t>
            </w:r>
          </w:p>
        </w:tc>
      </w:tr>
      <w:tr w:rsidR="00463CEC" w:rsidRPr="00866FE5" w14:paraId="33041D3C" w14:textId="77777777" w:rsidTr="00A1784D">
        <w:trPr>
          <w:trHeight w:val="671"/>
        </w:trPr>
        <w:tc>
          <w:tcPr>
            <w:tcW w:w="1462" w:type="dxa"/>
            <w:vAlign w:val="center"/>
          </w:tcPr>
          <w:p w14:paraId="5ED30754"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Geelong Grammar</w:t>
            </w:r>
            <w:r>
              <w:rPr>
                <w:rFonts w:asciiTheme="majorHAnsi" w:hAnsiTheme="majorHAnsi" w:cstheme="majorHAnsi"/>
                <w:sz w:val="21"/>
                <w:szCs w:val="21"/>
              </w:rPr>
              <w:t xml:space="preserve"> (Senior School, Corio)</w:t>
            </w:r>
          </w:p>
        </w:tc>
        <w:tc>
          <w:tcPr>
            <w:tcW w:w="1082" w:type="dxa"/>
            <w:vAlign w:val="center"/>
          </w:tcPr>
          <w:p w14:paraId="60CD162D"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2</w:t>
            </w:r>
          </w:p>
        </w:tc>
        <w:tc>
          <w:tcPr>
            <w:tcW w:w="1132" w:type="dxa"/>
            <w:vAlign w:val="center"/>
          </w:tcPr>
          <w:p w14:paraId="36D8B56F"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7</w:t>
            </w:r>
          </w:p>
        </w:tc>
        <w:tc>
          <w:tcPr>
            <w:tcW w:w="1090" w:type="dxa"/>
            <w:vAlign w:val="center"/>
          </w:tcPr>
          <w:p w14:paraId="32B52B2E"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22</w:t>
            </w:r>
          </w:p>
        </w:tc>
        <w:tc>
          <w:tcPr>
            <w:tcW w:w="1355" w:type="dxa"/>
            <w:vAlign w:val="center"/>
          </w:tcPr>
          <w:p w14:paraId="6B4664F7"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1152</w:t>
            </w:r>
          </w:p>
        </w:tc>
        <w:tc>
          <w:tcPr>
            <w:tcW w:w="1104" w:type="dxa"/>
            <w:vAlign w:val="center"/>
          </w:tcPr>
          <w:p w14:paraId="069C4F18"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1</w:t>
            </w:r>
          </w:p>
        </w:tc>
        <w:tc>
          <w:tcPr>
            <w:tcW w:w="1298" w:type="dxa"/>
            <w:vAlign w:val="center"/>
          </w:tcPr>
          <w:p w14:paraId="35930CD5"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26</w:t>
            </w:r>
          </w:p>
        </w:tc>
        <w:tc>
          <w:tcPr>
            <w:tcW w:w="1090" w:type="dxa"/>
            <w:vAlign w:val="center"/>
          </w:tcPr>
          <w:p w14:paraId="65601B4C"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26</w:t>
            </w:r>
            <w:r>
              <w:rPr>
                <w:rFonts w:asciiTheme="majorHAnsi" w:hAnsiTheme="majorHAnsi" w:cstheme="majorHAnsi"/>
                <w:sz w:val="21"/>
                <w:szCs w:val="21"/>
              </w:rPr>
              <w:t>,</w:t>
            </w:r>
            <w:r w:rsidRPr="00866FE5">
              <w:rPr>
                <w:rFonts w:asciiTheme="majorHAnsi" w:hAnsiTheme="majorHAnsi" w:cstheme="majorHAnsi"/>
                <w:sz w:val="21"/>
                <w:szCs w:val="21"/>
              </w:rPr>
              <w:t>473</w:t>
            </w:r>
          </w:p>
        </w:tc>
      </w:tr>
      <w:tr w:rsidR="00463CEC" w:rsidRPr="00866FE5" w14:paraId="59009B52" w14:textId="77777777" w:rsidTr="00A1784D">
        <w:trPr>
          <w:trHeight w:val="766"/>
        </w:trPr>
        <w:tc>
          <w:tcPr>
            <w:tcW w:w="1462" w:type="dxa"/>
            <w:vAlign w:val="center"/>
          </w:tcPr>
          <w:p w14:paraId="3FE24C7B"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Newcomb Secondary College</w:t>
            </w:r>
          </w:p>
        </w:tc>
        <w:tc>
          <w:tcPr>
            <w:tcW w:w="1082" w:type="dxa"/>
            <w:vAlign w:val="center"/>
          </w:tcPr>
          <w:p w14:paraId="679CE1AC"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61</w:t>
            </w:r>
          </w:p>
        </w:tc>
        <w:tc>
          <w:tcPr>
            <w:tcW w:w="1132" w:type="dxa"/>
            <w:vAlign w:val="center"/>
          </w:tcPr>
          <w:p w14:paraId="088A7F45"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25</w:t>
            </w:r>
          </w:p>
        </w:tc>
        <w:tc>
          <w:tcPr>
            <w:tcW w:w="1090" w:type="dxa"/>
            <w:vAlign w:val="center"/>
          </w:tcPr>
          <w:p w14:paraId="4441303D"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11</w:t>
            </w:r>
          </w:p>
        </w:tc>
        <w:tc>
          <w:tcPr>
            <w:tcW w:w="1355" w:type="dxa"/>
            <w:vAlign w:val="center"/>
          </w:tcPr>
          <w:p w14:paraId="13E47A84"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934</w:t>
            </w:r>
          </w:p>
        </w:tc>
        <w:tc>
          <w:tcPr>
            <w:tcW w:w="1104" w:type="dxa"/>
            <w:vAlign w:val="center"/>
          </w:tcPr>
          <w:p w14:paraId="3F3CD213"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4</w:t>
            </w:r>
          </w:p>
        </w:tc>
        <w:tc>
          <w:tcPr>
            <w:tcW w:w="1298" w:type="dxa"/>
            <w:vAlign w:val="center"/>
          </w:tcPr>
          <w:p w14:paraId="1B53FE9E"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2</w:t>
            </w:r>
          </w:p>
        </w:tc>
        <w:tc>
          <w:tcPr>
            <w:tcW w:w="1090" w:type="dxa"/>
            <w:vAlign w:val="center"/>
          </w:tcPr>
          <w:p w14:paraId="005BB377"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25</w:t>
            </w:r>
            <w:r>
              <w:rPr>
                <w:rFonts w:asciiTheme="majorHAnsi" w:hAnsiTheme="majorHAnsi" w:cstheme="majorHAnsi"/>
                <w:sz w:val="21"/>
                <w:szCs w:val="21"/>
              </w:rPr>
              <w:t>,</w:t>
            </w:r>
            <w:r w:rsidRPr="00866FE5">
              <w:rPr>
                <w:rFonts w:asciiTheme="majorHAnsi" w:hAnsiTheme="majorHAnsi" w:cstheme="majorHAnsi"/>
                <w:sz w:val="21"/>
                <w:szCs w:val="21"/>
              </w:rPr>
              <w:t>698</w:t>
            </w:r>
          </w:p>
        </w:tc>
      </w:tr>
      <w:tr w:rsidR="00463CEC" w:rsidRPr="00866FE5" w14:paraId="495725B8" w14:textId="77777777" w:rsidTr="00A1784D">
        <w:trPr>
          <w:trHeight w:val="914"/>
        </w:trPr>
        <w:tc>
          <w:tcPr>
            <w:tcW w:w="1462" w:type="dxa"/>
            <w:vAlign w:val="center"/>
          </w:tcPr>
          <w:p w14:paraId="07537063"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 xml:space="preserve">MacKillop Specialist School </w:t>
            </w:r>
            <w:r>
              <w:rPr>
                <w:rFonts w:asciiTheme="majorHAnsi" w:hAnsiTheme="majorHAnsi" w:cstheme="majorHAnsi"/>
                <w:sz w:val="21"/>
                <w:szCs w:val="21"/>
              </w:rPr>
              <w:t>(</w:t>
            </w:r>
            <w:r w:rsidRPr="00866FE5">
              <w:rPr>
                <w:rFonts w:asciiTheme="majorHAnsi" w:hAnsiTheme="majorHAnsi" w:cstheme="majorHAnsi"/>
                <w:sz w:val="21"/>
                <w:szCs w:val="21"/>
              </w:rPr>
              <w:t>Whittington</w:t>
            </w:r>
            <w:r>
              <w:rPr>
                <w:rFonts w:asciiTheme="majorHAnsi" w:hAnsiTheme="majorHAnsi" w:cstheme="majorHAnsi"/>
                <w:sz w:val="21"/>
                <w:szCs w:val="21"/>
              </w:rPr>
              <w:t>)</w:t>
            </w:r>
          </w:p>
        </w:tc>
        <w:tc>
          <w:tcPr>
            <w:tcW w:w="1082" w:type="dxa"/>
            <w:vAlign w:val="center"/>
          </w:tcPr>
          <w:p w14:paraId="270B2E6E"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44</w:t>
            </w:r>
          </w:p>
        </w:tc>
        <w:tc>
          <w:tcPr>
            <w:tcW w:w="1132" w:type="dxa"/>
            <w:vAlign w:val="center"/>
          </w:tcPr>
          <w:p w14:paraId="7300E8BB"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29</w:t>
            </w:r>
          </w:p>
        </w:tc>
        <w:tc>
          <w:tcPr>
            <w:tcW w:w="1090" w:type="dxa"/>
            <w:vAlign w:val="center"/>
          </w:tcPr>
          <w:p w14:paraId="04ED45AC"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20</w:t>
            </w:r>
          </w:p>
        </w:tc>
        <w:tc>
          <w:tcPr>
            <w:tcW w:w="1355" w:type="dxa"/>
            <w:vAlign w:val="center"/>
          </w:tcPr>
          <w:p w14:paraId="1D969527"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959</w:t>
            </w:r>
          </w:p>
        </w:tc>
        <w:tc>
          <w:tcPr>
            <w:tcW w:w="1104" w:type="dxa"/>
            <w:vAlign w:val="center"/>
          </w:tcPr>
          <w:p w14:paraId="34E4BF74"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13</w:t>
            </w:r>
          </w:p>
        </w:tc>
        <w:tc>
          <w:tcPr>
            <w:tcW w:w="1298" w:type="dxa"/>
            <w:vAlign w:val="center"/>
          </w:tcPr>
          <w:p w14:paraId="46918727"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4</w:t>
            </w:r>
          </w:p>
        </w:tc>
        <w:tc>
          <w:tcPr>
            <w:tcW w:w="1090" w:type="dxa"/>
            <w:vAlign w:val="center"/>
          </w:tcPr>
          <w:p w14:paraId="57FABDFB" w14:textId="77777777" w:rsidR="00463CEC" w:rsidRPr="00866FE5" w:rsidRDefault="00463CEC" w:rsidP="00A1784D">
            <w:pPr>
              <w:rPr>
                <w:rFonts w:asciiTheme="majorHAnsi" w:hAnsiTheme="majorHAnsi" w:cstheme="majorHAnsi"/>
                <w:sz w:val="21"/>
                <w:szCs w:val="21"/>
              </w:rPr>
            </w:pPr>
            <w:r w:rsidRPr="00866FE5">
              <w:rPr>
                <w:rFonts w:asciiTheme="majorHAnsi" w:hAnsiTheme="majorHAnsi" w:cstheme="majorHAnsi"/>
                <w:sz w:val="21"/>
                <w:szCs w:val="21"/>
              </w:rPr>
              <w:t>56</w:t>
            </w:r>
            <w:r>
              <w:rPr>
                <w:rFonts w:asciiTheme="majorHAnsi" w:hAnsiTheme="majorHAnsi" w:cstheme="majorHAnsi"/>
                <w:sz w:val="21"/>
                <w:szCs w:val="21"/>
              </w:rPr>
              <w:t>,</w:t>
            </w:r>
            <w:r w:rsidRPr="00866FE5">
              <w:rPr>
                <w:rFonts w:asciiTheme="majorHAnsi" w:hAnsiTheme="majorHAnsi" w:cstheme="majorHAnsi"/>
                <w:sz w:val="21"/>
                <w:szCs w:val="21"/>
              </w:rPr>
              <w:t>540</w:t>
            </w:r>
          </w:p>
        </w:tc>
      </w:tr>
    </w:tbl>
    <w:p w14:paraId="2F4ECE06" w14:textId="77777777" w:rsidR="00463CEC" w:rsidRPr="00463CEC" w:rsidRDefault="00463CEC" w:rsidP="00463CEC">
      <w:pPr>
        <w:spacing w:after="0" w:line="240" w:lineRule="auto"/>
        <w:rPr>
          <w:rFonts w:cstheme="minorHAnsi"/>
          <w:b/>
          <w:sz w:val="21"/>
          <w:szCs w:val="21"/>
        </w:rPr>
      </w:pPr>
      <w:r w:rsidRPr="00463CEC">
        <w:rPr>
          <w:rFonts w:cstheme="minorHAnsi"/>
          <w:b/>
          <w:sz w:val="21"/>
          <w:szCs w:val="21"/>
        </w:rPr>
        <w:t xml:space="preserve">Table 7.12: Distribution of Socio-Educational Advantage, Corio, Norlane, and Newcomb High Schools </w:t>
      </w:r>
    </w:p>
    <w:p w14:paraId="7D428F46" w14:textId="77777777" w:rsidR="00463CEC" w:rsidRPr="00463CEC" w:rsidRDefault="00463CEC" w:rsidP="00463CEC">
      <w:pPr>
        <w:spacing w:after="0" w:line="240" w:lineRule="auto"/>
        <w:rPr>
          <w:rFonts w:cstheme="minorHAnsi"/>
          <w:b/>
          <w:noProof/>
          <w:sz w:val="21"/>
          <w:szCs w:val="21"/>
        </w:rPr>
      </w:pPr>
      <w:r w:rsidRPr="00463CEC">
        <w:rPr>
          <w:rFonts w:cstheme="minorHAnsi"/>
          <w:b/>
          <w:noProof/>
          <w:sz w:val="21"/>
          <w:szCs w:val="21"/>
        </w:rPr>
        <w:t>(Source: My School, 2021)</w:t>
      </w:r>
    </w:p>
    <w:p w14:paraId="7D7F5B20" w14:textId="77777777" w:rsidR="00463CEC" w:rsidRPr="00463CEC" w:rsidRDefault="00463CEC" w:rsidP="00463CEC">
      <w:pPr>
        <w:spacing w:after="0" w:line="240" w:lineRule="auto"/>
        <w:rPr>
          <w:b/>
          <w:sz w:val="16"/>
          <w:szCs w:val="16"/>
        </w:rPr>
      </w:pPr>
      <w:r w:rsidRPr="00463CEC">
        <w:rPr>
          <w:b/>
          <w:bCs/>
          <w:sz w:val="16"/>
          <w:szCs w:val="16"/>
        </w:rPr>
        <w:t xml:space="preserve">    </w:t>
      </w:r>
    </w:p>
    <w:p w14:paraId="19D7CDA5" w14:textId="77777777" w:rsidR="00463CEC" w:rsidRPr="00463CEC" w:rsidRDefault="00463CEC" w:rsidP="00463CEC">
      <w:pPr>
        <w:spacing w:after="0" w:line="276" w:lineRule="auto"/>
        <w:rPr>
          <w:rFonts w:asciiTheme="majorHAnsi" w:hAnsiTheme="majorHAnsi" w:cstheme="majorHAnsi"/>
          <w:sz w:val="23"/>
          <w:szCs w:val="23"/>
        </w:rPr>
      </w:pPr>
      <w:r w:rsidRPr="00463CEC">
        <w:rPr>
          <w:rFonts w:asciiTheme="majorHAnsi" w:hAnsiTheme="majorHAnsi" w:cstheme="majorHAnsi"/>
          <w:sz w:val="23"/>
          <w:szCs w:val="23"/>
        </w:rPr>
        <w:t xml:space="preserve">In considering why the three localities of focus express high levels of socioeconomic disadvantage, clearly the quality and catchment areas of their schools is a major contributor. Past policy interventions have focused on improving local schools, upgrading facilities, and raising the expectations of both students and teachers. This has been successful in some schools, such as Whittington Primary. But there is clearly more to be done here, especially for </w:t>
      </w:r>
      <w:proofErr w:type="gramStart"/>
      <w:r w:rsidRPr="00463CEC">
        <w:rPr>
          <w:rFonts w:asciiTheme="majorHAnsi" w:hAnsiTheme="majorHAnsi" w:cstheme="majorHAnsi"/>
          <w:sz w:val="23"/>
          <w:szCs w:val="23"/>
        </w:rPr>
        <w:t>particular groups</w:t>
      </w:r>
      <w:proofErr w:type="gramEnd"/>
      <w:r w:rsidRPr="00463CEC">
        <w:rPr>
          <w:rFonts w:asciiTheme="majorHAnsi" w:hAnsiTheme="majorHAnsi" w:cstheme="majorHAnsi"/>
          <w:sz w:val="23"/>
          <w:szCs w:val="23"/>
        </w:rPr>
        <w:t xml:space="preserve"> such as Indigenous and CALD students. We also know the pandemic impacted hard on families with limited digital inclusion and insecure employment. This underlines the need to ensure that any available support programs – such as the Victorian Government’s Tutor Learning Initiative 2021 – are accessed to support local students.</w:t>
      </w:r>
    </w:p>
    <w:p w14:paraId="328C781E" w14:textId="17B9412B" w:rsidR="00E348F7" w:rsidRPr="007765F5" w:rsidRDefault="00E348F7" w:rsidP="00E348F7">
      <w:pPr>
        <w:pStyle w:val="ListParagraph"/>
        <w:numPr>
          <w:ilvl w:val="0"/>
          <w:numId w:val="1"/>
        </w:numPr>
        <w:spacing w:before="100" w:beforeAutospacing="1" w:after="0" w:line="276" w:lineRule="auto"/>
        <w:rPr>
          <w:rFonts w:ascii="Calibri" w:eastAsia="Calibri" w:hAnsi="Calibri" w:cs="Calibri"/>
          <w:b/>
          <w:color w:val="2F5496" w:themeColor="accent1" w:themeShade="BF"/>
          <w:sz w:val="25"/>
          <w:szCs w:val="25"/>
        </w:rPr>
      </w:pPr>
      <w:r w:rsidRPr="007765F5">
        <w:rPr>
          <w:rFonts w:ascii="Calibri" w:eastAsia="Calibri" w:hAnsi="Calibri" w:cs="Calibri"/>
          <w:b/>
          <w:color w:val="2F5496" w:themeColor="accent1" w:themeShade="BF"/>
          <w:sz w:val="25"/>
          <w:szCs w:val="25"/>
        </w:rPr>
        <w:t>What are the determinants and factors that influence education?</w:t>
      </w:r>
    </w:p>
    <w:p w14:paraId="3FC96BC1" w14:textId="77777777" w:rsidR="005F5B61" w:rsidRPr="00463CEC" w:rsidRDefault="005F5B61" w:rsidP="00463CEC">
      <w:pPr>
        <w:spacing w:after="0" w:line="276" w:lineRule="auto"/>
        <w:rPr>
          <w:rFonts w:asciiTheme="majorHAnsi" w:eastAsia="Times New Roman" w:hAnsiTheme="majorHAnsi" w:cstheme="majorHAnsi"/>
          <w:sz w:val="23"/>
          <w:szCs w:val="23"/>
          <w:lang w:eastAsia="en-GB"/>
        </w:rPr>
      </w:pPr>
      <w:bookmarkStart w:id="2" w:name="OLE_LINK5"/>
      <w:bookmarkStart w:id="3" w:name="OLE_LINK6"/>
      <w:r w:rsidRPr="00463CEC">
        <w:rPr>
          <w:rFonts w:asciiTheme="majorHAnsi" w:eastAsia="Times New Roman" w:hAnsiTheme="majorHAnsi" w:cstheme="majorHAnsi"/>
          <w:sz w:val="23"/>
          <w:szCs w:val="23"/>
          <w:lang w:eastAsia="en-GB"/>
        </w:rPr>
        <w:t xml:space="preserve">The determinants of educational outcomes are commonly categorised according to either genetic or environmental factors. These include family background, individual characteristics, and proximal learning settings, with environmental diversity accounting for as little as eight percent of the variance in educational outcomes </w:t>
      </w:r>
      <w:r w:rsidRPr="00463CEC">
        <w:rPr>
          <w:rFonts w:asciiTheme="majorHAnsi" w:eastAsia="Times New Roman" w:hAnsiTheme="majorHAnsi" w:cstheme="majorHAnsi"/>
          <w:noProof/>
          <w:sz w:val="23"/>
          <w:szCs w:val="23"/>
          <w:lang w:eastAsia="en-GB"/>
        </w:rPr>
        <w:t>(Rasanathan et al., 2011)</w:t>
      </w:r>
      <w:r w:rsidRPr="00463CEC">
        <w:rPr>
          <w:rFonts w:asciiTheme="majorHAnsi" w:eastAsia="Times New Roman" w:hAnsiTheme="majorHAnsi" w:cstheme="majorHAnsi"/>
          <w:sz w:val="23"/>
          <w:szCs w:val="23"/>
          <w:lang w:eastAsia="en-GB"/>
        </w:rPr>
        <w:t xml:space="preserve">. Miller et al. </w:t>
      </w:r>
      <w:r w:rsidRPr="00463CEC">
        <w:rPr>
          <w:rFonts w:asciiTheme="majorHAnsi" w:eastAsia="Times New Roman" w:hAnsiTheme="majorHAnsi" w:cstheme="majorHAnsi"/>
          <w:noProof/>
          <w:sz w:val="23"/>
          <w:szCs w:val="23"/>
          <w:lang w:eastAsia="en-GB"/>
        </w:rPr>
        <w:t>(2001)</w:t>
      </w:r>
      <w:r w:rsidRPr="00463CEC">
        <w:rPr>
          <w:rFonts w:asciiTheme="majorHAnsi" w:eastAsia="Times New Roman" w:hAnsiTheme="majorHAnsi" w:cstheme="majorHAnsi"/>
          <w:sz w:val="23"/>
          <w:szCs w:val="23"/>
          <w:lang w:eastAsia="en-GB"/>
        </w:rPr>
        <w:t xml:space="preserve"> report that in Australia, around 25 percent of the variance in educational attainment was linked to family background or common environmental factors. </w:t>
      </w:r>
      <w:proofErr w:type="spellStart"/>
      <w:r w:rsidRPr="00463CEC">
        <w:rPr>
          <w:rFonts w:asciiTheme="majorHAnsi" w:eastAsia="Times New Roman" w:hAnsiTheme="majorHAnsi" w:cstheme="majorHAnsi"/>
          <w:sz w:val="23"/>
          <w:szCs w:val="23"/>
          <w:lang w:eastAsia="en-GB"/>
        </w:rPr>
        <w:t>Cassen</w:t>
      </w:r>
      <w:proofErr w:type="spellEnd"/>
      <w:r w:rsidRPr="00463CEC">
        <w:rPr>
          <w:rFonts w:asciiTheme="majorHAnsi" w:eastAsia="Times New Roman" w:hAnsiTheme="majorHAnsi" w:cstheme="majorHAnsi"/>
          <w:sz w:val="23"/>
          <w:szCs w:val="23"/>
          <w:lang w:eastAsia="en-GB"/>
        </w:rPr>
        <w:t xml:space="preserve"> et al. identify socioeconomic status, home </w:t>
      </w:r>
      <w:r w:rsidRPr="00463CEC">
        <w:rPr>
          <w:rFonts w:asciiTheme="majorHAnsi" w:eastAsia="Times New Roman" w:hAnsiTheme="majorHAnsi" w:cstheme="majorHAnsi"/>
          <w:sz w:val="23"/>
          <w:szCs w:val="23"/>
          <w:lang w:eastAsia="en-GB"/>
        </w:rPr>
        <w:lastRenderedPageBreak/>
        <w:t xml:space="preserve">learning environment, and the school system as important educational outcome determinants </w:t>
      </w:r>
      <w:r w:rsidRPr="00463CEC">
        <w:rPr>
          <w:rFonts w:asciiTheme="majorHAnsi" w:eastAsia="Times New Roman" w:hAnsiTheme="majorHAnsi" w:cstheme="majorHAnsi"/>
          <w:noProof/>
          <w:sz w:val="23"/>
          <w:szCs w:val="23"/>
          <w:lang w:eastAsia="en-GB"/>
        </w:rPr>
        <w:t>(Cassen, Feinstein, &amp; Graham, 2009)</w:t>
      </w:r>
      <w:r w:rsidRPr="00463CEC">
        <w:rPr>
          <w:rFonts w:asciiTheme="majorHAnsi" w:eastAsia="Times New Roman" w:hAnsiTheme="majorHAnsi" w:cstheme="majorHAnsi"/>
          <w:sz w:val="23"/>
          <w:szCs w:val="23"/>
          <w:lang w:eastAsia="en-GB"/>
        </w:rPr>
        <w:t>.</w:t>
      </w:r>
    </w:p>
    <w:p w14:paraId="2D37AC86" w14:textId="77777777" w:rsidR="005F5B61" w:rsidRPr="00463CEC" w:rsidRDefault="005F5B61" w:rsidP="00463CEC">
      <w:pPr>
        <w:spacing w:after="0" w:line="276" w:lineRule="auto"/>
        <w:rPr>
          <w:rFonts w:asciiTheme="majorHAnsi" w:eastAsia="Times New Roman" w:hAnsiTheme="majorHAnsi" w:cstheme="majorHAnsi"/>
          <w:sz w:val="10"/>
          <w:szCs w:val="10"/>
          <w:lang w:eastAsia="en-GB"/>
        </w:rPr>
      </w:pPr>
    </w:p>
    <w:p w14:paraId="4BE24940" w14:textId="77777777" w:rsidR="005F5B61" w:rsidRPr="00463CEC" w:rsidRDefault="005F5B61" w:rsidP="00463CEC">
      <w:pPr>
        <w:spacing w:after="0" w:line="276" w:lineRule="auto"/>
        <w:rPr>
          <w:rFonts w:asciiTheme="majorHAnsi" w:eastAsia="Times New Roman" w:hAnsiTheme="majorHAnsi" w:cstheme="majorBidi"/>
          <w:sz w:val="23"/>
          <w:szCs w:val="23"/>
          <w:lang w:eastAsia="en-GB"/>
        </w:rPr>
      </w:pPr>
      <w:r w:rsidRPr="00463CEC">
        <w:rPr>
          <w:rFonts w:asciiTheme="majorHAnsi" w:eastAsia="Times New Roman" w:hAnsiTheme="majorHAnsi" w:cstheme="majorBidi"/>
          <w:sz w:val="23"/>
          <w:szCs w:val="23"/>
          <w:lang w:eastAsia="en-GB"/>
        </w:rPr>
        <w:t>The interactions between and relevant importance of these factors is a highly complex and contested field of study, and a detailed discussion is beyond the scope of this review. Here we merely isolate some common environmental factors identified in our research sample that may explain poor education outcomes for communities affected by disadvantage, acknowledging that individual health also has a major impact. We should stress, however, that educational outcomes yielded only a small sample of papers in our search – due to a focus on community-level intervention and socioeconomic inequality – so results are not exhaustive or representative. Table 3.6 (below) indicates the social and economic factors the studies identified as driving education outcomes for communities affected by disadvantage.</w:t>
      </w:r>
    </w:p>
    <w:p w14:paraId="4320FB69" w14:textId="77777777" w:rsidR="005F5B61" w:rsidRPr="00010F40" w:rsidRDefault="005F5B61" w:rsidP="00010F40">
      <w:pPr>
        <w:spacing w:after="0" w:line="276" w:lineRule="auto"/>
        <w:rPr>
          <w:rFonts w:asciiTheme="majorHAnsi" w:eastAsia="Times New Roman" w:hAnsiTheme="majorHAnsi" w:cstheme="majorHAnsi"/>
          <w:sz w:val="12"/>
          <w:szCs w:val="12"/>
          <w:lang w:eastAsia="en-GB"/>
        </w:rPr>
      </w:pPr>
    </w:p>
    <w:tbl>
      <w:tblPr>
        <w:tblStyle w:val="TableGrid"/>
        <w:tblW w:w="8647" w:type="dxa"/>
        <w:tblInd w:w="-5" w:type="dxa"/>
        <w:tblLook w:val="04A0" w:firstRow="1" w:lastRow="0" w:firstColumn="1" w:lastColumn="0" w:noHBand="0" w:noVBand="1"/>
      </w:tblPr>
      <w:tblGrid>
        <w:gridCol w:w="1060"/>
        <w:gridCol w:w="3051"/>
        <w:gridCol w:w="4536"/>
      </w:tblGrid>
      <w:tr w:rsidR="00A05406" w:rsidRPr="008F7049" w14:paraId="52B20B88" w14:textId="77777777" w:rsidTr="00E31FDC">
        <w:trPr>
          <w:trHeight w:val="262"/>
          <w:tblHeader/>
        </w:trPr>
        <w:tc>
          <w:tcPr>
            <w:tcW w:w="1060" w:type="dxa"/>
            <w:shd w:val="clear" w:color="auto" w:fill="D0CECE" w:themeFill="background2" w:themeFillShade="E6"/>
          </w:tcPr>
          <w:p w14:paraId="6359B8D8" w14:textId="77777777" w:rsidR="00A05406" w:rsidRPr="008F7049" w:rsidRDefault="00A05406" w:rsidP="00A1784D">
            <w:pPr>
              <w:contextualSpacing/>
              <w:rPr>
                <w:rFonts w:eastAsia="Times New Roman" w:cstheme="majorHAnsi"/>
                <w:b/>
                <w:bCs/>
                <w:sz w:val="21"/>
                <w:szCs w:val="21"/>
                <w:lang w:eastAsia="en-GB"/>
              </w:rPr>
            </w:pPr>
            <w:r w:rsidRPr="008F7049">
              <w:rPr>
                <w:rFonts w:eastAsia="Times New Roman" w:cstheme="majorHAnsi"/>
                <w:b/>
                <w:bCs/>
                <w:sz w:val="21"/>
                <w:szCs w:val="21"/>
                <w:lang w:eastAsia="en-GB"/>
              </w:rPr>
              <w:t>Context Category</w:t>
            </w:r>
          </w:p>
        </w:tc>
        <w:tc>
          <w:tcPr>
            <w:tcW w:w="3051" w:type="dxa"/>
            <w:shd w:val="clear" w:color="auto" w:fill="D0CECE" w:themeFill="background2" w:themeFillShade="E6"/>
          </w:tcPr>
          <w:p w14:paraId="04151E2C" w14:textId="77777777" w:rsidR="00A05406" w:rsidRPr="008F7049" w:rsidRDefault="00A05406" w:rsidP="00A1784D">
            <w:pPr>
              <w:contextualSpacing/>
              <w:rPr>
                <w:rFonts w:eastAsia="Times New Roman" w:cstheme="majorHAnsi"/>
                <w:b/>
                <w:bCs/>
                <w:sz w:val="21"/>
                <w:szCs w:val="21"/>
                <w:lang w:eastAsia="en-GB"/>
              </w:rPr>
            </w:pPr>
            <w:r w:rsidRPr="008F7049">
              <w:rPr>
                <w:rFonts w:eastAsia="Times New Roman" w:cstheme="majorHAnsi"/>
                <w:b/>
                <w:bCs/>
                <w:sz w:val="21"/>
                <w:szCs w:val="21"/>
                <w:lang w:eastAsia="en-GB"/>
              </w:rPr>
              <w:t>Determinant</w:t>
            </w:r>
          </w:p>
        </w:tc>
        <w:tc>
          <w:tcPr>
            <w:tcW w:w="4536" w:type="dxa"/>
            <w:shd w:val="clear" w:color="auto" w:fill="D0CECE" w:themeFill="background2" w:themeFillShade="E6"/>
          </w:tcPr>
          <w:p w14:paraId="39334072" w14:textId="77777777" w:rsidR="00A05406" w:rsidRPr="008F7049" w:rsidRDefault="00A05406" w:rsidP="00A1784D">
            <w:pPr>
              <w:contextualSpacing/>
              <w:rPr>
                <w:rFonts w:eastAsia="Times New Roman" w:cstheme="majorHAnsi"/>
                <w:b/>
                <w:bCs/>
                <w:sz w:val="21"/>
                <w:szCs w:val="21"/>
                <w:lang w:eastAsia="en-GB"/>
              </w:rPr>
            </w:pPr>
            <w:r w:rsidRPr="008F7049">
              <w:rPr>
                <w:rFonts w:eastAsia="Times New Roman" w:cstheme="majorHAnsi"/>
                <w:b/>
                <w:bCs/>
                <w:sz w:val="21"/>
                <w:szCs w:val="21"/>
                <w:lang w:eastAsia="en-GB"/>
              </w:rPr>
              <w:t>Factor</w:t>
            </w:r>
          </w:p>
        </w:tc>
      </w:tr>
      <w:tr w:rsidR="00A05406" w:rsidRPr="00B1623C" w14:paraId="146B6CCC" w14:textId="77777777" w:rsidTr="00A05406">
        <w:trPr>
          <w:trHeight w:val="112"/>
        </w:trPr>
        <w:tc>
          <w:tcPr>
            <w:tcW w:w="1060" w:type="dxa"/>
            <w:vMerge w:val="restart"/>
            <w:textDirection w:val="tbRl"/>
            <w:vAlign w:val="center"/>
          </w:tcPr>
          <w:p w14:paraId="13714BB5" w14:textId="5DE34BB8" w:rsidR="00A05406" w:rsidRPr="00053FF2" w:rsidRDefault="00A05406" w:rsidP="00A1784D">
            <w:pPr>
              <w:ind w:left="113" w:right="113"/>
              <w:contextualSpacing/>
              <w:jc w:val="center"/>
              <w:rPr>
                <w:rFonts w:eastAsiaTheme="minorEastAsia"/>
                <w:b/>
                <w:color w:val="000000"/>
                <w:sz w:val="20"/>
                <w:szCs w:val="20"/>
                <w:lang w:eastAsia="en-GB"/>
              </w:rPr>
            </w:pPr>
            <w:r w:rsidRPr="701B9583">
              <w:rPr>
                <w:rFonts w:eastAsiaTheme="minorEastAsia"/>
                <w:b/>
                <w:bCs/>
                <w:color w:val="000000" w:themeColor="text1"/>
                <w:sz w:val="20"/>
                <w:szCs w:val="20"/>
                <w:lang w:eastAsia="en-GB"/>
              </w:rPr>
              <w:t>Economic</w:t>
            </w:r>
          </w:p>
        </w:tc>
        <w:tc>
          <w:tcPr>
            <w:tcW w:w="3051" w:type="dxa"/>
            <w:vAlign w:val="center"/>
          </w:tcPr>
          <w:p w14:paraId="7C72166C"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Economy</w:t>
            </w:r>
          </w:p>
        </w:tc>
        <w:tc>
          <w:tcPr>
            <w:tcW w:w="4536" w:type="dxa"/>
            <w:vAlign w:val="center"/>
          </w:tcPr>
          <w:p w14:paraId="3FD32BDD" w14:textId="77777777" w:rsidR="00A05406" w:rsidRPr="00053FF2"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Education Funding</w:t>
            </w:r>
          </w:p>
          <w:p w14:paraId="2346963A" w14:textId="77777777" w:rsidR="00A05406" w:rsidRPr="00B1623C" w:rsidRDefault="00A05406" w:rsidP="00A1784D">
            <w:pPr>
              <w:contextualSpacing/>
              <w:rPr>
                <w:rFonts w:asciiTheme="majorHAnsi" w:eastAsia="Times New Roman" w:hAnsiTheme="majorHAnsi" w:cstheme="majorHAnsi"/>
                <w:sz w:val="20"/>
                <w:szCs w:val="20"/>
                <w:lang w:eastAsia="en-GB"/>
              </w:rPr>
            </w:pPr>
          </w:p>
        </w:tc>
      </w:tr>
      <w:tr w:rsidR="00A05406" w:rsidRPr="00B1623C" w14:paraId="27E429A1" w14:textId="77777777" w:rsidTr="00E31FDC">
        <w:trPr>
          <w:trHeight w:val="635"/>
        </w:trPr>
        <w:tc>
          <w:tcPr>
            <w:tcW w:w="1060" w:type="dxa"/>
            <w:vMerge/>
          </w:tcPr>
          <w:p w14:paraId="78397764"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Align w:val="center"/>
          </w:tcPr>
          <w:p w14:paraId="4FA63AC0"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Policy</w:t>
            </w:r>
          </w:p>
        </w:tc>
        <w:tc>
          <w:tcPr>
            <w:tcW w:w="4536" w:type="dxa"/>
            <w:vAlign w:val="center"/>
          </w:tcPr>
          <w:p w14:paraId="3728C8AB"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Government Policy (local &amp; national)</w:t>
            </w:r>
          </w:p>
          <w:p w14:paraId="32A717B2"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r>
      <w:tr w:rsidR="00A05406" w:rsidRPr="00B1623C" w14:paraId="58A2F043" w14:textId="77777777" w:rsidTr="00A05406">
        <w:trPr>
          <w:trHeight w:val="276"/>
        </w:trPr>
        <w:tc>
          <w:tcPr>
            <w:tcW w:w="1060" w:type="dxa"/>
            <w:vMerge w:val="restart"/>
            <w:textDirection w:val="tbRl"/>
            <w:vAlign w:val="center"/>
          </w:tcPr>
          <w:p w14:paraId="771DC0FA" w14:textId="77777777" w:rsidR="00A05406" w:rsidRPr="00053FF2" w:rsidRDefault="00A05406" w:rsidP="00A1784D">
            <w:pPr>
              <w:contextualSpacing/>
              <w:jc w:val="center"/>
              <w:rPr>
                <w:rFonts w:eastAsia="Times New Roman" w:cstheme="majorHAnsi"/>
                <w:b/>
                <w:bCs/>
                <w:color w:val="000000"/>
                <w:sz w:val="20"/>
                <w:szCs w:val="20"/>
                <w:lang w:eastAsia="en-GB"/>
              </w:rPr>
            </w:pPr>
            <w:r w:rsidRPr="00053FF2">
              <w:rPr>
                <w:rFonts w:eastAsia="Times New Roman" w:cstheme="majorHAnsi"/>
                <w:b/>
                <w:bCs/>
                <w:color w:val="000000"/>
                <w:sz w:val="20"/>
                <w:szCs w:val="20"/>
                <w:lang w:eastAsia="en-GB"/>
              </w:rPr>
              <w:t>Health</w:t>
            </w:r>
          </w:p>
        </w:tc>
        <w:tc>
          <w:tcPr>
            <w:tcW w:w="3051" w:type="dxa"/>
            <w:vAlign w:val="center"/>
          </w:tcPr>
          <w:p w14:paraId="3870642F" w14:textId="6DB3A387" w:rsidR="00A05406" w:rsidRPr="00B1623C" w:rsidRDefault="00A05406" w:rsidP="00A05406">
            <w:pPr>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Healthcare &amp; Social Services</w:t>
            </w:r>
          </w:p>
        </w:tc>
        <w:tc>
          <w:tcPr>
            <w:tcW w:w="4536" w:type="dxa"/>
            <w:vAlign w:val="center"/>
          </w:tcPr>
          <w:p w14:paraId="4AC035FE"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Access to Services</w:t>
            </w:r>
          </w:p>
        </w:tc>
      </w:tr>
      <w:tr w:rsidR="00A05406" w:rsidRPr="00B1623C" w14:paraId="1828F857" w14:textId="77777777" w:rsidTr="00A05406">
        <w:trPr>
          <w:trHeight w:val="341"/>
        </w:trPr>
        <w:tc>
          <w:tcPr>
            <w:tcW w:w="1060" w:type="dxa"/>
            <w:vMerge/>
          </w:tcPr>
          <w:p w14:paraId="7DE81C58"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Align w:val="center"/>
          </w:tcPr>
          <w:p w14:paraId="4C944C49" w14:textId="77777777" w:rsidR="00A05406" w:rsidRPr="00B1623C" w:rsidRDefault="00A05406" w:rsidP="00A1784D">
            <w:pPr>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Personal Health Status</w:t>
            </w:r>
          </w:p>
        </w:tc>
        <w:tc>
          <w:tcPr>
            <w:tcW w:w="4536" w:type="dxa"/>
            <w:vAlign w:val="center"/>
          </w:tcPr>
          <w:p w14:paraId="703F7125"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Individual Health</w:t>
            </w:r>
          </w:p>
        </w:tc>
      </w:tr>
      <w:tr w:rsidR="00A05406" w:rsidRPr="00B1623C" w14:paraId="21F57420" w14:textId="77777777" w:rsidTr="00A05406">
        <w:trPr>
          <w:trHeight w:val="95"/>
        </w:trPr>
        <w:tc>
          <w:tcPr>
            <w:tcW w:w="1060" w:type="dxa"/>
            <w:vMerge w:val="restart"/>
            <w:textDirection w:val="tbRl"/>
            <w:vAlign w:val="center"/>
          </w:tcPr>
          <w:p w14:paraId="76CBDCDF" w14:textId="77777777" w:rsidR="00A05406" w:rsidRPr="00053FF2" w:rsidRDefault="00A05406" w:rsidP="00A1784D">
            <w:pPr>
              <w:tabs>
                <w:tab w:val="left" w:pos="1457"/>
              </w:tabs>
              <w:contextualSpacing/>
              <w:jc w:val="center"/>
              <w:rPr>
                <w:rFonts w:eastAsia="Times New Roman" w:cstheme="majorHAnsi"/>
                <w:b/>
                <w:bCs/>
                <w:color w:val="000000"/>
                <w:sz w:val="20"/>
                <w:szCs w:val="20"/>
                <w:lang w:eastAsia="en-GB"/>
              </w:rPr>
            </w:pPr>
            <w:r w:rsidRPr="00053FF2">
              <w:rPr>
                <w:rFonts w:eastAsia="Times New Roman" w:cstheme="majorHAnsi"/>
                <w:b/>
                <w:bCs/>
                <w:color w:val="000000"/>
                <w:sz w:val="20"/>
                <w:szCs w:val="20"/>
                <w:lang w:eastAsia="en-GB"/>
              </w:rPr>
              <w:t>Social</w:t>
            </w:r>
          </w:p>
        </w:tc>
        <w:tc>
          <w:tcPr>
            <w:tcW w:w="3051" w:type="dxa"/>
            <w:vAlign w:val="center"/>
          </w:tcPr>
          <w:p w14:paraId="05E54ADB" w14:textId="77777777" w:rsidR="00A05406" w:rsidRPr="00B1623C" w:rsidRDefault="00A05406" w:rsidP="00A1784D">
            <w:pPr>
              <w:tabs>
                <w:tab w:val="left" w:pos="1457"/>
              </w:tabs>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Behaviours</w:t>
            </w:r>
          </w:p>
        </w:tc>
        <w:tc>
          <w:tcPr>
            <w:tcW w:w="4536" w:type="dxa"/>
            <w:vAlign w:val="center"/>
          </w:tcPr>
          <w:p w14:paraId="48756024" w14:textId="77777777" w:rsidR="00A05406" w:rsidRPr="00B1623C" w:rsidRDefault="00A05406" w:rsidP="00A1784D">
            <w:pPr>
              <w:tabs>
                <w:tab w:val="left" w:pos="1457"/>
              </w:tabs>
              <w:contextualSpacing/>
              <w:rPr>
                <w:rFonts w:asciiTheme="majorHAnsi" w:eastAsia="Times New Roman" w:hAnsiTheme="majorHAnsi" w:cstheme="majorHAnsi"/>
                <w:sz w:val="20"/>
                <w:szCs w:val="20"/>
                <w:lang w:eastAsia="en-GB"/>
              </w:rPr>
            </w:pPr>
            <w:r w:rsidRPr="00B1623C">
              <w:rPr>
                <w:rFonts w:asciiTheme="majorHAnsi" w:eastAsia="Times New Roman" w:hAnsiTheme="majorHAnsi" w:cstheme="majorHAnsi"/>
                <w:color w:val="000000"/>
                <w:sz w:val="20"/>
                <w:szCs w:val="20"/>
                <w:lang w:eastAsia="en-GB"/>
              </w:rPr>
              <w:t>Personal Motivation</w:t>
            </w:r>
          </w:p>
        </w:tc>
      </w:tr>
      <w:tr w:rsidR="00A05406" w:rsidRPr="00B1623C" w14:paraId="050AEA3B" w14:textId="77777777" w:rsidTr="00A05406">
        <w:trPr>
          <w:trHeight w:val="154"/>
        </w:trPr>
        <w:tc>
          <w:tcPr>
            <w:tcW w:w="1060" w:type="dxa"/>
            <w:vMerge/>
          </w:tcPr>
          <w:p w14:paraId="6074A619" w14:textId="77777777" w:rsidR="00A05406" w:rsidRPr="00B1623C" w:rsidRDefault="00A05406" w:rsidP="00A1784D">
            <w:pPr>
              <w:tabs>
                <w:tab w:val="left" w:pos="3181"/>
              </w:tabs>
              <w:contextualSpacing/>
              <w:rPr>
                <w:rFonts w:asciiTheme="majorHAnsi" w:eastAsia="Times New Roman" w:hAnsiTheme="majorHAnsi" w:cstheme="majorHAnsi"/>
                <w:color w:val="000000"/>
                <w:sz w:val="20"/>
                <w:szCs w:val="20"/>
                <w:lang w:eastAsia="en-GB"/>
              </w:rPr>
            </w:pPr>
          </w:p>
        </w:tc>
        <w:tc>
          <w:tcPr>
            <w:tcW w:w="3051" w:type="dxa"/>
            <w:vMerge w:val="restart"/>
            <w:vAlign w:val="center"/>
          </w:tcPr>
          <w:p w14:paraId="7614E8F1" w14:textId="77777777" w:rsidR="00A05406" w:rsidRPr="00B1623C" w:rsidRDefault="00A05406" w:rsidP="00A1784D">
            <w:pPr>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Crime &amp; Safety</w:t>
            </w:r>
          </w:p>
        </w:tc>
        <w:tc>
          <w:tcPr>
            <w:tcW w:w="4536" w:type="dxa"/>
            <w:vAlign w:val="center"/>
          </w:tcPr>
          <w:p w14:paraId="1B3959EB" w14:textId="77777777" w:rsidR="00A05406" w:rsidRPr="00B1623C" w:rsidRDefault="00A05406" w:rsidP="00A1784D">
            <w:pPr>
              <w:tabs>
                <w:tab w:val="left" w:pos="3181"/>
              </w:tabs>
              <w:contextualSpacing/>
              <w:rPr>
                <w:rFonts w:asciiTheme="majorHAnsi" w:eastAsia="Times New Roman" w:hAnsiTheme="majorHAnsi" w:cstheme="majorHAnsi"/>
                <w:sz w:val="20"/>
                <w:szCs w:val="20"/>
                <w:lang w:eastAsia="en-GB"/>
              </w:rPr>
            </w:pPr>
            <w:r w:rsidRPr="00B1623C">
              <w:rPr>
                <w:rFonts w:asciiTheme="majorHAnsi" w:eastAsia="Times New Roman" w:hAnsiTheme="majorHAnsi" w:cstheme="majorHAnsi"/>
                <w:color w:val="000000"/>
                <w:sz w:val="20"/>
                <w:szCs w:val="20"/>
                <w:lang w:eastAsia="en-GB"/>
              </w:rPr>
              <w:t>Crime</w:t>
            </w:r>
          </w:p>
        </w:tc>
      </w:tr>
      <w:tr w:rsidR="00A05406" w:rsidRPr="00B1623C" w14:paraId="7FF18ADF" w14:textId="77777777" w:rsidTr="00A05406">
        <w:trPr>
          <w:trHeight w:val="172"/>
        </w:trPr>
        <w:tc>
          <w:tcPr>
            <w:tcW w:w="1060" w:type="dxa"/>
            <w:vMerge/>
          </w:tcPr>
          <w:p w14:paraId="0EC8832C" w14:textId="77777777" w:rsidR="00A05406" w:rsidRPr="00B1623C" w:rsidRDefault="00A05406" w:rsidP="00A1784D">
            <w:pPr>
              <w:tabs>
                <w:tab w:val="left" w:pos="3181"/>
              </w:tabs>
              <w:contextualSpacing/>
              <w:rPr>
                <w:rFonts w:asciiTheme="majorHAnsi" w:eastAsia="Times New Roman" w:hAnsiTheme="majorHAnsi" w:cstheme="majorHAnsi"/>
                <w:color w:val="000000"/>
                <w:sz w:val="20"/>
                <w:szCs w:val="20"/>
                <w:lang w:eastAsia="en-GB"/>
              </w:rPr>
            </w:pPr>
          </w:p>
        </w:tc>
        <w:tc>
          <w:tcPr>
            <w:tcW w:w="3051" w:type="dxa"/>
            <w:vMerge/>
          </w:tcPr>
          <w:p w14:paraId="3D5CE921" w14:textId="77777777" w:rsidR="00A05406" w:rsidRPr="00B1623C" w:rsidRDefault="00A05406" w:rsidP="00A1784D">
            <w:pPr>
              <w:tabs>
                <w:tab w:val="left" w:pos="3181"/>
              </w:tabs>
              <w:contextualSpacing/>
              <w:rPr>
                <w:rFonts w:asciiTheme="majorHAnsi" w:eastAsia="Times New Roman" w:hAnsiTheme="majorHAnsi" w:cstheme="majorHAnsi"/>
                <w:color w:val="000000"/>
                <w:sz w:val="20"/>
                <w:szCs w:val="20"/>
                <w:lang w:eastAsia="en-GB"/>
              </w:rPr>
            </w:pPr>
          </w:p>
        </w:tc>
        <w:tc>
          <w:tcPr>
            <w:tcW w:w="4536" w:type="dxa"/>
            <w:vAlign w:val="center"/>
          </w:tcPr>
          <w:p w14:paraId="30686F08" w14:textId="77777777" w:rsidR="00A05406" w:rsidRPr="00B1623C" w:rsidRDefault="00A05406" w:rsidP="00A1784D">
            <w:pPr>
              <w:tabs>
                <w:tab w:val="left" w:pos="3181"/>
              </w:tabs>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Neighbourhood Safety</w:t>
            </w:r>
          </w:p>
        </w:tc>
      </w:tr>
      <w:tr w:rsidR="00A05406" w:rsidRPr="00B1623C" w14:paraId="2D89485B" w14:textId="77777777" w:rsidTr="00A05406">
        <w:trPr>
          <w:trHeight w:val="172"/>
        </w:trPr>
        <w:tc>
          <w:tcPr>
            <w:tcW w:w="1060" w:type="dxa"/>
            <w:vMerge/>
          </w:tcPr>
          <w:p w14:paraId="706986EB"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Merge/>
          </w:tcPr>
          <w:p w14:paraId="1B69D398"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4536" w:type="dxa"/>
            <w:vAlign w:val="center"/>
          </w:tcPr>
          <w:p w14:paraId="45E72930" w14:textId="77777777" w:rsidR="00A05406" w:rsidRPr="00B1623C" w:rsidRDefault="00A05406" w:rsidP="00A1784D">
            <w:pPr>
              <w:contextualSpacing/>
              <w:rPr>
                <w:rFonts w:asciiTheme="majorHAnsi" w:eastAsia="Times New Roman" w:hAnsiTheme="majorHAnsi" w:cstheme="majorHAnsi"/>
                <w:sz w:val="20"/>
                <w:szCs w:val="20"/>
                <w:lang w:eastAsia="en-GB"/>
              </w:rPr>
            </w:pPr>
            <w:r w:rsidRPr="00B1623C">
              <w:rPr>
                <w:rFonts w:asciiTheme="majorHAnsi" w:eastAsia="Times New Roman" w:hAnsiTheme="majorHAnsi" w:cstheme="majorHAnsi"/>
                <w:color w:val="000000"/>
                <w:sz w:val="20"/>
                <w:szCs w:val="20"/>
                <w:lang w:eastAsia="en-GB"/>
              </w:rPr>
              <w:t>Violence</w:t>
            </w:r>
          </w:p>
        </w:tc>
      </w:tr>
      <w:tr w:rsidR="00A05406" w:rsidRPr="00B1623C" w14:paraId="67FD5821" w14:textId="77777777" w:rsidTr="00A05406">
        <w:trPr>
          <w:trHeight w:val="172"/>
        </w:trPr>
        <w:tc>
          <w:tcPr>
            <w:tcW w:w="1060" w:type="dxa"/>
            <w:vMerge/>
          </w:tcPr>
          <w:p w14:paraId="06A98FEC"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Merge w:val="restart"/>
            <w:vAlign w:val="center"/>
          </w:tcPr>
          <w:p w14:paraId="32030170" w14:textId="77777777" w:rsidR="00A05406" w:rsidRPr="00B1623C" w:rsidRDefault="00A05406" w:rsidP="00A1784D">
            <w:pPr>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Employment &amp; Work</w:t>
            </w:r>
          </w:p>
        </w:tc>
        <w:tc>
          <w:tcPr>
            <w:tcW w:w="4536" w:type="dxa"/>
            <w:vAlign w:val="center"/>
          </w:tcPr>
          <w:p w14:paraId="385B0213" w14:textId="77777777" w:rsidR="00A05406" w:rsidRPr="00B1623C" w:rsidRDefault="00A05406" w:rsidP="00A1784D">
            <w:pPr>
              <w:contextualSpacing/>
              <w:rPr>
                <w:rFonts w:asciiTheme="majorHAnsi" w:eastAsia="Times New Roman" w:hAnsiTheme="majorHAnsi" w:cstheme="majorHAnsi"/>
                <w:sz w:val="20"/>
                <w:szCs w:val="20"/>
                <w:lang w:eastAsia="en-GB"/>
              </w:rPr>
            </w:pPr>
            <w:r w:rsidRPr="00B1623C">
              <w:rPr>
                <w:rFonts w:asciiTheme="majorHAnsi" w:eastAsia="Times New Roman" w:hAnsiTheme="majorHAnsi" w:cstheme="majorHAnsi"/>
                <w:color w:val="000000"/>
                <w:sz w:val="20"/>
                <w:szCs w:val="20"/>
                <w:lang w:eastAsia="en-GB"/>
              </w:rPr>
              <w:t>Familial Access to Employment</w:t>
            </w:r>
          </w:p>
        </w:tc>
      </w:tr>
      <w:tr w:rsidR="00A05406" w:rsidRPr="00B1623C" w14:paraId="1AC9D3A7" w14:textId="77777777" w:rsidTr="00A05406">
        <w:trPr>
          <w:trHeight w:val="172"/>
        </w:trPr>
        <w:tc>
          <w:tcPr>
            <w:tcW w:w="1060" w:type="dxa"/>
            <w:vMerge/>
          </w:tcPr>
          <w:p w14:paraId="7D2AD775"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Merge/>
          </w:tcPr>
          <w:p w14:paraId="6F988BCD"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4536" w:type="dxa"/>
            <w:vAlign w:val="center"/>
          </w:tcPr>
          <w:p w14:paraId="4A3831AE" w14:textId="77777777" w:rsidR="00A05406" w:rsidRPr="00B1623C" w:rsidRDefault="00A05406" w:rsidP="00A1784D">
            <w:pPr>
              <w:contextualSpacing/>
              <w:rPr>
                <w:rFonts w:asciiTheme="majorHAnsi" w:eastAsia="Times New Roman" w:hAnsiTheme="majorHAnsi" w:cstheme="majorHAnsi"/>
                <w:sz w:val="20"/>
                <w:szCs w:val="20"/>
                <w:lang w:eastAsia="en-GB"/>
              </w:rPr>
            </w:pPr>
            <w:r w:rsidRPr="00B1623C">
              <w:rPr>
                <w:rFonts w:asciiTheme="majorHAnsi" w:eastAsia="Times New Roman" w:hAnsiTheme="majorHAnsi" w:cstheme="majorHAnsi"/>
                <w:color w:val="000000"/>
                <w:sz w:val="20"/>
                <w:szCs w:val="20"/>
                <w:lang w:eastAsia="en-GB"/>
              </w:rPr>
              <w:t xml:space="preserve">Familial Employment </w:t>
            </w:r>
          </w:p>
        </w:tc>
      </w:tr>
      <w:tr w:rsidR="00A05406" w:rsidRPr="00B1623C" w14:paraId="5B7C3BE9" w14:textId="77777777" w:rsidTr="00A05406">
        <w:trPr>
          <w:trHeight w:val="172"/>
        </w:trPr>
        <w:tc>
          <w:tcPr>
            <w:tcW w:w="1060" w:type="dxa"/>
            <w:vMerge/>
          </w:tcPr>
          <w:p w14:paraId="4BC9609E"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Merge/>
          </w:tcPr>
          <w:p w14:paraId="078C7B06"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4536" w:type="dxa"/>
            <w:vAlign w:val="center"/>
          </w:tcPr>
          <w:p w14:paraId="33583EB1" w14:textId="77777777" w:rsidR="00A05406" w:rsidRPr="00B1623C" w:rsidRDefault="00A05406" w:rsidP="00A1784D">
            <w:pPr>
              <w:contextualSpacing/>
              <w:rPr>
                <w:rFonts w:asciiTheme="majorHAnsi" w:eastAsia="Times New Roman" w:hAnsiTheme="majorHAnsi" w:cstheme="majorHAnsi"/>
                <w:sz w:val="20"/>
                <w:szCs w:val="20"/>
                <w:lang w:eastAsia="en-GB"/>
              </w:rPr>
            </w:pPr>
            <w:r w:rsidRPr="00B1623C">
              <w:rPr>
                <w:rFonts w:asciiTheme="majorHAnsi" w:eastAsia="Times New Roman" w:hAnsiTheme="majorHAnsi" w:cstheme="majorHAnsi"/>
                <w:color w:val="000000"/>
                <w:sz w:val="20"/>
                <w:szCs w:val="20"/>
                <w:lang w:eastAsia="en-GB"/>
              </w:rPr>
              <w:t>Skills</w:t>
            </w:r>
          </w:p>
        </w:tc>
      </w:tr>
      <w:tr w:rsidR="00A05406" w:rsidRPr="00B1623C" w14:paraId="0F64537B" w14:textId="77777777" w:rsidTr="00A05406">
        <w:trPr>
          <w:trHeight w:val="172"/>
        </w:trPr>
        <w:tc>
          <w:tcPr>
            <w:tcW w:w="1060" w:type="dxa"/>
            <w:vMerge/>
          </w:tcPr>
          <w:p w14:paraId="481353C7"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Merge w:val="restart"/>
            <w:vAlign w:val="center"/>
          </w:tcPr>
          <w:p w14:paraId="2881D5FB" w14:textId="77777777" w:rsidR="00A05406" w:rsidRPr="00B1623C" w:rsidRDefault="00A05406" w:rsidP="00A1784D">
            <w:pPr>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Housing</w:t>
            </w:r>
          </w:p>
        </w:tc>
        <w:tc>
          <w:tcPr>
            <w:tcW w:w="4536" w:type="dxa"/>
            <w:vAlign w:val="center"/>
          </w:tcPr>
          <w:p w14:paraId="17FACC1D"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 xml:space="preserve">Housing </w:t>
            </w:r>
          </w:p>
        </w:tc>
      </w:tr>
      <w:tr w:rsidR="00A05406" w:rsidRPr="00B1623C" w14:paraId="311B6004" w14:textId="77777777" w:rsidTr="00A05406">
        <w:trPr>
          <w:trHeight w:val="172"/>
        </w:trPr>
        <w:tc>
          <w:tcPr>
            <w:tcW w:w="1060" w:type="dxa"/>
            <w:vMerge/>
          </w:tcPr>
          <w:p w14:paraId="16E351EE"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Merge/>
          </w:tcPr>
          <w:p w14:paraId="29CACC70"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4536" w:type="dxa"/>
            <w:vAlign w:val="center"/>
          </w:tcPr>
          <w:p w14:paraId="6411A845"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Housing (access to Affordable Housing)</w:t>
            </w:r>
          </w:p>
        </w:tc>
      </w:tr>
      <w:tr w:rsidR="00A05406" w:rsidRPr="00B1623C" w14:paraId="5ADE80A2" w14:textId="77777777" w:rsidTr="00A05406">
        <w:trPr>
          <w:trHeight w:val="172"/>
        </w:trPr>
        <w:tc>
          <w:tcPr>
            <w:tcW w:w="1060" w:type="dxa"/>
            <w:vMerge/>
          </w:tcPr>
          <w:p w14:paraId="023F4F53"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Merge w:val="restart"/>
            <w:vAlign w:val="center"/>
          </w:tcPr>
          <w:p w14:paraId="51D2DCC5" w14:textId="77777777" w:rsidR="00A05406"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 xml:space="preserve">Social </w:t>
            </w:r>
            <w:r>
              <w:rPr>
                <w:rFonts w:asciiTheme="majorHAnsi" w:eastAsia="Times New Roman" w:hAnsiTheme="majorHAnsi" w:cstheme="majorHAnsi"/>
                <w:color w:val="000000"/>
                <w:sz w:val="20"/>
                <w:szCs w:val="20"/>
                <w:lang w:eastAsia="en-GB"/>
              </w:rPr>
              <w:t>N</w:t>
            </w:r>
            <w:r w:rsidRPr="00B1623C">
              <w:rPr>
                <w:rFonts w:asciiTheme="majorHAnsi" w:eastAsia="Times New Roman" w:hAnsiTheme="majorHAnsi" w:cstheme="majorHAnsi"/>
                <w:color w:val="000000"/>
                <w:sz w:val="20"/>
                <w:szCs w:val="20"/>
                <w:lang w:eastAsia="en-GB"/>
              </w:rPr>
              <w:t>etworks,</w:t>
            </w:r>
          </w:p>
          <w:p w14:paraId="216C658F"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Pr>
                <w:rFonts w:asciiTheme="majorHAnsi" w:eastAsia="Times New Roman" w:hAnsiTheme="majorHAnsi" w:cstheme="majorHAnsi"/>
                <w:color w:val="000000"/>
                <w:sz w:val="20"/>
                <w:szCs w:val="20"/>
                <w:lang w:eastAsia="en-GB"/>
              </w:rPr>
              <w:t>S</w:t>
            </w:r>
            <w:r w:rsidRPr="00B1623C">
              <w:rPr>
                <w:rFonts w:asciiTheme="majorHAnsi" w:eastAsia="Times New Roman" w:hAnsiTheme="majorHAnsi" w:cstheme="majorHAnsi"/>
                <w:color w:val="000000"/>
                <w:sz w:val="20"/>
                <w:szCs w:val="20"/>
                <w:lang w:eastAsia="en-GB"/>
              </w:rPr>
              <w:t>upport</w:t>
            </w:r>
            <w:r>
              <w:rPr>
                <w:rFonts w:asciiTheme="majorHAnsi" w:eastAsia="Times New Roman" w:hAnsiTheme="majorHAnsi" w:cstheme="majorHAnsi"/>
                <w:color w:val="000000"/>
                <w:sz w:val="20"/>
                <w:szCs w:val="20"/>
                <w:lang w:eastAsia="en-GB"/>
              </w:rPr>
              <w:t xml:space="preserve"> </w:t>
            </w:r>
            <w:r w:rsidRPr="00B1623C">
              <w:rPr>
                <w:rFonts w:asciiTheme="majorHAnsi" w:eastAsia="Times New Roman" w:hAnsiTheme="majorHAnsi" w:cstheme="majorHAnsi"/>
                <w:color w:val="000000"/>
                <w:sz w:val="20"/>
                <w:szCs w:val="20"/>
                <w:lang w:eastAsia="en-GB"/>
              </w:rPr>
              <w:t xml:space="preserve">&amp; </w:t>
            </w:r>
            <w:r>
              <w:rPr>
                <w:rFonts w:asciiTheme="majorHAnsi" w:eastAsia="Times New Roman" w:hAnsiTheme="majorHAnsi" w:cstheme="majorHAnsi"/>
                <w:color w:val="000000"/>
                <w:sz w:val="20"/>
                <w:szCs w:val="20"/>
                <w:lang w:eastAsia="en-GB"/>
              </w:rPr>
              <w:t>E</w:t>
            </w:r>
            <w:r w:rsidRPr="00B1623C">
              <w:rPr>
                <w:rFonts w:asciiTheme="majorHAnsi" w:eastAsia="Times New Roman" w:hAnsiTheme="majorHAnsi" w:cstheme="majorHAnsi"/>
                <w:color w:val="000000"/>
                <w:sz w:val="20"/>
                <w:szCs w:val="20"/>
                <w:lang w:eastAsia="en-GB"/>
              </w:rPr>
              <w:t>xclusion</w:t>
            </w:r>
          </w:p>
        </w:tc>
        <w:tc>
          <w:tcPr>
            <w:tcW w:w="4536" w:type="dxa"/>
            <w:vAlign w:val="center"/>
          </w:tcPr>
          <w:p w14:paraId="5680F052"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Quality of Social &amp; Familial Networks</w:t>
            </w:r>
          </w:p>
        </w:tc>
      </w:tr>
      <w:tr w:rsidR="00A05406" w:rsidRPr="00B1623C" w14:paraId="6CF87D96" w14:textId="77777777" w:rsidTr="00A05406">
        <w:trPr>
          <w:trHeight w:val="172"/>
        </w:trPr>
        <w:tc>
          <w:tcPr>
            <w:tcW w:w="1060" w:type="dxa"/>
            <w:vMerge/>
          </w:tcPr>
          <w:p w14:paraId="24F9A0EB"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Merge/>
          </w:tcPr>
          <w:p w14:paraId="179F1796"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4536" w:type="dxa"/>
            <w:vAlign w:val="center"/>
          </w:tcPr>
          <w:p w14:paraId="4D58A285"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Social Capital</w:t>
            </w:r>
          </w:p>
        </w:tc>
      </w:tr>
      <w:tr w:rsidR="00A05406" w:rsidRPr="00B1623C" w14:paraId="78A8A7AA" w14:textId="77777777" w:rsidTr="00A05406">
        <w:trPr>
          <w:trHeight w:val="172"/>
        </w:trPr>
        <w:tc>
          <w:tcPr>
            <w:tcW w:w="1060" w:type="dxa"/>
            <w:vMerge/>
          </w:tcPr>
          <w:p w14:paraId="13F6C9FF"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Merge/>
          </w:tcPr>
          <w:p w14:paraId="7DB001B1"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4536" w:type="dxa"/>
            <w:vAlign w:val="center"/>
          </w:tcPr>
          <w:p w14:paraId="643DDD22"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Social Diversity</w:t>
            </w:r>
          </w:p>
        </w:tc>
      </w:tr>
      <w:tr w:rsidR="00A05406" w:rsidRPr="00B1623C" w14:paraId="4BC6F9CB" w14:textId="77777777" w:rsidTr="00A05406">
        <w:trPr>
          <w:trHeight w:val="172"/>
        </w:trPr>
        <w:tc>
          <w:tcPr>
            <w:tcW w:w="1060" w:type="dxa"/>
            <w:vMerge/>
          </w:tcPr>
          <w:p w14:paraId="7935100D"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Merge/>
          </w:tcPr>
          <w:p w14:paraId="03B5C720"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4536" w:type="dxa"/>
            <w:vAlign w:val="center"/>
          </w:tcPr>
          <w:p w14:paraId="6FA4C899"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Social Engagement</w:t>
            </w:r>
          </w:p>
        </w:tc>
      </w:tr>
      <w:tr w:rsidR="00A05406" w:rsidRPr="00B1623C" w14:paraId="5F25D3B5" w14:textId="77777777" w:rsidTr="00A05406">
        <w:trPr>
          <w:trHeight w:val="172"/>
        </w:trPr>
        <w:tc>
          <w:tcPr>
            <w:tcW w:w="1060" w:type="dxa"/>
            <w:vMerge/>
          </w:tcPr>
          <w:p w14:paraId="2B69C454"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Merge w:val="restart"/>
            <w:vAlign w:val="center"/>
          </w:tcPr>
          <w:p w14:paraId="139D8D5B" w14:textId="77777777" w:rsidR="00A05406" w:rsidRPr="00B1623C" w:rsidRDefault="00A05406" w:rsidP="00A1784D">
            <w:pPr>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 xml:space="preserve">Socioeconomic </w:t>
            </w:r>
            <w:r>
              <w:rPr>
                <w:rFonts w:asciiTheme="majorHAnsi" w:eastAsia="Times New Roman" w:hAnsiTheme="majorHAnsi" w:cstheme="majorHAnsi"/>
                <w:color w:val="000000"/>
                <w:sz w:val="20"/>
                <w:szCs w:val="20"/>
                <w:lang w:eastAsia="en-GB"/>
              </w:rPr>
              <w:t>P</w:t>
            </w:r>
            <w:r w:rsidRPr="00B1623C">
              <w:rPr>
                <w:rFonts w:asciiTheme="majorHAnsi" w:eastAsia="Times New Roman" w:hAnsiTheme="majorHAnsi" w:cstheme="majorHAnsi"/>
                <w:color w:val="000000"/>
                <w:sz w:val="20"/>
                <w:szCs w:val="20"/>
                <w:lang w:eastAsia="en-GB"/>
              </w:rPr>
              <w:t>osition</w:t>
            </w:r>
          </w:p>
        </w:tc>
        <w:tc>
          <w:tcPr>
            <w:tcW w:w="4536" w:type="dxa"/>
            <w:vAlign w:val="center"/>
          </w:tcPr>
          <w:p w14:paraId="1E449070"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Familial Education Level</w:t>
            </w:r>
          </w:p>
        </w:tc>
      </w:tr>
      <w:tr w:rsidR="00A05406" w:rsidRPr="00B1623C" w14:paraId="1A08C22B" w14:textId="77777777" w:rsidTr="00A05406">
        <w:trPr>
          <w:trHeight w:val="172"/>
        </w:trPr>
        <w:tc>
          <w:tcPr>
            <w:tcW w:w="1060" w:type="dxa"/>
            <w:vMerge/>
          </w:tcPr>
          <w:p w14:paraId="4937B4F9"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Merge/>
          </w:tcPr>
          <w:p w14:paraId="792695B6"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4536" w:type="dxa"/>
            <w:vAlign w:val="center"/>
          </w:tcPr>
          <w:p w14:paraId="584A5E7A"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Educational Opportunity</w:t>
            </w:r>
          </w:p>
        </w:tc>
      </w:tr>
      <w:tr w:rsidR="00A05406" w:rsidRPr="00B1623C" w14:paraId="6F8ACA35" w14:textId="77777777" w:rsidTr="00A05406">
        <w:trPr>
          <w:trHeight w:val="172"/>
        </w:trPr>
        <w:tc>
          <w:tcPr>
            <w:tcW w:w="1060" w:type="dxa"/>
            <w:vMerge/>
          </w:tcPr>
          <w:p w14:paraId="5D0DB161"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Merge/>
          </w:tcPr>
          <w:p w14:paraId="715AB432"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4536" w:type="dxa"/>
            <w:vAlign w:val="center"/>
          </w:tcPr>
          <w:p w14:paraId="3FBFD9D3"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Familial Income (including Poverty)</w:t>
            </w:r>
          </w:p>
        </w:tc>
      </w:tr>
      <w:tr w:rsidR="00A05406" w:rsidRPr="00B1623C" w14:paraId="597F32E9" w14:textId="77777777" w:rsidTr="00A05406">
        <w:trPr>
          <w:trHeight w:val="172"/>
        </w:trPr>
        <w:tc>
          <w:tcPr>
            <w:tcW w:w="1060" w:type="dxa"/>
            <w:vMerge/>
          </w:tcPr>
          <w:p w14:paraId="3A7C5794"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Merge/>
          </w:tcPr>
          <w:p w14:paraId="4F389A36"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4536" w:type="dxa"/>
            <w:vAlign w:val="center"/>
          </w:tcPr>
          <w:p w14:paraId="4980F477"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Intergenerational Transmission of Disadvantage</w:t>
            </w:r>
          </w:p>
        </w:tc>
      </w:tr>
      <w:tr w:rsidR="00A05406" w:rsidRPr="00B1623C" w14:paraId="1EC7100A" w14:textId="77777777" w:rsidTr="00A05406">
        <w:trPr>
          <w:trHeight w:val="172"/>
        </w:trPr>
        <w:tc>
          <w:tcPr>
            <w:tcW w:w="1060" w:type="dxa"/>
            <w:vMerge/>
          </w:tcPr>
          <w:p w14:paraId="7FD10D0D"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vMerge/>
          </w:tcPr>
          <w:p w14:paraId="11EEA7F5"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4536" w:type="dxa"/>
            <w:vAlign w:val="center"/>
          </w:tcPr>
          <w:p w14:paraId="0BAE1BC7"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Residential Mobility</w:t>
            </w:r>
          </w:p>
        </w:tc>
      </w:tr>
      <w:tr w:rsidR="00A05406" w:rsidRPr="00B1623C" w14:paraId="6E87F1AB" w14:textId="77777777" w:rsidTr="00A05406">
        <w:trPr>
          <w:trHeight w:val="276"/>
        </w:trPr>
        <w:tc>
          <w:tcPr>
            <w:tcW w:w="1060" w:type="dxa"/>
            <w:vMerge w:val="restart"/>
            <w:textDirection w:val="tbRl"/>
            <w:vAlign w:val="center"/>
          </w:tcPr>
          <w:p w14:paraId="55BF001C" w14:textId="2AC95E62" w:rsidR="00A05406" w:rsidRPr="00B1623C" w:rsidRDefault="00A05406" w:rsidP="00A1784D">
            <w:pPr>
              <w:tabs>
                <w:tab w:val="left" w:pos="1273"/>
              </w:tabs>
              <w:contextualSpacing/>
              <w:jc w:val="center"/>
              <w:rPr>
                <w:rFonts w:asciiTheme="majorHAnsi" w:eastAsia="Times New Roman" w:hAnsiTheme="majorHAnsi" w:cstheme="majorHAnsi"/>
                <w:color w:val="000000"/>
                <w:sz w:val="20"/>
                <w:szCs w:val="20"/>
                <w:lang w:eastAsia="en-GB"/>
              </w:rPr>
            </w:pPr>
            <w:r w:rsidRPr="00053FF2">
              <w:rPr>
                <w:rFonts w:eastAsia="Times New Roman" w:cstheme="majorHAnsi"/>
                <w:b/>
                <w:bCs/>
                <w:color w:val="000000"/>
                <w:sz w:val="20"/>
                <w:szCs w:val="20"/>
                <w:lang w:eastAsia="en-GB"/>
              </w:rPr>
              <w:t>Urban Environment</w:t>
            </w:r>
          </w:p>
        </w:tc>
        <w:tc>
          <w:tcPr>
            <w:tcW w:w="3051" w:type="dxa"/>
            <w:vAlign w:val="center"/>
          </w:tcPr>
          <w:p w14:paraId="1B742005" w14:textId="77777777" w:rsidR="00A05406" w:rsidRPr="00B1623C" w:rsidRDefault="00A05406" w:rsidP="00A1784D">
            <w:pPr>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Neighbourhood Accessibility</w:t>
            </w:r>
          </w:p>
        </w:tc>
        <w:tc>
          <w:tcPr>
            <w:tcW w:w="4536" w:type="dxa"/>
            <w:vAlign w:val="center"/>
          </w:tcPr>
          <w:p w14:paraId="50FD1E3B"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Access to Facilities/Amenities</w:t>
            </w:r>
          </w:p>
        </w:tc>
      </w:tr>
      <w:tr w:rsidR="00A05406" w:rsidRPr="00B1623C" w14:paraId="099B22A5" w14:textId="77777777" w:rsidTr="00E31FDC">
        <w:trPr>
          <w:trHeight w:val="878"/>
        </w:trPr>
        <w:tc>
          <w:tcPr>
            <w:tcW w:w="1060" w:type="dxa"/>
            <w:vMerge/>
          </w:tcPr>
          <w:p w14:paraId="704F0FCD"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p>
        </w:tc>
        <w:tc>
          <w:tcPr>
            <w:tcW w:w="3051" w:type="dxa"/>
          </w:tcPr>
          <w:p w14:paraId="241E0DDB" w14:textId="77777777" w:rsidR="00A05406" w:rsidRDefault="00A05406" w:rsidP="00A1784D">
            <w:pPr>
              <w:rPr>
                <w:rFonts w:asciiTheme="majorHAnsi" w:eastAsia="Times New Roman" w:hAnsiTheme="majorHAnsi" w:cstheme="majorHAnsi"/>
                <w:color w:val="000000"/>
                <w:sz w:val="20"/>
                <w:szCs w:val="20"/>
                <w:lang w:eastAsia="en-GB"/>
              </w:rPr>
            </w:pPr>
          </w:p>
          <w:p w14:paraId="30065111" w14:textId="77777777" w:rsidR="00A05406" w:rsidRPr="00B1623C" w:rsidRDefault="00A05406" w:rsidP="00A1784D">
            <w:pPr>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Physical Environment</w:t>
            </w:r>
          </w:p>
        </w:tc>
        <w:tc>
          <w:tcPr>
            <w:tcW w:w="4536" w:type="dxa"/>
            <w:vAlign w:val="center"/>
          </w:tcPr>
          <w:p w14:paraId="7D60D017" w14:textId="77777777" w:rsidR="00A05406" w:rsidRPr="00B1623C" w:rsidRDefault="00A05406" w:rsidP="00A1784D">
            <w:pPr>
              <w:contextualSpacing/>
              <w:rPr>
                <w:rFonts w:asciiTheme="majorHAnsi" w:eastAsia="Times New Roman" w:hAnsiTheme="majorHAnsi" w:cstheme="majorHAnsi"/>
                <w:color w:val="000000"/>
                <w:sz w:val="20"/>
                <w:szCs w:val="20"/>
                <w:lang w:eastAsia="en-GB"/>
              </w:rPr>
            </w:pPr>
            <w:r w:rsidRPr="00B1623C">
              <w:rPr>
                <w:rFonts w:asciiTheme="majorHAnsi" w:eastAsia="Times New Roman" w:hAnsiTheme="majorHAnsi" w:cstheme="majorHAnsi"/>
                <w:color w:val="000000"/>
                <w:sz w:val="20"/>
                <w:szCs w:val="20"/>
                <w:lang w:eastAsia="en-GB"/>
              </w:rPr>
              <w:t>Physical Environment</w:t>
            </w:r>
          </w:p>
        </w:tc>
      </w:tr>
    </w:tbl>
    <w:p w14:paraId="0C75E774" w14:textId="6A9731FA" w:rsidR="005F5B61" w:rsidRDefault="005F5B61" w:rsidP="00463CEC">
      <w:pPr>
        <w:spacing w:after="0" w:line="276" w:lineRule="auto"/>
        <w:rPr>
          <w:rFonts w:eastAsia="Times New Roman" w:cstheme="majorHAnsi"/>
          <w:b/>
          <w:bCs/>
          <w:sz w:val="21"/>
          <w:szCs w:val="21"/>
          <w:lang w:eastAsia="en-GB"/>
        </w:rPr>
      </w:pPr>
      <w:r w:rsidRPr="00463CEC">
        <w:rPr>
          <w:rFonts w:eastAsia="Times New Roman" w:cstheme="majorHAnsi"/>
          <w:b/>
          <w:bCs/>
          <w:sz w:val="21"/>
          <w:szCs w:val="21"/>
          <w:lang w:eastAsia="en-GB"/>
        </w:rPr>
        <w:t>Table 3.6: Education: Social, Economic, Health, and Urban Environment Determinants</w:t>
      </w:r>
      <w:bookmarkEnd w:id="2"/>
      <w:bookmarkEnd w:id="3"/>
    </w:p>
    <w:p w14:paraId="3FB4D605" w14:textId="77777777" w:rsidR="00A05406" w:rsidRDefault="00A05406" w:rsidP="00463CEC">
      <w:pPr>
        <w:spacing w:after="0" w:line="276" w:lineRule="auto"/>
        <w:rPr>
          <w:b/>
          <w:color w:val="2E74B5" w:themeColor="accent5" w:themeShade="BF"/>
          <w:sz w:val="36"/>
          <w:szCs w:val="36"/>
          <w:u w:val="single"/>
        </w:rPr>
      </w:pPr>
      <w:bookmarkStart w:id="4" w:name="_Hlk106630972"/>
    </w:p>
    <w:p w14:paraId="2228D7D7" w14:textId="77777777" w:rsidR="00A05406" w:rsidRDefault="00A05406" w:rsidP="00463CEC">
      <w:pPr>
        <w:spacing w:after="0" w:line="276" w:lineRule="auto"/>
        <w:rPr>
          <w:b/>
          <w:color w:val="2E74B5" w:themeColor="accent5" w:themeShade="BF"/>
          <w:sz w:val="36"/>
          <w:szCs w:val="36"/>
          <w:u w:val="single"/>
        </w:rPr>
      </w:pPr>
    </w:p>
    <w:p w14:paraId="073C32A4" w14:textId="77777777" w:rsidR="00A05406" w:rsidRDefault="00A05406" w:rsidP="00463CEC">
      <w:pPr>
        <w:spacing w:after="0" w:line="276" w:lineRule="auto"/>
        <w:rPr>
          <w:b/>
          <w:color w:val="2E74B5" w:themeColor="accent5" w:themeShade="BF"/>
          <w:sz w:val="36"/>
          <w:szCs w:val="36"/>
          <w:u w:val="single"/>
        </w:rPr>
      </w:pPr>
    </w:p>
    <w:p w14:paraId="6D709655" w14:textId="77777777" w:rsidR="00A05406" w:rsidRDefault="00A05406" w:rsidP="00463CEC">
      <w:pPr>
        <w:spacing w:after="0" w:line="276" w:lineRule="auto"/>
        <w:rPr>
          <w:b/>
          <w:color w:val="2E74B5" w:themeColor="accent5" w:themeShade="BF"/>
          <w:sz w:val="36"/>
          <w:szCs w:val="36"/>
          <w:u w:val="single"/>
        </w:rPr>
      </w:pPr>
    </w:p>
    <w:p w14:paraId="45653F9A" w14:textId="7DE59F6D" w:rsidR="00010F40" w:rsidRPr="007765F5" w:rsidRDefault="000A086C" w:rsidP="009175B3">
      <w:pPr>
        <w:pStyle w:val="Heading1"/>
        <w:rPr>
          <w:b/>
          <w:bCs/>
          <w:u w:val="single"/>
        </w:rPr>
      </w:pPr>
      <w:bookmarkStart w:id="5" w:name="_Toc107841577"/>
      <w:r w:rsidRPr="007765F5">
        <w:rPr>
          <w:b/>
          <w:bCs/>
          <w:u w:val="single"/>
        </w:rPr>
        <w:t>Determining s</w:t>
      </w:r>
      <w:r w:rsidR="00010F40" w:rsidRPr="007765F5">
        <w:rPr>
          <w:b/>
          <w:bCs/>
          <w:u w:val="single"/>
        </w:rPr>
        <w:t>trategies and responses</w:t>
      </w:r>
      <w:bookmarkEnd w:id="5"/>
    </w:p>
    <w:bookmarkEnd w:id="4"/>
    <w:p w14:paraId="12F321E3" w14:textId="77777777" w:rsidR="00E348F7" w:rsidRPr="007765F5" w:rsidRDefault="00E348F7" w:rsidP="007765F5">
      <w:pPr>
        <w:pStyle w:val="ListParagraph"/>
        <w:numPr>
          <w:ilvl w:val="0"/>
          <w:numId w:val="1"/>
        </w:numPr>
        <w:spacing w:line="257" w:lineRule="auto"/>
        <w:rPr>
          <w:rFonts w:ascii="Calibri" w:eastAsia="Calibri" w:hAnsi="Calibri" w:cs="Calibri"/>
          <w:b/>
          <w:color w:val="2F5496" w:themeColor="accent1" w:themeShade="BF"/>
          <w:sz w:val="25"/>
          <w:szCs w:val="25"/>
        </w:rPr>
      </w:pPr>
      <w:r w:rsidRPr="007765F5">
        <w:rPr>
          <w:rFonts w:ascii="Calibri" w:eastAsia="Calibri" w:hAnsi="Calibri" w:cs="Calibri"/>
          <w:b/>
          <w:color w:val="2F5496" w:themeColor="accent1" w:themeShade="BF"/>
          <w:sz w:val="25"/>
          <w:szCs w:val="25"/>
        </w:rPr>
        <w:t>What makes place-based interventions effective at addressing these social and economic factors and improve community outcomes, both within Australia and globally?</w:t>
      </w:r>
    </w:p>
    <w:p w14:paraId="1467B6F7" w14:textId="77777777" w:rsidR="00E348F7" w:rsidRDefault="00E348F7" w:rsidP="00E348F7">
      <w:pPr>
        <w:spacing w:after="0" w:line="276" w:lineRule="auto"/>
        <w:contextualSpacing/>
        <w:rPr>
          <w:rFonts w:asciiTheme="majorHAnsi" w:hAnsiTheme="majorHAnsi" w:cstheme="majorBidi"/>
          <w:sz w:val="23"/>
          <w:szCs w:val="23"/>
        </w:rPr>
      </w:pPr>
      <w:r>
        <w:rPr>
          <w:rFonts w:asciiTheme="majorHAnsi" w:hAnsiTheme="majorHAnsi" w:cstheme="majorBidi"/>
          <w:sz w:val="23"/>
          <w:szCs w:val="23"/>
        </w:rPr>
        <w:t xml:space="preserve">Drawing on the research that informed the Case Studies (see Appendix 1), we identify </w:t>
      </w:r>
      <w:r w:rsidRPr="37EA9A9A">
        <w:rPr>
          <w:rFonts w:asciiTheme="majorHAnsi" w:hAnsiTheme="majorHAnsi" w:cstheme="majorBidi"/>
          <w:sz w:val="23"/>
          <w:szCs w:val="23"/>
        </w:rPr>
        <w:t xml:space="preserve">some key tendencies of effective place-based </w:t>
      </w:r>
      <w:r w:rsidRPr="00CC521D">
        <w:rPr>
          <w:rFonts w:asciiTheme="majorHAnsi" w:hAnsiTheme="majorHAnsi" w:cstheme="majorBidi"/>
          <w:sz w:val="23"/>
          <w:szCs w:val="23"/>
        </w:rPr>
        <w:t xml:space="preserve">interventions. </w:t>
      </w:r>
      <w:r>
        <w:rPr>
          <w:rFonts w:asciiTheme="majorHAnsi" w:hAnsiTheme="majorHAnsi" w:cstheme="majorBidi"/>
          <w:sz w:val="23"/>
          <w:szCs w:val="23"/>
        </w:rPr>
        <w:t xml:space="preserve">These </w:t>
      </w:r>
      <w:r w:rsidRPr="00CC521D">
        <w:rPr>
          <w:rFonts w:asciiTheme="majorHAnsi" w:hAnsiTheme="majorHAnsi" w:cstheme="majorBidi"/>
          <w:sz w:val="23"/>
          <w:szCs w:val="23"/>
        </w:rPr>
        <w:t>programs often:</w:t>
      </w:r>
    </w:p>
    <w:p w14:paraId="69E2EFBB" w14:textId="77777777" w:rsidR="00E348F7" w:rsidRPr="00D27F4B" w:rsidRDefault="00E348F7" w:rsidP="00E348F7">
      <w:pPr>
        <w:pStyle w:val="ListParagraph"/>
        <w:numPr>
          <w:ilvl w:val="0"/>
          <w:numId w:val="2"/>
        </w:numPr>
        <w:spacing w:after="0" w:line="276" w:lineRule="auto"/>
        <w:rPr>
          <w:rFonts w:asciiTheme="majorHAnsi" w:eastAsiaTheme="majorEastAsia" w:hAnsiTheme="majorHAnsi" w:cstheme="majorBidi"/>
          <w:sz w:val="23"/>
          <w:szCs w:val="23"/>
        </w:rPr>
      </w:pPr>
      <w:r>
        <w:rPr>
          <w:rFonts w:asciiTheme="majorHAnsi" w:hAnsiTheme="majorHAnsi" w:cstheme="majorBidi"/>
          <w:sz w:val="23"/>
          <w:szCs w:val="23"/>
        </w:rPr>
        <w:t xml:space="preserve">have a </w:t>
      </w:r>
      <w:r w:rsidRPr="37EA9A9A">
        <w:rPr>
          <w:rFonts w:asciiTheme="majorHAnsi" w:hAnsiTheme="majorHAnsi" w:cstheme="majorBidi"/>
          <w:sz w:val="23"/>
          <w:szCs w:val="23"/>
        </w:rPr>
        <w:t xml:space="preserve">multi-pronged focus, </w:t>
      </w:r>
      <w:r>
        <w:rPr>
          <w:rFonts w:asciiTheme="majorHAnsi" w:hAnsiTheme="majorHAnsi" w:cstheme="majorBidi"/>
          <w:sz w:val="23"/>
          <w:szCs w:val="23"/>
        </w:rPr>
        <w:t>involving</w:t>
      </w:r>
      <w:r w:rsidRPr="37EA9A9A">
        <w:rPr>
          <w:rFonts w:asciiTheme="majorHAnsi" w:hAnsiTheme="majorHAnsi" w:cstheme="majorBidi"/>
          <w:sz w:val="23"/>
          <w:szCs w:val="23"/>
        </w:rPr>
        <w:t xml:space="preserve"> cross-sector collaboration</w:t>
      </w:r>
      <w:r>
        <w:rPr>
          <w:rFonts w:asciiTheme="majorHAnsi" w:hAnsiTheme="majorHAnsi" w:cstheme="majorBidi"/>
          <w:sz w:val="23"/>
          <w:szCs w:val="23"/>
        </w:rPr>
        <w:t>, and</w:t>
      </w:r>
      <w:r w:rsidRPr="37EA9A9A">
        <w:rPr>
          <w:rFonts w:asciiTheme="majorHAnsi" w:hAnsiTheme="majorHAnsi" w:cstheme="majorBidi"/>
          <w:sz w:val="23"/>
          <w:szCs w:val="23"/>
        </w:rPr>
        <w:t xml:space="preserve"> span</w:t>
      </w:r>
      <w:r>
        <w:rPr>
          <w:rFonts w:asciiTheme="majorHAnsi" w:hAnsiTheme="majorHAnsi" w:cstheme="majorBidi"/>
          <w:sz w:val="23"/>
          <w:szCs w:val="23"/>
        </w:rPr>
        <w:t>ning</w:t>
      </w:r>
      <w:r w:rsidRPr="37EA9A9A">
        <w:rPr>
          <w:rFonts w:asciiTheme="majorHAnsi" w:hAnsiTheme="majorHAnsi" w:cstheme="majorBidi"/>
          <w:sz w:val="23"/>
          <w:szCs w:val="23"/>
        </w:rPr>
        <w:t xml:space="preserve"> </w:t>
      </w:r>
      <w:r>
        <w:rPr>
          <w:rFonts w:asciiTheme="majorHAnsi" w:hAnsiTheme="majorHAnsi" w:cstheme="majorBidi"/>
          <w:sz w:val="23"/>
          <w:szCs w:val="23"/>
        </w:rPr>
        <w:t>more than one</w:t>
      </w:r>
      <w:r w:rsidRPr="37EA9A9A">
        <w:rPr>
          <w:rFonts w:asciiTheme="majorHAnsi" w:hAnsiTheme="majorHAnsi" w:cstheme="majorBidi"/>
          <w:sz w:val="23"/>
          <w:szCs w:val="23"/>
        </w:rPr>
        <w:t xml:space="preserve"> </w:t>
      </w:r>
      <w:r>
        <w:rPr>
          <w:rFonts w:asciiTheme="majorHAnsi" w:hAnsiTheme="majorHAnsi" w:cstheme="majorBidi"/>
          <w:sz w:val="23"/>
          <w:szCs w:val="23"/>
        </w:rPr>
        <w:t>Practice Domain</w:t>
      </w:r>
    </w:p>
    <w:p w14:paraId="4213B625" w14:textId="77777777" w:rsidR="00E348F7" w:rsidRDefault="00E348F7" w:rsidP="00E348F7">
      <w:pPr>
        <w:pStyle w:val="ListParagraph"/>
        <w:numPr>
          <w:ilvl w:val="0"/>
          <w:numId w:val="2"/>
        </w:numPr>
        <w:spacing w:after="0" w:line="276" w:lineRule="auto"/>
        <w:rPr>
          <w:rFonts w:asciiTheme="majorHAnsi" w:eastAsiaTheme="majorEastAsia" w:hAnsiTheme="majorHAnsi" w:cstheme="majorBidi"/>
          <w:sz w:val="23"/>
          <w:szCs w:val="23"/>
        </w:rPr>
      </w:pPr>
      <w:r>
        <w:rPr>
          <w:rFonts w:asciiTheme="majorHAnsi" w:hAnsiTheme="majorHAnsi" w:cstheme="majorBidi"/>
          <w:sz w:val="23"/>
          <w:szCs w:val="23"/>
        </w:rPr>
        <w:t>support and empower community members to play an active role in identifying issues, solving problems,</w:t>
      </w:r>
      <w:r w:rsidRPr="001B7A14">
        <w:rPr>
          <w:rFonts w:asciiTheme="majorHAnsi" w:hAnsiTheme="majorHAnsi" w:cstheme="majorBidi"/>
          <w:sz w:val="23"/>
          <w:szCs w:val="23"/>
        </w:rPr>
        <w:t xml:space="preserve"> </w:t>
      </w:r>
      <w:r>
        <w:rPr>
          <w:rFonts w:asciiTheme="majorHAnsi" w:hAnsiTheme="majorHAnsi" w:cstheme="majorBidi"/>
          <w:sz w:val="23"/>
          <w:szCs w:val="23"/>
        </w:rPr>
        <w:t>and shaping and evaluating programs</w:t>
      </w:r>
    </w:p>
    <w:p w14:paraId="093F81C9" w14:textId="77777777" w:rsidR="00E348F7" w:rsidRDefault="00E348F7" w:rsidP="00E348F7">
      <w:pPr>
        <w:pStyle w:val="ListParagraph"/>
        <w:numPr>
          <w:ilvl w:val="0"/>
          <w:numId w:val="2"/>
        </w:numPr>
        <w:spacing w:after="0" w:line="276" w:lineRule="auto"/>
        <w:rPr>
          <w:rFonts w:eastAsiaTheme="minorEastAsia"/>
          <w:sz w:val="23"/>
          <w:szCs w:val="23"/>
        </w:rPr>
      </w:pPr>
      <w:r>
        <w:rPr>
          <w:rFonts w:asciiTheme="majorHAnsi" w:hAnsiTheme="majorHAnsi" w:cstheme="majorBidi"/>
          <w:sz w:val="23"/>
          <w:szCs w:val="23"/>
        </w:rPr>
        <w:t xml:space="preserve">are </w:t>
      </w:r>
      <w:r w:rsidRPr="37EA9A9A">
        <w:rPr>
          <w:rFonts w:asciiTheme="majorHAnsi" w:hAnsiTheme="majorHAnsi" w:cstheme="majorBidi"/>
          <w:sz w:val="23"/>
          <w:szCs w:val="23"/>
        </w:rPr>
        <w:t xml:space="preserve">based on sound community engagement </w:t>
      </w:r>
      <w:r>
        <w:rPr>
          <w:rFonts w:asciiTheme="majorHAnsi" w:hAnsiTheme="majorHAnsi" w:cstheme="majorBidi"/>
          <w:sz w:val="23"/>
          <w:szCs w:val="23"/>
        </w:rPr>
        <w:t xml:space="preserve">strategies, </w:t>
      </w:r>
      <w:r w:rsidRPr="37EA9A9A">
        <w:rPr>
          <w:rFonts w:asciiTheme="majorHAnsi" w:hAnsiTheme="majorHAnsi" w:cstheme="majorBidi"/>
          <w:sz w:val="23"/>
          <w:szCs w:val="23"/>
        </w:rPr>
        <w:t xml:space="preserve">including co-design </w:t>
      </w:r>
      <w:r>
        <w:rPr>
          <w:rFonts w:asciiTheme="majorHAnsi" w:hAnsiTheme="majorHAnsi" w:cstheme="majorBidi"/>
          <w:sz w:val="23"/>
          <w:szCs w:val="23"/>
        </w:rPr>
        <w:t>methods</w:t>
      </w:r>
      <w:r w:rsidRPr="37EA9A9A">
        <w:rPr>
          <w:rFonts w:asciiTheme="majorHAnsi" w:hAnsiTheme="majorHAnsi" w:cstheme="majorBidi"/>
          <w:sz w:val="23"/>
          <w:szCs w:val="23"/>
        </w:rPr>
        <w:t xml:space="preserve">, that are </w:t>
      </w:r>
      <w:r w:rsidRPr="37EA9A9A">
        <w:rPr>
          <w:rFonts w:ascii="Calibri Light" w:eastAsia="Calibri Light" w:hAnsi="Calibri Light" w:cs="Calibri Light"/>
          <w:sz w:val="23"/>
          <w:szCs w:val="23"/>
        </w:rPr>
        <w:t>genuinely participatory</w:t>
      </w:r>
      <w:r>
        <w:rPr>
          <w:rFonts w:ascii="Calibri Light" w:eastAsia="Calibri Light" w:hAnsi="Calibri Light" w:cs="Calibri Light"/>
          <w:sz w:val="23"/>
          <w:szCs w:val="23"/>
        </w:rPr>
        <w:t>,</w:t>
      </w:r>
      <w:r w:rsidRPr="37EA9A9A">
        <w:rPr>
          <w:rFonts w:ascii="Calibri Light" w:eastAsia="Calibri Light" w:hAnsi="Calibri Light" w:cs="Calibri Light"/>
          <w:sz w:val="23"/>
          <w:szCs w:val="23"/>
        </w:rPr>
        <w:t xml:space="preserve"> respectful, empowering, </w:t>
      </w:r>
      <w:r>
        <w:rPr>
          <w:rFonts w:ascii="Calibri Light" w:eastAsia="Calibri Light" w:hAnsi="Calibri Light" w:cs="Calibri Light"/>
          <w:sz w:val="23"/>
          <w:szCs w:val="23"/>
        </w:rPr>
        <w:t xml:space="preserve">and </w:t>
      </w:r>
      <w:r w:rsidRPr="37EA9A9A">
        <w:rPr>
          <w:rFonts w:ascii="Calibri Light" w:eastAsia="Calibri Light" w:hAnsi="Calibri Light" w:cs="Calibri Light"/>
          <w:sz w:val="23"/>
          <w:szCs w:val="23"/>
        </w:rPr>
        <w:t xml:space="preserve">inclusive </w:t>
      </w:r>
    </w:p>
    <w:p w14:paraId="6462B56A" w14:textId="77777777" w:rsidR="00E348F7" w:rsidRDefault="00E348F7" w:rsidP="00E348F7">
      <w:pPr>
        <w:pStyle w:val="ListParagraph"/>
        <w:numPr>
          <w:ilvl w:val="0"/>
          <w:numId w:val="2"/>
        </w:numPr>
        <w:spacing w:after="0" w:line="276" w:lineRule="auto"/>
        <w:rPr>
          <w:rFonts w:eastAsiaTheme="minorEastAsia"/>
          <w:sz w:val="23"/>
          <w:szCs w:val="23"/>
        </w:rPr>
      </w:pPr>
      <w:r w:rsidRPr="37EA9A9A">
        <w:rPr>
          <w:rFonts w:ascii="Calibri Light" w:eastAsia="Calibri Light" w:hAnsi="Calibri Light" w:cs="Calibri Light"/>
          <w:sz w:val="23"/>
          <w:szCs w:val="23"/>
        </w:rPr>
        <w:t>recognise</w:t>
      </w:r>
      <w:r>
        <w:rPr>
          <w:rFonts w:ascii="Calibri Light" w:eastAsia="Calibri Light" w:hAnsi="Calibri Light" w:cs="Calibri Light"/>
          <w:sz w:val="23"/>
          <w:szCs w:val="23"/>
        </w:rPr>
        <w:t>,</w:t>
      </w:r>
      <w:r w:rsidRPr="37EA9A9A">
        <w:rPr>
          <w:rFonts w:ascii="Calibri Light" w:eastAsia="Calibri Light" w:hAnsi="Calibri Light" w:cs="Calibri Light"/>
          <w:sz w:val="23"/>
          <w:szCs w:val="23"/>
        </w:rPr>
        <w:t xml:space="preserve"> build</w:t>
      </w:r>
      <w:r>
        <w:rPr>
          <w:rFonts w:ascii="Calibri Light" w:eastAsia="Calibri Light" w:hAnsi="Calibri Light" w:cs="Calibri Light"/>
          <w:sz w:val="23"/>
          <w:szCs w:val="23"/>
        </w:rPr>
        <w:t xml:space="preserve"> on, and celebrate existing </w:t>
      </w:r>
      <w:r w:rsidRPr="37EA9A9A">
        <w:rPr>
          <w:rFonts w:ascii="Calibri Light" w:eastAsia="Calibri Light" w:hAnsi="Calibri Light" w:cs="Calibri Light"/>
          <w:sz w:val="23"/>
          <w:szCs w:val="23"/>
        </w:rPr>
        <w:t>community assets,</w:t>
      </w:r>
      <w:r>
        <w:rPr>
          <w:rFonts w:ascii="Calibri Light" w:eastAsia="Calibri Light" w:hAnsi="Calibri Light" w:cs="Calibri Light"/>
          <w:sz w:val="23"/>
          <w:szCs w:val="23"/>
        </w:rPr>
        <w:t xml:space="preserve"> strengths,</w:t>
      </w:r>
      <w:r w:rsidRPr="37EA9A9A">
        <w:rPr>
          <w:rFonts w:ascii="Calibri Light" w:eastAsia="Calibri Light" w:hAnsi="Calibri Light" w:cs="Calibri Light"/>
          <w:sz w:val="23"/>
          <w:szCs w:val="23"/>
        </w:rPr>
        <w:t xml:space="preserve"> knowledge, </w:t>
      </w:r>
      <w:r>
        <w:rPr>
          <w:rFonts w:ascii="Calibri Light" w:eastAsia="Calibri Light" w:hAnsi="Calibri Light" w:cs="Calibri Light"/>
          <w:sz w:val="23"/>
          <w:szCs w:val="23"/>
        </w:rPr>
        <w:t>and skills</w:t>
      </w:r>
    </w:p>
    <w:p w14:paraId="39D68298" w14:textId="77777777" w:rsidR="00E348F7" w:rsidRDefault="00E348F7" w:rsidP="00E348F7">
      <w:pPr>
        <w:pStyle w:val="ListParagraph"/>
        <w:numPr>
          <w:ilvl w:val="0"/>
          <w:numId w:val="2"/>
        </w:numPr>
        <w:spacing w:after="0" w:line="276" w:lineRule="auto"/>
        <w:rPr>
          <w:sz w:val="23"/>
          <w:szCs w:val="23"/>
        </w:rPr>
      </w:pPr>
      <w:r w:rsidRPr="37EA9A9A">
        <w:rPr>
          <w:rFonts w:asciiTheme="majorHAnsi" w:hAnsiTheme="majorHAnsi" w:cstheme="majorBidi"/>
          <w:sz w:val="23"/>
          <w:szCs w:val="23"/>
        </w:rPr>
        <w:t>are overseen by a highly capable lead agency with strong local connections</w:t>
      </w:r>
    </w:p>
    <w:p w14:paraId="755CC7F3" w14:textId="77777777" w:rsidR="00E348F7" w:rsidRDefault="00E348F7" w:rsidP="00E348F7">
      <w:pPr>
        <w:pStyle w:val="ListParagraph"/>
        <w:numPr>
          <w:ilvl w:val="0"/>
          <w:numId w:val="2"/>
        </w:numPr>
        <w:spacing w:after="0" w:line="276" w:lineRule="auto"/>
        <w:rPr>
          <w:rFonts w:eastAsiaTheme="minorEastAsia"/>
          <w:sz w:val="23"/>
          <w:szCs w:val="23"/>
        </w:rPr>
      </w:pPr>
      <w:r w:rsidRPr="37EA9A9A">
        <w:rPr>
          <w:rFonts w:ascii="Calibri Light" w:eastAsia="Calibri Light" w:hAnsi="Calibri Light" w:cs="Calibri Light"/>
          <w:sz w:val="23"/>
          <w:szCs w:val="23"/>
        </w:rPr>
        <w:t xml:space="preserve">involve </w:t>
      </w:r>
      <w:r>
        <w:rPr>
          <w:rFonts w:ascii="Calibri Light" w:eastAsia="Calibri Light" w:hAnsi="Calibri Light" w:cs="Calibri Light"/>
          <w:sz w:val="23"/>
          <w:szCs w:val="23"/>
        </w:rPr>
        <w:t>effective</w:t>
      </w:r>
      <w:r w:rsidRPr="37EA9A9A">
        <w:rPr>
          <w:rFonts w:ascii="Calibri Light" w:eastAsia="Calibri Light" w:hAnsi="Calibri Light" w:cs="Calibri Light"/>
          <w:sz w:val="23"/>
          <w:szCs w:val="23"/>
        </w:rPr>
        <w:t xml:space="preserve"> partnerships, sound governance</w:t>
      </w:r>
      <w:r>
        <w:rPr>
          <w:rFonts w:ascii="Calibri Light" w:eastAsia="Calibri Light" w:hAnsi="Calibri Light" w:cs="Calibri Light"/>
          <w:sz w:val="23"/>
          <w:szCs w:val="23"/>
        </w:rPr>
        <w:t>,</w:t>
      </w:r>
      <w:r w:rsidRPr="37EA9A9A">
        <w:rPr>
          <w:rFonts w:ascii="Calibri Light" w:eastAsia="Calibri Light" w:hAnsi="Calibri Light" w:cs="Calibri Light"/>
          <w:sz w:val="23"/>
          <w:szCs w:val="23"/>
        </w:rPr>
        <w:t xml:space="preserve"> and relationships of trust</w:t>
      </w:r>
    </w:p>
    <w:p w14:paraId="036FA11A" w14:textId="77777777" w:rsidR="00E348F7" w:rsidRDefault="00E348F7" w:rsidP="00E348F7">
      <w:pPr>
        <w:pStyle w:val="ListParagraph"/>
        <w:numPr>
          <w:ilvl w:val="0"/>
          <w:numId w:val="2"/>
        </w:numPr>
        <w:spacing w:after="0" w:line="276" w:lineRule="auto"/>
        <w:rPr>
          <w:sz w:val="23"/>
          <w:szCs w:val="23"/>
        </w:rPr>
      </w:pPr>
      <w:r w:rsidRPr="37EA9A9A">
        <w:rPr>
          <w:rFonts w:ascii="Calibri Light" w:eastAsia="Calibri Light" w:hAnsi="Calibri Light" w:cs="Calibri Light"/>
          <w:sz w:val="23"/>
          <w:szCs w:val="23"/>
        </w:rPr>
        <w:t xml:space="preserve">are adequately funded and resourced, with generous timeframes and </w:t>
      </w:r>
      <w:r>
        <w:rPr>
          <w:rFonts w:ascii="Calibri Light" w:eastAsia="Calibri Light" w:hAnsi="Calibri Light" w:cs="Calibri Light"/>
          <w:sz w:val="23"/>
          <w:szCs w:val="23"/>
        </w:rPr>
        <w:t>workable</w:t>
      </w:r>
      <w:r w:rsidRPr="37EA9A9A">
        <w:rPr>
          <w:rFonts w:ascii="Calibri Light" w:eastAsia="Calibri Light" w:hAnsi="Calibri Light" w:cs="Calibri Light"/>
          <w:sz w:val="23"/>
          <w:szCs w:val="23"/>
        </w:rPr>
        <w:t xml:space="preserve"> evaluation methods</w:t>
      </w:r>
    </w:p>
    <w:p w14:paraId="6C84249B" w14:textId="77777777" w:rsidR="00E348F7" w:rsidRPr="001132AD" w:rsidRDefault="00E348F7" w:rsidP="00E348F7">
      <w:pPr>
        <w:pStyle w:val="ListParagraph"/>
        <w:numPr>
          <w:ilvl w:val="0"/>
          <w:numId w:val="2"/>
        </w:numPr>
        <w:spacing w:after="0" w:line="276" w:lineRule="auto"/>
        <w:rPr>
          <w:rFonts w:eastAsiaTheme="minorEastAsia"/>
          <w:sz w:val="23"/>
          <w:szCs w:val="23"/>
        </w:rPr>
      </w:pPr>
      <w:r>
        <w:rPr>
          <w:rFonts w:ascii="Calibri Light" w:eastAsia="Calibri Light" w:hAnsi="Calibri Light" w:cs="Calibri Light"/>
          <w:sz w:val="23"/>
          <w:szCs w:val="23"/>
        </w:rPr>
        <w:t>enable</w:t>
      </w:r>
      <w:r w:rsidRPr="37EA9A9A">
        <w:rPr>
          <w:rFonts w:ascii="Calibri Light" w:eastAsia="Calibri Light" w:hAnsi="Calibri Light" w:cs="Calibri Light"/>
          <w:sz w:val="23"/>
          <w:szCs w:val="23"/>
        </w:rPr>
        <w:t xml:space="preserve"> holistic thinking and</w:t>
      </w:r>
      <w:r>
        <w:rPr>
          <w:rFonts w:ascii="Calibri Light" w:eastAsia="Calibri Light" w:hAnsi="Calibri Light" w:cs="Calibri Light"/>
          <w:sz w:val="23"/>
          <w:szCs w:val="23"/>
        </w:rPr>
        <w:t xml:space="preserve"> program flexibility</w:t>
      </w:r>
    </w:p>
    <w:p w14:paraId="247D370F" w14:textId="77777777" w:rsidR="00E348F7" w:rsidRPr="001132AD" w:rsidRDefault="00E348F7" w:rsidP="00E348F7">
      <w:pPr>
        <w:pStyle w:val="ListParagraph"/>
        <w:numPr>
          <w:ilvl w:val="0"/>
          <w:numId w:val="2"/>
        </w:numPr>
        <w:spacing w:line="276" w:lineRule="auto"/>
        <w:rPr>
          <w:rFonts w:eastAsiaTheme="minorEastAsia"/>
          <w:sz w:val="23"/>
          <w:szCs w:val="23"/>
        </w:rPr>
      </w:pPr>
      <w:r w:rsidRPr="001132AD">
        <w:rPr>
          <w:rFonts w:ascii="Calibri Light" w:eastAsia="Calibri Light" w:hAnsi="Calibri Light" w:cs="Calibri Light"/>
          <w:sz w:val="23"/>
          <w:szCs w:val="23"/>
        </w:rPr>
        <w:t>are connected to broader socioeconomic contexts, including local, regional, and national policy.</w:t>
      </w:r>
    </w:p>
    <w:p w14:paraId="081E6882" w14:textId="06827E2C" w:rsidR="00E348F7" w:rsidRPr="007765F5" w:rsidRDefault="00E348F7" w:rsidP="007765F5">
      <w:pPr>
        <w:pStyle w:val="ListParagraph"/>
        <w:numPr>
          <w:ilvl w:val="0"/>
          <w:numId w:val="1"/>
        </w:numPr>
        <w:spacing w:line="257" w:lineRule="auto"/>
        <w:rPr>
          <w:rFonts w:ascii="Calibri" w:eastAsia="Calibri" w:hAnsi="Calibri" w:cs="Calibri"/>
          <w:b/>
          <w:color w:val="2F5496" w:themeColor="accent1" w:themeShade="BF"/>
          <w:sz w:val="25"/>
          <w:szCs w:val="25"/>
        </w:rPr>
      </w:pPr>
      <w:r w:rsidRPr="007765F5">
        <w:rPr>
          <w:rFonts w:ascii="Calibri" w:eastAsia="Calibri" w:hAnsi="Calibri" w:cs="Calibri"/>
          <w:b/>
          <w:color w:val="2F5496" w:themeColor="accent1" w:themeShade="BF"/>
          <w:sz w:val="25"/>
          <w:szCs w:val="25"/>
        </w:rPr>
        <w:t>What are the key federal and state policies, programs, and funding initiatives that target education to improve community outcomes?</w:t>
      </w:r>
    </w:p>
    <w:tbl>
      <w:tblPr>
        <w:tblStyle w:val="TableGrid"/>
        <w:tblW w:w="9637" w:type="dxa"/>
        <w:tblInd w:w="-294" w:type="dxa"/>
        <w:tblLayout w:type="fixed"/>
        <w:tblLook w:val="04A0" w:firstRow="1" w:lastRow="0" w:firstColumn="1" w:lastColumn="0" w:noHBand="0" w:noVBand="1"/>
      </w:tblPr>
      <w:tblGrid>
        <w:gridCol w:w="960"/>
        <w:gridCol w:w="5834"/>
        <w:gridCol w:w="2843"/>
      </w:tblGrid>
      <w:tr w:rsidR="005F5B61" w:rsidRPr="00661DE7" w14:paraId="0F41A81B" w14:textId="77777777" w:rsidTr="00E31FDC">
        <w:trPr>
          <w:trHeight w:val="564"/>
          <w:tblHeader/>
        </w:trPr>
        <w:tc>
          <w:tcPr>
            <w:tcW w:w="960" w:type="dxa"/>
            <w:shd w:val="clear" w:color="auto" w:fill="D0CECE" w:themeFill="background2" w:themeFillShade="E6"/>
          </w:tcPr>
          <w:p w14:paraId="23BECF8A" w14:textId="77777777" w:rsidR="005F5B61" w:rsidRPr="00661DE7" w:rsidRDefault="005F5B61" w:rsidP="00A1784D">
            <w:pPr>
              <w:rPr>
                <w:rFonts w:eastAsia="Times New Roman" w:cstheme="minorHAnsi"/>
                <w:b/>
                <w:bCs/>
                <w:sz w:val="21"/>
                <w:szCs w:val="21"/>
                <w:lang w:val="en-GB"/>
              </w:rPr>
            </w:pPr>
            <w:r w:rsidRPr="00661DE7">
              <w:rPr>
                <w:rFonts w:eastAsia="Times New Roman" w:cstheme="minorHAnsi"/>
                <w:b/>
                <w:bCs/>
                <w:sz w:val="21"/>
                <w:szCs w:val="21"/>
                <w:lang w:val="en-GB"/>
              </w:rPr>
              <w:t>Practice</w:t>
            </w:r>
          </w:p>
          <w:p w14:paraId="6A2CA850" w14:textId="77777777" w:rsidR="005F5B61" w:rsidRPr="00661DE7" w:rsidRDefault="005F5B61" w:rsidP="00A1784D">
            <w:pPr>
              <w:rPr>
                <w:rFonts w:eastAsia="Times New Roman" w:cstheme="minorHAnsi"/>
                <w:b/>
                <w:bCs/>
                <w:sz w:val="21"/>
                <w:szCs w:val="21"/>
                <w:lang w:val="en-GB"/>
              </w:rPr>
            </w:pPr>
            <w:r w:rsidRPr="00661DE7">
              <w:rPr>
                <w:rFonts w:eastAsia="Times New Roman" w:cstheme="minorHAnsi"/>
                <w:b/>
                <w:bCs/>
                <w:sz w:val="21"/>
                <w:szCs w:val="21"/>
                <w:lang w:val="en-GB"/>
              </w:rPr>
              <w:t>Domain</w:t>
            </w:r>
          </w:p>
          <w:p w14:paraId="4E41F455" w14:textId="77777777" w:rsidR="005F5B61" w:rsidRPr="00661DE7" w:rsidRDefault="005F5B61" w:rsidP="00A1784D">
            <w:pPr>
              <w:rPr>
                <w:rFonts w:cstheme="minorHAnsi"/>
                <w:sz w:val="21"/>
                <w:szCs w:val="21"/>
              </w:rPr>
            </w:pPr>
          </w:p>
        </w:tc>
        <w:tc>
          <w:tcPr>
            <w:tcW w:w="5834" w:type="dxa"/>
            <w:shd w:val="clear" w:color="auto" w:fill="D0CECE" w:themeFill="background2" w:themeFillShade="E6"/>
          </w:tcPr>
          <w:p w14:paraId="5347309A" w14:textId="77777777" w:rsidR="005F5B61" w:rsidRPr="00661DE7" w:rsidRDefault="005F5B61" w:rsidP="00A1784D">
            <w:pPr>
              <w:rPr>
                <w:rFonts w:cstheme="minorHAnsi"/>
                <w:sz w:val="21"/>
                <w:szCs w:val="21"/>
              </w:rPr>
            </w:pPr>
            <w:r w:rsidRPr="00661DE7">
              <w:rPr>
                <w:rFonts w:eastAsia="Times New Roman" w:cstheme="minorHAnsi"/>
                <w:b/>
                <w:bCs/>
                <w:sz w:val="21"/>
                <w:szCs w:val="21"/>
                <w:lang w:val="en-GB"/>
              </w:rPr>
              <w:t>Policy Name and Purpose</w:t>
            </w:r>
          </w:p>
        </w:tc>
        <w:tc>
          <w:tcPr>
            <w:tcW w:w="2843" w:type="dxa"/>
            <w:shd w:val="clear" w:color="auto" w:fill="D0CECE" w:themeFill="background2" w:themeFillShade="E6"/>
          </w:tcPr>
          <w:p w14:paraId="6D2067F9" w14:textId="77777777" w:rsidR="005F5B61" w:rsidRPr="00661DE7" w:rsidRDefault="005F5B61" w:rsidP="00A1784D">
            <w:pPr>
              <w:rPr>
                <w:rFonts w:cstheme="minorHAnsi"/>
                <w:sz w:val="21"/>
                <w:szCs w:val="21"/>
              </w:rPr>
            </w:pPr>
            <w:r w:rsidRPr="00661DE7">
              <w:rPr>
                <w:rFonts w:eastAsia="Times New Roman" w:cstheme="minorHAnsi"/>
                <w:b/>
                <w:bCs/>
                <w:sz w:val="21"/>
                <w:szCs w:val="21"/>
                <w:lang w:val="en-GB"/>
              </w:rPr>
              <w:t xml:space="preserve">Relevance to Geelong, Corio, </w:t>
            </w:r>
            <w:proofErr w:type="spellStart"/>
            <w:r w:rsidRPr="00661DE7">
              <w:rPr>
                <w:rFonts w:eastAsia="Times New Roman" w:cstheme="minorHAnsi"/>
                <w:b/>
                <w:bCs/>
                <w:sz w:val="21"/>
                <w:szCs w:val="21"/>
                <w:lang w:val="en-GB"/>
              </w:rPr>
              <w:t>Norlane</w:t>
            </w:r>
            <w:proofErr w:type="spellEnd"/>
            <w:r w:rsidRPr="00661DE7">
              <w:rPr>
                <w:rFonts w:eastAsia="Times New Roman" w:cstheme="minorHAnsi"/>
                <w:b/>
                <w:bCs/>
                <w:sz w:val="21"/>
                <w:szCs w:val="21"/>
                <w:lang w:val="en-GB"/>
              </w:rPr>
              <w:t xml:space="preserve">, Whittington </w:t>
            </w:r>
          </w:p>
        </w:tc>
      </w:tr>
      <w:tr w:rsidR="005F5B61" w:rsidRPr="00C711E4" w14:paraId="51294953" w14:textId="77777777" w:rsidTr="007765F5">
        <w:trPr>
          <w:trHeight w:val="1917"/>
        </w:trPr>
        <w:tc>
          <w:tcPr>
            <w:tcW w:w="960" w:type="dxa"/>
            <w:vMerge w:val="restart"/>
          </w:tcPr>
          <w:p w14:paraId="64DAD5F8" w14:textId="2C06ED9A" w:rsidR="005F5B61" w:rsidRPr="007A72C4" w:rsidRDefault="005F5B61" w:rsidP="00A1784D">
            <w:pPr>
              <w:rPr>
                <w:rFonts w:cstheme="minorHAnsi"/>
              </w:rPr>
            </w:pPr>
          </w:p>
          <w:p w14:paraId="3A4F73D8" w14:textId="20D6015B" w:rsidR="005F5B61" w:rsidRPr="007A72C4" w:rsidRDefault="00A05406" w:rsidP="00A1784D">
            <w:pPr>
              <w:rPr>
                <w:rFonts w:cstheme="minorHAnsi"/>
              </w:rPr>
            </w:pPr>
            <w:r w:rsidRPr="00F46367">
              <w:rPr>
                <w:rFonts w:cstheme="minorHAnsi"/>
                <w:noProof/>
                <w:color w:val="2B579A"/>
                <w:shd w:val="clear" w:color="auto" w:fill="E6E6E6"/>
                <w:lang w:eastAsia="zh-CN"/>
              </w:rPr>
              <mc:AlternateContent>
                <mc:Choice Requires="wps">
                  <w:drawing>
                    <wp:anchor distT="45720" distB="45720" distL="114300" distR="114300" simplePos="0" relativeHeight="251659264" behindDoc="0" locked="0" layoutInCell="1" allowOverlap="1" wp14:anchorId="7E90A78F" wp14:editId="3C9A06C0">
                      <wp:simplePos x="0" y="0"/>
                      <wp:positionH relativeFrom="column">
                        <wp:posOffset>-304165</wp:posOffset>
                      </wp:positionH>
                      <wp:positionV relativeFrom="paragraph">
                        <wp:posOffset>1066800</wp:posOffset>
                      </wp:positionV>
                      <wp:extent cx="1099185" cy="309880"/>
                      <wp:effectExtent l="0" t="0" r="317"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99185" cy="309880"/>
                              </a:xfrm>
                              <a:prstGeom prst="rect">
                                <a:avLst/>
                              </a:prstGeom>
                              <a:noFill/>
                              <a:ln w="9525">
                                <a:noFill/>
                                <a:miter lim="800000"/>
                                <a:headEnd/>
                                <a:tailEnd/>
                              </a:ln>
                            </wps:spPr>
                            <wps:txbx>
                              <w:txbxContent>
                                <w:p w14:paraId="3FE448F0" w14:textId="05A82EC4" w:rsidR="005F5B61" w:rsidRPr="004200CF" w:rsidRDefault="005F5B61" w:rsidP="005F5B61">
                                  <w:pPr>
                                    <w:jc w:val="right"/>
                                    <w:rPr>
                                      <w:b/>
                                      <w:bCs/>
                                      <w:color w:val="595959" w:themeColor="text1" w:themeTint="A6"/>
                                    </w:rPr>
                                  </w:pPr>
                                  <w:r>
                                    <w:rPr>
                                      <w:b/>
                                      <w:bCs/>
                                      <w:color w:val="595959" w:themeColor="text1" w:themeTint="A6"/>
                                    </w:rPr>
                                    <w:t>International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0A78F" id="_x0000_t202" coordsize="21600,21600" o:spt="202" path="m,l,21600r21600,l21600,xe">
                      <v:stroke joinstyle="miter"/>
                      <v:path gradientshapeok="t" o:connecttype="rect"/>
                    </v:shapetype>
                    <v:shape id="Text Box 2" o:spid="_x0000_s1026" type="#_x0000_t202" style="position:absolute;margin-left:-23.95pt;margin-top:84pt;width:86.55pt;height:24.4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" filled="f" stroked="f">
                      <v:textbox>
                        <w:txbxContent>
                          <w:p w14:paraId="3FE448F0" w14:textId="05A82EC4" w:rsidR="005F5B61" w:rsidRPr="004200CF" w:rsidRDefault="005F5B61" w:rsidP="005F5B61">
                            <w:pPr>
                              <w:jc w:val="right"/>
                              <w:rPr>
                                <w:b/>
                                <w:bCs/>
                                <w:color w:val="595959" w:themeColor="text1" w:themeTint="A6"/>
                              </w:rPr>
                            </w:pPr>
                            <w:r>
                              <w:rPr>
                                <w:b/>
                                <w:bCs/>
                                <w:color w:val="595959" w:themeColor="text1" w:themeTint="A6"/>
                              </w:rPr>
                              <w:t>International</w:t>
                            </w:r>
                          </w:p>
                        </w:txbxContent>
                      </v:textbox>
                      <w10:wrap type="square"/>
                    </v:shape>
                  </w:pict>
                </mc:Fallback>
              </mc:AlternateContent>
            </w:r>
          </w:p>
        </w:tc>
        <w:tc>
          <w:tcPr>
            <w:tcW w:w="5834" w:type="dxa"/>
          </w:tcPr>
          <w:p w14:paraId="6DBC8FC4" w14:textId="3B82CD72" w:rsidR="00A05406" w:rsidRPr="00C711E4" w:rsidRDefault="00C8131A" w:rsidP="00E31FDC">
            <w:pPr>
              <w:rPr>
                <w:rFonts w:asciiTheme="majorHAnsi" w:hAnsiTheme="majorHAnsi" w:cstheme="majorHAnsi"/>
                <w:sz w:val="21"/>
                <w:szCs w:val="21"/>
              </w:rPr>
            </w:pPr>
            <w:hyperlink r:id="rId9" w:anchor="page9">
              <w:r w:rsidR="005F5B61" w:rsidRPr="00C711E4">
                <w:rPr>
                  <w:rStyle w:val="Hyperlink"/>
                  <w:rFonts w:asciiTheme="majorHAnsi" w:eastAsia="Times New Roman" w:hAnsiTheme="majorHAnsi" w:cstheme="majorHAnsi"/>
                  <w:b/>
                  <w:bCs/>
                  <w:sz w:val="21"/>
                  <w:szCs w:val="21"/>
                  <w:lang w:val="en-GB"/>
                </w:rPr>
                <w:t>Leveraging Megatrends for Cities and Rural Areas</w:t>
              </w:r>
            </w:hyperlink>
            <w:r w:rsidR="005F5B61" w:rsidRPr="00C711E4">
              <w:rPr>
                <w:rFonts w:asciiTheme="majorHAnsi" w:eastAsia="Times New Roman" w:hAnsiTheme="majorHAnsi" w:cstheme="majorHAnsi"/>
                <w:b/>
                <w:bCs/>
                <w:sz w:val="21"/>
                <w:szCs w:val="21"/>
                <w:lang w:val="en-GB"/>
              </w:rPr>
              <w:t xml:space="preserve"> (OECD)</w:t>
            </w:r>
            <w:r w:rsidR="005F5B61" w:rsidRPr="00C711E4">
              <w:rPr>
                <w:rFonts w:asciiTheme="majorHAnsi" w:hAnsiTheme="majorHAnsi" w:cstheme="majorHAnsi"/>
                <w:sz w:val="21"/>
                <w:szCs w:val="21"/>
              </w:rPr>
              <w:t xml:space="preserve">: </w:t>
            </w:r>
            <w:r w:rsidR="005F5B61" w:rsidRPr="00C711E4">
              <w:rPr>
                <w:rFonts w:asciiTheme="majorHAnsi" w:eastAsia="Times New Roman" w:hAnsiTheme="majorHAnsi" w:cstheme="majorHAnsi"/>
                <w:sz w:val="21"/>
                <w:szCs w:val="21"/>
                <w:lang w:val="en-GB"/>
              </w:rPr>
              <w:t xml:space="preserve">Identifies regional megatrends in cities and rural communities around the world. Advocates for place-based policies to address weak economic growth and “public discontent”. Notes three global megatrends: digitalisation, automation, and technological changes; demographic changes (urbanisation, ageing, migration); and climate change and resource scarcity. </w:t>
            </w:r>
          </w:p>
        </w:tc>
        <w:tc>
          <w:tcPr>
            <w:tcW w:w="2843" w:type="dxa"/>
          </w:tcPr>
          <w:p w14:paraId="75E4449E" w14:textId="77777777" w:rsidR="005F5B61" w:rsidRPr="00C711E4" w:rsidRDefault="005F5B61" w:rsidP="00A1784D">
            <w:pPr>
              <w:rPr>
                <w:rFonts w:asciiTheme="majorHAnsi" w:hAnsiTheme="majorHAnsi" w:cstheme="majorHAnsi"/>
                <w:sz w:val="21"/>
                <w:szCs w:val="21"/>
              </w:rPr>
            </w:pPr>
            <w:r w:rsidRPr="00C711E4">
              <w:rPr>
                <w:rFonts w:asciiTheme="majorHAnsi" w:eastAsia="Times New Roman" w:hAnsiTheme="majorHAnsi" w:cstheme="majorHAnsi"/>
                <w:sz w:val="21"/>
                <w:szCs w:val="21"/>
                <w:lang w:val="en-GB"/>
              </w:rPr>
              <w:t xml:space="preserve">Discusses some of the issues experienced locally from a global perspective. </w:t>
            </w:r>
          </w:p>
        </w:tc>
      </w:tr>
      <w:tr w:rsidR="005F5B61" w:rsidRPr="00C711E4" w14:paraId="195DB013" w14:textId="77777777" w:rsidTr="007765F5">
        <w:trPr>
          <w:trHeight w:val="860"/>
        </w:trPr>
        <w:tc>
          <w:tcPr>
            <w:tcW w:w="960" w:type="dxa"/>
            <w:vMerge/>
          </w:tcPr>
          <w:p w14:paraId="37EECC98" w14:textId="77777777" w:rsidR="005F5B61" w:rsidRPr="007A72C4" w:rsidRDefault="005F5B61" w:rsidP="00A1784D">
            <w:pPr>
              <w:rPr>
                <w:rFonts w:cstheme="minorHAnsi"/>
              </w:rPr>
            </w:pPr>
          </w:p>
        </w:tc>
        <w:tc>
          <w:tcPr>
            <w:tcW w:w="5834" w:type="dxa"/>
          </w:tcPr>
          <w:p w14:paraId="5F2BBC15" w14:textId="77777777" w:rsidR="005F5B61" w:rsidRPr="00C711E4" w:rsidRDefault="00C8131A" w:rsidP="00A1784D">
            <w:pPr>
              <w:rPr>
                <w:rFonts w:asciiTheme="majorHAnsi" w:eastAsia="Times New Roman" w:hAnsiTheme="majorHAnsi" w:cstheme="majorHAnsi"/>
                <w:b/>
                <w:bCs/>
                <w:sz w:val="21"/>
                <w:szCs w:val="21"/>
              </w:rPr>
            </w:pPr>
            <w:hyperlink r:id="rId10">
              <w:r w:rsidR="005F5B61" w:rsidRPr="00C711E4">
                <w:rPr>
                  <w:rStyle w:val="Hyperlink"/>
                  <w:rFonts w:asciiTheme="majorHAnsi" w:eastAsia="Times New Roman" w:hAnsiTheme="majorHAnsi" w:cstheme="majorHAnsi"/>
                  <w:b/>
                  <w:bCs/>
                  <w:sz w:val="21"/>
                  <w:szCs w:val="21"/>
                </w:rPr>
                <w:t>New Urban Agenda and National Urban Policy</w:t>
              </w:r>
            </w:hyperlink>
            <w:r w:rsidR="005F5B61" w:rsidRPr="00C711E4">
              <w:rPr>
                <w:rStyle w:val="Hyperlink"/>
                <w:rFonts w:asciiTheme="majorHAnsi" w:eastAsia="Times New Roman" w:hAnsiTheme="majorHAnsi" w:cstheme="majorHAnsi"/>
                <w:b/>
                <w:bCs/>
                <w:sz w:val="21"/>
                <w:szCs w:val="21"/>
              </w:rPr>
              <w:t xml:space="preserve"> (UN): </w:t>
            </w:r>
            <w:r w:rsidR="005F5B61" w:rsidRPr="00C711E4">
              <w:rPr>
                <w:rFonts w:asciiTheme="majorHAnsi" w:eastAsia="Times New Roman" w:hAnsiTheme="majorHAnsi" w:cstheme="majorHAnsi"/>
                <w:sz w:val="21"/>
                <w:szCs w:val="21"/>
              </w:rPr>
              <w:t xml:space="preserve">Endorsed by Australian government in 2016, but rarely realised as responsibility rests with local authorities. </w:t>
            </w:r>
          </w:p>
        </w:tc>
        <w:tc>
          <w:tcPr>
            <w:tcW w:w="2843" w:type="dxa"/>
          </w:tcPr>
          <w:p w14:paraId="2BDB5BCE" w14:textId="77777777" w:rsidR="005F5B61" w:rsidRPr="00C711E4" w:rsidRDefault="005F5B61" w:rsidP="00A1784D">
            <w:pPr>
              <w:rPr>
                <w:rFonts w:asciiTheme="majorHAnsi" w:hAnsiTheme="majorHAnsi" w:cstheme="majorHAnsi"/>
                <w:sz w:val="21"/>
                <w:szCs w:val="21"/>
              </w:rPr>
            </w:pPr>
            <w:r w:rsidRPr="00C711E4">
              <w:rPr>
                <w:rFonts w:asciiTheme="majorHAnsi" w:eastAsia="Times New Roman" w:hAnsiTheme="majorHAnsi" w:cstheme="majorHAnsi"/>
                <w:sz w:val="21"/>
                <w:szCs w:val="21"/>
                <w:lang w:val="en-GB"/>
              </w:rPr>
              <w:t xml:space="preserve">Discusses some of the issues experienced locally from a global perspective. </w:t>
            </w:r>
          </w:p>
        </w:tc>
      </w:tr>
      <w:tr w:rsidR="005F5B61" w:rsidRPr="00C711E4" w14:paraId="469288A3" w14:textId="77777777" w:rsidTr="007765F5">
        <w:trPr>
          <w:trHeight w:val="981"/>
        </w:trPr>
        <w:tc>
          <w:tcPr>
            <w:tcW w:w="960" w:type="dxa"/>
            <w:vMerge/>
          </w:tcPr>
          <w:p w14:paraId="3A389242" w14:textId="77777777" w:rsidR="005F5B61" w:rsidRPr="007A72C4" w:rsidRDefault="005F5B61" w:rsidP="00A1784D">
            <w:pPr>
              <w:rPr>
                <w:rFonts w:cstheme="minorHAnsi"/>
              </w:rPr>
            </w:pPr>
          </w:p>
        </w:tc>
        <w:tc>
          <w:tcPr>
            <w:tcW w:w="5834" w:type="dxa"/>
          </w:tcPr>
          <w:p w14:paraId="39B19A1C" w14:textId="5D641803" w:rsidR="005F5B61" w:rsidRPr="00C711E4" w:rsidRDefault="00C8131A" w:rsidP="00A1784D">
            <w:pPr>
              <w:rPr>
                <w:rFonts w:asciiTheme="majorHAnsi" w:hAnsiTheme="majorHAnsi" w:cstheme="majorHAnsi"/>
                <w:sz w:val="21"/>
                <w:szCs w:val="21"/>
              </w:rPr>
            </w:pPr>
            <w:hyperlink r:id="rId11">
              <w:r w:rsidR="005F5B61" w:rsidRPr="00C711E4">
                <w:rPr>
                  <w:rStyle w:val="Hyperlink"/>
                  <w:rFonts w:asciiTheme="majorHAnsi" w:eastAsia="Times New Roman" w:hAnsiTheme="majorHAnsi" w:cstheme="majorHAnsi"/>
                  <w:b/>
                  <w:bCs/>
                  <w:sz w:val="21"/>
                  <w:szCs w:val="21"/>
                </w:rPr>
                <w:t>Triple Helix Model of university</w:t>
              </w:r>
              <w:r w:rsidR="005F5B61">
                <w:rPr>
                  <w:rStyle w:val="Hyperlink"/>
                  <w:rFonts w:asciiTheme="majorHAnsi" w:eastAsia="Times New Roman" w:hAnsiTheme="majorHAnsi" w:cstheme="majorHAnsi"/>
                  <w:b/>
                  <w:bCs/>
                  <w:sz w:val="21"/>
                  <w:szCs w:val="21"/>
                </w:rPr>
                <w:t>–</w:t>
              </w:r>
              <w:r w:rsidR="005F5B61" w:rsidRPr="00C711E4">
                <w:rPr>
                  <w:rStyle w:val="Hyperlink"/>
                  <w:rFonts w:asciiTheme="majorHAnsi" w:eastAsia="Times New Roman" w:hAnsiTheme="majorHAnsi" w:cstheme="majorHAnsi"/>
                  <w:b/>
                  <w:bCs/>
                  <w:sz w:val="21"/>
                  <w:szCs w:val="21"/>
                </w:rPr>
                <w:t>industry</w:t>
              </w:r>
              <w:r w:rsidR="005F5B61">
                <w:rPr>
                  <w:rStyle w:val="Hyperlink"/>
                  <w:rFonts w:asciiTheme="majorHAnsi" w:eastAsia="Times New Roman" w:hAnsiTheme="majorHAnsi" w:cstheme="majorHAnsi"/>
                  <w:b/>
                  <w:bCs/>
                  <w:sz w:val="21"/>
                  <w:szCs w:val="21"/>
                </w:rPr>
                <w:t>–</w:t>
              </w:r>
              <w:r w:rsidR="005F5B61" w:rsidRPr="00C711E4">
                <w:rPr>
                  <w:rStyle w:val="Hyperlink"/>
                  <w:rFonts w:asciiTheme="majorHAnsi" w:eastAsia="Times New Roman" w:hAnsiTheme="majorHAnsi" w:cstheme="majorHAnsi"/>
                  <w:b/>
                  <w:bCs/>
                  <w:sz w:val="21"/>
                  <w:szCs w:val="21"/>
                </w:rPr>
                <w:t>government relations</w:t>
              </w:r>
            </w:hyperlink>
            <w:r w:rsidR="005F5B61" w:rsidRPr="00C711E4">
              <w:rPr>
                <w:rFonts w:asciiTheme="majorHAnsi" w:hAnsiTheme="majorHAnsi" w:cstheme="majorHAnsi"/>
                <w:sz w:val="21"/>
                <w:szCs w:val="21"/>
              </w:rPr>
              <w:t xml:space="preserve">: </w:t>
            </w:r>
            <w:r w:rsidR="005F5B61" w:rsidRPr="00C711E4">
              <w:rPr>
                <w:rFonts w:asciiTheme="majorHAnsi" w:eastAsia="Times New Roman" w:hAnsiTheme="majorHAnsi" w:cstheme="majorHAnsi"/>
                <w:sz w:val="21"/>
                <w:szCs w:val="21"/>
                <w:lang w:val="en-GB"/>
              </w:rPr>
              <w:t>An analytical model that describes how institutional arrangements and policy models work together dynamically. Particularly focused on innovation but also relevant to community development. Used in a range of international settings.</w:t>
            </w:r>
          </w:p>
        </w:tc>
        <w:tc>
          <w:tcPr>
            <w:tcW w:w="2843" w:type="dxa"/>
          </w:tcPr>
          <w:p w14:paraId="6D71ECB3" w14:textId="77777777" w:rsidR="005F5B61" w:rsidRPr="00C711E4" w:rsidRDefault="005F5B61" w:rsidP="00A1784D">
            <w:pPr>
              <w:rPr>
                <w:rFonts w:asciiTheme="majorHAnsi" w:hAnsiTheme="majorHAnsi" w:cstheme="majorHAnsi"/>
                <w:sz w:val="21"/>
                <w:szCs w:val="21"/>
              </w:rPr>
            </w:pPr>
            <w:r w:rsidRPr="00C711E4">
              <w:rPr>
                <w:rFonts w:asciiTheme="majorHAnsi" w:eastAsia="Times New Roman" w:hAnsiTheme="majorHAnsi" w:cstheme="majorHAnsi"/>
                <w:sz w:val="21"/>
                <w:szCs w:val="21"/>
                <w:lang w:val="en-GB"/>
              </w:rPr>
              <w:t xml:space="preserve"> </w:t>
            </w:r>
          </w:p>
        </w:tc>
      </w:tr>
      <w:tr w:rsidR="005F5B61" w:rsidRPr="003364BB" w14:paraId="3732F759" w14:textId="77777777" w:rsidTr="00A05406">
        <w:tc>
          <w:tcPr>
            <w:tcW w:w="960" w:type="dxa"/>
          </w:tcPr>
          <w:p w14:paraId="458AD33B" w14:textId="4F38BD00" w:rsidR="005F5B61" w:rsidRDefault="005F5B61" w:rsidP="00A1784D">
            <w:pPr>
              <w:rPr>
                <w:rFonts w:asciiTheme="majorHAnsi" w:hAnsiTheme="majorHAnsi" w:cstheme="majorHAnsi"/>
                <w:sz w:val="21"/>
                <w:szCs w:val="21"/>
              </w:rPr>
            </w:pPr>
          </w:p>
          <w:p w14:paraId="79D664B5" w14:textId="678DFA2B" w:rsidR="005F5B61" w:rsidRDefault="005F5B61" w:rsidP="00A1784D">
            <w:pPr>
              <w:rPr>
                <w:rFonts w:asciiTheme="majorHAnsi" w:hAnsiTheme="majorHAnsi" w:cstheme="majorHAnsi"/>
                <w:sz w:val="21"/>
                <w:szCs w:val="21"/>
              </w:rPr>
            </w:pPr>
          </w:p>
          <w:p w14:paraId="30E271A2" w14:textId="03826AFC" w:rsidR="005F5B61" w:rsidRDefault="005F5B61" w:rsidP="00A1784D">
            <w:pPr>
              <w:rPr>
                <w:rFonts w:asciiTheme="majorHAnsi" w:hAnsiTheme="majorHAnsi" w:cstheme="majorHAnsi"/>
                <w:sz w:val="21"/>
                <w:szCs w:val="21"/>
              </w:rPr>
            </w:pPr>
          </w:p>
          <w:p w14:paraId="7A2E33AE" w14:textId="77777777" w:rsidR="005F5B61" w:rsidRDefault="005F5B61" w:rsidP="00A1784D">
            <w:pPr>
              <w:rPr>
                <w:rFonts w:asciiTheme="majorHAnsi" w:hAnsiTheme="majorHAnsi" w:cstheme="majorHAnsi"/>
                <w:sz w:val="21"/>
                <w:szCs w:val="21"/>
              </w:rPr>
            </w:pPr>
          </w:p>
          <w:p w14:paraId="5981A6A0" w14:textId="77777777" w:rsidR="005F5B61" w:rsidRDefault="005F5B61" w:rsidP="00A1784D">
            <w:pPr>
              <w:rPr>
                <w:rFonts w:asciiTheme="majorHAnsi" w:hAnsiTheme="majorHAnsi" w:cstheme="majorHAnsi"/>
                <w:sz w:val="21"/>
                <w:szCs w:val="21"/>
              </w:rPr>
            </w:pPr>
          </w:p>
          <w:p w14:paraId="5DE2313F" w14:textId="77777777" w:rsidR="005F5B61" w:rsidRDefault="005F5B61" w:rsidP="00A1784D">
            <w:pPr>
              <w:rPr>
                <w:rFonts w:asciiTheme="majorHAnsi" w:hAnsiTheme="majorHAnsi" w:cstheme="majorHAnsi"/>
                <w:sz w:val="21"/>
                <w:szCs w:val="21"/>
              </w:rPr>
            </w:pPr>
          </w:p>
          <w:p w14:paraId="49883805" w14:textId="77777777" w:rsidR="005F5B61" w:rsidRDefault="005F5B61" w:rsidP="00A1784D">
            <w:pPr>
              <w:rPr>
                <w:rFonts w:asciiTheme="majorHAnsi" w:hAnsiTheme="majorHAnsi" w:cstheme="majorHAnsi"/>
                <w:sz w:val="21"/>
                <w:szCs w:val="21"/>
              </w:rPr>
            </w:pPr>
          </w:p>
          <w:p w14:paraId="09D9F482" w14:textId="77777777" w:rsidR="005F5B61" w:rsidRDefault="005F5B61" w:rsidP="00A1784D">
            <w:pPr>
              <w:rPr>
                <w:rFonts w:asciiTheme="majorHAnsi" w:hAnsiTheme="majorHAnsi" w:cstheme="majorHAnsi"/>
                <w:sz w:val="21"/>
                <w:szCs w:val="21"/>
              </w:rPr>
            </w:pPr>
          </w:p>
          <w:p w14:paraId="0985C6CB" w14:textId="77777777" w:rsidR="005F5B61" w:rsidRDefault="005F5B61" w:rsidP="00A1784D">
            <w:pPr>
              <w:rPr>
                <w:rFonts w:asciiTheme="majorHAnsi" w:hAnsiTheme="majorHAnsi" w:cstheme="majorHAnsi"/>
                <w:sz w:val="21"/>
                <w:szCs w:val="21"/>
              </w:rPr>
            </w:pPr>
          </w:p>
          <w:p w14:paraId="6C28099F" w14:textId="77777777" w:rsidR="005F5B61" w:rsidRDefault="005F5B61" w:rsidP="00A1784D">
            <w:pPr>
              <w:rPr>
                <w:rFonts w:asciiTheme="majorHAnsi" w:hAnsiTheme="majorHAnsi" w:cstheme="majorHAnsi"/>
                <w:sz w:val="21"/>
                <w:szCs w:val="21"/>
              </w:rPr>
            </w:pPr>
          </w:p>
          <w:p w14:paraId="57061B96" w14:textId="77777777" w:rsidR="005F5B61" w:rsidRDefault="005F5B61" w:rsidP="00A1784D">
            <w:pPr>
              <w:rPr>
                <w:rFonts w:asciiTheme="majorHAnsi" w:hAnsiTheme="majorHAnsi" w:cstheme="majorHAnsi"/>
                <w:sz w:val="21"/>
                <w:szCs w:val="21"/>
              </w:rPr>
            </w:pPr>
          </w:p>
          <w:p w14:paraId="205D2907" w14:textId="77777777" w:rsidR="005F5B61" w:rsidRDefault="005F5B61" w:rsidP="00A1784D">
            <w:pPr>
              <w:rPr>
                <w:rFonts w:asciiTheme="majorHAnsi" w:hAnsiTheme="majorHAnsi" w:cstheme="majorHAnsi"/>
                <w:sz w:val="21"/>
                <w:szCs w:val="21"/>
              </w:rPr>
            </w:pPr>
          </w:p>
          <w:p w14:paraId="30FBBBB9" w14:textId="77777777" w:rsidR="005F5B61" w:rsidRDefault="005F5B61" w:rsidP="00A1784D">
            <w:pPr>
              <w:rPr>
                <w:rFonts w:asciiTheme="majorHAnsi" w:hAnsiTheme="majorHAnsi" w:cstheme="majorHAnsi"/>
                <w:sz w:val="21"/>
                <w:szCs w:val="21"/>
              </w:rPr>
            </w:pPr>
          </w:p>
          <w:p w14:paraId="445D7B4D" w14:textId="77777777" w:rsidR="005F5B61" w:rsidRDefault="005F5B61" w:rsidP="00A1784D">
            <w:pPr>
              <w:rPr>
                <w:rFonts w:asciiTheme="majorHAnsi" w:hAnsiTheme="majorHAnsi" w:cstheme="majorHAnsi"/>
                <w:sz w:val="21"/>
                <w:szCs w:val="21"/>
              </w:rPr>
            </w:pPr>
          </w:p>
          <w:p w14:paraId="515023AB" w14:textId="512395B4" w:rsidR="005F5B61" w:rsidRPr="00C711E4" w:rsidRDefault="005F5B61" w:rsidP="00A1784D">
            <w:pPr>
              <w:rPr>
                <w:rFonts w:asciiTheme="majorHAnsi" w:hAnsiTheme="majorHAnsi" w:cstheme="majorHAnsi"/>
                <w:sz w:val="21"/>
                <w:szCs w:val="21"/>
              </w:rPr>
            </w:pPr>
            <w:r w:rsidRPr="00C711E4">
              <w:rPr>
                <w:rFonts w:asciiTheme="majorHAnsi" w:hAnsiTheme="majorHAnsi" w:cstheme="majorHAnsi"/>
                <w:noProof/>
                <w:color w:val="2B579A"/>
                <w:sz w:val="21"/>
                <w:szCs w:val="21"/>
                <w:shd w:val="clear" w:color="auto" w:fill="E6E6E6"/>
                <w:lang w:eastAsia="zh-CN"/>
              </w:rPr>
              <mc:AlternateContent>
                <mc:Choice Requires="wps">
                  <w:drawing>
                    <wp:anchor distT="45720" distB="45720" distL="114300" distR="114300" simplePos="0" relativeHeight="251668480" behindDoc="0" locked="0" layoutInCell="1" allowOverlap="1" wp14:anchorId="5D32F846" wp14:editId="2670E93F">
                      <wp:simplePos x="0" y="0"/>
                      <wp:positionH relativeFrom="column">
                        <wp:posOffset>-461645</wp:posOffset>
                      </wp:positionH>
                      <wp:positionV relativeFrom="paragraph">
                        <wp:posOffset>1798320</wp:posOffset>
                      </wp:positionV>
                      <wp:extent cx="1465580" cy="3416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65580" cy="341630"/>
                              </a:xfrm>
                              <a:prstGeom prst="rect">
                                <a:avLst/>
                              </a:prstGeom>
                              <a:noFill/>
                              <a:ln w="9525">
                                <a:noFill/>
                                <a:miter lim="800000"/>
                                <a:headEnd/>
                                <a:tailEnd/>
                              </a:ln>
                            </wps:spPr>
                            <wps:txbx>
                              <w:txbxContent>
                                <w:p w14:paraId="0BE0FBAB" w14:textId="77777777" w:rsidR="005F5B61" w:rsidRPr="004200CF" w:rsidRDefault="005F5B61" w:rsidP="00A05406">
                                  <w:pPr>
                                    <w:jc w:val="center"/>
                                    <w:rPr>
                                      <w:b/>
                                      <w:bCs/>
                                      <w:color w:val="595959" w:themeColor="text1" w:themeTint="A6"/>
                                    </w:rPr>
                                  </w:pPr>
                                  <w:r>
                                    <w:rPr>
                                      <w:b/>
                                      <w:bCs/>
                                      <w:color w:val="595959" w:themeColor="text1" w:themeTint="A6"/>
                                    </w:rPr>
                                    <w:t>National 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2F846" id="_x0000_s1027" type="#_x0000_t202" style="position:absolute;margin-left:-36.35pt;margin-top:141.6pt;width:115.4pt;height:26.9pt;rotation:-90;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" filled="f" stroked="f">
                      <v:textbox>
                        <w:txbxContent>
                          <w:p w14:paraId="0BE0FBAB" w14:textId="77777777" w:rsidR="005F5B61" w:rsidRPr="004200CF" w:rsidRDefault="005F5B61" w:rsidP="00A05406">
                            <w:pPr>
                              <w:jc w:val="center"/>
                              <w:rPr>
                                <w:b/>
                                <w:bCs/>
                                <w:color w:val="595959" w:themeColor="text1" w:themeTint="A6"/>
                              </w:rPr>
                            </w:pPr>
                            <w:r>
                              <w:rPr>
                                <w:b/>
                                <w:bCs/>
                                <w:color w:val="595959" w:themeColor="text1" w:themeTint="A6"/>
                              </w:rPr>
                              <w:t>National Context</w:t>
                            </w:r>
                          </w:p>
                        </w:txbxContent>
                      </v:textbox>
                      <w10:wrap type="square"/>
                    </v:shape>
                  </w:pict>
                </mc:Fallback>
              </mc:AlternateContent>
            </w:r>
          </w:p>
        </w:tc>
        <w:tc>
          <w:tcPr>
            <w:tcW w:w="5834" w:type="dxa"/>
          </w:tcPr>
          <w:p w14:paraId="0A754A24" w14:textId="77777777" w:rsidR="005F5B61" w:rsidRPr="0094479E" w:rsidRDefault="005F5B61" w:rsidP="00A1784D">
            <w:pPr>
              <w:rPr>
                <w:rFonts w:asciiTheme="majorHAnsi" w:hAnsiTheme="majorHAnsi" w:cstheme="majorHAnsi"/>
                <w:sz w:val="21"/>
                <w:szCs w:val="21"/>
              </w:rPr>
            </w:pPr>
            <w:r w:rsidRPr="003364BB">
              <w:rPr>
                <w:rFonts w:asciiTheme="majorHAnsi" w:eastAsia="Times New Roman" w:hAnsiTheme="majorHAnsi" w:cstheme="majorHAnsi"/>
                <w:b/>
                <w:bCs/>
                <w:sz w:val="21"/>
                <w:szCs w:val="21"/>
              </w:rPr>
              <w:t>Smarter Schools National Partnership for Low Socioeconomic Status School Communities (2008–2009, 2014–2015)</w:t>
            </w:r>
            <w:r w:rsidRPr="003364BB">
              <w:rPr>
                <w:rFonts w:asciiTheme="majorHAnsi" w:eastAsia="Times New Roman" w:hAnsiTheme="majorHAnsi" w:cstheme="majorHAnsi"/>
                <w:sz w:val="21"/>
                <w:szCs w:val="21"/>
              </w:rPr>
              <w:t xml:space="preserve"> was a comprehensive strategy focused on the learning and wellbeing of disadvantaged students to support transition to further education, work, and community participation. </w:t>
            </w:r>
            <w:r>
              <w:rPr>
                <w:rFonts w:asciiTheme="majorHAnsi" w:eastAsia="Times New Roman" w:hAnsiTheme="majorHAnsi" w:cstheme="majorHAnsi"/>
                <w:sz w:val="21"/>
                <w:szCs w:val="21"/>
              </w:rPr>
              <w:t xml:space="preserve">It </w:t>
            </w:r>
            <w:r w:rsidRPr="003364BB">
              <w:rPr>
                <w:rFonts w:asciiTheme="majorHAnsi" w:eastAsia="Times New Roman" w:hAnsiTheme="majorHAnsi" w:cstheme="majorHAnsi"/>
                <w:sz w:val="21"/>
                <w:szCs w:val="21"/>
              </w:rPr>
              <w:t xml:space="preserve">distributed about $1.5 billion to over 1700 schools in </w:t>
            </w:r>
            <w:r>
              <w:rPr>
                <w:rFonts w:asciiTheme="majorHAnsi" w:eastAsia="Times New Roman" w:hAnsiTheme="majorHAnsi" w:cstheme="majorHAnsi"/>
                <w:sz w:val="21"/>
                <w:szCs w:val="21"/>
              </w:rPr>
              <w:t>disadvantaged communities</w:t>
            </w:r>
            <w:r w:rsidRPr="003364BB">
              <w:rPr>
                <w:rFonts w:asciiTheme="majorHAnsi" w:eastAsia="Times New Roman" w:hAnsiTheme="majorHAnsi" w:cstheme="majorHAnsi"/>
                <w:sz w:val="21"/>
                <w:szCs w:val="21"/>
              </w:rPr>
              <w:t xml:space="preserve">, with extra funding </w:t>
            </w:r>
            <w:r>
              <w:rPr>
                <w:rFonts w:asciiTheme="majorHAnsi" w:eastAsia="Times New Roman" w:hAnsiTheme="majorHAnsi" w:cstheme="majorHAnsi"/>
                <w:sz w:val="21"/>
                <w:szCs w:val="21"/>
              </w:rPr>
              <w:t>from</w:t>
            </w:r>
            <w:r w:rsidRPr="003364BB">
              <w:rPr>
                <w:rFonts w:asciiTheme="majorHAnsi" w:eastAsia="Times New Roman" w:hAnsiTheme="majorHAnsi" w:cstheme="majorHAnsi"/>
                <w:sz w:val="21"/>
                <w:szCs w:val="21"/>
              </w:rPr>
              <w:t xml:space="preserve"> states and territories. One evaluation found </w:t>
            </w:r>
            <w:r>
              <w:rPr>
                <w:rFonts w:asciiTheme="majorHAnsi" w:eastAsia="Times New Roman" w:hAnsiTheme="majorHAnsi" w:cstheme="majorHAnsi"/>
                <w:sz w:val="21"/>
                <w:szCs w:val="21"/>
              </w:rPr>
              <w:t xml:space="preserve">mixed </w:t>
            </w:r>
            <w:r w:rsidRPr="003364BB">
              <w:rPr>
                <w:rFonts w:asciiTheme="majorHAnsi" w:eastAsia="Times New Roman" w:hAnsiTheme="majorHAnsi" w:cstheme="majorHAnsi"/>
                <w:sz w:val="21"/>
                <w:szCs w:val="21"/>
              </w:rPr>
              <w:t xml:space="preserve">results (“hit and miss”), with funding levels too low </w:t>
            </w:r>
            <w:r>
              <w:rPr>
                <w:rFonts w:asciiTheme="majorHAnsi" w:eastAsia="Times New Roman" w:hAnsiTheme="majorHAnsi" w:cstheme="majorHAnsi"/>
                <w:sz w:val="21"/>
                <w:szCs w:val="21"/>
              </w:rPr>
              <w:t>for</w:t>
            </w:r>
            <w:r w:rsidRPr="003364BB">
              <w:rPr>
                <w:rFonts w:asciiTheme="majorHAnsi" w:eastAsia="Times New Roman" w:hAnsiTheme="majorHAnsi" w:cstheme="majorHAnsi"/>
                <w:sz w:val="21"/>
                <w:szCs w:val="21"/>
              </w:rPr>
              <w:t xml:space="preserve"> real impact and many deserving schools missing out.</w:t>
            </w:r>
          </w:p>
          <w:p w14:paraId="50A9F396" w14:textId="77777777" w:rsidR="005F5B61" w:rsidRPr="0094479E" w:rsidRDefault="005F5B61" w:rsidP="00A1784D">
            <w:pPr>
              <w:rPr>
                <w:rFonts w:asciiTheme="majorHAnsi" w:hAnsiTheme="majorHAnsi" w:cstheme="majorHAnsi"/>
                <w:sz w:val="21"/>
                <w:szCs w:val="21"/>
              </w:rPr>
            </w:pPr>
            <w:r w:rsidRPr="003364BB">
              <w:rPr>
                <w:rFonts w:asciiTheme="majorHAnsi" w:eastAsia="Times New Roman" w:hAnsiTheme="majorHAnsi" w:cstheme="majorHAnsi"/>
                <w:b/>
                <w:bCs/>
                <w:sz w:val="21"/>
                <w:szCs w:val="21"/>
              </w:rPr>
              <w:t>National Partnership on Youth Attainment and Transitions (2009)</w:t>
            </w:r>
            <w:r w:rsidRPr="003364BB">
              <w:rPr>
                <w:rFonts w:asciiTheme="majorHAnsi" w:eastAsia="Times New Roman" w:hAnsiTheme="majorHAnsi" w:cstheme="majorHAnsi"/>
                <w:sz w:val="21"/>
                <w:szCs w:val="21"/>
              </w:rPr>
              <w:t xml:space="preserve"> aims to retain young people in education, and improve their transition to further education, training, or employment to align with the Council of Australian Governments’ goal of a 90% upper secondary (Year 12 equivalent) attainment rate by 2015. It clarified actors’ responsibilities to achieve targets and provides funding to programs related to student engagement, attainment, and transition. Evaluated in 2014, it showed some limited success, but confirmed the need to keep young people at school rather than wait until they disengage to launch support programs.</w:t>
            </w:r>
          </w:p>
          <w:p w14:paraId="22F2974A" w14:textId="77777777" w:rsidR="005F5B61" w:rsidRPr="0094479E" w:rsidRDefault="005F5B61" w:rsidP="00A1784D">
            <w:pPr>
              <w:rPr>
                <w:rFonts w:asciiTheme="majorHAnsi" w:hAnsiTheme="majorHAnsi" w:cstheme="majorHAnsi"/>
                <w:sz w:val="21"/>
                <w:szCs w:val="21"/>
              </w:rPr>
            </w:pPr>
            <w:r w:rsidRPr="003364BB">
              <w:rPr>
                <w:rFonts w:asciiTheme="majorHAnsi" w:eastAsia="Times New Roman" w:hAnsiTheme="majorHAnsi" w:cstheme="majorHAnsi"/>
                <w:b/>
                <w:bCs/>
                <w:sz w:val="21"/>
                <w:szCs w:val="21"/>
              </w:rPr>
              <w:t xml:space="preserve">National Partnership Agreement on Skills Reform (2008, renewed in 2012): </w:t>
            </w:r>
            <w:r w:rsidRPr="003364BB">
              <w:rPr>
                <w:rFonts w:asciiTheme="majorHAnsi" w:eastAsia="Times New Roman" w:hAnsiTheme="majorHAnsi" w:cstheme="majorHAnsi"/>
                <w:sz w:val="21"/>
                <w:szCs w:val="21"/>
              </w:rPr>
              <w:t>detailed national reforms, including a new entitlement to a subsidised training place for up to the first Certificate III qualification, and income-contingent loans for Diploma and Advanced Diploma qualifications. An evaluation concluded that this program had failed; its rollout coincided with sliding enrolments and completion rates, declining satisfaction, deteriorating course options, cost-shifting to students and a series of quality disasters</w:t>
            </w:r>
            <w:r w:rsidRPr="003364BB">
              <w:rPr>
                <w:rFonts w:asciiTheme="majorHAnsi" w:eastAsia="Arial" w:hAnsiTheme="majorHAnsi" w:cstheme="majorHAnsi"/>
                <w:sz w:val="21"/>
                <w:szCs w:val="21"/>
              </w:rPr>
              <w:t>.</w:t>
            </w:r>
            <w:r w:rsidRPr="003364BB">
              <w:rPr>
                <w:rFonts w:asciiTheme="majorHAnsi" w:eastAsia="Times New Roman" w:hAnsiTheme="majorHAnsi" w:cstheme="majorHAnsi"/>
                <w:sz w:val="21"/>
                <w:szCs w:val="21"/>
              </w:rPr>
              <w:t xml:space="preserve"> </w:t>
            </w:r>
          </w:p>
          <w:p w14:paraId="4FA2A489" w14:textId="77777777" w:rsidR="005F5B61" w:rsidRPr="0094479E" w:rsidRDefault="005F5B61" w:rsidP="00A1784D">
            <w:pPr>
              <w:rPr>
                <w:rFonts w:asciiTheme="majorHAnsi" w:hAnsiTheme="majorHAnsi" w:cstheme="majorHAnsi"/>
                <w:sz w:val="21"/>
                <w:szCs w:val="21"/>
              </w:rPr>
            </w:pPr>
            <w:r w:rsidRPr="003364BB">
              <w:rPr>
                <w:rFonts w:asciiTheme="majorHAnsi" w:eastAsia="Times New Roman" w:hAnsiTheme="majorHAnsi" w:cstheme="majorHAnsi"/>
                <w:b/>
                <w:bCs/>
                <w:sz w:val="21"/>
                <w:szCs w:val="21"/>
              </w:rPr>
              <w:t xml:space="preserve">NAPLAN: </w:t>
            </w:r>
            <w:r w:rsidRPr="003364BB">
              <w:rPr>
                <w:rFonts w:asciiTheme="majorHAnsi" w:eastAsia="Times New Roman" w:hAnsiTheme="majorHAnsi" w:cstheme="majorHAnsi"/>
                <w:sz w:val="21"/>
                <w:szCs w:val="21"/>
              </w:rPr>
              <w:t xml:space="preserve">Student performance monitored nationally since 2008 via the National Assessment Program – Literacy and Numeracy. Currently assesses students in Years 3, 5, 7, and 9 in reading, writing, language conventions (spelling, grammar, punctuation), and numeracy. </w:t>
            </w:r>
          </w:p>
          <w:p w14:paraId="2D8EED85" w14:textId="77777777" w:rsidR="005F5B61" w:rsidRPr="0094479E" w:rsidRDefault="00C8131A" w:rsidP="00A1784D">
            <w:pPr>
              <w:rPr>
                <w:rFonts w:asciiTheme="majorHAnsi" w:hAnsiTheme="majorHAnsi" w:cstheme="majorHAnsi"/>
                <w:sz w:val="21"/>
                <w:szCs w:val="21"/>
              </w:rPr>
            </w:pPr>
            <w:hyperlink r:id="rId12">
              <w:r w:rsidR="005F5B61" w:rsidRPr="003364BB">
                <w:rPr>
                  <w:rStyle w:val="Hyperlink"/>
                  <w:rFonts w:asciiTheme="majorHAnsi" w:eastAsia="Times New Roman" w:hAnsiTheme="majorHAnsi" w:cstheme="majorHAnsi"/>
                  <w:b/>
                  <w:bCs/>
                  <w:sz w:val="21"/>
                  <w:szCs w:val="21"/>
                </w:rPr>
                <w:t>National Aboriginal and Torres Strait Islander Education Strategy</w:t>
              </w:r>
            </w:hyperlink>
            <w:r w:rsidR="005F5B61" w:rsidRPr="003364BB">
              <w:rPr>
                <w:rFonts w:asciiTheme="majorHAnsi" w:hAnsiTheme="majorHAnsi" w:cstheme="majorHAnsi"/>
              </w:rPr>
              <w:t xml:space="preserve">: </w:t>
            </w:r>
            <w:r w:rsidR="005F5B61" w:rsidRPr="003364BB">
              <w:rPr>
                <w:rFonts w:asciiTheme="majorHAnsi" w:eastAsia="Times New Roman" w:hAnsiTheme="majorHAnsi" w:cstheme="majorHAnsi"/>
                <w:sz w:val="21"/>
                <w:szCs w:val="21"/>
              </w:rPr>
              <w:t xml:space="preserve">Started in 1989 but remains current. Focuses on attendance and engagement, transition points, early childhood transitions, workforce and Australian Curriculum. </w:t>
            </w:r>
          </w:p>
          <w:p w14:paraId="5F3AC14F" w14:textId="77777777" w:rsidR="005F5B61" w:rsidRPr="0094479E" w:rsidRDefault="00C8131A" w:rsidP="00A1784D">
            <w:pPr>
              <w:rPr>
                <w:rFonts w:asciiTheme="majorHAnsi" w:eastAsia="Times New Roman" w:hAnsiTheme="majorHAnsi" w:cstheme="majorHAnsi"/>
                <w:sz w:val="21"/>
                <w:szCs w:val="21"/>
              </w:rPr>
            </w:pPr>
            <w:hyperlink r:id="rId13">
              <w:r w:rsidR="005F5B61" w:rsidRPr="003364BB">
                <w:rPr>
                  <w:rStyle w:val="Hyperlink"/>
                  <w:rFonts w:asciiTheme="majorHAnsi" w:eastAsia="Times New Roman" w:hAnsiTheme="majorHAnsi" w:cstheme="majorHAnsi"/>
                  <w:b/>
                  <w:bCs/>
                  <w:sz w:val="21"/>
                  <w:szCs w:val="21"/>
                </w:rPr>
                <w:t>National Regional, Rural and Remote Education Strategy</w:t>
              </w:r>
            </w:hyperlink>
            <w:r w:rsidR="005F5B61" w:rsidRPr="003364BB">
              <w:rPr>
                <w:rFonts w:asciiTheme="majorHAnsi" w:hAnsiTheme="majorHAnsi" w:cstheme="majorHAnsi"/>
              </w:rPr>
              <w:t xml:space="preserve">: </w:t>
            </w:r>
            <w:r w:rsidR="005F5B61" w:rsidRPr="003364BB">
              <w:rPr>
                <w:rFonts w:asciiTheme="majorHAnsi" w:eastAsia="Times New Roman" w:hAnsiTheme="majorHAnsi" w:cstheme="majorHAnsi"/>
                <w:sz w:val="21"/>
                <w:szCs w:val="21"/>
              </w:rPr>
              <w:t>released in 2019 as a result of Halsey Review recommendations. Led by National Regional Education Expert Advisory Group.</w:t>
            </w:r>
          </w:p>
          <w:p w14:paraId="6C16E42A" w14:textId="77777777" w:rsidR="005F5B61" w:rsidRPr="0094479E" w:rsidRDefault="005F5B61" w:rsidP="00A1784D">
            <w:pPr>
              <w:rPr>
                <w:rFonts w:asciiTheme="majorHAnsi" w:hAnsiTheme="majorHAnsi" w:cstheme="majorHAnsi"/>
                <w:sz w:val="21"/>
                <w:szCs w:val="21"/>
              </w:rPr>
            </w:pPr>
            <w:r w:rsidRPr="003364BB">
              <w:rPr>
                <w:rFonts w:asciiTheme="majorHAnsi" w:eastAsia="Times New Roman" w:hAnsiTheme="majorHAnsi" w:cstheme="majorHAnsi"/>
                <w:b/>
                <w:bCs/>
                <w:sz w:val="21"/>
                <w:szCs w:val="21"/>
              </w:rPr>
              <w:t>Additional Financial Support for Regional Students</w:t>
            </w:r>
            <w:r w:rsidRPr="003364BB">
              <w:rPr>
                <w:rFonts w:asciiTheme="majorHAnsi" w:hAnsiTheme="majorHAnsi" w:cstheme="majorHAnsi"/>
                <w:sz w:val="21"/>
                <w:szCs w:val="21"/>
              </w:rPr>
              <w:t xml:space="preserve">: </w:t>
            </w:r>
            <w:r w:rsidRPr="003364BB">
              <w:rPr>
                <w:rFonts w:asciiTheme="majorHAnsi" w:eastAsia="Times New Roman" w:hAnsiTheme="majorHAnsi" w:cstheme="majorHAnsi"/>
                <w:sz w:val="21"/>
                <w:szCs w:val="21"/>
              </w:rPr>
              <w:t xml:space="preserve">Fares Allowance: for eligible regional students who </w:t>
            </w:r>
            <w:r>
              <w:rPr>
                <w:rFonts w:asciiTheme="majorHAnsi" w:eastAsia="Times New Roman" w:hAnsiTheme="majorHAnsi" w:cstheme="majorHAnsi"/>
                <w:sz w:val="21"/>
                <w:szCs w:val="21"/>
              </w:rPr>
              <w:t>must</w:t>
            </w:r>
            <w:r w:rsidRPr="003364BB">
              <w:rPr>
                <w:rFonts w:asciiTheme="majorHAnsi" w:eastAsia="Times New Roman" w:hAnsiTheme="majorHAnsi" w:cstheme="majorHAnsi"/>
                <w:sz w:val="21"/>
                <w:szCs w:val="21"/>
              </w:rPr>
              <w:t xml:space="preserve"> move away from home to study. Youth Allowance: </w:t>
            </w:r>
            <w:r>
              <w:rPr>
                <w:rFonts w:asciiTheme="majorHAnsi" w:eastAsia="Times New Roman" w:hAnsiTheme="majorHAnsi" w:cstheme="majorHAnsi"/>
                <w:sz w:val="21"/>
                <w:szCs w:val="21"/>
              </w:rPr>
              <w:t xml:space="preserve">extra </w:t>
            </w:r>
            <w:r w:rsidRPr="003364BB">
              <w:rPr>
                <w:rFonts w:asciiTheme="majorHAnsi" w:eastAsia="Times New Roman" w:hAnsiTheme="majorHAnsi" w:cstheme="majorHAnsi"/>
                <w:sz w:val="21"/>
                <w:szCs w:val="21"/>
              </w:rPr>
              <w:t>$12,000</w:t>
            </w:r>
            <w:r>
              <w:rPr>
                <w:rFonts w:asciiTheme="majorHAnsi" w:eastAsia="Times New Roman" w:hAnsiTheme="majorHAnsi" w:cstheme="majorHAnsi"/>
                <w:sz w:val="21"/>
                <w:szCs w:val="21"/>
              </w:rPr>
              <w:t>/</w:t>
            </w:r>
            <w:r w:rsidRPr="003364BB">
              <w:rPr>
                <w:rFonts w:asciiTheme="majorHAnsi" w:eastAsia="Times New Roman" w:hAnsiTheme="majorHAnsi" w:cstheme="majorHAnsi"/>
                <w:sz w:val="21"/>
                <w:szCs w:val="21"/>
              </w:rPr>
              <w:t>year for regional students living away from home.</w:t>
            </w:r>
          </w:p>
          <w:p w14:paraId="453C11C0" w14:textId="77777777" w:rsidR="005F5B61" w:rsidRPr="0094479E" w:rsidRDefault="00C8131A" w:rsidP="00A1784D">
            <w:pPr>
              <w:rPr>
                <w:rFonts w:asciiTheme="majorHAnsi" w:hAnsiTheme="majorHAnsi" w:cstheme="majorHAnsi"/>
                <w:sz w:val="21"/>
                <w:szCs w:val="21"/>
              </w:rPr>
            </w:pPr>
            <w:hyperlink r:id="rId14">
              <w:r w:rsidR="005F5B61" w:rsidRPr="003364BB">
                <w:rPr>
                  <w:rStyle w:val="Hyperlink"/>
                  <w:rFonts w:asciiTheme="majorHAnsi" w:eastAsia="Times New Roman" w:hAnsiTheme="majorHAnsi" w:cstheme="majorHAnsi"/>
                  <w:b/>
                  <w:bCs/>
                  <w:sz w:val="21"/>
                  <w:szCs w:val="21"/>
                </w:rPr>
                <w:t>Independent Review into Regional, Rural and Remote Education (Halsey Review</w:t>
              </w:r>
              <w:r w:rsidR="005F5B61">
                <w:rPr>
                  <w:rStyle w:val="Hyperlink"/>
                  <w:rFonts w:asciiTheme="majorHAnsi" w:eastAsia="Times New Roman" w:hAnsiTheme="majorHAnsi" w:cstheme="majorHAnsi"/>
                  <w:b/>
                  <w:bCs/>
                  <w:sz w:val="21"/>
                  <w:szCs w:val="21"/>
                </w:rPr>
                <w:t>, 2017</w:t>
              </w:r>
              <w:r w:rsidR="005F5B61" w:rsidRPr="003364BB">
                <w:rPr>
                  <w:rStyle w:val="Hyperlink"/>
                  <w:rFonts w:asciiTheme="majorHAnsi" w:eastAsia="Times New Roman" w:hAnsiTheme="majorHAnsi" w:cstheme="majorHAnsi"/>
                  <w:b/>
                  <w:bCs/>
                  <w:sz w:val="21"/>
                  <w:szCs w:val="21"/>
                </w:rPr>
                <w:t>)</w:t>
              </w:r>
            </w:hyperlink>
            <w:r w:rsidR="005F5B61" w:rsidRPr="003364BB">
              <w:rPr>
                <w:rStyle w:val="Hyperlink"/>
                <w:rFonts w:asciiTheme="majorHAnsi" w:eastAsia="Times New Roman" w:hAnsiTheme="majorHAnsi" w:cstheme="majorHAnsi"/>
                <w:b/>
                <w:bCs/>
                <w:sz w:val="21"/>
                <w:szCs w:val="21"/>
              </w:rPr>
              <w:t>:</w:t>
            </w:r>
            <w:r w:rsidR="005F5B61">
              <w:t xml:space="preserve"> </w:t>
            </w:r>
            <w:r w:rsidR="005F5B61">
              <w:rPr>
                <w:rFonts w:asciiTheme="majorHAnsi" w:eastAsia="Times New Roman" w:hAnsiTheme="majorHAnsi" w:cstheme="majorHAnsi"/>
                <w:sz w:val="21"/>
                <w:szCs w:val="21"/>
              </w:rPr>
              <w:t>examined</w:t>
            </w:r>
            <w:r w:rsidR="005F5B61" w:rsidRPr="003364BB">
              <w:rPr>
                <w:rFonts w:asciiTheme="majorHAnsi" w:eastAsia="Times New Roman" w:hAnsiTheme="majorHAnsi" w:cstheme="majorHAnsi"/>
                <w:sz w:val="21"/>
                <w:szCs w:val="21"/>
              </w:rPr>
              <w:t xml:space="preserve"> challenges faced by regional students</w:t>
            </w:r>
            <w:r w:rsidR="005F5B61">
              <w:rPr>
                <w:rFonts w:asciiTheme="majorHAnsi" w:eastAsia="Times New Roman" w:hAnsiTheme="majorHAnsi" w:cstheme="majorHAnsi"/>
                <w:sz w:val="21"/>
                <w:szCs w:val="21"/>
              </w:rPr>
              <w:t>,</w:t>
            </w:r>
            <w:r w:rsidR="005F5B61" w:rsidRPr="003364BB">
              <w:rPr>
                <w:rFonts w:asciiTheme="majorHAnsi" w:eastAsia="Times New Roman" w:hAnsiTheme="majorHAnsi" w:cstheme="majorHAnsi"/>
                <w:sz w:val="21"/>
                <w:szCs w:val="21"/>
              </w:rPr>
              <w:t xml:space="preserve"> recommend</w:t>
            </w:r>
            <w:r w:rsidR="005F5B61">
              <w:rPr>
                <w:rFonts w:asciiTheme="majorHAnsi" w:eastAsia="Times New Roman" w:hAnsiTheme="majorHAnsi" w:cstheme="majorHAnsi"/>
                <w:sz w:val="21"/>
                <w:szCs w:val="21"/>
              </w:rPr>
              <w:t>ed</w:t>
            </w:r>
            <w:r w:rsidR="005F5B61" w:rsidRPr="003364BB">
              <w:rPr>
                <w:rFonts w:asciiTheme="majorHAnsi" w:eastAsia="Times New Roman" w:hAnsiTheme="majorHAnsi" w:cstheme="majorHAnsi"/>
                <w:sz w:val="21"/>
                <w:szCs w:val="21"/>
              </w:rPr>
              <w:t xml:space="preserve"> </w:t>
            </w:r>
            <w:r w:rsidR="005F5B61">
              <w:rPr>
                <w:rFonts w:asciiTheme="majorHAnsi" w:eastAsia="Times New Roman" w:hAnsiTheme="majorHAnsi" w:cstheme="majorHAnsi"/>
                <w:sz w:val="21"/>
                <w:szCs w:val="21"/>
              </w:rPr>
              <w:t>actions to improve outcomes</w:t>
            </w:r>
            <w:r w:rsidR="005F5B61" w:rsidRPr="003364BB">
              <w:rPr>
                <w:rFonts w:asciiTheme="majorHAnsi" w:eastAsia="Times New Roman" w:hAnsiTheme="majorHAnsi" w:cstheme="majorHAnsi"/>
                <w:sz w:val="21"/>
                <w:szCs w:val="21"/>
              </w:rPr>
              <w:t xml:space="preserve"> </w:t>
            </w:r>
            <w:r w:rsidR="005F5B61">
              <w:rPr>
                <w:rFonts w:asciiTheme="majorHAnsi" w:eastAsia="Times New Roman" w:hAnsiTheme="majorHAnsi" w:cstheme="majorHAnsi"/>
                <w:sz w:val="21"/>
                <w:szCs w:val="21"/>
              </w:rPr>
              <w:t>for all</w:t>
            </w:r>
            <w:r w:rsidR="005F5B61" w:rsidRPr="003364BB">
              <w:rPr>
                <w:rFonts w:asciiTheme="majorHAnsi" w:eastAsia="Times New Roman" w:hAnsiTheme="majorHAnsi" w:cstheme="majorHAnsi"/>
                <w:sz w:val="21"/>
                <w:szCs w:val="21"/>
              </w:rPr>
              <w:t xml:space="preserve"> education</w:t>
            </w:r>
            <w:r w:rsidR="005F5B61">
              <w:rPr>
                <w:rFonts w:asciiTheme="majorHAnsi" w:eastAsia="Times New Roman" w:hAnsiTheme="majorHAnsi" w:cstheme="majorHAnsi"/>
                <w:sz w:val="21"/>
                <w:szCs w:val="21"/>
              </w:rPr>
              <w:t xml:space="preserve"> levels</w:t>
            </w:r>
            <w:r w:rsidR="005F5B61" w:rsidRPr="003364BB">
              <w:rPr>
                <w:rFonts w:asciiTheme="majorHAnsi" w:eastAsia="Times New Roman" w:hAnsiTheme="majorHAnsi" w:cstheme="majorHAnsi"/>
                <w:sz w:val="21"/>
                <w:szCs w:val="21"/>
              </w:rPr>
              <w:t>. Note</w:t>
            </w:r>
            <w:r w:rsidR="005F5B61">
              <w:rPr>
                <w:rFonts w:asciiTheme="majorHAnsi" w:eastAsia="Times New Roman" w:hAnsiTheme="majorHAnsi" w:cstheme="majorHAnsi"/>
                <w:sz w:val="21"/>
                <w:szCs w:val="21"/>
              </w:rPr>
              <w:t>d</w:t>
            </w:r>
            <w:r w:rsidR="005F5B61" w:rsidRPr="003364BB">
              <w:rPr>
                <w:rFonts w:asciiTheme="majorHAnsi" w:eastAsia="Times New Roman" w:hAnsiTheme="majorHAnsi" w:cstheme="majorHAnsi"/>
                <w:sz w:val="21"/>
                <w:szCs w:val="21"/>
              </w:rPr>
              <w:t xml:space="preserve"> </w:t>
            </w:r>
            <w:r w:rsidR="005F5B61">
              <w:rPr>
                <w:rFonts w:asciiTheme="majorHAnsi" w:eastAsia="Times New Roman" w:hAnsiTheme="majorHAnsi" w:cstheme="majorHAnsi"/>
                <w:sz w:val="21"/>
                <w:szCs w:val="21"/>
              </w:rPr>
              <w:t xml:space="preserve">education policy mainly a </w:t>
            </w:r>
            <w:r w:rsidR="005F5B61" w:rsidRPr="003364BB">
              <w:rPr>
                <w:rFonts w:asciiTheme="majorHAnsi" w:eastAsia="Times New Roman" w:hAnsiTheme="majorHAnsi" w:cstheme="majorHAnsi"/>
                <w:sz w:val="21"/>
                <w:szCs w:val="21"/>
              </w:rPr>
              <w:t>state government</w:t>
            </w:r>
            <w:r w:rsidR="005F5B61">
              <w:rPr>
                <w:rFonts w:asciiTheme="majorHAnsi" w:eastAsia="Times New Roman" w:hAnsiTheme="majorHAnsi" w:cstheme="majorHAnsi"/>
                <w:sz w:val="21"/>
                <w:szCs w:val="21"/>
              </w:rPr>
              <w:t xml:space="preserve"> responsibility, and</w:t>
            </w:r>
            <w:r w:rsidR="005F5B61" w:rsidRPr="003364BB">
              <w:rPr>
                <w:rFonts w:asciiTheme="majorHAnsi" w:eastAsia="Times New Roman" w:hAnsiTheme="majorHAnsi" w:cstheme="majorHAnsi"/>
                <w:sz w:val="21"/>
                <w:szCs w:val="21"/>
              </w:rPr>
              <w:t xml:space="preserve"> </w:t>
            </w:r>
            <w:r w:rsidR="005F5B61">
              <w:rPr>
                <w:rFonts w:asciiTheme="majorHAnsi" w:eastAsia="Times New Roman" w:hAnsiTheme="majorHAnsi" w:cstheme="majorHAnsi"/>
                <w:sz w:val="21"/>
                <w:szCs w:val="21"/>
              </w:rPr>
              <w:t>s</w:t>
            </w:r>
            <w:r w:rsidR="005F5B61" w:rsidRPr="003364BB">
              <w:rPr>
                <w:rFonts w:asciiTheme="majorHAnsi" w:eastAsia="Times New Roman" w:hAnsiTheme="majorHAnsi" w:cstheme="majorHAnsi"/>
                <w:sz w:val="21"/>
                <w:szCs w:val="21"/>
              </w:rPr>
              <w:t xml:space="preserve">ignificant policy hurdles </w:t>
            </w:r>
            <w:r w:rsidR="005F5B61">
              <w:rPr>
                <w:rFonts w:asciiTheme="majorHAnsi" w:eastAsia="Times New Roman" w:hAnsiTheme="majorHAnsi" w:cstheme="majorHAnsi"/>
                <w:sz w:val="21"/>
                <w:szCs w:val="21"/>
              </w:rPr>
              <w:t>re:</w:t>
            </w:r>
            <w:r w:rsidR="005F5B61" w:rsidRPr="003364BB">
              <w:rPr>
                <w:rFonts w:asciiTheme="majorHAnsi" w:eastAsia="Times New Roman" w:hAnsiTheme="majorHAnsi" w:cstheme="majorHAnsi"/>
                <w:sz w:val="21"/>
                <w:szCs w:val="21"/>
              </w:rPr>
              <w:t xml:space="preserve"> dual enrolment with TAFE providers.</w:t>
            </w:r>
          </w:p>
          <w:p w14:paraId="2C81BB35" w14:textId="77777777" w:rsidR="005F5B61" w:rsidRPr="003364BB" w:rsidRDefault="00C8131A" w:rsidP="00A1784D">
            <w:pPr>
              <w:rPr>
                <w:rFonts w:asciiTheme="majorHAnsi" w:hAnsiTheme="majorHAnsi" w:cstheme="majorHAnsi"/>
                <w:sz w:val="21"/>
                <w:szCs w:val="21"/>
              </w:rPr>
            </w:pPr>
            <w:hyperlink r:id="rId15">
              <w:r w:rsidR="005F5B61" w:rsidRPr="003364BB">
                <w:rPr>
                  <w:rStyle w:val="Hyperlink"/>
                  <w:rFonts w:asciiTheme="majorHAnsi" w:eastAsia="Times New Roman" w:hAnsiTheme="majorHAnsi" w:cstheme="majorHAnsi"/>
                  <w:b/>
                  <w:bCs/>
                  <w:sz w:val="21"/>
                  <w:szCs w:val="21"/>
                </w:rPr>
                <w:t>Successful Outcomes for Regional and Remote Students in Australian Higher Education</w:t>
              </w:r>
            </w:hyperlink>
            <w:r w:rsidR="005F5B61" w:rsidRPr="003364BB">
              <w:rPr>
                <w:rStyle w:val="Hyperlink"/>
                <w:rFonts w:asciiTheme="majorHAnsi" w:eastAsia="Times New Roman" w:hAnsiTheme="majorHAnsi" w:cstheme="majorHAnsi"/>
                <w:b/>
                <w:bCs/>
                <w:sz w:val="21"/>
                <w:szCs w:val="21"/>
              </w:rPr>
              <w:t>:</w:t>
            </w:r>
            <w:r w:rsidR="005F5B61" w:rsidRPr="003364BB">
              <w:rPr>
                <w:rFonts w:asciiTheme="majorHAnsi" w:hAnsiTheme="majorHAnsi" w:cstheme="majorHAnsi"/>
              </w:rPr>
              <w:t xml:space="preserve"> </w:t>
            </w:r>
            <w:r w:rsidR="005F5B61" w:rsidRPr="003364BB">
              <w:rPr>
                <w:rFonts w:asciiTheme="majorHAnsi" w:eastAsia="Times New Roman" w:hAnsiTheme="majorHAnsi" w:cstheme="majorHAnsi"/>
                <w:sz w:val="21"/>
                <w:szCs w:val="21"/>
              </w:rPr>
              <w:t>Highlights role of HEPPP funding to support students from equity groups (including regional and low SES). Reported 33.1% increase in regional students participating in undergraduate studies from 2008–2015.</w:t>
            </w:r>
          </w:p>
        </w:tc>
        <w:tc>
          <w:tcPr>
            <w:tcW w:w="2843" w:type="dxa"/>
          </w:tcPr>
          <w:p w14:paraId="07F7AC89" w14:textId="6D220CA9" w:rsidR="005F5B61" w:rsidRDefault="005F5B61" w:rsidP="00A1784D">
            <w:pPr>
              <w:rPr>
                <w:rFonts w:asciiTheme="majorHAnsi" w:eastAsia="Times New Roman" w:hAnsiTheme="majorHAnsi" w:cstheme="majorHAnsi"/>
                <w:sz w:val="21"/>
                <w:szCs w:val="21"/>
                <w:lang w:val="en-GB"/>
              </w:rPr>
            </w:pPr>
            <w:r w:rsidRPr="003364BB">
              <w:rPr>
                <w:rFonts w:asciiTheme="majorHAnsi" w:eastAsia="Times New Roman" w:hAnsiTheme="majorHAnsi" w:cstheme="majorHAnsi"/>
                <w:sz w:val="21"/>
                <w:szCs w:val="21"/>
                <w:lang w:val="en-GB"/>
              </w:rPr>
              <w:lastRenderedPageBreak/>
              <w:t xml:space="preserve">Data indicates young people in Geelong and Corio, </w:t>
            </w:r>
            <w:proofErr w:type="spellStart"/>
            <w:r w:rsidRPr="003364BB">
              <w:rPr>
                <w:rFonts w:asciiTheme="majorHAnsi" w:eastAsia="Times New Roman" w:hAnsiTheme="majorHAnsi" w:cstheme="majorHAnsi"/>
                <w:sz w:val="21"/>
                <w:szCs w:val="21"/>
                <w:lang w:val="en-GB"/>
              </w:rPr>
              <w:t>Norlane</w:t>
            </w:r>
            <w:proofErr w:type="spellEnd"/>
            <w:r w:rsidRPr="003364BB">
              <w:rPr>
                <w:rFonts w:asciiTheme="majorHAnsi" w:eastAsia="Times New Roman" w:hAnsiTheme="majorHAnsi" w:cstheme="majorHAnsi"/>
                <w:sz w:val="21"/>
                <w:szCs w:val="21"/>
                <w:lang w:val="en-GB"/>
              </w:rPr>
              <w:t>, and Whittington have much lower Year 12 completion rates than the Victorian average.</w:t>
            </w:r>
            <w:r w:rsidRPr="003364BB">
              <w:rPr>
                <w:rFonts w:asciiTheme="majorHAnsi" w:hAnsiTheme="majorHAnsi" w:cstheme="majorHAnsi"/>
                <w:sz w:val="21"/>
                <w:szCs w:val="21"/>
              </w:rPr>
              <w:t xml:space="preserve"> </w:t>
            </w:r>
            <w:r w:rsidRPr="003364BB">
              <w:rPr>
                <w:rFonts w:asciiTheme="majorHAnsi" w:eastAsia="Times New Roman" w:hAnsiTheme="majorHAnsi" w:cstheme="majorHAnsi"/>
                <w:sz w:val="21"/>
                <w:szCs w:val="21"/>
                <w:lang w:val="en-GB"/>
              </w:rPr>
              <w:t>See NAPLAN results over time.</w:t>
            </w:r>
          </w:p>
          <w:p w14:paraId="4E4C972B" w14:textId="6B503C7D" w:rsidR="000A086C" w:rsidRDefault="000A086C" w:rsidP="00A1784D">
            <w:pPr>
              <w:rPr>
                <w:rFonts w:asciiTheme="majorHAnsi" w:eastAsia="Times New Roman" w:hAnsiTheme="majorHAnsi" w:cstheme="majorHAnsi"/>
                <w:sz w:val="21"/>
                <w:szCs w:val="21"/>
                <w:lang w:val="en-GB"/>
              </w:rPr>
            </w:pPr>
          </w:p>
          <w:p w14:paraId="002D6885" w14:textId="77777777" w:rsidR="000A086C" w:rsidRPr="00006E5F" w:rsidRDefault="000A086C" w:rsidP="00A1784D">
            <w:pPr>
              <w:rPr>
                <w:rFonts w:asciiTheme="majorHAnsi" w:eastAsia="Times New Roman" w:hAnsiTheme="majorHAnsi" w:cstheme="majorHAnsi"/>
                <w:sz w:val="21"/>
                <w:szCs w:val="21"/>
                <w:lang w:val="en-GB"/>
              </w:rPr>
            </w:pPr>
          </w:p>
          <w:p w14:paraId="43A2B3CC" w14:textId="77777777" w:rsidR="005F5B61" w:rsidRPr="00006E5F" w:rsidRDefault="005F5B61" w:rsidP="00A1784D">
            <w:pPr>
              <w:rPr>
                <w:rFonts w:asciiTheme="majorHAnsi" w:hAnsiTheme="majorHAnsi" w:cstheme="majorBidi"/>
                <w:sz w:val="21"/>
                <w:szCs w:val="21"/>
                <w:lang w:val="en-GB"/>
              </w:rPr>
            </w:pPr>
            <w:r w:rsidRPr="778E395A">
              <w:rPr>
                <w:rFonts w:asciiTheme="majorHAnsi" w:eastAsia="Times New Roman" w:hAnsiTheme="majorHAnsi" w:cstheme="majorBidi"/>
                <w:sz w:val="21"/>
                <w:szCs w:val="21"/>
                <w:lang w:val="en-GB"/>
              </w:rPr>
              <w:t>Several interventions have sought to improve local educational participation and outcomes, boost school performance in “disadvantaged” areas, and support young people to finish Year 12 and enter higher education.</w:t>
            </w:r>
          </w:p>
          <w:p w14:paraId="53D88382" w14:textId="77777777" w:rsidR="005F5B61" w:rsidRDefault="005F5B61" w:rsidP="00A1784D">
            <w:pPr>
              <w:rPr>
                <w:rFonts w:asciiTheme="majorHAnsi" w:eastAsia="Times New Roman" w:hAnsiTheme="majorHAnsi" w:cstheme="majorBidi"/>
                <w:sz w:val="21"/>
                <w:szCs w:val="21"/>
                <w:lang w:val="en-GB"/>
              </w:rPr>
            </w:pPr>
          </w:p>
          <w:p w14:paraId="3439E95F" w14:textId="77777777" w:rsidR="005F5B61" w:rsidRDefault="005F5B61" w:rsidP="00A1784D">
            <w:pPr>
              <w:rPr>
                <w:rFonts w:asciiTheme="majorHAnsi" w:eastAsia="Times New Roman" w:hAnsiTheme="majorHAnsi" w:cstheme="majorBidi"/>
                <w:sz w:val="21"/>
                <w:szCs w:val="21"/>
                <w:lang w:val="en-GB"/>
              </w:rPr>
            </w:pPr>
          </w:p>
          <w:p w14:paraId="2CBA9E81" w14:textId="77777777" w:rsidR="005F5B61" w:rsidRDefault="005F5B61" w:rsidP="00A1784D">
            <w:pPr>
              <w:rPr>
                <w:rFonts w:asciiTheme="majorHAnsi" w:eastAsia="Times New Roman" w:hAnsiTheme="majorHAnsi" w:cstheme="majorBidi"/>
                <w:sz w:val="21"/>
                <w:szCs w:val="21"/>
                <w:lang w:val="en-GB"/>
              </w:rPr>
            </w:pPr>
          </w:p>
          <w:p w14:paraId="0E5F8F29" w14:textId="690F7960" w:rsidR="005F5B61" w:rsidRDefault="005F5B61" w:rsidP="00A1784D">
            <w:pPr>
              <w:rPr>
                <w:rFonts w:asciiTheme="majorHAnsi" w:eastAsia="Times New Roman" w:hAnsiTheme="majorHAnsi" w:cstheme="majorBidi"/>
                <w:sz w:val="21"/>
                <w:szCs w:val="21"/>
                <w:lang w:val="en-GB"/>
              </w:rPr>
            </w:pPr>
          </w:p>
          <w:p w14:paraId="11B04786" w14:textId="32B493E8" w:rsidR="000A086C" w:rsidRDefault="000A086C" w:rsidP="00A1784D">
            <w:pPr>
              <w:rPr>
                <w:rFonts w:asciiTheme="majorHAnsi" w:eastAsia="Times New Roman" w:hAnsiTheme="majorHAnsi" w:cstheme="majorBidi"/>
                <w:sz w:val="21"/>
                <w:szCs w:val="21"/>
                <w:lang w:val="en-GB"/>
              </w:rPr>
            </w:pPr>
          </w:p>
          <w:p w14:paraId="549AF5E9" w14:textId="57D8C230" w:rsidR="000A086C" w:rsidRDefault="000A086C" w:rsidP="00A1784D">
            <w:pPr>
              <w:rPr>
                <w:rFonts w:asciiTheme="majorHAnsi" w:eastAsia="Times New Roman" w:hAnsiTheme="majorHAnsi" w:cstheme="majorBidi"/>
                <w:sz w:val="21"/>
                <w:szCs w:val="21"/>
                <w:lang w:val="en-GB"/>
              </w:rPr>
            </w:pPr>
          </w:p>
          <w:p w14:paraId="319E7D69" w14:textId="283DF40C" w:rsidR="000A086C" w:rsidRDefault="000A086C" w:rsidP="00A1784D">
            <w:pPr>
              <w:rPr>
                <w:rFonts w:asciiTheme="majorHAnsi" w:eastAsia="Times New Roman" w:hAnsiTheme="majorHAnsi" w:cstheme="majorBidi"/>
                <w:sz w:val="21"/>
                <w:szCs w:val="21"/>
                <w:lang w:val="en-GB"/>
              </w:rPr>
            </w:pPr>
          </w:p>
          <w:p w14:paraId="6BC82E19" w14:textId="799D68B1" w:rsidR="000A086C" w:rsidRDefault="000A086C" w:rsidP="00A1784D">
            <w:pPr>
              <w:rPr>
                <w:rFonts w:asciiTheme="majorHAnsi" w:eastAsia="Times New Roman" w:hAnsiTheme="majorHAnsi" w:cstheme="majorBidi"/>
                <w:sz w:val="21"/>
                <w:szCs w:val="21"/>
                <w:lang w:val="en-GB"/>
              </w:rPr>
            </w:pPr>
          </w:p>
          <w:p w14:paraId="26C658FF" w14:textId="2250EA82" w:rsidR="000A086C" w:rsidRDefault="000A086C" w:rsidP="00A1784D">
            <w:pPr>
              <w:rPr>
                <w:rFonts w:asciiTheme="majorHAnsi" w:eastAsia="Times New Roman" w:hAnsiTheme="majorHAnsi" w:cstheme="majorBidi"/>
                <w:sz w:val="21"/>
                <w:szCs w:val="21"/>
                <w:lang w:val="en-GB"/>
              </w:rPr>
            </w:pPr>
          </w:p>
          <w:p w14:paraId="154135BA" w14:textId="01B6D267" w:rsidR="000A086C" w:rsidRDefault="000A086C" w:rsidP="00A1784D">
            <w:pPr>
              <w:rPr>
                <w:rFonts w:asciiTheme="majorHAnsi" w:eastAsia="Times New Roman" w:hAnsiTheme="majorHAnsi" w:cstheme="majorBidi"/>
                <w:sz w:val="21"/>
                <w:szCs w:val="21"/>
                <w:lang w:val="en-GB"/>
              </w:rPr>
            </w:pPr>
          </w:p>
          <w:p w14:paraId="5DB264E0" w14:textId="1FD4CCB5" w:rsidR="000A086C" w:rsidRDefault="000A086C" w:rsidP="00A1784D">
            <w:pPr>
              <w:rPr>
                <w:rFonts w:asciiTheme="majorHAnsi" w:eastAsia="Times New Roman" w:hAnsiTheme="majorHAnsi" w:cstheme="majorBidi"/>
                <w:sz w:val="21"/>
                <w:szCs w:val="21"/>
                <w:lang w:val="en-GB"/>
              </w:rPr>
            </w:pPr>
          </w:p>
          <w:p w14:paraId="41BDF260" w14:textId="2F0836AD" w:rsidR="000A086C" w:rsidRDefault="000A086C" w:rsidP="00A1784D">
            <w:pPr>
              <w:rPr>
                <w:rFonts w:asciiTheme="majorHAnsi" w:eastAsia="Times New Roman" w:hAnsiTheme="majorHAnsi" w:cstheme="majorBidi"/>
                <w:sz w:val="21"/>
                <w:szCs w:val="21"/>
                <w:lang w:val="en-GB"/>
              </w:rPr>
            </w:pPr>
          </w:p>
          <w:p w14:paraId="6926509B" w14:textId="7DEF2844" w:rsidR="000A086C" w:rsidRDefault="000A086C" w:rsidP="00A1784D">
            <w:pPr>
              <w:rPr>
                <w:rFonts w:asciiTheme="majorHAnsi" w:eastAsia="Times New Roman" w:hAnsiTheme="majorHAnsi" w:cstheme="majorBidi"/>
                <w:sz w:val="21"/>
                <w:szCs w:val="21"/>
                <w:lang w:val="en-GB"/>
              </w:rPr>
            </w:pPr>
          </w:p>
          <w:p w14:paraId="5AE8B05D" w14:textId="77777777" w:rsidR="000A086C" w:rsidRDefault="000A086C" w:rsidP="00A1784D">
            <w:pPr>
              <w:rPr>
                <w:rFonts w:asciiTheme="majorHAnsi" w:eastAsia="Times New Roman" w:hAnsiTheme="majorHAnsi" w:cstheme="majorBidi"/>
                <w:sz w:val="21"/>
                <w:szCs w:val="21"/>
                <w:lang w:val="en-GB"/>
              </w:rPr>
            </w:pPr>
          </w:p>
          <w:p w14:paraId="0303D8A3" w14:textId="77777777" w:rsidR="005F5B61" w:rsidRDefault="005F5B61" w:rsidP="00A1784D">
            <w:pPr>
              <w:rPr>
                <w:rFonts w:asciiTheme="majorHAnsi" w:eastAsia="Times New Roman" w:hAnsiTheme="majorHAnsi" w:cstheme="majorBidi"/>
                <w:sz w:val="21"/>
                <w:szCs w:val="21"/>
                <w:lang w:val="en-GB"/>
              </w:rPr>
            </w:pPr>
          </w:p>
          <w:p w14:paraId="459A964B" w14:textId="77777777" w:rsidR="005F5B61" w:rsidRPr="003364BB" w:rsidRDefault="005F5B61" w:rsidP="00A1784D">
            <w:pPr>
              <w:rPr>
                <w:rFonts w:asciiTheme="majorHAnsi" w:hAnsiTheme="majorHAnsi" w:cstheme="majorHAnsi"/>
                <w:sz w:val="21"/>
                <w:szCs w:val="21"/>
              </w:rPr>
            </w:pPr>
            <w:r>
              <w:rPr>
                <w:rFonts w:asciiTheme="majorHAnsi" w:eastAsia="Times New Roman" w:hAnsiTheme="majorHAnsi" w:cstheme="majorHAnsi"/>
                <w:sz w:val="21"/>
                <w:szCs w:val="21"/>
                <w:lang w:val="en-GB"/>
              </w:rPr>
              <w:t>Little change in</w:t>
            </w:r>
            <w:r w:rsidRPr="003364BB">
              <w:rPr>
                <w:rFonts w:asciiTheme="majorHAnsi" w:eastAsia="Times New Roman" w:hAnsiTheme="majorHAnsi" w:cstheme="majorHAnsi"/>
                <w:sz w:val="21"/>
                <w:szCs w:val="21"/>
                <w:lang w:val="en-GB"/>
              </w:rPr>
              <w:t xml:space="preserve"> key indicators</w:t>
            </w:r>
            <w:r>
              <w:rPr>
                <w:rFonts w:asciiTheme="majorHAnsi" w:eastAsia="Times New Roman" w:hAnsiTheme="majorHAnsi" w:cstheme="majorHAnsi"/>
                <w:sz w:val="21"/>
                <w:szCs w:val="21"/>
                <w:lang w:val="en-GB"/>
              </w:rPr>
              <w:t xml:space="preserve"> </w:t>
            </w:r>
            <w:r w:rsidRPr="003364BB">
              <w:rPr>
                <w:rFonts w:asciiTheme="majorHAnsi" w:eastAsia="Times New Roman" w:hAnsiTheme="majorHAnsi" w:cstheme="majorHAnsi"/>
                <w:sz w:val="21"/>
                <w:szCs w:val="21"/>
                <w:lang w:val="en-GB"/>
              </w:rPr>
              <w:t>suggest</w:t>
            </w:r>
            <w:r>
              <w:rPr>
                <w:rFonts w:asciiTheme="majorHAnsi" w:eastAsia="Times New Roman" w:hAnsiTheme="majorHAnsi" w:cstheme="majorHAnsi"/>
                <w:sz w:val="21"/>
                <w:szCs w:val="21"/>
                <w:lang w:val="en-GB"/>
              </w:rPr>
              <w:t>s</w:t>
            </w:r>
            <w:r w:rsidRPr="003364BB">
              <w:rPr>
                <w:rFonts w:asciiTheme="majorHAnsi" w:eastAsia="Times New Roman" w:hAnsiTheme="majorHAnsi" w:cstheme="majorHAnsi"/>
                <w:sz w:val="21"/>
                <w:szCs w:val="21"/>
                <w:lang w:val="en-GB"/>
              </w:rPr>
              <w:t xml:space="preserve"> need for </w:t>
            </w:r>
            <w:r>
              <w:rPr>
                <w:rFonts w:asciiTheme="majorHAnsi" w:eastAsia="Times New Roman" w:hAnsiTheme="majorHAnsi" w:cstheme="majorHAnsi"/>
                <w:sz w:val="21"/>
                <w:szCs w:val="21"/>
                <w:lang w:val="en-GB"/>
              </w:rPr>
              <w:t xml:space="preserve">more </w:t>
            </w:r>
            <w:r w:rsidRPr="003364BB">
              <w:rPr>
                <w:rFonts w:asciiTheme="majorHAnsi" w:eastAsia="Times New Roman" w:hAnsiTheme="majorHAnsi" w:cstheme="majorHAnsi"/>
                <w:sz w:val="21"/>
                <w:szCs w:val="21"/>
                <w:lang w:val="en-GB"/>
              </w:rPr>
              <w:t xml:space="preserve">targeted interventions </w:t>
            </w:r>
            <w:r>
              <w:rPr>
                <w:rFonts w:asciiTheme="majorHAnsi" w:eastAsia="Times New Roman" w:hAnsiTheme="majorHAnsi" w:cstheme="majorHAnsi"/>
                <w:sz w:val="21"/>
                <w:szCs w:val="21"/>
                <w:lang w:val="en-GB"/>
              </w:rPr>
              <w:t>(</w:t>
            </w:r>
            <w:r w:rsidRPr="003364BB">
              <w:rPr>
                <w:rFonts w:asciiTheme="majorHAnsi" w:eastAsia="Times New Roman" w:hAnsiTheme="majorHAnsi" w:cstheme="majorHAnsi"/>
                <w:sz w:val="21"/>
                <w:szCs w:val="21"/>
                <w:lang w:val="en-GB"/>
              </w:rPr>
              <w:t>early years, school completion, further education, ATSI and low</w:t>
            </w:r>
            <w:r>
              <w:rPr>
                <w:rFonts w:asciiTheme="majorHAnsi" w:eastAsia="Times New Roman" w:hAnsiTheme="majorHAnsi" w:cstheme="majorHAnsi"/>
                <w:sz w:val="21"/>
                <w:szCs w:val="21"/>
                <w:lang w:val="en-GB"/>
              </w:rPr>
              <w:t>-</w:t>
            </w:r>
            <w:r w:rsidRPr="003364BB">
              <w:rPr>
                <w:rFonts w:asciiTheme="majorHAnsi" w:eastAsia="Times New Roman" w:hAnsiTheme="majorHAnsi" w:cstheme="majorHAnsi"/>
                <w:sz w:val="21"/>
                <w:szCs w:val="21"/>
                <w:lang w:val="en-GB"/>
              </w:rPr>
              <w:t>SES students</w:t>
            </w:r>
            <w:r>
              <w:rPr>
                <w:rFonts w:asciiTheme="majorHAnsi" w:eastAsia="Times New Roman" w:hAnsiTheme="majorHAnsi" w:cstheme="majorHAnsi"/>
                <w:sz w:val="21"/>
                <w:szCs w:val="21"/>
                <w:lang w:val="en-GB"/>
              </w:rPr>
              <w:t>)</w:t>
            </w:r>
            <w:r w:rsidRPr="003364BB">
              <w:rPr>
                <w:rFonts w:asciiTheme="majorHAnsi" w:eastAsia="Times New Roman" w:hAnsiTheme="majorHAnsi" w:cstheme="majorHAnsi"/>
                <w:sz w:val="21"/>
                <w:szCs w:val="21"/>
                <w:lang w:val="en-GB"/>
              </w:rPr>
              <w:t>.</w:t>
            </w:r>
          </w:p>
          <w:p w14:paraId="5684941D" w14:textId="77777777" w:rsidR="005F5B61" w:rsidRPr="003364BB" w:rsidRDefault="005F5B61" w:rsidP="00A1784D">
            <w:pPr>
              <w:rPr>
                <w:rFonts w:asciiTheme="majorHAnsi" w:hAnsiTheme="majorHAnsi" w:cstheme="majorHAnsi"/>
                <w:sz w:val="21"/>
                <w:szCs w:val="21"/>
              </w:rPr>
            </w:pPr>
            <w:r w:rsidRPr="003364BB">
              <w:rPr>
                <w:rFonts w:asciiTheme="majorHAnsi" w:eastAsia="Times New Roman" w:hAnsiTheme="majorHAnsi" w:cstheme="majorHAnsi"/>
                <w:sz w:val="21"/>
                <w:szCs w:val="21"/>
                <w:lang w:val="en-GB"/>
              </w:rPr>
              <w:t>Relevant to</w:t>
            </w:r>
            <w:r>
              <w:rPr>
                <w:rFonts w:asciiTheme="majorHAnsi" w:eastAsia="Times New Roman" w:hAnsiTheme="majorHAnsi" w:cstheme="majorHAnsi"/>
                <w:sz w:val="21"/>
                <w:szCs w:val="21"/>
                <w:lang w:val="en-GB"/>
              </w:rPr>
              <w:t xml:space="preserve"> local</w:t>
            </w:r>
            <w:r w:rsidRPr="003364BB">
              <w:rPr>
                <w:rFonts w:asciiTheme="majorHAnsi" w:eastAsia="Times New Roman" w:hAnsiTheme="majorHAnsi" w:cstheme="majorHAnsi"/>
                <w:sz w:val="21"/>
                <w:szCs w:val="21"/>
                <w:lang w:val="en-GB"/>
              </w:rPr>
              <w:t xml:space="preserve"> ATSI communities.</w:t>
            </w:r>
          </w:p>
        </w:tc>
      </w:tr>
      <w:tr w:rsidR="005F5B61" w:rsidRPr="00717682" w14:paraId="1C712E07" w14:textId="77777777" w:rsidTr="00A05406">
        <w:tc>
          <w:tcPr>
            <w:tcW w:w="960" w:type="dxa"/>
          </w:tcPr>
          <w:p w14:paraId="638F4BF0" w14:textId="77777777" w:rsidR="005F5B61" w:rsidRPr="006563B1" w:rsidRDefault="005F5B61" w:rsidP="00A1784D">
            <w:pPr>
              <w:rPr>
                <w:rFonts w:cstheme="minorHAnsi"/>
              </w:rPr>
            </w:pPr>
            <w:r w:rsidRPr="00C711E4">
              <w:rPr>
                <w:rFonts w:asciiTheme="majorHAnsi" w:hAnsiTheme="majorHAnsi" w:cstheme="majorHAnsi"/>
                <w:noProof/>
                <w:color w:val="2B579A"/>
                <w:sz w:val="21"/>
                <w:szCs w:val="21"/>
                <w:shd w:val="clear" w:color="auto" w:fill="E6E6E6"/>
                <w:lang w:eastAsia="zh-CN"/>
              </w:rPr>
              <mc:AlternateContent>
                <mc:Choice Requires="wps">
                  <w:drawing>
                    <wp:anchor distT="45720" distB="45720" distL="114300" distR="114300" simplePos="0" relativeHeight="251664384" behindDoc="0" locked="0" layoutInCell="1" allowOverlap="1" wp14:anchorId="3CFF8A53" wp14:editId="36C680F7">
                      <wp:simplePos x="0" y="0"/>
                      <wp:positionH relativeFrom="column">
                        <wp:posOffset>-522605</wp:posOffset>
                      </wp:positionH>
                      <wp:positionV relativeFrom="paragraph">
                        <wp:posOffset>2480310</wp:posOffset>
                      </wp:positionV>
                      <wp:extent cx="1555115" cy="341630"/>
                      <wp:effectExtent l="0" t="0" r="4127"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55115" cy="341630"/>
                              </a:xfrm>
                              <a:prstGeom prst="rect">
                                <a:avLst/>
                              </a:prstGeom>
                              <a:noFill/>
                              <a:ln w="9525">
                                <a:noFill/>
                                <a:miter lim="800000"/>
                                <a:headEnd/>
                                <a:tailEnd/>
                              </a:ln>
                            </wps:spPr>
                            <wps:txbx>
                              <w:txbxContent>
                                <w:p w14:paraId="2BD69692" w14:textId="1AF49D50" w:rsidR="005F5B61" w:rsidRPr="004200CF" w:rsidRDefault="005F5B61" w:rsidP="005F5B61">
                                  <w:pPr>
                                    <w:jc w:val="right"/>
                                    <w:rPr>
                                      <w:b/>
                                      <w:bCs/>
                                      <w:color w:val="595959" w:themeColor="text1" w:themeTint="A6"/>
                                    </w:rPr>
                                  </w:pPr>
                                  <w:r>
                                    <w:rPr>
                                      <w:b/>
                                      <w:bCs/>
                                      <w:color w:val="595959" w:themeColor="text1" w:themeTint="A6"/>
                                    </w:rPr>
                                    <w:t>Victorian 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F8A53" id="_x0000_s1028" type="#_x0000_t202" style="position:absolute;margin-left:-41.15pt;margin-top:195.3pt;width:122.45pt;height:26.9pt;rotation:-9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" filled="f" stroked="f">
                      <v:textbox>
                        <w:txbxContent>
                          <w:p w14:paraId="2BD69692" w14:textId="1AF49D50" w:rsidR="005F5B61" w:rsidRPr="004200CF" w:rsidRDefault="005F5B61" w:rsidP="005F5B61">
                            <w:pPr>
                              <w:jc w:val="right"/>
                              <w:rPr>
                                <w:b/>
                                <w:bCs/>
                                <w:color w:val="595959" w:themeColor="text1" w:themeTint="A6"/>
                              </w:rPr>
                            </w:pPr>
                            <w:r>
                              <w:rPr>
                                <w:b/>
                                <w:bCs/>
                                <w:color w:val="595959" w:themeColor="text1" w:themeTint="A6"/>
                              </w:rPr>
                              <w:t>Victorian Context</w:t>
                            </w:r>
                          </w:p>
                        </w:txbxContent>
                      </v:textbox>
                      <w10:wrap type="square"/>
                    </v:shape>
                  </w:pict>
                </mc:Fallback>
              </mc:AlternateContent>
            </w:r>
          </w:p>
        </w:tc>
        <w:tc>
          <w:tcPr>
            <w:tcW w:w="5834" w:type="dxa"/>
          </w:tcPr>
          <w:p w14:paraId="0B612A54"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sz w:val="21"/>
                <w:szCs w:val="21"/>
              </w:rPr>
              <w:t>Partnerships Addressing Disadvantage (PADs)</w:t>
            </w:r>
            <w:r w:rsidRPr="00717682">
              <w:rPr>
                <w:rFonts w:asciiTheme="majorHAnsi" w:eastAsia="Times New Roman" w:hAnsiTheme="majorHAnsi" w:cstheme="majorHAnsi"/>
                <w:sz w:val="21"/>
                <w:szCs w:val="21"/>
              </w:rPr>
              <w:t xml:space="preserve">: </w:t>
            </w:r>
            <w:r>
              <w:rPr>
                <w:rFonts w:asciiTheme="majorHAnsi" w:eastAsia="Times New Roman" w:hAnsiTheme="majorHAnsi" w:cstheme="majorHAnsi"/>
                <w:sz w:val="21"/>
                <w:szCs w:val="21"/>
              </w:rPr>
              <w:t>I</w:t>
            </w:r>
            <w:r w:rsidRPr="00717682">
              <w:rPr>
                <w:rFonts w:asciiTheme="majorHAnsi" w:eastAsia="Times New Roman" w:hAnsiTheme="majorHAnsi" w:cstheme="majorHAnsi"/>
                <w:sz w:val="21"/>
                <w:szCs w:val="21"/>
              </w:rPr>
              <w:t>nnovative way to reduce deep-seated disadvantage and provide demonstrably better outcomes for vulnerable Victorians.</w:t>
            </w:r>
            <w:r w:rsidRPr="00717682">
              <w:rPr>
                <w:rFonts w:asciiTheme="majorHAnsi" w:hAnsiTheme="majorHAnsi" w:cstheme="majorHAnsi"/>
                <w:sz w:val="21"/>
                <w:szCs w:val="21"/>
              </w:rPr>
              <w:t xml:space="preserve"> </w:t>
            </w:r>
            <w:r w:rsidRPr="00717682">
              <w:rPr>
                <w:rFonts w:asciiTheme="majorHAnsi" w:eastAsia="Calibri" w:hAnsiTheme="majorHAnsi" w:cstheme="majorHAnsi"/>
                <w:sz w:val="21"/>
                <w:szCs w:val="21"/>
              </w:rPr>
              <w:t xml:space="preserve">Proposals in policy areas of vulnerable </w:t>
            </w:r>
            <w:r w:rsidRPr="00717682">
              <w:rPr>
                <w:rFonts w:asciiTheme="majorHAnsi" w:eastAsia="Calibri" w:hAnsiTheme="majorHAnsi" w:cstheme="majorHAnsi"/>
                <w:color w:val="000000" w:themeColor="text1"/>
                <w:sz w:val="21"/>
                <w:szCs w:val="21"/>
              </w:rPr>
              <w:t xml:space="preserve">children (age 5–14, or school years 1–10) and disengaged youth (age 15–24). Closed 10 September 2018. Consortium led by Berry Street Victoria, Victorian Aboriginal Child Care Agency (VACCA), and Melbourne </w:t>
            </w:r>
            <w:proofErr w:type="spellStart"/>
            <w:r w:rsidRPr="00717682">
              <w:rPr>
                <w:rFonts w:asciiTheme="majorHAnsi" w:eastAsia="Calibri" w:hAnsiTheme="majorHAnsi" w:cstheme="majorHAnsi"/>
                <w:color w:val="000000" w:themeColor="text1"/>
                <w:sz w:val="21"/>
                <w:szCs w:val="21"/>
              </w:rPr>
              <w:t>CityMission</w:t>
            </w:r>
            <w:proofErr w:type="spellEnd"/>
            <w:r w:rsidRPr="00717682">
              <w:rPr>
                <w:rFonts w:asciiTheme="majorHAnsi" w:eastAsia="Calibri" w:hAnsiTheme="majorHAnsi" w:cstheme="majorHAnsi"/>
                <w:color w:val="000000" w:themeColor="text1"/>
                <w:sz w:val="21"/>
                <w:szCs w:val="21"/>
              </w:rPr>
              <w:t xml:space="preserve"> chosen to progress to Joint Development Phase.</w:t>
            </w:r>
          </w:p>
          <w:p w14:paraId="29A1A0D3" w14:textId="77777777" w:rsidR="005F5B61" w:rsidRPr="00717682" w:rsidRDefault="005F5B61" w:rsidP="00A1784D">
            <w:pPr>
              <w:rPr>
                <w:rFonts w:asciiTheme="majorHAnsi" w:hAnsiTheme="majorHAnsi" w:cstheme="majorHAnsi"/>
                <w:sz w:val="16"/>
                <w:szCs w:val="16"/>
              </w:rPr>
            </w:pPr>
          </w:p>
          <w:p w14:paraId="38A37CFE" w14:textId="77777777" w:rsidR="005F5B61" w:rsidRPr="00717682" w:rsidRDefault="005F5B61" w:rsidP="00A1784D">
            <w:pPr>
              <w:rPr>
                <w:rFonts w:asciiTheme="majorHAnsi" w:eastAsia="Times New Roman" w:hAnsiTheme="majorHAnsi" w:cstheme="majorHAnsi"/>
                <w:color w:val="000000" w:themeColor="text1"/>
                <w:sz w:val="21"/>
                <w:szCs w:val="21"/>
              </w:rPr>
            </w:pPr>
            <w:r w:rsidRPr="00717682">
              <w:rPr>
                <w:rFonts w:asciiTheme="majorHAnsi" w:eastAsia="Times New Roman" w:hAnsiTheme="majorHAnsi" w:cstheme="majorHAnsi"/>
                <w:b/>
                <w:bCs/>
                <w:color w:val="000000" w:themeColor="text1"/>
                <w:sz w:val="21"/>
                <w:szCs w:val="21"/>
              </w:rPr>
              <w:t>Social Impact Bonds Pilot Program (COMPASS):</w:t>
            </w:r>
            <w:r w:rsidRPr="00717682">
              <w:rPr>
                <w:rFonts w:asciiTheme="majorHAnsi" w:eastAsia="Times New Roman" w:hAnsiTheme="majorHAnsi" w:cstheme="majorHAnsi"/>
                <w:color w:val="000000" w:themeColor="text1"/>
                <w:sz w:val="21"/>
                <w:szCs w:val="21"/>
              </w:rPr>
              <w:t xml:space="preserve"> Co-delivered by Anglicare Victoria and </w:t>
            </w:r>
            <w:proofErr w:type="spellStart"/>
            <w:r w:rsidRPr="00717682">
              <w:rPr>
                <w:rFonts w:asciiTheme="majorHAnsi" w:eastAsia="Times New Roman" w:hAnsiTheme="majorHAnsi" w:cstheme="majorHAnsi"/>
                <w:color w:val="000000" w:themeColor="text1"/>
                <w:sz w:val="21"/>
                <w:szCs w:val="21"/>
              </w:rPr>
              <w:t>VincentCare</w:t>
            </w:r>
            <w:proofErr w:type="spellEnd"/>
            <w:r w:rsidRPr="00717682">
              <w:rPr>
                <w:rFonts w:asciiTheme="majorHAnsi" w:eastAsia="Times New Roman" w:hAnsiTheme="majorHAnsi" w:cstheme="majorHAnsi"/>
                <w:color w:val="000000" w:themeColor="text1"/>
                <w:sz w:val="21"/>
                <w:szCs w:val="21"/>
              </w:rPr>
              <w:t xml:space="preserve">, </w:t>
            </w:r>
            <w:r>
              <w:rPr>
                <w:rFonts w:asciiTheme="majorHAnsi" w:eastAsia="Times New Roman" w:hAnsiTheme="majorHAnsi" w:cstheme="majorHAnsi"/>
                <w:color w:val="000000" w:themeColor="text1"/>
                <w:sz w:val="21"/>
                <w:szCs w:val="21"/>
              </w:rPr>
              <w:t>combines</w:t>
            </w:r>
            <w:r w:rsidRPr="00717682">
              <w:rPr>
                <w:rFonts w:asciiTheme="majorHAnsi" w:eastAsia="Times New Roman" w:hAnsiTheme="majorHAnsi" w:cstheme="majorHAnsi"/>
                <w:color w:val="000000" w:themeColor="text1"/>
                <w:sz w:val="21"/>
                <w:szCs w:val="21"/>
              </w:rPr>
              <w:t xml:space="preserve"> individualised case management, specialist support, and stable housing to improve outcomes for young people leaving out-of-home care.</w:t>
            </w:r>
          </w:p>
          <w:p w14:paraId="72FEFAE8" w14:textId="77777777" w:rsidR="005F5B61" w:rsidRPr="00717682" w:rsidRDefault="005F5B61" w:rsidP="00A1784D">
            <w:pPr>
              <w:rPr>
                <w:rFonts w:asciiTheme="majorHAnsi" w:hAnsiTheme="majorHAnsi" w:cstheme="majorHAnsi"/>
                <w:sz w:val="16"/>
                <w:szCs w:val="16"/>
              </w:rPr>
            </w:pPr>
          </w:p>
          <w:p w14:paraId="3AEC7FEE" w14:textId="77777777" w:rsidR="005F5B61" w:rsidRPr="00717682" w:rsidRDefault="00C8131A" w:rsidP="00A1784D">
            <w:pPr>
              <w:rPr>
                <w:rFonts w:asciiTheme="majorHAnsi" w:hAnsiTheme="majorHAnsi" w:cstheme="majorHAnsi"/>
                <w:sz w:val="21"/>
                <w:szCs w:val="21"/>
              </w:rPr>
            </w:pPr>
            <w:hyperlink r:id="rId16">
              <w:r w:rsidR="005F5B61" w:rsidRPr="00717682">
                <w:rPr>
                  <w:rStyle w:val="Hyperlink"/>
                  <w:rFonts w:asciiTheme="majorHAnsi" w:eastAsia="Times New Roman" w:hAnsiTheme="majorHAnsi" w:cstheme="majorHAnsi"/>
                  <w:b/>
                  <w:bCs/>
                  <w:sz w:val="21"/>
                  <w:szCs w:val="21"/>
                </w:rPr>
                <w:t>Expert Advisory Panel for Rural and Regional Students</w:t>
              </w:r>
            </w:hyperlink>
            <w:r w:rsidR="005F5B61" w:rsidRPr="00717682">
              <w:rPr>
                <w:rStyle w:val="Hyperlink"/>
                <w:rFonts w:asciiTheme="majorHAnsi" w:eastAsia="Times New Roman" w:hAnsiTheme="majorHAnsi" w:cstheme="majorHAnsi"/>
                <w:b/>
                <w:bCs/>
                <w:sz w:val="21"/>
                <w:szCs w:val="21"/>
              </w:rPr>
              <w:t>:</w:t>
            </w:r>
            <w:r w:rsidR="005F5B61" w:rsidRPr="00717682">
              <w:rPr>
                <w:rFonts w:asciiTheme="majorHAnsi" w:eastAsia="Times New Roman" w:hAnsiTheme="majorHAnsi" w:cstheme="majorHAnsi"/>
                <w:b/>
                <w:bCs/>
                <w:sz w:val="21"/>
                <w:szCs w:val="21"/>
              </w:rPr>
              <w:t xml:space="preserve"> </w:t>
            </w:r>
            <w:r w:rsidR="005F5B61" w:rsidRPr="00717682">
              <w:rPr>
                <w:rFonts w:asciiTheme="majorHAnsi" w:eastAsia="Times New Roman" w:hAnsiTheme="majorHAnsi" w:cstheme="majorHAnsi"/>
                <w:sz w:val="21"/>
                <w:szCs w:val="21"/>
              </w:rPr>
              <w:t>A</w:t>
            </w:r>
            <w:r w:rsidR="005F5B61" w:rsidRPr="00717682">
              <w:rPr>
                <w:rFonts w:asciiTheme="majorHAnsi" w:hAnsiTheme="majorHAnsi" w:cstheme="majorHAnsi"/>
                <w:sz w:val="21"/>
                <w:szCs w:val="21"/>
              </w:rPr>
              <w:t xml:space="preserve"> </w:t>
            </w:r>
            <w:r w:rsidR="005F5B61" w:rsidRPr="00717682">
              <w:rPr>
                <w:rFonts w:asciiTheme="majorHAnsi" w:eastAsia="Times New Roman" w:hAnsiTheme="majorHAnsi" w:cstheme="majorHAnsi"/>
                <w:color w:val="000000" w:themeColor="text1"/>
                <w:sz w:val="21"/>
                <w:szCs w:val="21"/>
              </w:rPr>
              <w:t xml:space="preserve">2019 panel report made eight recommendations for change. Every local challenge requires a local approach and solution; </w:t>
            </w:r>
            <w:proofErr w:type="gramStart"/>
            <w:r w:rsidR="005F5B61" w:rsidRPr="00717682">
              <w:rPr>
                <w:rFonts w:asciiTheme="majorHAnsi" w:eastAsia="Times New Roman" w:hAnsiTheme="majorHAnsi" w:cstheme="majorHAnsi"/>
                <w:color w:val="000000" w:themeColor="text1"/>
                <w:sz w:val="21"/>
                <w:szCs w:val="21"/>
              </w:rPr>
              <w:t>the vast majority of</w:t>
            </w:r>
            <w:proofErr w:type="gramEnd"/>
            <w:r w:rsidR="005F5B61" w:rsidRPr="00717682">
              <w:rPr>
                <w:rFonts w:asciiTheme="majorHAnsi" w:eastAsia="Times New Roman" w:hAnsiTheme="majorHAnsi" w:cstheme="majorHAnsi"/>
                <w:color w:val="000000" w:themeColor="text1"/>
                <w:sz w:val="21"/>
                <w:szCs w:val="21"/>
              </w:rPr>
              <w:t xml:space="preserve"> regional Victorian students are receiving good education, but rural and remote teachers face both common and distinct challenges.</w:t>
            </w:r>
          </w:p>
          <w:p w14:paraId="1DF4ABCC" w14:textId="77777777" w:rsidR="005F5B61" w:rsidRPr="00717682" w:rsidRDefault="005F5B61" w:rsidP="00A1784D">
            <w:pPr>
              <w:rPr>
                <w:rFonts w:asciiTheme="majorHAnsi" w:eastAsia="Times New Roman" w:hAnsiTheme="majorHAnsi" w:cstheme="majorHAnsi"/>
                <w:color w:val="000000" w:themeColor="text1"/>
                <w:sz w:val="16"/>
                <w:szCs w:val="16"/>
              </w:rPr>
            </w:pPr>
          </w:p>
          <w:p w14:paraId="4E6F7EE2"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color w:val="000000" w:themeColor="text1"/>
                <w:sz w:val="21"/>
                <w:szCs w:val="21"/>
              </w:rPr>
              <w:t>Regional Performance Framework</w:t>
            </w:r>
            <w:r w:rsidRPr="00717682">
              <w:rPr>
                <w:rFonts w:asciiTheme="majorHAnsi" w:hAnsiTheme="majorHAnsi" w:cstheme="majorHAnsi"/>
                <w:sz w:val="21"/>
                <w:szCs w:val="21"/>
              </w:rPr>
              <w:t xml:space="preserve">: </w:t>
            </w:r>
            <w:r w:rsidRPr="00717682">
              <w:rPr>
                <w:rFonts w:asciiTheme="majorHAnsi" w:eastAsia="Times New Roman" w:hAnsiTheme="majorHAnsi" w:cstheme="majorHAnsi"/>
                <w:color w:val="000000" w:themeColor="text1"/>
                <w:sz w:val="21"/>
                <w:szCs w:val="21"/>
              </w:rPr>
              <w:t>Supports measurement and monitoring of regional schools’ performance.</w:t>
            </w:r>
          </w:p>
          <w:p w14:paraId="266392C6" w14:textId="77777777" w:rsidR="005F5B61" w:rsidRPr="00717682" w:rsidRDefault="005F5B61" w:rsidP="00A1784D">
            <w:pPr>
              <w:rPr>
                <w:rFonts w:asciiTheme="majorHAnsi" w:hAnsiTheme="majorHAnsi" w:cstheme="majorHAnsi"/>
                <w:sz w:val="16"/>
                <w:szCs w:val="16"/>
              </w:rPr>
            </w:pPr>
          </w:p>
          <w:p w14:paraId="55027445" w14:textId="77777777" w:rsidR="005F5B61" w:rsidRPr="00717682" w:rsidRDefault="00C8131A" w:rsidP="00A1784D">
            <w:pPr>
              <w:rPr>
                <w:rFonts w:asciiTheme="majorHAnsi" w:hAnsiTheme="majorHAnsi" w:cstheme="majorHAnsi"/>
                <w:sz w:val="21"/>
                <w:szCs w:val="21"/>
              </w:rPr>
            </w:pPr>
            <w:hyperlink r:id="rId17">
              <w:r w:rsidR="005F5B61" w:rsidRPr="00717682">
                <w:rPr>
                  <w:rStyle w:val="Hyperlink"/>
                  <w:rFonts w:asciiTheme="majorHAnsi" w:eastAsia="Times New Roman" w:hAnsiTheme="majorHAnsi" w:cstheme="majorHAnsi"/>
                  <w:b/>
                  <w:bCs/>
                  <w:sz w:val="21"/>
                  <w:szCs w:val="21"/>
                </w:rPr>
                <w:t>Skills First</w:t>
              </w:r>
            </w:hyperlink>
            <w:r w:rsidR="005F5B61" w:rsidRPr="00717682">
              <w:rPr>
                <w:rFonts w:asciiTheme="majorHAnsi" w:hAnsiTheme="majorHAnsi" w:cstheme="majorHAnsi"/>
                <w:sz w:val="21"/>
                <w:szCs w:val="21"/>
              </w:rPr>
              <w:t xml:space="preserve">: </w:t>
            </w:r>
            <w:r w:rsidR="005F5B61" w:rsidRPr="00717682">
              <w:rPr>
                <w:rFonts w:asciiTheme="majorHAnsi" w:eastAsia="Times New Roman" w:hAnsiTheme="majorHAnsi" w:cstheme="majorHAnsi"/>
                <w:color w:val="000000" w:themeColor="text1"/>
                <w:sz w:val="21"/>
                <w:szCs w:val="21"/>
              </w:rPr>
              <w:t xml:space="preserve">Offers access to targeted and relevant training for students in regional areas. Aim is for training to align with industry and local needs. Funding provided for placements, coordination, and elimination of “dodgy operators”. </w:t>
            </w:r>
          </w:p>
          <w:p w14:paraId="5A3359B3" w14:textId="77777777" w:rsidR="005F5B61" w:rsidRPr="00717682" w:rsidRDefault="005F5B61" w:rsidP="00A1784D">
            <w:pPr>
              <w:rPr>
                <w:rFonts w:asciiTheme="majorHAnsi" w:hAnsiTheme="majorHAnsi" w:cstheme="majorHAnsi"/>
                <w:sz w:val="16"/>
                <w:szCs w:val="16"/>
              </w:rPr>
            </w:pPr>
          </w:p>
          <w:p w14:paraId="7F0511AC"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color w:val="000000" w:themeColor="text1"/>
                <w:sz w:val="21"/>
                <w:szCs w:val="21"/>
              </w:rPr>
              <w:t>TAFE Asset Maintenance Fund</w:t>
            </w:r>
            <w:r w:rsidRPr="00717682">
              <w:rPr>
                <w:rFonts w:asciiTheme="majorHAnsi" w:hAnsiTheme="majorHAnsi" w:cstheme="majorHAnsi"/>
                <w:sz w:val="21"/>
                <w:szCs w:val="21"/>
              </w:rPr>
              <w:t xml:space="preserve">: </w:t>
            </w:r>
            <w:r w:rsidRPr="00717682">
              <w:rPr>
                <w:rFonts w:asciiTheme="majorHAnsi" w:eastAsia="Times New Roman" w:hAnsiTheme="majorHAnsi" w:cstheme="majorHAnsi"/>
                <w:color w:val="000000" w:themeColor="text1"/>
                <w:sz w:val="21"/>
                <w:szCs w:val="21"/>
              </w:rPr>
              <w:t xml:space="preserve">Included funding in 2019–2020 </w:t>
            </w:r>
            <w:r>
              <w:rPr>
                <w:rFonts w:asciiTheme="majorHAnsi" w:eastAsia="Times New Roman" w:hAnsiTheme="majorHAnsi" w:cstheme="majorHAnsi"/>
                <w:color w:val="000000" w:themeColor="text1"/>
                <w:sz w:val="21"/>
                <w:szCs w:val="21"/>
              </w:rPr>
              <w:t xml:space="preserve">Victorian </w:t>
            </w:r>
            <w:r w:rsidRPr="00717682">
              <w:rPr>
                <w:rFonts w:asciiTheme="majorHAnsi" w:eastAsia="Times New Roman" w:hAnsiTheme="majorHAnsi" w:cstheme="majorHAnsi"/>
                <w:color w:val="000000" w:themeColor="text1"/>
                <w:sz w:val="21"/>
                <w:szCs w:val="21"/>
              </w:rPr>
              <w:t xml:space="preserve">State Budget to upgrade Geelong TAFE Campuses, but few specifics available online. </w:t>
            </w:r>
          </w:p>
          <w:p w14:paraId="0083F809" w14:textId="77777777" w:rsidR="005F5B61" w:rsidRPr="00717682" w:rsidRDefault="005F5B61" w:rsidP="00A1784D">
            <w:pPr>
              <w:rPr>
                <w:rFonts w:asciiTheme="majorHAnsi" w:hAnsiTheme="majorHAnsi" w:cstheme="majorHAnsi"/>
                <w:sz w:val="16"/>
                <w:szCs w:val="16"/>
              </w:rPr>
            </w:pPr>
          </w:p>
          <w:p w14:paraId="61CF312E" w14:textId="77777777" w:rsidR="005F5B61" w:rsidRPr="00717682" w:rsidRDefault="00C8131A" w:rsidP="00A1784D">
            <w:pPr>
              <w:rPr>
                <w:rFonts w:asciiTheme="majorHAnsi" w:hAnsiTheme="majorHAnsi" w:cstheme="majorHAnsi"/>
                <w:sz w:val="21"/>
                <w:szCs w:val="21"/>
              </w:rPr>
            </w:pPr>
            <w:hyperlink r:id="rId18">
              <w:r w:rsidR="005F5B61" w:rsidRPr="00717682">
                <w:rPr>
                  <w:rStyle w:val="Hyperlink"/>
                  <w:rFonts w:asciiTheme="majorHAnsi" w:eastAsia="Times New Roman" w:hAnsiTheme="majorHAnsi" w:cstheme="majorHAnsi"/>
                  <w:b/>
                  <w:bCs/>
                  <w:sz w:val="21"/>
                  <w:szCs w:val="21"/>
                </w:rPr>
                <w:t>Regional and Specialist Training Fund</w:t>
              </w:r>
            </w:hyperlink>
            <w:r w:rsidR="005F5B61" w:rsidRPr="00717682">
              <w:rPr>
                <w:rFonts w:asciiTheme="majorHAnsi" w:hAnsiTheme="majorHAnsi" w:cstheme="majorHAnsi"/>
                <w:sz w:val="21"/>
                <w:szCs w:val="21"/>
              </w:rPr>
              <w:t xml:space="preserve">: </w:t>
            </w:r>
            <w:r w:rsidR="005F5B61" w:rsidRPr="00717682">
              <w:rPr>
                <w:rFonts w:asciiTheme="majorHAnsi" w:eastAsia="Times New Roman" w:hAnsiTheme="majorHAnsi" w:cstheme="majorHAnsi"/>
                <w:color w:val="000000" w:themeColor="text1"/>
                <w:sz w:val="21"/>
                <w:szCs w:val="21"/>
              </w:rPr>
              <w:t xml:space="preserve">Available in 2019, targeted to support training in regional and specialist areas for specific skills not currently being met by the training market. </w:t>
            </w:r>
          </w:p>
          <w:p w14:paraId="649EAF97" w14:textId="77777777" w:rsidR="005F5B61" w:rsidRPr="00717682" w:rsidRDefault="005F5B61" w:rsidP="00A1784D">
            <w:pPr>
              <w:rPr>
                <w:rFonts w:asciiTheme="majorHAnsi" w:hAnsiTheme="majorHAnsi" w:cstheme="majorHAnsi"/>
                <w:sz w:val="12"/>
                <w:szCs w:val="12"/>
              </w:rPr>
            </w:pPr>
          </w:p>
        </w:tc>
        <w:tc>
          <w:tcPr>
            <w:tcW w:w="2843" w:type="dxa"/>
          </w:tcPr>
          <w:p w14:paraId="768EF933"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sz w:val="21"/>
                <w:szCs w:val="21"/>
                <w:lang w:val="en-GB"/>
              </w:rPr>
              <w:t xml:space="preserve">No specific reference to these </w:t>
            </w:r>
            <w:proofErr w:type="gramStart"/>
            <w:r w:rsidRPr="00717682">
              <w:rPr>
                <w:rFonts w:asciiTheme="majorHAnsi" w:eastAsia="Times New Roman" w:hAnsiTheme="majorHAnsi" w:cstheme="majorHAnsi"/>
                <w:sz w:val="21"/>
                <w:szCs w:val="21"/>
                <w:lang w:val="en-GB"/>
              </w:rPr>
              <w:t>localities</w:t>
            </w:r>
            <w:r>
              <w:rPr>
                <w:rFonts w:asciiTheme="majorHAnsi" w:eastAsia="Times New Roman" w:hAnsiTheme="majorHAnsi" w:cstheme="majorHAnsi"/>
                <w:sz w:val="21"/>
                <w:szCs w:val="21"/>
                <w:lang w:val="en-GB"/>
              </w:rPr>
              <w:t>,</w:t>
            </w:r>
            <w:r w:rsidRPr="00717682">
              <w:rPr>
                <w:rFonts w:asciiTheme="majorHAnsi" w:eastAsia="Times New Roman" w:hAnsiTheme="majorHAnsi" w:cstheme="majorHAnsi"/>
                <w:sz w:val="21"/>
                <w:szCs w:val="21"/>
                <w:lang w:val="en-GB"/>
              </w:rPr>
              <w:t xml:space="preserve"> but</w:t>
            </w:r>
            <w:proofErr w:type="gramEnd"/>
            <w:r w:rsidRPr="00717682">
              <w:rPr>
                <w:rFonts w:asciiTheme="majorHAnsi" w:eastAsia="Times New Roman" w:hAnsiTheme="majorHAnsi" w:cstheme="majorHAnsi"/>
                <w:sz w:val="21"/>
                <w:szCs w:val="21"/>
                <w:lang w:val="en-GB"/>
              </w:rPr>
              <w:t xml:space="preserve"> could be relevant.</w:t>
            </w:r>
          </w:p>
          <w:p w14:paraId="65FB1827"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sz w:val="21"/>
                <w:szCs w:val="21"/>
                <w:lang w:val="en-GB"/>
              </w:rPr>
              <w:t xml:space="preserve"> </w:t>
            </w:r>
          </w:p>
          <w:p w14:paraId="6CDA8F78"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sz w:val="21"/>
                <w:szCs w:val="21"/>
                <w:lang w:val="en-GB"/>
              </w:rPr>
              <w:t xml:space="preserve"> </w:t>
            </w:r>
          </w:p>
          <w:p w14:paraId="17BEDFBD"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sz w:val="21"/>
                <w:szCs w:val="21"/>
                <w:lang w:val="en-GB"/>
              </w:rPr>
              <w:t xml:space="preserve"> </w:t>
            </w:r>
          </w:p>
          <w:p w14:paraId="109A13EE"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sz w:val="21"/>
                <w:szCs w:val="21"/>
                <w:lang w:val="en-GB"/>
              </w:rPr>
              <w:t xml:space="preserve"> </w:t>
            </w:r>
          </w:p>
          <w:p w14:paraId="01FB42C5"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sz w:val="21"/>
                <w:szCs w:val="21"/>
                <w:lang w:val="en-GB"/>
              </w:rPr>
              <w:t xml:space="preserve"> </w:t>
            </w:r>
          </w:p>
          <w:p w14:paraId="1F3D209D"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sz w:val="21"/>
                <w:szCs w:val="21"/>
                <w:lang w:val="en-GB"/>
              </w:rPr>
              <w:t xml:space="preserve"> </w:t>
            </w:r>
          </w:p>
          <w:p w14:paraId="0718DE7D"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sz w:val="21"/>
                <w:szCs w:val="21"/>
                <w:lang w:val="en-GB"/>
              </w:rPr>
              <w:t xml:space="preserve"> </w:t>
            </w:r>
          </w:p>
          <w:p w14:paraId="601C1569"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sz w:val="21"/>
                <w:szCs w:val="21"/>
                <w:lang w:val="en-GB"/>
              </w:rPr>
              <w:t xml:space="preserve"> </w:t>
            </w:r>
          </w:p>
          <w:p w14:paraId="306E393C"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sz w:val="21"/>
                <w:szCs w:val="21"/>
                <w:lang w:val="en-GB"/>
              </w:rPr>
              <w:t xml:space="preserve"> </w:t>
            </w:r>
          </w:p>
          <w:p w14:paraId="0F966F58"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sz w:val="21"/>
                <w:szCs w:val="21"/>
                <w:lang w:val="en-GB"/>
              </w:rPr>
              <w:t xml:space="preserve"> </w:t>
            </w:r>
          </w:p>
          <w:p w14:paraId="193A2D75"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sz w:val="21"/>
                <w:szCs w:val="21"/>
                <w:lang w:val="en-GB"/>
              </w:rPr>
              <w:t xml:space="preserve"> </w:t>
            </w:r>
          </w:p>
          <w:p w14:paraId="67EE949A"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sz w:val="21"/>
                <w:szCs w:val="21"/>
                <w:lang w:val="en-GB"/>
              </w:rPr>
              <w:t xml:space="preserve"> </w:t>
            </w:r>
          </w:p>
          <w:p w14:paraId="46C7D381"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sz w:val="21"/>
                <w:szCs w:val="21"/>
                <w:lang w:val="en-GB"/>
              </w:rPr>
              <w:t xml:space="preserve"> </w:t>
            </w:r>
          </w:p>
          <w:p w14:paraId="7B09C37E"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sz w:val="21"/>
                <w:szCs w:val="21"/>
                <w:lang w:val="en-GB"/>
              </w:rPr>
              <w:t xml:space="preserve"> </w:t>
            </w:r>
          </w:p>
          <w:p w14:paraId="409DAB7D"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sz w:val="21"/>
                <w:szCs w:val="21"/>
                <w:lang w:val="en-GB"/>
              </w:rPr>
              <w:t xml:space="preserve"> </w:t>
            </w:r>
          </w:p>
          <w:p w14:paraId="7BC8B7D8" w14:textId="77777777" w:rsidR="005F5B61" w:rsidRPr="00717682" w:rsidRDefault="005F5B61" w:rsidP="00A1784D">
            <w:pPr>
              <w:rPr>
                <w:rFonts w:asciiTheme="majorHAnsi" w:hAnsiTheme="majorHAnsi" w:cstheme="majorHAnsi"/>
                <w:sz w:val="21"/>
                <w:szCs w:val="21"/>
              </w:rPr>
            </w:pPr>
            <w:r w:rsidRPr="00717682">
              <w:rPr>
                <w:rFonts w:asciiTheme="majorHAnsi" w:eastAsia="Times New Roman" w:hAnsiTheme="majorHAnsi" w:cstheme="majorHAnsi"/>
                <w:b/>
                <w:bCs/>
                <w:sz w:val="21"/>
                <w:szCs w:val="21"/>
                <w:lang w:val="en-GB"/>
              </w:rPr>
              <w:t xml:space="preserve"> </w:t>
            </w:r>
          </w:p>
          <w:p w14:paraId="68D0BB5D" w14:textId="77777777" w:rsidR="000A086C" w:rsidRDefault="000A086C" w:rsidP="00A1784D">
            <w:pPr>
              <w:rPr>
                <w:rFonts w:asciiTheme="majorHAnsi" w:eastAsia="Times New Roman" w:hAnsiTheme="majorHAnsi" w:cstheme="majorBidi"/>
                <w:sz w:val="21"/>
                <w:szCs w:val="21"/>
                <w:lang w:val="en-GB"/>
              </w:rPr>
            </w:pPr>
          </w:p>
          <w:p w14:paraId="5B65043D" w14:textId="77777777" w:rsidR="000A086C" w:rsidRDefault="000A086C" w:rsidP="00A1784D">
            <w:pPr>
              <w:rPr>
                <w:rFonts w:asciiTheme="majorHAnsi" w:eastAsia="Times New Roman" w:hAnsiTheme="majorHAnsi" w:cstheme="majorBidi"/>
                <w:sz w:val="21"/>
                <w:szCs w:val="21"/>
                <w:lang w:val="en-GB"/>
              </w:rPr>
            </w:pPr>
          </w:p>
          <w:p w14:paraId="0C7A4834" w14:textId="77777777" w:rsidR="000A086C" w:rsidRDefault="000A086C" w:rsidP="00A1784D">
            <w:pPr>
              <w:rPr>
                <w:rFonts w:asciiTheme="majorHAnsi" w:eastAsia="Times New Roman" w:hAnsiTheme="majorHAnsi" w:cstheme="majorBidi"/>
                <w:sz w:val="21"/>
                <w:szCs w:val="21"/>
                <w:lang w:val="en-GB"/>
              </w:rPr>
            </w:pPr>
          </w:p>
          <w:p w14:paraId="48C4264D" w14:textId="77777777" w:rsidR="000A086C" w:rsidRDefault="000A086C" w:rsidP="00A1784D">
            <w:pPr>
              <w:rPr>
                <w:rFonts w:asciiTheme="majorHAnsi" w:eastAsia="Times New Roman" w:hAnsiTheme="majorHAnsi" w:cstheme="majorBidi"/>
                <w:sz w:val="21"/>
                <w:szCs w:val="21"/>
                <w:lang w:val="en-GB"/>
              </w:rPr>
            </w:pPr>
          </w:p>
          <w:p w14:paraId="5E5983C4" w14:textId="77777777" w:rsidR="000A086C" w:rsidRDefault="000A086C" w:rsidP="00A1784D">
            <w:pPr>
              <w:rPr>
                <w:rFonts w:asciiTheme="majorHAnsi" w:eastAsia="Times New Roman" w:hAnsiTheme="majorHAnsi" w:cstheme="majorBidi"/>
                <w:sz w:val="21"/>
                <w:szCs w:val="21"/>
                <w:lang w:val="en-GB"/>
              </w:rPr>
            </w:pPr>
          </w:p>
          <w:p w14:paraId="28665ECD" w14:textId="77777777" w:rsidR="000A086C" w:rsidRDefault="000A086C" w:rsidP="00A1784D">
            <w:pPr>
              <w:rPr>
                <w:rFonts w:asciiTheme="majorHAnsi" w:eastAsia="Times New Roman" w:hAnsiTheme="majorHAnsi" w:cstheme="majorBidi"/>
                <w:sz w:val="21"/>
                <w:szCs w:val="21"/>
                <w:lang w:val="en-GB"/>
              </w:rPr>
            </w:pPr>
          </w:p>
          <w:p w14:paraId="5F9DE3E3" w14:textId="77777777" w:rsidR="000A086C" w:rsidRDefault="000A086C" w:rsidP="00A1784D">
            <w:pPr>
              <w:rPr>
                <w:rFonts w:asciiTheme="majorHAnsi" w:eastAsia="Times New Roman" w:hAnsiTheme="majorHAnsi" w:cstheme="majorBidi"/>
                <w:sz w:val="21"/>
                <w:szCs w:val="21"/>
                <w:lang w:val="en-GB"/>
              </w:rPr>
            </w:pPr>
          </w:p>
          <w:p w14:paraId="7439399F" w14:textId="77777777" w:rsidR="000A086C" w:rsidRDefault="000A086C" w:rsidP="00A1784D">
            <w:pPr>
              <w:rPr>
                <w:rFonts w:asciiTheme="majorHAnsi" w:eastAsia="Times New Roman" w:hAnsiTheme="majorHAnsi" w:cstheme="majorBidi"/>
                <w:sz w:val="21"/>
                <w:szCs w:val="21"/>
                <w:lang w:val="en-GB"/>
              </w:rPr>
            </w:pPr>
          </w:p>
          <w:p w14:paraId="73AE1715" w14:textId="77777777" w:rsidR="000A086C" w:rsidRDefault="000A086C" w:rsidP="00A1784D">
            <w:pPr>
              <w:rPr>
                <w:rFonts w:asciiTheme="majorHAnsi" w:eastAsia="Times New Roman" w:hAnsiTheme="majorHAnsi" w:cstheme="majorBidi"/>
                <w:sz w:val="21"/>
                <w:szCs w:val="21"/>
                <w:lang w:val="en-GB"/>
              </w:rPr>
            </w:pPr>
          </w:p>
          <w:p w14:paraId="5E41C6B6" w14:textId="52647A21" w:rsidR="005F5B61" w:rsidRPr="00717682" w:rsidRDefault="005F5B61" w:rsidP="00A1784D">
            <w:pPr>
              <w:rPr>
                <w:rFonts w:asciiTheme="majorHAnsi" w:hAnsiTheme="majorHAnsi" w:cstheme="majorBidi"/>
                <w:sz w:val="21"/>
                <w:szCs w:val="21"/>
              </w:rPr>
            </w:pPr>
            <w:r w:rsidRPr="778E395A">
              <w:rPr>
                <w:rFonts w:asciiTheme="majorHAnsi" w:eastAsia="Times New Roman" w:hAnsiTheme="majorHAnsi" w:cstheme="majorBidi"/>
                <w:sz w:val="21"/>
                <w:szCs w:val="21"/>
                <w:lang w:val="en-GB"/>
              </w:rPr>
              <w:t>No specific reference to these localities.</w:t>
            </w:r>
          </w:p>
        </w:tc>
      </w:tr>
      <w:tr w:rsidR="005F5B61" w:rsidRPr="00AB7E66" w14:paraId="5157B03F" w14:textId="77777777" w:rsidTr="00A05406">
        <w:trPr>
          <w:trHeight w:val="416"/>
        </w:trPr>
        <w:tc>
          <w:tcPr>
            <w:tcW w:w="960" w:type="dxa"/>
          </w:tcPr>
          <w:p w14:paraId="2734B8BD" w14:textId="77777777" w:rsidR="005F5B61" w:rsidRPr="00E4140A" w:rsidRDefault="005F5B61" w:rsidP="00A1784D">
            <w:pPr>
              <w:rPr>
                <w:rFonts w:asciiTheme="majorHAnsi" w:hAnsiTheme="majorHAnsi" w:cstheme="majorHAnsi"/>
                <w:noProof/>
                <w:color w:val="2B579A"/>
                <w:sz w:val="6"/>
                <w:szCs w:val="6"/>
                <w:shd w:val="clear" w:color="auto" w:fill="E6E6E6"/>
                <w:lang w:eastAsia="zh-CN"/>
              </w:rPr>
            </w:pPr>
            <w:r w:rsidRPr="00E4140A">
              <w:rPr>
                <w:rFonts w:asciiTheme="majorHAnsi" w:hAnsiTheme="majorHAnsi" w:cstheme="majorHAnsi"/>
                <w:noProof/>
                <w:color w:val="2B579A"/>
                <w:sz w:val="6"/>
                <w:szCs w:val="6"/>
                <w:shd w:val="clear" w:color="auto" w:fill="E6E6E6"/>
                <w:lang w:eastAsia="zh-CN"/>
              </w:rPr>
              <mc:AlternateContent>
                <mc:Choice Requires="wps">
                  <w:drawing>
                    <wp:anchor distT="45720" distB="45720" distL="114300" distR="114300" simplePos="0" relativeHeight="251666432" behindDoc="0" locked="0" layoutInCell="1" allowOverlap="1" wp14:anchorId="2C114777" wp14:editId="2E2BF2F1">
                      <wp:simplePos x="0" y="0"/>
                      <wp:positionH relativeFrom="page">
                        <wp:posOffset>-401320</wp:posOffset>
                      </wp:positionH>
                      <wp:positionV relativeFrom="paragraph">
                        <wp:posOffset>808990</wp:posOffset>
                      </wp:positionV>
                      <wp:extent cx="1522730" cy="341630"/>
                      <wp:effectExtent l="0" t="0" r="127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22730" cy="341630"/>
                              </a:xfrm>
                              <a:prstGeom prst="rect">
                                <a:avLst/>
                              </a:prstGeom>
                              <a:noFill/>
                              <a:ln w="9525">
                                <a:noFill/>
                                <a:miter lim="800000"/>
                                <a:headEnd/>
                                <a:tailEnd/>
                              </a:ln>
                            </wps:spPr>
                            <wps:txbx>
                              <w:txbxContent>
                                <w:p w14:paraId="0CC91C99" w14:textId="34AD7CEF" w:rsidR="005F5B61" w:rsidRPr="004200CF" w:rsidRDefault="005F5B61" w:rsidP="005F5B61">
                                  <w:pPr>
                                    <w:jc w:val="right"/>
                                    <w:rPr>
                                      <w:b/>
                                      <w:bCs/>
                                      <w:color w:val="595959" w:themeColor="text1" w:themeTint="A6"/>
                                    </w:rPr>
                                  </w:pPr>
                                  <w:r>
                                    <w:rPr>
                                      <w:b/>
                                      <w:bCs/>
                                      <w:color w:val="595959" w:themeColor="text1" w:themeTint="A6"/>
                                    </w:rPr>
                                    <w:t>COVID – 19 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14777" id="_x0000_s1029" type="#_x0000_t202" style="position:absolute;margin-left:-31.6pt;margin-top:63.7pt;width:119.9pt;height:26.9pt;rotation:-90;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" filled="f" stroked="f">
                      <v:textbox>
                        <w:txbxContent>
                          <w:p w14:paraId="0CC91C99" w14:textId="34AD7CEF" w:rsidR="005F5B61" w:rsidRPr="004200CF" w:rsidRDefault="005F5B61" w:rsidP="005F5B61">
                            <w:pPr>
                              <w:jc w:val="right"/>
                              <w:rPr>
                                <w:b/>
                                <w:bCs/>
                                <w:color w:val="595959" w:themeColor="text1" w:themeTint="A6"/>
                              </w:rPr>
                            </w:pPr>
                            <w:r>
                              <w:rPr>
                                <w:b/>
                                <w:bCs/>
                                <w:color w:val="595959" w:themeColor="text1" w:themeTint="A6"/>
                              </w:rPr>
                              <w:t>COVID – 19 Context</w:t>
                            </w:r>
                          </w:p>
                        </w:txbxContent>
                      </v:textbox>
                      <w10:wrap type="square" anchorx="page"/>
                    </v:shape>
                  </w:pict>
                </mc:Fallback>
              </mc:AlternateContent>
            </w:r>
          </w:p>
        </w:tc>
        <w:tc>
          <w:tcPr>
            <w:tcW w:w="5834" w:type="dxa"/>
          </w:tcPr>
          <w:p w14:paraId="2C9FE302" w14:textId="77777777" w:rsidR="005F5B61" w:rsidRPr="00A734AD" w:rsidRDefault="005F5B61" w:rsidP="00A1784D">
            <w:pPr>
              <w:rPr>
                <w:rFonts w:asciiTheme="majorHAnsi" w:hAnsiTheme="majorHAnsi" w:cstheme="majorHAnsi"/>
                <w:b/>
                <w:bCs/>
              </w:rPr>
            </w:pPr>
            <w:r>
              <w:rPr>
                <w:rFonts w:asciiTheme="majorHAnsi" w:hAnsiTheme="majorHAnsi" w:cstheme="majorHAnsi"/>
                <w:b/>
                <w:bCs/>
              </w:rPr>
              <w:t xml:space="preserve">State: </w:t>
            </w:r>
            <w:hyperlink r:id="rId19" w:history="1">
              <w:r w:rsidRPr="00A734AD">
                <w:rPr>
                  <w:rStyle w:val="Hyperlink"/>
                  <w:rFonts w:asciiTheme="majorHAnsi" w:hAnsiTheme="majorHAnsi" w:cstheme="majorHAnsi"/>
                  <w:b/>
                  <w:bCs/>
                </w:rPr>
                <w:t>Tutor Learning Initiative 2021</w:t>
              </w:r>
            </w:hyperlink>
            <w:r w:rsidRPr="00F53F84">
              <w:rPr>
                <w:rFonts w:asciiTheme="majorHAnsi" w:hAnsiTheme="majorHAnsi" w:cstheme="majorHAnsi"/>
              </w:rPr>
              <w:t>:</w:t>
            </w:r>
            <w:r w:rsidRPr="00A734AD">
              <w:rPr>
                <w:rFonts w:asciiTheme="majorHAnsi" w:hAnsiTheme="majorHAnsi" w:cstheme="majorHAnsi"/>
                <w:b/>
                <w:bCs/>
              </w:rPr>
              <w:t xml:space="preserve"> </w:t>
            </w:r>
            <w:r w:rsidRPr="00A734AD">
              <w:rPr>
                <w:rFonts w:asciiTheme="majorHAnsi" w:hAnsiTheme="majorHAnsi" w:cstheme="majorHAnsi"/>
              </w:rPr>
              <w:t xml:space="preserve">Additional </w:t>
            </w:r>
            <w:r>
              <w:rPr>
                <w:rFonts w:asciiTheme="majorHAnsi" w:hAnsiTheme="majorHAnsi" w:cstheme="majorHAnsi"/>
              </w:rPr>
              <w:t xml:space="preserve">$250 million </w:t>
            </w:r>
            <w:r w:rsidRPr="00A734AD">
              <w:rPr>
                <w:rFonts w:asciiTheme="majorHAnsi" w:hAnsiTheme="majorHAnsi" w:cstheme="majorHAnsi"/>
              </w:rPr>
              <w:t xml:space="preserve">funding to support students whose learning was disrupted </w:t>
            </w:r>
            <w:r>
              <w:rPr>
                <w:rFonts w:asciiTheme="majorHAnsi" w:hAnsiTheme="majorHAnsi" w:cstheme="majorHAnsi"/>
              </w:rPr>
              <w:t>by</w:t>
            </w:r>
            <w:r w:rsidRPr="00A734AD">
              <w:rPr>
                <w:rFonts w:asciiTheme="majorHAnsi" w:hAnsiTheme="majorHAnsi" w:cstheme="majorHAnsi"/>
              </w:rPr>
              <w:t xml:space="preserve"> the COVID-19 pandemic. Schools must use funding to engage tutors to provide targeted teaching to students </w:t>
            </w:r>
            <w:r>
              <w:rPr>
                <w:rFonts w:asciiTheme="majorHAnsi" w:hAnsiTheme="majorHAnsi" w:cstheme="majorHAnsi"/>
              </w:rPr>
              <w:t xml:space="preserve">identified as </w:t>
            </w:r>
            <w:r w:rsidRPr="00A734AD">
              <w:rPr>
                <w:rFonts w:asciiTheme="majorHAnsi" w:hAnsiTheme="majorHAnsi" w:cstheme="majorHAnsi"/>
              </w:rPr>
              <w:t>needing support.</w:t>
            </w:r>
            <w:r>
              <w:t xml:space="preserve"> </w:t>
            </w:r>
            <w:r>
              <w:rPr>
                <w:rFonts w:asciiTheme="majorHAnsi" w:hAnsiTheme="majorHAnsi" w:cstheme="majorHAnsi"/>
              </w:rPr>
              <w:t>The b</w:t>
            </w:r>
            <w:r w:rsidRPr="00781AD4">
              <w:rPr>
                <w:rFonts w:asciiTheme="majorHAnsi" w:hAnsiTheme="majorHAnsi" w:cstheme="majorHAnsi"/>
              </w:rPr>
              <w:t>ase</w:t>
            </w:r>
            <w:r>
              <w:rPr>
                <w:rFonts w:asciiTheme="majorHAnsi" w:hAnsiTheme="majorHAnsi" w:cstheme="majorHAnsi"/>
              </w:rPr>
              <w:t>-</w:t>
            </w:r>
            <w:r w:rsidRPr="00781AD4">
              <w:rPr>
                <w:rFonts w:asciiTheme="majorHAnsi" w:hAnsiTheme="majorHAnsi" w:cstheme="majorHAnsi"/>
              </w:rPr>
              <w:t>level allocation</w:t>
            </w:r>
            <w:r>
              <w:rPr>
                <w:rFonts w:asciiTheme="majorHAnsi" w:hAnsiTheme="majorHAnsi" w:cstheme="majorHAnsi"/>
              </w:rPr>
              <w:t xml:space="preserve"> per school is</w:t>
            </w:r>
            <w:r w:rsidRPr="00781AD4">
              <w:rPr>
                <w:rFonts w:asciiTheme="majorHAnsi" w:hAnsiTheme="majorHAnsi" w:cstheme="majorHAnsi"/>
              </w:rPr>
              <w:t xml:space="preserve"> $15,000, with additional loadings based on student enrolments and disadvantage.</w:t>
            </w:r>
            <w:r>
              <w:rPr>
                <w:rFonts w:asciiTheme="majorHAnsi" w:hAnsiTheme="majorHAnsi" w:cstheme="majorHAnsi"/>
              </w:rPr>
              <w:t xml:space="preserve"> The model encompasses both small-group and individual learning, delivered in-school and/or outside of school.</w:t>
            </w:r>
            <w:r w:rsidRPr="00A734AD">
              <w:rPr>
                <w:rFonts w:asciiTheme="majorHAnsi" w:hAnsiTheme="majorHAnsi" w:cstheme="majorHAnsi"/>
              </w:rPr>
              <w:t xml:space="preserve"> Funds must be spent during 2021.</w:t>
            </w:r>
          </w:p>
        </w:tc>
        <w:tc>
          <w:tcPr>
            <w:tcW w:w="2843" w:type="dxa"/>
          </w:tcPr>
          <w:p w14:paraId="0CD48DFC" w14:textId="77777777" w:rsidR="005F5B61" w:rsidRPr="00AB7E66" w:rsidRDefault="005F5B61" w:rsidP="00A1784D">
            <w:pPr>
              <w:rPr>
                <w:rFonts w:asciiTheme="majorHAnsi" w:eastAsia="Times New Roman" w:hAnsiTheme="majorHAnsi" w:cstheme="majorHAnsi"/>
                <w:lang w:val="en-GB"/>
              </w:rPr>
            </w:pPr>
            <w:r>
              <w:rPr>
                <w:rFonts w:asciiTheme="majorHAnsi" w:eastAsia="Times New Roman" w:hAnsiTheme="majorHAnsi" w:cstheme="majorHAnsi"/>
                <w:lang w:val="en-GB"/>
              </w:rPr>
              <w:t>Highly r</w:t>
            </w:r>
            <w:r w:rsidRPr="00AB7E66">
              <w:rPr>
                <w:rFonts w:asciiTheme="majorHAnsi" w:eastAsia="Times New Roman" w:hAnsiTheme="majorHAnsi" w:cstheme="majorHAnsi"/>
                <w:lang w:val="en-GB"/>
              </w:rPr>
              <w:t xml:space="preserve">elevant </w:t>
            </w:r>
            <w:r>
              <w:rPr>
                <w:rFonts w:asciiTheme="majorHAnsi" w:eastAsia="Times New Roman" w:hAnsiTheme="majorHAnsi" w:cstheme="majorHAnsi"/>
                <w:lang w:val="en-GB"/>
              </w:rPr>
              <w:t>for</w:t>
            </w:r>
            <w:r w:rsidRPr="00AB7E66">
              <w:rPr>
                <w:rFonts w:asciiTheme="majorHAnsi" w:eastAsia="Times New Roman" w:hAnsiTheme="majorHAnsi" w:cstheme="majorHAnsi"/>
                <w:lang w:val="en-GB"/>
              </w:rPr>
              <w:t xml:space="preserve"> local students who fell behind during COVID-19, including those who faced difficulties with home schooling.</w:t>
            </w:r>
          </w:p>
        </w:tc>
      </w:tr>
    </w:tbl>
    <w:p w14:paraId="138B4601" w14:textId="4158FA2F" w:rsidR="005F5B61" w:rsidRDefault="005F5B61" w:rsidP="005F5B61">
      <w:pPr>
        <w:pStyle w:val="Default"/>
        <w:spacing w:line="276" w:lineRule="auto"/>
        <w:rPr>
          <w:rFonts w:asciiTheme="minorHAnsi" w:hAnsiTheme="minorHAnsi" w:cstheme="minorBidi"/>
          <w:b/>
          <w:color w:val="2E74B5" w:themeColor="accent5" w:themeShade="BF"/>
          <w:sz w:val="25"/>
          <w:szCs w:val="25"/>
        </w:rPr>
      </w:pPr>
    </w:p>
    <w:p w14:paraId="0762AA5D" w14:textId="593AE206" w:rsidR="00E348F7" w:rsidRPr="009175B3" w:rsidRDefault="00E348F7" w:rsidP="009175B3">
      <w:pPr>
        <w:pStyle w:val="ListParagraph"/>
        <w:numPr>
          <w:ilvl w:val="0"/>
          <w:numId w:val="1"/>
        </w:numPr>
        <w:spacing w:line="257" w:lineRule="auto"/>
        <w:rPr>
          <w:rFonts w:ascii="Calibri" w:eastAsia="Calibri" w:hAnsi="Calibri" w:cs="Calibri"/>
          <w:b/>
          <w:color w:val="2F5496" w:themeColor="accent1" w:themeShade="BF"/>
          <w:sz w:val="25"/>
          <w:szCs w:val="25"/>
        </w:rPr>
      </w:pPr>
      <w:r w:rsidRPr="009175B3">
        <w:rPr>
          <w:rFonts w:ascii="Calibri" w:eastAsia="Calibri" w:hAnsi="Calibri" w:cs="Calibri"/>
          <w:b/>
          <w:color w:val="2F5496" w:themeColor="accent1" w:themeShade="BF"/>
          <w:sz w:val="25"/>
          <w:szCs w:val="25"/>
        </w:rPr>
        <w:t>What education policy gaps could be addressed to help improve community outcomes?</w:t>
      </w:r>
    </w:p>
    <w:p w14:paraId="6CBAACFB" w14:textId="77777777" w:rsidR="00E348F7" w:rsidRPr="007E04E7" w:rsidRDefault="00E348F7" w:rsidP="007E04E7">
      <w:pPr>
        <w:pStyle w:val="ListParagraph"/>
        <w:numPr>
          <w:ilvl w:val="0"/>
          <w:numId w:val="10"/>
        </w:numPr>
        <w:spacing w:after="0" w:line="276" w:lineRule="auto"/>
        <w:rPr>
          <w:rFonts w:asciiTheme="majorHAnsi" w:eastAsiaTheme="majorEastAsia" w:hAnsiTheme="majorHAnsi" w:cstheme="majorBidi"/>
          <w:color w:val="000000" w:themeColor="text1"/>
          <w:sz w:val="23"/>
          <w:szCs w:val="23"/>
        </w:rPr>
      </w:pPr>
      <w:r w:rsidRPr="007E04E7">
        <w:rPr>
          <w:rFonts w:asciiTheme="majorHAnsi" w:eastAsiaTheme="majorEastAsia" w:hAnsiTheme="majorHAnsi" w:cstheme="majorBidi"/>
          <w:sz w:val="23"/>
          <w:szCs w:val="23"/>
        </w:rPr>
        <w:t xml:space="preserve">Grow digital inclusion in areas with limited skills, affordability challenges, and poor access to computers and the internet. </w:t>
      </w:r>
    </w:p>
    <w:p w14:paraId="19C2715D" w14:textId="2F39752F" w:rsidR="002B77E2" w:rsidRPr="002B77E2" w:rsidRDefault="00E348F7" w:rsidP="002B77E2">
      <w:pPr>
        <w:pStyle w:val="ListParagraph"/>
        <w:numPr>
          <w:ilvl w:val="0"/>
          <w:numId w:val="10"/>
        </w:numPr>
        <w:spacing w:after="0" w:line="276" w:lineRule="auto"/>
        <w:rPr>
          <w:rFonts w:asciiTheme="majorHAnsi" w:eastAsiaTheme="majorEastAsia" w:hAnsiTheme="majorHAnsi" w:cstheme="majorBidi"/>
          <w:color w:val="000000" w:themeColor="text1"/>
          <w:sz w:val="23"/>
          <w:szCs w:val="23"/>
        </w:rPr>
      </w:pPr>
      <w:r w:rsidRPr="007E04E7">
        <w:rPr>
          <w:rFonts w:asciiTheme="majorHAnsi" w:eastAsiaTheme="majorEastAsia" w:hAnsiTheme="majorHAnsi" w:cstheme="majorBidi"/>
          <w:iCs/>
          <w:sz w:val="23"/>
          <w:szCs w:val="23"/>
        </w:rPr>
        <w:t>P</w:t>
      </w:r>
      <w:r w:rsidRPr="007E04E7">
        <w:rPr>
          <w:rFonts w:asciiTheme="majorHAnsi" w:eastAsiaTheme="majorEastAsia" w:hAnsiTheme="majorHAnsi" w:cstheme="majorBidi"/>
          <w:sz w:val="23"/>
          <w:szCs w:val="23"/>
        </w:rPr>
        <w:t>rovide transport and culturally appropriate services for early education of Aboriginal children.</w:t>
      </w:r>
    </w:p>
    <w:p w14:paraId="4A515AC0" w14:textId="77777777" w:rsidR="002B77E2" w:rsidRPr="002B77E2" w:rsidRDefault="002B77E2" w:rsidP="002B77E2">
      <w:pPr>
        <w:spacing w:after="0" w:line="276" w:lineRule="auto"/>
        <w:rPr>
          <w:rFonts w:asciiTheme="majorHAnsi" w:eastAsiaTheme="majorEastAsia" w:hAnsiTheme="majorHAnsi" w:cstheme="majorBidi"/>
          <w:color w:val="000000" w:themeColor="text1"/>
          <w:sz w:val="16"/>
          <w:szCs w:val="16"/>
        </w:rPr>
      </w:pPr>
    </w:p>
    <w:p w14:paraId="52ED9B57" w14:textId="391DB9BE" w:rsidR="00E348F7" w:rsidRPr="009175B3" w:rsidRDefault="00E348F7" w:rsidP="009175B3">
      <w:pPr>
        <w:pStyle w:val="ListParagraph"/>
        <w:numPr>
          <w:ilvl w:val="0"/>
          <w:numId w:val="1"/>
        </w:numPr>
        <w:spacing w:line="257" w:lineRule="auto"/>
        <w:rPr>
          <w:rFonts w:ascii="Calibri" w:eastAsia="Calibri" w:hAnsi="Calibri" w:cs="Calibri"/>
          <w:b/>
          <w:color w:val="2F5496" w:themeColor="accent1" w:themeShade="BF"/>
          <w:sz w:val="25"/>
          <w:szCs w:val="25"/>
        </w:rPr>
      </w:pPr>
      <w:r w:rsidRPr="009175B3">
        <w:rPr>
          <w:rFonts w:ascii="Calibri" w:eastAsia="Calibri" w:hAnsi="Calibri" w:cs="Calibri"/>
          <w:b/>
          <w:color w:val="2F5496" w:themeColor="accent1" w:themeShade="BF"/>
          <w:sz w:val="25"/>
          <w:szCs w:val="25"/>
        </w:rPr>
        <w:t>What are the key education issues to be addressed in a COVID-19 impact assessment?</w:t>
      </w:r>
    </w:p>
    <w:p w14:paraId="111CD2DE" w14:textId="77777777" w:rsidR="002B77E2" w:rsidRDefault="007E04E7" w:rsidP="002B77E2">
      <w:pPr>
        <w:pStyle w:val="ListParagraph"/>
        <w:numPr>
          <w:ilvl w:val="0"/>
          <w:numId w:val="11"/>
        </w:numPr>
        <w:spacing w:after="0" w:line="276" w:lineRule="auto"/>
        <w:rPr>
          <w:rFonts w:asciiTheme="majorHAnsi" w:eastAsiaTheme="majorEastAsia" w:hAnsiTheme="majorHAnsi" w:cstheme="majorBidi"/>
          <w:color w:val="000000" w:themeColor="text1"/>
          <w:sz w:val="23"/>
          <w:szCs w:val="23"/>
        </w:rPr>
      </w:pPr>
      <w:r w:rsidRPr="002B77E2">
        <w:rPr>
          <w:rFonts w:asciiTheme="majorHAnsi" w:eastAsiaTheme="majorEastAsia" w:hAnsiTheme="majorHAnsi" w:cstheme="majorBidi"/>
          <w:color w:val="000000" w:themeColor="text1"/>
          <w:sz w:val="23"/>
          <w:szCs w:val="23"/>
        </w:rPr>
        <w:t>T</w:t>
      </w:r>
      <w:r w:rsidR="00E348F7" w:rsidRPr="002B77E2">
        <w:rPr>
          <w:rFonts w:asciiTheme="majorHAnsi" w:eastAsiaTheme="majorEastAsia" w:hAnsiTheme="majorHAnsi" w:cstheme="majorBidi"/>
          <w:color w:val="000000" w:themeColor="text1"/>
          <w:sz w:val="23"/>
          <w:szCs w:val="23"/>
        </w:rPr>
        <w:t>argeted programs to redress the challenges of online learning and home schooling.</w:t>
      </w:r>
    </w:p>
    <w:p w14:paraId="71A4C6DC" w14:textId="64BBBBB4" w:rsidR="002B77E2" w:rsidRPr="002B77E2" w:rsidRDefault="00E348F7" w:rsidP="002B77E2">
      <w:pPr>
        <w:spacing w:after="0" w:line="276" w:lineRule="auto"/>
        <w:rPr>
          <w:rFonts w:asciiTheme="majorHAnsi" w:eastAsiaTheme="majorEastAsia" w:hAnsiTheme="majorHAnsi" w:cstheme="majorBidi"/>
          <w:color w:val="000000" w:themeColor="text1"/>
          <w:sz w:val="16"/>
          <w:szCs w:val="16"/>
        </w:rPr>
      </w:pPr>
      <w:r w:rsidRPr="002B77E2">
        <w:rPr>
          <w:rFonts w:asciiTheme="majorHAnsi" w:eastAsiaTheme="majorEastAsia" w:hAnsiTheme="majorHAnsi" w:cstheme="majorBidi"/>
          <w:color w:val="000000" w:themeColor="text1"/>
          <w:sz w:val="23"/>
          <w:szCs w:val="23"/>
        </w:rPr>
        <w:t xml:space="preserve"> </w:t>
      </w:r>
    </w:p>
    <w:p w14:paraId="71D0E882" w14:textId="033C98EC" w:rsidR="00E348F7" w:rsidRPr="009175B3" w:rsidRDefault="00E348F7" w:rsidP="002B77E2">
      <w:pPr>
        <w:pStyle w:val="ListParagraph"/>
        <w:numPr>
          <w:ilvl w:val="0"/>
          <w:numId w:val="1"/>
        </w:numPr>
        <w:spacing w:after="0" w:line="257" w:lineRule="auto"/>
        <w:rPr>
          <w:rFonts w:ascii="Calibri" w:eastAsia="Calibri" w:hAnsi="Calibri" w:cs="Calibri"/>
          <w:b/>
          <w:color w:val="2F5496" w:themeColor="accent1" w:themeShade="BF"/>
          <w:sz w:val="25"/>
          <w:szCs w:val="25"/>
        </w:rPr>
      </w:pPr>
      <w:r w:rsidRPr="009175B3">
        <w:rPr>
          <w:rFonts w:ascii="Calibri" w:eastAsia="Calibri" w:hAnsi="Calibri" w:cs="Calibri"/>
          <w:b/>
          <w:color w:val="2F5496" w:themeColor="accent1" w:themeShade="BF"/>
          <w:sz w:val="25"/>
          <w:szCs w:val="25"/>
        </w:rPr>
        <w:t>How have “disadvantaged” communities in Geelong dealt with the pandemic in relation to education?</w:t>
      </w:r>
    </w:p>
    <w:p w14:paraId="4BB73B7B" w14:textId="77777777" w:rsidR="00E348F7" w:rsidRPr="00E348F7" w:rsidRDefault="00E348F7" w:rsidP="00E348F7">
      <w:pPr>
        <w:rPr>
          <w:rFonts w:asciiTheme="majorHAnsi" w:eastAsiaTheme="majorEastAsia" w:hAnsiTheme="majorHAnsi" w:cstheme="majorBidi"/>
          <w:sz w:val="23"/>
          <w:szCs w:val="23"/>
          <w:lang w:val="en-GB"/>
        </w:rPr>
      </w:pPr>
      <w:r w:rsidRPr="00E348F7">
        <w:rPr>
          <w:rFonts w:asciiTheme="majorHAnsi" w:eastAsiaTheme="majorEastAsia" w:hAnsiTheme="majorHAnsi" w:cstheme="majorBidi"/>
          <w:sz w:val="23"/>
          <w:szCs w:val="23"/>
          <w:lang w:val="en-GB"/>
        </w:rPr>
        <w:t xml:space="preserve">Negative education impacts were reported, including “COVID babies” and pre-school children missing out on socialisation. The education of school-age children was also profoundly affected by the pandemic due to the shift to online learning, loss of social interaction with peers, and other challenges of home schooling. Disengagement from education was an issue, particularly for vulnerable young people including those from CALD or Indigenous communities, children with disability, and the digitally excluded. In some cases, this led to young people dropping out of formal education. Adult learners also struggled with changes to their educational experience, with many discontinuing their courses. </w:t>
      </w:r>
    </w:p>
    <w:p w14:paraId="777F2656" w14:textId="5E0223C8" w:rsidR="00E348F7" w:rsidRPr="009175B3" w:rsidRDefault="00E348F7" w:rsidP="009175B3">
      <w:pPr>
        <w:pStyle w:val="ListParagraph"/>
        <w:numPr>
          <w:ilvl w:val="0"/>
          <w:numId w:val="1"/>
        </w:numPr>
        <w:spacing w:line="257" w:lineRule="auto"/>
        <w:rPr>
          <w:rFonts w:ascii="Calibri" w:eastAsia="Calibri" w:hAnsi="Calibri" w:cs="Calibri"/>
          <w:b/>
          <w:color w:val="2F5496" w:themeColor="accent1" w:themeShade="BF"/>
          <w:sz w:val="25"/>
          <w:szCs w:val="25"/>
        </w:rPr>
      </w:pPr>
      <w:r w:rsidRPr="009175B3">
        <w:rPr>
          <w:rFonts w:ascii="Calibri" w:eastAsia="Calibri" w:hAnsi="Calibri" w:cs="Calibri"/>
          <w:b/>
          <w:color w:val="2F5496" w:themeColor="accent1" w:themeShade="BF"/>
          <w:sz w:val="25"/>
          <w:szCs w:val="25"/>
        </w:rPr>
        <w:t>What factors relating to education supported local economic resilience and social cohesion?</w:t>
      </w:r>
    </w:p>
    <w:p w14:paraId="63EEA4EE" w14:textId="77777777" w:rsidR="00E348F7" w:rsidRPr="00E348F7" w:rsidRDefault="00E348F7" w:rsidP="00E348F7">
      <w:pPr>
        <w:widowControl w:val="0"/>
        <w:rPr>
          <w:rFonts w:asciiTheme="majorHAnsi" w:eastAsiaTheme="majorEastAsia" w:hAnsiTheme="majorHAnsi" w:cstheme="majorBidi"/>
          <w:sz w:val="23"/>
          <w:szCs w:val="23"/>
          <w:lang w:val="en-GB"/>
        </w:rPr>
      </w:pPr>
      <w:r w:rsidRPr="00E348F7">
        <w:rPr>
          <w:rFonts w:asciiTheme="majorHAnsi" w:eastAsiaTheme="majorEastAsia" w:hAnsiTheme="majorHAnsi" w:cstheme="majorBidi"/>
          <w:sz w:val="23"/>
          <w:szCs w:val="23"/>
          <w:lang w:val="en-GB"/>
        </w:rPr>
        <w:t>Some positive outcomes during the pandemic were reported across all five Practice Domains, some of which reflected community responses to the challenges and negative impacts described above. The overarching theme was the community’s ability to leverage pre-existing economic and social resilience, developed from years of experience with disadvantage.</w:t>
      </w:r>
    </w:p>
    <w:p w14:paraId="6A6D205B" w14:textId="683E34E4" w:rsidR="00E348F7" w:rsidRDefault="003F07C7" w:rsidP="00E348F7">
      <w:pPr>
        <w:spacing w:line="257" w:lineRule="auto"/>
        <w:rPr>
          <w:b/>
          <w:color w:val="2E74B5" w:themeColor="accent5" w:themeShade="BF"/>
          <w:sz w:val="25"/>
          <w:szCs w:val="25"/>
        </w:rPr>
      </w:pPr>
      <w:r>
        <w:rPr>
          <w:rFonts w:asciiTheme="majorHAnsi" w:eastAsiaTheme="majorEastAsia" w:hAnsiTheme="majorHAnsi" w:cstheme="majorBidi"/>
          <w:sz w:val="23"/>
          <w:szCs w:val="23"/>
          <w:lang w:val="en-GB"/>
        </w:rPr>
        <w:t>For those residents who could access the technology and equipment, the</w:t>
      </w:r>
      <w:r w:rsidRPr="368497C5">
        <w:rPr>
          <w:rFonts w:asciiTheme="majorHAnsi" w:eastAsiaTheme="majorEastAsia" w:hAnsiTheme="majorHAnsi" w:cstheme="majorBidi"/>
          <w:sz w:val="23"/>
          <w:szCs w:val="23"/>
          <w:lang w:val="en-GB"/>
        </w:rPr>
        <w:t xml:space="preserve"> development of greater digital and other literacy skills was identified as a</w:t>
      </w:r>
      <w:r>
        <w:rPr>
          <w:rFonts w:asciiTheme="majorHAnsi" w:eastAsiaTheme="majorEastAsia" w:hAnsiTheme="majorHAnsi" w:cstheme="majorBidi"/>
          <w:sz w:val="23"/>
          <w:szCs w:val="23"/>
          <w:lang w:val="en-GB"/>
        </w:rPr>
        <w:t xml:space="preserve"> </w:t>
      </w:r>
      <w:r w:rsidRPr="368497C5">
        <w:rPr>
          <w:rFonts w:asciiTheme="majorHAnsi" w:eastAsiaTheme="majorEastAsia" w:hAnsiTheme="majorHAnsi" w:cstheme="majorBidi"/>
          <w:sz w:val="23"/>
          <w:szCs w:val="23"/>
          <w:lang w:val="en-GB"/>
        </w:rPr>
        <w:t>positive community outcome</w:t>
      </w:r>
      <w:r>
        <w:rPr>
          <w:rFonts w:asciiTheme="majorHAnsi" w:eastAsiaTheme="majorEastAsia" w:hAnsiTheme="majorHAnsi" w:cstheme="majorBidi"/>
          <w:sz w:val="23"/>
          <w:szCs w:val="23"/>
          <w:lang w:val="en-GB"/>
        </w:rPr>
        <w:t>. T</w:t>
      </w:r>
      <w:r w:rsidRPr="368497C5">
        <w:rPr>
          <w:rFonts w:asciiTheme="majorHAnsi" w:eastAsiaTheme="majorEastAsia" w:hAnsiTheme="majorHAnsi" w:cstheme="majorBidi"/>
          <w:sz w:val="23"/>
          <w:szCs w:val="23"/>
          <w:lang w:val="en-GB"/>
        </w:rPr>
        <w:t xml:space="preserve">he shift of many community activities online provided opportunities for </w:t>
      </w:r>
      <w:r w:rsidRPr="502830E4">
        <w:rPr>
          <w:rFonts w:asciiTheme="majorHAnsi" w:eastAsiaTheme="majorEastAsia" w:hAnsiTheme="majorHAnsi" w:cstheme="majorBidi"/>
          <w:sz w:val="23"/>
          <w:szCs w:val="23"/>
          <w:lang w:val="en-GB"/>
        </w:rPr>
        <w:t xml:space="preserve">digitally engaged residents to </w:t>
      </w:r>
      <w:r w:rsidRPr="368497C5">
        <w:rPr>
          <w:rFonts w:asciiTheme="majorHAnsi" w:eastAsiaTheme="majorEastAsia" w:hAnsiTheme="majorHAnsi" w:cstheme="majorBidi"/>
          <w:sz w:val="23"/>
          <w:szCs w:val="23"/>
          <w:lang w:val="en-GB"/>
        </w:rPr>
        <w:t xml:space="preserve">access </w:t>
      </w:r>
      <w:r w:rsidRPr="502830E4">
        <w:rPr>
          <w:rFonts w:asciiTheme="majorHAnsi" w:eastAsiaTheme="majorEastAsia" w:hAnsiTheme="majorHAnsi" w:cstheme="majorBidi"/>
          <w:sz w:val="23"/>
          <w:szCs w:val="23"/>
          <w:lang w:val="en-GB"/>
        </w:rPr>
        <w:t>online</w:t>
      </w:r>
      <w:r w:rsidRPr="368497C5">
        <w:rPr>
          <w:rFonts w:asciiTheme="majorHAnsi" w:eastAsiaTheme="majorEastAsia" w:hAnsiTheme="majorHAnsi" w:cstheme="majorBidi"/>
          <w:sz w:val="23"/>
          <w:szCs w:val="23"/>
          <w:lang w:val="en-GB"/>
        </w:rPr>
        <w:t xml:space="preserve"> arts and cultural events, education and training, and fitness support.</w:t>
      </w:r>
    </w:p>
    <w:p w14:paraId="10DDDF4A" w14:textId="57B5FE76" w:rsidR="00E348F7" w:rsidRPr="009175B3" w:rsidRDefault="00E348F7" w:rsidP="0029114D">
      <w:pPr>
        <w:pStyle w:val="ListParagraph"/>
        <w:numPr>
          <w:ilvl w:val="0"/>
          <w:numId w:val="1"/>
        </w:numPr>
        <w:spacing w:line="257" w:lineRule="auto"/>
        <w:rPr>
          <w:rFonts w:ascii="Calibri" w:eastAsia="Calibri" w:hAnsi="Calibri" w:cs="Calibri"/>
          <w:b/>
          <w:color w:val="2F5496" w:themeColor="accent1" w:themeShade="BF"/>
          <w:sz w:val="25"/>
          <w:szCs w:val="25"/>
        </w:rPr>
      </w:pPr>
      <w:r w:rsidRPr="009175B3">
        <w:rPr>
          <w:rFonts w:ascii="Calibri" w:eastAsia="Calibri" w:hAnsi="Calibri" w:cs="Calibri"/>
          <w:b/>
          <w:color w:val="2F5496" w:themeColor="accent1" w:themeShade="BF"/>
          <w:sz w:val="25"/>
          <w:szCs w:val="25"/>
        </w:rPr>
        <w:t xml:space="preserve">What interventions worked best, and what other approaches could have enhanced residents’ experience? </w:t>
      </w:r>
    </w:p>
    <w:p w14:paraId="57A1B606" w14:textId="681C24E3" w:rsidR="00E348F7" w:rsidRPr="00A52632" w:rsidRDefault="00E348F7" w:rsidP="00E348F7">
      <w:pPr>
        <w:spacing w:line="257" w:lineRule="auto"/>
        <w:rPr>
          <w:b/>
          <w:color w:val="2E74B5" w:themeColor="accent5" w:themeShade="BF"/>
          <w:sz w:val="25"/>
          <w:szCs w:val="25"/>
        </w:rPr>
      </w:pPr>
      <w:r>
        <w:rPr>
          <w:rFonts w:asciiTheme="majorHAnsi" w:eastAsia="Calibri Light" w:hAnsiTheme="majorHAnsi" w:cstheme="majorBidi"/>
          <w:sz w:val="23"/>
          <w:szCs w:val="23"/>
          <w:lang w:val="en-GB"/>
        </w:rPr>
        <w:t>Local</w:t>
      </w:r>
      <w:r w:rsidRPr="7667331C">
        <w:rPr>
          <w:rFonts w:asciiTheme="majorHAnsi" w:eastAsia="Calibri Light" w:hAnsiTheme="majorHAnsi" w:cstheme="majorBidi"/>
          <w:sz w:val="23"/>
          <w:szCs w:val="23"/>
          <w:lang w:val="en-GB"/>
        </w:rPr>
        <w:t xml:space="preserve"> community workers stressed that </w:t>
      </w:r>
      <w:r>
        <w:rPr>
          <w:rFonts w:asciiTheme="majorHAnsi" w:eastAsia="Calibri Light" w:hAnsiTheme="majorHAnsi" w:cstheme="majorBidi"/>
          <w:sz w:val="23"/>
          <w:szCs w:val="23"/>
          <w:lang w:val="en-GB"/>
        </w:rPr>
        <w:t>the approach taken to developing any new</w:t>
      </w:r>
      <w:r w:rsidRPr="7667331C">
        <w:rPr>
          <w:rFonts w:asciiTheme="majorHAnsi" w:eastAsia="Calibri Light" w:hAnsiTheme="majorHAnsi" w:cstheme="majorBidi"/>
          <w:sz w:val="23"/>
          <w:szCs w:val="23"/>
          <w:lang w:val="en-GB"/>
        </w:rPr>
        <w:t xml:space="preserve"> initiatives </w:t>
      </w:r>
      <w:r>
        <w:rPr>
          <w:rFonts w:asciiTheme="majorHAnsi" w:eastAsia="Calibri Light" w:hAnsiTheme="majorHAnsi" w:cstheme="majorBidi"/>
          <w:sz w:val="23"/>
          <w:szCs w:val="23"/>
          <w:lang w:val="en-GB"/>
        </w:rPr>
        <w:t>i</w:t>
      </w:r>
      <w:r w:rsidRPr="7667331C">
        <w:rPr>
          <w:rFonts w:asciiTheme="majorHAnsi" w:eastAsia="Calibri Light" w:hAnsiTheme="majorHAnsi" w:cstheme="majorBidi"/>
          <w:sz w:val="23"/>
          <w:szCs w:val="23"/>
          <w:lang w:val="en-GB"/>
        </w:rPr>
        <w:t>s of equal if not greater importance than the initiatives themselves</w:t>
      </w:r>
      <w:r>
        <w:rPr>
          <w:rFonts w:asciiTheme="majorHAnsi" w:eastAsia="Calibri Light" w:hAnsiTheme="majorHAnsi" w:cstheme="majorBidi"/>
          <w:sz w:val="23"/>
          <w:szCs w:val="23"/>
          <w:lang w:val="en-GB"/>
        </w:rPr>
        <w:t>. Our informants advised that</w:t>
      </w:r>
      <w:r w:rsidRPr="7667331C">
        <w:rPr>
          <w:rFonts w:asciiTheme="majorHAnsi" w:eastAsia="Calibri Light" w:hAnsiTheme="majorHAnsi" w:cstheme="majorBidi"/>
          <w:sz w:val="23"/>
          <w:szCs w:val="23"/>
          <w:lang w:val="en-GB"/>
        </w:rPr>
        <w:t xml:space="preserve"> successful approaches need to </w:t>
      </w:r>
      <w:r w:rsidRPr="7667331C">
        <w:rPr>
          <w:rFonts w:asciiTheme="majorHAnsi" w:hAnsiTheme="majorHAnsi" w:cstheme="majorBidi"/>
          <w:color w:val="000000" w:themeColor="text1"/>
          <w:sz w:val="23"/>
          <w:szCs w:val="23"/>
        </w:rPr>
        <w:t xml:space="preserve">build trust, </w:t>
      </w:r>
      <w:r>
        <w:rPr>
          <w:rFonts w:asciiTheme="majorHAnsi" w:hAnsiTheme="majorHAnsi" w:cstheme="majorBidi"/>
          <w:color w:val="000000" w:themeColor="text1"/>
          <w:sz w:val="23"/>
          <w:szCs w:val="23"/>
        </w:rPr>
        <w:t xml:space="preserve">identify and </w:t>
      </w:r>
      <w:r w:rsidRPr="7667331C">
        <w:rPr>
          <w:rFonts w:asciiTheme="majorHAnsi" w:hAnsiTheme="majorHAnsi" w:cstheme="majorBidi"/>
          <w:color w:val="000000" w:themeColor="text1"/>
          <w:sz w:val="23"/>
          <w:szCs w:val="23"/>
        </w:rPr>
        <w:t xml:space="preserve">build on existing </w:t>
      </w:r>
      <w:r>
        <w:rPr>
          <w:rFonts w:asciiTheme="majorHAnsi" w:hAnsiTheme="majorHAnsi" w:cstheme="majorBidi"/>
          <w:color w:val="000000" w:themeColor="text1"/>
          <w:sz w:val="23"/>
          <w:szCs w:val="23"/>
        </w:rPr>
        <w:t xml:space="preserve">local </w:t>
      </w:r>
      <w:r w:rsidRPr="7667331C">
        <w:rPr>
          <w:rFonts w:asciiTheme="majorHAnsi" w:hAnsiTheme="majorHAnsi" w:cstheme="majorBidi"/>
          <w:color w:val="000000" w:themeColor="text1"/>
          <w:sz w:val="23"/>
          <w:szCs w:val="23"/>
        </w:rPr>
        <w:t>strengths, support community confidence and empowerment</w:t>
      </w:r>
      <w:r>
        <w:rPr>
          <w:rFonts w:asciiTheme="majorHAnsi" w:hAnsiTheme="majorHAnsi" w:cstheme="majorBidi"/>
          <w:color w:val="000000" w:themeColor="text1"/>
          <w:sz w:val="23"/>
          <w:szCs w:val="23"/>
        </w:rPr>
        <w:t xml:space="preserve">, </w:t>
      </w:r>
      <w:r w:rsidRPr="7667331C">
        <w:rPr>
          <w:rFonts w:asciiTheme="majorHAnsi" w:hAnsiTheme="majorHAnsi" w:cstheme="majorBidi"/>
          <w:color w:val="000000" w:themeColor="text1"/>
          <w:sz w:val="23"/>
          <w:szCs w:val="23"/>
        </w:rPr>
        <w:t>recognis</w:t>
      </w:r>
      <w:r>
        <w:rPr>
          <w:rFonts w:asciiTheme="majorHAnsi" w:hAnsiTheme="majorHAnsi" w:cstheme="majorBidi"/>
          <w:color w:val="000000" w:themeColor="text1"/>
          <w:sz w:val="23"/>
          <w:szCs w:val="23"/>
        </w:rPr>
        <w:t>e and support</w:t>
      </w:r>
      <w:r w:rsidRPr="7667331C">
        <w:rPr>
          <w:rFonts w:asciiTheme="majorHAnsi" w:hAnsiTheme="majorHAnsi" w:cstheme="majorBidi"/>
          <w:color w:val="000000" w:themeColor="text1"/>
          <w:sz w:val="23"/>
          <w:szCs w:val="23"/>
        </w:rPr>
        <w:t xml:space="preserve"> the community’s ability to design solutions to problems, </w:t>
      </w:r>
      <w:r>
        <w:rPr>
          <w:rFonts w:asciiTheme="majorHAnsi" w:hAnsiTheme="majorHAnsi" w:cstheme="majorBidi"/>
          <w:color w:val="000000" w:themeColor="text1"/>
          <w:sz w:val="23"/>
          <w:szCs w:val="23"/>
        </w:rPr>
        <w:t>provide appropriate funding</w:t>
      </w:r>
      <w:r w:rsidRPr="7667331C">
        <w:rPr>
          <w:rFonts w:asciiTheme="majorHAnsi" w:hAnsiTheme="majorHAnsi" w:cstheme="majorBidi"/>
          <w:color w:val="000000" w:themeColor="text1"/>
          <w:sz w:val="23"/>
          <w:szCs w:val="23"/>
        </w:rPr>
        <w:t xml:space="preserve">, plan for long-term delivery and evaluation, support collaboration </w:t>
      </w:r>
      <w:r w:rsidRPr="502830E4">
        <w:rPr>
          <w:rFonts w:asciiTheme="majorHAnsi" w:hAnsiTheme="majorHAnsi" w:cstheme="majorBidi"/>
          <w:color w:val="000000" w:themeColor="text1"/>
          <w:sz w:val="23"/>
          <w:szCs w:val="23"/>
        </w:rPr>
        <w:t>(</w:t>
      </w:r>
      <w:r w:rsidRPr="7667331C">
        <w:rPr>
          <w:rFonts w:asciiTheme="majorHAnsi" w:hAnsiTheme="majorHAnsi" w:cstheme="majorBidi"/>
          <w:color w:val="000000" w:themeColor="text1"/>
          <w:sz w:val="23"/>
          <w:szCs w:val="23"/>
        </w:rPr>
        <w:t>across organisations, sectors, levels of government</w:t>
      </w:r>
      <w:r w:rsidRPr="502830E4">
        <w:rPr>
          <w:rFonts w:asciiTheme="majorHAnsi" w:hAnsiTheme="majorHAnsi" w:cstheme="majorBidi"/>
          <w:color w:val="000000" w:themeColor="text1"/>
          <w:sz w:val="23"/>
          <w:szCs w:val="23"/>
        </w:rPr>
        <w:t>),</w:t>
      </w:r>
      <w:r w:rsidRPr="7667331C">
        <w:rPr>
          <w:rFonts w:asciiTheme="majorHAnsi" w:hAnsiTheme="majorHAnsi" w:cstheme="majorBidi"/>
          <w:color w:val="000000" w:themeColor="text1"/>
          <w:sz w:val="23"/>
          <w:szCs w:val="23"/>
        </w:rPr>
        <w:t xml:space="preserve"> and </w:t>
      </w:r>
      <w:r>
        <w:rPr>
          <w:rFonts w:asciiTheme="majorHAnsi" w:hAnsiTheme="majorHAnsi" w:cstheme="majorBidi"/>
          <w:color w:val="000000" w:themeColor="text1"/>
          <w:sz w:val="23"/>
          <w:szCs w:val="23"/>
        </w:rPr>
        <w:t>take a</w:t>
      </w:r>
      <w:r w:rsidRPr="7667331C">
        <w:rPr>
          <w:rFonts w:asciiTheme="majorHAnsi" w:hAnsiTheme="majorHAnsi" w:cstheme="majorBidi"/>
          <w:color w:val="000000" w:themeColor="text1"/>
          <w:sz w:val="23"/>
          <w:szCs w:val="23"/>
        </w:rPr>
        <w:t xml:space="preserve"> holistic </w:t>
      </w:r>
      <w:r>
        <w:rPr>
          <w:rFonts w:asciiTheme="majorHAnsi" w:hAnsiTheme="majorHAnsi" w:cstheme="majorBidi"/>
          <w:color w:val="000000" w:themeColor="text1"/>
          <w:sz w:val="23"/>
          <w:szCs w:val="23"/>
        </w:rPr>
        <w:t>view</w:t>
      </w:r>
      <w:r w:rsidRPr="7667331C">
        <w:rPr>
          <w:rFonts w:asciiTheme="majorHAnsi" w:hAnsiTheme="majorHAnsi" w:cstheme="majorBidi"/>
          <w:color w:val="000000" w:themeColor="text1"/>
          <w:sz w:val="23"/>
          <w:szCs w:val="23"/>
        </w:rPr>
        <w:t>.</w:t>
      </w:r>
    </w:p>
    <w:p w14:paraId="32785BDC" w14:textId="63FA1051" w:rsidR="003F07C7" w:rsidRPr="009175B3" w:rsidRDefault="003F07C7" w:rsidP="009175B3">
      <w:pPr>
        <w:pStyle w:val="Heading1"/>
        <w:rPr>
          <w:b/>
          <w:bCs/>
          <w:u w:val="single"/>
        </w:rPr>
      </w:pPr>
      <w:bookmarkStart w:id="6" w:name="_Toc107841578"/>
      <w:r w:rsidRPr="009175B3">
        <w:rPr>
          <w:b/>
          <w:bCs/>
          <w:u w:val="single"/>
        </w:rPr>
        <w:lastRenderedPageBreak/>
        <w:t>Recommendations relating to the education domain.</w:t>
      </w:r>
      <w:bookmarkEnd w:id="6"/>
    </w:p>
    <w:p w14:paraId="18FCC0DD" w14:textId="08DECA09" w:rsidR="003F07C7" w:rsidRPr="005A42A9" w:rsidRDefault="003F07C7" w:rsidP="003F07C7">
      <w:pPr>
        <w:pStyle w:val="Default"/>
        <w:spacing w:after="240" w:line="276" w:lineRule="auto"/>
        <w:rPr>
          <w:rFonts w:asciiTheme="majorHAnsi" w:eastAsiaTheme="majorEastAsia" w:hAnsiTheme="majorHAnsi" w:cstheme="majorBidi"/>
          <w:sz w:val="23"/>
          <w:szCs w:val="23"/>
        </w:rPr>
      </w:pPr>
      <w:r>
        <w:rPr>
          <w:rFonts w:asciiTheme="majorHAnsi" w:eastAsiaTheme="majorEastAsia" w:hAnsiTheme="majorHAnsi" w:cstheme="majorBidi"/>
          <w:sz w:val="23"/>
          <w:szCs w:val="23"/>
        </w:rPr>
        <w:t xml:space="preserve">Note: Some recommendations relate to multiple domains and will be included in more than one summary. </w:t>
      </w:r>
      <w:r w:rsidR="007E04E7">
        <w:rPr>
          <w:rFonts w:asciiTheme="majorHAnsi" w:eastAsiaTheme="majorEastAsia" w:hAnsiTheme="majorHAnsi" w:cstheme="majorBidi"/>
          <w:sz w:val="23"/>
          <w:szCs w:val="23"/>
        </w:rPr>
        <w:t>Recommendation reference numbers and case study page numbers refer to the full report</w:t>
      </w:r>
      <w:r>
        <w:rPr>
          <w:rFonts w:asciiTheme="majorHAnsi" w:eastAsiaTheme="majorEastAsia" w:hAnsiTheme="majorHAnsi" w:cstheme="majorBidi"/>
          <w:sz w:val="23"/>
          <w:szCs w:val="23"/>
        </w:rPr>
        <w:t>.</w:t>
      </w:r>
    </w:p>
    <w:p w14:paraId="1BB62905" w14:textId="77777777" w:rsidR="003F07C7" w:rsidRPr="009175B3" w:rsidRDefault="003F07C7" w:rsidP="003F07C7">
      <w:pPr>
        <w:pStyle w:val="Default"/>
        <w:spacing w:line="276" w:lineRule="auto"/>
        <w:rPr>
          <w:rFonts w:eastAsia="Calibri"/>
          <w:b/>
          <w:color w:val="2F5496" w:themeColor="accent1" w:themeShade="BF"/>
          <w:sz w:val="25"/>
          <w:szCs w:val="25"/>
        </w:rPr>
      </w:pPr>
      <w:r w:rsidRPr="009175B3">
        <w:rPr>
          <w:rFonts w:eastAsia="Calibri"/>
          <w:b/>
          <w:color w:val="2F5496" w:themeColor="accent1" w:themeShade="BF"/>
          <w:sz w:val="25"/>
          <w:szCs w:val="25"/>
        </w:rPr>
        <w:t>3.1 Program Extension Initiative: Identify and Extend Successful Programs</w:t>
      </w:r>
    </w:p>
    <w:p w14:paraId="36506BC6" w14:textId="77777777" w:rsidR="003F07C7" w:rsidRPr="00AB31C9" w:rsidRDefault="003F07C7" w:rsidP="003F07C7">
      <w:pPr>
        <w:spacing w:after="0" w:line="276" w:lineRule="auto"/>
        <w:rPr>
          <w:rFonts w:asciiTheme="majorHAnsi" w:eastAsiaTheme="minorEastAsia" w:hAnsiTheme="majorHAnsi" w:cstheme="majorBidi"/>
          <w:sz w:val="23"/>
          <w:szCs w:val="23"/>
          <w:lang w:val="en-GB"/>
        </w:rPr>
      </w:pPr>
      <w:r>
        <w:rPr>
          <w:rFonts w:asciiTheme="majorHAnsi" w:eastAsiaTheme="minorEastAsia" w:hAnsiTheme="majorHAnsi" w:cstheme="majorBidi"/>
          <w:sz w:val="23"/>
          <w:szCs w:val="23"/>
          <w:lang w:val="en-GB"/>
        </w:rPr>
        <w:t>Our r</w:t>
      </w:r>
      <w:r w:rsidRPr="00AB31C9">
        <w:rPr>
          <w:rFonts w:asciiTheme="majorHAnsi" w:eastAsiaTheme="minorEastAsia" w:hAnsiTheme="majorHAnsi" w:cstheme="majorBidi"/>
          <w:sz w:val="23"/>
          <w:szCs w:val="23"/>
          <w:lang w:val="en-GB"/>
        </w:rPr>
        <w:t>esearch into the three localities and consultation</w:t>
      </w:r>
      <w:r>
        <w:rPr>
          <w:rFonts w:asciiTheme="majorHAnsi" w:eastAsiaTheme="minorEastAsia" w:hAnsiTheme="majorHAnsi" w:cstheme="majorBidi"/>
          <w:sz w:val="23"/>
          <w:szCs w:val="23"/>
          <w:lang w:val="en-GB"/>
        </w:rPr>
        <w:t>s</w:t>
      </w:r>
      <w:r w:rsidRPr="00AB31C9">
        <w:rPr>
          <w:rFonts w:asciiTheme="majorHAnsi" w:eastAsiaTheme="minorEastAsia" w:hAnsiTheme="majorHAnsi" w:cstheme="majorBidi"/>
          <w:sz w:val="23"/>
          <w:szCs w:val="23"/>
          <w:lang w:val="en-GB"/>
        </w:rPr>
        <w:t xml:space="preserve"> with key workers identified a range of highly effective existing programs and promising approaches. Rather than attempting to implement new programs from scratch, it is strongly recommended that an audit of existing programs be conducted, with a view to supporting and extending those that are effective, mapping potential overlaps, and identifying possible partnerships and lead agencies </w:t>
      </w:r>
      <w:r>
        <w:rPr>
          <w:rFonts w:asciiTheme="majorHAnsi" w:eastAsiaTheme="minorEastAsia" w:hAnsiTheme="majorHAnsi" w:cstheme="majorBidi"/>
          <w:sz w:val="23"/>
          <w:szCs w:val="23"/>
          <w:lang w:val="en-GB"/>
        </w:rPr>
        <w:t>to develop</w:t>
      </w:r>
      <w:r w:rsidRPr="00AB31C9">
        <w:rPr>
          <w:rFonts w:asciiTheme="majorHAnsi" w:eastAsiaTheme="minorEastAsia" w:hAnsiTheme="majorHAnsi" w:cstheme="majorBidi"/>
          <w:sz w:val="23"/>
          <w:szCs w:val="23"/>
          <w:lang w:val="en-GB"/>
        </w:rPr>
        <w:t xml:space="preserve"> future initiatives. There is also </w:t>
      </w:r>
      <w:r>
        <w:rPr>
          <w:rFonts w:asciiTheme="majorHAnsi" w:eastAsiaTheme="minorEastAsia" w:hAnsiTheme="majorHAnsi" w:cstheme="majorBidi"/>
          <w:sz w:val="23"/>
          <w:szCs w:val="23"/>
          <w:lang w:val="en-GB"/>
        </w:rPr>
        <w:t xml:space="preserve">some </w:t>
      </w:r>
      <w:r w:rsidRPr="00AB31C9">
        <w:rPr>
          <w:rFonts w:asciiTheme="majorHAnsi" w:eastAsiaTheme="minorEastAsia" w:hAnsiTheme="majorHAnsi" w:cstheme="majorBidi"/>
          <w:sz w:val="23"/>
          <w:szCs w:val="23"/>
          <w:lang w:val="en-GB"/>
        </w:rPr>
        <w:t>scope to build upon or leverage existing government policies and plans. While this list is only a starting point, we have identified the following candidates (listed by</w:t>
      </w:r>
      <w:r>
        <w:rPr>
          <w:rFonts w:asciiTheme="majorHAnsi" w:eastAsiaTheme="minorEastAsia" w:hAnsiTheme="majorHAnsi" w:cstheme="majorBidi"/>
          <w:sz w:val="23"/>
          <w:szCs w:val="23"/>
          <w:lang w:val="en-GB"/>
        </w:rPr>
        <w:t xml:space="preserve"> Practice Domain</w:t>
      </w:r>
      <w:r w:rsidRPr="00AB31C9">
        <w:rPr>
          <w:rFonts w:asciiTheme="majorHAnsi" w:eastAsiaTheme="minorEastAsia" w:hAnsiTheme="majorHAnsi" w:cstheme="majorBidi"/>
          <w:sz w:val="23"/>
          <w:szCs w:val="23"/>
          <w:lang w:val="en-GB"/>
        </w:rPr>
        <w:t>):</w:t>
      </w:r>
    </w:p>
    <w:p w14:paraId="6EC2D47E" w14:textId="77777777" w:rsidR="003F07C7" w:rsidRPr="00552857" w:rsidRDefault="003F07C7" w:rsidP="003F07C7">
      <w:pPr>
        <w:pStyle w:val="ListParagraph"/>
        <w:numPr>
          <w:ilvl w:val="0"/>
          <w:numId w:val="5"/>
        </w:numPr>
        <w:spacing w:line="276" w:lineRule="auto"/>
        <w:rPr>
          <w:rFonts w:asciiTheme="majorHAnsi" w:hAnsiTheme="majorHAnsi" w:cstheme="majorBidi"/>
          <w:sz w:val="23"/>
          <w:szCs w:val="23"/>
        </w:rPr>
      </w:pPr>
      <w:r w:rsidRPr="006F3B3F">
        <w:rPr>
          <w:rFonts w:cstheme="minorHAnsi"/>
          <w:b/>
          <w:bCs/>
          <w:sz w:val="23"/>
          <w:szCs w:val="23"/>
        </w:rPr>
        <w:t>Education:</w:t>
      </w:r>
      <w:r w:rsidRPr="2B87D1CA">
        <w:rPr>
          <w:rFonts w:asciiTheme="majorHAnsi" w:hAnsiTheme="majorHAnsi" w:cstheme="majorBidi"/>
          <w:sz w:val="23"/>
          <w:szCs w:val="23"/>
        </w:rPr>
        <w:t xml:space="preserve"> Extend outreach and partnering activities by local primary and secondary schools, especially to disengaged youth, Aboriginal and Torres Strait Islander communities, CALD students, </w:t>
      </w:r>
      <w:r>
        <w:rPr>
          <w:rFonts w:asciiTheme="majorHAnsi" w:hAnsiTheme="majorHAnsi" w:cstheme="majorBidi"/>
          <w:sz w:val="23"/>
          <w:szCs w:val="23"/>
        </w:rPr>
        <w:t>and</w:t>
      </w:r>
      <w:r w:rsidRPr="2B87D1CA">
        <w:rPr>
          <w:rFonts w:asciiTheme="majorHAnsi" w:hAnsiTheme="majorHAnsi" w:cstheme="majorBidi"/>
          <w:sz w:val="23"/>
          <w:szCs w:val="23"/>
        </w:rPr>
        <w:t xml:space="preserve"> young people with disability.</w:t>
      </w:r>
    </w:p>
    <w:p w14:paraId="738AAF30" w14:textId="77777777" w:rsidR="003F07C7" w:rsidRPr="009175B3" w:rsidRDefault="003F07C7" w:rsidP="003F07C7">
      <w:pPr>
        <w:pStyle w:val="Default"/>
        <w:spacing w:line="276" w:lineRule="auto"/>
        <w:rPr>
          <w:rFonts w:eastAsia="Calibri"/>
          <w:b/>
          <w:color w:val="2F5496" w:themeColor="accent1" w:themeShade="BF"/>
          <w:sz w:val="25"/>
          <w:szCs w:val="25"/>
        </w:rPr>
      </w:pPr>
      <w:r w:rsidRPr="009175B3">
        <w:rPr>
          <w:rFonts w:eastAsia="Calibri"/>
          <w:b/>
          <w:color w:val="2F5496" w:themeColor="accent1" w:themeShade="BF"/>
          <w:sz w:val="25"/>
          <w:szCs w:val="25"/>
        </w:rPr>
        <w:t>3.3 Local Training and Employment Initiative</w:t>
      </w:r>
    </w:p>
    <w:p w14:paraId="2A6FB49B" w14:textId="77777777" w:rsidR="003F07C7" w:rsidRPr="00552857" w:rsidRDefault="003F07C7" w:rsidP="003F07C7">
      <w:pPr>
        <w:spacing w:line="276" w:lineRule="auto"/>
        <w:rPr>
          <w:rFonts w:asciiTheme="majorHAnsi" w:eastAsia="Calibri" w:hAnsiTheme="majorHAnsi" w:cstheme="majorBidi"/>
          <w:sz w:val="23"/>
          <w:szCs w:val="23"/>
          <w:lang w:val="en-GB"/>
        </w:rPr>
      </w:pPr>
      <w:r w:rsidRPr="78F9AF82">
        <w:rPr>
          <w:rFonts w:asciiTheme="majorHAnsi" w:eastAsia="Calibri" w:hAnsiTheme="majorHAnsi" w:cstheme="majorBidi"/>
          <w:sz w:val="23"/>
          <w:szCs w:val="23"/>
          <w:lang w:val="en-GB"/>
        </w:rPr>
        <w:t>All three localities have high unemployment, some of which is intergenerational. While the pandemic temporarily boosted some prevalent local job sectors – aged care, cleaning, transport, logistics – and prompted some expansion into health, unemployment is now surging again.</w:t>
      </w:r>
    </w:p>
    <w:p w14:paraId="1A707501" w14:textId="77777777" w:rsidR="003F07C7" w:rsidRPr="00552857" w:rsidRDefault="003F07C7" w:rsidP="003F07C7">
      <w:pPr>
        <w:spacing w:after="0" w:line="276" w:lineRule="auto"/>
        <w:rPr>
          <w:rFonts w:asciiTheme="majorHAnsi" w:hAnsiTheme="majorHAnsi" w:cstheme="majorBidi"/>
          <w:sz w:val="23"/>
          <w:szCs w:val="23"/>
        </w:rPr>
      </w:pPr>
      <w:r>
        <w:rPr>
          <w:rFonts w:asciiTheme="majorHAnsi" w:eastAsia="Calibri" w:hAnsiTheme="majorHAnsi" w:cstheme="majorBidi"/>
          <w:sz w:val="23"/>
          <w:szCs w:val="23"/>
          <w:lang w:val="en-GB"/>
        </w:rPr>
        <w:t>The Local Training and Employment Initiative addresses</w:t>
      </w:r>
      <w:r w:rsidRPr="502830E4">
        <w:rPr>
          <w:rFonts w:asciiTheme="majorHAnsi" w:eastAsia="Calibri" w:hAnsiTheme="majorHAnsi" w:cstheme="majorBidi"/>
          <w:sz w:val="23"/>
          <w:szCs w:val="23"/>
          <w:lang w:val="en-GB"/>
        </w:rPr>
        <w:t xml:space="preserve"> </w:t>
      </w:r>
      <w:r>
        <w:rPr>
          <w:rFonts w:asciiTheme="majorHAnsi" w:eastAsia="Calibri" w:hAnsiTheme="majorHAnsi" w:cstheme="majorBidi"/>
          <w:sz w:val="23"/>
          <w:szCs w:val="23"/>
          <w:lang w:val="en-GB"/>
        </w:rPr>
        <w:t>a dual</w:t>
      </w:r>
      <w:r w:rsidRPr="502830E4">
        <w:rPr>
          <w:rFonts w:asciiTheme="majorHAnsi" w:eastAsia="Calibri" w:hAnsiTheme="majorHAnsi" w:cstheme="majorBidi"/>
          <w:sz w:val="23"/>
          <w:szCs w:val="23"/>
          <w:lang w:val="en-GB"/>
        </w:rPr>
        <w:t xml:space="preserve"> need</w:t>
      </w:r>
      <w:r>
        <w:rPr>
          <w:rFonts w:asciiTheme="majorHAnsi" w:eastAsia="Calibri" w:hAnsiTheme="majorHAnsi" w:cstheme="majorBidi"/>
          <w:sz w:val="23"/>
          <w:szCs w:val="23"/>
          <w:lang w:val="en-GB"/>
        </w:rPr>
        <w:t>:</w:t>
      </w:r>
      <w:r w:rsidRPr="502830E4">
        <w:rPr>
          <w:rFonts w:asciiTheme="majorHAnsi" w:eastAsia="Calibri" w:hAnsiTheme="majorHAnsi" w:cstheme="majorBidi"/>
          <w:sz w:val="23"/>
          <w:szCs w:val="23"/>
          <w:lang w:val="en-GB"/>
        </w:rPr>
        <w:t xml:space="preserve"> to </w:t>
      </w:r>
      <w:r>
        <w:rPr>
          <w:rFonts w:asciiTheme="majorHAnsi" w:eastAsia="Calibri" w:hAnsiTheme="majorHAnsi" w:cstheme="majorBidi"/>
          <w:sz w:val="23"/>
          <w:szCs w:val="23"/>
          <w:lang w:val="en-GB"/>
        </w:rPr>
        <w:t xml:space="preserve">support and </w:t>
      </w:r>
      <w:r w:rsidRPr="502830E4">
        <w:rPr>
          <w:rFonts w:asciiTheme="majorHAnsi" w:eastAsia="Calibri" w:hAnsiTheme="majorHAnsi" w:cstheme="majorBidi"/>
          <w:sz w:val="23"/>
          <w:szCs w:val="23"/>
          <w:lang w:val="en-GB"/>
        </w:rPr>
        <w:t xml:space="preserve">extend existing training and employment programs (see Recommendation </w:t>
      </w:r>
      <w:r>
        <w:rPr>
          <w:rFonts w:asciiTheme="majorHAnsi" w:eastAsia="Calibri" w:hAnsiTheme="majorHAnsi" w:cstheme="majorBidi"/>
          <w:sz w:val="23"/>
          <w:szCs w:val="23"/>
          <w:lang w:val="en-GB"/>
        </w:rPr>
        <w:t>1</w:t>
      </w:r>
      <w:r w:rsidRPr="502830E4">
        <w:rPr>
          <w:rFonts w:asciiTheme="majorHAnsi" w:eastAsia="Calibri" w:hAnsiTheme="majorHAnsi" w:cstheme="majorBidi"/>
          <w:sz w:val="23"/>
          <w:szCs w:val="23"/>
          <w:lang w:val="en-GB"/>
        </w:rPr>
        <w:t>)</w:t>
      </w:r>
      <w:r>
        <w:rPr>
          <w:rFonts w:asciiTheme="majorHAnsi" w:eastAsia="Calibri" w:hAnsiTheme="majorHAnsi" w:cstheme="majorBidi"/>
          <w:sz w:val="23"/>
          <w:szCs w:val="23"/>
          <w:lang w:val="en-GB"/>
        </w:rPr>
        <w:t xml:space="preserve">; and to </w:t>
      </w:r>
      <w:r w:rsidRPr="502830E4">
        <w:rPr>
          <w:rFonts w:asciiTheme="majorHAnsi" w:eastAsia="Calibri" w:hAnsiTheme="majorHAnsi" w:cstheme="majorBidi"/>
          <w:sz w:val="23"/>
          <w:szCs w:val="23"/>
          <w:lang w:val="en-GB"/>
        </w:rPr>
        <w:t xml:space="preserve">explore </w:t>
      </w:r>
      <w:r>
        <w:rPr>
          <w:rFonts w:asciiTheme="majorHAnsi" w:eastAsia="Calibri" w:hAnsiTheme="majorHAnsi" w:cstheme="majorBidi"/>
          <w:sz w:val="23"/>
          <w:szCs w:val="23"/>
          <w:lang w:val="en-GB"/>
        </w:rPr>
        <w:t>and expand new</w:t>
      </w:r>
      <w:r w:rsidRPr="502830E4">
        <w:rPr>
          <w:rFonts w:asciiTheme="majorHAnsi" w:eastAsia="Calibri" w:hAnsiTheme="majorHAnsi" w:cstheme="majorBidi"/>
          <w:sz w:val="23"/>
          <w:szCs w:val="23"/>
          <w:lang w:val="en-GB"/>
        </w:rPr>
        <w:t xml:space="preserve"> local </w:t>
      </w:r>
      <w:r>
        <w:rPr>
          <w:rFonts w:asciiTheme="majorHAnsi" w:eastAsia="Calibri" w:hAnsiTheme="majorHAnsi" w:cstheme="majorBidi"/>
          <w:sz w:val="23"/>
          <w:szCs w:val="23"/>
          <w:lang w:val="en-GB"/>
        </w:rPr>
        <w:t xml:space="preserve">work </w:t>
      </w:r>
      <w:r w:rsidRPr="502830E4">
        <w:rPr>
          <w:rFonts w:asciiTheme="majorHAnsi" w:eastAsia="Calibri" w:hAnsiTheme="majorHAnsi" w:cstheme="majorBidi"/>
          <w:sz w:val="23"/>
          <w:szCs w:val="23"/>
          <w:lang w:val="en-GB"/>
        </w:rPr>
        <w:t>opportunities.</w:t>
      </w:r>
      <w:r>
        <w:rPr>
          <w:rFonts w:asciiTheme="majorHAnsi" w:eastAsia="Calibri" w:hAnsiTheme="majorHAnsi" w:cstheme="majorBidi"/>
          <w:sz w:val="23"/>
          <w:szCs w:val="23"/>
          <w:lang w:val="en-GB"/>
        </w:rPr>
        <w:t xml:space="preserve"> Specific needs and activities include</w:t>
      </w:r>
      <w:r w:rsidRPr="502830E4">
        <w:rPr>
          <w:rFonts w:asciiTheme="majorHAnsi" w:eastAsia="Calibri" w:hAnsiTheme="majorHAnsi" w:cstheme="majorBidi"/>
          <w:sz w:val="23"/>
          <w:szCs w:val="23"/>
          <w:lang w:val="en-GB"/>
        </w:rPr>
        <w:t>:</w:t>
      </w:r>
    </w:p>
    <w:p w14:paraId="674560E8" w14:textId="77777777" w:rsidR="003F07C7" w:rsidRPr="00552857" w:rsidRDefault="003F07C7" w:rsidP="003F07C7">
      <w:pPr>
        <w:pStyle w:val="ListParagraph"/>
        <w:numPr>
          <w:ilvl w:val="0"/>
          <w:numId w:val="6"/>
        </w:numPr>
        <w:spacing w:line="276" w:lineRule="auto"/>
        <w:rPr>
          <w:rFonts w:asciiTheme="majorHAnsi" w:eastAsiaTheme="majorEastAsia" w:hAnsiTheme="majorHAnsi" w:cstheme="majorBidi"/>
          <w:sz w:val="23"/>
          <w:szCs w:val="23"/>
        </w:rPr>
      </w:pPr>
      <w:r w:rsidRPr="63D43B28">
        <w:rPr>
          <w:rFonts w:asciiTheme="majorHAnsi" w:eastAsia="Calibri Light" w:hAnsiTheme="majorHAnsi" w:cstheme="majorBidi"/>
          <w:sz w:val="23"/>
          <w:szCs w:val="23"/>
          <w:lang w:val="en-GB"/>
        </w:rPr>
        <w:t>Train</w:t>
      </w:r>
      <w:r w:rsidRPr="4061B100">
        <w:rPr>
          <w:rFonts w:asciiTheme="majorHAnsi" w:eastAsia="Calibri Light" w:hAnsiTheme="majorHAnsi" w:cstheme="majorBidi"/>
          <w:sz w:val="23"/>
          <w:szCs w:val="23"/>
          <w:lang w:val="en-GB"/>
        </w:rPr>
        <w:t xml:space="preserve"> and </w:t>
      </w:r>
      <w:r w:rsidRPr="63D43B28">
        <w:rPr>
          <w:rFonts w:asciiTheme="majorHAnsi" w:eastAsia="Calibri Light" w:hAnsiTheme="majorHAnsi" w:cstheme="majorBidi"/>
          <w:sz w:val="23"/>
          <w:szCs w:val="23"/>
          <w:lang w:val="en-GB"/>
        </w:rPr>
        <w:t>employ</w:t>
      </w:r>
      <w:r w:rsidRPr="4061B100">
        <w:rPr>
          <w:rFonts w:asciiTheme="majorHAnsi" w:eastAsia="Calibri Light" w:hAnsiTheme="majorHAnsi" w:cstheme="majorBidi"/>
          <w:sz w:val="23"/>
          <w:szCs w:val="23"/>
          <w:lang w:val="en-GB"/>
        </w:rPr>
        <w:t xml:space="preserve"> </w:t>
      </w:r>
      <w:r>
        <w:rPr>
          <w:rFonts w:asciiTheme="majorHAnsi" w:eastAsia="Calibri Light" w:hAnsiTheme="majorHAnsi" w:cstheme="majorBidi"/>
          <w:sz w:val="23"/>
          <w:szCs w:val="23"/>
          <w:lang w:val="en-GB"/>
        </w:rPr>
        <w:t>residents</w:t>
      </w:r>
      <w:r w:rsidRPr="4061B100">
        <w:rPr>
          <w:rFonts w:asciiTheme="majorHAnsi" w:eastAsia="Calibri Light" w:hAnsiTheme="majorHAnsi" w:cstheme="majorBidi"/>
          <w:sz w:val="23"/>
          <w:szCs w:val="23"/>
          <w:lang w:val="en-GB"/>
        </w:rPr>
        <w:t xml:space="preserve"> in </w:t>
      </w:r>
      <w:r>
        <w:rPr>
          <w:rFonts w:asciiTheme="majorHAnsi" w:eastAsia="Calibri Light" w:hAnsiTheme="majorHAnsi" w:cstheme="majorBidi"/>
          <w:sz w:val="23"/>
          <w:szCs w:val="23"/>
          <w:lang w:val="en-GB"/>
        </w:rPr>
        <w:t xml:space="preserve">local </w:t>
      </w:r>
      <w:r w:rsidRPr="4061B100">
        <w:rPr>
          <w:rFonts w:asciiTheme="majorHAnsi" w:eastAsia="Calibri Light" w:hAnsiTheme="majorHAnsi" w:cstheme="majorBidi"/>
          <w:sz w:val="23"/>
          <w:szCs w:val="23"/>
          <w:lang w:val="en-GB"/>
        </w:rPr>
        <w:t xml:space="preserve">neighbourhood regeneration, </w:t>
      </w:r>
      <w:r w:rsidRPr="00552857">
        <w:rPr>
          <w:rFonts w:asciiTheme="majorHAnsi" w:eastAsia="Calibri Light" w:hAnsiTheme="majorHAnsi" w:cstheme="majorHAnsi"/>
          <w:sz w:val="23"/>
          <w:szCs w:val="23"/>
          <w:lang w:val="en-GB"/>
        </w:rPr>
        <w:t>social infrastructure</w:t>
      </w:r>
      <w:r>
        <w:rPr>
          <w:rFonts w:asciiTheme="majorHAnsi" w:eastAsia="Calibri Light" w:hAnsiTheme="majorHAnsi" w:cstheme="majorHAnsi"/>
          <w:sz w:val="23"/>
          <w:szCs w:val="23"/>
          <w:lang w:val="en-GB"/>
        </w:rPr>
        <w:t>,</w:t>
      </w:r>
      <w:r w:rsidRPr="00552857">
        <w:rPr>
          <w:rFonts w:asciiTheme="majorHAnsi" w:eastAsia="Calibri Light" w:hAnsiTheme="majorHAnsi" w:cstheme="majorHAnsi"/>
          <w:sz w:val="23"/>
          <w:szCs w:val="23"/>
          <w:lang w:val="en-GB"/>
        </w:rPr>
        <w:t xml:space="preserve"> </w:t>
      </w:r>
      <w:r w:rsidRPr="63D43B28">
        <w:rPr>
          <w:rFonts w:asciiTheme="majorHAnsi" w:eastAsia="Calibri Light" w:hAnsiTheme="majorHAnsi" w:cstheme="majorBidi"/>
          <w:sz w:val="23"/>
          <w:szCs w:val="23"/>
          <w:lang w:val="en-GB"/>
        </w:rPr>
        <w:t>placemaking</w:t>
      </w:r>
      <w:r>
        <w:rPr>
          <w:rFonts w:asciiTheme="majorHAnsi" w:eastAsia="Calibri Light" w:hAnsiTheme="majorHAnsi" w:cstheme="majorHAnsi"/>
          <w:sz w:val="23"/>
          <w:szCs w:val="23"/>
          <w:lang w:val="en-GB"/>
        </w:rPr>
        <w:t xml:space="preserve">, </w:t>
      </w:r>
      <w:r w:rsidRPr="4061B100">
        <w:rPr>
          <w:rFonts w:asciiTheme="majorHAnsi" w:eastAsia="Calibri Light" w:hAnsiTheme="majorHAnsi" w:cstheme="majorBidi"/>
          <w:sz w:val="23"/>
          <w:szCs w:val="23"/>
          <w:lang w:val="en-GB"/>
        </w:rPr>
        <w:t>community centre</w:t>
      </w:r>
      <w:r w:rsidRPr="63D43B28">
        <w:rPr>
          <w:rFonts w:asciiTheme="majorHAnsi" w:eastAsia="Calibri Light" w:hAnsiTheme="majorHAnsi" w:cstheme="majorBidi"/>
          <w:sz w:val="23"/>
          <w:szCs w:val="23"/>
          <w:lang w:val="en-GB"/>
        </w:rPr>
        <w:t>, digital inclusion</w:t>
      </w:r>
      <w:r>
        <w:rPr>
          <w:rFonts w:asciiTheme="majorHAnsi" w:eastAsia="Calibri Light" w:hAnsiTheme="majorHAnsi" w:cstheme="majorBidi"/>
          <w:sz w:val="23"/>
          <w:szCs w:val="23"/>
          <w:lang w:val="en-GB"/>
        </w:rPr>
        <w:t>,</w:t>
      </w:r>
      <w:r w:rsidRPr="4061B100">
        <w:rPr>
          <w:rFonts w:asciiTheme="majorHAnsi" w:eastAsia="Calibri Light" w:hAnsiTheme="majorHAnsi" w:cstheme="majorBidi"/>
          <w:sz w:val="23"/>
          <w:szCs w:val="23"/>
          <w:lang w:val="en-GB"/>
        </w:rPr>
        <w:t xml:space="preserve"> and food security </w:t>
      </w:r>
      <w:r>
        <w:rPr>
          <w:rFonts w:asciiTheme="majorHAnsi" w:eastAsia="Calibri Light" w:hAnsiTheme="majorHAnsi" w:cstheme="majorBidi"/>
          <w:sz w:val="23"/>
          <w:szCs w:val="23"/>
          <w:lang w:val="en-GB"/>
        </w:rPr>
        <w:t>programs</w:t>
      </w:r>
      <w:r w:rsidRPr="4061B100">
        <w:rPr>
          <w:rFonts w:asciiTheme="majorHAnsi" w:eastAsia="Calibri Light" w:hAnsiTheme="majorHAnsi" w:cstheme="majorBidi"/>
          <w:sz w:val="23"/>
          <w:szCs w:val="23"/>
          <w:lang w:val="en-GB"/>
        </w:rPr>
        <w:t xml:space="preserve">. </w:t>
      </w:r>
      <w:r w:rsidRPr="4061B100">
        <w:rPr>
          <w:rFonts w:asciiTheme="majorHAnsi" w:hAnsiTheme="majorHAnsi" w:cstheme="majorBidi"/>
          <w:sz w:val="23"/>
          <w:szCs w:val="23"/>
        </w:rPr>
        <w:t>Connect to State Government social procurement policy.</w:t>
      </w:r>
    </w:p>
    <w:p w14:paraId="6BA3914D" w14:textId="77777777" w:rsidR="003F07C7" w:rsidRPr="00552857" w:rsidRDefault="003F07C7" w:rsidP="003F07C7">
      <w:pPr>
        <w:pStyle w:val="ListParagraph"/>
        <w:numPr>
          <w:ilvl w:val="0"/>
          <w:numId w:val="6"/>
        </w:numPr>
        <w:spacing w:line="276" w:lineRule="auto"/>
        <w:rPr>
          <w:rFonts w:asciiTheme="majorHAnsi" w:eastAsiaTheme="minorEastAsia" w:hAnsiTheme="majorHAnsi" w:cstheme="majorHAnsi"/>
          <w:sz w:val="23"/>
          <w:szCs w:val="23"/>
        </w:rPr>
      </w:pPr>
      <w:r>
        <w:rPr>
          <w:rFonts w:asciiTheme="majorHAnsi" w:eastAsia="Calibri Light" w:hAnsiTheme="majorHAnsi" w:cstheme="majorHAnsi"/>
          <w:sz w:val="23"/>
          <w:szCs w:val="23"/>
          <w:lang w:val="en-GB"/>
        </w:rPr>
        <w:t>M</w:t>
      </w:r>
      <w:r w:rsidRPr="00552857">
        <w:rPr>
          <w:rFonts w:asciiTheme="majorHAnsi" w:eastAsia="Calibri Light" w:hAnsiTheme="majorHAnsi" w:cstheme="majorHAnsi"/>
          <w:sz w:val="23"/>
          <w:szCs w:val="23"/>
          <w:lang w:val="en-GB"/>
        </w:rPr>
        <w:t>obilis</w:t>
      </w:r>
      <w:r>
        <w:rPr>
          <w:rFonts w:asciiTheme="majorHAnsi" w:eastAsia="Calibri Light" w:hAnsiTheme="majorHAnsi" w:cstheme="majorHAnsi"/>
          <w:sz w:val="23"/>
          <w:szCs w:val="23"/>
          <w:lang w:val="en-GB"/>
        </w:rPr>
        <w:t>e local</w:t>
      </w:r>
      <w:r w:rsidRPr="00552857">
        <w:rPr>
          <w:rFonts w:asciiTheme="majorHAnsi" w:eastAsia="Calibri Light" w:hAnsiTheme="majorHAnsi" w:cstheme="majorHAnsi"/>
          <w:sz w:val="23"/>
          <w:szCs w:val="23"/>
          <w:lang w:val="en-GB"/>
        </w:rPr>
        <w:t xml:space="preserve"> skills </w:t>
      </w:r>
      <w:r>
        <w:rPr>
          <w:rFonts w:asciiTheme="majorHAnsi" w:eastAsia="Calibri Light" w:hAnsiTheme="majorHAnsi" w:cstheme="majorHAnsi"/>
          <w:sz w:val="23"/>
          <w:szCs w:val="23"/>
          <w:lang w:val="en-GB"/>
        </w:rPr>
        <w:t>via</w:t>
      </w:r>
      <w:r w:rsidRPr="00552857">
        <w:rPr>
          <w:rFonts w:asciiTheme="majorHAnsi" w:eastAsia="Calibri Light" w:hAnsiTheme="majorHAnsi" w:cstheme="majorHAnsi"/>
          <w:sz w:val="23"/>
          <w:szCs w:val="23"/>
          <w:lang w:val="en-GB"/>
        </w:rPr>
        <w:t xml:space="preserve"> arts, cooking, </w:t>
      </w:r>
      <w:r>
        <w:rPr>
          <w:rFonts w:asciiTheme="majorHAnsi" w:eastAsia="Calibri Light" w:hAnsiTheme="majorHAnsi" w:cstheme="majorHAnsi"/>
          <w:sz w:val="23"/>
          <w:szCs w:val="23"/>
          <w:lang w:val="en-GB"/>
        </w:rPr>
        <w:t xml:space="preserve">gardening, cycling, </w:t>
      </w:r>
      <w:r w:rsidRPr="00552857">
        <w:rPr>
          <w:rFonts w:asciiTheme="majorHAnsi" w:eastAsia="Calibri Light" w:hAnsiTheme="majorHAnsi" w:cstheme="majorHAnsi"/>
          <w:sz w:val="23"/>
          <w:szCs w:val="23"/>
          <w:lang w:val="en-GB"/>
        </w:rPr>
        <w:t>music</w:t>
      </w:r>
      <w:r>
        <w:rPr>
          <w:rFonts w:asciiTheme="majorHAnsi" w:eastAsia="Calibri Light" w:hAnsiTheme="majorHAnsi" w:cstheme="majorHAnsi"/>
          <w:sz w:val="23"/>
          <w:szCs w:val="23"/>
          <w:lang w:val="en-GB"/>
        </w:rPr>
        <w:t xml:space="preserve">, carpentry, and craft </w:t>
      </w:r>
      <w:r w:rsidRPr="00552857">
        <w:rPr>
          <w:rFonts w:asciiTheme="majorHAnsi" w:eastAsia="Calibri Light" w:hAnsiTheme="majorHAnsi" w:cstheme="majorHAnsi"/>
          <w:sz w:val="23"/>
          <w:szCs w:val="23"/>
          <w:lang w:val="en-GB"/>
        </w:rPr>
        <w:t>programs.</w:t>
      </w:r>
    </w:p>
    <w:p w14:paraId="7D0A1BD3" w14:textId="77777777" w:rsidR="003F07C7" w:rsidRPr="00552857" w:rsidRDefault="003F07C7" w:rsidP="003F07C7">
      <w:pPr>
        <w:pStyle w:val="ListParagraph"/>
        <w:numPr>
          <w:ilvl w:val="0"/>
          <w:numId w:val="6"/>
        </w:numPr>
        <w:spacing w:line="276" w:lineRule="auto"/>
        <w:rPr>
          <w:rFonts w:asciiTheme="majorHAnsi" w:eastAsiaTheme="minorEastAsia" w:hAnsiTheme="majorHAnsi" w:cstheme="majorHAnsi"/>
          <w:sz w:val="23"/>
          <w:szCs w:val="23"/>
        </w:rPr>
      </w:pPr>
      <w:r>
        <w:rPr>
          <w:rFonts w:asciiTheme="majorHAnsi" w:eastAsia="Calibri Light" w:hAnsiTheme="majorHAnsi" w:cstheme="majorHAnsi"/>
          <w:sz w:val="23"/>
          <w:szCs w:val="23"/>
          <w:lang w:val="en-GB"/>
        </w:rPr>
        <w:t>Develop l</w:t>
      </w:r>
      <w:r w:rsidRPr="00552857">
        <w:rPr>
          <w:rFonts w:asciiTheme="majorHAnsi" w:eastAsia="Calibri Light" w:hAnsiTheme="majorHAnsi" w:cstheme="majorHAnsi"/>
          <w:sz w:val="23"/>
          <w:szCs w:val="23"/>
          <w:lang w:val="en-GB"/>
        </w:rPr>
        <w:t>ocal leadership programs (in partnership with schools and G21)</w:t>
      </w:r>
      <w:r>
        <w:rPr>
          <w:rFonts w:asciiTheme="majorHAnsi" w:eastAsia="Calibri Light" w:hAnsiTheme="majorHAnsi" w:cstheme="majorHAnsi"/>
          <w:sz w:val="23"/>
          <w:szCs w:val="23"/>
          <w:lang w:val="en-GB"/>
        </w:rPr>
        <w:t>.</w:t>
      </w:r>
    </w:p>
    <w:p w14:paraId="07DA5A61" w14:textId="77777777" w:rsidR="003F07C7" w:rsidRPr="00552857" w:rsidRDefault="003F07C7" w:rsidP="003F07C7">
      <w:pPr>
        <w:pStyle w:val="ListParagraph"/>
        <w:numPr>
          <w:ilvl w:val="0"/>
          <w:numId w:val="6"/>
        </w:numPr>
        <w:spacing w:line="276" w:lineRule="auto"/>
        <w:rPr>
          <w:rFonts w:asciiTheme="majorHAnsi" w:eastAsiaTheme="minorEastAsia" w:hAnsiTheme="majorHAnsi" w:cstheme="majorHAnsi"/>
          <w:sz w:val="23"/>
          <w:szCs w:val="23"/>
        </w:rPr>
      </w:pPr>
      <w:r w:rsidRPr="00552857">
        <w:rPr>
          <w:rFonts w:asciiTheme="majorHAnsi" w:eastAsia="Calibri Light" w:hAnsiTheme="majorHAnsi" w:cstheme="majorHAnsi"/>
          <w:sz w:val="23"/>
          <w:szCs w:val="23"/>
          <w:lang w:val="en-GB"/>
        </w:rPr>
        <w:t xml:space="preserve">Further </w:t>
      </w:r>
      <w:r w:rsidRPr="63D43B28">
        <w:rPr>
          <w:rFonts w:asciiTheme="majorHAnsi" w:eastAsia="Calibri Light" w:hAnsiTheme="majorHAnsi" w:cstheme="majorBidi"/>
          <w:sz w:val="23"/>
          <w:szCs w:val="23"/>
          <w:lang w:val="en-GB"/>
        </w:rPr>
        <w:t>explore local</w:t>
      </w:r>
      <w:r w:rsidRPr="00552857">
        <w:rPr>
          <w:rFonts w:asciiTheme="majorHAnsi" w:eastAsia="Calibri Light" w:hAnsiTheme="majorHAnsi" w:cstheme="majorHAnsi"/>
          <w:sz w:val="23"/>
          <w:szCs w:val="23"/>
          <w:lang w:val="en-GB"/>
        </w:rPr>
        <w:t xml:space="preserve"> employment expansion </w:t>
      </w:r>
      <w:r w:rsidRPr="63D43B28">
        <w:rPr>
          <w:rFonts w:asciiTheme="majorHAnsi" w:eastAsia="Calibri Light" w:hAnsiTheme="majorHAnsi" w:cstheme="majorBidi"/>
          <w:sz w:val="23"/>
          <w:szCs w:val="23"/>
          <w:lang w:val="en-GB"/>
        </w:rPr>
        <w:t>options</w:t>
      </w:r>
      <w:r w:rsidRPr="00552857">
        <w:rPr>
          <w:rFonts w:asciiTheme="majorHAnsi" w:eastAsia="Calibri Light" w:hAnsiTheme="majorHAnsi" w:cstheme="majorHAnsi"/>
          <w:sz w:val="23"/>
          <w:szCs w:val="23"/>
          <w:lang w:val="en-GB"/>
        </w:rPr>
        <w:t>, such as construction, health, aged and disability care, as sectors where more locals can be trained and employed</w:t>
      </w:r>
      <w:r>
        <w:rPr>
          <w:rFonts w:asciiTheme="majorHAnsi" w:eastAsia="Calibri Light" w:hAnsiTheme="majorHAnsi" w:cstheme="majorHAnsi"/>
          <w:sz w:val="23"/>
          <w:szCs w:val="23"/>
          <w:lang w:val="en-GB"/>
        </w:rPr>
        <w:t>.</w:t>
      </w:r>
    </w:p>
    <w:p w14:paraId="5EC9DDEE" w14:textId="77777777" w:rsidR="003F07C7" w:rsidRPr="00552857" w:rsidRDefault="003F07C7" w:rsidP="003F07C7">
      <w:pPr>
        <w:pStyle w:val="ListParagraph"/>
        <w:numPr>
          <w:ilvl w:val="0"/>
          <w:numId w:val="6"/>
        </w:numPr>
        <w:spacing w:line="276" w:lineRule="auto"/>
        <w:rPr>
          <w:rFonts w:asciiTheme="majorHAnsi" w:eastAsiaTheme="minorEastAsia" w:hAnsiTheme="majorHAnsi" w:cstheme="majorBidi"/>
          <w:sz w:val="23"/>
          <w:szCs w:val="23"/>
        </w:rPr>
      </w:pPr>
      <w:r w:rsidRPr="39226A36">
        <w:rPr>
          <w:rFonts w:asciiTheme="majorHAnsi" w:eastAsia="Calibri Light" w:hAnsiTheme="majorHAnsi" w:cstheme="majorBidi"/>
          <w:sz w:val="23"/>
          <w:szCs w:val="23"/>
          <w:lang w:val="en-GB"/>
        </w:rPr>
        <w:t>More active outreach to long</w:t>
      </w:r>
      <w:r w:rsidRPr="63D43B28">
        <w:rPr>
          <w:rFonts w:asciiTheme="majorHAnsi" w:eastAsia="Calibri Light" w:hAnsiTheme="majorHAnsi" w:cstheme="majorBidi"/>
          <w:sz w:val="23"/>
          <w:szCs w:val="23"/>
          <w:lang w:val="en-GB"/>
        </w:rPr>
        <w:t>-</w:t>
      </w:r>
      <w:r w:rsidRPr="39226A36">
        <w:rPr>
          <w:rFonts w:asciiTheme="majorHAnsi" w:eastAsia="Calibri Light" w:hAnsiTheme="majorHAnsi" w:cstheme="majorBidi"/>
          <w:sz w:val="23"/>
          <w:szCs w:val="23"/>
          <w:lang w:val="en-GB"/>
        </w:rPr>
        <w:t xml:space="preserve">term </w:t>
      </w:r>
      <w:r w:rsidRPr="63D43B28">
        <w:rPr>
          <w:rFonts w:asciiTheme="majorHAnsi" w:eastAsia="Calibri Light" w:hAnsiTheme="majorHAnsi" w:cstheme="majorBidi"/>
          <w:sz w:val="23"/>
          <w:szCs w:val="23"/>
          <w:lang w:val="en-GB"/>
        </w:rPr>
        <w:t xml:space="preserve">unemployed </w:t>
      </w:r>
      <w:r w:rsidRPr="25A5A516">
        <w:rPr>
          <w:rFonts w:asciiTheme="majorHAnsi" w:eastAsia="Calibri Light" w:hAnsiTheme="majorHAnsi" w:cstheme="majorBidi"/>
          <w:sz w:val="23"/>
          <w:szCs w:val="23"/>
          <w:lang w:val="en-GB"/>
        </w:rPr>
        <w:t>people</w:t>
      </w:r>
      <w:r w:rsidRPr="39226A36">
        <w:rPr>
          <w:rFonts w:asciiTheme="majorHAnsi" w:eastAsia="Calibri Light" w:hAnsiTheme="majorHAnsi" w:cstheme="majorBidi"/>
          <w:sz w:val="23"/>
          <w:szCs w:val="23"/>
          <w:lang w:val="en-GB"/>
        </w:rPr>
        <w:t xml:space="preserve"> to engage them into existing programs</w:t>
      </w:r>
      <w:r w:rsidRPr="25A5A516">
        <w:rPr>
          <w:rFonts w:asciiTheme="majorHAnsi" w:eastAsia="Calibri Light" w:hAnsiTheme="majorHAnsi" w:cstheme="majorBidi"/>
          <w:sz w:val="23"/>
          <w:szCs w:val="23"/>
          <w:lang w:val="en-GB"/>
        </w:rPr>
        <w:t>,</w:t>
      </w:r>
      <w:r w:rsidRPr="39226A36">
        <w:rPr>
          <w:rFonts w:asciiTheme="majorHAnsi" w:eastAsia="Calibri Light" w:hAnsiTheme="majorHAnsi" w:cstheme="majorBidi"/>
          <w:sz w:val="23"/>
          <w:szCs w:val="23"/>
          <w:lang w:val="en-GB"/>
        </w:rPr>
        <w:t xml:space="preserve"> or custom</w:t>
      </w:r>
      <w:r>
        <w:rPr>
          <w:rFonts w:asciiTheme="majorHAnsi" w:eastAsia="Calibri Light" w:hAnsiTheme="majorHAnsi" w:cstheme="majorBidi"/>
          <w:sz w:val="23"/>
          <w:szCs w:val="23"/>
          <w:lang w:val="en-GB"/>
        </w:rPr>
        <w:t>-</w:t>
      </w:r>
      <w:r w:rsidRPr="39226A36">
        <w:rPr>
          <w:rFonts w:asciiTheme="majorHAnsi" w:eastAsia="Calibri Light" w:hAnsiTheme="majorHAnsi" w:cstheme="majorBidi"/>
          <w:sz w:val="23"/>
          <w:szCs w:val="23"/>
          <w:lang w:val="en-GB"/>
        </w:rPr>
        <w:t>design programs to meet their needs.</w:t>
      </w:r>
    </w:p>
    <w:p w14:paraId="0153D120" w14:textId="77777777" w:rsidR="003F07C7" w:rsidRDefault="003F07C7" w:rsidP="003F07C7">
      <w:pPr>
        <w:pStyle w:val="ListParagraph"/>
        <w:numPr>
          <w:ilvl w:val="0"/>
          <w:numId w:val="6"/>
        </w:numPr>
        <w:spacing w:line="276" w:lineRule="auto"/>
        <w:rPr>
          <w:rFonts w:asciiTheme="majorHAnsi" w:eastAsiaTheme="majorEastAsia" w:hAnsiTheme="majorHAnsi" w:cstheme="majorBidi"/>
          <w:sz w:val="23"/>
          <w:szCs w:val="23"/>
        </w:rPr>
      </w:pPr>
      <w:r w:rsidRPr="4D79C869">
        <w:rPr>
          <w:rFonts w:asciiTheme="majorHAnsi" w:hAnsiTheme="majorHAnsi" w:cstheme="majorBidi"/>
          <w:sz w:val="23"/>
          <w:szCs w:val="23"/>
        </w:rPr>
        <w:t>Revitalise old industrial precincts and retail strips as employment hubs.</w:t>
      </w:r>
    </w:p>
    <w:p w14:paraId="078A6E0D" w14:textId="77777777" w:rsidR="003F07C7" w:rsidRPr="00856CD1" w:rsidRDefault="003F07C7" w:rsidP="003F07C7">
      <w:pPr>
        <w:pStyle w:val="ListParagraph"/>
        <w:numPr>
          <w:ilvl w:val="0"/>
          <w:numId w:val="6"/>
        </w:numPr>
        <w:spacing w:line="276" w:lineRule="auto"/>
        <w:rPr>
          <w:sz w:val="23"/>
          <w:szCs w:val="23"/>
        </w:rPr>
      </w:pPr>
      <w:r w:rsidRPr="72EF3811">
        <w:rPr>
          <w:rFonts w:asciiTheme="majorHAnsi" w:hAnsiTheme="majorHAnsi" w:cstheme="majorBidi"/>
          <w:sz w:val="23"/>
          <w:szCs w:val="23"/>
        </w:rPr>
        <w:t>Capitalise on the projected residential growth in the</w:t>
      </w:r>
      <w:r>
        <w:rPr>
          <w:rFonts w:asciiTheme="majorHAnsi" w:hAnsiTheme="majorHAnsi" w:cstheme="majorBidi"/>
          <w:sz w:val="23"/>
          <w:szCs w:val="23"/>
        </w:rPr>
        <w:t xml:space="preserve"> city’s</w:t>
      </w:r>
      <w:r w:rsidRPr="72EF3811">
        <w:rPr>
          <w:rFonts w:asciiTheme="majorHAnsi" w:hAnsiTheme="majorHAnsi" w:cstheme="majorBidi"/>
          <w:sz w:val="23"/>
          <w:szCs w:val="23"/>
        </w:rPr>
        <w:t xml:space="preserve"> </w:t>
      </w:r>
      <w:proofErr w:type="gramStart"/>
      <w:r w:rsidRPr="72EF3811">
        <w:rPr>
          <w:rFonts w:asciiTheme="majorHAnsi" w:hAnsiTheme="majorHAnsi" w:cstheme="majorBidi"/>
          <w:sz w:val="23"/>
          <w:szCs w:val="23"/>
        </w:rPr>
        <w:t>North West</w:t>
      </w:r>
      <w:proofErr w:type="gramEnd"/>
      <w:r w:rsidRPr="72EF3811">
        <w:rPr>
          <w:rFonts w:asciiTheme="majorHAnsi" w:hAnsiTheme="majorHAnsi" w:cstheme="majorBidi"/>
          <w:sz w:val="23"/>
          <w:szCs w:val="23"/>
        </w:rPr>
        <w:t xml:space="preserve"> corridor, primarily the increase in construction employment possibilities.</w:t>
      </w:r>
    </w:p>
    <w:p w14:paraId="64ACAFC1" w14:textId="77777777" w:rsidR="003F07C7" w:rsidRDefault="003F07C7" w:rsidP="003F07C7">
      <w:pPr>
        <w:pStyle w:val="ListParagraph"/>
        <w:numPr>
          <w:ilvl w:val="0"/>
          <w:numId w:val="6"/>
        </w:numPr>
        <w:spacing w:line="276" w:lineRule="auto"/>
        <w:rPr>
          <w:sz w:val="23"/>
          <w:szCs w:val="23"/>
        </w:rPr>
      </w:pPr>
      <w:r>
        <w:rPr>
          <w:rFonts w:asciiTheme="majorHAnsi" w:hAnsiTheme="majorHAnsi" w:cstheme="majorBidi"/>
          <w:sz w:val="23"/>
          <w:szCs w:val="23"/>
        </w:rPr>
        <w:t>Explore and tap into relevant funding opportunities (such as the new Jobs Victoria Fund).</w:t>
      </w:r>
    </w:p>
    <w:p w14:paraId="4FDF6BF2" w14:textId="77777777" w:rsidR="003F07C7" w:rsidRDefault="003F07C7" w:rsidP="003F07C7">
      <w:pPr>
        <w:spacing w:line="276" w:lineRule="auto"/>
        <w:rPr>
          <w:rFonts w:asciiTheme="majorHAnsi" w:eastAsiaTheme="majorEastAsia" w:hAnsiTheme="majorHAnsi" w:cstheme="majorBidi"/>
          <w:color w:val="525252" w:themeColor="accent3" w:themeShade="80"/>
          <w:sz w:val="23"/>
          <w:szCs w:val="23"/>
        </w:rPr>
      </w:pPr>
      <w:r w:rsidRPr="003579A6">
        <w:rPr>
          <w:rFonts w:eastAsiaTheme="majorEastAsia" w:cstheme="minorHAnsi"/>
          <w:b/>
          <w:bCs/>
          <w:color w:val="525252" w:themeColor="accent3" w:themeShade="80"/>
          <w:sz w:val="23"/>
          <w:szCs w:val="23"/>
        </w:rPr>
        <w:t xml:space="preserve">Relevant </w:t>
      </w:r>
      <w:r>
        <w:rPr>
          <w:rFonts w:eastAsiaTheme="majorEastAsia" w:cstheme="minorHAnsi"/>
          <w:b/>
          <w:bCs/>
          <w:color w:val="525252" w:themeColor="accent3" w:themeShade="80"/>
          <w:sz w:val="23"/>
          <w:szCs w:val="23"/>
        </w:rPr>
        <w:t>Case Studies</w:t>
      </w:r>
      <w:r w:rsidRPr="003579A6">
        <w:rPr>
          <w:rFonts w:eastAsiaTheme="majorEastAsia" w:cstheme="minorHAnsi"/>
          <w:b/>
          <w:bCs/>
          <w:color w:val="525252" w:themeColor="accent3" w:themeShade="80"/>
          <w:sz w:val="23"/>
          <w:szCs w:val="23"/>
        </w:rPr>
        <w:t>:</w:t>
      </w:r>
      <w:r w:rsidRPr="502830E4">
        <w:rPr>
          <w:rFonts w:asciiTheme="majorHAnsi" w:eastAsiaTheme="majorEastAsia" w:hAnsiTheme="majorHAnsi" w:cstheme="majorBidi"/>
          <w:b/>
          <w:bCs/>
          <w:color w:val="525252" w:themeColor="accent3" w:themeShade="80"/>
          <w:sz w:val="23"/>
          <w:szCs w:val="23"/>
        </w:rPr>
        <w:t xml:space="preserve"> </w:t>
      </w:r>
      <w:r w:rsidRPr="502830E4">
        <w:rPr>
          <w:rFonts w:asciiTheme="majorHAnsi" w:eastAsiaTheme="majorEastAsia" w:hAnsiTheme="majorHAnsi" w:cstheme="majorBidi"/>
          <w:color w:val="525252" w:themeColor="accent3" w:themeShade="80"/>
          <w:sz w:val="23"/>
          <w:szCs w:val="23"/>
        </w:rPr>
        <w:t xml:space="preserve"> GROW, Geelong </w:t>
      </w:r>
      <w:r>
        <w:rPr>
          <w:rFonts w:asciiTheme="majorHAnsi" w:eastAsiaTheme="majorEastAsia" w:hAnsiTheme="majorHAnsi" w:cstheme="majorBidi"/>
          <w:color w:val="525252" w:themeColor="accent3" w:themeShade="80"/>
          <w:sz w:val="23"/>
          <w:szCs w:val="23"/>
        </w:rPr>
        <w:t>(p.61)</w:t>
      </w:r>
      <w:r w:rsidRPr="502830E4">
        <w:rPr>
          <w:rFonts w:asciiTheme="majorHAnsi" w:eastAsiaTheme="majorEastAsia" w:hAnsiTheme="majorHAnsi" w:cstheme="majorBidi"/>
          <w:color w:val="525252" w:themeColor="accent3" w:themeShade="80"/>
          <w:sz w:val="23"/>
          <w:szCs w:val="23"/>
        </w:rPr>
        <w:t xml:space="preserve">; Whittington Works, Geelong </w:t>
      </w:r>
      <w:r>
        <w:rPr>
          <w:rFonts w:asciiTheme="majorHAnsi" w:eastAsiaTheme="majorEastAsia" w:hAnsiTheme="majorHAnsi" w:cstheme="majorBidi"/>
          <w:color w:val="525252" w:themeColor="accent3" w:themeShade="80"/>
          <w:sz w:val="23"/>
          <w:szCs w:val="23"/>
        </w:rPr>
        <w:t>(p.60)</w:t>
      </w:r>
      <w:r w:rsidRPr="502830E4">
        <w:rPr>
          <w:rFonts w:asciiTheme="majorHAnsi" w:eastAsiaTheme="majorEastAsia" w:hAnsiTheme="majorHAnsi" w:cstheme="majorBidi"/>
          <w:color w:val="525252" w:themeColor="accent3" w:themeShade="80"/>
          <w:sz w:val="23"/>
          <w:szCs w:val="23"/>
        </w:rPr>
        <w:t>; Neighbourhood Renewal</w:t>
      </w:r>
      <w:r>
        <w:rPr>
          <w:rFonts w:asciiTheme="majorHAnsi" w:eastAsiaTheme="majorEastAsia" w:hAnsiTheme="majorHAnsi" w:cstheme="majorBidi"/>
          <w:color w:val="525252" w:themeColor="accent3" w:themeShade="80"/>
          <w:sz w:val="23"/>
          <w:szCs w:val="23"/>
        </w:rPr>
        <w:t xml:space="preserve"> Program</w:t>
      </w:r>
      <w:r w:rsidRPr="502830E4">
        <w:rPr>
          <w:rFonts w:asciiTheme="majorHAnsi" w:eastAsiaTheme="majorEastAsia" w:hAnsiTheme="majorHAnsi" w:cstheme="majorBidi"/>
          <w:color w:val="525252" w:themeColor="accent3" w:themeShade="80"/>
          <w:sz w:val="23"/>
          <w:szCs w:val="23"/>
        </w:rPr>
        <w:t>, Victoria</w:t>
      </w:r>
      <w:r>
        <w:rPr>
          <w:rFonts w:asciiTheme="majorHAnsi" w:eastAsiaTheme="majorEastAsia" w:hAnsiTheme="majorHAnsi" w:cstheme="majorBidi"/>
          <w:color w:val="525252" w:themeColor="accent3" w:themeShade="80"/>
          <w:sz w:val="23"/>
          <w:szCs w:val="23"/>
        </w:rPr>
        <w:t xml:space="preserve"> (p.66)</w:t>
      </w:r>
      <w:r w:rsidRPr="502830E4">
        <w:rPr>
          <w:rFonts w:asciiTheme="majorHAnsi" w:eastAsiaTheme="majorEastAsia" w:hAnsiTheme="majorHAnsi" w:cstheme="majorBidi"/>
          <w:color w:val="525252" w:themeColor="accent3" w:themeShade="80"/>
          <w:sz w:val="23"/>
          <w:szCs w:val="23"/>
        </w:rPr>
        <w:t xml:space="preserve">; Sustainable South Bronx Project, New York </w:t>
      </w:r>
      <w:r>
        <w:rPr>
          <w:rFonts w:asciiTheme="majorHAnsi" w:eastAsiaTheme="majorEastAsia" w:hAnsiTheme="majorHAnsi" w:cstheme="majorBidi"/>
          <w:color w:val="525252" w:themeColor="accent3" w:themeShade="80"/>
          <w:sz w:val="23"/>
          <w:szCs w:val="23"/>
        </w:rPr>
        <w:t>(p.73)</w:t>
      </w:r>
      <w:r w:rsidRPr="502830E4">
        <w:rPr>
          <w:rFonts w:asciiTheme="majorHAnsi" w:eastAsiaTheme="majorEastAsia" w:hAnsiTheme="majorHAnsi" w:cstheme="majorBidi"/>
          <w:color w:val="525252" w:themeColor="accent3" w:themeShade="80"/>
          <w:sz w:val="23"/>
          <w:szCs w:val="23"/>
        </w:rPr>
        <w:t xml:space="preserve">; Oslo Living Lab, Norway </w:t>
      </w:r>
      <w:r>
        <w:rPr>
          <w:rFonts w:ascii="Calibri" w:eastAsia="Calibri" w:hAnsi="Calibri" w:cs="Calibri"/>
          <w:color w:val="525252" w:themeColor="accent3" w:themeShade="80"/>
        </w:rPr>
        <w:t>(</w:t>
      </w:r>
      <w:r w:rsidRPr="502830E4">
        <w:rPr>
          <w:rFonts w:asciiTheme="majorHAnsi" w:eastAsiaTheme="majorEastAsia" w:hAnsiTheme="majorHAnsi" w:cstheme="majorBidi"/>
          <w:color w:val="525252" w:themeColor="accent3" w:themeShade="80"/>
          <w:sz w:val="23"/>
          <w:szCs w:val="23"/>
        </w:rPr>
        <w:t>Rooftop Garden + Circular Business Model</w:t>
      </w:r>
      <w:r>
        <w:rPr>
          <w:rFonts w:asciiTheme="majorHAnsi" w:eastAsiaTheme="majorEastAsia" w:hAnsiTheme="majorHAnsi" w:cstheme="majorBidi"/>
          <w:color w:val="525252" w:themeColor="accent3" w:themeShade="80"/>
          <w:sz w:val="23"/>
          <w:szCs w:val="23"/>
        </w:rPr>
        <w:t>)</w:t>
      </w:r>
      <w:r w:rsidRPr="502830E4">
        <w:rPr>
          <w:rFonts w:asciiTheme="majorHAnsi" w:eastAsiaTheme="majorEastAsia" w:hAnsiTheme="majorHAnsi" w:cstheme="majorBidi"/>
          <w:color w:val="525252" w:themeColor="accent3" w:themeShade="80"/>
          <w:sz w:val="23"/>
          <w:szCs w:val="23"/>
        </w:rPr>
        <w:t xml:space="preserve"> </w:t>
      </w:r>
      <w:r>
        <w:rPr>
          <w:rFonts w:asciiTheme="majorHAnsi" w:eastAsiaTheme="majorEastAsia" w:hAnsiTheme="majorHAnsi" w:cstheme="majorBidi"/>
          <w:color w:val="525252" w:themeColor="accent3" w:themeShade="80"/>
          <w:sz w:val="23"/>
          <w:szCs w:val="23"/>
        </w:rPr>
        <w:t>(p.82)</w:t>
      </w:r>
      <w:r w:rsidRPr="502830E4">
        <w:rPr>
          <w:rFonts w:asciiTheme="majorHAnsi" w:eastAsiaTheme="majorEastAsia" w:hAnsiTheme="majorHAnsi" w:cstheme="majorBidi"/>
          <w:color w:val="525252" w:themeColor="accent3" w:themeShade="80"/>
          <w:sz w:val="23"/>
          <w:szCs w:val="23"/>
        </w:rPr>
        <w:t>; We Design For Life, Kolding, Denmark</w:t>
      </w:r>
      <w:r>
        <w:rPr>
          <w:rFonts w:asciiTheme="majorHAnsi" w:eastAsiaTheme="majorEastAsia" w:hAnsiTheme="majorHAnsi" w:cstheme="majorBidi"/>
          <w:color w:val="525252" w:themeColor="accent3" w:themeShade="80"/>
          <w:sz w:val="23"/>
          <w:szCs w:val="23"/>
        </w:rPr>
        <w:t xml:space="preserve"> (</w:t>
      </w:r>
      <w:proofErr w:type="gramStart"/>
      <w:r w:rsidRPr="502830E4">
        <w:rPr>
          <w:rFonts w:asciiTheme="majorHAnsi" w:eastAsiaTheme="majorEastAsia" w:hAnsiTheme="majorHAnsi" w:cstheme="majorBidi"/>
          <w:color w:val="525252" w:themeColor="accent3" w:themeShade="80"/>
          <w:sz w:val="23"/>
          <w:szCs w:val="23"/>
        </w:rPr>
        <w:t>RE:USE</w:t>
      </w:r>
      <w:proofErr w:type="gramEnd"/>
      <w:r w:rsidRPr="502830E4">
        <w:rPr>
          <w:rFonts w:asciiTheme="majorHAnsi" w:eastAsiaTheme="majorEastAsia" w:hAnsiTheme="majorHAnsi" w:cstheme="majorBidi"/>
          <w:color w:val="525252" w:themeColor="accent3" w:themeShade="80"/>
          <w:sz w:val="23"/>
          <w:szCs w:val="23"/>
        </w:rPr>
        <w:t xml:space="preserve"> circular economy project</w:t>
      </w:r>
      <w:r>
        <w:rPr>
          <w:rFonts w:asciiTheme="majorHAnsi" w:eastAsiaTheme="majorEastAsia" w:hAnsiTheme="majorHAnsi" w:cstheme="majorBidi"/>
          <w:color w:val="525252" w:themeColor="accent3" w:themeShade="80"/>
          <w:sz w:val="23"/>
          <w:szCs w:val="23"/>
        </w:rPr>
        <w:t>)</w:t>
      </w:r>
      <w:r w:rsidRPr="502830E4">
        <w:rPr>
          <w:rFonts w:asciiTheme="majorHAnsi" w:eastAsiaTheme="majorEastAsia" w:hAnsiTheme="majorHAnsi" w:cstheme="majorBidi"/>
          <w:color w:val="525252" w:themeColor="accent3" w:themeShade="80"/>
          <w:sz w:val="23"/>
          <w:szCs w:val="23"/>
        </w:rPr>
        <w:t xml:space="preserve"> </w:t>
      </w:r>
      <w:r>
        <w:rPr>
          <w:rFonts w:asciiTheme="majorHAnsi" w:eastAsiaTheme="majorEastAsia" w:hAnsiTheme="majorHAnsi" w:cstheme="majorBidi"/>
          <w:color w:val="525252" w:themeColor="accent3" w:themeShade="80"/>
          <w:sz w:val="23"/>
          <w:szCs w:val="23"/>
        </w:rPr>
        <w:t>(p.83).</w:t>
      </w:r>
    </w:p>
    <w:p w14:paraId="5E9A631D" w14:textId="77777777" w:rsidR="003F07C7" w:rsidRPr="009175B3" w:rsidRDefault="003F07C7" w:rsidP="003F07C7">
      <w:pPr>
        <w:pStyle w:val="Default"/>
        <w:spacing w:line="276" w:lineRule="auto"/>
        <w:rPr>
          <w:rFonts w:eastAsia="Calibri"/>
          <w:b/>
          <w:color w:val="2F5496" w:themeColor="accent1" w:themeShade="BF"/>
          <w:sz w:val="25"/>
          <w:szCs w:val="25"/>
        </w:rPr>
      </w:pPr>
      <w:r w:rsidRPr="009175B3">
        <w:rPr>
          <w:rFonts w:eastAsia="Calibri"/>
          <w:b/>
          <w:color w:val="2F5496" w:themeColor="accent1" w:themeShade="BF"/>
          <w:sz w:val="25"/>
          <w:szCs w:val="25"/>
        </w:rPr>
        <w:lastRenderedPageBreak/>
        <w:t>3.8 Digital Inclusion Initiative</w:t>
      </w:r>
    </w:p>
    <w:p w14:paraId="63D92866" w14:textId="77777777" w:rsidR="003F07C7" w:rsidRDefault="003F07C7" w:rsidP="003F07C7">
      <w:pPr>
        <w:spacing w:line="276" w:lineRule="auto"/>
      </w:pPr>
      <w:r w:rsidRPr="502830E4">
        <w:rPr>
          <w:rFonts w:ascii="Calibri Light" w:eastAsia="Calibri Light" w:hAnsi="Calibri Light" w:cs="Calibri Light"/>
          <w:color w:val="000000" w:themeColor="text1"/>
          <w:sz w:val="23"/>
          <w:szCs w:val="23"/>
        </w:rPr>
        <w:t xml:space="preserve">Improving digital inclusion is an </w:t>
      </w:r>
      <w:r w:rsidRPr="0E3C9592">
        <w:rPr>
          <w:rFonts w:ascii="Calibri Light" w:eastAsia="Calibri Light" w:hAnsi="Calibri Light" w:cs="Calibri Light"/>
          <w:color w:val="000000" w:themeColor="text1"/>
          <w:sz w:val="23"/>
          <w:szCs w:val="23"/>
        </w:rPr>
        <w:t>urgent</w:t>
      </w:r>
      <w:r w:rsidRPr="502830E4">
        <w:rPr>
          <w:rFonts w:ascii="Calibri Light" w:eastAsia="Calibri Light" w:hAnsi="Calibri Light" w:cs="Calibri Light"/>
          <w:color w:val="000000" w:themeColor="text1"/>
          <w:sz w:val="23"/>
          <w:szCs w:val="23"/>
        </w:rPr>
        <w:t xml:space="preserve"> priority across all three localities. Digital </w:t>
      </w:r>
      <w:r w:rsidRPr="502830E4">
        <w:rPr>
          <w:rFonts w:ascii="Calibri Light" w:eastAsia="Calibri Light" w:hAnsi="Calibri Light" w:cs="Calibri Light"/>
          <w:i/>
          <w:iCs/>
          <w:color w:val="000000" w:themeColor="text1"/>
          <w:sz w:val="23"/>
          <w:szCs w:val="23"/>
        </w:rPr>
        <w:t xml:space="preserve">exclusion </w:t>
      </w:r>
      <w:r w:rsidRPr="502830E4">
        <w:rPr>
          <w:rFonts w:ascii="Calibri Light" w:eastAsia="Calibri Light" w:hAnsi="Calibri Light" w:cs="Calibri Light"/>
          <w:color w:val="000000" w:themeColor="text1"/>
          <w:sz w:val="23"/>
          <w:szCs w:val="23"/>
        </w:rPr>
        <w:t xml:space="preserve">is </w:t>
      </w:r>
      <w:r>
        <w:rPr>
          <w:rFonts w:ascii="Calibri Light" w:eastAsia="Calibri Light" w:hAnsi="Calibri Light" w:cs="Calibri Light"/>
          <w:color w:val="000000" w:themeColor="text1"/>
          <w:sz w:val="23"/>
          <w:szCs w:val="23"/>
        </w:rPr>
        <w:t xml:space="preserve">currently </w:t>
      </w:r>
      <w:r w:rsidRPr="502830E4">
        <w:rPr>
          <w:rFonts w:ascii="Calibri Light" w:eastAsia="Calibri Light" w:hAnsi="Calibri Light" w:cs="Calibri Light"/>
          <w:color w:val="000000" w:themeColor="text1"/>
          <w:sz w:val="23"/>
          <w:szCs w:val="23"/>
        </w:rPr>
        <w:t>contributing to poor health outcomes, financial hardship, social isolation, food insecurity, educational disadvantage, and employment barriers for these communities. Many residents cannot access vital services and information.</w:t>
      </w:r>
    </w:p>
    <w:p w14:paraId="1CEFBB3B" w14:textId="77777777" w:rsidR="003F07C7" w:rsidRDefault="003F07C7" w:rsidP="003F07C7">
      <w:pPr>
        <w:spacing w:line="276" w:lineRule="auto"/>
      </w:pPr>
      <w:r w:rsidRPr="502830E4">
        <w:rPr>
          <w:rFonts w:ascii="Calibri Light" w:eastAsia="Calibri Light" w:hAnsi="Calibri Light" w:cs="Calibri Light"/>
          <w:color w:val="000000" w:themeColor="text1"/>
          <w:sz w:val="23"/>
          <w:szCs w:val="23"/>
        </w:rPr>
        <w:t xml:space="preserve">The Digital Inclusion Initiative </w:t>
      </w:r>
      <w:r>
        <w:rPr>
          <w:rFonts w:ascii="Calibri Light" w:eastAsia="Calibri Light" w:hAnsi="Calibri Light" w:cs="Calibri Light"/>
          <w:color w:val="000000" w:themeColor="text1"/>
          <w:sz w:val="23"/>
          <w:szCs w:val="23"/>
        </w:rPr>
        <w:t>must be</w:t>
      </w:r>
      <w:r w:rsidRPr="502830E4">
        <w:rPr>
          <w:rFonts w:ascii="Calibri Light" w:eastAsia="Calibri Light" w:hAnsi="Calibri Light" w:cs="Calibri Light"/>
          <w:color w:val="000000" w:themeColor="text1"/>
          <w:sz w:val="23"/>
          <w:szCs w:val="23"/>
        </w:rPr>
        <w:t xml:space="preserve"> properly resourced, integrated, ongoing, and designed to tackle all</w:t>
      </w:r>
      <w:r w:rsidRPr="502830E4">
        <w:rPr>
          <w:rFonts w:ascii="Calibri Light" w:eastAsia="Calibri Light" w:hAnsi="Calibri Light" w:cs="Calibri Light"/>
          <w:sz w:val="23"/>
          <w:szCs w:val="23"/>
          <w:lang w:val="en-GB"/>
        </w:rPr>
        <w:t xml:space="preserve"> three aspects of digital inclusion: affordability, access, and ability. This includes technology, devices, data costs, wi-fi, broadband, confidence, safety, activities, and digital skills.</w:t>
      </w:r>
    </w:p>
    <w:p w14:paraId="33EE88AC" w14:textId="77777777" w:rsidR="003F07C7" w:rsidRDefault="003F07C7" w:rsidP="003F07C7">
      <w:pPr>
        <w:spacing w:line="276" w:lineRule="auto"/>
        <w:rPr>
          <w:rFonts w:ascii="Calibri Light" w:eastAsia="Calibri Light" w:hAnsi="Calibri Light" w:cs="Calibri Light"/>
          <w:color w:val="000000" w:themeColor="text1"/>
          <w:sz w:val="23"/>
          <w:szCs w:val="23"/>
        </w:rPr>
      </w:pPr>
      <w:r w:rsidRPr="502830E4">
        <w:rPr>
          <w:rFonts w:ascii="Calibri Light" w:eastAsia="Calibri Light" w:hAnsi="Calibri Light" w:cs="Calibri Light"/>
          <w:color w:val="000000" w:themeColor="text1"/>
          <w:sz w:val="23"/>
          <w:szCs w:val="23"/>
        </w:rPr>
        <w:t xml:space="preserve">Programs should build the capacity of key local organisations, including schools, libraries, community centres, employment services, training providers, and not-for-profits. Peer leaders </w:t>
      </w:r>
      <w:r>
        <w:rPr>
          <w:rFonts w:ascii="Calibri Light" w:eastAsia="Calibri Light" w:hAnsi="Calibri Light" w:cs="Calibri Light"/>
          <w:color w:val="000000" w:themeColor="text1"/>
          <w:sz w:val="23"/>
          <w:szCs w:val="23"/>
        </w:rPr>
        <w:t xml:space="preserve">or “digital buddies” </w:t>
      </w:r>
      <w:r w:rsidRPr="502830E4">
        <w:rPr>
          <w:rFonts w:ascii="Calibri Light" w:eastAsia="Calibri Light" w:hAnsi="Calibri Light" w:cs="Calibri Light"/>
          <w:color w:val="000000" w:themeColor="text1"/>
          <w:sz w:val="23"/>
          <w:szCs w:val="23"/>
        </w:rPr>
        <w:t xml:space="preserve">could be engaged to share </w:t>
      </w:r>
      <w:r>
        <w:rPr>
          <w:rFonts w:ascii="Calibri Light" w:eastAsia="Calibri Light" w:hAnsi="Calibri Light" w:cs="Calibri Light"/>
          <w:color w:val="000000" w:themeColor="text1"/>
          <w:sz w:val="23"/>
          <w:szCs w:val="23"/>
        </w:rPr>
        <w:t>their</w:t>
      </w:r>
      <w:r w:rsidRPr="502830E4">
        <w:rPr>
          <w:rFonts w:ascii="Calibri Light" w:eastAsia="Calibri Light" w:hAnsi="Calibri Light" w:cs="Calibri Light"/>
          <w:color w:val="000000" w:themeColor="text1"/>
          <w:sz w:val="23"/>
          <w:szCs w:val="23"/>
        </w:rPr>
        <w:t xml:space="preserve"> knowledge</w:t>
      </w:r>
      <w:r>
        <w:rPr>
          <w:rFonts w:ascii="Calibri Light" w:eastAsia="Calibri Light" w:hAnsi="Calibri Light" w:cs="Calibri Light"/>
          <w:color w:val="000000" w:themeColor="text1"/>
          <w:sz w:val="23"/>
          <w:szCs w:val="23"/>
        </w:rPr>
        <w:t>, including via intergenerational learning</w:t>
      </w:r>
      <w:r w:rsidRPr="502830E4">
        <w:rPr>
          <w:rFonts w:ascii="Calibri Light" w:eastAsia="Calibri Light" w:hAnsi="Calibri Light" w:cs="Calibri Light"/>
          <w:color w:val="000000" w:themeColor="text1"/>
          <w:sz w:val="23"/>
          <w:szCs w:val="23"/>
        </w:rPr>
        <w:t xml:space="preserve">. Residents could be </w:t>
      </w:r>
      <w:r>
        <w:rPr>
          <w:rFonts w:ascii="Calibri Light" w:eastAsia="Calibri Light" w:hAnsi="Calibri Light" w:cs="Calibri Light"/>
          <w:color w:val="000000" w:themeColor="text1"/>
          <w:sz w:val="23"/>
          <w:szCs w:val="23"/>
        </w:rPr>
        <w:t xml:space="preserve">trained and </w:t>
      </w:r>
      <w:r w:rsidRPr="502830E4">
        <w:rPr>
          <w:rFonts w:ascii="Calibri Light" w:eastAsia="Calibri Light" w:hAnsi="Calibri Light" w:cs="Calibri Light"/>
          <w:color w:val="000000" w:themeColor="text1"/>
          <w:sz w:val="23"/>
          <w:szCs w:val="23"/>
        </w:rPr>
        <w:t>employed to co-design and update the proposed Digital Dashboard. School students could share community highlights</w:t>
      </w:r>
      <w:r>
        <w:rPr>
          <w:rFonts w:ascii="Calibri Light" w:eastAsia="Calibri Light" w:hAnsi="Calibri Light" w:cs="Calibri Light"/>
          <w:color w:val="000000" w:themeColor="text1"/>
          <w:sz w:val="23"/>
          <w:szCs w:val="23"/>
        </w:rPr>
        <w:t xml:space="preserve"> and local achievements</w:t>
      </w:r>
      <w:r w:rsidRPr="502830E4">
        <w:rPr>
          <w:rFonts w:ascii="Calibri Light" w:eastAsia="Calibri Light" w:hAnsi="Calibri Light" w:cs="Calibri Light"/>
          <w:color w:val="000000" w:themeColor="text1"/>
          <w:sz w:val="23"/>
          <w:szCs w:val="23"/>
        </w:rPr>
        <w:t xml:space="preserve"> via digital storytelling projects.</w:t>
      </w:r>
    </w:p>
    <w:p w14:paraId="60FDF7D6" w14:textId="77777777" w:rsidR="003F07C7" w:rsidRDefault="003F07C7" w:rsidP="003F07C7">
      <w:pPr>
        <w:spacing w:line="276" w:lineRule="auto"/>
      </w:pPr>
      <w:r w:rsidRPr="065E1C5E">
        <w:rPr>
          <w:rFonts w:ascii="Calibri Light" w:eastAsia="Calibri Light" w:hAnsi="Calibri Light" w:cs="Calibri Light"/>
          <w:color w:val="000000" w:themeColor="text1"/>
          <w:sz w:val="23"/>
          <w:szCs w:val="23"/>
        </w:rPr>
        <w:t>While digital inclusion is an equity issue, it</w:t>
      </w:r>
      <w:r w:rsidRPr="065E1C5E">
        <w:rPr>
          <w:rFonts w:ascii="Calibri Light" w:eastAsia="Calibri Light" w:hAnsi="Calibri Light" w:cs="Calibri Light"/>
          <w:sz w:val="23"/>
          <w:szCs w:val="23"/>
          <w:lang w:val="en-GB"/>
        </w:rPr>
        <w:t xml:space="preserve"> is </w:t>
      </w:r>
      <w:r w:rsidRPr="502830E4">
        <w:rPr>
          <w:rFonts w:ascii="Calibri Light" w:eastAsia="Calibri Light" w:hAnsi="Calibri Light" w:cs="Calibri Light"/>
          <w:sz w:val="23"/>
          <w:szCs w:val="23"/>
          <w:lang w:val="en-GB"/>
        </w:rPr>
        <w:t>not universally achievable, so important services and information must also be provided in non-digital formats.</w:t>
      </w:r>
    </w:p>
    <w:p w14:paraId="0A19C648" w14:textId="77777777" w:rsidR="003F07C7" w:rsidRDefault="003F07C7" w:rsidP="003F07C7">
      <w:pPr>
        <w:spacing w:after="0" w:line="276" w:lineRule="auto"/>
        <w:rPr>
          <w:rFonts w:asciiTheme="majorHAnsi" w:eastAsiaTheme="majorEastAsia" w:hAnsiTheme="majorHAnsi" w:cstheme="majorBidi"/>
          <w:color w:val="525252" w:themeColor="accent3" w:themeShade="80"/>
          <w:sz w:val="23"/>
          <w:szCs w:val="23"/>
        </w:rPr>
      </w:pPr>
      <w:r w:rsidRPr="007A43BA">
        <w:rPr>
          <w:rFonts w:cstheme="minorHAnsi"/>
          <w:b/>
          <w:bCs/>
          <w:color w:val="525252" w:themeColor="accent3" w:themeShade="80"/>
          <w:sz w:val="23"/>
          <w:szCs w:val="23"/>
        </w:rPr>
        <w:t xml:space="preserve">Relevant </w:t>
      </w:r>
      <w:r>
        <w:rPr>
          <w:rFonts w:cstheme="minorHAnsi"/>
          <w:b/>
          <w:bCs/>
          <w:color w:val="525252" w:themeColor="accent3" w:themeShade="80"/>
          <w:sz w:val="23"/>
          <w:szCs w:val="23"/>
        </w:rPr>
        <w:t>Case Studies</w:t>
      </w:r>
      <w:r w:rsidRPr="007A43BA">
        <w:rPr>
          <w:rFonts w:cstheme="minorHAnsi"/>
          <w:b/>
          <w:bCs/>
          <w:color w:val="525252" w:themeColor="accent3" w:themeShade="80"/>
          <w:sz w:val="23"/>
          <w:szCs w:val="23"/>
        </w:rPr>
        <w:t xml:space="preserve">: </w:t>
      </w:r>
      <w:r w:rsidRPr="001914AB">
        <w:rPr>
          <w:rFonts w:asciiTheme="majorHAnsi" w:hAnsiTheme="majorHAnsi" w:cstheme="majorHAnsi"/>
          <w:color w:val="525252" w:themeColor="accent3" w:themeShade="80"/>
          <w:sz w:val="23"/>
          <w:szCs w:val="23"/>
        </w:rPr>
        <w:t>The</w:t>
      </w:r>
      <w:r w:rsidRPr="502830E4">
        <w:rPr>
          <w:rFonts w:asciiTheme="majorHAnsi" w:hAnsiTheme="majorHAnsi" w:cstheme="majorBidi"/>
          <w:color w:val="525252" w:themeColor="accent3" w:themeShade="80"/>
          <w:sz w:val="23"/>
          <w:szCs w:val="23"/>
        </w:rPr>
        <w:t xml:space="preserve"> Digital Age Project, NSW </w:t>
      </w:r>
      <w:r>
        <w:rPr>
          <w:rFonts w:asciiTheme="majorHAnsi" w:hAnsiTheme="majorHAnsi" w:cstheme="majorBidi"/>
          <w:color w:val="525252" w:themeColor="accent3" w:themeShade="80"/>
          <w:sz w:val="23"/>
          <w:szCs w:val="23"/>
        </w:rPr>
        <w:t>(p.</w:t>
      </w:r>
      <w:r w:rsidRPr="005E43F6">
        <w:rPr>
          <w:rFonts w:asciiTheme="majorHAnsi" w:hAnsiTheme="majorHAnsi" w:cstheme="majorBidi"/>
          <w:color w:val="525252" w:themeColor="accent3" w:themeShade="80"/>
          <w:sz w:val="23"/>
          <w:szCs w:val="23"/>
        </w:rPr>
        <w:t>68); Angel</w:t>
      </w:r>
      <w:r w:rsidRPr="502830E4">
        <w:rPr>
          <w:rFonts w:asciiTheme="majorHAnsi" w:hAnsiTheme="majorHAnsi" w:cstheme="majorBidi"/>
          <w:color w:val="525252" w:themeColor="accent3" w:themeShade="80"/>
          <w:sz w:val="23"/>
          <w:szCs w:val="23"/>
        </w:rPr>
        <w:t xml:space="preserve"> Next Door, Australia-wide </w:t>
      </w:r>
      <w:r>
        <w:rPr>
          <w:rFonts w:asciiTheme="majorHAnsi" w:hAnsiTheme="majorHAnsi" w:cstheme="majorBidi"/>
          <w:color w:val="525252" w:themeColor="accent3" w:themeShade="80"/>
          <w:sz w:val="23"/>
          <w:szCs w:val="23"/>
        </w:rPr>
        <w:t xml:space="preserve">(p.70); We Dundee, Scotland (p.80); </w:t>
      </w:r>
      <w:r w:rsidRPr="065E1C5E">
        <w:rPr>
          <w:rFonts w:asciiTheme="majorHAnsi" w:eastAsiaTheme="majorEastAsia" w:hAnsiTheme="majorHAnsi" w:cstheme="majorBidi"/>
          <w:color w:val="525252" w:themeColor="accent3" w:themeShade="80"/>
          <w:sz w:val="23"/>
          <w:szCs w:val="23"/>
        </w:rPr>
        <w:t>Ten Ideas Three Ventures, western suburbs, Melbourne</w:t>
      </w:r>
      <w:r>
        <w:rPr>
          <w:rFonts w:asciiTheme="majorHAnsi" w:eastAsiaTheme="majorEastAsia" w:hAnsiTheme="majorHAnsi" w:cstheme="majorBidi"/>
          <w:color w:val="525252" w:themeColor="accent3" w:themeShade="80"/>
          <w:sz w:val="23"/>
          <w:szCs w:val="23"/>
        </w:rPr>
        <w:t xml:space="preserve"> </w:t>
      </w:r>
      <w:r>
        <w:rPr>
          <w:rFonts w:asciiTheme="majorHAnsi" w:eastAsiaTheme="majorEastAsia" w:hAnsiTheme="majorHAnsi" w:cstheme="majorBidi"/>
          <w:color w:val="595959" w:themeColor="text1" w:themeTint="A6"/>
          <w:sz w:val="23"/>
          <w:szCs w:val="23"/>
        </w:rPr>
        <w:t xml:space="preserve">(p.65); We Design for Life, Kolding, Denmark </w:t>
      </w:r>
      <w:r>
        <w:rPr>
          <w:rFonts w:asciiTheme="majorHAnsi" w:eastAsiaTheme="majorEastAsia" w:hAnsiTheme="majorHAnsi" w:cstheme="majorBidi"/>
          <w:color w:val="525252" w:themeColor="accent3" w:themeShade="80"/>
          <w:sz w:val="23"/>
          <w:szCs w:val="23"/>
        </w:rPr>
        <w:t>(p.83).</w:t>
      </w:r>
    </w:p>
    <w:p w14:paraId="3E84F1CC" w14:textId="77777777" w:rsidR="00BB5144" w:rsidRDefault="00BB5144" w:rsidP="003F07C7">
      <w:pPr>
        <w:pStyle w:val="Default"/>
        <w:spacing w:line="276" w:lineRule="auto"/>
        <w:rPr>
          <w:rFonts w:eastAsia="Calibri"/>
          <w:b/>
          <w:color w:val="2E74B5" w:themeColor="accent5" w:themeShade="BF"/>
          <w:sz w:val="25"/>
          <w:szCs w:val="25"/>
        </w:rPr>
      </w:pPr>
    </w:p>
    <w:p w14:paraId="7F9203CD" w14:textId="698215A3" w:rsidR="003F07C7" w:rsidRPr="009175B3" w:rsidRDefault="003F07C7" w:rsidP="003F07C7">
      <w:pPr>
        <w:pStyle w:val="Default"/>
        <w:spacing w:line="276" w:lineRule="auto"/>
        <w:rPr>
          <w:rFonts w:eastAsia="Calibri"/>
          <w:b/>
          <w:color w:val="2F5496" w:themeColor="accent1" w:themeShade="BF"/>
          <w:sz w:val="25"/>
          <w:szCs w:val="25"/>
        </w:rPr>
      </w:pPr>
      <w:r w:rsidRPr="009175B3">
        <w:rPr>
          <w:rFonts w:eastAsia="Calibri"/>
          <w:b/>
          <w:color w:val="2F5496" w:themeColor="accent1" w:themeShade="BF"/>
          <w:sz w:val="25"/>
          <w:szCs w:val="25"/>
        </w:rPr>
        <w:t>3.10 Accessibility and Inclusion Initiative</w:t>
      </w:r>
    </w:p>
    <w:p w14:paraId="1FA8D79F" w14:textId="77777777" w:rsidR="003F07C7" w:rsidRPr="002A597F" w:rsidRDefault="003F07C7" w:rsidP="003F07C7">
      <w:pPr>
        <w:spacing w:line="276" w:lineRule="auto"/>
        <w:rPr>
          <w:rFonts w:asciiTheme="majorHAnsi" w:hAnsiTheme="majorHAnsi" w:cstheme="majorBidi"/>
          <w:sz w:val="23"/>
          <w:szCs w:val="23"/>
        </w:rPr>
      </w:pPr>
      <w:r w:rsidRPr="778E395A">
        <w:rPr>
          <w:rFonts w:asciiTheme="majorHAnsi" w:eastAsiaTheme="minorEastAsia" w:hAnsiTheme="majorHAnsi" w:cstheme="majorBidi"/>
          <w:sz w:val="23"/>
          <w:szCs w:val="23"/>
          <w:lang w:val="en-GB"/>
        </w:rPr>
        <w:t>Our final recommended initiative seeks to embed an active commitment to social equity across all program areas. There is a clear need</w:t>
      </w:r>
      <w:r w:rsidRPr="778E395A">
        <w:rPr>
          <w:rFonts w:asciiTheme="majorHAnsi" w:hAnsiTheme="majorHAnsi" w:cstheme="majorBidi"/>
          <w:sz w:val="23"/>
          <w:szCs w:val="23"/>
        </w:rPr>
        <w:t xml:space="preserve"> to provide communities </w:t>
      </w:r>
      <w:r w:rsidRPr="778E395A">
        <w:rPr>
          <w:rFonts w:asciiTheme="majorHAnsi" w:eastAsiaTheme="minorEastAsia" w:hAnsiTheme="majorHAnsi" w:cstheme="majorBidi"/>
          <w:sz w:val="23"/>
          <w:szCs w:val="23"/>
          <w:lang w:val="en-GB"/>
        </w:rPr>
        <w:t xml:space="preserve">in Corio, </w:t>
      </w:r>
      <w:proofErr w:type="spellStart"/>
      <w:r w:rsidRPr="778E395A">
        <w:rPr>
          <w:rFonts w:asciiTheme="majorHAnsi" w:eastAsiaTheme="minorEastAsia" w:hAnsiTheme="majorHAnsi" w:cstheme="majorBidi"/>
          <w:sz w:val="23"/>
          <w:szCs w:val="23"/>
          <w:lang w:val="en-GB"/>
        </w:rPr>
        <w:t>Norlane</w:t>
      </w:r>
      <w:proofErr w:type="spellEnd"/>
      <w:r w:rsidRPr="778E395A">
        <w:rPr>
          <w:rFonts w:asciiTheme="majorHAnsi" w:eastAsiaTheme="minorEastAsia" w:hAnsiTheme="majorHAnsi" w:cstheme="majorBidi"/>
          <w:sz w:val="23"/>
          <w:szCs w:val="23"/>
          <w:lang w:val="en-GB"/>
        </w:rPr>
        <w:t xml:space="preserve">, and Whittington </w:t>
      </w:r>
      <w:r w:rsidRPr="778E395A">
        <w:rPr>
          <w:rFonts w:asciiTheme="majorHAnsi" w:hAnsiTheme="majorHAnsi" w:cstheme="majorBidi"/>
          <w:sz w:val="23"/>
          <w:szCs w:val="23"/>
        </w:rPr>
        <w:t xml:space="preserve">with more equitable opportunities for social inclusion, economic participation, employment, education, and housing, along with access to community and social infrastructure that meets the needs and aspirations of all residents. This applies across all 14 priority areas and all 10 proposed initiatives, and is consistent with the recommendations of the </w:t>
      </w:r>
      <w:hyperlink r:id="rId20" w:history="1">
        <w:r w:rsidRPr="00AF0C3C">
          <w:rPr>
            <w:rStyle w:val="Hyperlink"/>
            <w:rFonts w:asciiTheme="majorHAnsi" w:hAnsiTheme="majorHAnsi" w:cstheme="majorBidi"/>
            <w:i/>
            <w:iCs/>
            <w:sz w:val="23"/>
            <w:szCs w:val="23"/>
          </w:rPr>
          <w:t>Accessible and Inclusive Geelong Feasibility Study</w:t>
        </w:r>
      </w:hyperlink>
      <w:r w:rsidRPr="778E395A">
        <w:rPr>
          <w:rFonts w:asciiTheme="majorHAnsi" w:hAnsiTheme="majorHAnsi" w:cstheme="majorBidi"/>
          <w:i/>
          <w:iCs/>
          <w:sz w:val="23"/>
          <w:szCs w:val="23"/>
        </w:rPr>
        <w:t xml:space="preserve"> (Tucker et. al. 2018)</w:t>
      </w:r>
      <w:r w:rsidRPr="778E395A">
        <w:rPr>
          <w:rFonts w:asciiTheme="majorHAnsi" w:hAnsiTheme="majorHAnsi" w:cstheme="majorBidi"/>
          <w:sz w:val="23"/>
          <w:szCs w:val="23"/>
        </w:rPr>
        <w:t xml:space="preserve">. </w:t>
      </w:r>
    </w:p>
    <w:p w14:paraId="2B64A3E3" w14:textId="77777777" w:rsidR="003F07C7" w:rsidRDefault="003F07C7" w:rsidP="003F07C7">
      <w:pPr>
        <w:spacing w:line="276" w:lineRule="auto"/>
        <w:rPr>
          <w:rFonts w:asciiTheme="majorHAnsi" w:eastAsiaTheme="majorEastAsia" w:hAnsiTheme="majorHAnsi" w:cstheme="majorBidi"/>
          <w:sz w:val="23"/>
          <w:szCs w:val="23"/>
        </w:rPr>
      </w:pPr>
      <w:r w:rsidRPr="78F9AF82">
        <w:rPr>
          <w:rFonts w:asciiTheme="majorHAnsi" w:hAnsiTheme="majorHAnsi" w:cstheme="majorBidi"/>
          <w:sz w:val="23"/>
          <w:szCs w:val="23"/>
        </w:rPr>
        <w:t>Mobility barriers and transport equity were identified issues, with</w:t>
      </w:r>
      <w:r w:rsidRPr="78F9AF82">
        <w:rPr>
          <w:rFonts w:asciiTheme="majorHAnsi" w:eastAsiaTheme="majorEastAsia" w:hAnsiTheme="majorHAnsi" w:cstheme="majorBidi"/>
          <w:sz w:val="23"/>
          <w:szCs w:val="23"/>
        </w:rPr>
        <w:t xml:space="preserve"> a need to improve both local public transport and active transport options. Residents who wish to own and drive cars also need support to obtain drivers’ licenses. Inequitable access to education was also highlighted, with support requested for local schools to link with key community organisations – such as </w:t>
      </w:r>
      <w:proofErr w:type="spellStart"/>
      <w:r w:rsidRPr="78F9AF82">
        <w:rPr>
          <w:rFonts w:asciiTheme="majorHAnsi" w:eastAsiaTheme="majorEastAsia" w:hAnsiTheme="majorHAnsi" w:cstheme="majorBidi"/>
          <w:sz w:val="23"/>
          <w:szCs w:val="23"/>
        </w:rPr>
        <w:t>Wadda</w:t>
      </w:r>
      <w:proofErr w:type="spellEnd"/>
      <w:r w:rsidRPr="78F9AF82">
        <w:rPr>
          <w:rFonts w:asciiTheme="majorHAnsi" w:eastAsiaTheme="majorEastAsia" w:hAnsiTheme="majorHAnsi" w:cstheme="majorBidi"/>
          <w:sz w:val="23"/>
          <w:szCs w:val="23"/>
        </w:rPr>
        <w:t xml:space="preserve"> Wurrung Elders, Wathaurong Aboriginal Co-operative, and Diversitat – to develop more culturally appropriate programs to engage ATSI and CALD students, while also supporting these students with transport to their schools.</w:t>
      </w:r>
    </w:p>
    <w:p w14:paraId="4EF00CFC" w14:textId="77777777" w:rsidR="003F07C7" w:rsidRPr="002A597F" w:rsidRDefault="003F07C7" w:rsidP="003F07C7">
      <w:pPr>
        <w:spacing w:line="276" w:lineRule="auto"/>
        <w:rPr>
          <w:rFonts w:asciiTheme="majorHAnsi" w:hAnsiTheme="majorHAnsi" w:cstheme="majorBidi"/>
          <w:bCs/>
          <w:sz w:val="23"/>
          <w:szCs w:val="23"/>
        </w:rPr>
      </w:pPr>
      <w:r>
        <w:rPr>
          <w:rFonts w:asciiTheme="majorHAnsi" w:eastAsiaTheme="majorEastAsia" w:hAnsiTheme="majorHAnsi" w:cstheme="majorBidi"/>
          <w:bCs/>
          <w:sz w:val="23"/>
          <w:szCs w:val="23"/>
        </w:rPr>
        <w:t>Specific actions for the</w:t>
      </w:r>
      <w:r w:rsidRPr="006745EC">
        <w:t xml:space="preserve"> </w:t>
      </w:r>
      <w:r w:rsidRPr="006745EC">
        <w:rPr>
          <w:rFonts w:asciiTheme="majorHAnsi" w:eastAsiaTheme="majorEastAsia" w:hAnsiTheme="majorHAnsi" w:cstheme="majorBidi"/>
          <w:bCs/>
          <w:sz w:val="23"/>
          <w:szCs w:val="23"/>
        </w:rPr>
        <w:t>Accessibility and Inclusion Initiative</w:t>
      </w:r>
      <w:r>
        <w:rPr>
          <w:rFonts w:asciiTheme="majorHAnsi" w:eastAsiaTheme="majorEastAsia" w:hAnsiTheme="majorHAnsi" w:cstheme="majorBidi"/>
          <w:bCs/>
          <w:sz w:val="23"/>
          <w:szCs w:val="23"/>
        </w:rPr>
        <w:t xml:space="preserve"> include:</w:t>
      </w:r>
    </w:p>
    <w:p w14:paraId="6A2F115C" w14:textId="77777777" w:rsidR="003F07C7" w:rsidRPr="008C2620" w:rsidRDefault="003F07C7" w:rsidP="003F07C7">
      <w:pPr>
        <w:pStyle w:val="ListParagraph"/>
        <w:numPr>
          <w:ilvl w:val="0"/>
          <w:numId w:val="7"/>
        </w:numPr>
        <w:spacing w:line="276" w:lineRule="auto"/>
        <w:rPr>
          <w:rFonts w:asciiTheme="majorHAnsi" w:hAnsiTheme="majorHAnsi" w:cstheme="majorBidi"/>
          <w:sz w:val="23"/>
          <w:szCs w:val="23"/>
        </w:rPr>
      </w:pPr>
      <w:r>
        <w:rPr>
          <w:rFonts w:asciiTheme="majorHAnsi" w:hAnsiTheme="majorHAnsi" w:cstheme="majorBidi"/>
          <w:sz w:val="23"/>
          <w:szCs w:val="23"/>
        </w:rPr>
        <w:t>In line with</w:t>
      </w:r>
      <w:r w:rsidRPr="008C2620">
        <w:rPr>
          <w:rFonts w:asciiTheme="majorHAnsi" w:hAnsiTheme="majorHAnsi" w:cstheme="majorBidi"/>
          <w:sz w:val="23"/>
          <w:szCs w:val="23"/>
        </w:rPr>
        <w:t xml:space="preserve"> Recommendation 1, adopt inclusive co-research and co-design approaches for development, implementation</w:t>
      </w:r>
      <w:r>
        <w:rPr>
          <w:rFonts w:asciiTheme="majorHAnsi" w:hAnsiTheme="majorHAnsi" w:cstheme="majorBidi"/>
          <w:sz w:val="23"/>
          <w:szCs w:val="23"/>
        </w:rPr>
        <w:t>,</w:t>
      </w:r>
      <w:r w:rsidRPr="008C2620">
        <w:rPr>
          <w:rFonts w:asciiTheme="majorHAnsi" w:hAnsiTheme="majorHAnsi" w:cstheme="majorBidi"/>
          <w:sz w:val="23"/>
          <w:szCs w:val="23"/>
        </w:rPr>
        <w:t xml:space="preserve"> and evaluation of all local initiatives and programs. </w:t>
      </w:r>
    </w:p>
    <w:p w14:paraId="2AB9F341" w14:textId="77777777" w:rsidR="003F07C7" w:rsidRPr="008C2620" w:rsidRDefault="003F07C7" w:rsidP="003F07C7">
      <w:pPr>
        <w:pStyle w:val="ListParagraph"/>
        <w:numPr>
          <w:ilvl w:val="0"/>
          <w:numId w:val="7"/>
        </w:numPr>
        <w:spacing w:line="276" w:lineRule="auto"/>
        <w:rPr>
          <w:rFonts w:asciiTheme="majorHAnsi" w:hAnsiTheme="majorHAnsi" w:cstheme="majorBidi"/>
          <w:sz w:val="23"/>
          <w:szCs w:val="23"/>
        </w:rPr>
      </w:pPr>
      <w:r w:rsidRPr="008C2620">
        <w:rPr>
          <w:rFonts w:asciiTheme="majorHAnsi" w:hAnsiTheme="majorHAnsi" w:cstheme="majorBidi"/>
          <w:sz w:val="23"/>
          <w:szCs w:val="23"/>
        </w:rPr>
        <w:t xml:space="preserve">Embed principles of Universal Design into the implementation of all actions. </w:t>
      </w:r>
    </w:p>
    <w:p w14:paraId="3AB5CF9E" w14:textId="77777777" w:rsidR="003F07C7" w:rsidRPr="008C2620" w:rsidRDefault="003F07C7" w:rsidP="003F07C7">
      <w:pPr>
        <w:pStyle w:val="ListParagraph"/>
        <w:numPr>
          <w:ilvl w:val="0"/>
          <w:numId w:val="7"/>
        </w:numPr>
        <w:spacing w:line="276" w:lineRule="auto"/>
        <w:rPr>
          <w:rFonts w:asciiTheme="majorHAnsi" w:hAnsiTheme="majorHAnsi" w:cstheme="majorBidi"/>
          <w:sz w:val="23"/>
          <w:szCs w:val="23"/>
        </w:rPr>
      </w:pPr>
      <w:r w:rsidRPr="008C2620">
        <w:rPr>
          <w:rFonts w:asciiTheme="majorHAnsi" w:hAnsiTheme="majorHAnsi" w:cstheme="majorBidi"/>
          <w:sz w:val="23"/>
          <w:szCs w:val="23"/>
        </w:rPr>
        <w:lastRenderedPageBreak/>
        <w:t xml:space="preserve">Ensure all residents have equitable access to </w:t>
      </w:r>
      <w:r>
        <w:rPr>
          <w:rFonts w:asciiTheme="majorHAnsi" w:hAnsiTheme="majorHAnsi" w:cstheme="majorBidi"/>
          <w:sz w:val="23"/>
          <w:szCs w:val="23"/>
        </w:rPr>
        <w:t xml:space="preserve">social infrastructure, </w:t>
      </w:r>
      <w:r w:rsidRPr="008C2620">
        <w:rPr>
          <w:rFonts w:asciiTheme="majorHAnsi" w:hAnsiTheme="majorHAnsi" w:cstheme="majorBidi"/>
          <w:sz w:val="23"/>
          <w:szCs w:val="23"/>
        </w:rPr>
        <w:t xml:space="preserve">built environment improvements, </w:t>
      </w:r>
      <w:r>
        <w:rPr>
          <w:rFonts w:asciiTheme="majorHAnsi" w:hAnsiTheme="majorHAnsi" w:cstheme="majorBidi"/>
          <w:sz w:val="23"/>
          <w:szCs w:val="23"/>
        </w:rPr>
        <w:t xml:space="preserve">quality public space, </w:t>
      </w:r>
      <w:r w:rsidRPr="008C2620">
        <w:rPr>
          <w:rFonts w:asciiTheme="majorHAnsi" w:hAnsiTheme="majorHAnsi" w:cstheme="majorBidi"/>
          <w:sz w:val="23"/>
          <w:szCs w:val="23"/>
        </w:rPr>
        <w:t>affordable and appropriate housing, dedicated services</w:t>
      </w:r>
      <w:r>
        <w:rPr>
          <w:rFonts w:asciiTheme="majorHAnsi" w:hAnsiTheme="majorHAnsi" w:cstheme="majorBidi"/>
          <w:sz w:val="23"/>
          <w:szCs w:val="23"/>
        </w:rPr>
        <w:t>,</w:t>
      </w:r>
      <w:r w:rsidRPr="008C2620">
        <w:rPr>
          <w:rFonts w:asciiTheme="majorHAnsi" w:hAnsiTheme="majorHAnsi" w:cstheme="majorBidi"/>
          <w:sz w:val="23"/>
          <w:szCs w:val="23"/>
        </w:rPr>
        <w:t xml:space="preserve"> </w:t>
      </w:r>
      <w:r>
        <w:rPr>
          <w:rFonts w:asciiTheme="majorHAnsi" w:hAnsiTheme="majorHAnsi" w:cstheme="majorBidi"/>
          <w:sz w:val="23"/>
          <w:szCs w:val="23"/>
        </w:rPr>
        <w:t xml:space="preserve">public transport options, </w:t>
      </w:r>
      <w:r w:rsidRPr="008C2620">
        <w:rPr>
          <w:rFonts w:asciiTheme="majorHAnsi" w:hAnsiTheme="majorHAnsi" w:cstheme="majorBidi"/>
          <w:sz w:val="23"/>
          <w:szCs w:val="23"/>
        </w:rPr>
        <w:t>and employment opportunities</w:t>
      </w:r>
      <w:r>
        <w:rPr>
          <w:rFonts w:asciiTheme="majorHAnsi" w:hAnsiTheme="majorHAnsi" w:cstheme="majorBidi"/>
          <w:sz w:val="23"/>
          <w:szCs w:val="23"/>
        </w:rPr>
        <w:t>.</w:t>
      </w:r>
    </w:p>
    <w:p w14:paraId="6BEAB36B" w14:textId="77777777" w:rsidR="003F07C7" w:rsidRPr="008C2620" w:rsidRDefault="003F07C7" w:rsidP="003F07C7">
      <w:pPr>
        <w:pStyle w:val="ListParagraph"/>
        <w:numPr>
          <w:ilvl w:val="0"/>
          <w:numId w:val="7"/>
        </w:numPr>
        <w:spacing w:line="276" w:lineRule="auto"/>
        <w:rPr>
          <w:rFonts w:asciiTheme="majorHAnsi" w:hAnsiTheme="majorHAnsi" w:cstheme="majorBidi"/>
          <w:sz w:val="23"/>
          <w:szCs w:val="23"/>
        </w:rPr>
      </w:pPr>
      <w:r w:rsidRPr="008C2620">
        <w:rPr>
          <w:rFonts w:asciiTheme="majorHAnsi" w:hAnsiTheme="majorHAnsi" w:cstheme="majorBidi"/>
          <w:sz w:val="23"/>
          <w:szCs w:val="23"/>
        </w:rPr>
        <w:t>Prioritise attitudinal change towards inclusion</w:t>
      </w:r>
      <w:r>
        <w:rPr>
          <w:rFonts w:asciiTheme="majorHAnsi" w:hAnsiTheme="majorHAnsi" w:cstheme="majorBidi"/>
          <w:sz w:val="23"/>
          <w:szCs w:val="23"/>
        </w:rPr>
        <w:t>, equity,</w:t>
      </w:r>
      <w:r w:rsidRPr="008C2620">
        <w:rPr>
          <w:rFonts w:asciiTheme="majorHAnsi" w:hAnsiTheme="majorHAnsi" w:cstheme="majorBidi"/>
          <w:sz w:val="23"/>
          <w:szCs w:val="23"/>
        </w:rPr>
        <w:t xml:space="preserve"> and access.</w:t>
      </w:r>
    </w:p>
    <w:p w14:paraId="25F1F39A" w14:textId="77777777" w:rsidR="003F07C7" w:rsidRPr="008C2620" w:rsidRDefault="003F07C7" w:rsidP="003F07C7">
      <w:pPr>
        <w:pStyle w:val="ListParagraph"/>
        <w:numPr>
          <w:ilvl w:val="0"/>
          <w:numId w:val="7"/>
        </w:numPr>
        <w:spacing w:line="276" w:lineRule="auto"/>
        <w:rPr>
          <w:rFonts w:asciiTheme="majorHAnsi" w:hAnsiTheme="majorHAnsi" w:cstheme="majorBidi"/>
          <w:sz w:val="23"/>
          <w:szCs w:val="23"/>
        </w:rPr>
      </w:pPr>
      <w:r w:rsidRPr="008C2620">
        <w:rPr>
          <w:rFonts w:asciiTheme="majorHAnsi" w:hAnsiTheme="majorHAnsi" w:cstheme="majorBidi"/>
          <w:sz w:val="23"/>
          <w:szCs w:val="23"/>
        </w:rPr>
        <w:t xml:space="preserve">Adopt social inclusion as a core value for </w:t>
      </w:r>
      <w:r w:rsidRPr="008C2620">
        <w:rPr>
          <w:rFonts w:asciiTheme="majorHAnsi" w:eastAsiaTheme="minorEastAsia" w:hAnsiTheme="majorHAnsi" w:cstheme="majorBidi"/>
          <w:sz w:val="23"/>
          <w:szCs w:val="23"/>
          <w:lang w:val="en-GB"/>
        </w:rPr>
        <w:t xml:space="preserve">Corio, </w:t>
      </w:r>
      <w:proofErr w:type="spellStart"/>
      <w:r w:rsidRPr="008C2620">
        <w:rPr>
          <w:rFonts w:asciiTheme="majorHAnsi" w:eastAsiaTheme="minorEastAsia" w:hAnsiTheme="majorHAnsi" w:cstheme="majorBidi"/>
          <w:sz w:val="23"/>
          <w:szCs w:val="23"/>
          <w:lang w:val="en-GB"/>
        </w:rPr>
        <w:t>Norlane</w:t>
      </w:r>
      <w:proofErr w:type="spellEnd"/>
      <w:r>
        <w:rPr>
          <w:rFonts w:asciiTheme="majorHAnsi" w:eastAsiaTheme="minorEastAsia" w:hAnsiTheme="majorHAnsi" w:cstheme="majorBidi"/>
          <w:sz w:val="23"/>
          <w:szCs w:val="23"/>
          <w:lang w:val="en-GB"/>
        </w:rPr>
        <w:t>,</w:t>
      </w:r>
      <w:r w:rsidRPr="008C2620">
        <w:rPr>
          <w:rFonts w:asciiTheme="majorHAnsi" w:eastAsiaTheme="minorEastAsia" w:hAnsiTheme="majorHAnsi" w:cstheme="majorBidi"/>
          <w:sz w:val="23"/>
          <w:szCs w:val="23"/>
          <w:lang w:val="en-GB"/>
        </w:rPr>
        <w:t xml:space="preserve"> and Whittington</w:t>
      </w:r>
      <w:r w:rsidRPr="008C2620">
        <w:rPr>
          <w:rFonts w:asciiTheme="majorHAnsi" w:hAnsiTheme="majorHAnsi" w:cstheme="majorBidi"/>
          <w:sz w:val="23"/>
          <w:szCs w:val="23"/>
        </w:rPr>
        <w:t>.</w:t>
      </w:r>
    </w:p>
    <w:p w14:paraId="07A07168" w14:textId="181DBCD3" w:rsidR="005F5B61" w:rsidRDefault="003F07C7" w:rsidP="00E31FDC">
      <w:pPr>
        <w:spacing w:after="0"/>
      </w:pPr>
      <w:r w:rsidRPr="00D9154D">
        <w:rPr>
          <w:rFonts w:cstheme="minorHAnsi"/>
          <w:b/>
          <w:bCs/>
          <w:color w:val="595959" w:themeColor="text1" w:themeTint="A6"/>
          <w:sz w:val="23"/>
          <w:szCs w:val="23"/>
        </w:rPr>
        <w:t xml:space="preserve">Relevant </w:t>
      </w:r>
      <w:r>
        <w:rPr>
          <w:rFonts w:cstheme="minorHAnsi"/>
          <w:b/>
          <w:bCs/>
          <w:color w:val="595959" w:themeColor="text1" w:themeTint="A6"/>
          <w:sz w:val="23"/>
          <w:szCs w:val="23"/>
        </w:rPr>
        <w:t>Case Studies</w:t>
      </w:r>
      <w:r w:rsidRPr="00D9154D">
        <w:rPr>
          <w:rFonts w:cstheme="minorHAnsi"/>
          <w:b/>
          <w:bCs/>
          <w:color w:val="595959" w:themeColor="text1" w:themeTint="A6"/>
          <w:sz w:val="23"/>
          <w:szCs w:val="23"/>
        </w:rPr>
        <w:t>:</w:t>
      </w:r>
      <w:r w:rsidRPr="00D9154D">
        <w:rPr>
          <w:rFonts w:asciiTheme="majorHAnsi" w:hAnsiTheme="majorHAnsi" w:cstheme="majorBidi"/>
          <w:color w:val="595959" w:themeColor="text1" w:themeTint="A6"/>
          <w:sz w:val="23"/>
          <w:szCs w:val="23"/>
        </w:rPr>
        <w:t xml:space="preserve"> Afghan Girls Bike Skills Workshops, Bendigo </w:t>
      </w:r>
      <w:r>
        <w:rPr>
          <w:rFonts w:asciiTheme="majorHAnsi" w:hAnsiTheme="majorHAnsi" w:cstheme="majorBidi"/>
          <w:color w:val="595959" w:themeColor="text1" w:themeTint="A6"/>
          <w:sz w:val="23"/>
          <w:szCs w:val="23"/>
        </w:rPr>
        <w:t>(p.62)</w:t>
      </w:r>
      <w:r w:rsidRPr="00D9154D">
        <w:rPr>
          <w:rFonts w:asciiTheme="majorHAnsi" w:hAnsiTheme="majorHAnsi" w:cstheme="majorBidi"/>
          <w:color w:val="595959" w:themeColor="text1" w:themeTint="A6"/>
          <w:sz w:val="23"/>
          <w:szCs w:val="23"/>
        </w:rPr>
        <w:t>; Australian Indigenous Mentoring Experience</w:t>
      </w:r>
      <w:r>
        <w:rPr>
          <w:rFonts w:asciiTheme="majorHAnsi" w:hAnsiTheme="majorHAnsi" w:cstheme="majorBidi"/>
          <w:color w:val="595959" w:themeColor="text1" w:themeTint="A6"/>
          <w:sz w:val="23"/>
          <w:szCs w:val="23"/>
        </w:rPr>
        <w:t xml:space="preserve"> (AIME)</w:t>
      </w:r>
      <w:r w:rsidRPr="00D9154D">
        <w:rPr>
          <w:rFonts w:asciiTheme="majorHAnsi" w:hAnsiTheme="majorHAnsi" w:cstheme="majorBidi"/>
          <w:color w:val="595959" w:themeColor="text1" w:themeTint="A6"/>
          <w:sz w:val="23"/>
          <w:szCs w:val="23"/>
        </w:rPr>
        <w:t xml:space="preserve"> </w:t>
      </w:r>
      <w:r>
        <w:rPr>
          <w:rFonts w:asciiTheme="majorHAnsi" w:hAnsiTheme="majorHAnsi" w:cstheme="majorBidi"/>
          <w:color w:val="595959" w:themeColor="text1" w:themeTint="A6"/>
          <w:sz w:val="23"/>
          <w:szCs w:val="23"/>
        </w:rPr>
        <w:t>(p.70)</w:t>
      </w:r>
      <w:r w:rsidRPr="00D9154D">
        <w:rPr>
          <w:rFonts w:asciiTheme="majorHAnsi" w:hAnsiTheme="majorHAnsi" w:cstheme="majorBidi"/>
          <w:color w:val="595959" w:themeColor="text1" w:themeTint="A6"/>
          <w:sz w:val="23"/>
          <w:szCs w:val="23"/>
        </w:rPr>
        <w:t xml:space="preserve">; </w:t>
      </w:r>
      <w:r w:rsidRPr="00D9154D">
        <w:rPr>
          <w:rFonts w:asciiTheme="majorHAnsi" w:eastAsiaTheme="majorEastAsia" w:hAnsiTheme="majorHAnsi" w:cstheme="majorBidi"/>
          <w:color w:val="595959" w:themeColor="text1" w:themeTint="A6"/>
          <w:sz w:val="23"/>
          <w:szCs w:val="23"/>
        </w:rPr>
        <w:t xml:space="preserve">Streets Ahead, Victoria </w:t>
      </w:r>
      <w:r>
        <w:rPr>
          <w:rFonts w:asciiTheme="majorHAnsi" w:eastAsiaTheme="majorEastAsia" w:hAnsiTheme="majorHAnsi" w:cstheme="majorBidi"/>
          <w:color w:val="595959" w:themeColor="text1" w:themeTint="A6"/>
          <w:sz w:val="23"/>
          <w:szCs w:val="23"/>
        </w:rPr>
        <w:t>(p.64)</w:t>
      </w:r>
      <w:r w:rsidRPr="00D9154D">
        <w:rPr>
          <w:rFonts w:asciiTheme="majorHAnsi" w:eastAsiaTheme="majorEastAsia" w:hAnsiTheme="majorHAnsi" w:cstheme="majorBidi"/>
          <w:color w:val="595959" w:themeColor="text1" w:themeTint="A6"/>
          <w:sz w:val="23"/>
          <w:szCs w:val="23"/>
        </w:rPr>
        <w:t xml:space="preserve">; </w:t>
      </w:r>
      <w:r w:rsidRPr="00D9154D">
        <w:rPr>
          <w:rFonts w:asciiTheme="majorHAnsi" w:hAnsiTheme="majorHAnsi" w:cstheme="majorBidi"/>
          <w:color w:val="595959" w:themeColor="text1" w:themeTint="A6"/>
          <w:sz w:val="23"/>
          <w:szCs w:val="23"/>
        </w:rPr>
        <w:t xml:space="preserve">Best Babies Zone, USA </w:t>
      </w:r>
      <w:r>
        <w:rPr>
          <w:rFonts w:ascii="Calibri" w:eastAsia="Calibri" w:hAnsi="Calibri" w:cs="Calibri"/>
          <w:color w:val="595959" w:themeColor="text1" w:themeTint="A6"/>
          <w:sz w:val="23"/>
          <w:szCs w:val="23"/>
        </w:rPr>
        <w:t>(</w:t>
      </w:r>
      <w:r w:rsidRPr="00D9154D">
        <w:rPr>
          <w:rFonts w:asciiTheme="majorHAnsi" w:hAnsiTheme="majorHAnsi" w:cstheme="majorBidi"/>
          <w:color w:val="595959" w:themeColor="text1" w:themeTint="A6"/>
          <w:sz w:val="23"/>
          <w:szCs w:val="23"/>
        </w:rPr>
        <w:t>East Oakland Innovators</w:t>
      </w:r>
      <w:r>
        <w:rPr>
          <w:rFonts w:asciiTheme="majorHAnsi" w:hAnsiTheme="majorHAnsi" w:cstheme="majorBidi"/>
          <w:color w:val="595959" w:themeColor="text1" w:themeTint="A6"/>
          <w:sz w:val="23"/>
          <w:szCs w:val="23"/>
        </w:rPr>
        <w:t>)</w:t>
      </w:r>
      <w:r w:rsidRPr="00D9154D">
        <w:rPr>
          <w:rFonts w:asciiTheme="majorHAnsi" w:hAnsiTheme="majorHAnsi" w:cstheme="majorBidi"/>
          <w:color w:val="595959" w:themeColor="text1" w:themeTint="A6"/>
          <w:sz w:val="23"/>
          <w:szCs w:val="23"/>
        </w:rPr>
        <w:t xml:space="preserve"> </w:t>
      </w:r>
      <w:r>
        <w:rPr>
          <w:rFonts w:asciiTheme="majorHAnsi" w:eastAsiaTheme="majorEastAsia" w:hAnsiTheme="majorHAnsi" w:cstheme="majorBidi"/>
          <w:color w:val="595959" w:themeColor="text1" w:themeTint="A6"/>
          <w:sz w:val="23"/>
          <w:szCs w:val="23"/>
        </w:rPr>
        <w:t>(p.71)</w:t>
      </w:r>
      <w:r w:rsidRPr="00D9154D">
        <w:rPr>
          <w:rFonts w:asciiTheme="majorHAnsi" w:eastAsiaTheme="majorEastAsia" w:hAnsiTheme="majorHAnsi" w:cstheme="majorBidi"/>
          <w:color w:val="595959" w:themeColor="text1" w:themeTint="A6"/>
          <w:sz w:val="23"/>
          <w:szCs w:val="23"/>
        </w:rPr>
        <w:t xml:space="preserve">; </w:t>
      </w:r>
      <w:r w:rsidRPr="00D9154D">
        <w:rPr>
          <w:rFonts w:asciiTheme="majorHAnsi" w:hAnsiTheme="majorHAnsi" w:cstheme="majorBidi"/>
          <w:color w:val="595959" w:themeColor="text1" w:themeTint="A6"/>
          <w:sz w:val="23"/>
          <w:szCs w:val="23"/>
        </w:rPr>
        <w:t>My C</w:t>
      </w:r>
      <w:r>
        <w:rPr>
          <w:rFonts w:asciiTheme="majorHAnsi" w:hAnsiTheme="majorHAnsi" w:cstheme="majorBidi"/>
          <w:color w:val="595959" w:themeColor="text1" w:themeTint="A6"/>
          <w:sz w:val="23"/>
          <w:szCs w:val="23"/>
        </w:rPr>
        <w:t>o</w:t>
      </w:r>
      <w:r w:rsidRPr="00D9154D">
        <w:rPr>
          <w:rFonts w:asciiTheme="majorHAnsi" w:hAnsiTheme="majorHAnsi" w:cstheme="majorBidi"/>
          <w:color w:val="595959" w:themeColor="text1" w:themeTint="A6"/>
          <w:sz w:val="23"/>
          <w:szCs w:val="23"/>
        </w:rPr>
        <w:t xml:space="preserve">mmunity Matters, UK </w:t>
      </w:r>
      <w:r>
        <w:rPr>
          <w:rFonts w:asciiTheme="majorHAnsi" w:eastAsiaTheme="majorEastAsia" w:hAnsiTheme="majorHAnsi" w:cstheme="majorBidi"/>
          <w:color w:val="595959" w:themeColor="text1" w:themeTint="A6"/>
          <w:sz w:val="23"/>
          <w:szCs w:val="23"/>
        </w:rPr>
        <w:t>(p.77)</w:t>
      </w:r>
      <w:r w:rsidRPr="00D9154D">
        <w:rPr>
          <w:rFonts w:asciiTheme="majorHAnsi" w:eastAsiaTheme="majorEastAsia" w:hAnsiTheme="majorHAnsi" w:cstheme="majorBidi"/>
          <w:color w:val="595959" w:themeColor="text1" w:themeTint="A6"/>
          <w:sz w:val="23"/>
          <w:szCs w:val="23"/>
        </w:rPr>
        <w:t xml:space="preserve">; </w:t>
      </w:r>
      <w:r w:rsidRPr="00D9154D">
        <w:rPr>
          <w:rFonts w:asciiTheme="majorHAnsi" w:hAnsiTheme="majorHAnsi" w:cstheme="majorBidi"/>
          <w:color w:val="595959" w:themeColor="text1" w:themeTint="A6"/>
          <w:sz w:val="23"/>
          <w:szCs w:val="23"/>
        </w:rPr>
        <w:t xml:space="preserve">Oslo Living Lab, Norway </w:t>
      </w:r>
      <w:r>
        <w:rPr>
          <w:rFonts w:asciiTheme="majorHAnsi" w:eastAsiaTheme="majorEastAsia" w:hAnsiTheme="majorHAnsi" w:cstheme="majorBidi"/>
          <w:color w:val="595959" w:themeColor="text1" w:themeTint="A6"/>
          <w:sz w:val="23"/>
          <w:szCs w:val="23"/>
        </w:rPr>
        <w:t xml:space="preserve">(p.82); </w:t>
      </w:r>
      <w:r w:rsidRPr="00D9154D">
        <w:rPr>
          <w:rFonts w:ascii="Calibri Light" w:eastAsia="Calibri Light" w:hAnsi="Calibri Light" w:cs="Calibri Light"/>
          <w:color w:val="595959" w:themeColor="text1" w:themeTint="A6"/>
          <w:sz w:val="23"/>
          <w:szCs w:val="23"/>
        </w:rPr>
        <w:t xml:space="preserve">We Dundee, Scotland </w:t>
      </w:r>
      <w:r>
        <w:rPr>
          <w:rFonts w:asciiTheme="majorHAnsi" w:hAnsiTheme="majorHAnsi" w:cstheme="majorBidi"/>
          <w:color w:val="525252" w:themeColor="accent3" w:themeShade="80"/>
          <w:sz w:val="23"/>
          <w:szCs w:val="23"/>
        </w:rPr>
        <w:t xml:space="preserve">(p.80); </w:t>
      </w:r>
      <w:r w:rsidRPr="00D9154D">
        <w:rPr>
          <w:rFonts w:ascii="Calibri Light" w:eastAsia="Calibri Light" w:hAnsi="Calibri Light" w:cs="Calibri Light"/>
          <w:color w:val="595959" w:themeColor="text1" w:themeTint="A6"/>
          <w:sz w:val="23"/>
          <w:szCs w:val="23"/>
        </w:rPr>
        <w:t xml:space="preserve">We Design </w:t>
      </w:r>
      <w:proofErr w:type="gramStart"/>
      <w:r w:rsidRPr="00D9154D">
        <w:rPr>
          <w:rFonts w:ascii="Calibri Light" w:eastAsia="Calibri Light" w:hAnsi="Calibri Light" w:cs="Calibri Light"/>
          <w:color w:val="595959" w:themeColor="text1" w:themeTint="A6"/>
          <w:sz w:val="23"/>
          <w:szCs w:val="23"/>
        </w:rPr>
        <w:t>For</w:t>
      </w:r>
      <w:proofErr w:type="gramEnd"/>
      <w:r w:rsidRPr="00D9154D">
        <w:rPr>
          <w:rFonts w:ascii="Calibri Light" w:eastAsia="Calibri Light" w:hAnsi="Calibri Light" w:cs="Calibri Light"/>
          <w:color w:val="595959" w:themeColor="text1" w:themeTint="A6"/>
          <w:sz w:val="23"/>
          <w:szCs w:val="23"/>
        </w:rPr>
        <w:t xml:space="preserve"> Life, Kolding, Denmark </w:t>
      </w:r>
      <w:r>
        <w:rPr>
          <w:rFonts w:asciiTheme="majorHAnsi" w:eastAsiaTheme="majorEastAsia" w:hAnsiTheme="majorHAnsi" w:cstheme="majorBidi"/>
          <w:color w:val="525252" w:themeColor="accent3" w:themeShade="80"/>
          <w:sz w:val="23"/>
          <w:szCs w:val="23"/>
        </w:rPr>
        <w:t>(p.83).</w:t>
      </w:r>
    </w:p>
    <w:sectPr w:rsidR="005F5B61" w:rsidSect="00A05406">
      <w:headerReference w:type="even" r:id="rId21"/>
      <w:headerReference w:type="default" r:id="rId22"/>
      <w:footerReference w:type="even" r:id="rId23"/>
      <w:footerReference w:type="default" r:id="rId24"/>
      <w:headerReference w:type="first" r:id="rId25"/>
      <w:footerReference w:type="first" r:id="rId26"/>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B9633" w14:textId="77777777" w:rsidR="00C8131A" w:rsidRDefault="00C8131A" w:rsidP="00E348F7">
      <w:pPr>
        <w:spacing w:after="0" w:line="240" w:lineRule="auto"/>
      </w:pPr>
      <w:r>
        <w:separator/>
      </w:r>
    </w:p>
  </w:endnote>
  <w:endnote w:type="continuationSeparator" w:id="0">
    <w:p w14:paraId="4F091EDE" w14:textId="77777777" w:rsidR="00C8131A" w:rsidRDefault="00C8131A" w:rsidP="00E3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EE9DB" w14:textId="77777777" w:rsidR="00E348F7" w:rsidRDefault="00E34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496780"/>
      <w:docPartObj>
        <w:docPartGallery w:val="Page Numbers (Bottom of Page)"/>
        <w:docPartUnique/>
      </w:docPartObj>
    </w:sdtPr>
    <w:sdtEndPr>
      <w:rPr>
        <w:noProof/>
      </w:rPr>
    </w:sdtEndPr>
    <w:sdtContent>
      <w:p w14:paraId="473CE024" w14:textId="29246D08" w:rsidR="003D2069" w:rsidRDefault="003D20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85CE6C" w14:textId="77777777" w:rsidR="00E348F7" w:rsidRDefault="00E34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C9BC" w14:textId="77777777" w:rsidR="00E348F7" w:rsidRDefault="00E3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06190" w14:textId="77777777" w:rsidR="00C8131A" w:rsidRDefault="00C8131A" w:rsidP="00E348F7">
      <w:pPr>
        <w:spacing w:after="0" w:line="240" w:lineRule="auto"/>
      </w:pPr>
      <w:r>
        <w:separator/>
      </w:r>
    </w:p>
  </w:footnote>
  <w:footnote w:type="continuationSeparator" w:id="0">
    <w:p w14:paraId="517017A4" w14:textId="77777777" w:rsidR="00C8131A" w:rsidRDefault="00C8131A" w:rsidP="00E3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43BA" w14:textId="77777777" w:rsidR="00E348F7" w:rsidRDefault="00E34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79C1" w14:textId="77777777" w:rsidR="00E348F7" w:rsidRDefault="00E34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C55E" w14:textId="77777777" w:rsidR="00E348F7" w:rsidRDefault="00E34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E0DCF"/>
    <w:multiLevelType w:val="hybridMultilevel"/>
    <w:tmpl w:val="E47AA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F86395F"/>
    <w:multiLevelType w:val="hybridMultilevel"/>
    <w:tmpl w:val="86FAB2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E43F12"/>
    <w:multiLevelType w:val="hybridMultilevel"/>
    <w:tmpl w:val="C25E0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EF66A3"/>
    <w:multiLevelType w:val="hybridMultilevel"/>
    <w:tmpl w:val="82BE11AC"/>
    <w:lvl w:ilvl="0" w:tplc="6A34EBF8">
      <w:start w:val="1"/>
      <w:numFmt w:val="bullet"/>
      <w:lvlText w:val="·"/>
      <w:lvlJc w:val="left"/>
      <w:pPr>
        <w:ind w:left="720" w:hanging="360"/>
      </w:pPr>
      <w:rPr>
        <w:rFonts w:ascii="Symbol" w:hAnsi="Symbol" w:hint="default"/>
      </w:rPr>
    </w:lvl>
    <w:lvl w:ilvl="1" w:tplc="48D231E6">
      <w:start w:val="1"/>
      <w:numFmt w:val="bullet"/>
      <w:lvlText w:val="o"/>
      <w:lvlJc w:val="left"/>
      <w:pPr>
        <w:ind w:left="1440" w:hanging="360"/>
      </w:pPr>
      <w:rPr>
        <w:rFonts w:ascii="Courier New" w:hAnsi="Courier New" w:hint="default"/>
      </w:rPr>
    </w:lvl>
    <w:lvl w:ilvl="2" w:tplc="9AF64312">
      <w:start w:val="1"/>
      <w:numFmt w:val="bullet"/>
      <w:lvlText w:val=""/>
      <w:lvlJc w:val="left"/>
      <w:pPr>
        <w:ind w:left="2160" w:hanging="360"/>
      </w:pPr>
      <w:rPr>
        <w:rFonts w:ascii="Wingdings" w:hAnsi="Wingdings" w:hint="default"/>
      </w:rPr>
    </w:lvl>
    <w:lvl w:ilvl="3" w:tplc="5B5E9604">
      <w:start w:val="1"/>
      <w:numFmt w:val="bullet"/>
      <w:lvlText w:val=""/>
      <w:lvlJc w:val="left"/>
      <w:pPr>
        <w:ind w:left="2880" w:hanging="360"/>
      </w:pPr>
      <w:rPr>
        <w:rFonts w:ascii="Symbol" w:hAnsi="Symbol" w:hint="default"/>
      </w:rPr>
    </w:lvl>
    <w:lvl w:ilvl="4" w:tplc="7C3C6FEA">
      <w:start w:val="1"/>
      <w:numFmt w:val="bullet"/>
      <w:lvlText w:val="o"/>
      <w:lvlJc w:val="left"/>
      <w:pPr>
        <w:ind w:left="3600" w:hanging="360"/>
      </w:pPr>
      <w:rPr>
        <w:rFonts w:ascii="Courier New" w:hAnsi="Courier New" w:hint="default"/>
      </w:rPr>
    </w:lvl>
    <w:lvl w:ilvl="5" w:tplc="00946AD0">
      <w:start w:val="1"/>
      <w:numFmt w:val="bullet"/>
      <w:lvlText w:val=""/>
      <w:lvlJc w:val="left"/>
      <w:pPr>
        <w:ind w:left="4320" w:hanging="360"/>
      </w:pPr>
      <w:rPr>
        <w:rFonts w:ascii="Wingdings" w:hAnsi="Wingdings" w:hint="default"/>
      </w:rPr>
    </w:lvl>
    <w:lvl w:ilvl="6" w:tplc="179ACE0E">
      <w:start w:val="1"/>
      <w:numFmt w:val="bullet"/>
      <w:lvlText w:val=""/>
      <w:lvlJc w:val="left"/>
      <w:pPr>
        <w:ind w:left="5040" w:hanging="360"/>
      </w:pPr>
      <w:rPr>
        <w:rFonts w:ascii="Symbol" w:hAnsi="Symbol" w:hint="default"/>
      </w:rPr>
    </w:lvl>
    <w:lvl w:ilvl="7" w:tplc="94C82106">
      <w:start w:val="1"/>
      <w:numFmt w:val="bullet"/>
      <w:lvlText w:val="o"/>
      <w:lvlJc w:val="left"/>
      <w:pPr>
        <w:ind w:left="5760" w:hanging="360"/>
      </w:pPr>
      <w:rPr>
        <w:rFonts w:ascii="Courier New" w:hAnsi="Courier New" w:hint="default"/>
      </w:rPr>
    </w:lvl>
    <w:lvl w:ilvl="8" w:tplc="32985CF4">
      <w:start w:val="1"/>
      <w:numFmt w:val="bullet"/>
      <w:lvlText w:val=""/>
      <w:lvlJc w:val="left"/>
      <w:pPr>
        <w:ind w:left="6480" w:hanging="360"/>
      </w:pPr>
      <w:rPr>
        <w:rFonts w:ascii="Wingdings" w:hAnsi="Wingdings" w:hint="default"/>
      </w:rPr>
    </w:lvl>
  </w:abstractNum>
  <w:abstractNum w:abstractNumId="4" w15:restartNumberingAfterBreak="0">
    <w:nsid w:val="31472E59"/>
    <w:multiLevelType w:val="hybridMultilevel"/>
    <w:tmpl w:val="9530C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D815A3"/>
    <w:multiLevelType w:val="hybridMultilevel"/>
    <w:tmpl w:val="411AFBA6"/>
    <w:lvl w:ilvl="0" w:tplc="9F921E18">
      <w:start w:val="1"/>
      <w:numFmt w:val="decimal"/>
      <w:lvlText w:val="%1."/>
      <w:lvlJc w:val="left"/>
      <w:pPr>
        <w:ind w:left="360" w:hanging="360"/>
      </w:pPr>
      <w:rPr>
        <w:rFonts w:asciiTheme="minorHAnsi" w:hAnsiTheme="minorHAnsi" w:cstheme="minorHAnsi" w:hint="default"/>
        <w:b/>
        <w:bCs w:val="0"/>
        <w:color w:val="2F5496" w:themeColor="accent1" w:themeShade="BF"/>
        <w:sz w:val="25"/>
        <w:szCs w:val="25"/>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6951772"/>
    <w:multiLevelType w:val="hybridMultilevel"/>
    <w:tmpl w:val="ED2AE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FD624B"/>
    <w:multiLevelType w:val="hybridMultilevel"/>
    <w:tmpl w:val="45D42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E232690"/>
    <w:multiLevelType w:val="hybridMultilevel"/>
    <w:tmpl w:val="4C26C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F92C72"/>
    <w:multiLevelType w:val="hybridMultilevel"/>
    <w:tmpl w:val="FFFFFFFF"/>
    <w:lvl w:ilvl="0" w:tplc="B11CF028">
      <w:start w:val="1"/>
      <w:numFmt w:val="bullet"/>
      <w:lvlText w:val="·"/>
      <w:lvlJc w:val="left"/>
      <w:pPr>
        <w:ind w:left="360" w:hanging="360"/>
      </w:pPr>
      <w:rPr>
        <w:rFonts w:ascii="Symbol" w:hAnsi="Symbol" w:hint="default"/>
      </w:rPr>
    </w:lvl>
    <w:lvl w:ilvl="1" w:tplc="D618F50C">
      <w:start w:val="1"/>
      <w:numFmt w:val="bullet"/>
      <w:lvlText w:val="o"/>
      <w:lvlJc w:val="left"/>
      <w:pPr>
        <w:ind w:left="1080" w:hanging="360"/>
      </w:pPr>
      <w:rPr>
        <w:rFonts w:ascii="Courier New" w:hAnsi="Courier New" w:hint="default"/>
      </w:rPr>
    </w:lvl>
    <w:lvl w:ilvl="2" w:tplc="94560B6A">
      <w:start w:val="1"/>
      <w:numFmt w:val="bullet"/>
      <w:lvlText w:val=""/>
      <w:lvlJc w:val="left"/>
      <w:pPr>
        <w:ind w:left="1800" w:hanging="360"/>
      </w:pPr>
      <w:rPr>
        <w:rFonts w:ascii="Wingdings" w:hAnsi="Wingdings" w:hint="default"/>
      </w:rPr>
    </w:lvl>
    <w:lvl w:ilvl="3" w:tplc="61FEA95C">
      <w:start w:val="1"/>
      <w:numFmt w:val="bullet"/>
      <w:lvlText w:val=""/>
      <w:lvlJc w:val="left"/>
      <w:pPr>
        <w:ind w:left="2520" w:hanging="360"/>
      </w:pPr>
      <w:rPr>
        <w:rFonts w:ascii="Symbol" w:hAnsi="Symbol" w:hint="default"/>
      </w:rPr>
    </w:lvl>
    <w:lvl w:ilvl="4" w:tplc="AC04826E">
      <w:start w:val="1"/>
      <w:numFmt w:val="bullet"/>
      <w:lvlText w:val="o"/>
      <w:lvlJc w:val="left"/>
      <w:pPr>
        <w:ind w:left="3240" w:hanging="360"/>
      </w:pPr>
      <w:rPr>
        <w:rFonts w:ascii="Courier New" w:hAnsi="Courier New" w:hint="default"/>
      </w:rPr>
    </w:lvl>
    <w:lvl w:ilvl="5" w:tplc="32A8D0EC">
      <w:start w:val="1"/>
      <w:numFmt w:val="bullet"/>
      <w:lvlText w:val=""/>
      <w:lvlJc w:val="left"/>
      <w:pPr>
        <w:ind w:left="3960" w:hanging="360"/>
      </w:pPr>
      <w:rPr>
        <w:rFonts w:ascii="Wingdings" w:hAnsi="Wingdings" w:hint="default"/>
      </w:rPr>
    </w:lvl>
    <w:lvl w:ilvl="6" w:tplc="66843E08">
      <w:start w:val="1"/>
      <w:numFmt w:val="bullet"/>
      <w:lvlText w:val=""/>
      <w:lvlJc w:val="left"/>
      <w:pPr>
        <w:ind w:left="4680" w:hanging="360"/>
      </w:pPr>
      <w:rPr>
        <w:rFonts w:ascii="Symbol" w:hAnsi="Symbol" w:hint="default"/>
      </w:rPr>
    </w:lvl>
    <w:lvl w:ilvl="7" w:tplc="280CCE8E">
      <w:start w:val="1"/>
      <w:numFmt w:val="bullet"/>
      <w:lvlText w:val="o"/>
      <w:lvlJc w:val="left"/>
      <w:pPr>
        <w:ind w:left="5400" w:hanging="360"/>
      </w:pPr>
      <w:rPr>
        <w:rFonts w:ascii="Courier New" w:hAnsi="Courier New" w:hint="default"/>
      </w:rPr>
    </w:lvl>
    <w:lvl w:ilvl="8" w:tplc="9DA89FD0">
      <w:start w:val="1"/>
      <w:numFmt w:val="bullet"/>
      <w:lvlText w:val=""/>
      <w:lvlJc w:val="left"/>
      <w:pPr>
        <w:ind w:left="6120" w:hanging="360"/>
      </w:pPr>
      <w:rPr>
        <w:rFonts w:ascii="Wingdings" w:hAnsi="Wingdings" w:hint="default"/>
      </w:rPr>
    </w:lvl>
  </w:abstractNum>
  <w:abstractNum w:abstractNumId="10" w15:restartNumberingAfterBreak="0">
    <w:nsid w:val="727D72ED"/>
    <w:multiLevelType w:val="hybridMultilevel"/>
    <w:tmpl w:val="6D2C8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8"/>
  </w:num>
  <w:num w:numId="4">
    <w:abstractNumId w:val="6"/>
  </w:num>
  <w:num w:numId="5">
    <w:abstractNumId w:val="4"/>
  </w:num>
  <w:num w:numId="6">
    <w:abstractNumId w:val="9"/>
  </w:num>
  <w:num w:numId="7">
    <w:abstractNumId w:val="2"/>
  </w:num>
  <w:num w:numId="8">
    <w:abstractNumId w:val="1"/>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F7"/>
    <w:rsid w:val="00010F40"/>
    <w:rsid w:val="000A086C"/>
    <w:rsid w:val="0029114D"/>
    <w:rsid w:val="002B77E2"/>
    <w:rsid w:val="003C7442"/>
    <w:rsid w:val="003D2069"/>
    <w:rsid w:val="003E100E"/>
    <w:rsid w:val="003F07C7"/>
    <w:rsid w:val="00463CEC"/>
    <w:rsid w:val="005F5B61"/>
    <w:rsid w:val="006D6309"/>
    <w:rsid w:val="007765F5"/>
    <w:rsid w:val="007E04E7"/>
    <w:rsid w:val="009175B3"/>
    <w:rsid w:val="00A05406"/>
    <w:rsid w:val="00A35C16"/>
    <w:rsid w:val="00AD45C4"/>
    <w:rsid w:val="00B83B87"/>
    <w:rsid w:val="00BB5144"/>
    <w:rsid w:val="00BC39E3"/>
    <w:rsid w:val="00C8131A"/>
    <w:rsid w:val="00C95C96"/>
    <w:rsid w:val="00E31FDC"/>
    <w:rsid w:val="00E348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1E47C"/>
  <w15:chartTrackingRefBased/>
  <w15:docId w15:val="{FEDD0D47-995C-4666-8DBC-76CD644E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8F7"/>
  </w:style>
  <w:style w:type="paragraph" w:styleId="Heading1">
    <w:name w:val="heading 1"/>
    <w:basedOn w:val="Normal"/>
    <w:next w:val="Normal"/>
    <w:link w:val="Heading1Char"/>
    <w:uiPriority w:val="9"/>
    <w:qFormat/>
    <w:rsid w:val="009175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8F7"/>
  </w:style>
  <w:style w:type="paragraph" w:styleId="Footer">
    <w:name w:val="footer"/>
    <w:basedOn w:val="Normal"/>
    <w:link w:val="FooterChar"/>
    <w:uiPriority w:val="99"/>
    <w:unhideWhenUsed/>
    <w:rsid w:val="00E3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8F7"/>
  </w:style>
  <w:style w:type="paragraph" w:styleId="ListParagraph">
    <w:name w:val="List Paragraph"/>
    <w:basedOn w:val="Normal"/>
    <w:uiPriority w:val="34"/>
    <w:qFormat/>
    <w:rsid w:val="00E348F7"/>
    <w:pPr>
      <w:ind w:left="720"/>
      <w:contextualSpacing/>
    </w:pPr>
  </w:style>
  <w:style w:type="paragraph" w:customStyle="1" w:styleId="Default">
    <w:name w:val="Default"/>
    <w:rsid w:val="00E348F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F07C7"/>
    <w:rPr>
      <w:color w:val="0563C1" w:themeColor="hyperlink"/>
      <w:u w:val="single"/>
    </w:rPr>
  </w:style>
  <w:style w:type="table" w:styleId="TableGrid">
    <w:name w:val="Table Grid"/>
    <w:basedOn w:val="TableNormal"/>
    <w:uiPriority w:val="39"/>
    <w:rsid w:val="005F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5144"/>
    <w:rPr>
      <w:sz w:val="16"/>
      <w:szCs w:val="16"/>
    </w:rPr>
  </w:style>
  <w:style w:type="paragraph" w:styleId="CommentText">
    <w:name w:val="annotation text"/>
    <w:basedOn w:val="Normal"/>
    <w:link w:val="CommentTextChar"/>
    <w:uiPriority w:val="99"/>
    <w:semiHidden/>
    <w:unhideWhenUsed/>
    <w:rsid w:val="00BB5144"/>
    <w:pPr>
      <w:spacing w:line="240" w:lineRule="auto"/>
    </w:pPr>
    <w:rPr>
      <w:sz w:val="20"/>
      <w:szCs w:val="20"/>
    </w:rPr>
  </w:style>
  <w:style w:type="character" w:customStyle="1" w:styleId="CommentTextChar">
    <w:name w:val="Comment Text Char"/>
    <w:basedOn w:val="DefaultParagraphFont"/>
    <w:link w:val="CommentText"/>
    <w:uiPriority w:val="99"/>
    <w:semiHidden/>
    <w:rsid w:val="00BB5144"/>
    <w:rPr>
      <w:sz w:val="20"/>
      <w:szCs w:val="20"/>
    </w:rPr>
  </w:style>
  <w:style w:type="paragraph" w:styleId="CommentSubject">
    <w:name w:val="annotation subject"/>
    <w:basedOn w:val="CommentText"/>
    <w:next w:val="CommentText"/>
    <w:link w:val="CommentSubjectChar"/>
    <w:uiPriority w:val="99"/>
    <w:semiHidden/>
    <w:unhideWhenUsed/>
    <w:rsid w:val="00BB5144"/>
    <w:rPr>
      <w:b/>
      <w:bCs/>
    </w:rPr>
  </w:style>
  <w:style w:type="character" w:customStyle="1" w:styleId="CommentSubjectChar">
    <w:name w:val="Comment Subject Char"/>
    <w:basedOn w:val="CommentTextChar"/>
    <w:link w:val="CommentSubject"/>
    <w:uiPriority w:val="99"/>
    <w:semiHidden/>
    <w:rsid w:val="00BB5144"/>
    <w:rPr>
      <w:b/>
      <w:bCs/>
      <w:sz w:val="20"/>
      <w:szCs w:val="20"/>
    </w:rPr>
  </w:style>
  <w:style w:type="character" w:customStyle="1" w:styleId="Heading1Char">
    <w:name w:val="Heading 1 Char"/>
    <w:basedOn w:val="DefaultParagraphFont"/>
    <w:link w:val="Heading1"/>
    <w:uiPriority w:val="9"/>
    <w:rsid w:val="009175B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175B3"/>
    <w:pPr>
      <w:outlineLvl w:val="9"/>
    </w:pPr>
    <w:rPr>
      <w:lang w:val="en-US"/>
    </w:rPr>
  </w:style>
  <w:style w:type="paragraph" w:styleId="TOC1">
    <w:name w:val="toc 1"/>
    <w:basedOn w:val="Normal"/>
    <w:next w:val="Normal"/>
    <w:autoRedefine/>
    <w:uiPriority w:val="39"/>
    <w:unhideWhenUsed/>
    <w:rsid w:val="009175B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ese.gov.au/uncategorised/resources/national-regional-rural-and-remote-tertiary-education-strategy-final-report" TargetMode="External"/><Relationship Id="rId18" Type="http://schemas.openxmlformats.org/officeDocument/2006/relationships/hyperlink" Target="https://www.education.vic.gov.au/training/providers/funding/Pages/rst.aspx"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dese.gov.au/indigenous-education/resources/national-aboriginal-and-torres-strait-islander-education-strategy-2015" TargetMode="External"/><Relationship Id="rId17" Type="http://schemas.openxmlformats.org/officeDocument/2006/relationships/hyperlink" Target="https://www.education.vic.gov.au/skillsfirst/Documents/SkillsFirstFactSheets/SkillsFirstFactSheetRegional.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ducation.vic.gov.au/Documents/about/educationstate/ExpertAdvisoryPanelforruralandregionalstudents_Report.pdf" TargetMode="External"/><Relationship Id="rId20" Type="http://schemas.openxmlformats.org/officeDocument/2006/relationships/hyperlink" Target="http://wordpress-ms.deakin.edu.au/homeresearchhub/wp-content/uploads/sites/77/2019/09/Accessible-and-Inclusive-Geelong-Feasibility-Study.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ublication/241854323_A_triple-helix_of_university-industry-government-relations_Mode_2_and_the_globalization_of_national_systems_of_innovation/link/5584ff6f08aeb0cdaddbd3f0/download"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ncsehe.edu.au/wp-content/uploads/2017/10/Regional-feature-FINAL.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habitat3.org/the-new-urban-agenda/" TargetMode="External"/><Relationship Id="rId19" Type="http://schemas.openxmlformats.org/officeDocument/2006/relationships/hyperlink" Target="https://www2.education.vic.gov.au/pal/tutor-learning-initiative-2021/policy" TargetMode="External"/><Relationship Id="rId4" Type="http://schemas.openxmlformats.org/officeDocument/2006/relationships/styles" Target="styles.xml"/><Relationship Id="rId9" Type="http://schemas.openxmlformats.org/officeDocument/2006/relationships/hyperlink" Target="https://read.oecd-ilibrary.org/urban-rural-and-regional-development/oecd-regional-outlook-2019_9789264312838-en" TargetMode="External"/><Relationship Id="rId14" Type="http://schemas.openxmlformats.org/officeDocument/2006/relationships/hyperlink" Target="https://www.dese.gov.au/uncategorised/resources/independent-review-regional-rural-and-remote-education-final-repor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30C50D7-4014-4793-A8D6-864FCE7DD2B8}">
  <ds:schemaRefs>
    <ds:schemaRef ds:uri="http://schemas.openxmlformats.org/officeDocument/2006/bibliography"/>
  </ds:schemaRefs>
</ds:datastoreItem>
</file>

<file path=customXml/itemProps2.xml><?xml version="1.0" encoding="utf-8"?>
<ds:datastoreItem xmlns:ds="http://schemas.openxmlformats.org/officeDocument/2006/customXml" ds:itemID="{ED745F82-59E6-4246-A99A-000C4C79395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5356</TotalTime>
  <Pages>11</Pages>
  <Words>4449</Words>
  <Characters>25365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Tanner</dc:creator>
  <cp:keywords/>
  <dc:description/>
  <cp:lastModifiedBy>Jane Wager</cp:lastModifiedBy>
  <cp:revision>15</cp:revision>
  <dcterms:created xsi:type="dcterms:W3CDTF">2022-06-16T10:46:00Z</dcterms:created>
  <dcterms:modified xsi:type="dcterms:W3CDTF">2022-07-31T23:24:00Z</dcterms:modified>
</cp:coreProperties>
</file>