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FE1D" w14:textId="7571EEB3" w:rsidR="0068158D" w:rsidRPr="000E3118" w:rsidRDefault="000E3118" w:rsidP="000E3118">
      <w:pPr>
        <w:pStyle w:val="Heading1"/>
        <w:rPr>
          <w:sz w:val="36"/>
          <w:szCs w:val="36"/>
        </w:rPr>
      </w:pPr>
      <w:bookmarkStart w:id="0" w:name="_Toc108186433"/>
      <w:r w:rsidRPr="000E3118">
        <w:rPr>
          <w:sz w:val="36"/>
          <w:szCs w:val="36"/>
        </w:rPr>
        <w:t>Vital Communities - c</w:t>
      </w:r>
      <w:r w:rsidR="009B5016" w:rsidRPr="000E3118">
        <w:rPr>
          <w:sz w:val="36"/>
          <w:szCs w:val="36"/>
        </w:rPr>
        <w:t xml:space="preserve">ase </w:t>
      </w:r>
      <w:r w:rsidRPr="000E3118">
        <w:rPr>
          <w:sz w:val="36"/>
          <w:szCs w:val="36"/>
        </w:rPr>
        <w:t>s</w:t>
      </w:r>
      <w:r w:rsidR="009B5016" w:rsidRPr="000E3118">
        <w:rPr>
          <w:sz w:val="36"/>
          <w:szCs w:val="36"/>
        </w:rPr>
        <w:t xml:space="preserve">tudies with </w:t>
      </w:r>
      <w:r w:rsidRPr="000E3118">
        <w:rPr>
          <w:sz w:val="36"/>
          <w:szCs w:val="36"/>
        </w:rPr>
        <w:t>h</w:t>
      </w:r>
      <w:r w:rsidR="009B5016" w:rsidRPr="000E3118">
        <w:rPr>
          <w:sz w:val="36"/>
          <w:szCs w:val="36"/>
        </w:rPr>
        <w:t xml:space="preserve">ousing </w:t>
      </w:r>
      <w:r w:rsidRPr="000E3118">
        <w:rPr>
          <w:sz w:val="36"/>
          <w:szCs w:val="36"/>
        </w:rPr>
        <w:t>o</w:t>
      </w:r>
      <w:r w:rsidR="009B5016" w:rsidRPr="000E3118">
        <w:rPr>
          <w:sz w:val="36"/>
          <w:szCs w:val="36"/>
        </w:rPr>
        <w:t>utcomes</w:t>
      </w:r>
      <w:bookmarkEnd w:id="0"/>
    </w:p>
    <w:bookmarkStart w:id="1" w:name="_Hlk70863302" w:displacedByCustomXml="next"/>
    <w:sdt>
      <w:sdtPr>
        <w:rPr>
          <w:rFonts w:asciiTheme="minorHAnsi" w:eastAsiaTheme="minorHAnsi" w:hAnsiTheme="minorHAnsi" w:cstheme="minorBidi"/>
          <w:color w:val="auto"/>
          <w:sz w:val="22"/>
          <w:szCs w:val="22"/>
          <w:lang w:val="en-AU"/>
        </w:rPr>
        <w:id w:val="-1410999494"/>
        <w:docPartObj>
          <w:docPartGallery w:val="Table of Contents"/>
          <w:docPartUnique/>
        </w:docPartObj>
      </w:sdtPr>
      <w:sdtEndPr>
        <w:rPr>
          <w:b/>
          <w:bCs/>
          <w:noProof/>
        </w:rPr>
      </w:sdtEndPr>
      <w:sdtContent>
        <w:p w14:paraId="460C9006" w14:textId="7FB1756F" w:rsidR="000E3118" w:rsidRDefault="000E3118">
          <w:pPr>
            <w:pStyle w:val="TOCHeading"/>
          </w:pPr>
          <w:r>
            <w:t>Contents</w:t>
          </w:r>
        </w:p>
        <w:p w14:paraId="5C664828" w14:textId="27D4E29F" w:rsidR="000E3118" w:rsidRDefault="000E3118">
          <w:pPr>
            <w:pStyle w:val="TOC1"/>
            <w:tabs>
              <w:tab w:val="right" w:leader="dot" w:pos="9016"/>
            </w:tabs>
            <w:rPr>
              <w:noProof/>
            </w:rPr>
          </w:pPr>
          <w:r>
            <w:fldChar w:fldCharType="begin"/>
          </w:r>
          <w:r>
            <w:instrText xml:space="preserve"> TOC \o "1-3" \h \z \u </w:instrText>
          </w:r>
          <w:r>
            <w:fldChar w:fldCharType="separate"/>
          </w:r>
          <w:hyperlink w:anchor="_Toc108186434" w:history="1">
            <w:r w:rsidRPr="00C17500">
              <w:rPr>
                <w:rStyle w:val="Hyperlink"/>
                <w:noProof/>
              </w:rPr>
              <w:t>Greater Geelong Focus</w:t>
            </w:r>
            <w:r>
              <w:rPr>
                <w:noProof/>
                <w:webHidden/>
              </w:rPr>
              <w:tab/>
            </w:r>
            <w:r>
              <w:rPr>
                <w:noProof/>
                <w:webHidden/>
              </w:rPr>
              <w:fldChar w:fldCharType="begin"/>
            </w:r>
            <w:r>
              <w:rPr>
                <w:noProof/>
                <w:webHidden/>
              </w:rPr>
              <w:instrText xml:space="preserve"> PAGEREF _Toc108186434 \h </w:instrText>
            </w:r>
            <w:r>
              <w:rPr>
                <w:noProof/>
                <w:webHidden/>
              </w:rPr>
            </w:r>
            <w:r>
              <w:rPr>
                <w:noProof/>
                <w:webHidden/>
              </w:rPr>
              <w:fldChar w:fldCharType="separate"/>
            </w:r>
            <w:r>
              <w:rPr>
                <w:noProof/>
                <w:webHidden/>
              </w:rPr>
              <w:t>2</w:t>
            </w:r>
            <w:r>
              <w:rPr>
                <w:noProof/>
                <w:webHidden/>
              </w:rPr>
              <w:fldChar w:fldCharType="end"/>
            </w:r>
          </w:hyperlink>
        </w:p>
        <w:p w14:paraId="5AEB2130" w14:textId="77D3B43C" w:rsidR="000E3118" w:rsidRDefault="00E316C1">
          <w:pPr>
            <w:pStyle w:val="TOC2"/>
            <w:tabs>
              <w:tab w:val="right" w:leader="dot" w:pos="9016"/>
            </w:tabs>
            <w:rPr>
              <w:noProof/>
            </w:rPr>
          </w:pPr>
          <w:hyperlink w:anchor="_Toc108186435" w:history="1">
            <w:r w:rsidR="000E3118" w:rsidRPr="00C17500">
              <w:rPr>
                <w:rStyle w:val="Hyperlink"/>
                <w:noProof/>
              </w:rPr>
              <w:t>Towards Home Plus: Homelessness Outreach, Housing, and Support</w:t>
            </w:r>
            <w:r w:rsidR="000E3118">
              <w:rPr>
                <w:noProof/>
                <w:webHidden/>
              </w:rPr>
              <w:tab/>
            </w:r>
            <w:r w:rsidR="000E3118">
              <w:rPr>
                <w:noProof/>
                <w:webHidden/>
              </w:rPr>
              <w:fldChar w:fldCharType="begin"/>
            </w:r>
            <w:r w:rsidR="000E3118">
              <w:rPr>
                <w:noProof/>
                <w:webHidden/>
              </w:rPr>
              <w:instrText xml:space="preserve"> PAGEREF _Toc108186435 \h </w:instrText>
            </w:r>
            <w:r w:rsidR="000E3118">
              <w:rPr>
                <w:noProof/>
                <w:webHidden/>
              </w:rPr>
            </w:r>
            <w:r w:rsidR="000E3118">
              <w:rPr>
                <w:noProof/>
                <w:webHidden/>
              </w:rPr>
              <w:fldChar w:fldCharType="separate"/>
            </w:r>
            <w:r w:rsidR="000E3118">
              <w:rPr>
                <w:noProof/>
                <w:webHidden/>
              </w:rPr>
              <w:t>2</w:t>
            </w:r>
            <w:r w:rsidR="000E3118">
              <w:rPr>
                <w:noProof/>
                <w:webHidden/>
              </w:rPr>
              <w:fldChar w:fldCharType="end"/>
            </w:r>
          </w:hyperlink>
        </w:p>
        <w:p w14:paraId="0965158B" w14:textId="62D4AC01" w:rsidR="000E3118" w:rsidRDefault="00E316C1">
          <w:pPr>
            <w:pStyle w:val="TOC2"/>
            <w:tabs>
              <w:tab w:val="right" w:leader="dot" w:pos="9016"/>
            </w:tabs>
            <w:rPr>
              <w:noProof/>
            </w:rPr>
          </w:pPr>
          <w:hyperlink w:anchor="_Toc108186436" w:history="1">
            <w:r w:rsidR="000E3118" w:rsidRPr="00C17500">
              <w:rPr>
                <w:rStyle w:val="Hyperlink"/>
                <w:noProof/>
              </w:rPr>
              <w:t>Neighbourhood Renewal Program: Place-Based Initiative to Tackle Locational Disadvantage</w:t>
            </w:r>
            <w:r w:rsidR="000E3118">
              <w:rPr>
                <w:noProof/>
                <w:webHidden/>
              </w:rPr>
              <w:tab/>
            </w:r>
            <w:r w:rsidR="000E3118">
              <w:rPr>
                <w:noProof/>
                <w:webHidden/>
              </w:rPr>
              <w:fldChar w:fldCharType="begin"/>
            </w:r>
            <w:r w:rsidR="000E3118">
              <w:rPr>
                <w:noProof/>
                <w:webHidden/>
              </w:rPr>
              <w:instrText xml:space="preserve"> PAGEREF _Toc108186436 \h </w:instrText>
            </w:r>
            <w:r w:rsidR="000E3118">
              <w:rPr>
                <w:noProof/>
                <w:webHidden/>
              </w:rPr>
            </w:r>
            <w:r w:rsidR="000E3118">
              <w:rPr>
                <w:noProof/>
                <w:webHidden/>
              </w:rPr>
              <w:fldChar w:fldCharType="separate"/>
            </w:r>
            <w:r w:rsidR="000E3118">
              <w:rPr>
                <w:noProof/>
                <w:webHidden/>
              </w:rPr>
              <w:t>3</w:t>
            </w:r>
            <w:r w:rsidR="000E3118">
              <w:rPr>
                <w:noProof/>
                <w:webHidden/>
              </w:rPr>
              <w:fldChar w:fldCharType="end"/>
            </w:r>
          </w:hyperlink>
        </w:p>
        <w:p w14:paraId="05F82694" w14:textId="4EFAEF16" w:rsidR="000E3118" w:rsidRDefault="00E316C1">
          <w:pPr>
            <w:pStyle w:val="TOC1"/>
            <w:tabs>
              <w:tab w:val="right" w:leader="dot" w:pos="9016"/>
            </w:tabs>
            <w:rPr>
              <w:noProof/>
            </w:rPr>
          </w:pPr>
          <w:hyperlink w:anchor="_Toc108186437" w:history="1">
            <w:r w:rsidR="000E3118" w:rsidRPr="00C17500">
              <w:rPr>
                <w:rStyle w:val="Hyperlink"/>
                <w:rFonts w:eastAsia="Calibri Light"/>
                <w:noProof/>
              </w:rPr>
              <w:t>New South Wales</w:t>
            </w:r>
            <w:r w:rsidR="000E3118">
              <w:rPr>
                <w:noProof/>
                <w:webHidden/>
              </w:rPr>
              <w:tab/>
            </w:r>
            <w:r w:rsidR="000E3118">
              <w:rPr>
                <w:noProof/>
                <w:webHidden/>
              </w:rPr>
              <w:fldChar w:fldCharType="begin"/>
            </w:r>
            <w:r w:rsidR="000E3118">
              <w:rPr>
                <w:noProof/>
                <w:webHidden/>
              </w:rPr>
              <w:instrText xml:space="preserve"> PAGEREF _Toc108186437 \h </w:instrText>
            </w:r>
            <w:r w:rsidR="000E3118">
              <w:rPr>
                <w:noProof/>
                <w:webHidden/>
              </w:rPr>
            </w:r>
            <w:r w:rsidR="000E3118">
              <w:rPr>
                <w:noProof/>
                <w:webHidden/>
              </w:rPr>
              <w:fldChar w:fldCharType="separate"/>
            </w:r>
            <w:r w:rsidR="000E3118">
              <w:rPr>
                <w:noProof/>
                <w:webHidden/>
              </w:rPr>
              <w:t>4</w:t>
            </w:r>
            <w:r w:rsidR="000E3118">
              <w:rPr>
                <w:noProof/>
                <w:webHidden/>
              </w:rPr>
              <w:fldChar w:fldCharType="end"/>
            </w:r>
          </w:hyperlink>
        </w:p>
        <w:p w14:paraId="1BECAE45" w14:textId="6B01008F" w:rsidR="000E3118" w:rsidRDefault="00E316C1">
          <w:pPr>
            <w:pStyle w:val="TOC2"/>
            <w:tabs>
              <w:tab w:val="right" w:leader="dot" w:pos="9016"/>
            </w:tabs>
            <w:rPr>
              <w:noProof/>
            </w:rPr>
          </w:pPr>
          <w:hyperlink w:anchor="_Toc108186438" w:history="1">
            <w:r w:rsidR="000E3118" w:rsidRPr="00C17500">
              <w:rPr>
                <w:rStyle w:val="Hyperlink"/>
                <w:rFonts w:eastAsia="Calibri"/>
                <w:noProof/>
              </w:rPr>
              <w:t>The Digital Age Project: Digital Inclusion for Older Social Housing Residents</w:t>
            </w:r>
            <w:r w:rsidR="000E3118">
              <w:rPr>
                <w:noProof/>
                <w:webHidden/>
              </w:rPr>
              <w:tab/>
            </w:r>
            <w:r w:rsidR="000E3118">
              <w:rPr>
                <w:noProof/>
                <w:webHidden/>
              </w:rPr>
              <w:fldChar w:fldCharType="begin"/>
            </w:r>
            <w:r w:rsidR="000E3118">
              <w:rPr>
                <w:noProof/>
                <w:webHidden/>
              </w:rPr>
              <w:instrText xml:space="preserve"> PAGEREF _Toc108186438 \h </w:instrText>
            </w:r>
            <w:r w:rsidR="000E3118">
              <w:rPr>
                <w:noProof/>
                <w:webHidden/>
              </w:rPr>
            </w:r>
            <w:r w:rsidR="000E3118">
              <w:rPr>
                <w:noProof/>
                <w:webHidden/>
              </w:rPr>
              <w:fldChar w:fldCharType="separate"/>
            </w:r>
            <w:r w:rsidR="000E3118">
              <w:rPr>
                <w:noProof/>
                <w:webHidden/>
              </w:rPr>
              <w:t>4</w:t>
            </w:r>
            <w:r w:rsidR="000E3118">
              <w:rPr>
                <w:noProof/>
                <w:webHidden/>
              </w:rPr>
              <w:fldChar w:fldCharType="end"/>
            </w:r>
          </w:hyperlink>
        </w:p>
        <w:p w14:paraId="61E650E0" w14:textId="51199DB7" w:rsidR="000E3118" w:rsidRDefault="00E316C1">
          <w:pPr>
            <w:pStyle w:val="TOC1"/>
            <w:tabs>
              <w:tab w:val="right" w:leader="dot" w:pos="9016"/>
            </w:tabs>
            <w:rPr>
              <w:noProof/>
            </w:rPr>
          </w:pPr>
          <w:hyperlink w:anchor="_Toc108186439" w:history="1">
            <w:r w:rsidR="000E3118" w:rsidRPr="00C17500">
              <w:rPr>
                <w:rStyle w:val="Hyperlink"/>
                <w:noProof/>
              </w:rPr>
              <w:t>International Case Studies</w:t>
            </w:r>
            <w:r w:rsidR="000E3118">
              <w:rPr>
                <w:noProof/>
                <w:webHidden/>
              </w:rPr>
              <w:tab/>
            </w:r>
            <w:r w:rsidR="000E3118">
              <w:rPr>
                <w:noProof/>
                <w:webHidden/>
              </w:rPr>
              <w:fldChar w:fldCharType="begin"/>
            </w:r>
            <w:r w:rsidR="000E3118">
              <w:rPr>
                <w:noProof/>
                <w:webHidden/>
              </w:rPr>
              <w:instrText xml:space="preserve"> PAGEREF _Toc108186439 \h </w:instrText>
            </w:r>
            <w:r w:rsidR="000E3118">
              <w:rPr>
                <w:noProof/>
                <w:webHidden/>
              </w:rPr>
            </w:r>
            <w:r w:rsidR="000E3118">
              <w:rPr>
                <w:noProof/>
                <w:webHidden/>
              </w:rPr>
              <w:fldChar w:fldCharType="separate"/>
            </w:r>
            <w:r w:rsidR="000E3118">
              <w:rPr>
                <w:noProof/>
                <w:webHidden/>
              </w:rPr>
              <w:t>5</w:t>
            </w:r>
            <w:r w:rsidR="000E3118">
              <w:rPr>
                <w:noProof/>
                <w:webHidden/>
              </w:rPr>
              <w:fldChar w:fldCharType="end"/>
            </w:r>
          </w:hyperlink>
        </w:p>
        <w:p w14:paraId="5BB989F9" w14:textId="2B017B86" w:rsidR="000E3118" w:rsidRDefault="00E316C1">
          <w:pPr>
            <w:pStyle w:val="TOC2"/>
            <w:tabs>
              <w:tab w:val="right" w:leader="dot" w:pos="9016"/>
            </w:tabs>
            <w:rPr>
              <w:noProof/>
            </w:rPr>
          </w:pPr>
          <w:hyperlink w:anchor="_Toc108186440" w:history="1">
            <w:r w:rsidR="000E3118" w:rsidRPr="00C17500">
              <w:rPr>
                <w:rStyle w:val="Hyperlink"/>
                <w:rFonts w:eastAsia="Calibri"/>
                <w:noProof/>
              </w:rPr>
              <w:t>Perpetrator Intervention Pilot: Tackling Domestic Violence, Preventing Homelessness</w:t>
            </w:r>
            <w:r w:rsidR="000E3118">
              <w:rPr>
                <w:noProof/>
                <w:webHidden/>
              </w:rPr>
              <w:tab/>
            </w:r>
            <w:r w:rsidR="000E3118">
              <w:rPr>
                <w:noProof/>
                <w:webHidden/>
              </w:rPr>
              <w:fldChar w:fldCharType="begin"/>
            </w:r>
            <w:r w:rsidR="000E3118">
              <w:rPr>
                <w:noProof/>
                <w:webHidden/>
              </w:rPr>
              <w:instrText xml:space="preserve"> PAGEREF _Toc108186440 \h </w:instrText>
            </w:r>
            <w:r w:rsidR="000E3118">
              <w:rPr>
                <w:noProof/>
                <w:webHidden/>
              </w:rPr>
            </w:r>
            <w:r w:rsidR="000E3118">
              <w:rPr>
                <w:noProof/>
                <w:webHidden/>
              </w:rPr>
              <w:fldChar w:fldCharType="separate"/>
            </w:r>
            <w:r w:rsidR="000E3118">
              <w:rPr>
                <w:noProof/>
                <w:webHidden/>
              </w:rPr>
              <w:t>5</w:t>
            </w:r>
            <w:r w:rsidR="000E3118">
              <w:rPr>
                <w:noProof/>
                <w:webHidden/>
              </w:rPr>
              <w:fldChar w:fldCharType="end"/>
            </w:r>
          </w:hyperlink>
        </w:p>
        <w:p w14:paraId="77EF052C" w14:textId="797533B8" w:rsidR="000E3118" w:rsidRDefault="00E316C1">
          <w:pPr>
            <w:pStyle w:val="TOC2"/>
            <w:tabs>
              <w:tab w:val="right" w:leader="dot" w:pos="9016"/>
            </w:tabs>
            <w:rPr>
              <w:noProof/>
            </w:rPr>
          </w:pPr>
          <w:hyperlink w:anchor="_Toc108186441" w:history="1">
            <w:r w:rsidR="000E3118" w:rsidRPr="00C17500">
              <w:rPr>
                <w:rStyle w:val="Hyperlink"/>
                <w:noProof/>
              </w:rPr>
              <w:t>The Broomhill Project: Arts-led Community Regeneration and Public Housing Upgrade</w:t>
            </w:r>
            <w:r w:rsidR="000E3118">
              <w:rPr>
                <w:noProof/>
                <w:webHidden/>
              </w:rPr>
              <w:tab/>
            </w:r>
            <w:r w:rsidR="000E3118">
              <w:rPr>
                <w:noProof/>
                <w:webHidden/>
              </w:rPr>
              <w:fldChar w:fldCharType="begin"/>
            </w:r>
            <w:r w:rsidR="000E3118">
              <w:rPr>
                <w:noProof/>
                <w:webHidden/>
              </w:rPr>
              <w:instrText xml:space="preserve"> PAGEREF _Toc108186441 \h </w:instrText>
            </w:r>
            <w:r w:rsidR="000E3118">
              <w:rPr>
                <w:noProof/>
                <w:webHidden/>
              </w:rPr>
            </w:r>
            <w:r w:rsidR="000E3118">
              <w:rPr>
                <w:noProof/>
                <w:webHidden/>
              </w:rPr>
              <w:fldChar w:fldCharType="separate"/>
            </w:r>
            <w:r w:rsidR="000E3118">
              <w:rPr>
                <w:noProof/>
                <w:webHidden/>
              </w:rPr>
              <w:t>6</w:t>
            </w:r>
            <w:r w:rsidR="000E3118">
              <w:rPr>
                <w:noProof/>
                <w:webHidden/>
              </w:rPr>
              <w:fldChar w:fldCharType="end"/>
            </w:r>
          </w:hyperlink>
        </w:p>
        <w:p w14:paraId="27A66285" w14:textId="6EC01650" w:rsidR="000E3118" w:rsidRDefault="00E316C1">
          <w:pPr>
            <w:pStyle w:val="TOC2"/>
            <w:tabs>
              <w:tab w:val="right" w:leader="dot" w:pos="9016"/>
            </w:tabs>
            <w:rPr>
              <w:noProof/>
            </w:rPr>
          </w:pPr>
          <w:hyperlink w:anchor="_Toc108186442" w:history="1">
            <w:r w:rsidR="000E3118" w:rsidRPr="00C17500">
              <w:rPr>
                <w:rStyle w:val="Hyperlink"/>
                <w:rFonts w:eastAsia="Calibri"/>
                <w:noProof/>
              </w:rPr>
              <w:t>The Skip Garden and Kitchen, Story Garden, Paper Garden:</w:t>
            </w:r>
            <w:r w:rsidR="000E3118">
              <w:rPr>
                <w:noProof/>
                <w:webHidden/>
              </w:rPr>
              <w:tab/>
            </w:r>
            <w:r w:rsidR="000E3118">
              <w:rPr>
                <w:noProof/>
                <w:webHidden/>
              </w:rPr>
              <w:fldChar w:fldCharType="begin"/>
            </w:r>
            <w:r w:rsidR="000E3118">
              <w:rPr>
                <w:noProof/>
                <w:webHidden/>
              </w:rPr>
              <w:instrText xml:space="preserve"> PAGEREF _Toc108186442 \h </w:instrText>
            </w:r>
            <w:r w:rsidR="000E3118">
              <w:rPr>
                <w:noProof/>
                <w:webHidden/>
              </w:rPr>
            </w:r>
            <w:r w:rsidR="000E3118">
              <w:rPr>
                <w:noProof/>
                <w:webHidden/>
              </w:rPr>
              <w:fldChar w:fldCharType="separate"/>
            </w:r>
            <w:r w:rsidR="000E3118">
              <w:rPr>
                <w:noProof/>
                <w:webHidden/>
              </w:rPr>
              <w:t>7</w:t>
            </w:r>
            <w:r w:rsidR="000E3118">
              <w:rPr>
                <w:noProof/>
                <w:webHidden/>
              </w:rPr>
              <w:fldChar w:fldCharType="end"/>
            </w:r>
          </w:hyperlink>
        </w:p>
        <w:p w14:paraId="351E53C5" w14:textId="53E87E24" w:rsidR="000E3118" w:rsidRDefault="00E316C1">
          <w:pPr>
            <w:pStyle w:val="TOC2"/>
            <w:tabs>
              <w:tab w:val="right" w:leader="dot" w:pos="9016"/>
            </w:tabs>
            <w:rPr>
              <w:noProof/>
            </w:rPr>
          </w:pPr>
          <w:hyperlink w:anchor="_Toc108186443" w:history="1">
            <w:r w:rsidR="000E3118" w:rsidRPr="00C17500">
              <w:rPr>
                <w:rStyle w:val="Hyperlink"/>
                <w:rFonts w:eastAsia="Calibri"/>
                <w:noProof/>
              </w:rPr>
              <w:t>Community Gardens for Learning, Health, and Social Inclusion</w:t>
            </w:r>
            <w:r w:rsidR="000E3118">
              <w:rPr>
                <w:noProof/>
                <w:webHidden/>
              </w:rPr>
              <w:tab/>
            </w:r>
            <w:r w:rsidR="000E3118">
              <w:rPr>
                <w:noProof/>
                <w:webHidden/>
              </w:rPr>
              <w:fldChar w:fldCharType="begin"/>
            </w:r>
            <w:r w:rsidR="000E3118">
              <w:rPr>
                <w:noProof/>
                <w:webHidden/>
              </w:rPr>
              <w:instrText xml:space="preserve"> PAGEREF _Toc108186443 \h </w:instrText>
            </w:r>
            <w:r w:rsidR="000E3118">
              <w:rPr>
                <w:noProof/>
                <w:webHidden/>
              </w:rPr>
            </w:r>
            <w:r w:rsidR="000E3118">
              <w:rPr>
                <w:noProof/>
                <w:webHidden/>
              </w:rPr>
              <w:fldChar w:fldCharType="separate"/>
            </w:r>
            <w:r w:rsidR="000E3118">
              <w:rPr>
                <w:noProof/>
                <w:webHidden/>
              </w:rPr>
              <w:t>7</w:t>
            </w:r>
            <w:r w:rsidR="000E3118">
              <w:rPr>
                <w:noProof/>
                <w:webHidden/>
              </w:rPr>
              <w:fldChar w:fldCharType="end"/>
            </w:r>
          </w:hyperlink>
        </w:p>
        <w:p w14:paraId="67808308" w14:textId="30F401C2" w:rsidR="000E3118" w:rsidRDefault="00E316C1">
          <w:pPr>
            <w:pStyle w:val="TOC2"/>
            <w:tabs>
              <w:tab w:val="right" w:leader="dot" w:pos="9016"/>
            </w:tabs>
            <w:rPr>
              <w:noProof/>
            </w:rPr>
          </w:pPr>
          <w:hyperlink w:anchor="_Toc108186444" w:history="1">
            <w:r w:rsidR="000E3118" w:rsidRPr="00C17500">
              <w:rPr>
                <w:rStyle w:val="Hyperlink"/>
                <w:noProof/>
              </w:rPr>
              <w:t>We Design for Life: Design-Led Policy Development and Participatory Urban Regeneration</w:t>
            </w:r>
            <w:r w:rsidR="000E3118">
              <w:rPr>
                <w:noProof/>
                <w:webHidden/>
              </w:rPr>
              <w:tab/>
            </w:r>
            <w:r w:rsidR="000E3118">
              <w:rPr>
                <w:noProof/>
                <w:webHidden/>
              </w:rPr>
              <w:fldChar w:fldCharType="begin"/>
            </w:r>
            <w:r w:rsidR="000E3118">
              <w:rPr>
                <w:noProof/>
                <w:webHidden/>
              </w:rPr>
              <w:instrText xml:space="preserve"> PAGEREF _Toc108186444 \h </w:instrText>
            </w:r>
            <w:r w:rsidR="000E3118">
              <w:rPr>
                <w:noProof/>
                <w:webHidden/>
              </w:rPr>
            </w:r>
            <w:r w:rsidR="000E3118">
              <w:rPr>
                <w:noProof/>
                <w:webHidden/>
              </w:rPr>
              <w:fldChar w:fldCharType="separate"/>
            </w:r>
            <w:r w:rsidR="000E3118">
              <w:rPr>
                <w:noProof/>
                <w:webHidden/>
              </w:rPr>
              <w:t>9</w:t>
            </w:r>
            <w:r w:rsidR="000E3118">
              <w:rPr>
                <w:noProof/>
                <w:webHidden/>
              </w:rPr>
              <w:fldChar w:fldCharType="end"/>
            </w:r>
          </w:hyperlink>
        </w:p>
        <w:p w14:paraId="482FBB46" w14:textId="01C806FA" w:rsidR="000E3118" w:rsidRDefault="00E316C1">
          <w:pPr>
            <w:pStyle w:val="TOC2"/>
            <w:tabs>
              <w:tab w:val="right" w:leader="dot" w:pos="9016"/>
            </w:tabs>
            <w:rPr>
              <w:noProof/>
            </w:rPr>
          </w:pPr>
          <w:hyperlink w:anchor="_Toc108186445" w:history="1">
            <w:r w:rsidR="000E3118" w:rsidRPr="00C17500">
              <w:rPr>
                <w:rStyle w:val="Hyperlink"/>
                <w:rFonts w:eastAsia="Calibri"/>
                <w:noProof/>
              </w:rPr>
              <w:t>All Right? Community-Led Mental Health Initiative For Disaster Recovery</w:t>
            </w:r>
            <w:r w:rsidR="000E3118">
              <w:rPr>
                <w:noProof/>
                <w:webHidden/>
              </w:rPr>
              <w:tab/>
            </w:r>
            <w:r w:rsidR="000E3118">
              <w:rPr>
                <w:noProof/>
                <w:webHidden/>
              </w:rPr>
              <w:fldChar w:fldCharType="begin"/>
            </w:r>
            <w:r w:rsidR="000E3118">
              <w:rPr>
                <w:noProof/>
                <w:webHidden/>
              </w:rPr>
              <w:instrText xml:space="preserve"> PAGEREF _Toc108186445 \h </w:instrText>
            </w:r>
            <w:r w:rsidR="000E3118">
              <w:rPr>
                <w:noProof/>
                <w:webHidden/>
              </w:rPr>
            </w:r>
            <w:r w:rsidR="000E3118">
              <w:rPr>
                <w:noProof/>
                <w:webHidden/>
              </w:rPr>
              <w:fldChar w:fldCharType="separate"/>
            </w:r>
            <w:r w:rsidR="000E3118">
              <w:rPr>
                <w:noProof/>
                <w:webHidden/>
              </w:rPr>
              <w:t>11</w:t>
            </w:r>
            <w:r w:rsidR="000E3118">
              <w:rPr>
                <w:noProof/>
                <w:webHidden/>
              </w:rPr>
              <w:fldChar w:fldCharType="end"/>
            </w:r>
          </w:hyperlink>
        </w:p>
        <w:p w14:paraId="6AFE0574" w14:textId="4ADC478B" w:rsidR="000E3118" w:rsidRDefault="000E3118">
          <w:r>
            <w:rPr>
              <w:b/>
              <w:bCs/>
              <w:noProof/>
            </w:rPr>
            <w:fldChar w:fldCharType="end"/>
          </w:r>
        </w:p>
      </w:sdtContent>
    </w:sdt>
    <w:p w14:paraId="6C0BE129" w14:textId="59D73F7A" w:rsidR="00E268D6" w:rsidRDefault="00E268D6" w:rsidP="005E69AE">
      <w:pPr>
        <w:spacing w:line="276" w:lineRule="auto"/>
        <w:rPr>
          <w:rFonts w:cstheme="majorBidi"/>
          <w:sz w:val="25"/>
          <w:szCs w:val="25"/>
        </w:rPr>
      </w:pPr>
    </w:p>
    <w:p w14:paraId="31AB0CA7" w14:textId="6126B1AD" w:rsidR="000E3118" w:rsidRDefault="000E3118" w:rsidP="005E69AE">
      <w:pPr>
        <w:spacing w:line="276" w:lineRule="auto"/>
        <w:rPr>
          <w:rFonts w:cstheme="majorBidi"/>
          <w:sz w:val="25"/>
          <w:szCs w:val="25"/>
        </w:rPr>
      </w:pPr>
    </w:p>
    <w:p w14:paraId="247B2512" w14:textId="2B2ECD15" w:rsidR="000E3118" w:rsidRDefault="000E3118" w:rsidP="005E69AE">
      <w:pPr>
        <w:spacing w:line="276" w:lineRule="auto"/>
        <w:rPr>
          <w:rFonts w:cstheme="majorBidi"/>
          <w:sz w:val="25"/>
          <w:szCs w:val="25"/>
        </w:rPr>
      </w:pPr>
    </w:p>
    <w:p w14:paraId="3D7E5EFE" w14:textId="6150D100" w:rsidR="000E3118" w:rsidRDefault="000E3118" w:rsidP="005E69AE">
      <w:pPr>
        <w:spacing w:line="276" w:lineRule="auto"/>
        <w:rPr>
          <w:rFonts w:cstheme="majorBidi"/>
          <w:sz w:val="25"/>
          <w:szCs w:val="25"/>
        </w:rPr>
      </w:pPr>
    </w:p>
    <w:p w14:paraId="746EE735" w14:textId="2FB12D23" w:rsidR="000E3118" w:rsidRDefault="000E3118" w:rsidP="005E69AE">
      <w:pPr>
        <w:spacing w:line="276" w:lineRule="auto"/>
        <w:rPr>
          <w:rFonts w:cstheme="majorBidi"/>
          <w:sz w:val="25"/>
          <w:szCs w:val="25"/>
        </w:rPr>
      </w:pPr>
    </w:p>
    <w:p w14:paraId="3B1D686A" w14:textId="2C232AB6" w:rsidR="000E3118" w:rsidRDefault="000E3118" w:rsidP="005E69AE">
      <w:pPr>
        <w:spacing w:line="276" w:lineRule="auto"/>
        <w:rPr>
          <w:rFonts w:cstheme="majorBidi"/>
          <w:sz w:val="25"/>
          <w:szCs w:val="25"/>
        </w:rPr>
      </w:pPr>
    </w:p>
    <w:p w14:paraId="5C2A628E" w14:textId="12DA0F03" w:rsidR="000E3118" w:rsidRDefault="000E3118" w:rsidP="005E69AE">
      <w:pPr>
        <w:spacing w:line="276" w:lineRule="auto"/>
        <w:rPr>
          <w:rFonts w:cstheme="majorBidi"/>
          <w:sz w:val="25"/>
          <w:szCs w:val="25"/>
        </w:rPr>
      </w:pPr>
    </w:p>
    <w:p w14:paraId="527E95AB" w14:textId="0DA238E4" w:rsidR="000E3118" w:rsidRDefault="000E3118" w:rsidP="005E69AE">
      <w:pPr>
        <w:spacing w:line="276" w:lineRule="auto"/>
        <w:rPr>
          <w:rFonts w:cstheme="majorBidi"/>
          <w:sz w:val="25"/>
          <w:szCs w:val="25"/>
        </w:rPr>
      </w:pPr>
    </w:p>
    <w:p w14:paraId="236D45E4" w14:textId="624D79F0" w:rsidR="000E3118" w:rsidRDefault="000E3118" w:rsidP="005E69AE">
      <w:pPr>
        <w:spacing w:line="276" w:lineRule="auto"/>
        <w:rPr>
          <w:rFonts w:cstheme="majorBidi"/>
          <w:sz w:val="25"/>
          <w:szCs w:val="25"/>
        </w:rPr>
      </w:pPr>
    </w:p>
    <w:p w14:paraId="514BCD25" w14:textId="77777777" w:rsidR="000E3118" w:rsidRDefault="000E3118" w:rsidP="005E69AE">
      <w:pPr>
        <w:spacing w:line="276" w:lineRule="auto"/>
        <w:rPr>
          <w:rFonts w:cstheme="majorBidi"/>
          <w:sz w:val="25"/>
          <w:szCs w:val="25"/>
        </w:rPr>
      </w:pPr>
    </w:p>
    <w:p w14:paraId="20C60321" w14:textId="05AA9DB4" w:rsidR="000E3118" w:rsidRDefault="000E3118" w:rsidP="005E69AE">
      <w:pPr>
        <w:spacing w:line="276" w:lineRule="auto"/>
        <w:rPr>
          <w:rFonts w:cstheme="majorBidi"/>
          <w:sz w:val="25"/>
          <w:szCs w:val="25"/>
        </w:rPr>
      </w:pPr>
    </w:p>
    <w:p w14:paraId="7D70C1A0" w14:textId="2B4048A5" w:rsidR="000E3118" w:rsidRDefault="000E3118" w:rsidP="005E69AE">
      <w:pPr>
        <w:spacing w:line="276" w:lineRule="auto"/>
        <w:rPr>
          <w:rFonts w:cstheme="majorBidi"/>
          <w:sz w:val="25"/>
          <w:szCs w:val="25"/>
        </w:rPr>
      </w:pPr>
    </w:p>
    <w:p w14:paraId="5C2F99C3" w14:textId="77777777" w:rsidR="000E3118" w:rsidRDefault="000E3118" w:rsidP="005E69AE">
      <w:pPr>
        <w:spacing w:line="276" w:lineRule="auto"/>
        <w:rPr>
          <w:rFonts w:cstheme="majorBidi"/>
          <w:sz w:val="25"/>
          <w:szCs w:val="25"/>
        </w:rPr>
      </w:pPr>
    </w:p>
    <w:p w14:paraId="423E6777" w14:textId="65CB2CC1" w:rsidR="00E268D6" w:rsidRPr="00470DE2" w:rsidRDefault="00E268D6" w:rsidP="00E268D6">
      <w:pPr>
        <w:pStyle w:val="Heading1"/>
        <w:rPr>
          <w:b/>
          <w:bCs/>
          <w:color w:val="auto"/>
        </w:rPr>
      </w:pPr>
      <w:bookmarkStart w:id="2" w:name="_Toc108186434"/>
      <w:r w:rsidRPr="00470DE2">
        <w:rPr>
          <w:b/>
          <w:bCs/>
        </w:rPr>
        <w:lastRenderedPageBreak/>
        <w:t>Greater Geelong Focus</w:t>
      </w:r>
      <w:bookmarkEnd w:id="2"/>
    </w:p>
    <w:p w14:paraId="7DDF7F85" w14:textId="1EC9E40C" w:rsidR="00E268D6" w:rsidRPr="009B5016" w:rsidRDefault="00E268D6" w:rsidP="00E268D6">
      <w:pPr>
        <w:pStyle w:val="Heading2"/>
      </w:pPr>
      <w:bookmarkStart w:id="3" w:name="_Toc108186435"/>
      <w:r w:rsidRPr="009B5016">
        <w:t>Towards Home Plus: Homelessness Outreach, Housing, and Support</w:t>
      </w:r>
      <w:bookmarkEnd w:id="3"/>
    </w:p>
    <w:p w14:paraId="6FE82A37" w14:textId="39E45222" w:rsidR="00E268D6" w:rsidRPr="00E268D6" w:rsidRDefault="00E268D6" w:rsidP="005E69AE">
      <w:pPr>
        <w:spacing w:line="276" w:lineRule="auto"/>
        <w:rPr>
          <w:rFonts w:ascii="Calibri" w:eastAsia="Calibri" w:hAnsi="Calibri" w:cs="Calibri"/>
          <w:b/>
          <w:bCs/>
          <w:sz w:val="23"/>
          <w:szCs w:val="23"/>
        </w:rPr>
      </w:pPr>
      <w:r w:rsidRPr="359636AC">
        <w:rPr>
          <w:rFonts w:ascii="Calibri" w:eastAsia="Calibri" w:hAnsi="Calibri" w:cs="Calibri"/>
          <w:sz w:val="23"/>
          <w:szCs w:val="23"/>
        </w:rPr>
        <w:t>Geelong (</w:t>
      </w:r>
      <w:bookmarkStart w:id="4" w:name="_Hlk70863253"/>
      <w:r w:rsidRPr="359636AC">
        <w:rPr>
          <w:rFonts w:ascii="Calibri" w:eastAsia="Calibri" w:hAnsi="Calibri" w:cs="Calibri"/>
          <w:sz w:val="23"/>
          <w:szCs w:val="23"/>
        </w:rPr>
        <w:t>April 2019–present)</w:t>
      </w:r>
      <w:bookmarkEnd w:id="1"/>
      <w:bookmarkEnd w:id="4"/>
    </w:p>
    <w:p w14:paraId="38A878C5" w14:textId="77777777" w:rsidR="00E268D6" w:rsidRPr="00E268D6" w:rsidRDefault="00E268D6" w:rsidP="00E268D6">
      <w:pPr>
        <w:spacing w:after="0"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 xml:space="preserve">Main Practice Domain(s):          </w:t>
      </w:r>
      <w:r w:rsidRPr="00E268D6">
        <w:rPr>
          <w:rFonts w:cstheme="minorHAnsi"/>
          <w:b/>
          <w:bCs/>
          <w:color w:val="595959" w:themeColor="text1" w:themeTint="A6"/>
          <w:sz w:val="23"/>
          <w:szCs w:val="23"/>
        </w:rPr>
        <w:tab/>
        <w:t xml:space="preserve">Housing, Health and Wellbeing </w:t>
      </w:r>
    </w:p>
    <w:p w14:paraId="250F49C5" w14:textId="7CFB0332" w:rsidR="00E268D6" w:rsidRPr="00E268D6" w:rsidRDefault="00E268D6" w:rsidP="00E268D6">
      <w:pPr>
        <w:spacing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Secondary Practice Domain(s):</w:t>
      </w:r>
      <w:r w:rsidRPr="00E268D6">
        <w:rPr>
          <w:rFonts w:cstheme="minorHAnsi"/>
          <w:b/>
          <w:bCs/>
          <w:color w:val="595959" w:themeColor="text1" w:themeTint="A6"/>
          <w:sz w:val="23"/>
          <w:szCs w:val="23"/>
        </w:rPr>
        <w:tab/>
        <w:t xml:space="preserve">Liveability </w:t>
      </w:r>
    </w:p>
    <w:p w14:paraId="1A7512FE" w14:textId="44B683AF" w:rsidR="00E268D6" w:rsidRPr="00E268D6" w:rsidRDefault="00E268D6" w:rsidP="005E69AE">
      <w:pPr>
        <w:spacing w:line="276" w:lineRule="auto"/>
        <w:rPr>
          <w:rFonts w:ascii="Calibri Light" w:eastAsia="Calibri Light" w:hAnsi="Calibri Light" w:cs="Calibri Light"/>
          <w:color w:val="000000" w:themeColor="text1"/>
          <w:sz w:val="23"/>
          <w:szCs w:val="23"/>
        </w:rPr>
      </w:pPr>
      <w:r w:rsidRPr="009B5016">
        <w:rPr>
          <w:rFonts w:ascii="Calibri Light" w:eastAsia="Calibri Light" w:hAnsi="Calibri Light" w:cs="Calibri Light"/>
          <w:color w:val="000000" w:themeColor="text1"/>
          <w:sz w:val="23"/>
          <w:szCs w:val="23"/>
        </w:rPr>
        <w:t>Towards Home Plus is a holistic support and service program for people experiencing homelessness in the Geelong area. It also runs in Frankston. Supported by the Victorian Government, it is delivered by Neami National, with partners Launch Housing, Wathaurong Aboriginal Co-op, Uniting Care ReGen, Bolton Clarke, and Melbourne City Mission. Neami National is a community-based organisation providing services to improve mental health and wellbeing in localities across Australia (Neami, n.d.).</w:t>
      </w:r>
    </w:p>
    <w:p w14:paraId="2ADAECBB" w14:textId="28E6A76B" w:rsidR="00E268D6" w:rsidRPr="00E268D6" w:rsidRDefault="00E268D6" w:rsidP="005E69AE">
      <w:pPr>
        <w:spacing w:line="276" w:lineRule="auto"/>
        <w:rPr>
          <w:rFonts w:ascii="Calibri Light" w:eastAsia="Calibri Light" w:hAnsi="Calibri Light" w:cs="Calibri Light"/>
          <w:color w:val="000000" w:themeColor="text1"/>
          <w:sz w:val="23"/>
          <w:szCs w:val="23"/>
        </w:rPr>
      </w:pPr>
      <w:r w:rsidRPr="009B5016">
        <w:rPr>
          <w:rFonts w:ascii="Calibri Light" w:eastAsia="Calibri Light" w:hAnsi="Calibri Light" w:cs="Calibri Light"/>
          <w:color w:val="000000" w:themeColor="text1"/>
          <w:sz w:val="23"/>
          <w:szCs w:val="23"/>
        </w:rPr>
        <w:t>Based on the highly regarded Housing First Model and the Collaborative Recovery Model, the Towards Home Plus program uses person-centred coaching and a shared care approach to support people sleeping rough to obtain and maintain secure housing. The program provides intensive, flexible, and responsive client-focused support to assist people to sustain housing, improve their mental and physical health, and develop social connections within the local community.</w:t>
      </w:r>
    </w:p>
    <w:p w14:paraId="2BB88273" w14:textId="77777777" w:rsidR="00E268D6" w:rsidRPr="009B5016" w:rsidRDefault="00E268D6" w:rsidP="005E69AE">
      <w:pPr>
        <w:spacing w:line="276" w:lineRule="auto"/>
        <w:rPr>
          <w:b/>
          <w:bCs/>
        </w:rPr>
      </w:pPr>
      <w:r w:rsidRPr="009B5016">
        <w:rPr>
          <w:rFonts w:ascii="Calibri Light" w:eastAsia="Calibri Light" w:hAnsi="Calibri Light" w:cs="Calibri Light"/>
          <w:color w:val="000000" w:themeColor="text1"/>
          <w:sz w:val="23"/>
          <w:szCs w:val="23"/>
        </w:rPr>
        <w:t>Teams are multi-disciplinary, with outreach workers, peer support workers, youth workers, Aboriginal and Torres Strait Islander health practitioners, and alcohol and other drug workers all involved in delivering support. As of August 2020, the program had helped house 112 rough sleepers over the previous 18-month period.</w:t>
      </w:r>
      <w:r w:rsidRPr="009B5016">
        <w:t xml:space="preserve"> </w:t>
      </w:r>
      <w:r w:rsidRPr="009B5016">
        <w:rPr>
          <w:rFonts w:ascii="Calibri Light" w:eastAsia="Calibri Light" w:hAnsi="Calibri Light" w:cs="Calibri Light"/>
          <w:color w:val="000000" w:themeColor="text1"/>
          <w:sz w:val="23"/>
          <w:szCs w:val="23"/>
        </w:rPr>
        <w:t>Three key teams deliver the Towards Home Plus program:</w:t>
      </w:r>
    </w:p>
    <w:p w14:paraId="60713850" w14:textId="77777777" w:rsidR="00E268D6" w:rsidRPr="009B5016" w:rsidRDefault="00E268D6" w:rsidP="00470DE2">
      <w:pPr>
        <w:pStyle w:val="ListParagraph"/>
        <w:numPr>
          <w:ilvl w:val="0"/>
          <w:numId w:val="1"/>
        </w:numPr>
        <w:spacing w:after="120" w:line="276" w:lineRule="auto"/>
        <w:ind w:left="357" w:hanging="357"/>
        <w:contextualSpacing w:val="0"/>
        <w:rPr>
          <w:rFonts w:eastAsiaTheme="minorEastAsia"/>
          <w:b/>
          <w:bCs/>
          <w:color w:val="000000" w:themeColor="text1"/>
          <w:sz w:val="23"/>
          <w:szCs w:val="23"/>
        </w:rPr>
      </w:pPr>
      <w:r w:rsidRPr="009B5016">
        <w:rPr>
          <w:rFonts w:ascii="Calibri Light" w:eastAsia="Calibri Light" w:hAnsi="Calibri Light" w:cs="Calibri Light"/>
          <w:color w:val="000000" w:themeColor="text1"/>
          <w:sz w:val="23"/>
          <w:szCs w:val="23"/>
        </w:rPr>
        <w:t xml:space="preserve">Assertive Outreach Team works closely with City of Greater Geelong and local police as part of the street outreach component to identify rough sleepers. Interventions are used to provide access to emergency accommodation, health services and accommodation. </w:t>
      </w:r>
    </w:p>
    <w:p w14:paraId="728A3A4A" w14:textId="77777777" w:rsidR="00E268D6" w:rsidRPr="009B5016" w:rsidRDefault="00E268D6" w:rsidP="00470DE2">
      <w:pPr>
        <w:pStyle w:val="ListParagraph"/>
        <w:numPr>
          <w:ilvl w:val="0"/>
          <w:numId w:val="1"/>
        </w:numPr>
        <w:spacing w:after="120" w:line="276" w:lineRule="auto"/>
        <w:ind w:left="357" w:hanging="357"/>
        <w:contextualSpacing w:val="0"/>
        <w:rPr>
          <w:rFonts w:eastAsiaTheme="minorEastAsia"/>
          <w:b/>
          <w:bCs/>
          <w:color w:val="000000" w:themeColor="text1"/>
          <w:sz w:val="23"/>
          <w:szCs w:val="23"/>
        </w:rPr>
      </w:pPr>
      <w:r w:rsidRPr="009B5016">
        <w:rPr>
          <w:rFonts w:ascii="Calibri Light" w:eastAsia="Calibri Light" w:hAnsi="Calibri Light" w:cs="Calibri Light"/>
          <w:color w:val="000000" w:themeColor="text1"/>
          <w:sz w:val="23"/>
          <w:szCs w:val="23"/>
        </w:rPr>
        <w:t xml:space="preserve">Supportive Housing Team works with clients to provide wrap-around support such as daily living skills, social activity participation, and case management. </w:t>
      </w:r>
    </w:p>
    <w:p w14:paraId="441BCAC7" w14:textId="5AA3C66B" w:rsidR="00E268D6" w:rsidRPr="00E268D6" w:rsidRDefault="00E268D6" w:rsidP="00470DE2">
      <w:pPr>
        <w:pStyle w:val="ListParagraph"/>
        <w:numPr>
          <w:ilvl w:val="0"/>
          <w:numId w:val="1"/>
        </w:numPr>
        <w:spacing w:after="240" w:line="276" w:lineRule="auto"/>
        <w:ind w:left="357" w:hanging="357"/>
        <w:contextualSpacing w:val="0"/>
        <w:rPr>
          <w:rFonts w:eastAsiaTheme="minorEastAsia"/>
          <w:b/>
          <w:bCs/>
          <w:color w:val="000000" w:themeColor="text1"/>
          <w:sz w:val="23"/>
          <w:szCs w:val="23"/>
        </w:rPr>
      </w:pPr>
      <w:r w:rsidRPr="009B5016">
        <w:rPr>
          <w:rFonts w:ascii="Calibri Light" w:eastAsia="Calibri Light" w:hAnsi="Calibri Light" w:cs="Calibri Light"/>
          <w:color w:val="000000" w:themeColor="text1"/>
          <w:sz w:val="23"/>
          <w:szCs w:val="23"/>
        </w:rPr>
        <w:t>Modular Units Team works with residents to support transition into sustainable long-term housing. Seven modular units are available in Norlane, providing accommodation for up to two years (Heagney, 2019).</w:t>
      </w:r>
    </w:p>
    <w:p w14:paraId="00703E29" w14:textId="333FBA56" w:rsidR="00E268D6" w:rsidRDefault="00E268D6" w:rsidP="000E3118">
      <w:pPr>
        <w:spacing w:line="276" w:lineRule="auto"/>
        <w:rPr>
          <w:rFonts w:ascii="Calibri Light" w:eastAsia="Calibri Light" w:hAnsi="Calibri Light" w:cs="Calibri Light"/>
          <w:color w:val="000000" w:themeColor="text1"/>
          <w:sz w:val="23"/>
          <w:szCs w:val="23"/>
        </w:rPr>
      </w:pPr>
      <w:r w:rsidRPr="009B5016">
        <w:rPr>
          <w:rFonts w:ascii="Calibri Light" w:eastAsia="Calibri Light" w:hAnsi="Calibri Light" w:cs="Calibri Light"/>
          <w:color w:val="000000" w:themeColor="text1"/>
          <w:sz w:val="23"/>
          <w:szCs w:val="23"/>
        </w:rPr>
        <w:t>Neami National also provides support via its Services and Treatment for Enduring and Persistent Mental Illness (STEPMI) program, running in Geelong and other regional Victorian locations (STEPMI, 2021).</w:t>
      </w:r>
    </w:p>
    <w:p w14:paraId="2EDC3C93" w14:textId="59F0CCED" w:rsidR="000E3118" w:rsidRDefault="000E3118" w:rsidP="000E3118">
      <w:pPr>
        <w:spacing w:line="276" w:lineRule="auto"/>
        <w:rPr>
          <w:rFonts w:ascii="Calibri Light" w:eastAsia="Calibri Light" w:hAnsi="Calibri Light" w:cs="Calibri Light"/>
          <w:color w:val="000000" w:themeColor="text1"/>
          <w:sz w:val="23"/>
          <w:szCs w:val="23"/>
        </w:rPr>
      </w:pPr>
    </w:p>
    <w:p w14:paraId="05F285B4" w14:textId="29CA4D20" w:rsidR="000E3118" w:rsidRDefault="000E3118" w:rsidP="000E3118">
      <w:pPr>
        <w:spacing w:line="276" w:lineRule="auto"/>
        <w:rPr>
          <w:rFonts w:ascii="Calibri Light" w:eastAsia="Calibri Light" w:hAnsi="Calibri Light" w:cs="Calibri Light"/>
          <w:color w:val="000000" w:themeColor="text1"/>
          <w:sz w:val="23"/>
          <w:szCs w:val="23"/>
        </w:rPr>
      </w:pPr>
    </w:p>
    <w:p w14:paraId="50FD8091" w14:textId="77777777" w:rsidR="000E3118" w:rsidRPr="000E3118" w:rsidRDefault="000E3118" w:rsidP="000E3118">
      <w:pPr>
        <w:spacing w:line="276" w:lineRule="auto"/>
        <w:rPr>
          <w:b/>
          <w:bCs/>
        </w:rPr>
      </w:pPr>
    </w:p>
    <w:p w14:paraId="6D0D5F1E" w14:textId="77777777" w:rsidR="00E268D6" w:rsidRPr="00BE7B3A" w:rsidRDefault="00E268D6" w:rsidP="00E268D6">
      <w:pPr>
        <w:pStyle w:val="Heading2"/>
        <w:rPr>
          <w:b/>
          <w:bCs/>
        </w:rPr>
      </w:pPr>
      <w:bookmarkStart w:id="5" w:name="_Toc108186436"/>
      <w:bookmarkStart w:id="6" w:name="_Hlk70863653"/>
      <w:r w:rsidRPr="359636AC">
        <w:lastRenderedPageBreak/>
        <w:t xml:space="preserve">Neighbourhood Renewal Program: Place-Based Initiative </w:t>
      </w:r>
      <w:r>
        <w:t>t</w:t>
      </w:r>
      <w:r w:rsidRPr="359636AC">
        <w:t>o Tackle Locational Disadvantage</w:t>
      </w:r>
      <w:bookmarkEnd w:id="5"/>
    </w:p>
    <w:p w14:paraId="66A0F6E8" w14:textId="57FFD92D" w:rsidR="00E268D6" w:rsidRPr="00E268D6" w:rsidRDefault="00E268D6" w:rsidP="005E69AE">
      <w:pPr>
        <w:spacing w:line="276" w:lineRule="auto"/>
        <w:rPr>
          <w:rFonts w:cstheme="majorBidi"/>
          <w:b/>
          <w:bCs/>
          <w:sz w:val="23"/>
          <w:szCs w:val="23"/>
        </w:rPr>
      </w:pPr>
      <w:r w:rsidRPr="359636AC">
        <w:rPr>
          <w:rFonts w:cstheme="majorBidi"/>
          <w:sz w:val="23"/>
          <w:szCs w:val="23"/>
        </w:rPr>
        <w:t xml:space="preserve">Corio-Norlane (2003–2010); </w:t>
      </w:r>
      <w:r>
        <w:rPr>
          <w:rFonts w:cstheme="majorBidi"/>
          <w:sz w:val="23"/>
          <w:szCs w:val="23"/>
        </w:rPr>
        <w:t>20</w:t>
      </w:r>
      <w:r w:rsidRPr="359636AC">
        <w:rPr>
          <w:rFonts w:cstheme="majorBidi"/>
          <w:sz w:val="23"/>
          <w:szCs w:val="23"/>
        </w:rPr>
        <w:t xml:space="preserve"> other sites across Victoria (2002–2010)</w:t>
      </w:r>
      <w:bookmarkEnd w:id="6"/>
    </w:p>
    <w:p w14:paraId="053AB01D" w14:textId="784E0609" w:rsidR="00E268D6" w:rsidRPr="00E268D6" w:rsidRDefault="00E268D6" w:rsidP="005E69AE">
      <w:pPr>
        <w:spacing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All Practice Domains: Employment, Education, Housing, Liveability, Health and Wellbeing</w:t>
      </w:r>
    </w:p>
    <w:p w14:paraId="35BA7FE5" w14:textId="644A8F43" w:rsidR="00E268D6" w:rsidRPr="009B5016" w:rsidRDefault="00E268D6" w:rsidP="005E69AE">
      <w:pPr>
        <w:spacing w:line="276" w:lineRule="auto"/>
        <w:rPr>
          <w:rFonts w:asciiTheme="majorHAnsi" w:hAnsiTheme="majorHAnsi" w:cstheme="majorBidi"/>
          <w:b/>
          <w:bCs/>
          <w:sz w:val="23"/>
          <w:szCs w:val="23"/>
        </w:rPr>
      </w:pPr>
      <w:r w:rsidRPr="009B5016">
        <w:rPr>
          <w:rFonts w:asciiTheme="majorHAnsi" w:hAnsiTheme="majorHAnsi" w:cstheme="majorBidi"/>
          <w:sz w:val="23"/>
          <w:szCs w:val="23"/>
        </w:rPr>
        <w:t>The Neighbourhood Renewal Program (NRP) was a Victorian State Government initiative that sought to narrow the gap between communities affected by disadvantage and the rest of Victoria (Victorian Government, 2007). Its broad goals were socioeconomic inclusion, social cohesion, and urban renewal. The program ran in 21 areas with concentrations of poverty, unemployment and public housing. As we have noted, Corio–Norlane was one target site (see Section 2, p. 21, and Section 3, p. 49).</w:t>
      </w:r>
    </w:p>
    <w:p w14:paraId="1936D7F0" w14:textId="1B66F142" w:rsidR="00E268D6" w:rsidRPr="009B5016" w:rsidRDefault="00E268D6" w:rsidP="005E69AE">
      <w:pPr>
        <w:spacing w:line="276" w:lineRule="auto"/>
        <w:rPr>
          <w:rFonts w:asciiTheme="majorHAnsi" w:hAnsiTheme="majorHAnsi" w:cstheme="majorBidi"/>
          <w:b/>
          <w:bCs/>
          <w:sz w:val="23"/>
          <w:szCs w:val="23"/>
        </w:rPr>
      </w:pPr>
      <w:r w:rsidRPr="009B5016">
        <w:rPr>
          <w:rFonts w:asciiTheme="majorHAnsi" w:hAnsiTheme="majorHAnsi" w:cstheme="majorBidi"/>
          <w:sz w:val="23"/>
          <w:szCs w:val="23"/>
        </w:rPr>
        <w:t>The NRP sought to target the drivers of inequality (Klein &amp; Knowles, 2005: 3). Its primary goal was to increase local employment, learning and economic activity, but it also aimed to improve service delivery and access, enhance public housing and local amenities, boost community pride and participation, reduce crime, and promote health and wellbeing. Key priorities were early intervention and tackling intergenerational poverty. Comparable overseas initiatives include the New Deal for Communities program (UK), established in 1998 by Tony Blair.</w:t>
      </w:r>
    </w:p>
    <w:p w14:paraId="68FEE3BA" w14:textId="57422460" w:rsidR="00E268D6" w:rsidRPr="009B5016" w:rsidRDefault="00E268D6" w:rsidP="005E69AE">
      <w:pPr>
        <w:spacing w:line="276" w:lineRule="auto"/>
        <w:rPr>
          <w:rFonts w:asciiTheme="majorHAnsi" w:hAnsiTheme="majorHAnsi" w:cstheme="majorBidi"/>
          <w:b/>
          <w:bCs/>
          <w:sz w:val="23"/>
          <w:szCs w:val="23"/>
        </w:rPr>
      </w:pPr>
      <w:r w:rsidRPr="009B5016">
        <w:rPr>
          <w:rFonts w:asciiTheme="majorHAnsi" w:hAnsiTheme="majorHAnsi" w:cstheme="majorBidi"/>
          <w:sz w:val="23"/>
          <w:szCs w:val="23"/>
        </w:rPr>
        <w:t>Built around “place-based partnerships” between government, the community sector, business and local communities, the NRP took a whole-of-government approach. While state-funded, the program was tailored closely to the needs of local communities. Small teams oversaw a range of sub-projects designed to manifest at neighbourhood level. Key initiatives included targeted employment programs (skills registers, “one-stop” job shops for public housing tenants), learning and capacity-building projects (disengaged youth initiative, homework clubs, community IT hubs), social enterprises (catering companies, cafes), new community infrastructure and safety improvements (basketball courts, community gardens, local park and social housing upgrades, bus route variations, demolition of “unsafe” public spaces).</w:t>
      </w:r>
    </w:p>
    <w:p w14:paraId="01C9BEA7" w14:textId="4BB7A4D5" w:rsidR="00E268D6" w:rsidRPr="00E268D6" w:rsidRDefault="00E268D6" w:rsidP="005E69AE">
      <w:pPr>
        <w:spacing w:line="276" w:lineRule="auto"/>
        <w:rPr>
          <w:rFonts w:asciiTheme="majorHAnsi" w:hAnsiTheme="majorHAnsi" w:cstheme="majorBidi"/>
          <w:b/>
          <w:bCs/>
          <w:sz w:val="23"/>
          <w:szCs w:val="23"/>
        </w:rPr>
      </w:pPr>
      <w:r w:rsidRPr="009B5016">
        <w:rPr>
          <w:rFonts w:asciiTheme="majorHAnsi" w:hAnsiTheme="majorHAnsi" w:cstheme="majorBidi"/>
          <w:sz w:val="23"/>
          <w:szCs w:val="23"/>
        </w:rPr>
        <w:t>As discussed in Section 3, benefits of the NRP varied by area, but overall outcomes were positive (Wood &amp; Cigdem, 2012: 6). The program was found to reduce</w:t>
      </w:r>
      <w:r w:rsidRPr="009B5016">
        <w:t xml:space="preserve"> </w:t>
      </w:r>
      <w:r w:rsidRPr="009B5016">
        <w:rPr>
          <w:rFonts w:asciiTheme="majorHAnsi" w:hAnsiTheme="majorHAnsi" w:cstheme="majorBidi"/>
          <w:sz w:val="23"/>
          <w:szCs w:val="23"/>
        </w:rPr>
        <w:t>disadvantage, social exclusion, unemployment, crime, and school absenteeism, and increased further education qualifications,</w:t>
      </w:r>
      <w:r w:rsidRPr="009B5016">
        <w:t xml:space="preserve"> </w:t>
      </w:r>
      <w:r w:rsidRPr="009B5016">
        <w:rPr>
          <w:rFonts w:asciiTheme="majorHAnsi" w:hAnsiTheme="majorHAnsi" w:cstheme="majorBidi"/>
          <w:sz w:val="23"/>
          <w:szCs w:val="23"/>
        </w:rPr>
        <w:t>community participation, and</w:t>
      </w:r>
      <w:r w:rsidRPr="009B5016">
        <w:t xml:space="preserve"> </w:t>
      </w:r>
      <w:r w:rsidRPr="009B5016">
        <w:rPr>
          <w:rFonts w:asciiTheme="majorHAnsi" w:hAnsiTheme="majorHAnsi" w:cstheme="majorBidi"/>
          <w:sz w:val="23"/>
          <w:szCs w:val="23"/>
        </w:rPr>
        <w:t xml:space="preserve">housing conditions (Neighbourhood Renewal Unit 2008: 1). </w:t>
      </w:r>
      <w:hyperlink r:id="rId8" w:history="1">
        <w:r w:rsidRPr="009B5016">
          <w:rPr>
            <w:rStyle w:val="Hyperlink"/>
            <w:rFonts w:asciiTheme="majorHAnsi" w:hAnsiTheme="majorHAnsi" w:cstheme="majorBidi"/>
            <w:sz w:val="23"/>
            <w:szCs w:val="23"/>
          </w:rPr>
          <w:t>One evaluation</w:t>
        </w:r>
      </w:hyperlink>
      <w:r w:rsidRPr="009B5016">
        <w:rPr>
          <w:rFonts w:asciiTheme="majorHAnsi" w:hAnsiTheme="majorHAnsi" w:cstheme="majorBidi"/>
          <w:sz w:val="23"/>
          <w:szCs w:val="23"/>
        </w:rPr>
        <w:t xml:space="preserve"> found no area-wide health </w:t>
      </w:r>
      <w:r w:rsidR="00470DE2" w:rsidRPr="009B5016">
        <w:rPr>
          <w:rFonts w:asciiTheme="majorHAnsi" w:hAnsiTheme="majorHAnsi" w:cstheme="majorBidi"/>
          <w:sz w:val="23"/>
          <w:szCs w:val="23"/>
        </w:rPr>
        <w:t>effects but</w:t>
      </w:r>
      <w:r w:rsidRPr="009B5016">
        <w:rPr>
          <w:rFonts w:asciiTheme="majorHAnsi" w:hAnsiTheme="majorHAnsi" w:cstheme="majorBidi"/>
          <w:sz w:val="23"/>
          <w:szCs w:val="23"/>
        </w:rPr>
        <w:t xml:space="preserve"> noted improved health and life satisfaction amongst program participants (Kelaher et al, 2010). </w:t>
      </w:r>
    </w:p>
    <w:p w14:paraId="2CA1B685" w14:textId="389D635B" w:rsidR="00E268D6" w:rsidRPr="00E268D6" w:rsidRDefault="00E268D6" w:rsidP="005E69AE">
      <w:pPr>
        <w:spacing w:line="276" w:lineRule="auto"/>
        <w:rPr>
          <w:rFonts w:asciiTheme="majorHAnsi" w:hAnsiTheme="majorHAnsi" w:cstheme="majorBidi"/>
          <w:b/>
          <w:bCs/>
          <w:sz w:val="23"/>
          <w:szCs w:val="23"/>
          <w:shd w:val="clear" w:color="auto" w:fill="FFFFFF"/>
        </w:rPr>
      </w:pPr>
      <w:r w:rsidRPr="009B5016">
        <w:rPr>
          <w:rFonts w:asciiTheme="majorHAnsi" w:hAnsiTheme="majorHAnsi" w:cstheme="majorBidi"/>
          <w:sz w:val="23"/>
          <w:szCs w:val="23"/>
        </w:rPr>
        <w:t xml:space="preserve">In one study Corio Norlane residents </w:t>
      </w:r>
      <w:hyperlink r:id="rId9">
        <w:r w:rsidRPr="009B5016">
          <w:rPr>
            <w:rStyle w:val="Hyperlink"/>
            <w:rFonts w:asciiTheme="majorHAnsi" w:hAnsiTheme="majorHAnsi" w:cstheme="majorBidi"/>
            <w:sz w:val="23"/>
            <w:szCs w:val="23"/>
          </w:rPr>
          <w:t>reported</w:t>
        </w:r>
      </w:hyperlink>
      <w:r w:rsidRPr="009B5016">
        <w:rPr>
          <w:rFonts w:asciiTheme="majorHAnsi" w:hAnsiTheme="majorHAnsi" w:cstheme="majorBidi"/>
          <w:sz w:val="23"/>
          <w:szCs w:val="23"/>
        </w:rPr>
        <w:t xml:space="preserve"> greater trust in government, increased feelings of influence over decisions affecting the community, and improved community participation (Shield et al, 2011). The NRP generated an average return of $2.20 in non-housing benefits for every $1 spent on renewal. However, it also raised house prices in some areas (Wood, 2014). As noted in Section 3, the gentrification effect of NR programs may </w:t>
      </w:r>
      <w:r w:rsidR="00470DE2">
        <w:rPr>
          <w:rFonts w:asciiTheme="majorHAnsi" w:hAnsiTheme="majorHAnsi" w:cstheme="majorBidi"/>
          <w:sz w:val="23"/>
          <w:szCs w:val="23"/>
        </w:rPr>
        <w:t xml:space="preserve">have </w:t>
      </w:r>
      <w:r w:rsidR="00470DE2" w:rsidRPr="009B5016">
        <w:rPr>
          <w:rFonts w:asciiTheme="majorHAnsi" w:hAnsiTheme="majorHAnsi" w:cstheme="majorBidi"/>
          <w:sz w:val="23"/>
          <w:szCs w:val="23"/>
        </w:rPr>
        <w:t>decrease</w:t>
      </w:r>
      <w:r w:rsidR="00470DE2">
        <w:rPr>
          <w:rFonts w:asciiTheme="majorHAnsi" w:hAnsiTheme="majorHAnsi" w:cstheme="majorBidi"/>
          <w:sz w:val="23"/>
          <w:szCs w:val="23"/>
        </w:rPr>
        <w:t>d</w:t>
      </w:r>
      <w:r w:rsidRPr="009B5016">
        <w:rPr>
          <w:rFonts w:asciiTheme="majorHAnsi" w:hAnsiTheme="majorHAnsi" w:cstheme="majorBidi"/>
          <w:sz w:val="23"/>
          <w:szCs w:val="23"/>
        </w:rPr>
        <w:t xml:space="preserve"> housing affordability and exacerbate disadvantage amongst local communities.</w:t>
      </w:r>
    </w:p>
    <w:p w14:paraId="52E3EA5A" w14:textId="77777777" w:rsidR="00E268D6" w:rsidRPr="009B5016" w:rsidRDefault="00E268D6" w:rsidP="005E69AE">
      <w:pPr>
        <w:spacing w:line="276" w:lineRule="auto"/>
        <w:rPr>
          <w:rFonts w:asciiTheme="majorHAnsi" w:hAnsiTheme="majorHAnsi" w:cstheme="majorBidi"/>
          <w:b/>
          <w:bCs/>
          <w:sz w:val="23"/>
          <w:szCs w:val="23"/>
          <w:shd w:val="clear" w:color="auto" w:fill="FFFFFF"/>
        </w:rPr>
      </w:pPr>
      <w:r w:rsidRPr="009B5016">
        <w:rPr>
          <w:rFonts w:asciiTheme="majorHAnsi" w:hAnsiTheme="majorHAnsi" w:cstheme="majorBidi"/>
          <w:sz w:val="23"/>
          <w:szCs w:val="23"/>
        </w:rPr>
        <w:t>Over eight years the NRP spawned numerous local projects. Not all were documented, but two small-scale arts initiatives run in one target site are profiled below.</w:t>
      </w:r>
    </w:p>
    <w:p w14:paraId="0CA256F7" w14:textId="2F3670FB" w:rsidR="00E268D6" w:rsidRPr="00470DE2" w:rsidRDefault="00E268D6" w:rsidP="00E268D6">
      <w:pPr>
        <w:pStyle w:val="Heading1"/>
        <w:rPr>
          <w:rFonts w:eastAsia="Calibri Light"/>
          <w:b/>
          <w:bCs/>
        </w:rPr>
      </w:pPr>
      <w:bookmarkStart w:id="7" w:name="_Toc108186437"/>
      <w:r w:rsidRPr="00470DE2">
        <w:rPr>
          <w:rFonts w:eastAsia="Calibri Light"/>
          <w:b/>
          <w:bCs/>
        </w:rPr>
        <w:lastRenderedPageBreak/>
        <w:t>New South Wales</w:t>
      </w:r>
      <w:bookmarkEnd w:id="7"/>
    </w:p>
    <w:p w14:paraId="4AEEF428" w14:textId="77777777" w:rsidR="00E268D6" w:rsidRDefault="00E268D6" w:rsidP="00E268D6">
      <w:pPr>
        <w:pStyle w:val="Heading2"/>
      </w:pPr>
      <w:bookmarkStart w:id="8" w:name="_Toc108186438"/>
      <w:bookmarkStart w:id="9" w:name="_Hlk70863784"/>
      <w:r w:rsidRPr="2B116086">
        <w:rPr>
          <w:rFonts w:eastAsia="Calibri"/>
        </w:rPr>
        <w:t xml:space="preserve">The Digital Age Project: Digital Inclusion </w:t>
      </w:r>
      <w:r>
        <w:rPr>
          <w:rFonts w:eastAsia="Calibri"/>
        </w:rPr>
        <w:t>f</w:t>
      </w:r>
      <w:r w:rsidRPr="2B116086">
        <w:rPr>
          <w:rFonts w:eastAsia="Calibri"/>
        </w:rPr>
        <w:t>or Older Social Housing Residents</w:t>
      </w:r>
      <w:bookmarkEnd w:id="8"/>
    </w:p>
    <w:p w14:paraId="0A2C6A05" w14:textId="2F4241AA" w:rsidR="00E268D6" w:rsidRPr="00E268D6" w:rsidRDefault="00E268D6" w:rsidP="005E69AE">
      <w:pPr>
        <w:spacing w:line="276" w:lineRule="auto"/>
        <w:rPr>
          <w:rFonts w:ascii="Calibri" w:eastAsia="Calibri" w:hAnsi="Calibri" w:cs="Calibri"/>
          <w:b/>
          <w:bCs/>
          <w:sz w:val="23"/>
          <w:szCs w:val="23"/>
        </w:rPr>
      </w:pPr>
      <w:r w:rsidRPr="27ED1008">
        <w:rPr>
          <w:rFonts w:ascii="Calibri" w:eastAsia="Calibri" w:hAnsi="Calibri" w:cs="Calibri"/>
          <w:sz w:val="23"/>
          <w:szCs w:val="23"/>
        </w:rPr>
        <w:t>Coffs Harbour, regional NSW (2014–2015)</w:t>
      </w:r>
      <w:bookmarkEnd w:id="9"/>
    </w:p>
    <w:p w14:paraId="64EC0ACB" w14:textId="77777777" w:rsidR="00E268D6" w:rsidRPr="00E268D6" w:rsidRDefault="00E268D6" w:rsidP="00E268D6">
      <w:pPr>
        <w:spacing w:after="0"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Main Practice Domain(s):</w:t>
      </w:r>
      <w:r w:rsidRPr="00E268D6">
        <w:rPr>
          <w:rFonts w:cstheme="minorHAnsi"/>
          <w:b/>
          <w:bCs/>
          <w:color w:val="595959" w:themeColor="text1" w:themeTint="A6"/>
          <w:sz w:val="23"/>
          <w:szCs w:val="23"/>
        </w:rPr>
        <w:tab/>
      </w:r>
      <w:r w:rsidRPr="00E268D6">
        <w:rPr>
          <w:rFonts w:cstheme="minorHAnsi"/>
          <w:b/>
          <w:bCs/>
          <w:color w:val="595959" w:themeColor="text1" w:themeTint="A6"/>
          <w:sz w:val="23"/>
          <w:szCs w:val="23"/>
        </w:rPr>
        <w:tab/>
        <w:t xml:space="preserve"> Education, Health and Wellbeing</w:t>
      </w:r>
    </w:p>
    <w:p w14:paraId="62163A61" w14:textId="272F34FE" w:rsidR="00E268D6" w:rsidRPr="00E268D6" w:rsidRDefault="00E268D6" w:rsidP="005E69AE">
      <w:pPr>
        <w:spacing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Secondary Practice Domain(s):</w:t>
      </w:r>
      <w:r w:rsidRPr="00E268D6">
        <w:rPr>
          <w:rFonts w:cstheme="minorHAnsi"/>
          <w:b/>
          <w:bCs/>
          <w:color w:val="595959" w:themeColor="text1" w:themeTint="A6"/>
          <w:sz w:val="23"/>
          <w:szCs w:val="23"/>
        </w:rPr>
        <w:tab/>
        <w:t>Housing, Liveability</w:t>
      </w:r>
    </w:p>
    <w:p w14:paraId="39DA30D5" w14:textId="5910C126"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Coffs Harbour (pop. 71,000), a coastal town in regional New South Wales, became one of 14 designated National Broadband Network (NBN) release sites in July 2010. The broader Coffs Harbour LGA is not an area of significant socioeconomic disadvantage, but it does include smaller areas that rank among the most disadvantaged 10 percent in Australia (PHN North Coast, 2019).</w:t>
      </w:r>
    </w:p>
    <w:p w14:paraId="6E6558E5" w14:textId="72CEB694"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The Digital Age project was a research and engagement intervention focused on digital inclusion. It explored the issue of low technology uptake and online engagement amongst disadvantaged Australians aged over 60. Researchers at Southern Cross University staged a tailored, place-based digital intervention with older social housing tenants in Coffs Harbour. Participants generally had lower educational levels than the Australian average (Thomas et al, 2016).</w:t>
      </w:r>
    </w:p>
    <w:p w14:paraId="29A00793" w14:textId="7F3F3B8E"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The researchers sought to better understand internet use amongst older Australians living in social housing, and to devise strategies to increase their digital awareness and ability to use online health services, government news, and shopping. The project also explored how information technology skills might contribute to perceptions of social connectedness, self-efficacy, resilience, health, and wellbeing.</w:t>
      </w:r>
    </w:p>
    <w:p w14:paraId="2DCADCCC" w14:textId="37DCB717"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Three communities of older social housing tenants in Coffs Harbour took part in the program over an 18-month period. In the first eight months a five-phase intervention was used to encourage and assist participants to gain skills in technology use. Data was collected during each phase, with a participant survey completed 14 months after the program launch. Engagement strategies included a simplified portal, 24-hour access, on-site training, and building a regular social event into training activities.</w:t>
      </w:r>
    </w:p>
    <w:p w14:paraId="450AFF4D" w14:textId="2968B49D"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The project drew on Cognitive Load Theory principles to develop training materials and activities that minimised cognitive load and facilitated learning. Researchers developed a set of guidelines and recommendations for delivering effective digital education interventions (Seton et al, 2015: 3–4).</w:t>
      </w:r>
    </w:p>
    <w:p w14:paraId="51F0F3C7" w14:textId="77777777" w:rsid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 xml:space="preserve">In a </w:t>
      </w:r>
      <w:hyperlink r:id="rId10" w:history="1">
        <w:r w:rsidRPr="009B5016">
          <w:rPr>
            <w:rStyle w:val="Hyperlink"/>
            <w:rFonts w:ascii="Calibri Light" w:eastAsia="Calibri Light" w:hAnsi="Calibri Light" w:cs="Calibri Light"/>
            <w:sz w:val="23"/>
            <w:szCs w:val="23"/>
          </w:rPr>
          <w:t>program evaluation</w:t>
        </w:r>
      </w:hyperlink>
      <w:r>
        <w:rPr>
          <w:rFonts w:ascii="Calibri Light" w:eastAsia="Calibri Light" w:hAnsi="Calibri Light" w:cs="Calibri Light"/>
          <w:sz w:val="23"/>
          <w:szCs w:val="23"/>
        </w:rPr>
        <w:t xml:space="preserve"> </w:t>
      </w:r>
      <w:r w:rsidRPr="009B5016">
        <w:rPr>
          <w:rFonts w:ascii="Calibri Light" w:eastAsia="Calibri Light" w:hAnsi="Calibri Light" w:cs="Calibri Light"/>
          <w:sz w:val="23"/>
          <w:szCs w:val="23"/>
        </w:rPr>
        <w:t>undertaken by the research team, participants reported strong improvements in their experiences of new technology. More than half of the participants who completed the tailored training intervention reported improved social engagement and personal confidence. Some participants renewed contact with lost family members as a result of the program. Overall, there was a significant increase in optimism and a decrease in pessimism. There were also initial indications of improved social connectedness amongst the participant groups (Seton et al, 2015). Project partners included the CSIRO and the Australian Communications Consumer Action Network (ACCAN).</w:t>
      </w:r>
    </w:p>
    <w:p w14:paraId="23C50C16" w14:textId="4558661F" w:rsidR="00E268D6" w:rsidRPr="00470DE2" w:rsidRDefault="00E268D6" w:rsidP="00E268D6">
      <w:pPr>
        <w:pStyle w:val="Heading1"/>
        <w:rPr>
          <w:b/>
          <w:bCs/>
        </w:rPr>
      </w:pPr>
      <w:bookmarkStart w:id="10" w:name="_Toc108180700"/>
      <w:bookmarkStart w:id="11" w:name="_Toc108186439"/>
      <w:r w:rsidRPr="00470DE2">
        <w:rPr>
          <w:b/>
          <w:bCs/>
        </w:rPr>
        <w:lastRenderedPageBreak/>
        <w:t>International Case Studies</w:t>
      </w:r>
      <w:bookmarkEnd w:id="10"/>
      <w:bookmarkEnd w:id="11"/>
    </w:p>
    <w:p w14:paraId="596D65F5" w14:textId="77777777" w:rsidR="00E268D6" w:rsidRPr="009B5016" w:rsidRDefault="00E268D6" w:rsidP="00E268D6">
      <w:pPr>
        <w:pStyle w:val="Heading2"/>
        <w:rPr>
          <w:rFonts w:eastAsia="Calibri"/>
        </w:rPr>
      </w:pPr>
      <w:bookmarkStart w:id="12" w:name="_Toc108186440"/>
      <w:bookmarkStart w:id="13" w:name="_Hlk70863800"/>
      <w:r w:rsidRPr="009B5016">
        <w:rPr>
          <w:rFonts w:eastAsia="Calibri"/>
        </w:rPr>
        <w:t>Perpetrator Intervention Pilot: Tackling Domestic Violence, Preventing Homelessness</w:t>
      </w:r>
      <w:bookmarkEnd w:id="12"/>
    </w:p>
    <w:p w14:paraId="2E42DEC9" w14:textId="30E5BAE9" w:rsidR="00E268D6" w:rsidRPr="00E268D6" w:rsidRDefault="00E268D6" w:rsidP="005E69AE">
      <w:pPr>
        <w:spacing w:line="276" w:lineRule="auto"/>
        <w:rPr>
          <w:rFonts w:ascii="Calibri" w:eastAsia="Calibri" w:hAnsi="Calibri" w:cs="Calibri"/>
          <w:sz w:val="23"/>
          <w:szCs w:val="23"/>
        </w:rPr>
      </w:pPr>
      <w:r w:rsidRPr="009B5016">
        <w:rPr>
          <w:rFonts w:ascii="Calibri" w:eastAsia="Calibri" w:hAnsi="Calibri" w:cs="Calibri"/>
          <w:sz w:val="23"/>
          <w:szCs w:val="23"/>
        </w:rPr>
        <w:t>South Australia (2020–present)</w:t>
      </w:r>
      <w:bookmarkEnd w:id="13"/>
    </w:p>
    <w:p w14:paraId="5669A155" w14:textId="77777777" w:rsidR="00E268D6" w:rsidRPr="00E268D6" w:rsidRDefault="00E268D6" w:rsidP="00E268D6">
      <w:pPr>
        <w:spacing w:after="0"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Main Practice Domain(s):</w:t>
      </w:r>
      <w:r w:rsidRPr="00E268D6">
        <w:rPr>
          <w:rFonts w:cstheme="minorHAnsi"/>
          <w:b/>
          <w:bCs/>
          <w:color w:val="595959" w:themeColor="text1" w:themeTint="A6"/>
          <w:sz w:val="23"/>
          <w:szCs w:val="23"/>
        </w:rPr>
        <w:tab/>
      </w:r>
      <w:r w:rsidRPr="00E268D6">
        <w:rPr>
          <w:rFonts w:cstheme="minorHAnsi"/>
          <w:b/>
          <w:bCs/>
          <w:color w:val="595959" w:themeColor="text1" w:themeTint="A6"/>
          <w:sz w:val="23"/>
          <w:szCs w:val="23"/>
        </w:rPr>
        <w:tab/>
        <w:t>Health and Wellbeing, Housing</w:t>
      </w:r>
    </w:p>
    <w:p w14:paraId="32425A00" w14:textId="78D16D93" w:rsidR="00E268D6" w:rsidRPr="00E268D6" w:rsidRDefault="00E268D6" w:rsidP="005E69AE">
      <w:pPr>
        <w:spacing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Secondary Practice Domain(s):</w:t>
      </w:r>
      <w:r w:rsidRPr="00E268D6">
        <w:rPr>
          <w:rFonts w:cstheme="minorHAnsi"/>
          <w:b/>
          <w:bCs/>
          <w:color w:val="595959" w:themeColor="text1" w:themeTint="A6"/>
          <w:sz w:val="23"/>
          <w:szCs w:val="23"/>
        </w:rPr>
        <w:tab/>
        <w:t>Liveability</w:t>
      </w:r>
    </w:p>
    <w:p w14:paraId="6FB5477B" w14:textId="15659D03"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Family and domestic violence is the leading cause of homelessness for Australian women (FaHCSIA, 2008; Homelessness Australia, 2016). During the COVID-19 pandemic, domestic violence case numbers rose dramatically across Australia.</w:t>
      </w:r>
    </w:p>
    <w:p w14:paraId="232F10E7" w14:textId="76453243"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In 2020 the South Australian Government launched a new 12-month pilot program to tackle domestic violence. Developed with input from the family violence sector and the community, the program takes an innovative line by targeting perpetrators of domestic violence. It provides support services and a small number of dedicated beds for male perpetrators.</w:t>
      </w:r>
    </w:p>
    <w:p w14:paraId="553D5600" w14:textId="633F42FA"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 xml:space="preserve">The pilot program is based on the premise that removing perpetrators from the home leads to more stability and less disruption for victims, enabling them to stay connected with their local communities and support networks (Lensink &amp; Power, 2020). Housing advocates and domestic violence experts have welcomed the </w:t>
      </w:r>
      <w:r w:rsidR="00470DE2" w:rsidRPr="009B5016">
        <w:rPr>
          <w:rFonts w:ascii="Calibri Light" w:eastAsia="Calibri Light" w:hAnsi="Calibri Light" w:cs="Calibri Light"/>
          <w:sz w:val="23"/>
          <w:szCs w:val="23"/>
        </w:rPr>
        <w:t>initiative but</w:t>
      </w:r>
      <w:r w:rsidRPr="009B5016">
        <w:rPr>
          <w:rFonts w:ascii="Calibri Light" w:eastAsia="Calibri Light" w:hAnsi="Calibri Light" w:cs="Calibri Light"/>
          <w:sz w:val="23"/>
          <w:szCs w:val="23"/>
        </w:rPr>
        <w:t xml:space="preserve"> expressed concerns over potential increased housing stress if survivors are left to cover the full rent or mortgage on their own (Burke, 2019; Cosenza, 2020; Wendt et al, 2019).</w:t>
      </w:r>
    </w:p>
    <w:p w14:paraId="2D1931FE" w14:textId="77777777" w:rsidR="00E268D6" w:rsidRPr="009B5016" w:rsidRDefault="00E268D6" w:rsidP="005E69AE">
      <w:pPr>
        <w:spacing w:line="276" w:lineRule="auto"/>
        <w:rPr>
          <w:rFonts w:ascii="Calibri Light" w:eastAsia="Calibri Light" w:hAnsi="Calibri Light" w:cs="Calibri Light"/>
          <w:b/>
          <w:bCs/>
          <w:sz w:val="23"/>
          <w:szCs w:val="23"/>
        </w:rPr>
      </w:pPr>
      <w:r w:rsidRPr="009B5016">
        <w:rPr>
          <w:rFonts w:ascii="Calibri Light" w:eastAsia="Calibri Light" w:hAnsi="Calibri Light" w:cs="Calibri Light"/>
          <w:sz w:val="23"/>
          <w:szCs w:val="23"/>
        </w:rPr>
        <w:t>The pilot is part of a $4 million state-funded program that will deliver 40 new domestic violence crisis beds in Northern and Southern Adelaide, and in regional towns including Berri, Ceduna, Murray Bridge, Port Lincoln, and Whyalla. Nine of these beds are allocated for perpetrators. Several concurrent initiatives are also being supported by $2.4 million in Federal funding for domestic violence initiatives in South Australia (DHHS South Australia, 2020; Hanife, 2019). The new initiatives include:</w:t>
      </w:r>
    </w:p>
    <w:p w14:paraId="3A9F97A5" w14:textId="77777777" w:rsidR="00E268D6" w:rsidRPr="009B5016" w:rsidRDefault="00E268D6" w:rsidP="00470DE2">
      <w:pPr>
        <w:pStyle w:val="ListParagraph"/>
        <w:numPr>
          <w:ilvl w:val="0"/>
          <w:numId w:val="2"/>
        </w:numPr>
        <w:spacing w:after="120" w:line="276" w:lineRule="auto"/>
        <w:ind w:left="357" w:hanging="357"/>
        <w:contextualSpacing w:val="0"/>
        <w:rPr>
          <w:rFonts w:eastAsiaTheme="minorEastAsia"/>
          <w:b/>
          <w:bCs/>
          <w:sz w:val="23"/>
          <w:szCs w:val="23"/>
        </w:rPr>
      </w:pPr>
      <w:r w:rsidRPr="009B5016">
        <w:rPr>
          <w:rFonts w:ascii="Calibri Light" w:eastAsia="Calibri Light" w:hAnsi="Calibri Light" w:cs="Calibri Light"/>
          <w:sz w:val="23"/>
          <w:szCs w:val="23"/>
        </w:rPr>
        <w:t>Don’t Become That Man: aims to proactively change behaviour prior to offences through a self-assessment tool and availability of crisis accommodation. Services include phone counselling, in-person counselling, support networks, referral services, and rehabilitation programs (CityMag, 2020).</w:t>
      </w:r>
    </w:p>
    <w:p w14:paraId="17895B87" w14:textId="77777777" w:rsidR="00E268D6" w:rsidRPr="009B5016" w:rsidRDefault="00E268D6" w:rsidP="00470DE2">
      <w:pPr>
        <w:pStyle w:val="ListParagraph"/>
        <w:numPr>
          <w:ilvl w:val="0"/>
          <w:numId w:val="2"/>
        </w:numPr>
        <w:spacing w:after="120" w:line="276" w:lineRule="auto"/>
        <w:ind w:left="357" w:hanging="357"/>
        <w:contextualSpacing w:val="0"/>
        <w:rPr>
          <w:rFonts w:eastAsiaTheme="minorEastAsia"/>
          <w:b/>
          <w:bCs/>
          <w:sz w:val="23"/>
          <w:szCs w:val="23"/>
        </w:rPr>
      </w:pPr>
      <w:r w:rsidRPr="009B5016">
        <w:rPr>
          <w:rFonts w:ascii="Calibri Light" w:eastAsia="Calibri Light" w:hAnsi="Calibri Light" w:cs="Calibri Light"/>
          <w:sz w:val="23"/>
          <w:szCs w:val="23"/>
        </w:rPr>
        <w:t>24/7 Men’s Referral Line: Hotline and support service to help South Australian men address their violent or controlling behaviour.</w:t>
      </w:r>
    </w:p>
    <w:p w14:paraId="220DE202" w14:textId="2B52D7A6" w:rsidR="00E268D6" w:rsidRPr="00E268D6" w:rsidRDefault="00E268D6" w:rsidP="00470DE2">
      <w:pPr>
        <w:pStyle w:val="ListParagraph"/>
        <w:numPr>
          <w:ilvl w:val="0"/>
          <w:numId w:val="2"/>
        </w:numPr>
        <w:spacing w:line="276" w:lineRule="auto"/>
        <w:ind w:left="357" w:hanging="357"/>
        <w:contextualSpacing w:val="0"/>
        <w:rPr>
          <w:rFonts w:eastAsiaTheme="minorEastAsia"/>
          <w:b/>
          <w:bCs/>
          <w:sz w:val="23"/>
          <w:szCs w:val="23"/>
        </w:rPr>
      </w:pPr>
      <w:r w:rsidRPr="009B5016">
        <w:rPr>
          <w:rFonts w:ascii="Calibri Light" w:eastAsia="Calibri Light" w:hAnsi="Calibri Light" w:cs="Calibri Light"/>
          <w:sz w:val="23"/>
          <w:szCs w:val="23"/>
        </w:rPr>
        <w:t>Extra brokerage packages for people experiencing abuse and violence. Funds are for transport, safety upgrades to property, financial counselling, and support for children.</w:t>
      </w:r>
    </w:p>
    <w:p w14:paraId="09A42166" w14:textId="77777777" w:rsidR="00E268D6" w:rsidRPr="009B5016" w:rsidRDefault="00E268D6" w:rsidP="005E69AE">
      <w:pPr>
        <w:spacing w:line="276" w:lineRule="auto"/>
        <w:rPr>
          <w:rFonts w:asciiTheme="majorHAnsi" w:eastAsia="Times New Roman" w:hAnsiTheme="majorHAnsi" w:cstheme="majorHAnsi"/>
          <w:b/>
          <w:bCs/>
          <w:sz w:val="23"/>
          <w:szCs w:val="23"/>
          <w:shd w:val="clear" w:color="auto" w:fill="FFFFFF"/>
          <w:lang w:eastAsia="en-AU"/>
        </w:rPr>
      </w:pPr>
      <w:r w:rsidRPr="009B5016">
        <w:rPr>
          <w:rFonts w:ascii="Calibri Light" w:eastAsia="Calibri Light" w:hAnsi="Calibri Light" w:cs="Calibri Light"/>
          <w:sz w:val="23"/>
          <w:szCs w:val="23"/>
        </w:rPr>
        <w:t>The South Australian Government has also made legislative changes to the Residential Tenancies Act 1995. These changes allow victims of domestic violence to stay in their rented home and have the perpetrator leave, or for the victim to leave the rented home and their name to be removed from the rental agreement without penalty (SA.gov.au, 2018).</w:t>
      </w:r>
    </w:p>
    <w:p w14:paraId="78A20225" w14:textId="77777777" w:rsidR="00E268D6" w:rsidRDefault="00E268D6" w:rsidP="0068158D">
      <w:pPr>
        <w:rPr>
          <w:rFonts w:ascii="Calibri Light" w:eastAsia="Calibri Light" w:hAnsi="Calibri Light" w:cs="Calibri Light"/>
          <w:color w:val="000000" w:themeColor="text1"/>
          <w:sz w:val="23"/>
          <w:szCs w:val="23"/>
        </w:rPr>
      </w:pPr>
    </w:p>
    <w:p w14:paraId="7A393934" w14:textId="77777777" w:rsidR="00E268D6" w:rsidRPr="003C5947" w:rsidRDefault="00E268D6" w:rsidP="00E268D6">
      <w:pPr>
        <w:pStyle w:val="Heading2"/>
        <w:rPr>
          <w:b/>
          <w:bCs/>
        </w:rPr>
      </w:pPr>
      <w:bookmarkStart w:id="14" w:name="_Toc108186441"/>
      <w:bookmarkStart w:id="15" w:name="_Hlk70864243"/>
      <w:r w:rsidRPr="003C5947">
        <w:lastRenderedPageBreak/>
        <w:t>The Broomhill Project: Arts-led Community Regeneration</w:t>
      </w:r>
      <w:r>
        <w:t xml:space="preserve"> and Public Housing Upgrade</w:t>
      </w:r>
      <w:bookmarkEnd w:id="14"/>
    </w:p>
    <w:p w14:paraId="42AC4285" w14:textId="2427C171" w:rsidR="00E268D6" w:rsidRPr="00E268D6" w:rsidRDefault="00E268D6" w:rsidP="005E69AE">
      <w:pPr>
        <w:spacing w:line="276" w:lineRule="auto"/>
        <w:rPr>
          <w:b/>
          <w:bCs/>
          <w:sz w:val="23"/>
          <w:szCs w:val="23"/>
        </w:rPr>
      </w:pPr>
      <w:r w:rsidRPr="003C5947">
        <w:rPr>
          <w:sz w:val="23"/>
          <w:szCs w:val="23"/>
        </w:rPr>
        <w:t xml:space="preserve">Greenock, </w:t>
      </w:r>
      <w:r>
        <w:rPr>
          <w:sz w:val="23"/>
          <w:szCs w:val="23"/>
        </w:rPr>
        <w:t xml:space="preserve">Glasgow, </w:t>
      </w:r>
      <w:r w:rsidRPr="003C5947">
        <w:rPr>
          <w:sz w:val="23"/>
          <w:szCs w:val="23"/>
        </w:rPr>
        <w:t>Scotland (2015–present)</w:t>
      </w:r>
      <w:bookmarkEnd w:id="15"/>
    </w:p>
    <w:p w14:paraId="6580C7ED" w14:textId="77777777" w:rsidR="00E268D6" w:rsidRPr="00CC521D" w:rsidRDefault="00E268D6" w:rsidP="00E268D6">
      <w:pPr>
        <w:spacing w:after="0"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 xml:space="preserve">Main Practice Domain(s): </w:t>
      </w:r>
      <w:r w:rsidRPr="00E268D6">
        <w:rPr>
          <w:rFonts w:cstheme="minorHAnsi"/>
          <w:b/>
          <w:bCs/>
          <w:color w:val="595959" w:themeColor="text1" w:themeTint="A6"/>
          <w:sz w:val="23"/>
          <w:szCs w:val="23"/>
        </w:rPr>
        <w:tab/>
      </w:r>
      <w:r w:rsidRPr="00E268D6">
        <w:rPr>
          <w:rFonts w:cstheme="minorHAnsi"/>
          <w:b/>
          <w:bCs/>
          <w:color w:val="595959" w:themeColor="text1" w:themeTint="A6"/>
          <w:sz w:val="23"/>
          <w:szCs w:val="23"/>
        </w:rPr>
        <w:tab/>
        <w:t>Liveability, Housing</w:t>
      </w:r>
    </w:p>
    <w:p w14:paraId="68724707" w14:textId="0B7DF2DD" w:rsidR="00E268D6" w:rsidRPr="00E268D6" w:rsidRDefault="00E268D6" w:rsidP="00E268D6">
      <w:pPr>
        <w:spacing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 xml:space="preserve">Secondary Practice Domain(s): </w:t>
      </w:r>
      <w:r w:rsidRPr="00E268D6">
        <w:rPr>
          <w:rFonts w:cstheme="minorHAnsi"/>
          <w:b/>
          <w:bCs/>
          <w:color w:val="595959" w:themeColor="text1" w:themeTint="A6"/>
          <w:sz w:val="23"/>
          <w:szCs w:val="23"/>
        </w:rPr>
        <w:tab/>
        <w:t>Employment, Education, Health and Wellbeing</w:t>
      </w:r>
    </w:p>
    <w:p w14:paraId="5D2DD7B2" w14:textId="135EE3A0" w:rsidR="00E268D6" w:rsidRPr="00E268D6" w:rsidRDefault="00E268D6" w:rsidP="005E69AE">
      <w:pPr>
        <w:spacing w:line="276" w:lineRule="auto"/>
        <w:rPr>
          <w:rFonts w:asciiTheme="majorHAnsi" w:hAnsiTheme="majorHAnsi" w:cstheme="majorHAnsi"/>
          <w:sz w:val="23"/>
          <w:szCs w:val="23"/>
        </w:rPr>
      </w:pPr>
      <w:r w:rsidRPr="009B5016">
        <w:rPr>
          <w:rFonts w:asciiTheme="majorHAnsi" w:hAnsiTheme="majorHAnsi" w:cstheme="majorHAnsi"/>
          <w:sz w:val="23"/>
          <w:szCs w:val="23"/>
        </w:rPr>
        <w:t>Broomhill is an area of high socioeconomic disadvantage located in Greenock, 40 kilometres from central Glasgow. In 2016 Broomhill (pop. 14,000) was listed in the top 10 percent of deprived areas in Scotland (Scottish Index of Multiple Deprivation, 2016).</w:t>
      </w:r>
    </w:p>
    <w:p w14:paraId="43DE8F16" w14:textId="3A4F21D4" w:rsidR="00E268D6" w:rsidRPr="00E268D6" w:rsidRDefault="00E268D6" w:rsidP="005E69AE">
      <w:pPr>
        <w:spacing w:line="276" w:lineRule="auto"/>
        <w:rPr>
          <w:rFonts w:asciiTheme="majorHAnsi" w:hAnsiTheme="majorHAnsi" w:cstheme="majorHAnsi"/>
          <w:sz w:val="23"/>
          <w:szCs w:val="23"/>
        </w:rPr>
      </w:pPr>
      <w:r w:rsidRPr="009B5016">
        <w:rPr>
          <w:rFonts w:asciiTheme="majorHAnsi" w:hAnsiTheme="majorHAnsi" w:cstheme="majorHAnsi"/>
          <w:sz w:val="23"/>
          <w:szCs w:val="23"/>
        </w:rPr>
        <w:t>Launched in 2015, the Broomhill Project centres on community-led collaborations between local residents and experienced artists. Activities have included workshops, artist residencies, films, community events, murals, public gardens, heritage projects, and exhibitions.</w:t>
      </w:r>
    </w:p>
    <w:p w14:paraId="4C240BB8" w14:textId="77777777" w:rsidR="00E268D6" w:rsidRPr="009B5016" w:rsidRDefault="00E268D6" w:rsidP="005E69AE">
      <w:pPr>
        <w:spacing w:line="276" w:lineRule="auto"/>
        <w:rPr>
          <w:rFonts w:asciiTheme="majorHAnsi" w:hAnsiTheme="majorHAnsi" w:cstheme="majorHAnsi"/>
          <w:b/>
          <w:bCs/>
          <w:sz w:val="23"/>
          <w:szCs w:val="23"/>
        </w:rPr>
      </w:pPr>
      <w:r w:rsidRPr="009B5016">
        <w:rPr>
          <w:rFonts w:asciiTheme="majorHAnsi" w:hAnsiTheme="majorHAnsi" w:cstheme="majorHAnsi"/>
          <w:sz w:val="23"/>
          <w:szCs w:val="23"/>
        </w:rPr>
        <w:t>The Broomhill Project was developed alongside a major local social housing project. In 2014 housing association River Clyde Homes began a £26m program to upgrade 600 Broomhill properties. Local arts charity RIG Arts was granted initial three-year funding to work creatively with disengaged community members. Additional funding was invested in a range of sub-projects:</w:t>
      </w:r>
    </w:p>
    <w:p w14:paraId="1DE26BAF" w14:textId="77777777" w:rsidR="00E268D6" w:rsidRPr="009B5016" w:rsidRDefault="00E268D6" w:rsidP="00470DE2">
      <w:pPr>
        <w:pStyle w:val="ListParagraph"/>
        <w:numPr>
          <w:ilvl w:val="0"/>
          <w:numId w:val="3"/>
        </w:numPr>
        <w:spacing w:after="120" w:line="276" w:lineRule="auto"/>
        <w:ind w:left="357" w:hanging="357"/>
        <w:contextualSpacing w:val="0"/>
        <w:rPr>
          <w:rFonts w:asciiTheme="majorHAnsi" w:hAnsiTheme="majorHAnsi" w:cstheme="majorBidi"/>
          <w:b/>
          <w:bCs/>
          <w:sz w:val="23"/>
          <w:szCs w:val="23"/>
        </w:rPr>
      </w:pPr>
      <w:r w:rsidRPr="009B5016">
        <w:rPr>
          <w:rFonts w:cstheme="minorHAnsi"/>
          <w:sz w:val="23"/>
          <w:szCs w:val="23"/>
        </w:rPr>
        <w:t>Broomhill Art Flat (2015):</w:t>
      </w:r>
      <w:r w:rsidRPr="009B5016">
        <w:rPr>
          <w:rFonts w:asciiTheme="majorHAnsi" w:hAnsiTheme="majorHAnsi" w:cstheme="majorBidi"/>
          <w:sz w:val="23"/>
          <w:szCs w:val="23"/>
        </w:rPr>
        <w:t xml:space="preserve"> dedicated hub for free creative workshops: songwriting, photography, filmmaking, painting, stained glass, carving, ceramics, textiles, 3D drawing, mosaic, upcycling. Sited in a public housing tower, it became a popular cultural hub and meeting place.</w:t>
      </w:r>
    </w:p>
    <w:p w14:paraId="1249EA40" w14:textId="77777777" w:rsidR="00E268D6" w:rsidRPr="009B5016" w:rsidRDefault="00E268D6" w:rsidP="00470DE2">
      <w:pPr>
        <w:pStyle w:val="ListParagraph"/>
        <w:numPr>
          <w:ilvl w:val="0"/>
          <w:numId w:val="3"/>
        </w:numPr>
        <w:spacing w:after="120" w:line="276" w:lineRule="auto"/>
        <w:ind w:left="357" w:hanging="357"/>
        <w:contextualSpacing w:val="0"/>
        <w:rPr>
          <w:rFonts w:asciiTheme="majorHAnsi" w:hAnsiTheme="majorHAnsi" w:cstheme="majorHAnsi"/>
          <w:b/>
          <w:bCs/>
          <w:sz w:val="23"/>
          <w:szCs w:val="23"/>
        </w:rPr>
      </w:pPr>
      <w:r w:rsidRPr="009B5016">
        <w:rPr>
          <w:rFonts w:cstheme="minorHAnsi"/>
          <w:sz w:val="23"/>
          <w:szCs w:val="23"/>
        </w:rPr>
        <w:t>Heid O’ The Hill (2015–2016):</w:t>
      </w:r>
      <w:r w:rsidRPr="009B5016">
        <w:rPr>
          <w:rFonts w:asciiTheme="majorHAnsi" w:hAnsiTheme="majorHAnsi" w:cstheme="majorHAnsi"/>
          <w:sz w:val="23"/>
          <w:szCs w:val="23"/>
        </w:rPr>
        <w:t xml:space="preserve"> 12-month pilot arts scheme exploring Broomhill’s rich heritage. Participants created works celebrating the area’s history as a former metal foundry, its 1970s punk music scene, and childhood games fondly recalled by older residents.</w:t>
      </w:r>
    </w:p>
    <w:p w14:paraId="38AC4C47" w14:textId="77777777" w:rsidR="00E268D6" w:rsidRPr="009B5016" w:rsidRDefault="00E268D6" w:rsidP="00470DE2">
      <w:pPr>
        <w:pStyle w:val="ListParagraph"/>
        <w:numPr>
          <w:ilvl w:val="0"/>
          <w:numId w:val="3"/>
        </w:numPr>
        <w:spacing w:after="120" w:line="276" w:lineRule="auto"/>
        <w:ind w:left="357" w:hanging="357"/>
        <w:contextualSpacing w:val="0"/>
        <w:rPr>
          <w:rFonts w:asciiTheme="majorHAnsi" w:hAnsiTheme="majorHAnsi" w:cstheme="majorHAnsi"/>
          <w:b/>
          <w:bCs/>
          <w:sz w:val="23"/>
          <w:szCs w:val="23"/>
        </w:rPr>
      </w:pPr>
      <w:r w:rsidRPr="009B5016">
        <w:rPr>
          <w:rFonts w:cstheme="minorHAnsi"/>
          <w:sz w:val="23"/>
          <w:szCs w:val="23"/>
        </w:rPr>
        <w:t>Up the Broomy (2017–2019):</w:t>
      </w:r>
      <w:r w:rsidRPr="009B5016">
        <w:rPr>
          <w:rFonts w:asciiTheme="majorHAnsi" w:hAnsiTheme="majorHAnsi" w:cstheme="majorHAnsi"/>
          <w:sz w:val="23"/>
          <w:szCs w:val="23"/>
        </w:rPr>
        <w:t xml:space="preserve"> a two-year sub-project focused on training, creativity, and capacity building. RIG Arts worked with local agencies to recruit “community champions” who could benefit from arts training. Participants created inspiring objects, events, and performances. Ongoing supports were embedded via partnerships with mental health organisations, schools, and youth services.</w:t>
      </w:r>
    </w:p>
    <w:p w14:paraId="44F70E05" w14:textId="77777777" w:rsidR="00E268D6" w:rsidRPr="009B5016" w:rsidRDefault="00E268D6" w:rsidP="00470DE2">
      <w:pPr>
        <w:pStyle w:val="ListParagraph"/>
        <w:numPr>
          <w:ilvl w:val="0"/>
          <w:numId w:val="3"/>
        </w:numPr>
        <w:spacing w:after="120" w:line="276" w:lineRule="auto"/>
        <w:ind w:left="357" w:hanging="357"/>
        <w:contextualSpacing w:val="0"/>
        <w:rPr>
          <w:rFonts w:asciiTheme="majorHAnsi" w:hAnsiTheme="majorHAnsi" w:cstheme="majorBidi"/>
          <w:b/>
          <w:bCs/>
          <w:sz w:val="23"/>
          <w:szCs w:val="23"/>
        </w:rPr>
      </w:pPr>
      <w:r w:rsidRPr="009B5016">
        <w:rPr>
          <w:rFonts w:cstheme="minorHAnsi"/>
          <w:sz w:val="23"/>
          <w:szCs w:val="23"/>
        </w:rPr>
        <w:t>Broomy’s Bees (2018):</w:t>
      </w:r>
      <w:r w:rsidRPr="009B5016">
        <w:rPr>
          <w:rFonts w:asciiTheme="majorHAnsi" w:hAnsiTheme="majorHAnsi" w:cstheme="majorBidi"/>
          <w:sz w:val="23"/>
          <w:szCs w:val="23"/>
        </w:rPr>
        <w:t xml:space="preserve"> community co-designed pocket park and educational sensory garden, created on a derelict site opposite a public housing tower. Increases biodiversity, promotes eco-friendly behaviour, references local heritage, and provides welcoming green space. Has all-weather seating and interactive night-lighting. Children created tile artworks and bee habitats.</w:t>
      </w:r>
    </w:p>
    <w:p w14:paraId="54E1A191" w14:textId="77777777" w:rsidR="00E268D6" w:rsidRPr="009B5016" w:rsidRDefault="00E268D6" w:rsidP="00470DE2">
      <w:pPr>
        <w:pStyle w:val="ListParagraph"/>
        <w:numPr>
          <w:ilvl w:val="0"/>
          <w:numId w:val="3"/>
        </w:numPr>
        <w:spacing w:after="120" w:line="276" w:lineRule="auto"/>
        <w:ind w:left="357" w:hanging="357"/>
        <w:contextualSpacing w:val="0"/>
        <w:rPr>
          <w:rFonts w:asciiTheme="majorHAnsi" w:hAnsiTheme="majorHAnsi" w:cstheme="majorBidi"/>
          <w:b/>
          <w:bCs/>
          <w:sz w:val="23"/>
          <w:szCs w:val="23"/>
        </w:rPr>
      </w:pPr>
      <w:r w:rsidRPr="009B5016">
        <w:rPr>
          <w:rFonts w:cstheme="minorHAnsi"/>
          <w:sz w:val="23"/>
          <w:szCs w:val="23"/>
        </w:rPr>
        <w:t>Plastic Fantastic:</w:t>
      </w:r>
      <w:r w:rsidRPr="009B5016">
        <w:rPr>
          <w:rFonts w:asciiTheme="majorHAnsi" w:hAnsiTheme="majorHAnsi" w:cstheme="majorBidi"/>
          <w:sz w:val="23"/>
          <w:szCs w:val="23"/>
        </w:rPr>
        <w:t xml:space="preserve"> eco-focused project engaging local schools and residents to increase environmental literacy, promote recycling, and reduce landfill. Includes upcycling workshops (furniture, clothes mending), an innovative plastic recycling machine (converts discarded bottles into material for 3-D printing), and a public display of upcycled items.</w:t>
      </w:r>
    </w:p>
    <w:p w14:paraId="6F002A04" w14:textId="77777777" w:rsidR="00E268D6" w:rsidRDefault="00E268D6" w:rsidP="005E69AE">
      <w:pPr>
        <w:spacing w:line="276" w:lineRule="auto"/>
        <w:rPr>
          <w:rFonts w:asciiTheme="majorHAnsi" w:hAnsiTheme="majorHAnsi" w:cstheme="majorBidi"/>
          <w:sz w:val="23"/>
          <w:szCs w:val="23"/>
        </w:rPr>
      </w:pPr>
    </w:p>
    <w:p w14:paraId="0B3E03D7" w14:textId="08D19E68" w:rsidR="00E268D6" w:rsidRPr="00E268D6" w:rsidRDefault="00E268D6" w:rsidP="005E69AE">
      <w:pPr>
        <w:spacing w:line="276" w:lineRule="auto"/>
        <w:rPr>
          <w:rFonts w:asciiTheme="majorHAnsi" w:hAnsiTheme="majorHAnsi" w:cstheme="majorBidi"/>
          <w:sz w:val="23"/>
          <w:szCs w:val="23"/>
        </w:rPr>
      </w:pPr>
      <w:r w:rsidRPr="009B5016">
        <w:rPr>
          <w:rFonts w:asciiTheme="majorHAnsi" w:hAnsiTheme="majorHAnsi" w:cstheme="majorBidi"/>
          <w:sz w:val="23"/>
          <w:szCs w:val="23"/>
        </w:rPr>
        <w:lastRenderedPageBreak/>
        <w:t xml:space="preserve">Over four years, around 3600 people participated directly in the Broomhill Project, and over 500 activities were delivered. </w:t>
      </w:r>
      <w:hyperlink r:id="rId11">
        <w:r w:rsidRPr="009B5016">
          <w:rPr>
            <w:rStyle w:val="Hyperlink"/>
            <w:rFonts w:asciiTheme="majorHAnsi" w:hAnsiTheme="majorHAnsi" w:cstheme="majorBidi"/>
            <w:sz w:val="23"/>
            <w:szCs w:val="23"/>
          </w:rPr>
          <w:t>Evaluated</w:t>
        </w:r>
      </w:hyperlink>
      <w:r w:rsidRPr="009B5016">
        <w:rPr>
          <w:rFonts w:asciiTheme="majorHAnsi" w:hAnsiTheme="majorHAnsi" w:cstheme="majorBidi"/>
          <w:sz w:val="23"/>
          <w:szCs w:val="23"/>
        </w:rPr>
        <w:t xml:space="preserve"> as part of a broader assessment, the project was found to have improved social cohesion, raised community spirit, helped residents build transferable skills, given them a voice in the regeneration process, strengthened sense of place, attracted people to the area, and reduced place-based stigma. It also fostered economic development, created new community assets, improved wellbeing, and increased residents’ opportunities for work, education, and training (Anderson et al, 2019: 29–30; Orr, 2019). As of early 2021, elements of the project remain active.</w:t>
      </w:r>
    </w:p>
    <w:p w14:paraId="7EAB1AE2" w14:textId="0CF96051" w:rsidR="00E268D6" w:rsidRPr="00E268D6" w:rsidRDefault="00E268D6" w:rsidP="00E268D6">
      <w:pPr>
        <w:spacing w:line="276" w:lineRule="auto"/>
        <w:rPr>
          <w:rFonts w:asciiTheme="majorHAnsi" w:hAnsiTheme="majorHAnsi" w:cstheme="majorHAnsi"/>
          <w:b/>
          <w:bCs/>
          <w:sz w:val="23"/>
          <w:szCs w:val="23"/>
        </w:rPr>
      </w:pPr>
      <w:r w:rsidRPr="009B5016">
        <w:rPr>
          <w:rFonts w:asciiTheme="majorHAnsi" w:hAnsiTheme="majorHAnsi" w:cstheme="majorHAnsi"/>
          <w:sz w:val="23"/>
          <w:szCs w:val="23"/>
        </w:rPr>
        <w:t xml:space="preserve">The </w:t>
      </w:r>
      <w:r w:rsidRPr="009B5016">
        <w:rPr>
          <w:rFonts w:asciiTheme="majorHAnsi" w:hAnsiTheme="majorHAnsi" w:cstheme="majorBidi"/>
          <w:sz w:val="23"/>
          <w:szCs w:val="23"/>
        </w:rPr>
        <w:t>Broomhill Project</w:t>
      </w:r>
      <w:r w:rsidRPr="009B5016">
        <w:rPr>
          <w:rFonts w:asciiTheme="majorHAnsi" w:hAnsiTheme="majorHAnsi" w:cstheme="majorHAnsi"/>
          <w:sz w:val="23"/>
          <w:szCs w:val="23"/>
        </w:rPr>
        <w:t xml:space="preserve"> won a 2017 Scottish Urban Regeneration Forum best-practice award (SURF, 2017: 6). Success factors include robust collaborative partnerships, a strong focus on community-led and co-design approaches, alignment with a concurrent housing/revitalisation project, the creative hub being sited within a housing estate, the skills of individual artists, and the innovative approach of RIG Arts, which oversaw a steering group of participating artists and community members. Funding partners included Creative Scotland, Riverside Inverclyde, British Gas, Heritage Lottery Fund, Tesco, People’s Postcode Trust, Climate Challenge Fund, and the Scottish Government.</w:t>
      </w:r>
    </w:p>
    <w:p w14:paraId="05334CB6" w14:textId="77777777" w:rsidR="00E268D6" w:rsidRDefault="00E268D6" w:rsidP="00E268D6">
      <w:pPr>
        <w:pStyle w:val="Heading2"/>
        <w:rPr>
          <w:rFonts w:eastAsia="Calibri"/>
          <w:b/>
          <w:bCs/>
        </w:rPr>
      </w:pPr>
      <w:bookmarkStart w:id="16" w:name="_Toc108186442"/>
      <w:bookmarkStart w:id="17" w:name="_Hlk70864411"/>
      <w:r>
        <w:rPr>
          <w:rFonts w:eastAsia="Calibri"/>
        </w:rPr>
        <w:t xml:space="preserve">The </w:t>
      </w:r>
      <w:r w:rsidRPr="359636AC">
        <w:rPr>
          <w:rFonts w:eastAsia="Calibri"/>
        </w:rPr>
        <w:t>Skip Garden and Kitchen</w:t>
      </w:r>
      <w:r>
        <w:rPr>
          <w:rFonts w:eastAsia="Calibri"/>
        </w:rPr>
        <w:t>, Story Garden, Paper Garden</w:t>
      </w:r>
      <w:r w:rsidRPr="359636AC">
        <w:rPr>
          <w:rFonts w:eastAsia="Calibri"/>
        </w:rPr>
        <w:t>:</w:t>
      </w:r>
      <w:bookmarkEnd w:id="16"/>
    </w:p>
    <w:p w14:paraId="1C12984B" w14:textId="77777777" w:rsidR="00E268D6" w:rsidRPr="00682FD3" w:rsidRDefault="00E268D6" w:rsidP="00E268D6">
      <w:pPr>
        <w:pStyle w:val="Heading2"/>
        <w:rPr>
          <w:rFonts w:eastAsia="Calibri"/>
          <w:b/>
          <w:bCs/>
        </w:rPr>
      </w:pPr>
      <w:bookmarkStart w:id="18" w:name="_Toc108186443"/>
      <w:r w:rsidRPr="359636AC">
        <w:rPr>
          <w:rFonts w:eastAsia="Calibri"/>
        </w:rPr>
        <w:t xml:space="preserve">Community Gardens </w:t>
      </w:r>
      <w:r>
        <w:rPr>
          <w:rFonts w:eastAsia="Calibri"/>
        </w:rPr>
        <w:t>f</w:t>
      </w:r>
      <w:r w:rsidRPr="359636AC">
        <w:rPr>
          <w:rFonts w:eastAsia="Calibri"/>
        </w:rPr>
        <w:t xml:space="preserve">or Learning, Health, </w:t>
      </w:r>
      <w:r>
        <w:rPr>
          <w:rFonts w:eastAsia="Calibri"/>
        </w:rPr>
        <w:t>a</w:t>
      </w:r>
      <w:r w:rsidRPr="359636AC">
        <w:rPr>
          <w:rFonts w:eastAsia="Calibri"/>
        </w:rPr>
        <w:t xml:space="preserve">nd </w:t>
      </w:r>
      <w:r>
        <w:rPr>
          <w:rFonts w:eastAsia="Calibri"/>
        </w:rPr>
        <w:t xml:space="preserve">Social </w:t>
      </w:r>
      <w:r w:rsidRPr="359636AC">
        <w:rPr>
          <w:rFonts w:eastAsia="Calibri"/>
        </w:rPr>
        <w:t>Inclusion</w:t>
      </w:r>
      <w:bookmarkEnd w:id="18"/>
    </w:p>
    <w:p w14:paraId="2F2C1D48" w14:textId="3737AB1B" w:rsidR="00E268D6" w:rsidRPr="00E268D6" w:rsidRDefault="00E268D6" w:rsidP="005E69AE">
      <w:pPr>
        <w:spacing w:line="276" w:lineRule="auto"/>
        <w:rPr>
          <w:rFonts w:ascii="Calibri" w:eastAsia="Calibri" w:hAnsi="Calibri" w:cs="Calibri"/>
          <w:b/>
          <w:bCs/>
          <w:sz w:val="23"/>
          <w:szCs w:val="23"/>
        </w:rPr>
      </w:pPr>
      <w:r w:rsidRPr="359636AC">
        <w:rPr>
          <w:rFonts w:ascii="Calibri" w:eastAsia="Calibri" w:hAnsi="Calibri" w:cs="Calibri"/>
          <w:sz w:val="23"/>
          <w:szCs w:val="23"/>
        </w:rPr>
        <w:t>King’s Cross, London (2009 –</w:t>
      </w:r>
      <w:r>
        <w:rPr>
          <w:rFonts w:ascii="Calibri" w:eastAsia="Calibri" w:hAnsi="Calibri" w:cs="Calibri"/>
          <w:sz w:val="23"/>
          <w:szCs w:val="23"/>
        </w:rPr>
        <w:t>present</w:t>
      </w:r>
      <w:r w:rsidRPr="359636AC">
        <w:rPr>
          <w:rFonts w:ascii="Calibri" w:eastAsia="Calibri" w:hAnsi="Calibri" w:cs="Calibri"/>
          <w:sz w:val="23"/>
          <w:szCs w:val="23"/>
        </w:rPr>
        <w:t>)</w:t>
      </w:r>
      <w:bookmarkEnd w:id="17"/>
    </w:p>
    <w:p w14:paraId="4A6C2EDE" w14:textId="77777777" w:rsidR="00E268D6" w:rsidRPr="00E268D6" w:rsidRDefault="00E268D6" w:rsidP="00E268D6">
      <w:pPr>
        <w:spacing w:after="0"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 xml:space="preserve">Main Practice Domain(s):          </w:t>
      </w:r>
      <w:r w:rsidRPr="00E268D6">
        <w:rPr>
          <w:rFonts w:cstheme="minorHAnsi"/>
          <w:b/>
          <w:bCs/>
          <w:color w:val="595959" w:themeColor="text1" w:themeTint="A6"/>
          <w:sz w:val="23"/>
          <w:szCs w:val="23"/>
        </w:rPr>
        <w:tab/>
        <w:t>Health and Wellbeing, Liveability, Education</w:t>
      </w:r>
    </w:p>
    <w:p w14:paraId="741D7B5A" w14:textId="2FC7C5E7" w:rsidR="00E268D6" w:rsidRPr="00E268D6" w:rsidRDefault="00E268D6" w:rsidP="00E268D6">
      <w:pPr>
        <w:spacing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 xml:space="preserve">Secondary Practice Domain(s): </w:t>
      </w:r>
      <w:r w:rsidRPr="00E268D6">
        <w:rPr>
          <w:rFonts w:cstheme="minorHAnsi"/>
          <w:b/>
          <w:bCs/>
          <w:color w:val="595959" w:themeColor="text1" w:themeTint="A6"/>
          <w:sz w:val="23"/>
          <w:szCs w:val="23"/>
        </w:rPr>
        <w:tab/>
        <w:t>Employment, Housing</w:t>
      </w:r>
    </w:p>
    <w:p w14:paraId="15D4AC2F" w14:textId="0739F7CF"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London is a city of high rents, spatial inequalities, overcrowded housing, and wealth disparity. Despite several policy initiatives targeting food security, it remains a major issue. Food banks struggle to meet demand and 9 percent of children sometimes or often go to bed hungry (Marovelli, 2019: 191; Sustain, 2016). In 2015 London was rated the loneliest region in the UK (ACEVO, 2015).</w:t>
      </w:r>
    </w:p>
    <w:p w14:paraId="5CBACAE6" w14:textId="55E483A2"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Many of London’s low-income residents are clustered in council estates and social housing blocks, with minimal or non-existent access to communal spaces. This limits social interaction, community cohesion, and play opportunities for children. King’s Cross (pop. 13,400) is a multicultural neighbourhood in central London. In 2015 around 48 percent of local children lived in poverty, and 45 percent of older residents lived in deprivation (Kings Cross, 2015). Until recently it had limited green space and a longstanding reputation for crime and drugs.</w:t>
      </w:r>
    </w:p>
    <w:p w14:paraId="6F64811C" w14:textId="3A9AC9F9"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In 2007 Kings Cross became the site of a huge urban regeneration project, now nearing completion. In 2009 Global Generation, an education charity, established a community garden on the 67-acre construction site. The Skip Garden was set up as a temporary food growing space, under a “meanwhile lease” as part of the developer’s strategy for “sustainable innovation and community involvement”. The £200,000 project was funded by the Big Lottery, Islington and Camden Councils, and developers (Interim Spaces, n.d.). The installation became an epicentre for a range of community development and engagement activities.</w:t>
      </w:r>
    </w:p>
    <w:p w14:paraId="61383DBC" w14:textId="5F43336A"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lastRenderedPageBreak/>
        <w:t>The Skip Garden was designed to be portable, moving to different locations as land was sold for construction. Built by young people and local volunteers, it was created from upcycled rubbish skips and polytunnels, with material donated by construction companies. Residents grew fruit trees, vegetables, herbs, and flowers, and maintained beehives. Based on organic practices (rotational planting, rainwater harvesting, aerobic composting), the garden was largely self-sustaining (Global Generation, n.d.).</w:t>
      </w:r>
    </w:p>
    <w:p w14:paraId="45A52F23" w14:textId="77777777" w:rsidR="00E268D6" w:rsidRPr="009B5016" w:rsidRDefault="00E268D6" w:rsidP="005E69AE">
      <w:pPr>
        <w:spacing w:line="276" w:lineRule="auto"/>
        <w:rPr>
          <w:b/>
          <w:bCs/>
        </w:rPr>
      </w:pPr>
      <w:r w:rsidRPr="009B5016">
        <w:rPr>
          <w:rFonts w:ascii="Calibri Light" w:eastAsia="Calibri Light" w:hAnsi="Calibri Light" w:cs="Calibri Light"/>
          <w:sz w:val="23"/>
          <w:szCs w:val="23"/>
        </w:rPr>
        <w:t xml:space="preserve">The project combined food education for kids, healthy food-sharing activities, workshops, recreational programs, and the Skip Kitchen, a small but lively vegetarian cafe that generated independent income. Staff and volunteers were primarily women from different ethnic backgrounds. Young people with learning disabilities also helped prepare and serve meals. The food preparation area was open to the dining room, and staff, guests, and volunteers ate together at shared tables (Marovelli, 2019: 196). </w:t>
      </w:r>
    </w:p>
    <w:p w14:paraId="6D0E2362" w14:textId="77777777" w:rsidR="00E268D6" w:rsidRPr="009B5016" w:rsidRDefault="00E268D6" w:rsidP="005E69AE">
      <w:pPr>
        <w:spacing w:line="276" w:lineRule="auto"/>
        <w:rPr>
          <w:b/>
          <w:bCs/>
        </w:rPr>
      </w:pPr>
      <w:r w:rsidRPr="009B5016">
        <w:rPr>
          <w:rFonts w:ascii="Calibri Light" w:eastAsia="Calibri Light" w:hAnsi="Calibri Light" w:cs="Calibri Light"/>
          <w:sz w:val="23"/>
          <w:szCs w:val="23"/>
        </w:rPr>
        <w:t>Sub-projects included:</w:t>
      </w:r>
    </w:p>
    <w:p w14:paraId="5270665A" w14:textId="77777777" w:rsidR="00E268D6" w:rsidRPr="009B5016" w:rsidRDefault="00E268D6" w:rsidP="00470DE2">
      <w:pPr>
        <w:pStyle w:val="ListParagraph"/>
        <w:numPr>
          <w:ilvl w:val="0"/>
          <w:numId w:val="4"/>
        </w:numPr>
        <w:spacing w:after="120" w:line="276" w:lineRule="auto"/>
        <w:ind w:left="426" w:hanging="357"/>
        <w:contextualSpacing w:val="0"/>
        <w:rPr>
          <w:rFonts w:eastAsiaTheme="minorEastAsia"/>
          <w:b/>
          <w:bCs/>
          <w:sz w:val="23"/>
          <w:szCs w:val="23"/>
        </w:rPr>
      </w:pPr>
      <w:r w:rsidRPr="009B5016">
        <w:rPr>
          <w:rFonts w:eastAsia="Calibri Light" w:cstheme="minorHAnsi"/>
          <w:sz w:val="23"/>
          <w:szCs w:val="23"/>
        </w:rPr>
        <w:t>Junior Chef Club:</w:t>
      </w:r>
      <w:r w:rsidRPr="009B5016">
        <w:rPr>
          <w:rFonts w:ascii="Calibri Light" w:eastAsia="Calibri Light" w:hAnsi="Calibri Light" w:cs="Calibri Light"/>
          <w:sz w:val="23"/>
          <w:szCs w:val="23"/>
        </w:rPr>
        <w:t xml:space="preserve"> 10-session program teaching kids about seasonality and diverse culinary traditions</w:t>
      </w:r>
    </w:p>
    <w:p w14:paraId="3D137F5C" w14:textId="77777777" w:rsidR="00E268D6" w:rsidRPr="009B5016" w:rsidRDefault="00E268D6" w:rsidP="00470DE2">
      <w:pPr>
        <w:pStyle w:val="ListParagraph"/>
        <w:numPr>
          <w:ilvl w:val="0"/>
          <w:numId w:val="4"/>
        </w:numPr>
        <w:spacing w:after="120" w:line="276" w:lineRule="auto"/>
        <w:ind w:left="426" w:hanging="357"/>
        <w:contextualSpacing w:val="0"/>
        <w:rPr>
          <w:rFonts w:eastAsiaTheme="minorEastAsia"/>
          <w:b/>
          <w:bCs/>
          <w:sz w:val="23"/>
          <w:szCs w:val="23"/>
        </w:rPr>
      </w:pPr>
      <w:r w:rsidRPr="009B5016">
        <w:rPr>
          <w:rFonts w:eastAsia="Calibri Light" w:cstheme="minorHAnsi"/>
          <w:sz w:val="23"/>
          <w:szCs w:val="23"/>
        </w:rPr>
        <w:t>Friday Night Out:</w:t>
      </w:r>
      <w:r w:rsidRPr="009B5016">
        <w:rPr>
          <w:rFonts w:ascii="Calibri Light" w:eastAsia="Calibri Light" w:hAnsi="Calibri Light" w:cs="Calibri Light"/>
          <w:sz w:val="23"/>
          <w:szCs w:val="23"/>
        </w:rPr>
        <w:t xml:space="preserve"> fortnightly program for kids aged 8–14 to play football, cook and eat together (fostering healthy attitudes towards sports and food)</w:t>
      </w:r>
    </w:p>
    <w:p w14:paraId="00F6B64D" w14:textId="23C76EE8" w:rsidR="00E268D6" w:rsidRPr="00E268D6" w:rsidRDefault="00E268D6" w:rsidP="00470DE2">
      <w:pPr>
        <w:pStyle w:val="ListParagraph"/>
        <w:numPr>
          <w:ilvl w:val="0"/>
          <w:numId w:val="4"/>
        </w:numPr>
        <w:spacing w:after="120" w:line="276" w:lineRule="auto"/>
        <w:ind w:left="426" w:hanging="357"/>
        <w:contextualSpacing w:val="0"/>
        <w:rPr>
          <w:rFonts w:eastAsiaTheme="minorEastAsia"/>
          <w:b/>
          <w:bCs/>
          <w:sz w:val="23"/>
          <w:szCs w:val="23"/>
        </w:rPr>
      </w:pPr>
      <w:r w:rsidRPr="009B5016">
        <w:rPr>
          <w:rFonts w:eastAsia="Calibri Light" w:cstheme="minorHAnsi"/>
          <w:sz w:val="23"/>
          <w:szCs w:val="23"/>
        </w:rPr>
        <w:t>Lunch and Learning:</w:t>
      </w:r>
      <w:r w:rsidRPr="009B5016">
        <w:rPr>
          <w:rFonts w:ascii="Calibri Light" w:eastAsia="Calibri Light" w:hAnsi="Calibri Light" w:cs="Calibri Light"/>
          <w:sz w:val="23"/>
          <w:szCs w:val="23"/>
        </w:rPr>
        <w:t xml:space="preserve"> kids meet local businesses owners and volunteers, do workshops together, co-design products and activities, then share lunch (Marovelli, 2019: 193).</w:t>
      </w:r>
    </w:p>
    <w:p w14:paraId="3D29AFA6" w14:textId="34F67D31" w:rsidR="00E268D6" w:rsidRP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 xml:space="preserve">A recent </w:t>
      </w:r>
      <w:hyperlink r:id="rId12" w:history="1">
        <w:r w:rsidRPr="009B5016">
          <w:rPr>
            <w:rStyle w:val="Hyperlink"/>
            <w:rFonts w:ascii="Calibri Light" w:eastAsia="Calibri Light" w:hAnsi="Calibri Light" w:cs="Calibri Light"/>
            <w:sz w:val="23"/>
            <w:szCs w:val="23"/>
          </w:rPr>
          <w:t>ethnographic study</w:t>
        </w:r>
      </w:hyperlink>
      <w:r w:rsidRPr="00117765">
        <w:rPr>
          <w:rFonts w:ascii="Calibri Light" w:eastAsia="Calibri Light" w:hAnsi="Calibri Light" w:cs="Calibri Light"/>
          <w:sz w:val="23"/>
          <w:szCs w:val="23"/>
        </w:rPr>
        <w:t xml:space="preserve"> </w:t>
      </w:r>
      <w:r w:rsidRPr="009B5016">
        <w:rPr>
          <w:rFonts w:ascii="Calibri Light" w:eastAsia="Calibri Light" w:hAnsi="Calibri Light" w:cs="Calibri Light"/>
          <w:sz w:val="23"/>
          <w:szCs w:val="23"/>
        </w:rPr>
        <w:t>found that the Skip Garden and Kitchen provided a safe, welcoming space for people to socialise, eat nourishing meals together, exchange knowledge, and share experiences. It fostered social cohesion, built community across difference, and eased loneliness for both participants and volunteers (Marovelli, 2019). The project also improved residents’ food security, access to communal space, and knowledge of healthy food. Parents said the garden was “the perfect antidote” to urban lifestyles, and that it encouraged kids to leave the house (Global Generation, 2016).</w:t>
      </w:r>
      <w:r w:rsidRPr="009B5016">
        <w:t xml:space="preserve"> </w:t>
      </w:r>
      <w:r w:rsidRPr="009B5016">
        <w:rPr>
          <w:rFonts w:ascii="Calibri Light" w:eastAsia="Calibri Light" w:hAnsi="Calibri Light" w:cs="Calibri Light"/>
          <w:sz w:val="23"/>
          <w:szCs w:val="23"/>
        </w:rPr>
        <w:t>The Skip Garden and Kitchen ran for 10 years, closing in October 2019. In early 2021, some of the skips were relocated to form “parklets” in Kentish Town.</w:t>
      </w:r>
    </w:p>
    <w:p w14:paraId="6C521D07" w14:textId="6F2DA281" w:rsidR="00E268D6" w:rsidRPr="00E268D6" w:rsidRDefault="00E268D6" w:rsidP="005E69AE">
      <w:pPr>
        <w:spacing w:line="276" w:lineRule="auto"/>
        <w:rPr>
          <w:rFonts w:ascii="Calibri Light" w:eastAsia="Calibri Light" w:hAnsi="Calibri Light" w:cs="Calibri Light"/>
          <w:sz w:val="23"/>
          <w:szCs w:val="23"/>
        </w:rPr>
      </w:pPr>
      <w:r w:rsidRPr="009B5016">
        <w:rPr>
          <w:rFonts w:eastAsia="Calibri Light" w:cstheme="minorHAnsi"/>
          <w:sz w:val="23"/>
          <w:szCs w:val="23"/>
        </w:rPr>
        <w:t>Story Garden:</w:t>
      </w:r>
      <w:r w:rsidRPr="009B5016">
        <w:rPr>
          <w:rFonts w:ascii="Calibri Light" w:eastAsia="Calibri Light" w:hAnsi="Calibri Light" w:cs="Calibri Light"/>
          <w:sz w:val="23"/>
          <w:szCs w:val="23"/>
        </w:rPr>
        <w:t xml:space="preserve"> In June 2019 work began on a new temporary garden in Somers Town, an adjacent suburb. The Story Garden is sited on a one-acre block behind the British Library. Around 650 adults and 300 young people co-designed and created the new garden, including residents, school students, local workers, and library staff. Strategies to foster collective ownership included kids’ design and build sessions, university collaborations, drop-in volunteer sessions, holiday clubs, and work experience placements.</w:t>
      </w:r>
    </w:p>
    <w:p w14:paraId="25309467" w14:textId="77777777" w:rsidR="00E268D6" w:rsidRDefault="00E268D6" w:rsidP="005E69AE">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The site includes garden beds, a kitchen, classroom, gathering space, and workshop. Run by Central Saint Martin’s (University of the Arts), the MAKE workshop provides space, guidance, and equipment to help young people co-create projects with community members. Activities include weaving, upcycling, carpentry, permaculture, cooking, and storytelling workshops.</w:t>
      </w:r>
    </w:p>
    <w:p w14:paraId="53B9EB63" w14:textId="77777777" w:rsidR="00E268D6" w:rsidRPr="009B5016" w:rsidRDefault="00E268D6" w:rsidP="005E69AE">
      <w:pPr>
        <w:spacing w:line="276" w:lineRule="auto"/>
        <w:rPr>
          <w:b/>
          <w:bCs/>
        </w:rPr>
      </w:pPr>
    </w:p>
    <w:p w14:paraId="689DB91D" w14:textId="44C029AC" w:rsidR="00E268D6" w:rsidRPr="00E268D6" w:rsidRDefault="00E268D6" w:rsidP="005E69AE">
      <w:pPr>
        <w:spacing w:line="276" w:lineRule="auto"/>
        <w:rPr>
          <w:rFonts w:ascii="Calibri Light" w:eastAsia="Calibri Light" w:hAnsi="Calibri Light" w:cs="Calibri Light"/>
          <w:sz w:val="23"/>
          <w:szCs w:val="23"/>
        </w:rPr>
      </w:pPr>
      <w:r w:rsidRPr="009B5016">
        <w:rPr>
          <w:rFonts w:eastAsia="Calibri Light" w:cstheme="minorHAnsi"/>
          <w:sz w:val="23"/>
          <w:szCs w:val="23"/>
        </w:rPr>
        <w:lastRenderedPageBreak/>
        <w:t>Paper Garden + Floating Garden:</w:t>
      </w:r>
      <w:r w:rsidRPr="009B5016">
        <w:rPr>
          <w:rFonts w:ascii="Calibri Light" w:eastAsia="Calibri Light" w:hAnsi="Calibri Light" w:cs="Calibri Light"/>
          <w:sz w:val="23"/>
          <w:szCs w:val="23"/>
        </w:rPr>
        <w:t xml:space="preserve"> As of April 2021, two new participatory projects are underway: the Paper Garden, a “collaborative seedbed” for intergenerational knowledge-sharing, creativity, and community-building, sited in an old print factory in Canada Water, a major new development site in London’s Docklands; and a project involving young people and architects co-designing a floating garden on a barge along a nearby canal.</w:t>
      </w:r>
    </w:p>
    <w:p w14:paraId="1BD26CCC" w14:textId="1B0B7A3D" w:rsidR="00E268D6" w:rsidRPr="00E268D6" w:rsidRDefault="00E268D6" w:rsidP="00E268D6">
      <w:pPr>
        <w:spacing w:line="276" w:lineRule="auto"/>
        <w:rPr>
          <w:b/>
          <w:bCs/>
        </w:rPr>
      </w:pPr>
      <w:r w:rsidRPr="009B5016">
        <w:rPr>
          <w:rFonts w:ascii="Calibri Light" w:eastAsia="Calibri Light" w:hAnsi="Calibri Light" w:cs="Calibri Light"/>
          <w:sz w:val="23"/>
          <w:szCs w:val="23"/>
        </w:rPr>
        <w:t>Success factors include the lead agency’s expertise; its flexible, inclusive, and creative approach; effective community engagement strategies; a strong volunteer population; and robust partnerships with local councils, developers, businesses, schools, universities, and community organisations.</w:t>
      </w:r>
    </w:p>
    <w:p w14:paraId="72A49164" w14:textId="77777777" w:rsidR="00E268D6" w:rsidRPr="00BE4FC0" w:rsidRDefault="00E268D6" w:rsidP="00E268D6">
      <w:pPr>
        <w:pStyle w:val="Heading2"/>
        <w:rPr>
          <w:b/>
          <w:bCs/>
        </w:rPr>
      </w:pPr>
      <w:bookmarkStart w:id="19" w:name="_Toc108186444"/>
      <w:bookmarkStart w:id="20" w:name="_Hlk70864745"/>
      <w:r w:rsidRPr="27ED1008">
        <w:t>We Design for Life: Design-Led Policy Development</w:t>
      </w:r>
      <w:r w:rsidRPr="008F0FAA">
        <w:t xml:space="preserve"> </w:t>
      </w:r>
      <w:r>
        <w:t xml:space="preserve">and Participatory </w:t>
      </w:r>
      <w:r w:rsidRPr="27ED1008">
        <w:t>Urban Regeneration</w:t>
      </w:r>
      <w:bookmarkEnd w:id="19"/>
    </w:p>
    <w:p w14:paraId="4D9D50A7" w14:textId="225D25F7" w:rsidR="00E268D6" w:rsidRPr="00E268D6" w:rsidRDefault="00E268D6" w:rsidP="00D37790">
      <w:pPr>
        <w:rPr>
          <w:rFonts w:cstheme="minorHAnsi"/>
          <w:b/>
          <w:bCs/>
          <w:sz w:val="23"/>
          <w:szCs w:val="23"/>
        </w:rPr>
      </w:pPr>
      <w:r w:rsidRPr="00BE4FC0">
        <w:rPr>
          <w:rFonts w:cstheme="minorHAnsi"/>
          <w:sz w:val="23"/>
          <w:szCs w:val="23"/>
        </w:rPr>
        <w:t>Kolding, Denmark (2012–</w:t>
      </w:r>
      <w:r>
        <w:rPr>
          <w:rFonts w:cstheme="minorHAnsi"/>
          <w:sz w:val="23"/>
          <w:szCs w:val="23"/>
        </w:rPr>
        <w:t>present</w:t>
      </w:r>
      <w:r w:rsidRPr="00BE4FC0">
        <w:rPr>
          <w:rFonts w:cstheme="minorHAnsi"/>
          <w:sz w:val="23"/>
          <w:szCs w:val="23"/>
        </w:rPr>
        <w:t>)</w:t>
      </w:r>
      <w:bookmarkEnd w:id="20"/>
    </w:p>
    <w:p w14:paraId="272BEE30" w14:textId="77777777" w:rsidR="00E268D6" w:rsidRPr="00FD2DF0" w:rsidRDefault="00E268D6" w:rsidP="00E268D6">
      <w:pPr>
        <w:spacing w:after="0"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 xml:space="preserve">Main Practice Domain(s): </w:t>
      </w:r>
      <w:r w:rsidRPr="00E268D6">
        <w:rPr>
          <w:rFonts w:cstheme="minorHAnsi"/>
          <w:b/>
          <w:bCs/>
          <w:color w:val="595959" w:themeColor="text1" w:themeTint="A6"/>
          <w:sz w:val="23"/>
          <w:szCs w:val="23"/>
        </w:rPr>
        <w:tab/>
      </w:r>
      <w:r w:rsidRPr="00E268D6">
        <w:rPr>
          <w:rFonts w:cstheme="minorHAnsi"/>
          <w:b/>
          <w:bCs/>
          <w:color w:val="595959" w:themeColor="text1" w:themeTint="A6"/>
          <w:sz w:val="23"/>
          <w:szCs w:val="23"/>
        </w:rPr>
        <w:tab/>
        <w:t>Liveability</w:t>
      </w:r>
    </w:p>
    <w:p w14:paraId="285B8A56" w14:textId="32A67FD8" w:rsidR="00E268D6" w:rsidRPr="00E268D6" w:rsidRDefault="00E268D6" w:rsidP="00E268D6">
      <w:pPr>
        <w:spacing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 xml:space="preserve">Secondary Practice Domain(s): </w:t>
      </w:r>
      <w:r w:rsidRPr="00E268D6">
        <w:rPr>
          <w:rFonts w:cstheme="minorHAnsi"/>
          <w:b/>
          <w:bCs/>
          <w:color w:val="595959" w:themeColor="text1" w:themeTint="A6"/>
          <w:sz w:val="23"/>
          <w:szCs w:val="23"/>
        </w:rPr>
        <w:tab/>
        <w:t>Education, Employment, Housing, Health and Wellbeing</w:t>
      </w:r>
    </w:p>
    <w:p w14:paraId="7CBDE263" w14:textId="2A5F4BE8" w:rsidR="00E268D6" w:rsidRPr="000E3118" w:rsidRDefault="00E268D6" w:rsidP="00D37790">
      <w:pPr>
        <w:spacing w:line="276" w:lineRule="auto"/>
        <w:rPr>
          <w:rFonts w:asciiTheme="majorHAnsi" w:hAnsiTheme="majorHAnsi" w:cstheme="majorBidi"/>
          <w:sz w:val="23"/>
          <w:szCs w:val="23"/>
        </w:rPr>
      </w:pPr>
      <w:r w:rsidRPr="009B5016">
        <w:rPr>
          <w:rFonts w:asciiTheme="majorHAnsi" w:hAnsiTheme="majorHAnsi" w:cstheme="majorBidi"/>
          <w:sz w:val="23"/>
          <w:szCs w:val="23"/>
        </w:rPr>
        <w:t>Kolding (pop. 61,000) is a seaport city in Denmark. The city is now a high-tech manufacturing and transport hub, but its historic roots lie in textile manufacturing and silver production. A UNESCO City of Design since 2017, Kolding is part of Denmark’s Triangle Region, made up of seven Danish municipalities that cooperate economically and politically.</w:t>
      </w:r>
    </w:p>
    <w:p w14:paraId="568DE03A" w14:textId="07D14381" w:rsidR="00E268D6" w:rsidRPr="000E3118" w:rsidRDefault="00E268D6" w:rsidP="00D37790">
      <w:pPr>
        <w:spacing w:line="276" w:lineRule="auto"/>
        <w:rPr>
          <w:rFonts w:asciiTheme="majorHAnsi" w:hAnsiTheme="majorHAnsi" w:cstheme="majorBidi"/>
          <w:sz w:val="23"/>
          <w:szCs w:val="23"/>
        </w:rPr>
      </w:pPr>
      <w:r w:rsidRPr="009B5016">
        <w:rPr>
          <w:rFonts w:asciiTheme="majorHAnsi" w:hAnsiTheme="majorHAnsi" w:cstheme="majorBidi"/>
          <w:sz w:val="23"/>
          <w:szCs w:val="23"/>
        </w:rPr>
        <w:t xml:space="preserve">While English-language data on Kolding is scant, there is evidence of locational disadvantage. The suburb of Skovvejen/Skovparken, for example, is one of Denmark’s 15 legally designated “ghettos”, controversially defined as a neighbourhood of 1000-plus where 50 percent of residents have “non-Western” heritage, and where income, education, and employment levels are low. The area has a high concentration of social </w:t>
      </w:r>
      <w:r w:rsidR="00470DE2" w:rsidRPr="009B5016">
        <w:rPr>
          <w:rFonts w:asciiTheme="majorHAnsi" w:hAnsiTheme="majorHAnsi" w:cstheme="majorBidi"/>
          <w:sz w:val="23"/>
          <w:szCs w:val="23"/>
        </w:rPr>
        <w:t>housing,</w:t>
      </w:r>
      <w:r w:rsidRPr="009B5016">
        <w:rPr>
          <w:rFonts w:asciiTheme="majorHAnsi" w:hAnsiTheme="majorHAnsi" w:cstheme="majorBidi"/>
          <w:sz w:val="23"/>
          <w:szCs w:val="23"/>
        </w:rPr>
        <w:t xml:space="preserve"> and many residents are from refugee </w:t>
      </w:r>
      <w:r w:rsidR="000E3118">
        <w:rPr>
          <w:rFonts w:asciiTheme="majorHAnsi" w:hAnsiTheme="majorHAnsi" w:cstheme="majorBidi"/>
          <w:sz w:val="23"/>
          <w:szCs w:val="23"/>
        </w:rPr>
        <w:t>b</w:t>
      </w:r>
      <w:r w:rsidRPr="009B5016">
        <w:rPr>
          <w:rFonts w:asciiTheme="majorHAnsi" w:hAnsiTheme="majorHAnsi" w:cstheme="majorBidi"/>
          <w:sz w:val="23"/>
          <w:szCs w:val="23"/>
        </w:rPr>
        <w:t>ackgrounds (Overgaard, 2018; Barrett, 2020; Nord News, 2020).</w:t>
      </w:r>
    </w:p>
    <w:p w14:paraId="79D34C56" w14:textId="32652724" w:rsidR="00E268D6" w:rsidRPr="000E3118" w:rsidRDefault="00E268D6" w:rsidP="00D37790">
      <w:pPr>
        <w:spacing w:line="276" w:lineRule="auto"/>
        <w:rPr>
          <w:rFonts w:asciiTheme="majorHAnsi" w:hAnsiTheme="majorHAnsi" w:cstheme="majorBidi"/>
          <w:sz w:val="23"/>
          <w:szCs w:val="23"/>
        </w:rPr>
      </w:pPr>
      <w:r w:rsidRPr="009B5016">
        <w:rPr>
          <w:rFonts w:asciiTheme="majorHAnsi" w:hAnsiTheme="majorHAnsi" w:cstheme="majorBidi"/>
          <w:sz w:val="23"/>
          <w:szCs w:val="23"/>
        </w:rPr>
        <w:t>In 2010, the Kolding Municipal Council began exploring options to regenerate the city, which was being impacted by the GFC, an ageing population, and a lacklustre reputation. After conducting a survey on the city’s image, in 2012 Council engaged a consultant to run staff workshops and in-depth citizen interviews to pinpoint Kolding’s main strengths. Four “future scenarios” were then devised and tested in creative workshops with residents. Finally, 650 citizens attended a public meeting (“Vision Forum”) to explore scenarios in depth. SMS responses were streamed to a big screen, and attendees voted for their preferred scenario. Co-designed with 900 residents, the resulting Vision Statement positioned Kolding as a hub for entrepreneurship, social innovation, and education. In December 2012 it evolved into a municipal strategy called “We Design For Life”, which puts design at the centre of all civic processes.</w:t>
      </w:r>
    </w:p>
    <w:p w14:paraId="258D6656" w14:textId="6D9B68F1" w:rsidR="00E268D6" w:rsidRPr="000E3118" w:rsidRDefault="00E268D6" w:rsidP="00D37790">
      <w:pPr>
        <w:spacing w:line="276" w:lineRule="auto"/>
        <w:rPr>
          <w:rFonts w:asciiTheme="majorHAnsi" w:hAnsiTheme="majorHAnsi" w:cstheme="majorBidi"/>
          <w:sz w:val="23"/>
          <w:szCs w:val="23"/>
        </w:rPr>
      </w:pPr>
      <w:r w:rsidRPr="009B5016">
        <w:rPr>
          <w:rFonts w:asciiTheme="majorHAnsi" w:hAnsiTheme="majorHAnsi" w:cstheme="majorBidi"/>
          <w:sz w:val="23"/>
          <w:szCs w:val="23"/>
        </w:rPr>
        <w:t xml:space="preserve">Kolding’s approach went beyond the traditional formats for design-led regeneration: urban design (new/upgraded public facilities), creative industries approaches (attracting creative workers), cultural planning (devising events to attract investment), and place-branding. Criticisms of these approaches highlight their high cost, tendency to fragment into projects run by separate </w:t>
      </w:r>
      <w:r w:rsidRPr="009B5016">
        <w:rPr>
          <w:rFonts w:asciiTheme="majorHAnsi" w:hAnsiTheme="majorHAnsi" w:cstheme="majorBidi"/>
          <w:sz w:val="23"/>
          <w:szCs w:val="23"/>
        </w:rPr>
        <w:lastRenderedPageBreak/>
        <w:t>departments, and focus on material outcomes, rather than design-led processes (Julier &amp; Leerberg, 2014).</w:t>
      </w:r>
    </w:p>
    <w:p w14:paraId="3F0FDEB5" w14:textId="7E15CFB9" w:rsidR="00E268D6" w:rsidRPr="000E3118" w:rsidRDefault="00E268D6" w:rsidP="00D37790">
      <w:pPr>
        <w:spacing w:line="276" w:lineRule="auto"/>
        <w:rPr>
          <w:rFonts w:asciiTheme="majorHAnsi" w:hAnsiTheme="majorHAnsi" w:cstheme="majorBidi"/>
          <w:sz w:val="23"/>
          <w:szCs w:val="23"/>
        </w:rPr>
      </w:pPr>
      <w:r w:rsidRPr="009B5016">
        <w:rPr>
          <w:rFonts w:asciiTheme="majorHAnsi" w:hAnsiTheme="majorHAnsi" w:cstheme="majorBidi"/>
          <w:sz w:val="23"/>
          <w:szCs w:val="23"/>
        </w:rPr>
        <w:t>Kolding’s strategy exemplifies the emergent use of “design thinking” as a policy development tool (Armstrong et al, 2014). Design thinking is an exploratory, iterative, collaborative process in which participants redefine problems and co-create solutions. It emphasises empathy, observation, visualisation, prototyping, and testing (Mintrom &amp; Luetjens, 2016). To support the new strategy the City created a Design Secretariat, established a new role of Chief Design Officer, trained 25 staff in design thinking, engaged 250 municipal managers to revise council systems, and recruited</w:t>
      </w:r>
      <w:r w:rsidRPr="009B5016">
        <w:rPr>
          <w:sz w:val="23"/>
          <w:szCs w:val="23"/>
        </w:rPr>
        <w:t xml:space="preserve"> </w:t>
      </w:r>
      <w:r w:rsidRPr="009B5016">
        <w:rPr>
          <w:rFonts w:asciiTheme="majorHAnsi" w:hAnsiTheme="majorHAnsi" w:cstheme="majorBidi"/>
          <w:sz w:val="23"/>
          <w:szCs w:val="23"/>
        </w:rPr>
        <w:t>50 local representatives as “vision ambassadors”</w:t>
      </w:r>
      <w:r w:rsidRPr="009B5016">
        <w:rPr>
          <w:sz w:val="23"/>
          <w:szCs w:val="23"/>
        </w:rPr>
        <w:t xml:space="preserve"> </w:t>
      </w:r>
      <w:r w:rsidRPr="009B5016">
        <w:rPr>
          <w:rFonts w:asciiTheme="majorHAnsi" w:hAnsiTheme="majorHAnsi" w:cstheme="majorBidi"/>
          <w:sz w:val="23"/>
          <w:szCs w:val="23"/>
        </w:rPr>
        <w:t>(Jungersen &amp; Hansen 2014).</w:t>
      </w:r>
    </w:p>
    <w:p w14:paraId="5EDF9E78" w14:textId="77777777" w:rsidR="00E268D6" w:rsidRPr="009B5016" w:rsidRDefault="00E268D6" w:rsidP="00D37790">
      <w:pPr>
        <w:spacing w:line="276" w:lineRule="auto"/>
        <w:rPr>
          <w:rFonts w:asciiTheme="majorHAnsi" w:hAnsiTheme="majorHAnsi" w:cstheme="majorBidi"/>
          <w:b/>
          <w:bCs/>
          <w:sz w:val="23"/>
          <w:szCs w:val="23"/>
        </w:rPr>
      </w:pPr>
      <w:r w:rsidRPr="009B5016">
        <w:rPr>
          <w:rFonts w:asciiTheme="majorHAnsi" w:hAnsiTheme="majorHAnsi" w:cstheme="majorBidi"/>
          <w:sz w:val="23"/>
          <w:szCs w:val="23"/>
        </w:rPr>
        <w:t>One evaluation found Kolding’s shift to design-driven processes reduced the municipality’s expenses by 6.6 million Euros per year from 2013–2015 (UNESCO, n.d.). Success factors include effective citizen engagement; partnerships with local universities and business associations; and an existing Danish governance culture that emphasise co-creation, participation, and decentralised decision-making. Detailed English-language sources are scant, but many initiatives evidently seek to engage citizens in addressing social disadvantage and/or sustainability. Examples include:</w:t>
      </w:r>
    </w:p>
    <w:p w14:paraId="43CF3DD5" w14:textId="77777777" w:rsidR="00E268D6" w:rsidRPr="009B5016" w:rsidRDefault="00E268D6" w:rsidP="00470DE2">
      <w:pPr>
        <w:numPr>
          <w:ilvl w:val="0"/>
          <w:numId w:val="5"/>
        </w:numPr>
        <w:spacing w:after="120" w:line="276" w:lineRule="auto"/>
        <w:ind w:left="357" w:hanging="357"/>
        <w:rPr>
          <w:rFonts w:asciiTheme="majorHAnsi" w:eastAsia="Times New Roman" w:hAnsiTheme="majorHAnsi" w:cstheme="majorBidi"/>
          <w:b/>
          <w:bCs/>
          <w:sz w:val="23"/>
          <w:szCs w:val="23"/>
          <w:lang w:eastAsia="en-AU"/>
        </w:rPr>
      </w:pPr>
      <w:r w:rsidRPr="009B5016">
        <w:rPr>
          <w:rFonts w:eastAsia="Times New Roman" w:cstheme="minorHAnsi"/>
          <w:sz w:val="23"/>
          <w:szCs w:val="23"/>
          <w:lang w:eastAsia="en-AU"/>
        </w:rPr>
        <w:t>RE:USE</w:t>
      </w:r>
      <w:r w:rsidRPr="009B5016">
        <w:rPr>
          <w:rFonts w:asciiTheme="majorHAnsi" w:eastAsia="Times New Roman" w:hAnsiTheme="majorHAnsi" w:cstheme="majorBidi"/>
          <w:sz w:val="23"/>
          <w:szCs w:val="23"/>
          <w:lang w:eastAsia="en-AU"/>
        </w:rPr>
        <w:t xml:space="preserve"> circular economy project: unwanted household items are donated to the city’s recycling depot, upcycled by staff, and displayed in a showroom. Unemployed citizens can collect the items for free. In 2018, 36.5 tons of furniture and appliances were donated to vulnerable residents; 52 unemployed people worked in the project, 50 percent of whom subsequently took up employment, internships, or education opportunities (Kolding Municipality, 2019: 14–15).</w:t>
      </w:r>
    </w:p>
    <w:p w14:paraId="0083DEDD" w14:textId="77777777" w:rsidR="00E268D6" w:rsidRPr="009B5016" w:rsidRDefault="00E268D6" w:rsidP="00470DE2">
      <w:pPr>
        <w:numPr>
          <w:ilvl w:val="0"/>
          <w:numId w:val="5"/>
        </w:numPr>
        <w:spacing w:after="120" w:line="276" w:lineRule="auto"/>
        <w:ind w:left="357" w:hanging="357"/>
        <w:rPr>
          <w:rFonts w:asciiTheme="majorHAnsi" w:eastAsia="Times New Roman" w:hAnsiTheme="majorHAnsi" w:cstheme="majorBidi"/>
          <w:b/>
          <w:bCs/>
          <w:sz w:val="23"/>
          <w:szCs w:val="23"/>
          <w:lang w:eastAsia="en-AU"/>
        </w:rPr>
      </w:pPr>
      <w:r w:rsidRPr="009B5016">
        <w:rPr>
          <w:rFonts w:eastAsia="Times New Roman" w:cstheme="minorHAnsi"/>
          <w:sz w:val="23"/>
          <w:szCs w:val="23"/>
          <w:lang w:eastAsia="en-AU"/>
        </w:rPr>
        <w:t>Sustainable City:</w:t>
      </w:r>
      <w:r w:rsidRPr="009B5016">
        <w:rPr>
          <w:rFonts w:asciiTheme="majorHAnsi" w:eastAsia="Times New Roman" w:hAnsiTheme="majorHAnsi" w:cstheme="majorBidi"/>
          <w:sz w:val="23"/>
          <w:szCs w:val="23"/>
          <w:lang w:eastAsia="en-AU"/>
        </w:rPr>
        <w:t xml:space="preserve"> retrofitted portable shipping container where citizens co-design sustainability projects (repair events, urban gardens, sustainable festivals) with municipal staff (ICLEI, n.d.).</w:t>
      </w:r>
    </w:p>
    <w:p w14:paraId="5E096687" w14:textId="77777777" w:rsidR="00E268D6" w:rsidRPr="009B5016" w:rsidRDefault="00E268D6" w:rsidP="00470DE2">
      <w:pPr>
        <w:numPr>
          <w:ilvl w:val="0"/>
          <w:numId w:val="5"/>
        </w:numPr>
        <w:spacing w:after="120" w:line="276" w:lineRule="auto"/>
        <w:ind w:left="357" w:hanging="357"/>
        <w:rPr>
          <w:rFonts w:asciiTheme="majorHAnsi" w:eastAsia="Times New Roman" w:hAnsiTheme="majorHAnsi" w:cstheme="majorBidi"/>
          <w:b/>
          <w:bCs/>
          <w:sz w:val="23"/>
          <w:szCs w:val="23"/>
          <w:lang w:eastAsia="en-AU"/>
        </w:rPr>
      </w:pPr>
      <w:r w:rsidRPr="009B5016">
        <w:rPr>
          <w:rFonts w:eastAsia="Times New Roman" w:cstheme="minorHAnsi"/>
          <w:sz w:val="23"/>
          <w:szCs w:val="23"/>
          <w:lang w:eastAsia="en-AU"/>
        </w:rPr>
        <w:t>International Design Camp 2017:</w:t>
      </w:r>
      <w:r w:rsidRPr="009B5016">
        <w:rPr>
          <w:rFonts w:asciiTheme="majorHAnsi" w:eastAsia="Times New Roman" w:hAnsiTheme="majorHAnsi" w:cstheme="majorBidi"/>
          <w:sz w:val="23"/>
          <w:szCs w:val="23"/>
          <w:lang w:eastAsia="en-AU"/>
        </w:rPr>
        <w:t xml:space="preserve"> over two weeks, Danish and international students joined companies, designers and researchers to co-design “scalable design solutions to meet the world’s sustainability challenges” (partnership with Kolding Design School and Business Kolding)</w:t>
      </w:r>
    </w:p>
    <w:p w14:paraId="29AF2342" w14:textId="77777777" w:rsidR="00E268D6" w:rsidRPr="009B5016" w:rsidRDefault="00E268D6" w:rsidP="00470DE2">
      <w:pPr>
        <w:numPr>
          <w:ilvl w:val="0"/>
          <w:numId w:val="5"/>
        </w:numPr>
        <w:spacing w:after="120" w:line="276" w:lineRule="auto"/>
        <w:ind w:left="357" w:hanging="357"/>
        <w:rPr>
          <w:rFonts w:asciiTheme="majorHAnsi" w:eastAsia="Times New Roman" w:hAnsiTheme="majorHAnsi" w:cstheme="majorBidi"/>
          <w:b/>
          <w:bCs/>
          <w:sz w:val="23"/>
          <w:szCs w:val="23"/>
          <w:lang w:eastAsia="en-AU"/>
        </w:rPr>
      </w:pPr>
      <w:r w:rsidRPr="009B5016">
        <w:rPr>
          <w:rFonts w:eastAsia="Times New Roman" w:cstheme="minorHAnsi"/>
          <w:sz w:val="23"/>
          <w:szCs w:val="23"/>
          <w:lang w:eastAsia="en-AU"/>
        </w:rPr>
        <w:t>Sustainable Social Housing Project:</w:t>
      </w:r>
      <w:r w:rsidRPr="009B5016">
        <w:rPr>
          <w:rFonts w:asciiTheme="majorHAnsi" w:eastAsia="Times New Roman" w:hAnsiTheme="majorHAnsi" w:cstheme="majorBidi"/>
          <w:sz w:val="23"/>
          <w:szCs w:val="23"/>
          <w:lang w:eastAsia="en-AU"/>
        </w:rPr>
        <w:t xml:space="preserve"> university-City partnership that challenged PhD students to design strategies to upgrade Kolding’s social housing spaces (Jungersen &amp; Calleja, 2017: 5)</w:t>
      </w:r>
    </w:p>
    <w:p w14:paraId="3EE87497" w14:textId="77777777" w:rsidR="00E268D6" w:rsidRPr="009B5016" w:rsidRDefault="00E268D6" w:rsidP="00470DE2">
      <w:pPr>
        <w:numPr>
          <w:ilvl w:val="0"/>
          <w:numId w:val="5"/>
        </w:numPr>
        <w:spacing w:after="120" w:line="276" w:lineRule="auto"/>
        <w:ind w:left="357" w:hanging="357"/>
        <w:rPr>
          <w:rFonts w:asciiTheme="majorHAnsi" w:eastAsia="Times New Roman" w:hAnsiTheme="majorHAnsi" w:cstheme="majorBidi"/>
          <w:b/>
          <w:bCs/>
          <w:sz w:val="23"/>
          <w:szCs w:val="23"/>
          <w:lang w:eastAsia="en-AU"/>
        </w:rPr>
      </w:pPr>
      <w:r w:rsidRPr="009B5016">
        <w:rPr>
          <w:rFonts w:eastAsia="Times New Roman" w:cstheme="minorHAnsi"/>
          <w:sz w:val="23"/>
          <w:szCs w:val="23"/>
          <w:lang w:eastAsia="en-AU"/>
        </w:rPr>
        <w:t>Warm Hearted Job Centre</w:t>
      </w:r>
      <w:r w:rsidRPr="009B5016">
        <w:rPr>
          <w:rFonts w:asciiTheme="majorHAnsi" w:eastAsia="Times New Roman" w:hAnsiTheme="majorHAnsi" w:cstheme="majorBidi"/>
          <w:sz w:val="23"/>
          <w:szCs w:val="23"/>
          <w:lang w:eastAsia="en-AU"/>
        </w:rPr>
        <w:t xml:space="preserve"> (2015): jobseekers found Kolding’s Job Centre unwelcoming and did not enjoy engaging with staff. This intervention sought to make the place more “warm hearted” for them. Workshops were run, and a script for a “warm hearted” phone conversation was developed; the user journey through the centre was mapped, décor upgraded, and architectural firms submitted proposals for a café in the foyer. An evaluation found improved user perceptions of interactions with staff (City of Kolding, 2017).</w:t>
      </w:r>
    </w:p>
    <w:p w14:paraId="76CDA7FC" w14:textId="77777777" w:rsidR="00E268D6" w:rsidRDefault="00E268D6" w:rsidP="0068158D">
      <w:pPr>
        <w:rPr>
          <w:rFonts w:ascii="Calibri Light" w:eastAsia="Calibri Light" w:hAnsi="Calibri Light" w:cs="Calibri Light"/>
          <w:color w:val="000000" w:themeColor="text1"/>
          <w:sz w:val="23"/>
          <w:szCs w:val="23"/>
        </w:rPr>
      </w:pPr>
    </w:p>
    <w:p w14:paraId="4AB2544D" w14:textId="77777777" w:rsidR="00E268D6" w:rsidRDefault="00E268D6" w:rsidP="00E268D6">
      <w:pPr>
        <w:pStyle w:val="Heading2"/>
      </w:pPr>
      <w:bookmarkStart w:id="21" w:name="_Toc108186445"/>
      <w:bookmarkStart w:id="22" w:name="_Hlk70864771"/>
      <w:r w:rsidRPr="359636AC">
        <w:rPr>
          <w:rFonts w:eastAsia="Calibri"/>
        </w:rPr>
        <w:lastRenderedPageBreak/>
        <w:t>All Right? Community-Led Mental Health Initiative For Disaster Recovery</w:t>
      </w:r>
      <w:bookmarkEnd w:id="21"/>
    </w:p>
    <w:p w14:paraId="09DEFDF7" w14:textId="0D6F2680" w:rsidR="00E268D6" w:rsidRPr="00E268D6" w:rsidRDefault="00E268D6" w:rsidP="00E268D6">
      <w:pPr>
        <w:spacing w:line="276" w:lineRule="auto"/>
        <w:rPr>
          <w:rFonts w:ascii="Calibri" w:eastAsia="Calibri" w:hAnsi="Calibri" w:cs="Calibri"/>
          <w:b/>
          <w:bCs/>
          <w:sz w:val="23"/>
          <w:szCs w:val="23"/>
        </w:rPr>
      </w:pPr>
      <w:r w:rsidRPr="359636AC">
        <w:rPr>
          <w:rFonts w:ascii="Calibri" w:eastAsia="Calibri" w:hAnsi="Calibri" w:cs="Calibri"/>
          <w:sz w:val="23"/>
          <w:szCs w:val="23"/>
        </w:rPr>
        <w:t>Christchurch (2013–</w:t>
      </w:r>
      <w:r>
        <w:rPr>
          <w:rFonts w:ascii="Calibri" w:eastAsia="Calibri" w:hAnsi="Calibri" w:cs="Calibri"/>
          <w:sz w:val="23"/>
          <w:szCs w:val="23"/>
        </w:rPr>
        <w:t>present</w:t>
      </w:r>
      <w:r w:rsidRPr="359636AC">
        <w:rPr>
          <w:rFonts w:ascii="Calibri" w:eastAsia="Calibri" w:hAnsi="Calibri" w:cs="Calibri"/>
          <w:sz w:val="23"/>
          <w:szCs w:val="23"/>
        </w:rPr>
        <w:t>)</w:t>
      </w:r>
      <w:bookmarkEnd w:id="22"/>
    </w:p>
    <w:p w14:paraId="4AC1A18E" w14:textId="77777777" w:rsidR="00E268D6" w:rsidRPr="00E268D6" w:rsidRDefault="00E268D6" w:rsidP="00E268D6">
      <w:pPr>
        <w:spacing w:after="0"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 xml:space="preserve">Main Practice Domain(s): </w:t>
      </w:r>
      <w:r w:rsidRPr="00E268D6">
        <w:rPr>
          <w:rFonts w:cstheme="minorHAnsi"/>
          <w:b/>
          <w:bCs/>
          <w:color w:val="595959" w:themeColor="text1" w:themeTint="A6"/>
          <w:sz w:val="23"/>
          <w:szCs w:val="23"/>
        </w:rPr>
        <w:tab/>
      </w:r>
      <w:r w:rsidRPr="00E268D6">
        <w:rPr>
          <w:rFonts w:cstheme="minorHAnsi"/>
          <w:b/>
          <w:bCs/>
          <w:color w:val="595959" w:themeColor="text1" w:themeTint="A6"/>
          <w:sz w:val="23"/>
          <w:szCs w:val="23"/>
        </w:rPr>
        <w:tab/>
        <w:t xml:space="preserve">Health and Wellbeing </w:t>
      </w:r>
    </w:p>
    <w:p w14:paraId="4CA0E985" w14:textId="6520EBDF" w:rsidR="00E268D6" w:rsidRPr="000E3118" w:rsidRDefault="00E268D6" w:rsidP="000E3118">
      <w:pPr>
        <w:spacing w:line="276" w:lineRule="auto"/>
        <w:rPr>
          <w:rFonts w:cstheme="minorHAnsi"/>
          <w:b/>
          <w:bCs/>
          <w:color w:val="595959" w:themeColor="text1" w:themeTint="A6"/>
          <w:sz w:val="23"/>
          <w:szCs w:val="23"/>
        </w:rPr>
      </w:pPr>
      <w:r w:rsidRPr="00E268D6">
        <w:rPr>
          <w:rFonts w:cstheme="minorHAnsi"/>
          <w:b/>
          <w:bCs/>
          <w:color w:val="595959" w:themeColor="text1" w:themeTint="A6"/>
          <w:sz w:val="23"/>
          <w:szCs w:val="23"/>
        </w:rPr>
        <w:t xml:space="preserve">Secondary Practice Domain(s): </w:t>
      </w:r>
      <w:r w:rsidRPr="00E268D6">
        <w:rPr>
          <w:rFonts w:cstheme="minorHAnsi"/>
          <w:b/>
          <w:bCs/>
          <w:color w:val="595959" w:themeColor="text1" w:themeTint="A6"/>
          <w:sz w:val="23"/>
          <w:szCs w:val="23"/>
        </w:rPr>
        <w:tab/>
        <w:t xml:space="preserve">Education, Employment, Housing </w:t>
      </w:r>
    </w:p>
    <w:p w14:paraId="204C9D13" w14:textId="3B05B5D6" w:rsidR="00E268D6" w:rsidRPr="000E3118" w:rsidRDefault="00E268D6" w:rsidP="00D37790">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In 2010 and 2011, the city of Christchurch was rocked by a series of devastating earthquakes that killed 185 people, injured 6659 more, destroyed over 10,000 homes, and reduced much of the city to rubble. In the aftermath, safeguarding residents’ wellbeing became an urgent priority for local government. The disaster sparked trauma, anxiety, and chronic stress, and exacerbated hardship and disadvantage (Sullivan &amp; Wong, 2011; Thornley et al, 2015). In a survey of 800 residents in 2012, almost one-third of respondents said the earthquakes had caused them financial problems, over one third stated that their life was worse since the quakes, and one third said they were now experiencing more health issues (All Right? 2013).</w:t>
      </w:r>
    </w:p>
    <w:p w14:paraId="51FA8979" w14:textId="651D94D4" w:rsidR="00E268D6" w:rsidRPr="000E3118" w:rsidRDefault="00E268D6" w:rsidP="00D37790">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Launched in February 2013, All Right? began as a mental health promotion campaign designed to support the psychosocial recovery of Christchurch residents (pop. 390,000) and the wider Canterbury region (pop. 645,000) after the quakes. It was a community-led project, with the campaign designed by a cross-disciplinary project team made up of local residents. The initial rollout featured validating messages and gentle questions about mental health, self-care, and the importance of seeking support from family and friends. These conversation prompts were placed on hoardings, road cones, and banners around the city. The campaign was deliberately designed to resemble guerrilla street art, not a branded official government message (SRRG, 2019: 54–62).</w:t>
      </w:r>
    </w:p>
    <w:p w14:paraId="1B131D93" w14:textId="3AE36ACC" w:rsidR="00E268D6" w:rsidRPr="000E3118" w:rsidRDefault="00E268D6" w:rsidP="00D37790">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The All Right? program sought to normalise conversations around wellbeing, promote responsibility-sharing, and build community capacity and resilience. It was informed by the “social determinants of health” approach, local action research, and academic literature on disaster recovery. It drew on a briefing paper by NZ’s Chief Science Advisor about the likely psychosocial effects of the quakes, and strategies for mitigating harm (Gluckman, 2011). Post-disaster research posits four stages of recovery: the Heroic Phase, Honeymoon Phase, Disillusionment Phase, and Reconstruction Phase. All Right? was launched two years after the main quakes, during the “disillusionment phase”, when people begin to grasp how long recovery will take and start feeling frustrated, tired, overwhelmed, and a sense of grief (SRRG, 2019: 57).</w:t>
      </w:r>
    </w:p>
    <w:p w14:paraId="249B6952" w14:textId="4184EF86" w:rsidR="00E268D6" w:rsidRPr="000E3118" w:rsidRDefault="00E268D6" w:rsidP="00D37790">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All Right? has evolved into an ongoing, national wellbeing and mental health program. It runs social media campaigns, publishes research, and provides free online and hard-copy resources for kids and adults, including apps, games, and parenting courses. Playful and creative elements have included singing telegrams, reassurance postcards, and tear-off complement posters. Project partners include the Canterbury District Health Board and the Mental Health Foundation of New Zealand (All Right? n.d.).</w:t>
      </w:r>
    </w:p>
    <w:p w14:paraId="7B90CD5F" w14:textId="23E5B23C" w:rsidR="00E268D6" w:rsidRPr="000E3118" w:rsidRDefault="00E268D6" w:rsidP="00D37790">
      <w:pPr>
        <w:spacing w:line="276" w:lineRule="auto"/>
        <w:rPr>
          <w:rFonts w:ascii="Calibri Light" w:eastAsia="Calibri Light" w:hAnsi="Calibri Light" w:cs="Calibri Light"/>
          <w:sz w:val="23"/>
          <w:szCs w:val="23"/>
        </w:rPr>
      </w:pPr>
      <w:r w:rsidRPr="009B5016">
        <w:rPr>
          <w:rFonts w:ascii="Calibri Light" w:eastAsia="Calibri Light" w:hAnsi="Calibri Light" w:cs="Calibri Light"/>
          <w:sz w:val="23"/>
          <w:szCs w:val="23"/>
        </w:rPr>
        <w:t xml:space="preserve">A </w:t>
      </w:r>
      <w:hyperlink r:id="rId13" w:history="1">
        <w:r w:rsidRPr="009B5016">
          <w:rPr>
            <w:rStyle w:val="Hyperlink"/>
            <w:rFonts w:ascii="Calibri Light" w:eastAsia="Calibri Light" w:hAnsi="Calibri Light" w:cs="Calibri Light"/>
            <w:sz w:val="23"/>
            <w:szCs w:val="23"/>
          </w:rPr>
          <w:t>2019 evaluation</w:t>
        </w:r>
      </w:hyperlink>
      <w:r w:rsidRPr="00822646">
        <w:rPr>
          <w:rFonts w:ascii="Calibri Light" w:eastAsia="Calibri Light" w:hAnsi="Calibri Light" w:cs="Calibri Light"/>
          <w:sz w:val="23"/>
          <w:szCs w:val="23"/>
        </w:rPr>
        <w:t xml:space="preserve"> </w:t>
      </w:r>
      <w:r w:rsidRPr="009B5016">
        <w:rPr>
          <w:rFonts w:ascii="Calibri Light" w:eastAsia="Calibri Light" w:hAnsi="Calibri Light" w:cs="Calibri Light"/>
          <w:sz w:val="23"/>
          <w:szCs w:val="23"/>
        </w:rPr>
        <w:t>found that 98 percent of respondents said the All Right? campaign’s social media messages were helpful, and 96 percent said it gave them ideas about ways to help themselves (SRRG, 2019: 61). Success factors include a clear policy mandate, ongoing funding, sound research and evaluation, a basis in established practice models, effective engagement tools, and a diverse multidisciplinary team who built community trust (SRRG, 2019: 58–59).</w:t>
      </w:r>
      <w:r w:rsidRPr="009B5016">
        <w:t xml:space="preserve"> </w:t>
      </w:r>
      <w:r w:rsidRPr="009B5016">
        <w:rPr>
          <w:rFonts w:ascii="Calibri Light" w:eastAsia="Calibri Light" w:hAnsi="Calibri Light" w:cs="Calibri Light"/>
          <w:sz w:val="23"/>
          <w:szCs w:val="23"/>
        </w:rPr>
        <w:t xml:space="preserve">The </w:t>
      </w:r>
      <w:r w:rsidRPr="009B5016">
        <w:rPr>
          <w:rFonts w:ascii="Calibri Light" w:eastAsia="Calibri Light" w:hAnsi="Calibri Light" w:cs="Calibri Light"/>
          <w:sz w:val="23"/>
          <w:szCs w:val="23"/>
        </w:rPr>
        <w:lastRenderedPageBreak/>
        <w:t>program also helped foster several community-led recovery projects, including River of Flowers (annual memorial event), the participatory place-making project Gap Filler (tactical urbanism), and Greening the Rubble (urban greening). A “Champions Network” of residents who were recruited early in the campaign remains connected, with 60 members reuniting after the 2019 mosque attacks.</w:t>
      </w:r>
    </w:p>
    <w:p w14:paraId="6AE4649D" w14:textId="0EB0FCA7" w:rsidR="0068158D" w:rsidRPr="0059393F" w:rsidRDefault="00E268D6" w:rsidP="00470DE2">
      <w:pPr>
        <w:spacing w:line="276" w:lineRule="auto"/>
        <w:rPr>
          <w:rFonts w:asciiTheme="majorHAnsi" w:hAnsiTheme="majorHAnsi" w:cstheme="majorBidi"/>
          <w:color w:val="000000" w:themeColor="text1"/>
          <w:sz w:val="16"/>
          <w:szCs w:val="16"/>
        </w:rPr>
      </w:pPr>
      <w:r w:rsidRPr="009B5016">
        <w:rPr>
          <w:rFonts w:ascii="Calibri Light" w:eastAsia="Calibri Light" w:hAnsi="Calibri Light" w:cs="Calibri Light"/>
          <w:sz w:val="23"/>
          <w:szCs w:val="23"/>
        </w:rPr>
        <w:t>Despite schooling disruptions, a 2017 study found that overall, the quakes did not impact school completion rates for students who remained living in Christchurch after the quakes. The study suggests post-quake health-promotion initiatives likely served as a protective factor, increasing community cohesion and helping residents manage stress (Beaglehole et al., 2017: 73).</w:t>
      </w:r>
    </w:p>
    <w:sectPr w:rsidR="0068158D" w:rsidRPr="0059393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50A26" w14:textId="77777777" w:rsidR="00E316C1" w:rsidRDefault="00E316C1" w:rsidP="0068158D">
      <w:pPr>
        <w:spacing w:after="0" w:line="240" w:lineRule="auto"/>
      </w:pPr>
      <w:r>
        <w:separator/>
      </w:r>
    </w:p>
  </w:endnote>
  <w:endnote w:type="continuationSeparator" w:id="0">
    <w:p w14:paraId="022CE26F" w14:textId="77777777" w:rsidR="00E316C1" w:rsidRDefault="00E316C1" w:rsidP="0068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2DFA" w14:textId="77777777" w:rsidR="003B4BC4" w:rsidRDefault="003B4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7300"/>
      <w:docPartObj>
        <w:docPartGallery w:val="Page Numbers (Bottom of Page)"/>
        <w:docPartUnique/>
      </w:docPartObj>
    </w:sdtPr>
    <w:sdtEndPr>
      <w:rPr>
        <w:noProof/>
      </w:rPr>
    </w:sdtEndPr>
    <w:sdtContent>
      <w:p w14:paraId="1B628693" w14:textId="5618CCC1" w:rsidR="000E3118" w:rsidRDefault="000E31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CB82AF" w14:textId="77777777" w:rsidR="0068158D" w:rsidRDefault="00681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9F39" w14:textId="77777777" w:rsidR="003B4BC4" w:rsidRDefault="003B4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7DE0D" w14:textId="77777777" w:rsidR="00E316C1" w:rsidRDefault="00E316C1" w:rsidP="0068158D">
      <w:pPr>
        <w:spacing w:after="0" w:line="240" w:lineRule="auto"/>
      </w:pPr>
      <w:r>
        <w:separator/>
      </w:r>
    </w:p>
  </w:footnote>
  <w:footnote w:type="continuationSeparator" w:id="0">
    <w:p w14:paraId="069841E8" w14:textId="77777777" w:rsidR="00E316C1" w:rsidRDefault="00E316C1" w:rsidP="00681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AFCA" w14:textId="77777777" w:rsidR="003B4BC4" w:rsidRDefault="003B4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66C4" w14:textId="77777777" w:rsidR="003B4BC4" w:rsidRDefault="003B4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5742" w14:textId="77777777" w:rsidR="003B4BC4" w:rsidRDefault="003B4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2AA"/>
    <w:multiLevelType w:val="hybridMultilevel"/>
    <w:tmpl w:val="AA60C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8B7797"/>
    <w:multiLevelType w:val="hybridMultilevel"/>
    <w:tmpl w:val="68108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B27F91"/>
    <w:multiLevelType w:val="hybridMultilevel"/>
    <w:tmpl w:val="7AE8B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FA69AA"/>
    <w:multiLevelType w:val="hybridMultilevel"/>
    <w:tmpl w:val="B7F27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FA611C"/>
    <w:multiLevelType w:val="hybridMultilevel"/>
    <w:tmpl w:val="4ED838B2"/>
    <w:lvl w:ilvl="0" w:tplc="0C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8D"/>
    <w:rsid w:val="000B1559"/>
    <w:rsid w:val="000E3118"/>
    <w:rsid w:val="00156E28"/>
    <w:rsid w:val="00164F6E"/>
    <w:rsid w:val="0021775A"/>
    <w:rsid w:val="002E2B34"/>
    <w:rsid w:val="00324F26"/>
    <w:rsid w:val="003B4BC4"/>
    <w:rsid w:val="00470DE2"/>
    <w:rsid w:val="005E69AE"/>
    <w:rsid w:val="0068158D"/>
    <w:rsid w:val="009B5016"/>
    <w:rsid w:val="00C52A80"/>
    <w:rsid w:val="00CB4235"/>
    <w:rsid w:val="00D37790"/>
    <w:rsid w:val="00E268D6"/>
    <w:rsid w:val="00E316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AB967"/>
  <w15:chartTrackingRefBased/>
  <w15:docId w15:val="{5ABBB508-271D-47ED-99B2-A5859469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8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268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158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58D"/>
  </w:style>
  <w:style w:type="paragraph" w:styleId="Footer">
    <w:name w:val="footer"/>
    <w:basedOn w:val="Normal"/>
    <w:link w:val="FooterChar"/>
    <w:uiPriority w:val="99"/>
    <w:unhideWhenUsed/>
    <w:rsid w:val="00681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58D"/>
  </w:style>
  <w:style w:type="character" w:customStyle="1" w:styleId="Heading1Char">
    <w:name w:val="Heading 1 Char"/>
    <w:basedOn w:val="DefaultParagraphFont"/>
    <w:link w:val="Heading1"/>
    <w:uiPriority w:val="9"/>
    <w:rsid w:val="00E268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68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8158D"/>
    <w:rPr>
      <w:rFonts w:asciiTheme="majorHAnsi" w:eastAsiaTheme="majorEastAsia" w:hAnsiTheme="majorHAnsi" w:cstheme="majorBidi"/>
      <w:color w:val="1F3763" w:themeColor="accent1" w:themeShade="7F"/>
      <w:sz w:val="24"/>
      <w:szCs w:val="24"/>
      <w:lang w:val="en-US" w:eastAsia="zh-CN"/>
    </w:rPr>
  </w:style>
  <w:style w:type="table" w:styleId="TableGrid">
    <w:name w:val="Table Grid"/>
    <w:basedOn w:val="TableNormal"/>
    <w:uiPriority w:val="39"/>
    <w:rsid w:val="00681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58D"/>
    <w:pPr>
      <w:ind w:left="720"/>
      <w:contextualSpacing/>
    </w:pPr>
  </w:style>
  <w:style w:type="character" w:styleId="CommentReference">
    <w:name w:val="annotation reference"/>
    <w:basedOn w:val="DefaultParagraphFont"/>
    <w:uiPriority w:val="99"/>
    <w:semiHidden/>
    <w:unhideWhenUsed/>
    <w:rsid w:val="0068158D"/>
    <w:rPr>
      <w:sz w:val="16"/>
      <w:szCs w:val="16"/>
    </w:rPr>
  </w:style>
  <w:style w:type="paragraph" w:styleId="CommentText">
    <w:name w:val="annotation text"/>
    <w:basedOn w:val="Normal"/>
    <w:link w:val="CommentTextChar"/>
    <w:uiPriority w:val="99"/>
    <w:unhideWhenUsed/>
    <w:rsid w:val="0068158D"/>
    <w:pPr>
      <w:spacing w:line="240" w:lineRule="auto"/>
    </w:pPr>
    <w:rPr>
      <w:sz w:val="20"/>
      <w:szCs w:val="20"/>
    </w:rPr>
  </w:style>
  <w:style w:type="character" w:customStyle="1" w:styleId="CommentTextChar">
    <w:name w:val="Comment Text Char"/>
    <w:basedOn w:val="DefaultParagraphFont"/>
    <w:link w:val="CommentText"/>
    <w:uiPriority w:val="99"/>
    <w:rsid w:val="0068158D"/>
    <w:rPr>
      <w:sz w:val="20"/>
      <w:szCs w:val="20"/>
    </w:rPr>
  </w:style>
  <w:style w:type="paragraph" w:styleId="CommentSubject">
    <w:name w:val="annotation subject"/>
    <w:basedOn w:val="CommentText"/>
    <w:next w:val="CommentText"/>
    <w:link w:val="CommentSubjectChar"/>
    <w:uiPriority w:val="99"/>
    <w:semiHidden/>
    <w:unhideWhenUsed/>
    <w:rsid w:val="0068158D"/>
    <w:rPr>
      <w:b/>
      <w:bCs/>
    </w:rPr>
  </w:style>
  <w:style w:type="character" w:customStyle="1" w:styleId="CommentSubjectChar">
    <w:name w:val="Comment Subject Char"/>
    <w:basedOn w:val="CommentTextChar"/>
    <w:link w:val="CommentSubject"/>
    <w:uiPriority w:val="99"/>
    <w:semiHidden/>
    <w:rsid w:val="0068158D"/>
    <w:rPr>
      <w:b/>
      <w:bCs/>
      <w:sz w:val="20"/>
      <w:szCs w:val="20"/>
    </w:rPr>
  </w:style>
  <w:style w:type="paragraph" w:styleId="BalloonText">
    <w:name w:val="Balloon Text"/>
    <w:basedOn w:val="Normal"/>
    <w:link w:val="BalloonTextChar"/>
    <w:uiPriority w:val="99"/>
    <w:semiHidden/>
    <w:unhideWhenUsed/>
    <w:rsid w:val="00681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58D"/>
    <w:rPr>
      <w:rFonts w:ascii="Segoe UI" w:hAnsi="Segoe UI" w:cs="Segoe UI"/>
      <w:sz w:val="18"/>
      <w:szCs w:val="18"/>
    </w:rPr>
  </w:style>
  <w:style w:type="character" w:styleId="Hyperlink">
    <w:name w:val="Hyperlink"/>
    <w:basedOn w:val="DefaultParagraphFont"/>
    <w:uiPriority w:val="99"/>
    <w:unhideWhenUsed/>
    <w:rsid w:val="0068158D"/>
    <w:rPr>
      <w:color w:val="0563C1" w:themeColor="hyperlink"/>
      <w:u w:val="single"/>
    </w:rPr>
  </w:style>
  <w:style w:type="character" w:customStyle="1" w:styleId="UnresolvedMention1">
    <w:name w:val="Unresolved Mention1"/>
    <w:basedOn w:val="DefaultParagraphFont"/>
    <w:uiPriority w:val="99"/>
    <w:semiHidden/>
    <w:unhideWhenUsed/>
    <w:rsid w:val="0068158D"/>
    <w:rPr>
      <w:color w:val="605E5C"/>
      <w:shd w:val="clear" w:color="auto" w:fill="E1DFDD"/>
    </w:rPr>
  </w:style>
  <w:style w:type="paragraph" w:styleId="NormalWeb">
    <w:name w:val="Normal (Web)"/>
    <w:basedOn w:val="Normal"/>
    <w:uiPriority w:val="99"/>
    <w:unhideWhenUsed/>
    <w:rsid w:val="006815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8158D"/>
    <w:rPr>
      <w:b/>
      <w:bCs/>
    </w:rPr>
  </w:style>
  <w:style w:type="paragraph" w:customStyle="1" w:styleId="Default">
    <w:name w:val="Default"/>
    <w:rsid w:val="0068158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681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68158D"/>
    <w:rPr>
      <w:color w:val="605E5C"/>
      <w:shd w:val="clear" w:color="auto" w:fill="E1DFDD"/>
    </w:rPr>
  </w:style>
  <w:style w:type="numbering" w:customStyle="1" w:styleId="NoList1">
    <w:name w:val="No List1"/>
    <w:next w:val="NoList"/>
    <w:uiPriority w:val="99"/>
    <w:semiHidden/>
    <w:unhideWhenUsed/>
    <w:rsid w:val="0068158D"/>
  </w:style>
  <w:style w:type="paragraph" w:customStyle="1" w:styleId="EndNoteBibliographyTitle">
    <w:name w:val="EndNote Bibliography Title"/>
    <w:basedOn w:val="Normal"/>
    <w:link w:val="EndNoteBibliographyTitleChar"/>
    <w:rsid w:val="0068158D"/>
    <w:pPr>
      <w:spacing w:after="0" w:line="240" w:lineRule="auto"/>
      <w:jc w:val="center"/>
    </w:pPr>
    <w:rPr>
      <w:rFonts w:ascii="Calibri" w:eastAsia="Times New Roman" w:hAnsi="Calibri" w:cs="Calibri"/>
      <w:szCs w:val="24"/>
      <w:lang w:val="en-US" w:eastAsia="en-GB"/>
    </w:rPr>
  </w:style>
  <w:style w:type="character" w:customStyle="1" w:styleId="EndNoteBibliographyTitleChar">
    <w:name w:val="EndNote Bibliography Title Char"/>
    <w:basedOn w:val="DefaultParagraphFont"/>
    <w:link w:val="EndNoteBibliographyTitle"/>
    <w:rsid w:val="0068158D"/>
    <w:rPr>
      <w:rFonts w:ascii="Calibri" w:eastAsia="Times New Roman" w:hAnsi="Calibri" w:cs="Calibri"/>
      <w:szCs w:val="24"/>
      <w:lang w:val="en-US" w:eastAsia="en-GB"/>
    </w:rPr>
  </w:style>
  <w:style w:type="paragraph" w:customStyle="1" w:styleId="EndNoteBibliography">
    <w:name w:val="EndNote Bibliography"/>
    <w:basedOn w:val="Normal"/>
    <w:link w:val="EndNoteBibliographyChar"/>
    <w:rsid w:val="0068158D"/>
    <w:pPr>
      <w:spacing w:after="0" w:line="240" w:lineRule="auto"/>
    </w:pPr>
    <w:rPr>
      <w:rFonts w:ascii="Calibri" w:eastAsia="Times New Roman" w:hAnsi="Calibri" w:cs="Calibri"/>
      <w:szCs w:val="24"/>
      <w:lang w:val="en-US" w:eastAsia="en-GB"/>
    </w:rPr>
  </w:style>
  <w:style w:type="character" w:customStyle="1" w:styleId="EndNoteBibliographyChar">
    <w:name w:val="EndNote Bibliography Char"/>
    <w:basedOn w:val="DefaultParagraphFont"/>
    <w:link w:val="EndNoteBibliography"/>
    <w:rsid w:val="0068158D"/>
    <w:rPr>
      <w:rFonts w:ascii="Calibri" w:eastAsia="Times New Roman" w:hAnsi="Calibri" w:cs="Calibri"/>
      <w:szCs w:val="24"/>
      <w:lang w:val="en-US" w:eastAsia="en-GB"/>
    </w:rPr>
  </w:style>
  <w:style w:type="character" w:customStyle="1" w:styleId="txt">
    <w:name w:val="txt"/>
    <w:basedOn w:val="DefaultParagraphFont"/>
    <w:rsid w:val="0068158D"/>
  </w:style>
  <w:style w:type="character" w:customStyle="1" w:styleId="txtbold">
    <w:name w:val="txtbold"/>
    <w:basedOn w:val="DefaultParagraphFont"/>
    <w:rsid w:val="0068158D"/>
  </w:style>
  <w:style w:type="character" w:styleId="Emphasis">
    <w:name w:val="Emphasis"/>
    <w:basedOn w:val="DefaultParagraphFont"/>
    <w:uiPriority w:val="20"/>
    <w:qFormat/>
    <w:rsid w:val="0068158D"/>
    <w:rPr>
      <w:i/>
      <w:iCs/>
    </w:rPr>
  </w:style>
  <w:style w:type="character" w:customStyle="1" w:styleId="UnresolvedMention20">
    <w:name w:val="Unresolved Mention20"/>
    <w:basedOn w:val="DefaultParagraphFont"/>
    <w:uiPriority w:val="99"/>
    <w:semiHidden/>
    <w:unhideWhenUsed/>
    <w:rsid w:val="0068158D"/>
    <w:rPr>
      <w:color w:val="605E5C"/>
      <w:shd w:val="clear" w:color="auto" w:fill="E1DFDD"/>
    </w:rPr>
  </w:style>
  <w:style w:type="character" w:styleId="FollowedHyperlink">
    <w:name w:val="FollowedHyperlink"/>
    <w:basedOn w:val="DefaultParagraphFont"/>
    <w:uiPriority w:val="99"/>
    <w:semiHidden/>
    <w:unhideWhenUsed/>
    <w:rsid w:val="0068158D"/>
    <w:rPr>
      <w:color w:val="954F72" w:themeColor="followedHyperlink"/>
      <w:u w:val="single"/>
    </w:rPr>
  </w:style>
  <w:style w:type="character" w:customStyle="1" w:styleId="wysiwyg-color-black">
    <w:name w:val="wysiwyg-color-black"/>
    <w:basedOn w:val="DefaultParagraphFont"/>
    <w:rsid w:val="0068158D"/>
  </w:style>
  <w:style w:type="character" w:customStyle="1" w:styleId="apple-converted-space">
    <w:name w:val="apple-converted-space"/>
    <w:basedOn w:val="DefaultParagraphFont"/>
    <w:rsid w:val="0068158D"/>
  </w:style>
  <w:style w:type="character" w:customStyle="1" w:styleId="wysiwyg-color-blue90">
    <w:name w:val="wysiwyg-color-blue90"/>
    <w:basedOn w:val="DefaultParagraphFont"/>
    <w:rsid w:val="0068158D"/>
  </w:style>
  <w:style w:type="paragraph" w:styleId="FootnoteText">
    <w:name w:val="footnote text"/>
    <w:basedOn w:val="Normal"/>
    <w:link w:val="FootnoteTextChar"/>
    <w:uiPriority w:val="99"/>
    <w:unhideWhenUsed/>
    <w:rsid w:val="0068158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68158D"/>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8158D"/>
    <w:rPr>
      <w:vertAlign w:val="superscript"/>
    </w:rPr>
  </w:style>
  <w:style w:type="paragraph" w:styleId="Revision">
    <w:name w:val="Revision"/>
    <w:hidden/>
    <w:uiPriority w:val="99"/>
    <w:semiHidden/>
    <w:rsid w:val="0068158D"/>
    <w:pPr>
      <w:spacing w:after="0" w:line="240" w:lineRule="auto"/>
    </w:pPr>
  </w:style>
  <w:style w:type="table" w:styleId="PlainTable2">
    <w:name w:val="Plain Table 2"/>
    <w:basedOn w:val="TableNormal"/>
    <w:uiPriority w:val="42"/>
    <w:rsid w:val="0068158D"/>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link w:val="BodyText1Char"/>
    <w:qFormat/>
    <w:rsid w:val="0068158D"/>
    <w:pPr>
      <w:spacing w:before="240" w:line="360" w:lineRule="auto"/>
    </w:pPr>
    <w:rPr>
      <w:rFonts w:ascii="Times New Roman" w:hAnsi="Times New Roman" w:cs="Times New Roman"/>
      <w:sz w:val="24"/>
    </w:rPr>
  </w:style>
  <w:style w:type="character" w:styleId="PageNumber">
    <w:name w:val="page number"/>
    <w:basedOn w:val="DefaultParagraphFont"/>
    <w:uiPriority w:val="99"/>
    <w:semiHidden/>
    <w:unhideWhenUsed/>
    <w:rsid w:val="0068158D"/>
  </w:style>
  <w:style w:type="paragraph" w:styleId="Title">
    <w:name w:val="Title"/>
    <w:basedOn w:val="BodyText1"/>
    <w:next w:val="Normal"/>
    <w:link w:val="TitleChar"/>
    <w:uiPriority w:val="10"/>
    <w:qFormat/>
    <w:rsid w:val="0068158D"/>
    <w:pPr>
      <w:pBdr>
        <w:bottom w:val="single" w:sz="4" w:space="1" w:color="auto"/>
      </w:pBdr>
    </w:pPr>
    <w:rPr>
      <w:rFonts w:asciiTheme="minorHAnsi" w:hAnsiTheme="minorHAnsi" w:cs="Arial"/>
      <w:b/>
      <w:bCs/>
      <w:color w:val="C64398"/>
      <w:sz w:val="36"/>
      <w:szCs w:val="36"/>
    </w:rPr>
  </w:style>
  <w:style w:type="character" w:customStyle="1" w:styleId="TitleChar">
    <w:name w:val="Title Char"/>
    <w:basedOn w:val="DefaultParagraphFont"/>
    <w:link w:val="Title"/>
    <w:uiPriority w:val="10"/>
    <w:rsid w:val="0068158D"/>
    <w:rPr>
      <w:rFonts w:cs="Arial"/>
      <w:b/>
      <w:bCs/>
      <w:color w:val="C64398"/>
      <w:sz w:val="36"/>
      <w:szCs w:val="36"/>
    </w:rPr>
  </w:style>
  <w:style w:type="character" w:styleId="IntenseEmphasis">
    <w:name w:val="Intense Emphasis"/>
    <w:uiPriority w:val="21"/>
    <w:qFormat/>
    <w:rsid w:val="0068158D"/>
    <w:rPr>
      <w:rFonts w:asciiTheme="minorHAnsi" w:hAnsiTheme="minorHAnsi" w:cs="Arial"/>
      <w:b/>
      <w:bCs/>
      <w:color w:val="C64398"/>
    </w:rPr>
  </w:style>
  <w:style w:type="character" w:customStyle="1" w:styleId="BodyText1Char">
    <w:name w:val="Body Text1 Char"/>
    <w:basedOn w:val="DefaultParagraphFont"/>
    <w:link w:val="BodyText1"/>
    <w:rsid w:val="0068158D"/>
    <w:rPr>
      <w:rFonts w:ascii="Times New Roman" w:hAnsi="Times New Roman" w:cs="Times New Roman"/>
      <w:sz w:val="24"/>
    </w:rPr>
  </w:style>
  <w:style w:type="character" w:styleId="EndnoteReference">
    <w:name w:val="endnote reference"/>
    <w:basedOn w:val="DefaultParagraphFont"/>
    <w:uiPriority w:val="99"/>
    <w:semiHidden/>
    <w:unhideWhenUsed/>
    <w:rsid w:val="0068158D"/>
    <w:rPr>
      <w:vertAlign w:val="superscript"/>
    </w:rPr>
  </w:style>
  <w:style w:type="character" w:customStyle="1" w:styleId="EndnoteTextChar">
    <w:name w:val="Endnote Text Char"/>
    <w:basedOn w:val="DefaultParagraphFont"/>
    <w:link w:val="EndnoteText"/>
    <w:uiPriority w:val="99"/>
    <w:semiHidden/>
    <w:rsid w:val="0068158D"/>
    <w:rPr>
      <w:sz w:val="20"/>
      <w:szCs w:val="20"/>
    </w:rPr>
  </w:style>
  <w:style w:type="paragraph" w:styleId="EndnoteText">
    <w:name w:val="endnote text"/>
    <w:basedOn w:val="Normal"/>
    <w:link w:val="EndnoteTextChar"/>
    <w:uiPriority w:val="99"/>
    <w:semiHidden/>
    <w:unhideWhenUsed/>
    <w:rsid w:val="0068158D"/>
    <w:pPr>
      <w:spacing w:after="0" w:line="240" w:lineRule="auto"/>
    </w:pPr>
    <w:rPr>
      <w:sz w:val="20"/>
      <w:szCs w:val="20"/>
    </w:rPr>
  </w:style>
  <w:style w:type="character" w:customStyle="1" w:styleId="EndnoteTextChar1">
    <w:name w:val="Endnote Text Char1"/>
    <w:basedOn w:val="DefaultParagraphFont"/>
    <w:uiPriority w:val="99"/>
    <w:semiHidden/>
    <w:rsid w:val="0068158D"/>
    <w:rPr>
      <w:sz w:val="20"/>
      <w:szCs w:val="20"/>
    </w:rPr>
  </w:style>
  <w:style w:type="paragraph" w:styleId="BodyText">
    <w:name w:val="Body Text"/>
    <w:basedOn w:val="Normal"/>
    <w:link w:val="BodyTextChar"/>
    <w:qFormat/>
    <w:rsid w:val="0068158D"/>
    <w:pPr>
      <w:spacing w:before="120" w:after="120" w:line="270" w:lineRule="atLeast"/>
    </w:pPr>
    <w:rPr>
      <w:rFonts w:eastAsia="Times New Roman" w:cs="Times New Roman"/>
      <w:spacing w:val="2"/>
      <w:sz w:val="19"/>
      <w:szCs w:val="19"/>
      <w:lang w:eastAsia="en-AU"/>
    </w:rPr>
  </w:style>
  <w:style w:type="character" w:customStyle="1" w:styleId="BodyTextChar">
    <w:name w:val="Body Text Char"/>
    <w:basedOn w:val="DefaultParagraphFont"/>
    <w:link w:val="BodyText"/>
    <w:rsid w:val="0068158D"/>
    <w:rPr>
      <w:rFonts w:eastAsia="Times New Roman" w:cs="Times New Roman"/>
      <w:spacing w:val="2"/>
      <w:sz w:val="19"/>
      <w:szCs w:val="19"/>
      <w:lang w:eastAsia="en-AU"/>
    </w:rPr>
  </w:style>
  <w:style w:type="paragraph" w:customStyle="1" w:styleId="ExecSummHeading3">
    <w:name w:val="Exec Summ Heading 3"/>
    <w:basedOn w:val="BodyText"/>
    <w:next w:val="BodyText"/>
    <w:qFormat/>
    <w:rsid w:val="0068158D"/>
    <w:pPr>
      <w:keepNext/>
      <w:spacing w:before="240" w:line="240" w:lineRule="auto"/>
    </w:pPr>
    <w:rPr>
      <w:rFonts w:asciiTheme="majorHAnsi" w:hAnsiTheme="majorHAnsi"/>
      <w:b/>
      <w:color w:val="44546A" w:themeColor="text2"/>
      <w:spacing w:val="0"/>
      <w:sz w:val="22"/>
      <w:szCs w:val="21"/>
    </w:rPr>
  </w:style>
  <w:style w:type="character" w:customStyle="1" w:styleId="UnresolvedMention2">
    <w:name w:val="Unresolved Mention2"/>
    <w:basedOn w:val="DefaultParagraphFont"/>
    <w:uiPriority w:val="99"/>
    <w:semiHidden/>
    <w:unhideWhenUsed/>
    <w:rsid w:val="0068158D"/>
    <w:rPr>
      <w:color w:val="605E5C"/>
      <w:shd w:val="clear" w:color="auto" w:fill="E1DFDD"/>
    </w:rPr>
  </w:style>
  <w:style w:type="character" w:customStyle="1" w:styleId="UnresolvedMention3">
    <w:name w:val="Unresolved Mention3"/>
    <w:basedOn w:val="DefaultParagraphFont"/>
    <w:uiPriority w:val="99"/>
    <w:semiHidden/>
    <w:unhideWhenUsed/>
    <w:rsid w:val="0068158D"/>
    <w:rPr>
      <w:color w:val="605E5C"/>
      <w:shd w:val="clear" w:color="auto" w:fill="E1DFDD"/>
    </w:rPr>
  </w:style>
  <w:style w:type="character" w:customStyle="1" w:styleId="UnresolvedMention4">
    <w:name w:val="Unresolved Mention4"/>
    <w:basedOn w:val="DefaultParagraphFont"/>
    <w:uiPriority w:val="99"/>
    <w:semiHidden/>
    <w:unhideWhenUsed/>
    <w:rsid w:val="0068158D"/>
    <w:rPr>
      <w:color w:val="605E5C"/>
      <w:shd w:val="clear" w:color="auto" w:fill="E1DFDD"/>
    </w:rPr>
  </w:style>
  <w:style w:type="paragraph" w:customStyle="1" w:styleId="xxmsonormal">
    <w:name w:val="x_x_msonormal"/>
    <w:basedOn w:val="Normal"/>
    <w:rsid w:val="006815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68158D"/>
    <w:rPr>
      <w:color w:val="2B579A"/>
      <w:shd w:val="clear" w:color="auto" w:fill="E6E6E6"/>
    </w:rPr>
  </w:style>
  <w:style w:type="character" w:customStyle="1" w:styleId="Mention2">
    <w:name w:val="Mention2"/>
    <w:basedOn w:val="DefaultParagraphFont"/>
    <w:uiPriority w:val="99"/>
    <w:unhideWhenUsed/>
    <w:rsid w:val="0068158D"/>
    <w:rPr>
      <w:color w:val="2B579A"/>
      <w:shd w:val="clear" w:color="auto" w:fill="E6E6E6"/>
    </w:rPr>
  </w:style>
  <w:style w:type="character" w:customStyle="1" w:styleId="normaltextrun">
    <w:name w:val="normaltextrun"/>
    <w:basedOn w:val="DefaultParagraphFont"/>
    <w:rsid w:val="0068158D"/>
  </w:style>
  <w:style w:type="character" w:customStyle="1" w:styleId="UnresolvedMention5">
    <w:name w:val="Unresolved Mention5"/>
    <w:basedOn w:val="DefaultParagraphFont"/>
    <w:uiPriority w:val="99"/>
    <w:semiHidden/>
    <w:unhideWhenUsed/>
    <w:rsid w:val="0068158D"/>
    <w:rPr>
      <w:color w:val="605E5C"/>
      <w:shd w:val="clear" w:color="auto" w:fill="E1DFDD"/>
    </w:rPr>
  </w:style>
  <w:style w:type="character" w:styleId="UnresolvedMention">
    <w:name w:val="Unresolved Mention"/>
    <w:basedOn w:val="DefaultParagraphFont"/>
    <w:uiPriority w:val="99"/>
    <w:semiHidden/>
    <w:unhideWhenUsed/>
    <w:rsid w:val="0068158D"/>
    <w:rPr>
      <w:color w:val="605E5C"/>
      <w:shd w:val="clear" w:color="auto" w:fill="E1DFDD"/>
    </w:rPr>
  </w:style>
  <w:style w:type="table" w:styleId="GridTable6Colorful-Accent5">
    <w:name w:val="Grid Table 6 Colorful Accent 5"/>
    <w:basedOn w:val="TableNormal"/>
    <w:uiPriority w:val="51"/>
    <w:rsid w:val="009B50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0E3118"/>
    <w:pPr>
      <w:outlineLvl w:val="9"/>
    </w:pPr>
    <w:rPr>
      <w:lang w:val="en-US"/>
    </w:rPr>
  </w:style>
  <w:style w:type="paragraph" w:styleId="TOC1">
    <w:name w:val="toc 1"/>
    <w:basedOn w:val="Normal"/>
    <w:next w:val="Normal"/>
    <w:autoRedefine/>
    <w:uiPriority w:val="39"/>
    <w:unhideWhenUsed/>
    <w:rsid w:val="000E3118"/>
    <w:pPr>
      <w:spacing w:after="100"/>
    </w:pPr>
  </w:style>
  <w:style w:type="paragraph" w:styleId="TOC2">
    <w:name w:val="toc 2"/>
    <w:basedOn w:val="Normal"/>
    <w:next w:val="Normal"/>
    <w:autoRedefine/>
    <w:uiPriority w:val="39"/>
    <w:unhideWhenUsed/>
    <w:rsid w:val="000E311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19880769/Evaluating_health_impacts_Results_from_the_neighbourhood_renewal_stratgey_in_Victoria_Australia" TargetMode="External"/><Relationship Id="rId13" Type="http://schemas.openxmlformats.org/officeDocument/2006/relationships/hyperlink" Target="https://knowledge.aidr.org.au/media/7351/case-studies-exploring-community-led-recovery-and-coordination-final.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encedirect.com/science/article/pii/S0016718518302653?via%3Dihu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verclydehomes.org.uk/uploaded/river-clyde-web/passthrough/broomhill_report_stirling_universit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po.org.au/sites/default/files/resource-files/2015-07/apo-nid5759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C://Users/megmu/Downloads/30-30-1-PB%20(2).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3C1F1-7B48-421E-B76B-045C2A4C85C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4952</Words>
  <Characters>28228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Tanner</dc:creator>
  <cp:keywords/>
  <dc:description/>
  <cp:lastModifiedBy>Jane Wager</cp:lastModifiedBy>
  <cp:revision>5</cp:revision>
  <dcterms:created xsi:type="dcterms:W3CDTF">2022-06-30T23:21:00Z</dcterms:created>
  <dcterms:modified xsi:type="dcterms:W3CDTF">2022-08-01T02:47:00Z</dcterms:modified>
</cp:coreProperties>
</file>