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BD2B0" w14:textId="1594B3A4" w:rsidR="00D2186C" w:rsidRDefault="00D2186C" w:rsidP="00BE3446">
      <w:pPr>
        <w:spacing w:after="0"/>
        <w:rPr>
          <w:b/>
          <w:color w:val="2F5496" w:themeColor="accent1" w:themeShade="BF"/>
          <w:sz w:val="36"/>
          <w:szCs w:val="36"/>
          <w:u w:val="single"/>
        </w:rPr>
      </w:pPr>
      <w:bookmarkStart w:id="0" w:name="_Hlk106304867"/>
      <w:r w:rsidRPr="00A937D8">
        <w:rPr>
          <w:b/>
          <w:color w:val="2F5496" w:themeColor="accent1" w:themeShade="BF"/>
          <w:sz w:val="36"/>
          <w:szCs w:val="36"/>
          <w:u w:val="single"/>
        </w:rPr>
        <w:t>Vital Communities Housing Findings Summary</w:t>
      </w:r>
    </w:p>
    <w:p w14:paraId="04BC61C4" w14:textId="663D84D2" w:rsidR="00BE3446" w:rsidRPr="00BE3446" w:rsidRDefault="00BE3446" w:rsidP="00BE3446">
      <w:pPr>
        <w:spacing w:after="0"/>
        <w:rPr>
          <w:bCs/>
          <w:color w:val="2F5496" w:themeColor="accent1" w:themeShade="BF"/>
          <w:sz w:val="23"/>
          <w:szCs w:val="23"/>
        </w:rPr>
      </w:pPr>
      <w:bookmarkStart w:id="1" w:name="_Hlk107837417"/>
      <w:r w:rsidRPr="00BE3446">
        <w:rPr>
          <w:bCs/>
          <w:color w:val="2F5496" w:themeColor="accent1" w:themeShade="BF"/>
          <w:sz w:val="23"/>
          <w:szCs w:val="23"/>
        </w:rPr>
        <w:t xml:space="preserve">Extracts from </w:t>
      </w:r>
      <w:r>
        <w:rPr>
          <w:bCs/>
          <w:color w:val="2F5496" w:themeColor="accent1" w:themeShade="BF"/>
          <w:sz w:val="23"/>
          <w:szCs w:val="23"/>
        </w:rPr>
        <w:t>Vital Communities: Strategies for Alleviating Locational Disadvantage in Geelong, 2021</w:t>
      </w:r>
    </w:p>
    <w:bookmarkEnd w:id="1" w:displacedByCustomXml="next"/>
    <w:sdt>
      <w:sdtPr>
        <w:rPr>
          <w:rFonts w:asciiTheme="minorHAnsi" w:eastAsiaTheme="minorHAnsi" w:hAnsiTheme="minorHAnsi" w:cstheme="minorBidi"/>
          <w:color w:val="auto"/>
          <w:sz w:val="22"/>
          <w:szCs w:val="22"/>
          <w:lang w:val="en-AU"/>
        </w:rPr>
        <w:id w:val="976721506"/>
        <w:docPartObj>
          <w:docPartGallery w:val="Table of Contents"/>
          <w:docPartUnique/>
        </w:docPartObj>
      </w:sdtPr>
      <w:sdtEndPr>
        <w:rPr>
          <w:rFonts w:eastAsiaTheme="minorEastAsia" w:cs="Times New Roman"/>
          <w:b/>
          <w:bCs/>
          <w:noProof/>
          <w:lang w:val="en-US"/>
        </w:rPr>
      </w:sdtEndPr>
      <w:sdtContent>
        <w:p w14:paraId="063E23F6" w14:textId="68CE7E7A" w:rsidR="00251925" w:rsidRPr="00A937D8" w:rsidRDefault="00251925">
          <w:pPr>
            <w:pStyle w:val="TOCHeading"/>
            <w:rPr>
              <w:b/>
              <w:bCs/>
              <w:u w:val="single"/>
            </w:rPr>
          </w:pPr>
          <w:r w:rsidRPr="00A937D8">
            <w:rPr>
              <w:b/>
              <w:bCs/>
              <w:u w:val="single"/>
            </w:rPr>
            <w:t>Contents</w:t>
          </w:r>
        </w:p>
        <w:p w14:paraId="1B088AAE" w14:textId="14E5E82C" w:rsidR="008A2F1C" w:rsidRDefault="00251925">
          <w:pPr>
            <w:pStyle w:val="TOC1"/>
            <w:tabs>
              <w:tab w:val="right" w:leader="dot" w:pos="9016"/>
            </w:tabs>
            <w:rPr>
              <w:rFonts w:cstheme="minorBidi"/>
              <w:noProof/>
              <w:lang w:val="en-AU" w:eastAsia="en-AU"/>
            </w:rPr>
          </w:pPr>
          <w:r>
            <w:fldChar w:fldCharType="begin"/>
          </w:r>
          <w:r>
            <w:instrText xml:space="preserve"> TOC \o "1-3" \h \z \u </w:instrText>
          </w:r>
          <w:r>
            <w:fldChar w:fldCharType="separate"/>
          </w:r>
          <w:hyperlink w:anchor="_Toc107838247" w:history="1">
            <w:r w:rsidR="008A2F1C" w:rsidRPr="000D482A">
              <w:rPr>
                <w:rStyle w:val="Hyperlink"/>
                <w:b/>
                <w:bCs/>
                <w:noProof/>
              </w:rPr>
              <w:t>Background</w:t>
            </w:r>
            <w:r w:rsidR="008A2F1C">
              <w:rPr>
                <w:noProof/>
                <w:webHidden/>
              </w:rPr>
              <w:tab/>
            </w:r>
            <w:r w:rsidR="008A2F1C">
              <w:rPr>
                <w:noProof/>
                <w:webHidden/>
              </w:rPr>
              <w:fldChar w:fldCharType="begin"/>
            </w:r>
            <w:r w:rsidR="008A2F1C">
              <w:rPr>
                <w:noProof/>
                <w:webHidden/>
              </w:rPr>
              <w:instrText xml:space="preserve"> PAGEREF _Toc107838247 \h </w:instrText>
            </w:r>
            <w:r w:rsidR="008A2F1C">
              <w:rPr>
                <w:noProof/>
                <w:webHidden/>
              </w:rPr>
            </w:r>
            <w:r w:rsidR="008A2F1C">
              <w:rPr>
                <w:noProof/>
                <w:webHidden/>
              </w:rPr>
              <w:fldChar w:fldCharType="separate"/>
            </w:r>
            <w:r w:rsidR="00495B52">
              <w:rPr>
                <w:noProof/>
                <w:webHidden/>
              </w:rPr>
              <w:t>1</w:t>
            </w:r>
            <w:r w:rsidR="008A2F1C">
              <w:rPr>
                <w:noProof/>
                <w:webHidden/>
              </w:rPr>
              <w:fldChar w:fldCharType="end"/>
            </w:r>
          </w:hyperlink>
        </w:p>
        <w:p w14:paraId="31BCE77D" w14:textId="0EB9DD41" w:rsidR="008A2F1C" w:rsidRDefault="001E285C">
          <w:pPr>
            <w:pStyle w:val="TOC1"/>
            <w:tabs>
              <w:tab w:val="right" w:leader="dot" w:pos="9016"/>
            </w:tabs>
            <w:rPr>
              <w:rFonts w:cstheme="minorBidi"/>
              <w:noProof/>
              <w:lang w:val="en-AU" w:eastAsia="en-AU"/>
            </w:rPr>
          </w:pPr>
          <w:hyperlink w:anchor="_Toc107838248" w:history="1">
            <w:r w:rsidR="008A2F1C" w:rsidRPr="000D482A">
              <w:rPr>
                <w:rStyle w:val="Hyperlink"/>
                <w:b/>
                <w:bCs/>
                <w:noProof/>
              </w:rPr>
              <w:t>Determining strategies and responses</w:t>
            </w:r>
            <w:r w:rsidR="008A2F1C">
              <w:rPr>
                <w:noProof/>
                <w:webHidden/>
              </w:rPr>
              <w:tab/>
            </w:r>
            <w:r w:rsidR="008A2F1C">
              <w:rPr>
                <w:noProof/>
                <w:webHidden/>
              </w:rPr>
              <w:fldChar w:fldCharType="begin"/>
            </w:r>
            <w:r w:rsidR="008A2F1C">
              <w:rPr>
                <w:noProof/>
                <w:webHidden/>
              </w:rPr>
              <w:instrText xml:space="preserve"> PAGEREF _Toc107838248 \h </w:instrText>
            </w:r>
            <w:r w:rsidR="008A2F1C">
              <w:rPr>
                <w:noProof/>
                <w:webHidden/>
              </w:rPr>
            </w:r>
            <w:r w:rsidR="008A2F1C">
              <w:rPr>
                <w:noProof/>
                <w:webHidden/>
              </w:rPr>
              <w:fldChar w:fldCharType="separate"/>
            </w:r>
            <w:r w:rsidR="00495B52">
              <w:rPr>
                <w:noProof/>
                <w:webHidden/>
              </w:rPr>
              <w:t>11</w:t>
            </w:r>
            <w:r w:rsidR="008A2F1C">
              <w:rPr>
                <w:noProof/>
                <w:webHidden/>
              </w:rPr>
              <w:fldChar w:fldCharType="end"/>
            </w:r>
          </w:hyperlink>
        </w:p>
        <w:p w14:paraId="672324E9" w14:textId="7148BF35" w:rsidR="00251925" w:rsidRPr="00251925" w:rsidRDefault="001E285C" w:rsidP="00495B52">
          <w:pPr>
            <w:pStyle w:val="TOC1"/>
            <w:tabs>
              <w:tab w:val="right" w:leader="dot" w:pos="9016"/>
            </w:tabs>
          </w:pPr>
          <w:hyperlink w:anchor="_Toc107838249" w:history="1">
            <w:r w:rsidR="008A2F1C" w:rsidRPr="000D482A">
              <w:rPr>
                <w:rStyle w:val="Hyperlink"/>
                <w:b/>
                <w:bCs/>
                <w:noProof/>
              </w:rPr>
              <w:t>Recommendations relating to the housing domain.</w:t>
            </w:r>
            <w:r w:rsidR="008A2F1C">
              <w:rPr>
                <w:noProof/>
                <w:webHidden/>
              </w:rPr>
              <w:tab/>
            </w:r>
            <w:r w:rsidR="008A2F1C">
              <w:rPr>
                <w:noProof/>
                <w:webHidden/>
              </w:rPr>
              <w:fldChar w:fldCharType="begin"/>
            </w:r>
            <w:r w:rsidR="008A2F1C">
              <w:rPr>
                <w:noProof/>
                <w:webHidden/>
              </w:rPr>
              <w:instrText xml:space="preserve"> PAGEREF _Toc107838249 \h </w:instrText>
            </w:r>
            <w:r w:rsidR="008A2F1C">
              <w:rPr>
                <w:noProof/>
                <w:webHidden/>
              </w:rPr>
            </w:r>
            <w:r w:rsidR="008A2F1C">
              <w:rPr>
                <w:noProof/>
                <w:webHidden/>
              </w:rPr>
              <w:fldChar w:fldCharType="separate"/>
            </w:r>
            <w:r w:rsidR="00495B52">
              <w:rPr>
                <w:noProof/>
                <w:webHidden/>
              </w:rPr>
              <w:t>15</w:t>
            </w:r>
            <w:r w:rsidR="008A2F1C">
              <w:rPr>
                <w:noProof/>
                <w:webHidden/>
              </w:rPr>
              <w:fldChar w:fldCharType="end"/>
            </w:r>
          </w:hyperlink>
          <w:r w:rsidR="00251925">
            <w:rPr>
              <w:b/>
              <w:bCs/>
              <w:noProof/>
            </w:rPr>
            <w:fldChar w:fldCharType="end"/>
          </w:r>
        </w:p>
      </w:sdtContent>
    </w:sdt>
    <w:p w14:paraId="01CE6D74" w14:textId="285F328D" w:rsidR="00D2186C" w:rsidRPr="00A937D8" w:rsidRDefault="00D2186C" w:rsidP="00251925">
      <w:pPr>
        <w:pStyle w:val="Heading1"/>
        <w:rPr>
          <w:b/>
          <w:bCs/>
          <w:u w:val="single"/>
        </w:rPr>
      </w:pPr>
      <w:bookmarkStart w:id="2" w:name="_Toc107838247"/>
      <w:r w:rsidRPr="00A937D8">
        <w:rPr>
          <w:b/>
          <w:bCs/>
          <w:u w:val="single"/>
        </w:rPr>
        <w:t>Background</w:t>
      </w:r>
      <w:bookmarkEnd w:id="2"/>
    </w:p>
    <w:p w14:paraId="6749A180" w14:textId="77777777" w:rsidR="00D2186C" w:rsidRPr="00A937D8" w:rsidRDefault="00D2186C" w:rsidP="00D2186C">
      <w:pPr>
        <w:pStyle w:val="ListParagraph"/>
        <w:numPr>
          <w:ilvl w:val="0"/>
          <w:numId w:val="2"/>
        </w:numPr>
        <w:rPr>
          <w:b/>
          <w:color w:val="2F5496" w:themeColor="accent1" w:themeShade="BF"/>
          <w:sz w:val="25"/>
          <w:szCs w:val="25"/>
        </w:rPr>
      </w:pPr>
      <w:bookmarkStart w:id="3" w:name="_Ref106634619"/>
      <w:bookmarkStart w:id="4" w:name="_Hlk106304881"/>
      <w:bookmarkEnd w:id="0"/>
      <w:r w:rsidRPr="00A937D8">
        <w:rPr>
          <w:b/>
          <w:color w:val="2F5496" w:themeColor="accent1" w:themeShade="BF"/>
          <w:sz w:val="25"/>
          <w:szCs w:val="25"/>
        </w:rPr>
        <w:t>Project Aims</w:t>
      </w:r>
      <w:bookmarkEnd w:id="3"/>
    </w:p>
    <w:p w14:paraId="0EC5ABB5" w14:textId="0542140E" w:rsidR="00D2186C" w:rsidRDefault="00D2186C" w:rsidP="00D2186C">
      <w:pPr>
        <w:spacing w:after="0" w:line="276" w:lineRule="auto"/>
        <w:rPr>
          <w:rFonts w:asciiTheme="majorHAnsi" w:eastAsia="Times New Roman" w:hAnsiTheme="majorHAnsi" w:cstheme="majorBidi"/>
          <w:sz w:val="23"/>
          <w:szCs w:val="23"/>
          <w:lang w:val="en-GB"/>
        </w:rPr>
      </w:pPr>
      <w:bookmarkStart w:id="5" w:name="_Hlk106305099"/>
      <w:bookmarkEnd w:id="4"/>
      <w:r w:rsidRPr="00122BBD">
        <w:rPr>
          <w:rFonts w:asciiTheme="majorHAnsi" w:eastAsia="Times New Roman" w:hAnsiTheme="majorHAnsi" w:cstheme="majorBidi"/>
          <w:sz w:val="23"/>
          <w:szCs w:val="23"/>
          <w:lang w:val="en-GB"/>
        </w:rPr>
        <w:t xml:space="preserve">The Vital Communities project was established in October 2019 to improve </w:t>
      </w:r>
      <w:r>
        <w:rPr>
          <w:rFonts w:asciiTheme="majorHAnsi" w:eastAsia="Times New Roman" w:hAnsiTheme="majorHAnsi" w:cstheme="majorBidi"/>
          <w:sz w:val="23"/>
          <w:szCs w:val="23"/>
          <w:lang w:val="en-GB"/>
        </w:rPr>
        <w:t>the City of Greater Geelong</w:t>
      </w:r>
      <w:r w:rsidRPr="00122BBD">
        <w:rPr>
          <w:rFonts w:asciiTheme="majorHAnsi" w:eastAsia="Times New Roman" w:hAnsiTheme="majorHAnsi" w:cstheme="majorBidi"/>
          <w:sz w:val="23"/>
          <w:szCs w:val="23"/>
          <w:lang w:val="en-GB"/>
        </w:rPr>
        <w:t xml:space="preserve">’s coordination, planning, and leadership of integrated social and economic </w:t>
      </w:r>
      <w:r w:rsidR="00A7761E">
        <w:rPr>
          <w:rFonts w:asciiTheme="majorHAnsi" w:eastAsia="Times New Roman" w:hAnsiTheme="majorHAnsi" w:cstheme="majorBidi"/>
          <w:sz w:val="23"/>
          <w:szCs w:val="23"/>
          <w:lang w:val="en-GB"/>
        </w:rPr>
        <w:t>d</w:t>
      </w:r>
      <w:r w:rsidRPr="00122BBD">
        <w:rPr>
          <w:rFonts w:asciiTheme="majorHAnsi" w:eastAsia="Times New Roman" w:hAnsiTheme="majorHAnsi" w:cstheme="majorBidi"/>
          <w:sz w:val="23"/>
          <w:szCs w:val="23"/>
          <w:lang w:val="en-GB"/>
        </w:rPr>
        <w:t xml:space="preserve">evelopment, and to </w:t>
      </w:r>
      <w:r>
        <w:rPr>
          <w:rFonts w:asciiTheme="majorHAnsi" w:eastAsia="Times New Roman" w:hAnsiTheme="majorHAnsi" w:cstheme="majorBidi"/>
          <w:sz w:val="23"/>
          <w:szCs w:val="23"/>
          <w:lang w:val="en-GB"/>
        </w:rPr>
        <w:t>increase</w:t>
      </w:r>
      <w:r w:rsidRPr="00122BBD">
        <w:rPr>
          <w:rFonts w:asciiTheme="majorHAnsi" w:eastAsia="Times New Roman" w:hAnsiTheme="majorHAnsi" w:cstheme="majorBidi"/>
          <w:sz w:val="23"/>
          <w:szCs w:val="23"/>
          <w:lang w:val="en-GB"/>
        </w:rPr>
        <w:t xml:space="preserve"> social equity and prosperity for communities</w:t>
      </w:r>
      <w:r>
        <w:rPr>
          <w:rFonts w:asciiTheme="majorHAnsi" w:eastAsia="Times New Roman" w:hAnsiTheme="majorHAnsi" w:cstheme="majorBidi"/>
          <w:sz w:val="23"/>
          <w:szCs w:val="23"/>
          <w:lang w:val="en-GB"/>
        </w:rPr>
        <w:t xml:space="preserve"> in</w:t>
      </w:r>
      <w:r w:rsidRPr="00122BBD">
        <w:rPr>
          <w:rFonts w:asciiTheme="majorHAnsi" w:eastAsia="Times New Roman" w:hAnsiTheme="majorHAnsi" w:cstheme="majorBidi"/>
          <w:sz w:val="23"/>
          <w:szCs w:val="23"/>
          <w:lang w:val="en-GB"/>
        </w:rPr>
        <w:t xml:space="preserve"> Corio, Norlane</w:t>
      </w:r>
      <w:r>
        <w:rPr>
          <w:rFonts w:asciiTheme="majorHAnsi" w:eastAsia="Times New Roman" w:hAnsiTheme="majorHAnsi" w:cstheme="majorBidi"/>
          <w:sz w:val="23"/>
          <w:szCs w:val="23"/>
          <w:lang w:val="en-GB"/>
        </w:rPr>
        <w:t>,</w:t>
      </w:r>
      <w:r w:rsidRPr="00122BBD">
        <w:rPr>
          <w:rFonts w:asciiTheme="majorHAnsi" w:eastAsia="Times New Roman" w:hAnsiTheme="majorHAnsi" w:cstheme="majorBidi"/>
          <w:sz w:val="23"/>
          <w:szCs w:val="23"/>
          <w:lang w:val="en-GB"/>
        </w:rPr>
        <w:t xml:space="preserve"> and Whittington. The pro</w:t>
      </w:r>
      <w:r>
        <w:rPr>
          <w:rFonts w:asciiTheme="majorHAnsi" w:eastAsia="Times New Roman" w:hAnsiTheme="majorHAnsi" w:cstheme="majorBidi"/>
          <w:sz w:val="23"/>
          <w:szCs w:val="23"/>
          <w:lang w:val="en-GB"/>
        </w:rPr>
        <w:t>ject</w:t>
      </w:r>
      <w:r w:rsidRPr="00122BBD">
        <w:rPr>
          <w:rFonts w:asciiTheme="majorHAnsi" w:eastAsia="Times New Roman" w:hAnsiTheme="majorHAnsi" w:cstheme="majorBidi"/>
          <w:sz w:val="23"/>
          <w:szCs w:val="23"/>
          <w:lang w:val="en-GB"/>
        </w:rPr>
        <w:t xml:space="preserve"> aims to enhance residents’ quality of life </w:t>
      </w:r>
      <w:r>
        <w:rPr>
          <w:rFonts w:asciiTheme="majorHAnsi" w:eastAsia="Times New Roman" w:hAnsiTheme="majorHAnsi" w:cstheme="majorBidi"/>
          <w:sz w:val="23"/>
          <w:szCs w:val="23"/>
          <w:lang w:val="en-GB"/>
        </w:rPr>
        <w:t>and neighbourhood</w:t>
      </w:r>
      <w:r w:rsidRPr="00122BBD">
        <w:rPr>
          <w:rFonts w:asciiTheme="majorHAnsi" w:eastAsia="Times New Roman" w:hAnsiTheme="majorHAnsi" w:cstheme="majorBidi"/>
          <w:sz w:val="23"/>
          <w:szCs w:val="23"/>
          <w:lang w:val="en-GB"/>
        </w:rPr>
        <w:t xml:space="preserve"> liveability</w:t>
      </w:r>
      <w:r>
        <w:rPr>
          <w:rFonts w:asciiTheme="majorHAnsi" w:eastAsia="Times New Roman" w:hAnsiTheme="majorHAnsi" w:cstheme="majorBidi"/>
          <w:sz w:val="23"/>
          <w:szCs w:val="23"/>
          <w:lang w:val="en-GB"/>
        </w:rPr>
        <w:t xml:space="preserve"> </w:t>
      </w:r>
      <w:r w:rsidRPr="00122BBD">
        <w:rPr>
          <w:rFonts w:asciiTheme="majorHAnsi" w:eastAsia="Times New Roman" w:hAnsiTheme="majorHAnsi" w:cstheme="majorBidi"/>
          <w:sz w:val="23"/>
          <w:szCs w:val="23"/>
          <w:lang w:val="en-GB"/>
        </w:rPr>
        <w:t>by improving community outcomes across five “</w:t>
      </w:r>
      <w:r>
        <w:rPr>
          <w:rFonts w:asciiTheme="majorHAnsi" w:eastAsia="Times New Roman" w:hAnsiTheme="majorHAnsi" w:cstheme="majorBidi"/>
          <w:sz w:val="23"/>
          <w:szCs w:val="23"/>
          <w:lang w:val="en-GB"/>
        </w:rPr>
        <w:t>Practice Domain</w:t>
      </w:r>
      <w:r w:rsidRPr="00122BBD">
        <w:rPr>
          <w:rFonts w:asciiTheme="majorHAnsi" w:eastAsia="Times New Roman" w:hAnsiTheme="majorHAnsi" w:cstheme="majorBidi"/>
          <w:sz w:val="23"/>
          <w:szCs w:val="23"/>
          <w:lang w:val="en-GB"/>
        </w:rPr>
        <w:t xml:space="preserve">s”: </w:t>
      </w:r>
    </w:p>
    <w:p w14:paraId="50590111" w14:textId="77777777" w:rsidR="00D2186C" w:rsidRDefault="00D2186C" w:rsidP="00D2186C">
      <w:pPr>
        <w:pStyle w:val="ListParagraph"/>
        <w:numPr>
          <w:ilvl w:val="0"/>
          <w:numId w:val="1"/>
        </w:numPr>
        <w:spacing w:after="0" w:line="276" w:lineRule="auto"/>
        <w:rPr>
          <w:rFonts w:asciiTheme="majorHAnsi" w:eastAsia="Times New Roman" w:hAnsiTheme="majorHAnsi" w:cstheme="majorBidi"/>
          <w:sz w:val="23"/>
          <w:szCs w:val="23"/>
          <w:lang w:val="en-GB"/>
        </w:rPr>
      </w:pPr>
      <w:r w:rsidRPr="001132AD">
        <w:rPr>
          <w:rFonts w:asciiTheme="majorHAnsi" w:eastAsia="Times New Roman" w:hAnsiTheme="majorHAnsi" w:cstheme="majorBidi"/>
          <w:sz w:val="23"/>
          <w:szCs w:val="23"/>
          <w:lang w:val="en-GB"/>
        </w:rPr>
        <w:t xml:space="preserve">Education </w:t>
      </w:r>
    </w:p>
    <w:p w14:paraId="018AB981" w14:textId="77777777" w:rsidR="00D2186C" w:rsidRDefault="00D2186C" w:rsidP="00D2186C">
      <w:pPr>
        <w:pStyle w:val="ListParagraph"/>
        <w:numPr>
          <w:ilvl w:val="0"/>
          <w:numId w:val="1"/>
        </w:numPr>
        <w:spacing w:after="0" w:line="276" w:lineRule="auto"/>
        <w:rPr>
          <w:rFonts w:asciiTheme="majorHAnsi" w:eastAsia="Times New Roman" w:hAnsiTheme="majorHAnsi" w:cstheme="majorBidi"/>
          <w:sz w:val="23"/>
          <w:szCs w:val="23"/>
          <w:lang w:val="en-GB"/>
        </w:rPr>
      </w:pPr>
      <w:r w:rsidRPr="001132AD">
        <w:rPr>
          <w:rFonts w:asciiTheme="majorHAnsi" w:eastAsia="Times New Roman" w:hAnsiTheme="majorHAnsi" w:cstheme="majorBidi"/>
          <w:sz w:val="23"/>
          <w:szCs w:val="23"/>
          <w:lang w:val="en-GB"/>
        </w:rPr>
        <w:t xml:space="preserve">Employment </w:t>
      </w:r>
    </w:p>
    <w:p w14:paraId="41FB328D" w14:textId="77777777" w:rsidR="00D2186C" w:rsidRDefault="00D2186C" w:rsidP="00D2186C">
      <w:pPr>
        <w:pStyle w:val="ListParagraph"/>
        <w:numPr>
          <w:ilvl w:val="0"/>
          <w:numId w:val="1"/>
        </w:numPr>
        <w:spacing w:after="0" w:line="276" w:lineRule="auto"/>
        <w:rPr>
          <w:rFonts w:asciiTheme="majorHAnsi" w:eastAsia="Times New Roman" w:hAnsiTheme="majorHAnsi" w:cstheme="majorBidi"/>
          <w:sz w:val="23"/>
          <w:szCs w:val="23"/>
          <w:lang w:val="en-GB"/>
        </w:rPr>
      </w:pPr>
      <w:r w:rsidRPr="001132AD">
        <w:rPr>
          <w:rFonts w:asciiTheme="majorHAnsi" w:eastAsia="Times New Roman" w:hAnsiTheme="majorHAnsi" w:cstheme="majorBidi"/>
          <w:sz w:val="23"/>
          <w:szCs w:val="23"/>
          <w:lang w:val="en-GB"/>
        </w:rPr>
        <w:t xml:space="preserve">Housing </w:t>
      </w:r>
    </w:p>
    <w:p w14:paraId="5CCF16E6" w14:textId="77777777" w:rsidR="00D2186C" w:rsidRDefault="00D2186C" w:rsidP="00D2186C">
      <w:pPr>
        <w:pStyle w:val="ListParagraph"/>
        <w:numPr>
          <w:ilvl w:val="0"/>
          <w:numId w:val="1"/>
        </w:numPr>
        <w:spacing w:after="0" w:line="276" w:lineRule="auto"/>
        <w:rPr>
          <w:rFonts w:asciiTheme="majorHAnsi" w:eastAsia="Times New Roman" w:hAnsiTheme="majorHAnsi" w:cstheme="majorBidi"/>
          <w:sz w:val="23"/>
          <w:szCs w:val="23"/>
          <w:lang w:val="en-GB"/>
        </w:rPr>
      </w:pPr>
      <w:r w:rsidRPr="001132AD">
        <w:rPr>
          <w:rFonts w:asciiTheme="majorHAnsi" w:eastAsia="Times New Roman" w:hAnsiTheme="majorHAnsi" w:cstheme="majorBidi"/>
          <w:sz w:val="23"/>
          <w:szCs w:val="23"/>
          <w:lang w:val="en-GB"/>
        </w:rPr>
        <w:t xml:space="preserve">Liveability, and </w:t>
      </w:r>
    </w:p>
    <w:p w14:paraId="0FAE6C65" w14:textId="77777777" w:rsidR="00D2186C" w:rsidRPr="001132AD" w:rsidRDefault="00D2186C" w:rsidP="00D2186C">
      <w:pPr>
        <w:pStyle w:val="ListParagraph"/>
        <w:numPr>
          <w:ilvl w:val="0"/>
          <w:numId w:val="1"/>
        </w:numPr>
        <w:spacing w:after="0" w:line="276" w:lineRule="auto"/>
        <w:rPr>
          <w:rFonts w:asciiTheme="majorHAnsi" w:eastAsia="Times New Roman" w:hAnsiTheme="majorHAnsi" w:cstheme="majorBidi"/>
          <w:sz w:val="23"/>
          <w:szCs w:val="23"/>
          <w:lang w:val="en-GB"/>
        </w:rPr>
      </w:pPr>
      <w:r w:rsidRPr="001132AD">
        <w:rPr>
          <w:rFonts w:asciiTheme="majorHAnsi" w:eastAsia="Times New Roman" w:hAnsiTheme="majorHAnsi" w:cstheme="majorBidi"/>
          <w:sz w:val="23"/>
          <w:szCs w:val="23"/>
          <w:lang w:val="en-GB"/>
        </w:rPr>
        <w:t>Health and Wellbeing.</w:t>
      </w:r>
    </w:p>
    <w:p w14:paraId="31811551" w14:textId="3687B23D" w:rsidR="00D2186C" w:rsidRDefault="00D2186C" w:rsidP="00D2186C">
      <w:pPr>
        <w:rPr>
          <w:rFonts w:asciiTheme="majorHAnsi" w:eastAsia="Times New Roman" w:hAnsiTheme="majorHAnsi" w:cstheme="majorBidi"/>
          <w:sz w:val="23"/>
          <w:szCs w:val="23"/>
          <w:lang w:val="en-GB"/>
        </w:rPr>
      </w:pPr>
      <w:r w:rsidRPr="0049055F">
        <w:rPr>
          <w:rFonts w:asciiTheme="majorHAnsi" w:eastAsia="Times New Roman" w:hAnsiTheme="majorHAnsi" w:cstheme="majorBidi"/>
          <w:sz w:val="23"/>
          <w:szCs w:val="23"/>
          <w:lang w:val="en-GB"/>
        </w:rPr>
        <w:t xml:space="preserve">Below is a summary of content relating to </w:t>
      </w:r>
      <w:r w:rsidR="0010453D">
        <w:rPr>
          <w:rFonts w:asciiTheme="majorHAnsi" w:eastAsia="Times New Roman" w:hAnsiTheme="majorHAnsi" w:cstheme="majorBidi"/>
          <w:sz w:val="23"/>
          <w:szCs w:val="23"/>
          <w:lang w:val="en-GB"/>
        </w:rPr>
        <w:t>housing</w:t>
      </w:r>
      <w:r w:rsidRPr="0049055F">
        <w:rPr>
          <w:rFonts w:asciiTheme="majorHAnsi" w:eastAsia="Times New Roman" w:hAnsiTheme="majorHAnsi" w:cstheme="majorBidi"/>
          <w:sz w:val="23"/>
          <w:szCs w:val="23"/>
          <w:lang w:val="en-GB"/>
        </w:rPr>
        <w:t>.</w:t>
      </w:r>
    </w:p>
    <w:p w14:paraId="453E25EE" w14:textId="77777777" w:rsidR="0010453D" w:rsidRPr="00A52632" w:rsidRDefault="0010453D" w:rsidP="0010453D">
      <w:pPr>
        <w:rPr>
          <w:b/>
          <w:color w:val="2E74B5" w:themeColor="accent5" w:themeShade="BF"/>
          <w:sz w:val="25"/>
          <w:szCs w:val="25"/>
        </w:rPr>
      </w:pPr>
      <w:r>
        <w:rPr>
          <w:rFonts w:asciiTheme="majorHAnsi" w:eastAsia="Times New Roman" w:hAnsiTheme="majorHAnsi" w:cstheme="majorBidi"/>
          <w:sz w:val="23"/>
          <w:szCs w:val="23"/>
          <w:lang w:val="en-GB"/>
        </w:rPr>
        <w:t>Note: all table, figure and page numbers refer to those in the full report.</w:t>
      </w:r>
    </w:p>
    <w:p w14:paraId="69B8F117" w14:textId="050F98AE" w:rsidR="00D2186C" w:rsidRPr="00A937D8" w:rsidRDefault="00D2186C" w:rsidP="0010453D">
      <w:pPr>
        <w:pStyle w:val="ListParagraph"/>
        <w:numPr>
          <w:ilvl w:val="0"/>
          <w:numId w:val="2"/>
        </w:numPr>
        <w:spacing w:after="0" w:line="240" w:lineRule="auto"/>
        <w:rPr>
          <w:rFonts w:asciiTheme="majorHAnsi" w:hAnsiTheme="majorHAnsi" w:cstheme="majorHAnsi"/>
          <w:b/>
          <w:bCs/>
          <w:color w:val="2F5496" w:themeColor="accent1" w:themeShade="BF"/>
          <w:sz w:val="28"/>
          <w:szCs w:val="28"/>
        </w:rPr>
      </w:pPr>
      <w:bookmarkStart w:id="6" w:name="_Ref106634656"/>
      <w:bookmarkEnd w:id="5"/>
      <w:r w:rsidRPr="00A937D8">
        <w:rPr>
          <w:b/>
          <w:color w:val="2F5496" w:themeColor="accent1" w:themeShade="BF"/>
          <w:sz w:val="25"/>
          <w:szCs w:val="25"/>
        </w:rPr>
        <w:t>Statistical Profile: Corio, Norlane, and Whittington in 2020</w:t>
      </w:r>
      <w:bookmarkEnd w:id="6"/>
    </w:p>
    <w:p w14:paraId="0AFEAB2C" w14:textId="77777777" w:rsidR="00E761F8" w:rsidRPr="00A937D8" w:rsidRDefault="00E761F8" w:rsidP="00E761F8">
      <w:pPr>
        <w:spacing w:line="276" w:lineRule="auto"/>
        <w:rPr>
          <w:b/>
          <w:color w:val="2F5496" w:themeColor="accent1" w:themeShade="BF"/>
          <w:sz w:val="25"/>
          <w:szCs w:val="25"/>
        </w:rPr>
      </w:pPr>
      <w:r w:rsidRPr="00A937D8">
        <w:rPr>
          <w:b/>
          <w:color w:val="2F5496" w:themeColor="accent1" w:themeShade="BF"/>
          <w:sz w:val="25"/>
          <w:szCs w:val="25"/>
        </w:rPr>
        <w:t>Housing</w:t>
      </w:r>
    </w:p>
    <w:p w14:paraId="66F960A4" w14:textId="487BE9AC" w:rsidR="00E761F8" w:rsidRPr="00E761F8" w:rsidRDefault="00E761F8" w:rsidP="00E761F8">
      <w:pPr>
        <w:spacing w:line="276" w:lineRule="auto"/>
        <w:rPr>
          <w:rFonts w:asciiTheme="majorHAnsi" w:hAnsiTheme="majorHAnsi" w:cstheme="majorHAnsi"/>
          <w:sz w:val="23"/>
          <w:szCs w:val="23"/>
        </w:rPr>
      </w:pPr>
      <w:r w:rsidRPr="00E761F8">
        <w:rPr>
          <w:rFonts w:asciiTheme="majorHAnsi" w:hAnsiTheme="majorHAnsi" w:cstheme="majorHAnsi"/>
          <w:sz w:val="23"/>
          <w:szCs w:val="23"/>
        </w:rPr>
        <w:t xml:space="preserve">We know that the areas of Corio, but more particularly Norlane and Whittington have high concentrations of public housing. Many of these units were built in the 1950s and 60s and were not always of high quality or appropriate for today’s expectations. Many are coming to the end of their </w:t>
      </w:r>
      <w:r w:rsidR="004E2DB8" w:rsidRPr="00E761F8">
        <w:rPr>
          <w:rFonts w:asciiTheme="majorHAnsi" w:hAnsiTheme="majorHAnsi" w:cstheme="majorHAnsi"/>
          <w:sz w:val="23"/>
          <w:szCs w:val="23"/>
        </w:rPr>
        <w:t>lives,</w:t>
      </w:r>
      <w:r w:rsidRPr="00E761F8">
        <w:rPr>
          <w:rFonts w:asciiTheme="majorHAnsi" w:hAnsiTheme="majorHAnsi" w:cstheme="majorHAnsi"/>
          <w:sz w:val="23"/>
          <w:szCs w:val="23"/>
        </w:rPr>
        <w:t xml:space="preserve"> and some have already been replaced as part of Neighbourhood Renewal and Renew Norlane policies in the past.</w:t>
      </w:r>
    </w:p>
    <w:p w14:paraId="07FD737C" w14:textId="0DD7AB71" w:rsidR="00E761F8" w:rsidRPr="00E761F8" w:rsidRDefault="00E761F8" w:rsidP="00E761F8">
      <w:pPr>
        <w:spacing w:line="276" w:lineRule="auto"/>
        <w:rPr>
          <w:rFonts w:asciiTheme="majorHAnsi" w:hAnsiTheme="majorHAnsi" w:cstheme="majorHAnsi"/>
          <w:sz w:val="23"/>
          <w:szCs w:val="23"/>
        </w:rPr>
      </w:pPr>
      <w:r w:rsidRPr="00E761F8">
        <w:rPr>
          <w:rFonts w:asciiTheme="majorHAnsi" w:hAnsiTheme="majorHAnsi" w:cstheme="majorHAnsi"/>
          <w:sz w:val="23"/>
          <w:szCs w:val="23"/>
        </w:rPr>
        <w:t>There is great scope and need to extend these renewal and renovation programs as part of the state level Homes for Victorians and</w:t>
      </w:r>
      <w:r w:rsidR="004E2DB8">
        <w:rPr>
          <w:rFonts w:asciiTheme="majorHAnsi" w:hAnsiTheme="majorHAnsi" w:cstheme="majorHAnsi"/>
          <w:sz w:val="23"/>
          <w:szCs w:val="23"/>
        </w:rPr>
        <w:t xml:space="preserve"> the City’s </w:t>
      </w:r>
      <w:r w:rsidRPr="00E761F8">
        <w:rPr>
          <w:rFonts w:asciiTheme="majorHAnsi" w:hAnsiTheme="majorHAnsi" w:cstheme="majorHAnsi"/>
          <w:sz w:val="23"/>
          <w:szCs w:val="23"/>
        </w:rPr>
        <w:t xml:space="preserve">Social Housing Policy, though whether these areas should accommodate even more social housing units is debatable, with most research tending to support social mix rather than the large </w:t>
      </w:r>
      <w:r w:rsidR="004E2DB8" w:rsidRPr="00E761F8">
        <w:rPr>
          <w:rFonts w:asciiTheme="majorHAnsi" w:hAnsiTheme="majorHAnsi" w:cstheme="majorHAnsi"/>
          <w:sz w:val="23"/>
          <w:szCs w:val="23"/>
        </w:rPr>
        <w:t>low-income</w:t>
      </w:r>
      <w:r w:rsidRPr="00E761F8">
        <w:rPr>
          <w:rFonts w:asciiTheme="majorHAnsi" w:hAnsiTheme="majorHAnsi" w:cstheme="majorHAnsi"/>
          <w:sz w:val="23"/>
          <w:szCs w:val="23"/>
        </w:rPr>
        <w:t xml:space="preserve"> estates that were built in the past. Any policy intervention, however, needs to ensure that the housing within these areas remains appropriate, accessible and affordable to those who wish to live there.</w:t>
      </w:r>
    </w:p>
    <w:p w14:paraId="214411D9" w14:textId="77777777" w:rsidR="00E761F8" w:rsidRPr="00E761F8" w:rsidRDefault="00E761F8" w:rsidP="00E761F8">
      <w:pPr>
        <w:spacing w:line="276" w:lineRule="auto"/>
        <w:rPr>
          <w:rFonts w:asciiTheme="majorHAnsi" w:hAnsiTheme="majorHAnsi" w:cstheme="majorBidi"/>
          <w:sz w:val="23"/>
          <w:szCs w:val="23"/>
        </w:rPr>
      </w:pPr>
      <w:r w:rsidRPr="00E761F8">
        <w:rPr>
          <w:rFonts w:asciiTheme="majorHAnsi" w:hAnsiTheme="majorHAnsi" w:cstheme="majorBidi"/>
          <w:sz w:val="23"/>
          <w:szCs w:val="23"/>
        </w:rPr>
        <w:t>Local proportions of public housing range from 9–20 per cent, meaning a significant amount of the housing in these areas is rental accommodation or mortgaged (with only 23–28 percent owned outright: see Table 7.1).</w:t>
      </w:r>
    </w:p>
    <w:p w14:paraId="4B6D7558" w14:textId="77777777" w:rsidR="00E761F8" w:rsidRPr="00E761F8" w:rsidRDefault="00E761F8" w:rsidP="00E761F8">
      <w:pPr>
        <w:spacing w:line="276" w:lineRule="auto"/>
        <w:rPr>
          <w:rFonts w:asciiTheme="majorHAnsi" w:hAnsiTheme="majorHAnsi" w:cstheme="majorHAnsi"/>
          <w:sz w:val="23"/>
          <w:szCs w:val="23"/>
        </w:rPr>
      </w:pPr>
      <w:r w:rsidRPr="00E761F8">
        <w:rPr>
          <w:rFonts w:asciiTheme="majorHAnsi" w:hAnsiTheme="majorHAnsi" w:cstheme="majorBidi"/>
          <w:sz w:val="23"/>
          <w:szCs w:val="23"/>
        </w:rPr>
        <w:lastRenderedPageBreak/>
        <w:t>To inform this section of the study, we conducted a detailed statistical analysis of the housing property market in the three localities from 2015–2020. Details are below.</w:t>
      </w:r>
    </w:p>
    <w:p w14:paraId="2251EF81" w14:textId="77777777" w:rsidR="00E761F8" w:rsidRPr="00E761F8" w:rsidRDefault="00E761F8" w:rsidP="00E761F8">
      <w:pPr>
        <w:spacing w:after="0" w:line="240" w:lineRule="auto"/>
        <w:rPr>
          <w:rFonts w:asciiTheme="majorHAnsi" w:hAnsiTheme="majorHAnsi" w:cstheme="majorBidi"/>
          <w:sz w:val="23"/>
          <w:szCs w:val="23"/>
        </w:rPr>
      </w:pPr>
      <w:r w:rsidRPr="00E761F8">
        <w:rPr>
          <w:rFonts w:asciiTheme="majorHAnsi" w:hAnsiTheme="majorHAnsi" w:cstheme="majorBidi"/>
          <w:sz w:val="23"/>
          <w:szCs w:val="23"/>
        </w:rPr>
        <w:t>The section below provides a housing transactional and rental market analysis for the three focal suburbs: Corio, Norlane and Whittington, from 1 January 2015 to 31 October 2020. The point-level housing transactional and rental data of the three suburbs are sourced from the Australian Property Monitor (APM).</w:t>
      </w:r>
    </w:p>
    <w:p w14:paraId="3C5DF989" w14:textId="1A27968D" w:rsidR="00E761F8" w:rsidRPr="00E761F8" w:rsidRDefault="00E761F8" w:rsidP="00E761F8">
      <w:pPr>
        <w:spacing w:before="120" w:after="120" w:line="276" w:lineRule="auto"/>
        <w:rPr>
          <w:rFonts w:asciiTheme="majorHAnsi" w:hAnsiTheme="majorHAnsi" w:cstheme="majorHAnsi"/>
          <w:sz w:val="23"/>
          <w:szCs w:val="23"/>
        </w:rPr>
      </w:pPr>
      <w:r w:rsidRPr="00E761F8">
        <w:rPr>
          <w:rFonts w:asciiTheme="majorHAnsi" w:hAnsiTheme="majorHAnsi" w:cstheme="majorHAnsi"/>
          <w:sz w:val="23"/>
          <w:szCs w:val="23"/>
        </w:rPr>
        <w:t xml:space="preserve">Residential property in Australia breaks down into the two main categories – house and unit – and each submarket has distinctive market movement and trends </w:t>
      </w:r>
      <w:r w:rsidRPr="00E761F8">
        <w:rPr>
          <w:rFonts w:asciiTheme="majorHAnsi" w:hAnsiTheme="majorHAnsi" w:cstheme="majorHAnsi"/>
          <w:noProof/>
          <w:sz w:val="23"/>
          <w:szCs w:val="23"/>
        </w:rPr>
        <w:t>(Koo &amp; Liang, 2020; Liang, Koo, &amp; Lee, 2021; Ma, Reed, &amp; Liang, 2019)</w:t>
      </w:r>
      <w:r w:rsidRPr="00E761F8">
        <w:rPr>
          <w:rFonts w:asciiTheme="majorHAnsi" w:hAnsiTheme="majorHAnsi" w:cstheme="majorHAnsi"/>
          <w:sz w:val="23"/>
          <w:szCs w:val="23"/>
        </w:rPr>
        <w:t xml:space="preserve">. Thus, we separate the whole sample into the house and unit </w:t>
      </w:r>
      <w:r w:rsidR="005F7FDA" w:rsidRPr="00E761F8">
        <w:rPr>
          <w:rFonts w:asciiTheme="majorHAnsi" w:hAnsiTheme="majorHAnsi" w:cstheme="majorHAnsi"/>
          <w:sz w:val="23"/>
          <w:szCs w:val="23"/>
        </w:rPr>
        <w:t>submarkets and</w:t>
      </w:r>
      <w:r w:rsidRPr="00E761F8">
        <w:rPr>
          <w:rFonts w:asciiTheme="majorHAnsi" w:hAnsiTheme="majorHAnsi" w:cstheme="majorHAnsi"/>
          <w:sz w:val="23"/>
          <w:szCs w:val="23"/>
        </w:rPr>
        <w:t xml:space="preserve"> analyse them separately.</w:t>
      </w:r>
    </w:p>
    <w:p w14:paraId="7C3AD628" w14:textId="77777777" w:rsidR="00E761F8" w:rsidRPr="00E761F8" w:rsidRDefault="00E761F8" w:rsidP="00E761F8">
      <w:pPr>
        <w:spacing w:before="120" w:after="120" w:line="276" w:lineRule="auto"/>
        <w:rPr>
          <w:rFonts w:asciiTheme="majorHAnsi" w:eastAsia="Times New Roman" w:hAnsiTheme="majorHAnsi" w:cstheme="majorHAnsi"/>
          <w:color w:val="000000" w:themeColor="text1"/>
          <w:sz w:val="23"/>
          <w:szCs w:val="23"/>
        </w:rPr>
      </w:pPr>
      <w:r w:rsidRPr="00E761F8">
        <w:rPr>
          <w:rFonts w:asciiTheme="majorHAnsi" w:hAnsiTheme="majorHAnsi" w:cstheme="majorHAnsi"/>
          <w:sz w:val="23"/>
          <w:szCs w:val="23"/>
        </w:rPr>
        <w:t>Table 7.8 (below) provides a statistical summary for</w:t>
      </w:r>
      <w:r w:rsidRPr="00E761F8">
        <w:rPr>
          <w:rFonts w:asciiTheme="majorHAnsi" w:hAnsiTheme="majorHAnsi" w:cstheme="majorHAnsi"/>
          <w:iCs/>
          <w:sz w:val="23"/>
          <w:szCs w:val="23"/>
        </w:rPr>
        <w:t xml:space="preserve"> the three focal suburbs. </w:t>
      </w:r>
      <w:r w:rsidRPr="00E761F8">
        <w:rPr>
          <w:rFonts w:asciiTheme="majorHAnsi" w:hAnsiTheme="majorHAnsi" w:cstheme="majorHAnsi"/>
          <w:sz w:val="23"/>
          <w:szCs w:val="23"/>
        </w:rPr>
        <w:t>As this table shows, the housing market of the three focal suburbs is dominated by houses, rather than units. From 1 January 2015 to 31 October 2020, there were 4396 houses sold in the three suburbs; the number of units sold during this period is only 283. There were 8364 houses rented out during this period, while the number for units rented is 1049. The average transactional price of houses during this period is $323,276, while the average transactional price of units is $</w:t>
      </w:r>
      <w:r w:rsidRPr="00E761F8">
        <w:rPr>
          <w:rFonts w:asciiTheme="majorHAnsi" w:eastAsia="Times New Roman" w:hAnsiTheme="majorHAnsi" w:cstheme="majorHAnsi"/>
          <w:color w:val="000000" w:themeColor="text1"/>
          <w:sz w:val="23"/>
          <w:szCs w:val="23"/>
        </w:rPr>
        <w:t xml:space="preserve">263,982. The average </w:t>
      </w:r>
      <w:r w:rsidRPr="00E761F8">
        <w:rPr>
          <w:rFonts w:asciiTheme="majorHAnsi" w:hAnsiTheme="majorHAnsi" w:cstheme="majorHAnsi"/>
          <w:sz w:val="23"/>
          <w:szCs w:val="23"/>
        </w:rPr>
        <w:t xml:space="preserve">rental price of houses during this period is $ 280.81 per week, with an average transactional price for units of $ </w:t>
      </w:r>
      <w:r w:rsidRPr="00E761F8">
        <w:rPr>
          <w:rFonts w:asciiTheme="majorHAnsi" w:eastAsia="Times New Roman" w:hAnsiTheme="majorHAnsi" w:cstheme="majorHAnsi"/>
          <w:color w:val="000000" w:themeColor="text1"/>
          <w:sz w:val="23"/>
          <w:szCs w:val="23"/>
        </w:rPr>
        <w:t>244.81 per week.</w:t>
      </w:r>
    </w:p>
    <w:p w14:paraId="7836B11E" w14:textId="4F947093" w:rsidR="00E761F8" w:rsidRDefault="00E761F8" w:rsidP="004E2DB8">
      <w:pPr>
        <w:spacing w:before="120" w:after="480" w:line="276" w:lineRule="auto"/>
        <w:rPr>
          <w:rFonts w:asciiTheme="majorHAnsi" w:hAnsiTheme="majorHAnsi" w:cstheme="majorBidi"/>
          <w:sz w:val="23"/>
          <w:szCs w:val="23"/>
        </w:rPr>
      </w:pPr>
      <w:r w:rsidRPr="00E761F8">
        <w:rPr>
          <w:rFonts w:asciiTheme="majorHAnsi" w:eastAsia="Times New Roman" w:hAnsiTheme="majorHAnsi" w:cstheme="majorBidi"/>
          <w:color w:val="000000" w:themeColor="text1"/>
          <w:sz w:val="23"/>
          <w:szCs w:val="23"/>
        </w:rPr>
        <w:t>During the same period, the average transactional price of houses and units across Victoria was $</w:t>
      </w:r>
      <w:r w:rsidRPr="00E761F8">
        <w:rPr>
          <w:rFonts w:asciiTheme="majorHAnsi" w:hAnsiTheme="majorHAnsi" w:cstheme="majorBidi"/>
          <w:sz w:val="23"/>
          <w:szCs w:val="23"/>
        </w:rPr>
        <w:t xml:space="preserve">758,385 and $549,393 respectively, while the average rental </w:t>
      </w:r>
      <w:r w:rsidRPr="00E761F8">
        <w:rPr>
          <w:rFonts w:asciiTheme="majorHAnsi" w:eastAsia="Times New Roman" w:hAnsiTheme="majorHAnsi" w:cstheme="majorBidi"/>
          <w:color w:val="000000" w:themeColor="text1"/>
          <w:sz w:val="23"/>
          <w:szCs w:val="23"/>
        </w:rPr>
        <w:t>price of houses and units in Victoria was $</w:t>
      </w:r>
      <w:r w:rsidRPr="00E761F8">
        <w:rPr>
          <w:rFonts w:asciiTheme="majorHAnsi" w:hAnsiTheme="majorHAnsi" w:cstheme="majorBidi"/>
          <w:sz w:val="23"/>
          <w:szCs w:val="23"/>
        </w:rPr>
        <w:t>447.85 and $349.54 respectively (see Table 7.8, Panel A). The housing cost of the three focal suburbs is significantly lower than the average of Victoria, confirming that these areas remain relatively very affordable. However, it is important to note that during this period, both housing values and rents in our three focus suburbs increased in at a higher rate than in Greater Geelong or Victoria as a whole.</w:t>
      </w:r>
    </w:p>
    <w:p w14:paraId="60357BBE" w14:textId="77777777" w:rsidR="004E2DB8" w:rsidRDefault="004E2DB8">
      <w:pPr>
        <w:rPr>
          <w:rFonts w:cstheme="minorHAnsi"/>
          <w:b/>
          <w:bCs/>
          <w:color w:val="2F5496" w:themeColor="accent1" w:themeShade="BF"/>
          <w:sz w:val="21"/>
          <w:szCs w:val="21"/>
        </w:rPr>
      </w:pPr>
      <w:r>
        <w:rPr>
          <w:rFonts w:cstheme="minorHAnsi"/>
          <w:b/>
          <w:bCs/>
          <w:color w:val="2F5496" w:themeColor="accent1" w:themeShade="BF"/>
          <w:sz w:val="21"/>
          <w:szCs w:val="21"/>
        </w:rPr>
        <w:br w:type="page"/>
      </w:r>
    </w:p>
    <w:p w14:paraId="0CAF9F55" w14:textId="0C2E1DAF" w:rsidR="00E761F8" w:rsidRPr="00E761F8" w:rsidRDefault="00E761F8" w:rsidP="004E2DB8">
      <w:pPr>
        <w:spacing w:before="1680" w:after="0" w:line="240" w:lineRule="auto"/>
        <w:rPr>
          <w:rFonts w:asciiTheme="majorHAnsi" w:hAnsiTheme="majorHAnsi" w:cstheme="majorBidi"/>
          <w:sz w:val="23"/>
          <w:szCs w:val="23"/>
        </w:rPr>
      </w:pPr>
      <w:r w:rsidRPr="00E761F8">
        <w:rPr>
          <w:rFonts w:cstheme="minorHAnsi"/>
          <w:b/>
          <w:bCs/>
          <w:color w:val="2F5496" w:themeColor="accent1" w:themeShade="BF"/>
          <w:sz w:val="21"/>
          <w:szCs w:val="21"/>
        </w:rPr>
        <w:lastRenderedPageBreak/>
        <w:t>Panel A: House Transactional Sample</w:t>
      </w:r>
    </w:p>
    <w:tbl>
      <w:tblPr>
        <w:tblpPr w:leftFromText="180" w:rightFromText="180" w:vertAnchor="text" w:horzAnchor="margin" w:tblpY="47"/>
        <w:tblW w:w="4953" w:type="pct"/>
        <w:tblBorders>
          <w:top w:val="double" w:sz="4" w:space="0" w:color="auto"/>
          <w:bottom w:val="double" w:sz="4" w:space="0" w:color="auto"/>
        </w:tblBorders>
        <w:tblCellMar>
          <w:left w:w="57" w:type="dxa"/>
          <w:right w:w="57" w:type="dxa"/>
        </w:tblCellMar>
        <w:tblLook w:val="04A0" w:firstRow="1" w:lastRow="0" w:firstColumn="1" w:lastColumn="0" w:noHBand="0" w:noVBand="1"/>
      </w:tblPr>
      <w:tblGrid>
        <w:gridCol w:w="1387"/>
        <w:gridCol w:w="2509"/>
        <w:gridCol w:w="751"/>
        <w:gridCol w:w="1023"/>
        <w:gridCol w:w="1159"/>
        <w:gridCol w:w="887"/>
        <w:gridCol w:w="1225"/>
      </w:tblGrid>
      <w:tr w:rsidR="00E761F8" w:rsidRPr="00F353BE" w14:paraId="6B36907F" w14:textId="77777777" w:rsidTr="00E761F8">
        <w:trPr>
          <w:trHeight w:val="274"/>
        </w:trPr>
        <w:tc>
          <w:tcPr>
            <w:tcW w:w="776" w:type="pct"/>
            <w:tcBorders>
              <w:top w:val="double" w:sz="4" w:space="0" w:color="auto"/>
              <w:bottom w:val="single" w:sz="4" w:space="0" w:color="auto"/>
            </w:tcBorders>
            <w:shd w:val="clear" w:color="auto" w:fill="D0CECE" w:themeFill="background2" w:themeFillShade="E6"/>
            <w:noWrap/>
            <w:vAlign w:val="center"/>
            <w:hideMark/>
          </w:tcPr>
          <w:p w14:paraId="7C7D6BE6" w14:textId="77777777" w:rsidR="00E761F8" w:rsidRPr="00E761F8" w:rsidRDefault="00E761F8" w:rsidP="00E761F8">
            <w:pPr>
              <w:spacing w:after="0" w:line="240" w:lineRule="auto"/>
              <w:rPr>
                <w:rFonts w:eastAsia="Times New Roman" w:cstheme="minorHAnsi"/>
                <w:b/>
                <w:bCs/>
                <w:sz w:val="21"/>
                <w:szCs w:val="21"/>
              </w:rPr>
            </w:pPr>
            <w:r w:rsidRPr="00E761F8">
              <w:rPr>
                <w:rFonts w:eastAsia="Times New Roman" w:cstheme="minorHAnsi"/>
                <w:b/>
                <w:bCs/>
                <w:sz w:val="21"/>
                <w:szCs w:val="21"/>
              </w:rPr>
              <w:t>Variable</w:t>
            </w:r>
          </w:p>
        </w:tc>
        <w:tc>
          <w:tcPr>
            <w:tcW w:w="1403" w:type="pct"/>
            <w:tcBorders>
              <w:top w:val="double" w:sz="4" w:space="0" w:color="auto"/>
              <w:bottom w:val="single" w:sz="4" w:space="0" w:color="auto"/>
            </w:tcBorders>
            <w:shd w:val="clear" w:color="auto" w:fill="D0CECE" w:themeFill="background2" w:themeFillShade="E6"/>
            <w:vAlign w:val="center"/>
          </w:tcPr>
          <w:p w14:paraId="72A14080" w14:textId="77777777" w:rsidR="00E761F8" w:rsidRPr="00E761F8" w:rsidRDefault="00E761F8" w:rsidP="00E761F8">
            <w:pPr>
              <w:spacing w:after="0" w:line="240" w:lineRule="auto"/>
              <w:rPr>
                <w:rFonts w:eastAsia="Times New Roman" w:cstheme="minorHAnsi"/>
                <w:b/>
                <w:bCs/>
                <w:sz w:val="21"/>
                <w:szCs w:val="21"/>
              </w:rPr>
            </w:pPr>
            <w:r w:rsidRPr="00E761F8">
              <w:rPr>
                <w:rFonts w:eastAsia="Times New Roman" w:cstheme="minorHAnsi"/>
                <w:b/>
                <w:bCs/>
                <w:sz w:val="21"/>
                <w:szCs w:val="21"/>
              </w:rPr>
              <w:t>Definition</w:t>
            </w:r>
          </w:p>
        </w:tc>
        <w:tc>
          <w:tcPr>
            <w:tcW w:w="420" w:type="pct"/>
            <w:tcBorders>
              <w:top w:val="double" w:sz="4" w:space="0" w:color="auto"/>
              <w:bottom w:val="single" w:sz="4" w:space="0" w:color="auto"/>
            </w:tcBorders>
            <w:shd w:val="clear" w:color="auto" w:fill="D0CECE" w:themeFill="background2" w:themeFillShade="E6"/>
            <w:noWrap/>
            <w:vAlign w:val="center"/>
            <w:hideMark/>
          </w:tcPr>
          <w:p w14:paraId="2F3468B6" w14:textId="77777777" w:rsidR="00E761F8" w:rsidRPr="00E761F8" w:rsidRDefault="00E761F8" w:rsidP="00E761F8">
            <w:pPr>
              <w:spacing w:after="0" w:line="240" w:lineRule="auto"/>
              <w:rPr>
                <w:rFonts w:eastAsia="Times New Roman" w:cstheme="minorHAnsi"/>
                <w:b/>
                <w:bCs/>
                <w:sz w:val="21"/>
                <w:szCs w:val="21"/>
              </w:rPr>
            </w:pPr>
            <w:r w:rsidRPr="00E761F8">
              <w:rPr>
                <w:rFonts w:eastAsia="Times New Roman" w:cstheme="minorHAnsi"/>
                <w:b/>
                <w:bCs/>
                <w:sz w:val="21"/>
                <w:szCs w:val="21"/>
              </w:rPr>
              <w:t>Obs</w:t>
            </w:r>
          </w:p>
        </w:tc>
        <w:tc>
          <w:tcPr>
            <w:tcW w:w="572" w:type="pct"/>
            <w:tcBorders>
              <w:top w:val="double" w:sz="4" w:space="0" w:color="auto"/>
              <w:bottom w:val="single" w:sz="4" w:space="0" w:color="auto"/>
            </w:tcBorders>
            <w:shd w:val="clear" w:color="auto" w:fill="D0CECE" w:themeFill="background2" w:themeFillShade="E6"/>
            <w:noWrap/>
            <w:vAlign w:val="center"/>
            <w:hideMark/>
          </w:tcPr>
          <w:p w14:paraId="08A1CB7D" w14:textId="77777777" w:rsidR="00E761F8" w:rsidRPr="00E761F8" w:rsidRDefault="00E761F8" w:rsidP="00E761F8">
            <w:pPr>
              <w:spacing w:after="0" w:line="240" w:lineRule="auto"/>
              <w:rPr>
                <w:rFonts w:eastAsia="Times New Roman" w:cstheme="minorHAnsi"/>
                <w:b/>
                <w:bCs/>
                <w:sz w:val="21"/>
                <w:szCs w:val="21"/>
              </w:rPr>
            </w:pPr>
            <w:r w:rsidRPr="00E761F8">
              <w:rPr>
                <w:rFonts w:eastAsia="Times New Roman" w:cstheme="minorHAnsi"/>
                <w:b/>
                <w:bCs/>
                <w:sz w:val="21"/>
                <w:szCs w:val="21"/>
              </w:rPr>
              <w:t>Mean</w:t>
            </w:r>
          </w:p>
        </w:tc>
        <w:tc>
          <w:tcPr>
            <w:tcW w:w="648" w:type="pct"/>
            <w:tcBorders>
              <w:top w:val="double" w:sz="4" w:space="0" w:color="auto"/>
              <w:bottom w:val="single" w:sz="4" w:space="0" w:color="auto"/>
            </w:tcBorders>
            <w:shd w:val="clear" w:color="auto" w:fill="D0CECE" w:themeFill="background2" w:themeFillShade="E6"/>
            <w:noWrap/>
            <w:vAlign w:val="center"/>
            <w:hideMark/>
          </w:tcPr>
          <w:p w14:paraId="420824D2" w14:textId="77777777" w:rsidR="00E761F8" w:rsidRPr="00E761F8" w:rsidRDefault="00E761F8" w:rsidP="00E761F8">
            <w:pPr>
              <w:spacing w:after="0" w:line="240" w:lineRule="auto"/>
              <w:rPr>
                <w:rFonts w:eastAsia="Times New Roman" w:cstheme="minorHAnsi"/>
                <w:b/>
                <w:bCs/>
                <w:sz w:val="21"/>
                <w:szCs w:val="21"/>
              </w:rPr>
            </w:pPr>
            <w:r w:rsidRPr="00E761F8">
              <w:rPr>
                <w:rFonts w:eastAsia="Times New Roman" w:cstheme="minorHAnsi"/>
                <w:b/>
                <w:bCs/>
                <w:sz w:val="21"/>
                <w:szCs w:val="21"/>
              </w:rPr>
              <w:t>Std. Dev.</w:t>
            </w:r>
          </w:p>
        </w:tc>
        <w:tc>
          <w:tcPr>
            <w:tcW w:w="496" w:type="pct"/>
            <w:tcBorders>
              <w:top w:val="double" w:sz="4" w:space="0" w:color="auto"/>
              <w:bottom w:val="single" w:sz="4" w:space="0" w:color="auto"/>
            </w:tcBorders>
            <w:shd w:val="clear" w:color="auto" w:fill="D0CECE" w:themeFill="background2" w:themeFillShade="E6"/>
            <w:noWrap/>
            <w:vAlign w:val="center"/>
            <w:hideMark/>
          </w:tcPr>
          <w:p w14:paraId="4D795EC9" w14:textId="77777777" w:rsidR="00E761F8" w:rsidRPr="00E761F8" w:rsidRDefault="00E761F8" w:rsidP="00E761F8">
            <w:pPr>
              <w:spacing w:after="0" w:line="240" w:lineRule="auto"/>
              <w:rPr>
                <w:rFonts w:eastAsia="Times New Roman" w:cstheme="minorHAnsi"/>
                <w:b/>
                <w:bCs/>
                <w:sz w:val="21"/>
                <w:szCs w:val="21"/>
              </w:rPr>
            </w:pPr>
            <w:r w:rsidRPr="00E761F8">
              <w:rPr>
                <w:rFonts w:eastAsia="Times New Roman" w:cstheme="minorHAnsi"/>
                <w:b/>
                <w:bCs/>
                <w:sz w:val="21"/>
                <w:szCs w:val="21"/>
              </w:rPr>
              <w:t>Min</w:t>
            </w:r>
          </w:p>
        </w:tc>
        <w:tc>
          <w:tcPr>
            <w:tcW w:w="685" w:type="pct"/>
            <w:tcBorders>
              <w:top w:val="double" w:sz="4" w:space="0" w:color="auto"/>
              <w:bottom w:val="single" w:sz="4" w:space="0" w:color="auto"/>
            </w:tcBorders>
            <w:shd w:val="clear" w:color="auto" w:fill="D0CECE" w:themeFill="background2" w:themeFillShade="E6"/>
            <w:noWrap/>
            <w:vAlign w:val="center"/>
            <w:hideMark/>
          </w:tcPr>
          <w:p w14:paraId="44361E56" w14:textId="77777777" w:rsidR="00E761F8" w:rsidRPr="00E761F8" w:rsidRDefault="00E761F8" w:rsidP="00E761F8">
            <w:pPr>
              <w:spacing w:after="0" w:line="240" w:lineRule="auto"/>
              <w:rPr>
                <w:rFonts w:eastAsia="Times New Roman" w:cstheme="minorHAnsi"/>
                <w:b/>
                <w:bCs/>
                <w:sz w:val="21"/>
                <w:szCs w:val="21"/>
              </w:rPr>
            </w:pPr>
            <w:r w:rsidRPr="00E761F8">
              <w:rPr>
                <w:rFonts w:eastAsia="Times New Roman" w:cstheme="minorHAnsi"/>
                <w:b/>
                <w:bCs/>
                <w:sz w:val="21"/>
                <w:szCs w:val="21"/>
              </w:rPr>
              <w:t>Max</w:t>
            </w:r>
          </w:p>
        </w:tc>
      </w:tr>
      <w:tr w:rsidR="00E761F8" w:rsidRPr="00AA3A66" w14:paraId="0E78EF15" w14:textId="77777777" w:rsidTr="00E761F8">
        <w:trPr>
          <w:trHeight w:val="274"/>
        </w:trPr>
        <w:tc>
          <w:tcPr>
            <w:tcW w:w="776" w:type="pct"/>
            <w:shd w:val="clear" w:color="auto" w:fill="auto"/>
            <w:noWrap/>
            <w:vAlign w:val="center"/>
            <w:hideMark/>
          </w:tcPr>
          <w:p w14:paraId="27524E60"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Price</w:t>
            </w:r>
          </w:p>
        </w:tc>
        <w:tc>
          <w:tcPr>
            <w:tcW w:w="1403" w:type="pct"/>
            <w:vAlign w:val="center"/>
          </w:tcPr>
          <w:p w14:paraId="1B9584A1"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Transactional Price</w:t>
            </w:r>
          </w:p>
        </w:tc>
        <w:tc>
          <w:tcPr>
            <w:tcW w:w="420" w:type="pct"/>
            <w:shd w:val="clear" w:color="auto" w:fill="auto"/>
            <w:noWrap/>
            <w:vAlign w:val="center"/>
            <w:hideMark/>
          </w:tcPr>
          <w:p w14:paraId="520DE077"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4,396</w:t>
            </w:r>
          </w:p>
        </w:tc>
        <w:tc>
          <w:tcPr>
            <w:tcW w:w="572" w:type="pct"/>
            <w:shd w:val="clear" w:color="auto" w:fill="auto"/>
            <w:noWrap/>
            <w:vAlign w:val="center"/>
            <w:hideMark/>
          </w:tcPr>
          <w:p w14:paraId="7969161C"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323,276</w:t>
            </w:r>
          </w:p>
        </w:tc>
        <w:tc>
          <w:tcPr>
            <w:tcW w:w="648" w:type="pct"/>
            <w:shd w:val="clear" w:color="auto" w:fill="auto"/>
            <w:noWrap/>
            <w:vAlign w:val="center"/>
            <w:hideMark/>
          </w:tcPr>
          <w:p w14:paraId="4F822B0E"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87,448</w:t>
            </w:r>
          </w:p>
        </w:tc>
        <w:tc>
          <w:tcPr>
            <w:tcW w:w="496" w:type="pct"/>
            <w:shd w:val="clear" w:color="auto" w:fill="auto"/>
            <w:noWrap/>
            <w:vAlign w:val="center"/>
            <w:hideMark/>
          </w:tcPr>
          <w:p w14:paraId="4FBA8DBA"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65,650</w:t>
            </w:r>
          </w:p>
        </w:tc>
        <w:tc>
          <w:tcPr>
            <w:tcW w:w="685" w:type="pct"/>
            <w:shd w:val="clear" w:color="auto" w:fill="auto"/>
            <w:noWrap/>
            <w:vAlign w:val="center"/>
            <w:hideMark/>
          </w:tcPr>
          <w:p w14:paraId="42DC0A03"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2,150,000</w:t>
            </w:r>
          </w:p>
        </w:tc>
      </w:tr>
      <w:tr w:rsidR="00E761F8" w:rsidRPr="00AA3A66" w14:paraId="252C8393" w14:textId="77777777" w:rsidTr="00E761F8">
        <w:trPr>
          <w:trHeight w:val="274"/>
        </w:trPr>
        <w:tc>
          <w:tcPr>
            <w:tcW w:w="776" w:type="pct"/>
            <w:shd w:val="clear" w:color="auto" w:fill="auto"/>
            <w:noWrap/>
            <w:vAlign w:val="center"/>
            <w:hideMark/>
          </w:tcPr>
          <w:p w14:paraId="5078B1E0"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Size</w:t>
            </w:r>
          </w:p>
        </w:tc>
        <w:tc>
          <w:tcPr>
            <w:tcW w:w="1403" w:type="pct"/>
            <w:vAlign w:val="center"/>
          </w:tcPr>
          <w:p w14:paraId="414CAF86"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Size of land</w:t>
            </w:r>
          </w:p>
        </w:tc>
        <w:tc>
          <w:tcPr>
            <w:tcW w:w="420" w:type="pct"/>
            <w:shd w:val="clear" w:color="auto" w:fill="auto"/>
            <w:noWrap/>
            <w:vAlign w:val="center"/>
            <w:hideMark/>
          </w:tcPr>
          <w:p w14:paraId="35F676A8"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4,363</w:t>
            </w:r>
          </w:p>
        </w:tc>
        <w:tc>
          <w:tcPr>
            <w:tcW w:w="572" w:type="pct"/>
            <w:shd w:val="clear" w:color="auto" w:fill="auto"/>
            <w:noWrap/>
            <w:vAlign w:val="center"/>
            <w:hideMark/>
          </w:tcPr>
          <w:p w14:paraId="4B32CFBD"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627.12</w:t>
            </w:r>
          </w:p>
        </w:tc>
        <w:tc>
          <w:tcPr>
            <w:tcW w:w="648" w:type="pct"/>
            <w:shd w:val="clear" w:color="auto" w:fill="auto"/>
            <w:noWrap/>
            <w:vAlign w:val="center"/>
            <w:hideMark/>
          </w:tcPr>
          <w:p w14:paraId="77587527"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499.88</w:t>
            </w:r>
          </w:p>
        </w:tc>
        <w:tc>
          <w:tcPr>
            <w:tcW w:w="496" w:type="pct"/>
            <w:shd w:val="clear" w:color="auto" w:fill="auto"/>
            <w:noWrap/>
            <w:vAlign w:val="center"/>
            <w:hideMark/>
          </w:tcPr>
          <w:p w14:paraId="17933DCD"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98.00</w:t>
            </w:r>
          </w:p>
        </w:tc>
        <w:tc>
          <w:tcPr>
            <w:tcW w:w="685" w:type="pct"/>
            <w:shd w:val="clear" w:color="auto" w:fill="auto"/>
            <w:noWrap/>
            <w:vAlign w:val="center"/>
            <w:hideMark/>
          </w:tcPr>
          <w:p w14:paraId="06B692DB"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13,510.00</w:t>
            </w:r>
          </w:p>
        </w:tc>
      </w:tr>
      <w:tr w:rsidR="00E761F8" w:rsidRPr="00AA3A66" w14:paraId="295BFA18" w14:textId="77777777" w:rsidTr="00E761F8">
        <w:trPr>
          <w:trHeight w:val="274"/>
        </w:trPr>
        <w:tc>
          <w:tcPr>
            <w:tcW w:w="776" w:type="pct"/>
            <w:shd w:val="clear" w:color="auto" w:fill="auto"/>
            <w:noWrap/>
            <w:vAlign w:val="center"/>
            <w:hideMark/>
          </w:tcPr>
          <w:p w14:paraId="37C051BB" w14:textId="1EDD135B" w:rsidR="00E761F8" w:rsidRPr="00E761F8" w:rsidRDefault="005F7FDA"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No. Beds</w:t>
            </w:r>
          </w:p>
        </w:tc>
        <w:tc>
          <w:tcPr>
            <w:tcW w:w="1403" w:type="pct"/>
            <w:vAlign w:val="center"/>
          </w:tcPr>
          <w:p w14:paraId="680C36AB"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Number of Bedrooms</w:t>
            </w:r>
          </w:p>
        </w:tc>
        <w:tc>
          <w:tcPr>
            <w:tcW w:w="420" w:type="pct"/>
            <w:shd w:val="clear" w:color="auto" w:fill="auto"/>
            <w:noWrap/>
            <w:vAlign w:val="center"/>
            <w:hideMark/>
          </w:tcPr>
          <w:p w14:paraId="379A1FC1"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4,398</w:t>
            </w:r>
          </w:p>
        </w:tc>
        <w:tc>
          <w:tcPr>
            <w:tcW w:w="572" w:type="pct"/>
            <w:shd w:val="clear" w:color="auto" w:fill="auto"/>
            <w:noWrap/>
            <w:vAlign w:val="center"/>
            <w:hideMark/>
          </w:tcPr>
          <w:p w14:paraId="2EC0FC97"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2.91</w:t>
            </w:r>
          </w:p>
        </w:tc>
        <w:tc>
          <w:tcPr>
            <w:tcW w:w="648" w:type="pct"/>
            <w:shd w:val="clear" w:color="auto" w:fill="auto"/>
            <w:noWrap/>
            <w:vAlign w:val="center"/>
            <w:hideMark/>
          </w:tcPr>
          <w:p w14:paraId="3CA6FFA7"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0.68</w:t>
            </w:r>
          </w:p>
        </w:tc>
        <w:tc>
          <w:tcPr>
            <w:tcW w:w="496" w:type="pct"/>
            <w:shd w:val="clear" w:color="auto" w:fill="auto"/>
            <w:noWrap/>
            <w:vAlign w:val="center"/>
            <w:hideMark/>
          </w:tcPr>
          <w:p w14:paraId="6DAA787D"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5" w:type="pct"/>
            <w:shd w:val="clear" w:color="auto" w:fill="auto"/>
            <w:noWrap/>
            <w:vAlign w:val="center"/>
            <w:hideMark/>
          </w:tcPr>
          <w:p w14:paraId="3FDD56E9"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6.00</w:t>
            </w:r>
          </w:p>
        </w:tc>
      </w:tr>
      <w:tr w:rsidR="00E761F8" w:rsidRPr="00AA3A66" w14:paraId="4EC4BB41" w14:textId="77777777" w:rsidTr="00E761F8">
        <w:trPr>
          <w:trHeight w:val="274"/>
        </w:trPr>
        <w:tc>
          <w:tcPr>
            <w:tcW w:w="776" w:type="pct"/>
            <w:shd w:val="clear" w:color="auto" w:fill="auto"/>
            <w:noWrap/>
            <w:vAlign w:val="center"/>
            <w:hideMark/>
          </w:tcPr>
          <w:p w14:paraId="48962F34" w14:textId="223C4A80"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No.</w:t>
            </w:r>
            <w:r w:rsidR="005F7FDA">
              <w:rPr>
                <w:rFonts w:asciiTheme="majorHAnsi" w:eastAsia="Times New Roman" w:hAnsiTheme="majorHAnsi" w:cstheme="majorHAnsi"/>
                <w:color w:val="000000"/>
                <w:sz w:val="21"/>
                <w:szCs w:val="21"/>
              </w:rPr>
              <w:t xml:space="preserve"> </w:t>
            </w:r>
            <w:r w:rsidRPr="00E761F8">
              <w:rPr>
                <w:rFonts w:asciiTheme="majorHAnsi" w:eastAsia="Times New Roman" w:hAnsiTheme="majorHAnsi" w:cstheme="majorHAnsi"/>
                <w:color w:val="000000"/>
                <w:sz w:val="21"/>
                <w:szCs w:val="21"/>
              </w:rPr>
              <w:t>Baths</w:t>
            </w:r>
          </w:p>
        </w:tc>
        <w:tc>
          <w:tcPr>
            <w:tcW w:w="1403" w:type="pct"/>
            <w:vAlign w:val="center"/>
          </w:tcPr>
          <w:p w14:paraId="449DB87B"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Number of Bathroom</w:t>
            </w:r>
          </w:p>
        </w:tc>
        <w:tc>
          <w:tcPr>
            <w:tcW w:w="420" w:type="pct"/>
            <w:shd w:val="clear" w:color="auto" w:fill="auto"/>
            <w:noWrap/>
            <w:vAlign w:val="center"/>
            <w:hideMark/>
          </w:tcPr>
          <w:p w14:paraId="71BB114F"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4,398</w:t>
            </w:r>
          </w:p>
        </w:tc>
        <w:tc>
          <w:tcPr>
            <w:tcW w:w="572" w:type="pct"/>
            <w:shd w:val="clear" w:color="auto" w:fill="auto"/>
            <w:noWrap/>
            <w:vAlign w:val="center"/>
            <w:hideMark/>
          </w:tcPr>
          <w:p w14:paraId="3094009B"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1.13</w:t>
            </w:r>
          </w:p>
        </w:tc>
        <w:tc>
          <w:tcPr>
            <w:tcW w:w="648" w:type="pct"/>
            <w:shd w:val="clear" w:color="auto" w:fill="auto"/>
            <w:noWrap/>
            <w:vAlign w:val="center"/>
            <w:hideMark/>
          </w:tcPr>
          <w:p w14:paraId="38E80C5B"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0.49</w:t>
            </w:r>
          </w:p>
        </w:tc>
        <w:tc>
          <w:tcPr>
            <w:tcW w:w="496" w:type="pct"/>
            <w:shd w:val="clear" w:color="auto" w:fill="auto"/>
            <w:noWrap/>
            <w:vAlign w:val="center"/>
            <w:hideMark/>
          </w:tcPr>
          <w:p w14:paraId="392ED4ED"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5" w:type="pct"/>
            <w:shd w:val="clear" w:color="auto" w:fill="auto"/>
            <w:noWrap/>
            <w:vAlign w:val="center"/>
            <w:hideMark/>
          </w:tcPr>
          <w:p w14:paraId="54AB6814"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3.00</w:t>
            </w:r>
          </w:p>
        </w:tc>
      </w:tr>
      <w:tr w:rsidR="00E761F8" w:rsidRPr="00AA3A66" w14:paraId="6E77ABA8" w14:textId="77777777" w:rsidTr="00E761F8">
        <w:trPr>
          <w:trHeight w:val="274"/>
        </w:trPr>
        <w:tc>
          <w:tcPr>
            <w:tcW w:w="776" w:type="pct"/>
            <w:shd w:val="clear" w:color="auto" w:fill="auto"/>
            <w:noWrap/>
            <w:vAlign w:val="center"/>
            <w:hideMark/>
          </w:tcPr>
          <w:p w14:paraId="6C508D58" w14:textId="7E02CC11"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No.</w:t>
            </w:r>
            <w:r w:rsidR="005F7FDA">
              <w:rPr>
                <w:rFonts w:asciiTheme="majorHAnsi" w:eastAsia="Times New Roman" w:hAnsiTheme="majorHAnsi" w:cstheme="majorHAnsi"/>
                <w:color w:val="000000"/>
                <w:sz w:val="21"/>
                <w:szCs w:val="21"/>
              </w:rPr>
              <w:t xml:space="preserve"> </w:t>
            </w:r>
            <w:r w:rsidRPr="00E761F8">
              <w:rPr>
                <w:rFonts w:asciiTheme="majorHAnsi" w:eastAsia="Times New Roman" w:hAnsiTheme="majorHAnsi" w:cstheme="majorHAnsi"/>
                <w:color w:val="000000"/>
                <w:sz w:val="21"/>
                <w:szCs w:val="21"/>
              </w:rPr>
              <w:t>Parking</w:t>
            </w:r>
          </w:p>
        </w:tc>
        <w:tc>
          <w:tcPr>
            <w:tcW w:w="1403" w:type="pct"/>
            <w:vAlign w:val="center"/>
          </w:tcPr>
          <w:p w14:paraId="694B55EA"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Number of Carpark</w:t>
            </w:r>
          </w:p>
        </w:tc>
        <w:tc>
          <w:tcPr>
            <w:tcW w:w="420" w:type="pct"/>
            <w:shd w:val="clear" w:color="auto" w:fill="auto"/>
            <w:noWrap/>
            <w:vAlign w:val="center"/>
            <w:hideMark/>
          </w:tcPr>
          <w:p w14:paraId="0A2BD00C"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4,398</w:t>
            </w:r>
          </w:p>
        </w:tc>
        <w:tc>
          <w:tcPr>
            <w:tcW w:w="572" w:type="pct"/>
            <w:shd w:val="clear" w:color="auto" w:fill="auto"/>
            <w:noWrap/>
            <w:vAlign w:val="center"/>
            <w:hideMark/>
          </w:tcPr>
          <w:p w14:paraId="4DD90E43"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1.99</w:t>
            </w:r>
          </w:p>
        </w:tc>
        <w:tc>
          <w:tcPr>
            <w:tcW w:w="648" w:type="pct"/>
            <w:shd w:val="clear" w:color="auto" w:fill="auto"/>
            <w:noWrap/>
            <w:vAlign w:val="center"/>
            <w:hideMark/>
          </w:tcPr>
          <w:p w14:paraId="1B04F922"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1.45</w:t>
            </w:r>
          </w:p>
        </w:tc>
        <w:tc>
          <w:tcPr>
            <w:tcW w:w="496" w:type="pct"/>
            <w:shd w:val="clear" w:color="auto" w:fill="auto"/>
            <w:noWrap/>
            <w:vAlign w:val="center"/>
            <w:hideMark/>
          </w:tcPr>
          <w:p w14:paraId="28D64A32"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5" w:type="pct"/>
            <w:shd w:val="clear" w:color="auto" w:fill="auto"/>
            <w:noWrap/>
            <w:vAlign w:val="center"/>
            <w:hideMark/>
          </w:tcPr>
          <w:p w14:paraId="3FE92686"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10.00</w:t>
            </w:r>
          </w:p>
        </w:tc>
      </w:tr>
      <w:tr w:rsidR="00E761F8" w:rsidRPr="00AA3A66" w14:paraId="6F4FF6F9" w14:textId="77777777" w:rsidTr="00E761F8">
        <w:trPr>
          <w:trHeight w:val="274"/>
        </w:trPr>
        <w:tc>
          <w:tcPr>
            <w:tcW w:w="776" w:type="pct"/>
            <w:shd w:val="clear" w:color="auto" w:fill="auto"/>
            <w:noWrap/>
            <w:vAlign w:val="center"/>
            <w:hideMark/>
          </w:tcPr>
          <w:p w14:paraId="00014917"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DY-2015</w:t>
            </w:r>
          </w:p>
        </w:tc>
        <w:tc>
          <w:tcPr>
            <w:tcW w:w="1403" w:type="pct"/>
            <w:vAlign w:val="center"/>
          </w:tcPr>
          <w:p w14:paraId="4C5DB0FA"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Year of 2015</w:t>
            </w:r>
          </w:p>
        </w:tc>
        <w:tc>
          <w:tcPr>
            <w:tcW w:w="420" w:type="pct"/>
            <w:shd w:val="clear" w:color="auto" w:fill="auto"/>
            <w:noWrap/>
            <w:vAlign w:val="center"/>
            <w:hideMark/>
          </w:tcPr>
          <w:p w14:paraId="415B3473"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4,398</w:t>
            </w:r>
          </w:p>
        </w:tc>
        <w:tc>
          <w:tcPr>
            <w:tcW w:w="572" w:type="pct"/>
            <w:shd w:val="clear" w:color="auto" w:fill="auto"/>
            <w:noWrap/>
            <w:vAlign w:val="center"/>
            <w:hideMark/>
          </w:tcPr>
          <w:p w14:paraId="62F7E802"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0.13</w:t>
            </w:r>
          </w:p>
        </w:tc>
        <w:tc>
          <w:tcPr>
            <w:tcW w:w="648" w:type="pct"/>
            <w:shd w:val="clear" w:color="auto" w:fill="auto"/>
            <w:noWrap/>
            <w:vAlign w:val="center"/>
            <w:hideMark/>
          </w:tcPr>
          <w:p w14:paraId="5B8C7276"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0.34</w:t>
            </w:r>
          </w:p>
        </w:tc>
        <w:tc>
          <w:tcPr>
            <w:tcW w:w="496" w:type="pct"/>
            <w:shd w:val="clear" w:color="auto" w:fill="auto"/>
            <w:noWrap/>
            <w:vAlign w:val="center"/>
            <w:hideMark/>
          </w:tcPr>
          <w:p w14:paraId="360FFBA0"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5" w:type="pct"/>
            <w:shd w:val="clear" w:color="auto" w:fill="auto"/>
            <w:noWrap/>
            <w:vAlign w:val="center"/>
            <w:hideMark/>
          </w:tcPr>
          <w:p w14:paraId="1E34EC0A"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1.00</w:t>
            </w:r>
          </w:p>
        </w:tc>
      </w:tr>
      <w:tr w:rsidR="00E761F8" w:rsidRPr="00AA3A66" w14:paraId="6C3F5491" w14:textId="77777777" w:rsidTr="00E761F8">
        <w:trPr>
          <w:trHeight w:val="274"/>
        </w:trPr>
        <w:tc>
          <w:tcPr>
            <w:tcW w:w="776" w:type="pct"/>
            <w:shd w:val="clear" w:color="auto" w:fill="auto"/>
            <w:noWrap/>
            <w:vAlign w:val="center"/>
            <w:hideMark/>
          </w:tcPr>
          <w:p w14:paraId="69C2A943"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DY-2016</w:t>
            </w:r>
          </w:p>
        </w:tc>
        <w:tc>
          <w:tcPr>
            <w:tcW w:w="1403" w:type="pct"/>
            <w:vAlign w:val="center"/>
          </w:tcPr>
          <w:p w14:paraId="6BE46473"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Year of 2016</w:t>
            </w:r>
          </w:p>
        </w:tc>
        <w:tc>
          <w:tcPr>
            <w:tcW w:w="420" w:type="pct"/>
            <w:shd w:val="clear" w:color="auto" w:fill="auto"/>
            <w:noWrap/>
            <w:vAlign w:val="center"/>
            <w:hideMark/>
          </w:tcPr>
          <w:p w14:paraId="33EE8C4F"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4,398</w:t>
            </w:r>
          </w:p>
        </w:tc>
        <w:tc>
          <w:tcPr>
            <w:tcW w:w="572" w:type="pct"/>
            <w:shd w:val="clear" w:color="auto" w:fill="auto"/>
            <w:noWrap/>
            <w:vAlign w:val="center"/>
            <w:hideMark/>
          </w:tcPr>
          <w:p w14:paraId="61898857"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0.17</w:t>
            </w:r>
          </w:p>
        </w:tc>
        <w:tc>
          <w:tcPr>
            <w:tcW w:w="648" w:type="pct"/>
            <w:shd w:val="clear" w:color="auto" w:fill="auto"/>
            <w:noWrap/>
            <w:vAlign w:val="center"/>
            <w:hideMark/>
          </w:tcPr>
          <w:p w14:paraId="7440630B"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0.38</w:t>
            </w:r>
          </w:p>
        </w:tc>
        <w:tc>
          <w:tcPr>
            <w:tcW w:w="496" w:type="pct"/>
            <w:shd w:val="clear" w:color="auto" w:fill="auto"/>
            <w:noWrap/>
            <w:vAlign w:val="center"/>
            <w:hideMark/>
          </w:tcPr>
          <w:p w14:paraId="65249D59"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5" w:type="pct"/>
            <w:shd w:val="clear" w:color="auto" w:fill="auto"/>
            <w:noWrap/>
            <w:vAlign w:val="center"/>
            <w:hideMark/>
          </w:tcPr>
          <w:p w14:paraId="48B53F04"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1.00</w:t>
            </w:r>
          </w:p>
        </w:tc>
      </w:tr>
      <w:tr w:rsidR="00E761F8" w:rsidRPr="00AA3A66" w14:paraId="527E6C65" w14:textId="77777777" w:rsidTr="00E761F8">
        <w:trPr>
          <w:trHeight w:val="274"/>
        </w:trPr>
        <w:tc>
          <w:tcPr>
            <w:tcW w:w="776" w:type="pct"/>
            <w:shd w:val="clear" w:color="auto" w:fill="auto"/>
            <w:noWrap/>
            <w:vAlign w:val="center"/>
            <w:hideMark/>
          </w:tcPr>
          <w:p w14:paraId="549C2FE4"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DY-2017</w:t>
            </w:r>
          </w:p>
        </w:tc>
        <w:tc>
          <w:tcPr>
            <w:tcW w:w="1403" w:type="pct"/>
            <w:vAlign w:val="center"/>
          </w:tcPr>
          <w:p w14:paraId="06E6295B"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Year of 2017</w:t>
            </w:r>
          </w:p>
        </w:tc>
        <w:tc>
          <w:tcPr>
            <w:tcW w:w="420" w:type="pct"/>
            <w:shd w:val="clear" w:color="auto" w:fill="auto"/>
            <w:noWrap/>
            <w:vAlign w:val="center"/>
            <w:hideMark/>
          </w:tcPr>
          <w:p w14:paraId="46CD2E46"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4,398</w:t>
            </w:r>
          </w:p>
        </w:tc>
        <w:tc>
          <w:tcPr>
            <w:tcW w:w="572" w:type="pct"/>
            <w:shd w:val="clear" w:color="auto" w:fill="auto"/>
            <w:noWrap/>
            <w:vAlign w:val="center"/>
            <w:hideMark/>
          </w:tcPr>
          <w:p w14:paraId="4874FF55"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0.17</w:t>
            </w:r>
          </w:p>
        </w:tc>
        <w:tc>
          <w:tcPr>
            <w:tcW w:w="648" w:type="pct"/>
            <w:shd w:val="clear" w:color="auto" w:fill="auto"/>
            <w:noWrap/>
            <w:vAlign w:val="center"/>
            <w:hideMark/>
          </w:tcPr>
          <w:p w14:paraId="4B7439CB"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0.38</w:t>
            </w:r>
          </w:p>
        </w:tc>
        <w:tc>
          <w:tcPr>
            <w:tcW w:w="496" w:type="pct"/>
            <w:shd w:val="clear" w:color="auto" w:fill="auto"/>
            <w:noWrap/>
            <w:vAlign w:val="center"/>
            <w:hideMark/>
          </w:tcPr>
          <w:p w14:paraId="44D9F963"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5" w:type="pct"/>
            <w:shd w:val="clear" w:color="auto" w:fill="auto"/>
            <w:noWrap/>
            <w:vAlign w:val="center"/>
            <w:hideMark/>
          </w:tcPr>
          <w:p w14:paraId="7941203B"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1.00</w:t>
            </w:r>
          </w:p>
        </w:tc>
      </w:tr>
      <w:tr w:rsidR="00E761F8" w:rsidRPr="00AA3A66" w14:paraId="646FF154" w14:textId="77777777" w:rsidTr="00E761F8">
        <w:trPr>
          <w:trHeight w:val="274"/>
        </w:trPr>
        <w:tc>
          <w:tcPr>
            <w:tcW w:w="776" w:type="pct"/>
            <w:shd w:val="clear" w:color="auto" w:fill="auto"/>
            <w:noWrap/>
            <w:vAlign w:val="center"/>
            <w:hideMark/>
          </w:tcPr>
          <w:p w14:paraId="57114D5C"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DY-2018</w:t>
            </w:r>
          </w:p>
        </w:tc>
        <w:tc>
          <w:tcPr>
            <w:tcW w:w="1403" w:type="pct"/>
            <w:vAlign w:val="center"/>
          </w:tcPr>
          <w:p w14:paraId="4DD1A720"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Year of 2018</w:t>
            </w:r>
          </w:p>
        </w:tc>
        <w:tc>
          <w:tcPr>
            <w:tcW w:w="420" w:type="pct"/>
            <w:shd w:val="clear" w:color="auto" w:fill="auto"/>
            <w:noWrap/>
            <w:vAlign w:val="center"/>
            <w:hideMark/>
          </w:tcPr>
          <w:p w14:paraId="7F055542"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4,398</w:t>
            </w:r>
          </w:p>
        </w:tc>
        <w:tc>
          <w:tcPr>
            <w:tcW w:w="572" w:type="pct"/>
            <w:shd w:val="clear" w:color="auto" w:fill="auto"/>
            <w:noWrap/>
            <w:vAlign w:val="center"/>
            <w:hideMark/>
          </w:tcPr>
          <w:p w14:paraId="0AA4AEA1"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0.22</w:t>
            </w:r>
          </w:p>
        </w:tc>
        <w:tc>
          <w:tcPr>
            <w:tcW w:w="648" w:type="pct"/>
            <w:shd w:val="clear" w:color="auto" w:fill="auto"/>
            <w:noWrap/>
            <w:vAlign w:val="center"/>
            <w:hideMark/>
          </w:tcPr>
          <w:p w14:paraId="6ACC0E75"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0.41</w:t>
            </w:r>
          </w:p>
        </w:tc>
        <w:tc>
          <w:tcPr>
            <w:tcW w:w="496" w:type="pct"/>
            <w:shd w:val="clear" w:color="auto" w:fill="auto"/>
            <w:noWrap/>
            <w:vAlign w:val="center"/>
            <w:hideMark/>
          </w:tcPr>
          <w:p w14:paraId="315392A5"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5" w:type="pct"/>
            <w:shd w:val="clear" w:color="auto" w:fill="auto"/>
            <w:noWrap/>
            <w:vAlign w:val="center"/>
            <w:hideMark/>
          </w:tcPr>
          <w:p w14:paraId="6E2D8C65"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1.00</w:t>
            </w:r>
          </w:p>
        </w:tc>
      </w:tr>
      <w:tr w:rsidR="00E761F8" w:rsidRPr="00AA3A66" w14:paraId="4C992AF5" w14:textId="77777777" w:rsidTr="00E761F8">
        <w:trPr>
          <w:trHeight w:val="274"/>
        </w:trPr>
        <w:tc>
          <w:tcPr>
            <w:tcW w:w="776" w:type="pct"/>
            <w:shd w:val="clear" w:color="auto" w:fill="auto"/>
            <w:noWrap/>
            <w:vAlign w:val="center"/>
            <w:hideMark/>
          </w:tcPr>
          <w:p w14:paraId="358A206C"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DY-2019</w:t>
            </w:r>
          </w:p>
        </w:tc>
        <w:tc>
          <w:tcPr>
            <w:tcW w:w="1403" w:type="pct"/>
            <w:vAlign w:val="center"/>
          </w:tcPr>
          <w:p w14:paraId="0F0AA136"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Year of 2019</w:t>
            </w:r>
          </w:p>
        </w:tc>
        <w:tc>
          <w:tcPr>
            <w:tcW w:w="420" w:type="pct"/>
            <w:shd w:val="clear" w:color="auto" w:fill="auto"/>
            <w:noWrap/>
            <w:vAlign w:val="center"/>
            <w:hideMark/>
          </w:tcPr>
          <w:p w14:paraId="25D73D28"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4,398</w:t>
            </w:r>
          </w:p>
        </w:tc>
        <w:tc>
          <w:tcPr>
            <w:tcW w:w="572" w:type="pct"/>
            <w:shd w:val="clear" w:color="auto" w:fill="auto"/>
            <w:noWrap/>
            <w:vAlign w:val="center"/>
            <w:hideMark/>
          </w:tcPr>
          <w:p w14:paraId="4D51E546"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0.19</w:t>
            </w:r>
          </w:p>
        </w:tc>
        <w:tc>
          <w:tcPr>
            <w:tcW w:w="648" w:type="pct"/>
            <w:shd w:val="clear" w:color="auto" w:fill="auto"/>
            <w:noWrap/>
            <w:vAlign w:val="center"/>
            <w:hideMark/>
          </w:tcPr>
          <w:p w14:paraId="59D57BAE"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0.39</w:t>
            </w:r>
          </w:p>
        </w:tc>
        <w:tc>
          <w:tcPr>
            <w:tcW w:w="496" w:type="pct"/>
            <w:shd w:val="clear" w:color="auto" w:fill="auto"/>
            <w:noWrap/>
            <w:vAlign w:val="center"/>
            <w:hideMark/>
          </w:tcPr>
          <w:p w14:paraId="6DF6A676"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5" w:type="pct"/>
            <w:shd w:val="clear" w:color="auto" w:fill="auto"/>
            <w:noWrap/>
            <w:vAlign w:val="center"/>
            <w:hideMark/>
          </w:tcPr>
          <w:p w14:paraId="2A5CFE6B"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1.00</w:t>
            </w:r>
          </w:p>
        </w:tc>
      </w:tr>
      <w:tr w:rsidR="00E761F8" w:rsidRPr="00AA3A66" w14:paraId="642C2D05" w14:textId="77777777" w:rsidTr="00E761F8">
        <w:trPr>
          <w:trHeight w:val="274"/>
        </w:trPr>
        <w:tc>
          <w:tcPr>
            <w:tcW w:w="776" w:type="pct"/>
            <w:shd w:val="clear" w:color="auto" w:fill="auto"/>
            <w:noWrap/>
            <w:vAlign w:val="center"/>
            <w:hideMark/>
          </w:tcPr>
          <w:p w14:paraId="2B11DBE9"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DY-2020</w:t>
            </w:r>
          </w:p>
        </w:tc>
        <w:tc>
          <w:tcPr>
            <w:tcW w:w="1403" w:type="pct"/>
            <w:vAlign w:val="center"/>
          </w:tcPr>
          <w:p w14:paraId="672E4A7D"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Year of 2020</w:t>
            </w:r>
          </w:p>
        </w:tc>
        <w:tc>
          <w:tcPr>
            <w:tcW w:w="420" w:type="pct"/>
            <w:shd w:val="clear" w:color="auto" w:fill="auto"/>
            <w:noWrap/>
            <w:vAlign w:val="center"/>
            <w:hideMark/>
          </w:tcPr>
          <w:p w14:paraId="75EC9D3C"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4,398</w:t>
            </w:r>
          </w:p>
        </w:tc>
        <w:tc>
          <w:tcPr>
            <w:tcW w:w="572" w:type="pct"/>
            <w:shd w:val="clear" w:color="auto" w:fill="auto"/>
            <w:noWrap/>
            <w:vAlign w:val="center"/>
            <w:hideMark/>
          </w:tcPr>
          <w:p w14:paraId="1159025B"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0.12</w:t>
            </w:r>
          </w:p>
        </w:tc>
        <w:tc>
          <w:tcPr>
            <w:tcW w:w="648" w:type="pct"/>
            <w:shd w:val="clear" w:color="auto" w:fill="auto"/>
            <w:noWrap/>
            <w:vAlign w:val="center"/>
            <w:hideMark/>
          </w:tcPr>
          <w:p w14:paraId="1EBC24C4"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0.32</w:t>
            </w:r>
          </w:p>
        </w:tc>
        <w:tc>
          <w:tcPr>
            <w:tcW w:w="496" w:type="pct"/>
            <w:shd w:val="clear" w:color="auto" w:fill="auto"/>
            <w:noWrap/>
            <w:vAlign w:val="center"/>
            <w:hideMark/>
          </w:tcPr>
          <w:p w14:paraId="32DB4686"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5" w:type="pct"/>
            <w:shd w:val="clear" w:color="auto" w:fill="auto"/>
            <w:noWrap/>
            <w:vAlign w:val="center"/>
            <w:hideMark/>
          </w:tcPr>
          <w:p w14:paraId="212D5BEC"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1.00</w:t>
            </w:r>
          </w:p>
        </w:tc>
      </w:tr>
    </w:tbl>
    <w:p w14:paraId="675811B9" w14:textId="77777777" w:rsidR="00E761F8" w:rsidRPr="00E761F8" w:rsidRDefault="00E761F8" w:rsidP="00E761F8">
      <w:pPr>
        <w:spacing w:after="0" w:line="240" w:lineRule="auto"/>
        <w:rPr>
          <w:rFonts w:cstheme="minorHAnsi"/>
          <w:b/>
          <w:bCs/>
          <w:color w:val="2F5496" w:themeColor="accent1" w:themeShade="BF"/>
          <w:sz w:val="21"/>
          <w:szCs w:val="21"/>
        </w:rPr>
      </w:pPr>
      <w:r w:rsidRPr="00E761F8">
        <w:rPr>
          <w:rFonts w:cstheme="minorHAnsi"/>
          <w:b/>
          <w:bCs/>
          <w:color w:val="2F5496" w:themeColor="accent1" w:themeShade="BF"/>
          <w:sz w:val="21"/>
          <w:szCs w:val="21"/>
        </w:rPr>
        <w:t>Panel B: Unit Transactional Sample</w:t>
      </w:r>
    </w:p>
    <w:tbl>
      <w:tblPr>
        <w:tblW w:w="4953" w:type="pct"/>
        <w:tblBorders>
          <w:top w:val="double" w:sz="4" w:space="0" w:color="auto"/>
          <w:bottom w:val="double" w:sz="4" w:space="0" w:color="auto"/>
        </w:tblBorders>
        <w:tblCellMar>
          <w:left w:w="57" w:type="dxa"/>
          <w:right w:w="57" w:type="dxa"/>
        </w:tblCellMar>
        <w:tblLook w:val="04A0" w:firstRow="1" w:lastRow="0" w:firstColumn="1" w:lastColumn="0" w:noHBand="0" w:noVBand="1"/>
      </w:tblPr>
      <w:tblGrid>
        <w:gridCol w:w="1389"/>
        <w:gridCol w:w="2509"/>
        <w:gridCol w:w="751"/>
        <w:gridCol w:w="1023"/>
        <w:gridCol w:w="1159"/>
        <w:gridCol w:w="887"/>
        <w:gridCol w:w="1223"/>
      </w:tblGrid>
      <w:tr w:rsidR="00E761F8" w:rsidRPr="00F353BE" w14:paraId="34096415" w14:textId="77777777" w:rsidTr="00A1784D">
        <w:trPr>
          <w:trHeight w:val="273"/>
        </w:trPr>
        <w:tc>
          <w:tcPr>
            <w:tcW w:w="777" w:type="pct"/>
            <w:tcBorders>
              <w:top w:val="double" w:sz="4" w:space="0" w:color="auto"/>
              <w:bottom w:val="single" w:sz="4" w:space="0" w:color="auto"/>
            </w:tcBorders>
            <w:shd w:val="clear" w:color="auto" w:fill="D0CECE" w:themeFill="background2" w:themeFillShade="E6"/>
            <w:noWrap/>
            <w:vAlign w:val="bottom"/>
            <w:hideMark/>
          </w:tcPr>
          <w:p w14:paraId="38ACC751" w14:textId="77777777" w:rsidR="00E761F8" w:rsidRPr="00E761F8" w:rsidRDefault="00E761F8" w:rsidP="00E761F8">
            <w:pPr>
              <w:spacing w:after="0" w:line="240" w:lineRule="auto"/>
              <w:rPr>
                <w:rFonts w:eastAsia="Times New Roman" w:cstheme="minorHAnsi"/>
                <w:b/>
                <w:bCs/>
                <w:sz w:val="21"/>
                <w:szCs w:val="21"/>
              </w:rPr>
            </w:pPr>
            <w:r w:rsidRPr="00E761F8">
              <w:rPr>
                <w:rFonts w:eastAsia="Times New Roman" w:cstheme="minorHAnsi"/>
                <w:b/>
                <w:bCs/>
                <w:sz w:val="21"/>
                <w:szCs w:val="21"/>
              </w:rPr>
              <w:t>Variable</w:t>
            </w:r>
          </w:p>
        </w:tc>
        <w:tc>
          <w:tcPr>
            <w:tcW w:w="1403" w:type="pct"/>
            <w:tcBorders>
              <w:top w:val="double" w:sz="4" w:space="0" w:color="auto"/>
              <w:bottom w:val="single" w:sz="4" w:space="0" w:color="auto"/>
            </w:tcBorders>
            <w:shd w:val="clear" w:color="auto" w:fill="D0CECE" w:themeFill="background2" w:themeFillShade="E6"/>
          </w:tcPr>
          <w:p w14:paraId="5767317C" w14:textId="77777777" w:rsidR="00E761F8" w:rsidRPr="00E761F8" w:rsidRDefault="00E761F8" w:rsidP="00E761F8">
            <w:pPr>
              <w:spacing w:after="0" w:line="240" w:lineRule="auto"/>
              <w:rPr>
                <w:rFonts w:eastAsia="Times New Roman" w:cstheme="minorHAnsi"/>
                <w:b/>
                <w:bCs/>
                <w:sz w:val="21"/>
                <w:szCs w:val="21"/>
              </w:rPr>
            </w:pPr>
            <w:r w:rsidRPr="00E761F8">
              <w:rPr>
                <w:rFonts w:eastAsia="Times New Roman" w:cstheme="minorHAnsi"/>
                <w:b/>
                <w:bCs/>
                <w:sz w:val="21"/>
                <w:szCs w:val="21"/>
              </w:rPr>
              <w:t>Definition</w:t>
            </w:r>
          </w:p>
        </w:tc>
        <w:tc>
          <w:tcPr>
            <w:tcW w:w="420" w:type="pct"/>
            <w:tcBorders>
              <w:top w:val="double" w:sz="4" w:space="0" w:color="auto"/>
              <w:bottom w:val="single" w:sz="4" w:space="0" w:color="auto"/>
            </w:tcBorders>
            <w:shd w:val="clear" w:color="auto" w:fill="D0CECE" w:themeFill="background2" w:themeFillShade="E6"/>
            <w:noWrap/>
            <w:vAlign w:val="bottom"/>
            <w:hideMark/>
          </w:tcPr>
          <w:p w14:paraId="2CE251B1" w14:textId="77777777" w:rsidR="00E761F8" w:rsidRPr="00E761F8" w:rsidRDefault="00E761F8" w:rsidP="00E761F8">
            <w:pPr>
              <w:spacing w:after="0" w:line="240" w:lineRule="auto"/>
              <w:rPr>
                <w:rFonts w:eastAsia="Times New Roman" w:cstheme="minorHAnsi"/>
                <w:b/>
                <w:bCs/>
                <w:sz w:val="21"/>
                <w:szCs w:val="21"/>
              </w:rPr>
            </w:pPr>
            <w:r w:rsidRPr="00E761F8">
              <w:rPr>
                <w:rFonts w:eastAsia="Times New Roman" w:cstheme="minorHAnsi"/>
                <w:b/>
                <w:bCs/>
                <w:sz w:val="21"/>
                <w:szCs w:val="21"/>
              </w:rPr>
              <w:t>Obs</w:t>
            </w:r>
          </w:p>
        </w:tc>
        <w:tc>
          <w:tcPr>
            <w:tcW w:w="572" w:type="pct"/>
            <w:tcBorders>
              <w:top w:val="double" w:sz="4" w:space="0" w:color="auto"/>
              <w:bottom w:val="single" w:sz="4" w:space="0" w:color="auto"/>
            </w:tcBorders>
            <w:shd w:val="clear" w:color="auto" w:fill="D0CECE" w:themeFill="background2" w:themeFillShade="E6"/>
            <w:noWrap/>
            <w:vAlign w:val="bottom"/>
            <w:hideMark/>
          </w:tcPr>
          <w:p w14:paraId="0164BF82" w14:textId="77777777" w:rsidR="00E761F8" w:rsidRPr="00E761F8" w:rsidRDefault="00E761F8" w:rsidP="00E761F8">
            <w:pPr>
              <w:spacing w:after="0" w:line="240" w:lineRule="auto"/>
              <w:rPr>
                <w:rFonts w:eastAsia="Times New Roman" w:cstheme="minorHAnsi"/>
                <w:b/>
                <w:bCs/>
                <w:sz w:val="21"/>
                <w:szCs w:val="21"/>
              </w:rPr>
            </w:pPr>
            <w:r w:rsidRPr="00E761F8">
              <w:rPr>
                <w:rFonts w:eastAsia="Times New Roman" w:cstheme="minorHAnsi"/>
                <w:b/>
                <w:bCs/>
                <w:sz w:val="21"/>
                <w:szCs w:val="21"/>
              </w:rPr>
              <w:t>Mean</w:t>
            </w:r>
          </w:p>
        </w:tc>
        <w:tc>
          <w:tcPr>
            <w:tcW w:w="648" w:type="pct"/>
            <w:tcBorders>
              <w:top w:val="double" w:sz="4" w:space="0" w:color="auto"/>
              <w:bottom w:val="single" w:sz="4" w:space="0" w:color="auto"/>
            </w:tcBorders>
            <w:shd w:val="clear" w:color="auto" w:fill="D0CECE" w:themeFill="background2" w:themeFillShade="E6"/>
            <w:noWrap/>
            <w:vAlign w:val="bottom"/>
            <w:hideMark/>
          </w:tcPr>
          <w:p w14:paraId="1113874A" w14:textId="77777777" w:rsidR="00E761F8" w:rsidRPr="00E761F8" w:rsidRDefault="00E761F8" w:rsidP="00E761F8">
            <w:pPr>
              <w:spacing w:after="0" w:line="240" w:lineRule="auto"/>
              <w:rPr>
                <w:rFonts w:eastAsia="Times New Roman" w:cstheme="minorHAnsi"/>
                <w:b/>
                <w:bCs/>
                <w:sz w:val="21"/>
                <w:szCs w:val="21"/>
              </w:rPr>
            </w:pPr>
            <w:r w:rsidRPr="00E761F8">
              <w:rPr>
                <w:rFonts w:eastAsia="Times New Roman" w:cstheme="minorHAnsi"/>
                <w:b/>
                <w:bCs/>
                <w:sz w:val="21"/>
                <w:szCs w:val="21"/>
              </w:rPr>
              <w:t>Std. Dev.</w:t>
            </w:r>
          </w:p>
        </w:tc>
        <w:tc>
          <w:tcPr>
            <w:tcW w:w="496" w:type="pct"/>
            <w:tcBorders>
              <w:top w:val="double" w:sz="4" w:space="0" w:color="auto"/>
              <w:bottom w:val="single" w:sz="4" w:space="0" w:color="auto"/>
            </w:tcBorders>
            <w:shd w:val="clear" w:color="auto" w:fill="D0CECE" w:themeFill="background2" w:themeFillShade="E6"/>
            <w:noWrap/>
            <w:vAlign w:val="bottom"/>
            <w:hideMark/>
          </w:tcPr>
          <w:p w14:paraId="3539EA0A" w14:textId="77777777" w:rsidR="00E761F8" w:rsidRPr="00E761F8" w:rsidRDefault="00E761F8" w:rsidP="00E761F8">
            <w:pPr>
              <w:spacing w:after="0" w:line="240" w:lineRule="auto"/>
              <w:rPr>
                <w:rFonts w:eastAsia="Times New Roman" w:cstheme="minorHAnsi"/>
                <w:b/>
                <w:bCs/>
                <w:sz w:val="21"/>
                <w:szCs w:val="21"/>
              </w:rPr>
            </w:pPr>
            <w:r w:rsidRPr="00E761F8">
              <w:rPr>
                <w:rFonts w:eastAsia="Times New Roman" w:cstheme="minorHAnsi"/>
                <w:b/>
                <w:bCs/>
                <w:sz w:val="21"/>
                <w:szCs w:val="21"/>
              </w:rPr>
              <w:t>Min</w:t>
            </w:r>
          </w:p>
        </w:tc>
        <w:tc>
          <w:tcPr>
            <w:tcW w:w="685" w:type="pct"/>
            <w:tcBorders>
              <w:top w:val="double" w:sz="4" w:space="0" w:color="auto"/>
              <w:bottom w:val="single" w:sz="4" w:space="0" w:color="auto"/>
            </w:tcBorders>
            <w:shd w:val="clear" w:color="auto" w:fill="D0CECE" w:themeFill="background2" w:themeFillShade="E6"/>
            <w:noWrap/>
            <w:vAlign w:val="bottom"/>
            <w:hideMark/>
          </w:tcPr>
          <w:p w14:paraId="09D463E8" w14:textId="77777777" w:rsidR="00E761F8" w:rsidRPr="00E761F8" w:rsidRDefault="00E761F8" w:rsidP="00E761F8">
            <w:pPr>
              <w:spacing w:after="0" w:line="240" w:lineRule="auto"/>
              <w:rPr>
                <w:rFonts w:eastAsia="Times New Roman" w:cstheme="minorHAnsi"/>
                <w:b/>
                <w:bCs/>
                <w:sz w:val="21"/>
                <w:szCs w:val="21"/>
              </w:rPr>
            </w:pPr>
            <w:r w:rsidRPr="00E761F8">
              <w:rPr>
                <w:rFonts w:eastAsia="Times New Roman" w:cstheme="minorHAnsi"/>
                <w:b/>
                <w:bCs/>
                <w:sz w:val="21"/>
                <w:szCs w:val="21"/>
              </w:rPr>
              <w:t>Max</w:t>
            </w:r>
          </w:p>
        </w:tc>
      </w:tr>
      <w:tr w:rsidR="00E761F8" w:rsidRPr="00AA3A66" w14:paraId="315F3391" w14:textId="77777777" w:rsidTr="00A1784D">
        <w:trPr>
          <w:trHeight w:val="273"/>
        </w:trPr>
        <w:tc>
          <w:tcPr>
            <w:tcW w:w="777" w:type="pct"/>
            <w:shd w:val="clear" w:color="auto" w:fill="auto"/>
            <w:noWrap/>
            <w:vAlign w:val="bottom"/>
            <w:hideMark/>
          </w:tcPr>
          <w:p w14:paraId="67513C93"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Price</w:t>
            </w:r>
          </w:p>
        </w:tc>
        <w:tc>
          <w:tcPr>
            <w:tcW w:w="1403" w:type="pct"/>
          </w:tcPr>
          <w:p w14:paraId="328DCBC7"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Transactional Price</w:t>
            </w:r>
          </w:p>
        </w:tc>
        <w:tc>
          <w:tcPr>
            <w:tcW w:w="420" w:type="pct"/>
            <w:shd w:val="clear" w:color="auto" w:fill="auto"/>
            <w:noWrap/>
            <w:hideMark/>
          </w:tcPr>
          <w:p w14:paraId="04CF5089" w14:textId="00BC0974"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283 </w:t>
            </w:r>
          </w:p>
        </w:tc>
        <w:tc>
          <w:tcPr>
            <w:tcW w:w="572" w:type="pct"/>
            <w:shd w:val="clear" w:color="auto" w:fill="auto"/>
            <w:noWrap/>
            <w:hideMark/>
          </w:tcPr>
          <w:p w14:paraId="205156F0" w14:textId="0F101E5F"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263,982 </w:t>
            </w:r>
          </w:p>
        </w:tc>
        <w:tc>
          <w:tcPr>
            <w:tcW w:w="648" w:type="pct"/>
            <w:shd w:val="clear" w:color="auto" w:fill="auto"/>
            <w:noWrap/>
            <w:hideMark/>
          </w:tcPr>
          <w:p w14:paraId="6B80ED62" w14:textId="61461992"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68,126 </w:t>
            </w:r>
          </w:p>
        </w:tc>
        <w:tc>
          <w:tcPr>
            <w:tcW w:w="496" w:type="pct"/>
            <w:shd w:val="clear" w:color="auto" w:fill="auto"/>
            <w:noWrap/>
            <w:hideMark/>
          </w:tcPr>
          <w:p w14:paraId="4C1FAB48" w14:textId="3ABB9B10"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137,500 </w:t>
            </w:r>
          </w:p>
        </w:tc>
        <w:tc>
          <w:tcPr>
            <w:tcW w:w="685" w:type="pct"/>
            <w:shd w:val="clear" w:color="auto" w:fill="auto"/>
            <w:noWrap/>
            <w:hideMark/>
          </w:tcPr>
          <w:p w14:paraId="75FACB89" w14:textId="213806AC"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508,000 </w:t>
            </w:r>
          </w:p>
        </w:tc>
      </w:tr>
      <w:tr w:rsidR="00E761F8" w:rsidRPr="00AA3A66" w14:paraId="0C6D0163" w14:textId="77777777" w:rsidTr="00A1784D">
        <w:trPr>
          <w:trHeight w:val="273"/>
        </w:trPr>
        <w:tc>
          <w:tcPr>
            <w:tcW w:w="777" w:type="pct"/>
            <w:shd w:val="clear" w:color="auto" w:fill="auto"/>
            <w:noWrap/>
            <w:vAlign w:val="bottom"/>
            <w:hideMark/>
          </w:tcPr>
          <w:p w14:paraId="2C4A11A0"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Size</w:t>
            </w:r>
          </w:p>
        </w:tc>
        <w:tc>
          <w:tcPr>
            <w:tcW w:w="1403" w:type="pct"/>
          </w:tcPr>
          <w:p w14:paraId="3092F9B2"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Size of Indoor Area</w:t>
            </w:r>
          </w:p>
        </w:tc>
        <w:tc>
          <w:tcPr>
            <w:tcW w:w="420" w:type="pct"/>
            <w:shd w:val="clear" w:color="auto" w:fill="auto"/>
            <w:noWrap/>
            <w:hideMark/>
          </w:tcPr>
          <w:p w14:paraId="118201F3" w14:textId="08F66B4C"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284 </w:t>
            </w:r>
          </w:p>
        </w:tc>
        <w:tc>
          <w:tcPr>
            <w:tcW w:w="572" w:type="pct"/>
            <w:shd w:val="clear" w:color="auto" w:fill="auto"/>
            <w:noWrap/>
            <w:hideMark/>
          </w:tcPr>
          <w:p w14:paraId="43918A6A" w14:textId="2FC2A3B0"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214.30 </w:t>
            </w:r>
          </w:p>
        </w:tc>
        <w:tc>
          <w:tcPr>
            <w:tcW w:w="648" w:type="pct"/>
            <w:shd w:val="clear" w:color="auto" w:fill="auto"/>
            <w:noWrap/>
            <w:hideMark/>
          </w:tcPr>
          <w:p w14:paraId="4177D4C2" w14:textId="2596DE3E"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162.67 </w:t>
            </w:r>
          </w:p>
        </w:tc>
        <w:tc>
          <w:tcPr>
            <w:tcW w:w="496" w:type="pct"/>
            <w:shd w:val="clear" w:color="auto" w:fill="auto"/>
            <w:noWrap/>
            <w:hideMark/>
          </w:tcPr>
          <w:p w14:paraId="2D29DE8F" w14:textId="59F95F14"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44.00 </w:t>
            </w:r>
          </w:p>
        </w:tc>
        <w:tc>
          <w:tcPr>
            <w:tcW w:w="685" w:type="pct"/>
            <w:shd w:val="clear" w:color="auto" w:fill="auto"/>
            <w:noWrap/>
            <w:hideMark/>
          </w:tcPr>
          <w:p w14:paraId="3A4BE3C0" w14:textId="7789788B"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1,113.00 </w:t>
            </w:r>
          </w:p>
        </w:tc>
      </w:tr>
      <w:tr w:rsidR="00E761F8" w:rsidRPr="00AA3A66" w14:paraId="7E82589A" w14:textId="77777777" w:rsidTr="00A1784D">
        <w:trPr>
          <w:trHeight w:val="273"/>
        </w:trPr>
        <w:tc>
          <w:tcPr>
            <w:tcW w:w="777" w:type="pct"/>
            <w:shd w:val="clear" w:color="auto" w:fill="auto"/>
            <w:noWrap/>
            <w:vAlign w:val="bottom"/>
            <w:hideMark/>
          </w:tcPr>
          <w:p w14:paraId="4CDAF520" w14:textId="189BF520" w:rsidR="00E761F8" w:rsidRPr="00E761F8" w:rsidRDefault="005F7FDA"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No. Beds</w:t>
            </w:r>
          </w:p>
        </w:tc>
        <w:tc>
          <w:tcPr>
            <w:tcW w:w="1403" w:type="pct"/>
          </w:tcPr>
          <w:p w14:paraId="06FAB561"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Number of Bedrooms</w:t>
            </w:r>
          </w:p>
        </w:tc>
        <w:tc>
          <w:tcPr>
            <w:tcW w:w="420" w:type="pct"/>
            <w:shd w:val="clear" w:color="auto" w:fill="auto"/>
            <w:noWrap/>
            <w:hideMark/>
          </w:tcPr>
          <w:p w14:paraId="5B0CFB2A" w14:textId="085D654D"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284 </w:t>
            </w:r>
          </w:p>
        </w:tc>
        <w:tc>
          <w:tcPr>
            <w:tcW w:w="572" w:type="pct"/>
            <w:shd w:val="clear" w:color="auto" w:fill="auto"/>
            <w:noWrap/>
            <w:hideMark/>
          </w:tcPr>
          <w:p w14:paraId="1C0C6B8D" w14:textId="7039D4FD"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1.93 </w:t>
            </w:r>
          </w:p>
        </w:tc>
        <w:tc>
          <w:tcPr>
            <w:tcW w:w="648" w:type="pct"/>
            <w:shd w:val="clear" w:color="auto" w:fill="auto"/>
            <w:noWrap/>
            <w:hideMark/>
          </w:tcPr>
          <w:p w14:paraId="2386CC47" w14:textId="316432AF"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0.67 </w:t>
            </w:r>
          </w:p>
        </w:tc>
        <w:tc>
          <w:tcPr>
            <w:tcW w:w="496" w:type="pct"/>
            <w:shd w:val="clear" w:color="auto" w:fill="auto"/>
            <w:noWrap/>
            <w:hideMark/>
          </w:tcPr>
          <w:p w14:paraId="05578149"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5" w:type="pct"/>
            <w:shd w:val="clear" w:color="auto" w:fill="auto"/>
            <w:noWrap/>
            <w:hideMark/>
          </w:tcPr>
          <w:p w14:paraId="0907778F" w14:textId="1F8D48F4"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4.00 </w:t>
            </w:r>
          </w:p>
        </w:tc>
      </w:tr>
      <w:tr w:rsidR="00E761F8" w:rsidRPr="00AA3A66" w14:paraId="717AD570" w14:textId="77777777" w:rsidTr="00A1784D">
        <w:trPr>
          <w:trHeight w:val="273"/>
        </w:trPr>
        <w:tc>
          <w:tcPr>
            <w:tcW w:w="777" w:type="pct"/>
            <w:shd w:val="clear" w:color="auto" w:fill="auto"/>
            <w:noWrap/>
            <w:vAlign w:val="bottom"/>
            <w:hideMark/>
          </w:tcPr>
          <w:p w14:paraId="698DF9DD" w14:textId="32179395"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No.</w:t>
            </w:r>
            <w:r w:rsidR="005F7FDA">
              <w:rPr>
                <w:rFonts w:asciiTheme="majorHAnsi" w:eastAsia="Times New Roman" w:hAnsiTheme="majorHAnsi" w:cstheme="majorHAnsi"/>
                <w:color w:val="000000"/>
                <w:sz w:val="21"/>
                <w:szCs w:val="21"/>
              </w:rPr>
              <w:t xml:space="preserve"> </w:t>
            </w:r>
            <w:r w:rsidRPr="00E761F8">
              <w:rPr>
                <w:rFonts w:asciiTheme="majorHAnsi" w:eastAsia="Times New Roman" w:hAnsiTheme="majorHAnsi" w:cstheme="majorHAnsi"/>
                <w:color w:val="000000"/>
                <w:sz w:val="21"/>
                <w:szCs w:val="21"/>
              </w:rPr>
              <w:t>Baths</w:t>
            </w:r>
          </w:p>
        </w:tc>
        <w:tc>
          <w:tcPr>
            <w:tcW w:w="1403" w:type="pct"/>
          </w:tcPr>
          <w:p w14:paraId="06B77F1C"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Number of Bathroom</w:t>
            </w:r>
          </w:p>
        </w:tc>
        <w:tc>
          <w:tcPr>
            <w:tcW w:w="420" w:type="pct"/>
            <w:shd w:val="clear" w:color="auto" w:fill="auto"/>
            <w:noWrap/>
            <w:hideMark/>
          </w:tcPr>
          <w:p w14:paraId="48941742" w14:textId="455A11AB"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284 </w:t>
            </w:r>
          </w:p>
        </w:tc>
        <w:tc>
          <w:tcPr>
            <w:tcW w:w="572" w:type="pct"/>
            <w:shd w:val="clear" w:color="auto" w:fill="auto"/>
            <w:noWrap/>
            <w:hideMark/>
          </w:tcPr>
          <w:p w14:paraId="744D20C1" w14:textId="1560BA91"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1.02 </w:t>
            </w:r>
          </w:p>
        </w:tc>
        <w:tc>
          <w:tcPr>
            <w:tcW w:w="648" w:type="pct"/>
            <w:shd w:val="clear" w:color="auto" w:fill="auto"/>
            <w:noWrap/>
            <w:hideMark/>
          </w:tcPr>
          <w:p w14:paraId="4DEE8DE3" w14:textId="4EE42546"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0.39 </w:t>
            </w:r>
          </w:p>
        </w:tc>
        <w:tc>
          <w:tcPr>
            <w:tcW w:w="496" w:type="pct"/>
            <w:shd w:val="clear" w:color="auto" w:fill="auto"/>
            <w:noWrap/>
            <w:hideMark/>
          </w:tcPr>
          <w:p w14:paraId="53C62E62"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5" w:type="pct"/>
            <w:shd w:val="clear" w:color="auto" w:fill="auto"/>
            <w:noWrap/>
            <w:hideMark/>
          </w:tcPr>
          <w:p w14:paraId="74EE352C" w14:textId="076231D3"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3.00 </w:t>
            </w:r>
          </w:p>
        </w:tc>
      </w:tr>
      <w:tr w:rsidR="00E761F8" w:rsidRPr="00AA3A66" w14:paraId="493D66CC" w14:textId="77777777" w:rsidTr="00A1784D">
        <w:trPr>
          <w:trHeight w:val="273"/>
        </w:trPr>
        <w:tc>
          <w:tcPr>
            <w:tcW w:w="777" w:type="pct"/>
            <w:shd w:val="clear" w:color="auto" w:fill="auto"/>
            <w:noWrap/>
            <w:vAlign w:val="bottom"/>
            <w:hideMark/>
          </w:tcPr>
          <w:p w14:paraId="105B1EA7" w14:textId="4D85957E"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No.</w:t>
            </w:r>
            <w:r w:rsidR="005F7FDA">
              <w:rPr>
                <w:rFonts w:asciiTheme="majorHAnsi" w:eastAsia="Times New Roman" w:hAnsiTheme="majorHAnsi" w:cstheme="majorHAnsi"/>
                <w:color w:val="000000"/>
                <w:sz w:val="21"/>
                <w:szCs w:val="21"/>
              </w:rPr>
              <w:t xml:space="preserve"> </w:t>
            </w:r>
            <w:r w:rsidRPr="00E761F8">
              <w:rPr>
                <w:rFonts w:asciiTheme="majorHAnsi" w:eastAsia="Times New Roman" w:hAnsiTheme="majorHAnsi" w:cstheme="majorHAnsi"/>
                <w:color w:val="000000"/>
                <w:sz w:val="21"/>
                <w:szCs w:val="21"/>
              </w:rPr>
              <w:t>Parking</w:t>
            </w:r>
          </w:p>
        </w:tc>
        <w:tc>
          <w:tcPr>
            <w:tcW w:w="1403" w:type="pct"/>
          </w:tcPr>
          <w:p w14:paraId="12B3B4FA"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Number of Carpark</w:t>
            </w:r>
          </w:p>
        </w:tc>
        <w:tc>
          <w:tcPr>
            <w:tcW w:w="420" w:type="pct"/>
            <w:shd w:val="clear" w:color="auto" w:fill="auto"/>
            <w:noWrap/>
            <w:hideMark/>
          </w:tcPr>
          <w:p w14:paraId="1332992A" w14:textId="04366B80"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284 </w:t>
            </w:r>
          </w:p>
        </w:tc>
        <w:tc>
          <w:tcPr>
            <w:tcW w:w="572" w:type="pct"/>
            <w:shd w:val="clear" w:color="auto" w:fill="auto"/>
            <w:noWrap/>
            <w:hideMark/>
          </w:tcPr>
          <w:p w14:paraId="172A9888" w14:textId="15EEC32A"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1.11 </w:t>
            </w:r>
          </w:p>
        </w:tc>
        <w:tc>
          <w:tcPr>
            <w:tcW w:w="648" w:type="pct"/>
            <w:shd w:val="clear" w:color="auto" w:fill="auto"/>
            <w:noWrap/>
            <w:hideMark/>
          </w:tcPr>
          <w:p w14:paraId="582A5CB1" w14:textId="445D0EC6"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0.64 </w:t>
            </w:r>
          </w:p>
        </w:tc>
        <w:tc>
          <w:tcPr>
            <w:tcW w:w="496" w:type="pct"/>
            <w:shd w:val="clear" w:color="auto" w:fill="auto"/>
            <w:noWrap/>
            <w:hideMark/>
          </w:tcPr>
          <w:p w14:paraId="6C32D07C"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5" w:type="pct"/>
            <w:shd w:val="clear" w:color="auto" w:fill="auto"/>
            <w:noWrap/>
            <w:hideMark/>
          </w:tcPr>
          <w:p w14:paraId="74750B3F" w14:textId="1EA564BB"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4.00 </w:t>
            </w:r>
          </w:p>
        </w:tc>
      </w:tr>
      <w:tr w:rsidR="00E761F8" w:rsidRPr="00AA3A66" w14:paraId="135108F6" w14:textId="77777777" w:rsidTr="00A1784D">
        <w:trPr>
          <w:trHeight w:val="273"/>
        </w:trPr>
        <w:tc>
          <w:tcPr>
            <w:tcW w:w="777" w:type="pct"/>
            <w:shd w:val="clear" w:color="auto" w:fill="auto"/>
            <w:noWrap/>
            <w:vAlign w:val="bottom"/>
            <w:hideMark/>
          </w:tcPr>
          <w:p w14:paraId="539D8423"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DY-2015</w:t>
            </w:r>
          </w:p>
        </w:tc>
        <w:tc>
          <w:tcPr>
            <w:tcW w:w="1403" w:type="pct"/>
          </w:tcPr>
          <w:p w14:paraId="5CE31F5C"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Year of 2015</w:t>
            </w:r>
          </w:p>
        </w:tc>
        <w:tc>
          <w:tcPr>
            <w:tcW w:w="420" w:type="pct"/>
            <w:shd w:val="clear" w:color="auto" w:fill="auto"/>
            <w:noWrap/>
            <w:hideMark/>
          </w:tcPr>
          <w:p w14:paraId="1036F4CD" w14:textId="36EC30F6"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284 </w:t>
            </w:r>
          </w:p>
        </w:tc>
        <w:tc>
          <w:tcPr>
            <w:tcW w:w="572" w:type="pct"/>
            <w:shd w:val="clear" w:color="auto" w:fill="auto"/>
            <w:noWrap/>
            <w:hideMark/>
          </w:tcPr>
          <w:p w14:paraId="275A10ED" w14:textId="5F415BCE"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0.08 </w:t>
            </w:r>
          </w:p>
        </w:tc>
        <w:tc>
          <w:tcPr>
            <w:tcW w:w="648" w:type="pct"/>
            <w:shd w:val="clear" w:color="auto" w:fill="auto"/>
            <w:noWrap/>
            <w:hideMark/>
          </w:tcPr>
          <w:p w14:paraId="45480D45" w14:textId="79FA3E2A"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0.27 </w:t>
            </w:r>
          </w:p>
        </w:tc>
        <w:tc>
          <w:tcPr>
            <w:tcW w:w="496" w:type="pct"/>
            <w:shd w:val="clear" w:color="auto" w:fill="auto"/>
            <w:noWrap/>
            <w:hideMark/>
          </w:tcPr>
          <w:p w14:paraId="7831DA3E"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5" w:type="pct"/>
            <w:shd w:val="clear" w:color="auto" w:fill="auto"/>
            <w:noWrap/>
            <w:hideMark/>
          </w:tcPr>
          <w:p w14:paraId="2B8E75FC" w14:textId="0FF62658"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1.00 </w:t>
            </w:r>
          </w:p>
        </w:tc>
      </w:tr>
      <w:tr w:rsidR="00E761F8" w:rsidRPr="00AA3A66" w14:paraId="5B54AE81" w14:textId="77777777" w:rsidTr="00A1784D">
        <w:trPr>
          <w:trHeight w:val="273"/>
        </w:trPr>
        <w:tc>
          <w:tcPr>
            <w:tcW w:w="777" w:type="pct"/>
            <w:shd w:val="clear" w:color="auto" w:fill="auto"/>
            <w:noWrap/>
            <w:vAlign w:val="bottom"/>
            <w:hideMark/>
          </w:tcPr>
          <w:p w14:paraId="26D172A0"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DY-2016</w:t>
            </w:r>
          </w:p>
        </w:tc>
        <w:tc>
          <w:tcPr>
            <w:tcW w:w="1403" w:type="pct"/>
          </w:tcPr>
          <w:p w14:paraId="4C2732E0"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Year of 2016</w:t>
            </w:r>
          </w:p>
        </w:tc>
        <w:tc>
          <w:tcPr>
            <w:tcW w:w="420" w:type="pct"/>
            <w:shd w:val="clear" w:color="auto" w:fill="auto"/>
            <w:noWrap/>
            <w:hideMark/>
          </w:tcPr>
          <w:p w14:paraId="16D7918C" w14:textId="6773A9C1"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284 </w:t>
            </w:r>
          </w:p>
        </w:tc>
        <w:tc>
          <w:tcPr>
            <w:tcW w:w="572" w:type="pct"/>
            <w:shd w:val="clear" w:color="auto" w:fill="auto"/>
            <w:noWrap/>
            <w:hideMark/>
          </w:tcPr>
          <w:p w14:paraId="66F756FD" w14:textId="63BF5AD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0.18 </w:t>
            </w:r>
          </w:p>
        </w:tc>
        <w:tc>
          <w:tcPr>
            <w:tcW w:w="648" w:type="pct"/>
            <w:shd w:val="clear" w:color="auto" w:fill="auto"/>
            <w:noWrap/>
            <w:hideMark/>
          </w:tcPr>
          <w:p w14:paraId="39D10B6A" w14:textId="6D9844B1"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0.39 </w:t>
            </w:r>
          </w:p>
        </w:tc>
        <w:tc>
          <w:tcPr>
            <w:tcW w:w="496" w:type="pct"/>
            <w:shd w:val="clear" w:color="auto" w:fill="auto"/>
            <w:noWrap/>
            <w:hideMark/>
          </w:tcPr>
          <w:p w14:paraId="23AFC3BE"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5" w:type="pct"/>
            <w:shd w:val="clear" w:color="auto" w:fill="auto"/>
            <w:noWrap/>
            <w:hideMark/>
          </w:tcPr>
          <w:p w14:paraId="28F50885" w14:textId="50B6F52E"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1.00 </w:t>
            </w:r>
          </w:p>
        </w:tc>
      </w:tr>
      <w:tr w:rsidR="00E761F8" w:rsidRPr="00AA3A66" w14:paraId="50DB8E07" w14:textId="77777777" w:rsidTr="00A1784D">
        <w:trPr>
          <w:trHeight w:val="273"/>
        </w:trPr>
        <w:tc>
          <w:tcPr>
            <w:tcW w:w="777" w:type="pct"/>
            <w:shd w:val="clear" w:color="auto" w:fill="auto"/>
            <w:noWrap/>
            <w:vAlign w:val="bottom"/>
            <w:hideMark/>
          </w:tcPr>
          <w:p w14:paraId="5AB7830C"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DY-2017</w:t>
            </w:r>
          </w:p>
        </w:tc>
        <w:tc>
          <w:tcPr>
            <w:tcW w:w="1403" w:type="pct"/>
          </w:tcPr>
          <w:p w14:paraId="4D2B4AAF"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Year of 2017</w:t>
            </w:r>
          </w:p>
        </w:tc>
        <w:tc>
          <w:tcPr>
            <w:tcW w:w="420" w:type="pct"/>
            <w:shd w:val="clear" w:color="auto" w:fill="auto"/>
            <w:noWrap/>
            <w:hideMark/>
          </w:tcPr>
          <w:p w14:paraId="10DD07EC" w14:textId="7137278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284 </w:t>
            </w:r>
          </w:p>
        </w:tc>
        <w:tc>
          <w:tcPr>
            <w:tcW w:w="572" w:type="pct"/>
            <w:shd w:val="clear" w:color="auto" w:fill="auto"/>
            <w:noWrap/>
            <w:hideMark/>
          </w:tcPr>
          <w:p w14:paraId="0A85B53D" w14:textId="1D6A546E"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0.23 </w:t>
            </w:r>
          </w:p>
        </w:tc>
        <w:tc>
          <w:tcPr>
            <w:tcW w:w="648" w:type="pct"/>
            <w:shd w:val="clear" w:color="auto" w:fill="auto"/>
            <w:noWrap/>
            <w:hideMark/>
          </w:tcPr>
          <w:p w14:paraId="4686AA18" w14:textId="5387F94D"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0.42 </w:t>
            </w:r>
          </w:p>
        </w:tc>
        <w:tc>
          <w:tcPr>
            <w:tcW w:w="496" w:type="pct"/>
            <w:shd w:val="clear" w:color="auto" w:fill="auto"/>
            <w:noWrap/>
            <w:hideMark/>
          </w:tcPr>
          <w:p w14:paraId="373838C1"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5" w:type="pct"/>
            <w:shd w:val="clear" w:color="auto" w:fill="auto"/>
            <w:noWrap/>
            <w:hideMark/>
          </w:tcPr>
          <w:p w14:paraId="02E61C62" w14:textId="1E4395B0"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1.00 </w:t>
            </w:r>
          </w:p>
        </w:tc>
      </w:tr>
      <w:tr w:rsidR="00E761F8" w:rsidRPr="00AA3A66" w14:paraId="779A7E53" w14:textId="77777777" w:rsidTr="00A1784D">
        <w:trPr>
          <w:trHeight w:val="273"/>
        </w:trPr>
        <w:tc>
          <w:tcPr>
            <w:tcW w:w="777" w:type="pct"/>
            <w:shd w:val="clear" w:color="auto" w:fill="auto"/>
            <w:noWrap/>
            <w:vAlign w:val="bottom"/>
            <w:hideMark/>
          </w:tcPr>
          <w:p w14:paraId="11E485C1"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DY-2018</w:t>
            </w:r>
          </w:p>
        </w:tc>
        <w:tc>
          <w:tcPr>
            <w:tcW w:w="1403" w:type="pct"/>
          </w:tcPr>
          <w:p w14:paraId="06EBF41D"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Year of 2018</w:t>
            </w:r>
          </w:p>
        </w:tc>
        <w:tc>
          <w:tcPr>
            <w:tcW w:w="420" w:type="pct"/>
            <w:shd w:val="clear" w:color="auto" w:fill="auto"/>
            <w:noWrap/>
            <w:hideMark/>
          </w:tcPr>
          <w:p w14:paraId="2500BC73" w14:textId="20F3791D"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284 </w:t>
            </w:r>
          </w:p>
        </w:tc>
        <w:tc>
          <w:tcPr>
            <w:tcW w:w="572" w:type="pct"/>
            <w:shd w:val="clear" w:color="auto" w:fill="auto"/>
            <w:noWrap/>
            <w:hideMark/>
          </w:tcPr>
          <w:p w14:paraId="284A5F4C" w14:textId="1F7FA418"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0.12 </w:t>
            </w:r>
          </w:p>
        </w:tc>
        <w:tc>
          <w:tcPr>
            <w:tcW w:w="648" w:type="pct"/>
            <w:shd w:val="clear" w:color="auto" w:fill="auto"/>
            <w:noWrap/>
            <w:hideMark/>
          </w:tcPr>
          <w:p w14:paraId="4836A014" w14:textId="5CD62C44"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0.33 </w:t>
            </w:r>
          </w:p>
        </w:tc>
        <w:tc>
          <w:tcPr>
            <w:tcW w:w="496" w:type="pct"/>
            <w:shd w:val="clear" w:color="auto" w:fill="auto"/>
            <w:noWrap/>
            <w:hideMark/>
          </w:tcPr>
          <w:p w14:paraId="72A80551"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5" w:type="pct"/>
            <w:shd w:val="clear" w:color="auto" w:fill="auto"/>
            <w:noWrap/>
            <w:hideMark/>
          </w:tcPr>
          <w:p w14:paraId="32E0DD67" w14:textId="43F84182"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1.00 </w:t>
            </w:r>
          </w:p>
        </w:tc>
      </w:tr>
      <w:tr w:rsidR="00E761F8" w:rsidRPr="00AA3A66" w14:paraId="6079EC9D" w14:textId="77777777" w:rsidTr="00A1784D">
        <w:trPr>
          <w:trHeight w:val="273"/>
        </w:trPr>
        <w:tc>
          <w:tcPr>
            <w:tcW w:w="777" w:type="pct"/>
            <w:shd w:val="clear" w:color="auto" w:fill="auto"/>
            <w:noWrap/>
            <w:vAlign w:val="bottom"/>
            <w:hideMark/>
          </w:tcPr>
          <w:p w14:paraId="7CED220C"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DY-2019</w:t>
            </w:r>
          </w:p>
        </w:tc>
        <w:tc>
          <w:tcPr>
            <w:tcW w:w="1403" w:type="pct"/>
          </w:tcPr>
          <w:p w14:paraId="304015C7"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Year of 2019</w:t>
            </w:r>
          </w:p>
        </w:tc>
        <w:tc>
          <w:tcPr>
            <w:tcW w:w="420" w:type="pct"/>
            <w:shd w:val="clear" w:color="auto" w:fill="auto"/>
            <w:noWrap/>
            <w:hideMark/>
          </w:tcPr>
          <w:p w14:paraId="25905108" w14:textId="3E59E0B1"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284 </w:t>
            </w:r>
          </w:p>
        </w:tc>
        <w:tc>
          <w:tcPr>
            <w:tcW w:w="572" w:type="pct"/>
            <w:shd w:val="clear" w:color="auto" w:fill="auto"/>
            <w:noWrap/>
            <w:hideMark/>
          </w:tcPr>
          <w:p w14:paraId="2C815C4D" w14:textId="5C593265"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0.20 </w:t>
            </w:r>
          </w:p>
        </w:tc>
        <w:tc>
          <w:tcPr>
            <w:tcW w:w="648" w:type="pct"/>
            <w:shd w:val="clear" w:color="auto" w:fill="auto"/>
            <w:noWrap/>
            <w:hideMark/>
          </w:tcPr>
          <w:p w14:paraId="79BEB8E1" w14:textId="5167A079"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0.40 </w:t>
            </w:r>
          </w:p>
        </w:tc>
        <w:tc>
          <w:tcPr>
            <w:tcW w:w="496" w:type="pct"/>
            <w:shd w:val="clear" w:color="auto" w:fill="auto"/>
            <w:noWrap/>
            <w:hideMark/>
          </w:tcPr>
          <w:p w14:paraId="24C797CF"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5" w:type="pct"/>
            <w:shd w:val="clear" w:color="auto" w:fill="auto"/>
            <w:noWrap/>
            <w:hideMark/>
          </w:tcPr>
          <w:p w14:paraId="1817B4A5" w14:textId="4B011943"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1.00 </w:t>
            </w:r>
          </w:p>
        </w:tc>
      </w:tr>
      <w:tr w:rsidR="00E761F8" w:rsidRPr="00AA3A66" w14:paraId="32469955" w14:textId="77777777" w:rsidTr="00A1784D">
        <w:trPr>
          <w:trHeight w:val="273"/>
        </w:trPr>
        <w:tc>
          <w:tcPr>
            <w:tcW w:w="777" w:type="pct"/>
            <w:shd w:val="clear" w:color="auto" w:fill="auto"/>
            <w:noWrap/>
            <w:vAlign w:val="bottom"/>
            <w:hideMark/>
          </w:tcPr>
          <w:p w14:paraId="40773899"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DY-2020</w:t>
            </w:r>
          </w:p>
        </w:tc>
        <w:tc>
          <w:tcPr>
            <w:tcW w:w="1403" w:type="pct"/>
          </w:tcPr>
          <w:p w14:paraId="38C31F32"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Year of 2020</w:t>
            </w:r>
          </w:p>
        </w:tc>
        <w:tc>
          <w:tcPr>
            <w:tcW w:w="420" w:type="pct"/>
            <w:shd w:val="clear" w:color="auto" w:fill="auto"/>
            <w:noWrap/>
            <w:hideMark/>
          </w:tcPr>
          <w:p w14:paraId="3090A44C" w14:textId="28EAC51B"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284 </w:t>
            </w:r>
          </w:p>
        </w:tc>
        <w:tc>
          <w:tcPr>
            <w:tcW w:w="572" w:type="pct"/>
            <w:shd w:val="clear" w:color="auto" w:fill="auto"/>
            <w:noWrap/>
            <w:hideMark/>
          </w:tcPr>
          <w:p w14:paraId="37FBB700" w14:textId="4520B212"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0.19 </w:t>
            </w:r>
          </w:p>
        </w:tc>
        <w:tc>
          <w:tcPr>
            <w:tcW w:w="648" w:type="pct"/>
            <w:shd w:val="clear" w:color="auto" w:fill="auto"/>
            <w:noWrap/>
            <w:hideMark/>
          </w:tcPr>
          <w:p w14:paraId="4EA8481A" w14:textId="29EE95ED"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0.39 </w:t>
            </w:r>
          </w:p>
        </w:tc>
        <w:tc>
          <w:tcPr>
            <w:tcW w:w="496" w:type="pct"/>
            <w:shd w:val="clear" w:color="auto" w:fill="auto"/>
            <w:noWrap/>
            <w:hideMark/>
          </w:tcPr>
          <w:p w14:paraId="28E2E3C4"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5" w:type="pct"/>
            <w:shd w:val="clear" w:color="auto" w:fill="auto"/>
            <w:noWrap/>
            <w:hideMark/>
          </w:tcPr>
          <w:p w14:paraId="23489346" w14:textId="079A738D"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1.00 </w:t>
            </w:r>
          </w:p>
        </w:tc>
      </w:tr>
    </w:tbl>
    <w:p w14:paraId="59750E7F" w14:textId="77777777" w:rsidR="00E761F8" w:rsidRPr="00E761F8" w:rsidRDefault="00E761F8" w:rsidP="00E761F8">
      <w:pPr>
        <w:spacing w:after="0" w:line="240" w:lineRule="auto"/>
        <w:rPr>
          <w:rFonts w:cstheme="minorHAnsi"/>
          <w:b/>
          <w:bCs/>
          <w:color w:val="2F5496" w:themeColor="accent1" w:themeShade="BF"/>
          <w:sz w:val="21"/>
          <w:szCs w:val="21"/>
        </w:rPr>
      </w:pPr>
      <w:r w:rsidRPr="00E761F8">
        <w:rPr>
          <w:rFonts w:cstheme="minorHAnsi"/>
          <w:b/>
          <w:bCs/>
          <w:color w:val="2F5496" w:themeColor="accent1" w:themeShade="BF"/>
          <w:sz w:val="21"/>
          <w:szCs w:val="21"/>
        </w:rPr>
        <w:t>Panel C: House Rental Sample</w:t>
      </w:r>
    </w:p>
    <w:tbl>
      <w:tblPr>
        <w:tblW w:w="4953" w:type="pct"/>
        <w:tblBorders>
          <w:top w:val="double" w:sz="4" w:space="0" w:color="auto"/>
          <w:bottom w:val="double" w:sz="4" w:space="0" w:color="auto"/>
        </w:tblBorders>
        <w:tblCellMar>
          <w:left w:w="57" w:type="dxa"/>
          <w:right w:w="57" w:type="dxa"/>
        </w:tblCellMar>
        <w:tblLook w:val="04A0" w:firstRow="1" w:lastRow="0" w:firstColumn="1" w:lastColumn="0" w:noHBand="0" w:noVBand="1"/>
      </w:tblPr>
      <w:tblGrid>
        <w:gridCol w:w="1391"/>
        <w:gridCol w:w="2509"/>
        <w:gridCol w:w="751"/>
        <w:gridCol w:w="1023"/>
        <w:gridCol w:w="1159"/>
        <w:gridCol w:w="887"/>
        <w:gridCol w:w="1221"/>
      </w:tblGrid>
      <w:tr w:rsidR="00E761F8" w:rsidRPr="00F353BE" w14:paraId="3376B0F9" w14:textId="77777777" w:rsidTr="00A1784D">
        <w:trPr>
          <w:trHeight w:val="261"/>
        </w:trPr>
        <w:tc>
          <w:tcPr>
            <w:tcW w:w="778" w:type="pct"/>
            <w:tcBorders>
              <w:top w:val="double" w:sz="4" w:space="0" w:color="auto"/>
              <w:bottom w:val="single" w:sz="4" w:space="0" w:color="auto"/>
            </w:tcBorders>
            <w:shd w:val="clear" w:color="auto" w:fill="D0CECE" w:themeFill="background2" w:themeFillShade="E6"/>
            <w:noWrap/>
            <w:vAlign w:val="bottom"/>
            <w:hideMark/>
          </w:tcPr>
          <w:p w14:paraId="7AB9F5F3" w14:textId="77777777" w:rsidR="00E761F8" w:rsidRPr="00E761F8" w:rsidRDefault="00E761F8" w:rsidP="00E761F8">
            <w:pPr>
              <w:spacing w:after="0" w:line="240" w:lineRule="auto"/>
              <w:rPr>
                <w:rFonts w:eastAsia="Times New Roman" w:cstheme="minorHAnsi"/>
                <w:b/>
                <w:bCs/>
                <w:sz w:val="21"/>
                <w:szCs w:val="21"/>
              </w:rPr>
            </w:pPr>
            <w:r w:rsidRPr="00E761F8">
              <w:rPr>
                <w:rFonts w:eastAsia="Times New Roman" w:cstheme="minorHAnsi"/>
                <w:b/>
                <w:bCs/>
                <w:sz w:val="21"/>
                <w:szCs w:val="21"/>
              </w:rPr>
              <w:t>Variable</w:t>
            </w:r>
          </w:p>
        </w:tc>
        <w:tc>
          <w:tcPr>
            <w:tcW w:w="1403" w:type="pct"/>
            <w:tcBorders>
              <w:top w:val="double" w:sz="4" w:space="0" w:color="auto"/>
              <w:bottom w:val="single" w:sz="4" w:space="0" w:color="auto"/>
            </w:tcBorders>
            <w:shd w:val="clear" w:color="auto" w:fill="D0CECE" w:themeFill="background2" w:themeFillShade="E6"/>
          </w:tcPr>
          <w:p w14:paraId="4B1D66FC" w14:textId="77777777" w:rsidR="00E761F8" w:rsidRPr="00E761F8" w:rsidRDefault="00E761F8" w:rsidP="00E761F8">
            <w:pPr>
              <w:spacing w:after="0" w:line="240" w:lineRule="auto"/>
              <w:rPr>
                <w:rFonts w:eastAsia="Times New Roman" w:cstheme="minorHAnsi"/>
                <w:b/>
                <w:bCs/>
                <w:sz w:val="21"/>
                <w:szCs w:val="21"/>
              </w:rPr>
            </w:pPr>
            <w:r w:rsidRPr="00E761F8">
              <w:rPr>
                <w:rFonts w:eastAsia="Times New Roman" w:cstheme="minorHAnsi"/>
                <w:b/>
                <w:bCs/>
                <w:sz w:val="21"/>
                <w:szCs w:val="21"/>
              </w:rPr>
              <w:t>Definition</w:t>
            </w:r>
          </w:p>
        </w:tc>
        <w:tc>
          <w:tcPr>
            <w:tcW w:w="420" w:type="pct"/>
            <w:tcBorders>
              <w:top w:val="double" w:sz="4" w:space="0" w:color="auto"/>
              <w:bottom w:val="single" w:sz="4" w:space="0" w:color="auto"/>
            </w:tcBorders>
            <w:shd w:val="clear" w:color="auto" w:fill="D0CECE" w:themeFill="background2" w:themeFillShade="E6"/>
            <w:noWrap/>
            <w:vAlign w:val="bottom"/>
            <w:hideMark/>
          </w:tcPr>
          <w:p w14:paraId="4204A731" w14:textId="77777777" w:rsidR="00E761F8" w:rsidRPr="00E761F8" w:rsidRDefault="00E761F8" w:rsidP="00E761F8">
            <w:pPr>
              <w:spacing w:after="0" w:line="240" w:lineRule="auto"/>
              <w:rPr>
                <w:rFonts w:eastAsia="Times New Roman" w:cstheme="minorHAnsi"/>
                <w:b/>
                <w:bCs/>
                <w:sz w:val="21"/>
                <w:szCs w:val="21"/>
              </w:rPr>
            </w:pPr>
            <w:r w:rsidRPr="00E761F8">
              <w:rPr>
                <w:rFonts w:eastAsia="Times New Roman" w:cstheme="minorHAnsi"/>
                <w:b/>
                <w:bCs/>
                <w:sz w:val="21"/>
                <w:szCs w:val="21"/>
              </w:rPr>
              <w:t>Obs</w:t>
            </w:r>
          </w:p>
        </w:tc>
        <w:tc>
          <w:tcPr>
            <w:tcW w:w="572" w:type="pct"/>
            <w:tcBorders>
              <w:top w:val="double" w:sz="4" w:space="0" w:color="auto"/>
              <w:bottom w:val="single" w:sz="4" w:space="0" w:color="auto"/>
            </w:tcBorders>
            <w:shd w:val="clear" w:color="auto" w:fill="D0CECE" w:themeFill="background2" w:themeFillShade="E6"/>
            <w:noWrap/>
            <w:vAlign w:val="bottom"/>
            <w:hideMark/>
          </w:tcPr>
          <w:p w14:paraId="478ECDE1" w14:textId="77777777" w:rsidR="00E761F8" w:rsidRPr="00E761F8" w:rsidRDefault="00E761F8" w:rsidP="00E761F8">
            <w:pPr>
              <w:spacing w:after="0" w:line="240" w:lineRule="auto"/>
              <w:rPr>
                <w:rFonts w:eastAsia="Times New Roman" w:cstheme="minorHAnsi"/>
                <w:b/>
                <w:bCs/>
                <w:sz w:val="21"/>
                <w:szCs w:val="21"/>
              </w:rPr>
            </w:pPr>
            <w:r w:rsidRPr="00E761F8">
              <w:rPr>
                <w:rFonts w:eastAsia="Times New Roman" w:cstheme="minorHAnsi"/>
                <w:b/>
                <w:bCs/>
                <w:sz w:val="21"/>
                <w:szCs w:val="21"/>
              </w:rPr>
              <w:t>Mean</w:t>
            </w:r>
          </w:p>
        </w:tc>
        <w:tc>
          <w:tcPr>
            <w:tcW w:w="648" w:type="pct"/>
            <w:tcBorders>
              <w:top w:val="double" w:sz="4" w:space="0" w:color="auto"/>
              <w:bottom w:val="single" w:sz="4" w:space="0" w:color="auto"/>
            </w:tcBorders>
            <w:shd w:val="clear" w:color="auto" w:fill="D0CECE" w:themeFill="background2" w:themeFillShade="E6"/>
            <w:noWrap/>
            <w:vAlign w:val="bottom"/>
            <w:hideMark/>
          </w:tcPr>
          <w:p w14:paraId="4C7D0ABA" w14:textId="77777777" w:rsidR="00E761F8" w:rsidRPr="00E761F8" w:rsidRDefault="00E761F8" w:rsidP="00E761F8">
            <w:pPr>
              <w:spacing w:after="0" w:line="240" w:lineRule="auto"/>
              <w:rPr>
                <w:rFonts w:eastAsia="Times New Roman" w:cstheme="minorHAnsi"/>
                <w:b/>
                <w:bCs/>
                <w:sz w:val="21"/>
                <w:szCs w:val="21"/>
              </w:rPr>
            </w:pPr>
            <w:r w:rsidRPr="00E761F8">
              <w:rPr>
                <w:rFonts w:eastAsia="Times New Roman" w:cstheme="minorHAnsi"/>
                <w:b/>
                <w:bCs/>
                <w:sz w:val="21"/>
                <w:szCs w:val="21"/>
              </w:rPr>
              <w:t>Std. Dev.</w:t>
            </w:r>
          </w:p>
        </w:tc>
        <w:tc>
          <w:tcPr>
            <w:tcW w:w="496" w:type="pct"/>
            <w:tcBorders>
              <w:top w:val="double" w:sz="4" w:space="0" w:color="auto"/>
              <w:bottom w:val="single" w:sz="4" w:space="0" w:color="auto"/>
            </w:tcBorders>
            <w:shd w:val="clear" w:color="auto" w:fill="D0CECE" w:themeFill="background2" w:themeFillShade="E6"/>
            <w:noWrap/>
            <w:vAlign w:val="bottom"/>
            <w:hideMark/>
          </w:tcPr>
          <w:p w14:paraId="7411612D" w14:textId="77777777" w:rsidR="00E761F8" w:rsidRPr="00E761F8" w:rsidRDefault="00E761F8" w:rsidP="00E761F8">
            <w:pPr>
              <w:spacing w:after="0" w:line="240" w:lineRule="auto"/>
              <w:rPr>
                <w:rFonts w:eastAsia="Times New Roman" w:cstheme="minorHAnsi"/>
                <w:b/>
                <w:bCs/>
                <w:sz w:val="21"/>
                <w:szCs w:val="21"/>
              </w:rPr>
            </w:pPr>
            <w:r w:rsidRPr="00E761F8">
              <w:rPr>
                <w:rFonts w:eastAsia="Times New Roman" w:cstheme="minorHAnsi"/>
                <w:b/>
                <w:bCs/>
                <w:sz w:val="21"/>
                <w:szCs w:val="21"/>
              </w:rPr>
              <w:t>Min</w:t>
            </w:r>
          </w:p>
        </w:tc>
        <w:tc>
          <w:tcPr>
            <w:tcW w:w="684" w:type="pct"/>
            <w:tcBorders>
              <w:top w:val="double" w:sz="4" w:space="0" w:color="auto"/>
              <w:bottom w:val="single" w:sz="4" w:space="0" w:color="auto"/>
            </w:tcBorders>
            <w:shd w:val="clear" w:color="auto" w:fill="D0CECE" w:themeFill="background2" w:themeFillShade="E6"/>
            <w:noWrap/>
            <w:vAlign w:val="bottom"/>
            <w:hideMark/>
          </w:tcPr>
          <w:p w14:paraId="59C9F2DB" w14:textId="77777777" w:rsidR="00E761F8" w:rsidRPr="00E761F8" w:rsidRDefault="00E761F8" w:rsidP="00E761F8">
            <w:pPr>
              <w:spacing w:after="0" w:line="240" w:lineRule="auto"/>
              <w:rPr>
                <w:rFonts w:eastAsia="Times New Roman" w:cstheme="minorHAnsi"/>
                <w:b/>
                <w:bCs/>
                <w:sz w:val="21"/>
                <w:szCs w:val="21"/>
              </w:rPr>
            </w:pPr>
            <w:r w:rsidRPr="00E761F8">
              <w:rPr>
                <w:rFonts w:eastAsia="Times New Roman" w:cstheme="minorHAnsi"/>
                <w:b/>
                <w:bCs/>
                <w:sz w:val="21"/>
                <w:szCs w:val="21"/>
              </w:rPr>
              <w:t>Max</w:t>
            </w:r>
          </w:p>
        </w:tc>
      </w:tr>
      <w:tr w:rsidR="00E761F8" w:rsidRPr="00AA3A66" w14:paraId="72136214" w14:textId="77777777" w:rsidTr="00A1784D">
        <w:trPr>
          <w:trHeight w:val="261"/>
        </w:trPr>
        <w:tc>
          <w:tcPr>
            <w:tcW w:w="778" w:type="pct"/>
            <w:shd w:val="clear" w:color="auto" w:fill="auto"/>
            <w:noWrap/>
            <w:vAlign w:val="bottom"/>
            <w:hideMark/>
          </w:tcPr>
          <w:p w14:paraId="6B700C22"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Price</w:t>
            </w:r>
          </w:p>
        </w:tc>
        <w:tc>
          <w:tcPr>
            <w:tcW w:w="1403" w:type="pct"/>
          </w:tcPr>
          <w:p w14:paraId="448E5FB9"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Transactional Price</w:t>
            </w:r>
          </w:p>
        </w:tc>
        <w:tc>
          <w:tcPr>
            <w:tcW w:w="420" w:type="pct"/>
            <w:shd w:val="clear" w:color="auto" w:fill="auto"/>
            <w:noWrap/>
            <w:hideMark/>
          </w:tcPr>
          <w:p w14:paraId="24FB214A"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8,362</w:t>
            </w:r>
          </w:p>
        </w:tc>
        <w:tc>
          <w:tcPr>
            <w:tcW w:w="572" w:type="pct"/>
            <w:shd w:val="clear" w:color="auto" w:fill="auto"/>
            <w:noWrap/>
            <w:hideMark/>
          </w:tcPr>
          <w:p w14:paraId="5138C8A2" w14:textId="1C2FF39A"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280.81 </w:t>
            </w:r>
          </w:p>
        </w:tc>
        <w:tc>
          <w:tcPr>
            <w:tcW w:w="648" w:type="pct"/>
            <w:shd w:val="clear" w:color="auto" w:fill="auto"/>
            <w:noWrap/>
            <w:hideMark/>
          </w:tcPr>
          <w:p w14:paraId="0A75C3E6" w14:textId="088078D4"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52.98 </w:t>
            </w:r>
          </w:p>
        </w:tc>
        <w:tc>
          <w:tcPr>
            <w:tcW w:w="496" w:type="pct"/>
            <w:shd w:val="clear" w:color="auto" w:fill="auto"/>
            <w:noWrap/>
            <w:hideMark/>
          </w:tcPr>
          <w:p w14:paraId="62E9083F" w14:textId="648A1304"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195.00 </w:t>
            </w:r>
          </w:p>
        </w:tc>
        <w:tc>
          <w:tcPr>
            <w:tcW w:w="684" w:type="pct"/>
            <w:shd w:val="clear" w:color="auto" w:fill="auto"/>
            <w:noWrap/>
            <w:hideMark/>
          </w:tcPr>
          <w:p w14:paraId="20EE53D9" w14:textId="36275930"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1,304.00 </w:t>
            </w:r>
          </w:p>
        </w:tc>
      </w:tr>
      <w:tr w:rsidR="00E761F8" w:rsidRPr="00AA3A66" w14:paraId="07A1F6D7" w14:textId="77777777" w:rsidTr="00A1784D">
        <w:trPr>
          <w:trHeight w:val="261"/>
        </w:trPr>
        <w:tc>
          <w:tcPr>
            <w:tcW w:w="778" w:type="pct"/>
            <w:shd w:val="clear" w:color="auto" w:fill="auto"/>
            <w:noWrap/>
            <w:vAlign w:val="bottom"/>
            <w:hideMark/>
          </w:tcPr>
          <w:p w14:paraId="6CA68695"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Size</w:t>
            </w:r>
          </w:p>
        </w:tc>
        <w:tc>
          <w:tcPr>
            <w:tcW w:w="1403" w:type="pct"/>
          </w:tcPr>
          <w:p w14:paraId="4B8602EE"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Size of land</w:t>
            </w:r>
          </w:p>
        </w:tc>
        <w:tc>
          <w:tcPr>
            <w:tcW w:w="420" w:type="pct"/>
            <w:shd w:val="clear" w:color="auto" w:fill="auto"/>
            <w:noWrap/>
            <w:hideMark/>
          </w:tcPr>
          <w:p w14:paraId="6F2B4797"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8,433</w:t>
            </w:r>
          </w:p>
        </w:tc>
        <w:tc>
          <w:tcPr>
            <w:tcW w:w="572" w:type="pct"/>
            <w:shd w:val="clear" w:color="auto" w:fill="auto"/>
            <w:noWrap/>
            <w:hideMark/>
          </w:tcPr>
          <w:p w14:paraId="6A66519B" w14:textId="12C1A4C2"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579.86 </w:t>
            </w:r>
          </w:p>
        </w:tc>
        <w:tc>
          <w:tcPr>
            <w:tcW w:w="648" w:type="pct"/>
            <w:shd w:val="clear" w:color="auto" w:fill="auto"/>
            <w:noWrap/>
            <w:hideMark/>
          </w:tcPr>
          <w:p w14:paraId="72559AEC" w14:textId="1D90CE9A"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216.88 </w:t>
            </w:r>
          </w:p>
        </w:tc>
        <w:tc>
          <w:tcPr>
            <w:tcW w:w="496" w:type="pct"/>
            <w:shd w:val="clear" w:color="auto" w:fill="auto"/>
            <w:noWrap/>
            <w:hideMark/>
          </w:tcPr>
          <w:p w14:paraId="592533FD"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4" w:type="pct"/>
            <w:shd w:val="clear" w:color="auto" w:fill="auto"/>
            <w:noWrap/>
            <w:hideMark/>
          </w:tcPr>
          <w:p w14:paraId="03484C40" w14:textId="2845FC43"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3,255.00 </w:t>
            </w:r>
          </w:p>
        </w:tc>
      </w:tr>
      <w:tr w:rsidR="00E761F8" w:rsidRPr="00AA3A66" w14:paraId="1FF88F27" w14:textId="77777777" w:rsidTr="00A1784D">
        <w:trPr>
          <w:trHeight w:val="261"/>
        </w:trPr>
        <w:tc>
          <w:tcPr>
            <w:tcW w:w="778" w:type="pct"/>
            <w:shd w:val="clear" w:color="auto" w:fill="auto"/>
            <w:noWrap/>
            <w:vAlign w:val="bottom"/>
            <w:hideMark/>
          </w:tcPr>
          <w:p w14:paraId="6B874370" w14:textId="18C4DEDD"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No.</w:t>
            </w:r>
            <w:r w:rsidR="005F7FDA">
              <w:rPr>
                <w:rFonts w:asciiTheme="majorHAnsi" w:eastAsia="Times New Roman" w:hAnsiTheme="majorHAnsi" w:cstheme="majorHAnsi"/>
                <w:color w:val="000000"/>
                <w:sz w:val="21"/>
                <w:szCs w:val="21"/>
              </w:rPr>
              <w:t xml:space="preserve"> </w:t>
            </w:r>
            <w:r w:rsidRPr="00E761F8">
              <w:rPr>
                <w:rFonts w:asciiTheme="majorHAnsi" w:eastAsia="Times New Roman" w:hAnsiTheme="majorHAnsi" w:cstheme="majorHAnsi"/>
                <w:color w:val="000000"/>
                <w:sz w:val="21"/>
                <w:szCs w:val="21"/>
              </w:rPr>
              <w:t>Beds</w:t>
            </w:r>
          </w:p>
        </w:tc>
        <w:tc>
          <w:tcPr>
            <w:tcW w:w="1403" w:type="pct"/>
          </w:tcPr>
          <w:p w14:paraId="3F330C66"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Number of Bedrooms</w:t>
            </w:r>
          </w:p>
        </w:tc>
        <w:tc>
          <w:tcPr>
            <w:tcW w:w="420" w:type="pct"/>
            <w:shd w:val="clear" w:color="auto" w:fill="auto"/>
            <w:noWrap/>
            <w:hideMark/>
          </w:tcPr>
          <w:p w14:paraId="246F8531"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8,433</w:t>
            </w:r>
          </w:p>
        </w:tc>
        <w:tc>
          <w:tcPr>
            <w:tcW w:w="572" w:type="pct"/>
            <w:shd w:val="clear" w:color="auto" w:fill="auto"/>
            <w:noWrap/>
            <w:hideMark/>
          </w:tcPr>
          <w:p w14:paraId="65555DFF" w14:textId="6CCB525A"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2.82 </w:t>
            </w:r>
          </w:p>
        </w:tc>
        <w:tc>
          <w:tcPr>
            <w:tcW w:w="648" w:type="pct"/>
            <w:shd w:val="clear" w:color="auto" w:fill="auto"/>
            <w:noWrap/>
            <w:hideMark/>
          </w:tcPr>
          <w:p w14:paraId="1703FE7E" w14:textId="6CBC2C2B"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0.59 </w:t>
            </w:r>
          </w:p>
        </w:tc>
        <w:tc>
          <w:tcPr>
            <w:tcW w:w="496" w:type="pct"/>
            <w:shd w:val="clear" w:color="auto" w:fill="auto"/>
            <w:noWrap/>
            <w:hideMark/>
          </w:tcPr>
          <w:p w14:paraId="0F46EF1C"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4" w:type="pct"/>
            <w:shd w:val="clear" w:color="auto" w:fill="auto"/>
            <w:noWrap/>
            <w:hideMark/>
          </w:tcPr>
          <w:p w14:paraId="2F4FB5A7" w14:textId="0B0FF105"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6.00 </w:t>
            </w:r>
          </w:p>
        </w:tc>
      </w:tr>
      <w:tr w:rsidR="00E761F8" w:rsidRPr="00AA3A66" w14:paraId="6B98F215" w14:textId="77777777" w:rsidTr="00A1784D">
        <w:trPr>
          <w:trHeight w:val="261"/>
        </w:trPr>
        <w:tc>
          <w:tcPr>
            <w:tcW w:w="778" w:type="pct"/>
            <w:shd w:val="clear" w:color="auto" w:fill="auto"/>
            <w:noWrap/>
            <w:vAlign w:val="bottom"/>
            <w:hideMark/>
          </w:tcPr>
          <w:p w14:paraId="1D988996" w14:textId="53A680D4"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No.</w:t>
            </w:r>
            <w:r w:rsidR="005F7FDA">
              <w:rPr>
                <w:rFonts w:asciiTheme="majorHAnsi" w:eastAsia="Times New Roman" w:hAnsiTheme="majorHAnsi" w:cstheme="majorHAnsi"/>
                <w:color w:val="000000"/>
                <w:sz w:val="21"/>
                <w:szCs w:val="21"/>
              </w:rPr>
              <w:t xml:space="preserve"> </w:t>
            </w:r>
            <w:r w:rsidRPr="00E761F8">
              <w:rPr>
                <w:rFonts w:asciiTheme="majorHAnsi" w:eastAsia="Times New Roman" w:hAnsiTheme="majorHAnsi" w:cstheme="majorHAnsi"/>
                <w:color w:val="000000"/>
                <w:sz w:val="21"/>
                <w:szCs w:val="21"/>
              </w:rPr>
              <w:t>Baths</w:t>
            </w:r>
          </w:p>
        </w:tc>
        <w:tc>
          <w:tcPr>
            <w:tcW w:w="1403" w:type="pct"/>
          </w:tcPr>
          <w:p w14:paraId="7FE2FEBA"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Number of Bathroom</w:t>
            </w:r>
          </w:p>
        </w:tc>
        <w:tc>
          <w:tcPr>
            <w:tcW w:w="420" w:type="pct"/>
            <w:shd w:val="clear" w:color="auto" w:fill="auto"/>
            <w:noWrap/>
            <w:hideMark/>
          </w:tcPr>
          <w:p w14:paraId="42533176"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8,433</w:t>
            </w:r>
          </w:p>
        </w:tc>
        <w:tc>
          <w:tcPr>
            <w:tcW w:w="572" w:type="pct"/>
            <w:shd w:val="clear" w:color="auto" w:fill="auto"/>
            <w:noWrap/>
            <w:hideMark/>
          </w:tcPr>
          <w:p w14:paraId="0C9D5A81" w14:textId="6209519B"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1.12 </w:t>
            </w:r>
          </w:p>
        </w:tc>
        <w:tc>
          <w:tcPr>
            <w:tcW w:w="648" w:type="pct"/>
            <w:shd w:val="clear" w:color="auto" w:fill="auto"/>
            <w:noWrap/>
            <w:hideMark/>
          </w:tcPr>
          <w:p w14:paraId="0BA5CA27" w14:textId="36D489E6"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0.35 </w:t>
            </w:r>
          </w:p>
        </w:tc>
        <w:tc>
          <w:tcPr>
            <w:tcW w:w="496" w:type="pct"/>
            <w:shd w:val="clear" w:color="auto" w:fill="auto"/>
            <w:noWrap/>
            <w:hideMark/>
          </w:tcPr>
          <w:p w14:paraId="7248F1FD"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4" w:type="pct"/>
            <w:shd w:val="clear" w:color="auto" w:fill="auto"/>
            <w:noWrap/>
            <w:hideMark/>
          </w:tcPr>
          <w:p w14:paraId="73785D1C" w14:textId="4234EFB9"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3.00 </w:t>
            </w:r>
          </w:p>
        </w:tc>
      </w:tr>
      <w:tr w:rsidR="00E761F8" w:rsidRPr="00AA3A66" w14:paraId="2E2B4A26" w14:textId="77777777" w:rsidTr="00A1784D">
        <w:trPr>
          <w:trHeight w:val="261"/>
        </w:trPr>
        <w:tc>
          <w:tcPr>
            <w:tcW w:w="778" w:type="pct"/>
            <w:shd w:val="clear" w:color="auto" w:fill="auto"/>
            <w:noWrap/>
            <w:vAlign w:val="bottom"/>
            <w:hideMark/>
          </w:tcPr>
          <w:p w14:paraId="658BF3A8" w14:textId="35A915DD"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No.</w:t>
            </w:r>
            <w:r w:rsidR="005F7FDA">
              <w:rPr>
                <w:rFonts w:asciiTheme="majorHAnsi" w:eastAsia="Times New Roman" w:hAnsiTheme="majorHAnsi" w:cstheme="majorHAnsi"/>
                <w:color w:val="000000"/>
                <w:sz w:val="21"/>
                <w:szCs w:val="21"/>
              </w:rPr>
              <w:t xml:space="preserve"> </w:t>
            </w:r>
            <w:r w:rsidRPr="00E761F8">
              <w:rPr>
                <w:rFonts w:asciiTheme="majorHAnsi" w:eastAsia="Times New Roman" w:hAnsiTheme="majorHAnsi" w:cstheme="majorHAnsi"/>
                <w:color w:val="000000"/>
                <w:sz w:val="21"/>
                <w:szCs w:val="21"/>
              </w:rPr>
              <w:t>Parking</w:t>
            </w:r>
          </w:p>
        </w:tc>
        <w:tc>
          <w:tcPr>
            <w:tcW w:w="1403" w:type="pct"/>
          </w:tcPr>
          <w:p w14:paraId="450F60C1"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Number of Carpark</w:t>
            </w:r>
          </w:p>
        </w:tc>
        <w:tc>
          <w:tcPr>
            <w:tcW w:w="420" w:type="pct"/>
            <w:shd w:val="clear" w:color="auto" w:fill="auto"/>
            <w:noWrap/>
            <w:hideMark/>
          </w:tcPr>
          <w:p w14:paraId="79FF9517"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8,433</w:t>
            </w:r>
          </w:p>
        </w:tc>
        <w:tc>
          <w:tcPr>
            <w:tcW w:w="572" w:type="pct"/>
            <w:shd w:val="clear" w:color="auto" w:fill="auto"/>
            <w:noWrap/>
            <w:hideMark/>
          </w:tcPr>
          <w:p w14:paraId="5D079069" w14:textId="0BD0FFC6"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1.39 </w:t>
            </w:r>
          </w:p>
        </w:tc>
        <w:tc>
          <w:tcPr>
            <w:tcW w:w="648" w:type="pct"/>
            <w:shd w:val="clear" w:color="auto" w:fill="auto"/>
            <w:noWrap/>
            <w:hideMark/>
          </w:tcPr>
          <w:p w14:paraId="063BEC22" w14:textId="57AFFFC0"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1.04 </w:t>
            </w:r>
          </w:p>
        </w:tc>
        <w:tc>
          <w:tcPr>
            <w:tcW w:w="496" w:type="pct"/>
            <w:shd w:val="clear" w:color="auto" w:fill="auto"/>
            <w:noWrap/>
            <w:hideMark/>
          </w:tcPr>
          <w:p w14:paraId="43DE7B9D"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4" w:type="pct"/>
            <w:shd w:val="clear" w:color="auto" w:fill="auto"/>
            <w:noWrap/>
            <w:hideMark/>
          </w:tcPr>
          <w:p w14:paraId="493916C4" w14:textId="3F271790"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8.00 </w:t>
            </w:r>
          </w:p>
        </w:tc>
      </w:tr>
      <w:tr w:rsidR="00E761F8" w:rsidRPr="00AA3A66" w14:paraId="2A0590CA" w14:textId="77777777" w:rsidTr="00A1784D">
        <w:trPr>
          <w:trHeight w:val="261"/>
        </w:trPr>
        <w:tc>
          <w:tcPr>
            <w:tcW w:w="778" w:type="pct"/>
            <w:shd w:val="clear" w:color="auto" w:fill="auto"/>
            <w:noWrap/>
            <w:vAlign w:val="bottom"/>
            <w:hideMark/>
          </w:tcPr>
          <w:p w14:paraId="4DC871B0"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DY-2015</w:t>
            </w:r>
          </w:p>
        </w:tc>
        <w:tc>
          <w:tcPr>
            <w:tcW w:w="1403" w:type="pct"/>
          </w:tcPr>
          <w:p w14:paraId="1DBE5DA2"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Year of 2015</w:t>
            </w:r>
          </w:p>
        </w:tc>
        <w:tc>
          <w:tcPr>
            <w:tcW w:w="420" w:type="pct"/>
            <w:shd w:val="clear" w:color="auto" w:fill="auto"/>
            <w:noWrap/>
            <w:hideMark/>
          </w:tcPr>
          <w:p w14:paraId="2B1ACA86"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8,433</w:t>
            </w:r>
          </w:p>
        </w:tc>
        <w:tc>
          <w:tcPr>
            <w:tcW w:w="572" w:type="pct"/>
            <w:shd w:val="clear" w:color="auto" w:fill="auto"/>
            <w:noWrap/>
            <w:hideMark/>
          </w:tcPr>
          <w:p w14:paraId="3DD832C6" w14:textId="3030585D"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0.07 </w:t>
            </w:r>
          </w:p>
        </w:tc>
        <w:tc>
          <w:tcPr>
            <w:tcW w:w="648" w:type="pct"/>
            <w:shd w:val="clear" w:color="auto" w:fill="auto"/>
            <w:noWrap/>
            <w:hideMark/>
          </w:tcPr>
          <w:p w14:paraId="2A20A355" w14:textId="0FFB9709"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0.25 </w:t>
            </w:r>
          </w:p>
        </w:tc>
        <w:tc>
          <w:tcPr>
            <w:tcW w:w="496" w:type="pct"/>
            <w:shd w:val="clear" w:color="auto" w:fill="auto"/>
            <w:noWrap/>
            <w:hideMark/>
          </w:tcPr>
          <w:p w14:paraId="4126BFB5"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4" w:type="pct"/>
            <w:shd w:val="clear" w:color="auto" w:fill="auto"/>
            <w:noWrap/>
            <w:hideMark/>
          </w:tcPr>
          <w:p w14:paraId="069555B4" w14:textId="215846E2"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1.00 </w:t>
            </w:r>
          </w:p>
        </w:tc>
      </w:tr>
      <w:tr w:rsidR="00E761F8" w:rsidRPr="00AA3A66" w14:paraId="75914F27" w14:textId="77777777" w:rsidTr="00A1784D">
        <w:trPr>
          <w:trHeight w:val="261"/>
        </w:trPr>
        <w:tc>
          <w:tcPr>
            <w:tcW w:w="778" w:type="pct"/>
            <w:shd w:val="clear" w:color="auto" w:fill="auto"/>
            <w:noWrap/>
            <w:vAlign w:val="bottom"/>
            <w:hideMark/>
          </w:tcPr>
          <w:p w14:paraId="32906A47"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DY-2016</w:t>
            </w:r>
          </w:p>
        </w:tc>
        <w:tc>
          <w:tcPr>
            <w:tcW w:w="1403" w:type="pct"/>
          </w:tcPr>
          <w:p w14:paraId="6949F7EA"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Year of 2016</w:t>
            </w:r>
          </w:p>
        </w:tc>
        <w:tc>
          <w:tcPr>
            <w:tcW w:w="420" w:type="pct"/>
            <w:shd w:val="clear" w:color="auto" w:fill="auto"/>
            <w:noWrap/>
            <w:hideMark/>
          </w:tcPr>
          <w:p w14:paraId="55B8A8D8"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8,433</w:t>
            </w:r>
          </w:p>
        </w:tc>
        <w:tc>
          <w:tcPr>
            <w:tcW w:w="572" w:type="pct"/>
            <w:shd w:val="clear" w:color="auto" w:fill="auto"/>
            <w:noWrap/>
            <w:hideMark/>
          </w:tcPr>
          <w:p w14:paraId="28324255" w14:textId="309DE471"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0.12 </w:t>
            </w:r>
          </w:p>
        </w:tc>
        <w:tc>
          <w:tcPr>
            <w:tcW w:w="648" w:type="pct"/>
            <w:shd w:val="clear" w:color="auto" w:fill="auto"/>
            <w:noWrap/>
            <w:hideMark/>
          </w:tcPr>
          <w:p w14:paraId="2B2784E1" w14:textId="06EC398A"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0.32 </w:t>
            </w:r>
          </w:p>
        </w:tc>
        <w:tc>
          <w:tcPr>
            <w:tcW w:w="496" w:type="pct"/>
            <w:shd w:val="clear" w:color="auto" w:fill="auto"/>
            <w:noWrap/>
            <w:hideMark/>
          </w:tcPr>
          <w:p w14:paraId="262188F3"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4" w:type="pct"/>
            <w:shd w:val="clear" w:color="auto" w:fill="auto"/>
            <w:noWrap/>
            <w:hideMark/>
          </w:tcPr>
          <w:p w14:paraId="6F8FAA9D" w14:textId="3C738131"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1.00 </w:t>
            </w:r>
          </w:p>
        </w:tc>
      </w:tr>
      <w:tr w:rsidR="00E761F8" w:rsidRPr="00AA3A66" w14:paraId="63494FF7" w14:textId="77777777" w:rsidTr="00A1784D">
        <w:trPr>
          <w:trHeight w:val="261"/>
        </w:trPr>
        <w:tc>
          <w:tcPr>
            <w:tcW w:w="778" w:type="pct"/>
            <w:shd w:val="clear" w:color="auto" w:fill="auto"/>
            <w:noWrap/>
            <w:vAlign w:val="bottom"/>
            <w:hideMark/>
          </w:tcPr>
          <w:p w14:paraId="629690C3"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DY-2017</w:t>
            </w:r>
          </w:p>
        </w:tc>
        <w:tc>
          <w:tcPr>
            <w:tcW w:w="1403" w:type="pct"/>
          </w:tcPr>
          <w:p w14:paraId="453C83F2"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Year of 2017</w:t>
            </w:r>
          </w:p>
        </w:tc>
        <w:tc>
          <w:tcPr>
            <w:tcW w:w="420" w:type="pct"/>
            <w:shd w:val="clear" w:color="auto" w:fill="auto"/>
            <w:noWrap/>
            <w:hideMark/>
          </w:tcPr>
          <w:p w14:paraId="3D9EC576"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8,433</w:t>
            </w:r>
          </w:p>
        </w:tc>
        <w:tc>
          <w:tcPr>
            <w:tcW w:w="572" w:type="pct"/>
            <w:shd w:val="clear" w:color="auto" w:fill="auto"/>
            <w:noWrap/>
            <w:hideMark/>
          </w:tcPr>
          <w:p w14:paraId="0F0A24F3" w14:textId="30E8D053"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0.24 </w:t>
            </w:r>
          </w:p>
        </w:tc>
        <w:tc>
          <w:tcPr>
            <w:tcW w:w="648" w:type="pct"/>
            <w:shd w:val="clear" w:color="auto" w:fill="auto"/>
            <w:noWrap/>
            <w:hideMark/>
          </w:tcPr>
          <w:p w14:paraId="13383308" w14:textId="4B21FCE2"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0.43 </w:t>
            </w:r>
          </w:p>
        </w:tc>
        <w:tc>
          <w:tcPr>
            <w:tcW w:w="496" w:type="pct"/>
            <w:shd w:val="clear" w:color="auto" w:fill="auto"/>
            <w:noWrap/>
            <w:hideMark/>
          </w:tcPr>
          <w:p w14:paraId="6E0A6896"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4" w:type="pct"/>
            <w:shd w:val="clear" w:color="auto" w:fill="auto"/>
            <w:noWrap/>
            <w:hideMark/>
          </w:tcPr>
          <w:p w14:paraId="205B228D" w14:textId="73776CC3"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1.00 </w:t>
            </w:r>
          </w:p>
        </w:tc>
      </w:tr>
      <w:tr w:rsidR="00E761F8" w:rsidRPr="00AA3A66" w14:paraId="48D1B93C" w14:textId="77777777" w:rsidTr="00A1784D">
        <w:trPr>
          <w:trHeight w:val="261"/>
        </w:trPr>
        <w:tc>
          <w:tcPr>
            <w:tcW w:w="778" w:type="pct"/>
            <w:shd w:val="clear" w:color="auto" w:fill="auto"/>
            <w:noWrap/>
            <w:vAlign w:val="bottom"/>
            <w:hideMark/>
          </w:tcPr>
          <w:p w14:paraId="0E8DA148"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DY-2018</w:t>
            </w:r>
          </w:p>
        </w:tc>
        <w:tc>
          <w:tcPr>
            <w:tcW w:w="1403" w:type="pct"/>
          </w:tcPr>
          <w:p w14:paraId="6A7105DE"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Year of 2018</w:t>
            </w:r>
          </w:p>
        </w:tc>
        <w:tc>
          <w:tcPr>
            <w:tcW w:w="420" w:type="pct"/>
            <w:shd w:val="clear" w:color="auto" w:fill="auto"/>
            <w:noWrap/>
            <w:hideMark/>
          </w:tcPr>
          <w:p w14:paraId="0CFB1721"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8,433</w:t>
            </w:r>
          </w:p>
        </w:tc>
        <w:tc>
          <w:tcPr>
            <w:tcW w:w="572" w:type="pct"/>
            <w:shd w:val="clear" w:color="auto" w:fill="auto"/>
            <w:noWrap/>
            <w:hideMark/>
          </w:tcPr>
          <w:p w14:paraId="17B2FBAC" w14:textId="7A4B41F9"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0.20 </w:t>
            </w:r>
          </w:p>
        </w:tc>
        <w:tc>
          <w:tcPr>
            <w:tcW w:w="648" w:type="pct"/>
            <w:shd w:val="clear" w:color="auto" w:fill="auto"/>
            <w:noWrap/>
            <w:hideMark/>
          </w:tcPr>
          <w:p w14:paraId="486DAF2E" w14:textId="7A30C8BF"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0.40 </w:t>
            </w:r>
          </w:p>
        </w:tc>
        <w:tc>
          <w:tcPr>
            <w:tcW w:w="496" w:type="pct"/>
            <w:shd w:val="clear" w:color="auto" w:fill="auto"/>
            <w:noWrap/>
            <w:hideMark/>
          </w:tcPr>
          <w:p w14:paraId="32E64C4E"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4" w:type="pct"/>
            <w:shd w:val="clear" w:color="auto" w:fill="auto"/>
            <w:noWrap/>
            <w:hideMark/>
          </w:tcPr>
          <w:p w14:paraId="480A28F2" w14:textId="308599DF"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1.00 </w:t>
            </w:r>
          </w:p>
        </w:tc>
      </w:tr>
      <w:tr w:rsidR="00E761F8" w:rsidRPr="00AA3A66" w14:paraId="5B341E1C" w14:textId="77777777" w:rsidTr="00A1784D">
        <w:trPr>
          <w:trHeight w:val="261"/>
        </w:trPr>
        <w:tc>
          <w:tcPr>
            <w:tcW w:w="778" w:type="pct"/>
            <w:shd w:val="clear" w:color="auto" w:fill="auto"/>
            <w:noWrap/>
            <w:vAlign w:val="bottom"/>
            <w:hideMark/>
          </w:tcPr>
          <w:p w14:paraId="30BC0D29"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DY-2019</w:t>
            </w:r>
          </w:p>
        </w:tc>
        <w:tc>
          <w:tcPr>
            <w:tcW w:w="1403" w:type="pct"/>
          </w:tcPr>
          <w:p w14:paraId="3951B9FB"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Year of 2019</w:t>
            </w:r>
          </w:p>
        </w:tc>
        <w:tc>
          <w:tcPr>
            <w:tcW w:w="420" w:type="pct"/>
            <w:shd w:val="clear" w:color="auto" w:fill="auto"/>
            <w:noWrap/>
            <w:hideMark/>
          </w:tcPr>
          <w:p w14:paraId="0F58B518"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8,433</w:t>
            </w:r>
          </w:p>
        </w:tc>
        <w:tc>
          <w:tcPr>
            <w:tcW w:w="572" w:type="pct"/>
            <w:shd w:val="clear" w:color="auto" w:fill="auto"/>
            <w:noWrap/>
            <w:hideMark/>
          </w:tcPr>
          <w:p w14:paraId="59280434" w14:textId="702C41B3"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0.20 </w:t>
            </w:r>
          </w:p>
        </w:tc>
        <w:tc>
          <w:tcPr>
            <w:tcW w:w="648" w:type="pct"/>
            <w:shd w:val="clear" w:color="auto" w:fill="auto"/>
            <w:noWrap/>
            <w:hideMark/>
          </w:tcPr>
          <w:p w14:paraId="6F36185A" w14:textId="60C909A6"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0.40 </w:t>
            </w:r>
          </w:p>
        </w:tc>
        <w:tc>
          <w:tcPr>
            <w:tcW w:w="496" w:type="pct"/>
            <w:shd w:val="clear" w:color="auto" w:fill="auto"/>
            <w:noWrap/>
            <w:hideMark/>
          </w:tcPr>
          <w:p w14:paraId="09513041"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4" w:type="pct"/>
            <w:shd w:val="clear" w:color="auto" w:fill="auto"/>
            <w:noWrap/>
            <w:hideMark/>
          </w:tcPr>
          <w:p w14:paraId="0AB4F553" w14:textId="6F6B3F5B"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1.00 </w:t>
            </w:r>
          </w:p>
        </w:tc>
      </w:tr>
      <w:tr w:rsidR="00E761F8" w:rsidRPr="00AA3A66" w14:paraId="56DE3AA7" w14:textId="77777777" w:rsidTr="00A1784D">
        <w:trPr>
          <w:trHeight w:val="261"/>
        </w:trPr>
        <w:tc>
          <w:tcPr>
            <w:tcW w:w="778" w:type="pct"/>
            <w:shd w:val="clear" w:color="auto" w:fill="auto"/>
            <w:noWrap/>
            <w:vAlign w:val="bottom"/>
            <w:hideMark/>
          </w:tcPr>
          <w:p w14:paraId="7973F169"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DY-2020</w:t>
            </w:r>
          </w:p>
        </w:tc>
        <w:tc>
          <w:tcPr>
            <w:tcW w:w="1403" w:type="pct"/>
          </w:tcPr>
          <w:p w14:paraId="70012FCB"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Year of 2020</w:t>
            </w:r>
          </w:p>
        </w:tc>
        <w:tc>
          <w:tcPr>
            <w:tcW w:w="420" w:type="pct"/>
            <w:shd w:val="clear" w:color="auto" w:fill="auto"/>
            <w:noWrap/>
            <w:hideMark/>
          </w:tcPr>
          <w:p w14:paraId="78937940"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8,433</w:t>
            </w:r>
          </w:p>
        </w:tc>
        <w:tc>
          <w:tcPr>
            <w:tcW w:w="572" w:type="pct"/>
            <w:shd w:val="clear" w:color="auto" w:fill="auto"/>
            <w:noWrap/>
            <w:hideMark/>
          </w:tcPr>
          <w:p w14:paraId="4C9F8BDA" w14:textId="5DB7BF59"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0.14 </w:t>
            </w:r>
          </w:p>
        </w:tc>
        <w:tc>
          <w:tcPr>
            <w:tcW w:w="648" w:type="pct"/>
            <w:shd w:val="clear" w:color="auto" w:fill="auto"/>
            <w:noWrap/>
            <w:hideMark/>
          </w:tcPr>
          <w:p w14:paraId="1FC510ED" w14:textId="3F30BC08"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0.34 </w:t>
            </w:r>
          </w:p>
        </w:tc>
        <w:tc>
          <w:tcPr>
            <w:tcW w:w="496" w:type="pct"/>
            <w:shd w:val="clear" w:color="auto" w:fill="auto"/>
            <w:noWrap/>
            <w:hideMark/>
          </w:tcPr>
          <w:p w14:paraId="662708B2"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4" w:type="pct"/>
            <w:shd w:val="clear" w:color="auto" w:fill="auto"/>
            <w:noWrap/>
            <w:hideMark/>
          </w:tcPr>
          <w:p w14:paraId="02858223" w14:textId="7EECDEC9"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1.00 </w:t>
            </w:r>
          </w:p>
        </w:tc>
      </w:tr>
    </w:tbl>
    <w:p w14:paraId="267CEC84" w14:textId="77777777" w:rsidR="00E761F8" w:rsidRPr="00E761F8" w:rsidRDefault="00E761F8" w:rsidP="00E761F8">
      <w:pPr>
        <w:spacing w:after="0" w:line="240" w:lineRule="auto"/>
        <w:rPr>
          <w:rFonts w:cstheme="minorHAnsi"/>
          <w:b/>
          <w:bCs/>
          <w:color w:val="2F5496" w:themeColor="accent1" w:themeShade="BF"/>
          <w:sz w:val="21"/>
          <w:szCs w:val="21"/>
        </w:rPr>
      </w:pPr>
      <w:r w:rsidRPr="00E761F8">
        <w:rPr>
          <w:rFonts w:cstheme="minorHAnsi"/>
          <w:b/>
          <w:bCs/>
          <w:color w:val="2F5496" w:themeColor="accent1" w:themeShade="BF"/>
          <w:sz w:val="21"/>
          <w:szCs w:val="21"/>
        </w:rPr>
        <w:t>Panel D: Unit Rental Sample</w:t>
      </w:r>
    </w:p>
    <w:tbl>
      <w:tblPr>
        <w:tblW w:w="4953" w:type="pct"/>
        <w:tblBorders>
          <w:top w:val="double" w:sz="4" w:space="0" w:color="auto"/>
          <w:bottom w:val="double" w:sz="4" w:space="0" w:color="auto"/>
        </w:tblBorders>
        <w:tblCellMar>
          <w:left w:w="57" w:type="dxa"/>
          <w:right w:w="57" w:type="dxa"/>
        </w:tblCellMar>
        <w:tblLook w:val="04A0" w:firstRow="1" w:lastRow="0" w:firstColumn="1" w:lastColumn="0" w:noHBand="0" w:noVBand="1"/>
      </w:tblPr>
      <w:tblGrid>
        <w:gridCol w:w="1387"/>
        <w:gridCol w:w="2509"/>
        <w:gridCol w:w="751"/>
        <w:gridCol w:w="1023"/>
        <w:gridCol w:w="1159"/>
        <w:gridCol w:w="887"/>
        <w:gridCol w:w="1225"/>
      </w:tblGrid>
      <w:tr w:rsidR="00E761F8" w:rsidRPr="00F353BE" w14:paraId="7179F1A3" w14:textId="77777777" w:rsidTr="00A1784D">
        <w:trPr>
          <w:trHeight w:val="175"/>
        </w:trPr>
        <w:tc>
          <w:tcPr>
            <w:tcW w:w="776" w:type="pct"/>
            <w:tcBorders>
              <w:top w:val="double" w:sz="4" w:space="0" w:color="auto"/>
              <w:bottom w:val="single" w:sz="4" w:space="0" w:color="auto"/>
            </w:tcBorders>
            <w:shd w:val="clear" w:color="auto" w:fill="D0CECE" w:themeFill="background2" w:themeFillShade="E6"/>
            <w:noWrap/>
            <w:vAlign w:val="bottom"/>
            <w:hideMark/>
          </w:tcPr>
          <w:p w14:paraId="218A5840" w14:textId="77777777" w:rsidR="00E761F8" w:rsidRPr="00E761F8" w:rsidRDefault="00E761F8" w:rsidP="00E761F8">
            <w:pPr>
              <w:spacing w:after="0" w:line="240" w:lineRule="auto"/>
              <w:rPr>
                <w:rFonts w:eastAsia="Times New Roman" w:cstheme="minorHAnsi"/>
                <w:b/>
                <w:bCs/>
                <w:sz w:val="21"/>
                <w:szCs w:val="21"/>
              </w:rPr>
            </w:pPr>
            <w:r w:rsidRPr="00E761F8">
              <w:rPr>
                <w:rFonts w:eastAsia="Times New Roman" w:cstheme="minorHAnsi"/>
                <w:b/>
                <w:bCs/>
                <w:sz w:val="21"/>
                <w:szCs w:val="21"/>
              </w:rPr>
              <w:t>Variable</w:t>
            </w:r>
          </w:p>
        </w:tc>
        <w:tc>
          <w:tcPr>
            <w:tcW w:w="1403" w:type="pct"/>
            <w:tcBorders>
              <w:top w:val="double" w:sz="4" w:space="0" w:color="auto"/>
              <w:bottom w:val="single" w:sz="4" w:space="0" w:color="auto"/>
            </w:tcBorders>
            <w:shd w:val="clear" w:color="auto" w:fill="D0CECE" w:themeFill="background2" w:themeFillShade="E6"/>
          </w:tcPr>
          <w:p w14:paraId="53684FFD" w14:textId="77777777" w:rsidR="00E761F8" w:rsidRPr="00E761F8" w:rsidRDefault="00E761F8" w:rsidP="00E761F8">
            <w:pPr>
              <w:spacing w:after="0" w:line="240" w:lineRule="auto"/>
              <w:rPr>
                <w:rFonts w:eastAsia="Times New Roman" w:cstheme="minorHAnsi"/>
                <w:b/>
                <w:bCs/>
                <w:sz w:val="21"/>
                <w:szCs w:val="21"/>
              </w:rPr>
            </w:pPr>
            <w:r w:rsidRPr="00E761F8">
              <w:rPr>
                <w:rFonts w:eastAsia="Times New Roman" w:cstheme="minorHAnsi"/>
                <w:b/>
                <w:bCs/>
                <w:sz w:val="21"/>
                <w:szCs w:val="21"/>
              </w:rPr>
              <w:t>Definition</w:t>
            </w:r>
          </w:p>
        </w:tc>
        <w:tc>
          <w:tcPr>
            <w:tcW w:w="420" w:type="pct"/>
            <w:tcBorders>
              <w:top w:val="double" w:sz="4" w:space="0" w:color="auto"/>
              <w:bottom w:val="single" w:sz="4" w:space="0" w:color="auto"/>
            </w:tcBorders>
            <w:shd w:val="clear" w:color="auto" w:fill="D0CECE" w:themeFill="background2" w:themeFillShade="E6"/>
            <w:noWrap/>
            <w:vAlign w:val="bottom"/>
            <w:hideMark/>
          </w:tcPr>
          <w:p w14:paraId="63D1745A" w14:textId="77777777" w:rsidR="00E761F8" w:rsidRPr="00E761F8" w:rsidRDefault="00E761F8" w:rsidP="00E761F8">
            <w:pPr>
              <w:spacing w:after="0" w:line="240" w:lineRule="auto"/>
              <w:rPr>
                <w:rFonts w:eastAsia="Times New Roman" w:cstheme="minorHAnsi"/>
                <w:b/>
                <w:bCs/>
                <w:sz w:val="21"/>
                <w:szCs w:val="21"/>
              </w:rPr>
            </w:pPr>
            <w:r w:rsidRPr="00E761F8">
              <w:rPr>
                <w:rFonts w:eastAsia="Times New Roman" w:cstheme="minorHAnsi"/>
                <w:b/>
                <w:bCs/>
                <w:sz w:val="21"/>
                <w:szCs w:val="21"/>
              </w:rPr>
              <w:t>Obs</w:t>
            </w:r>
          </w:p>
        </w:tc>
        <w:tc>
          <w:tcPr>
            <w:tcW w:w="572" w:type="pct"/>
            <w:tcBorders>
              <w:top w:val="double" w:sz="4" w:space="0" w:color="auto"/>
              <w:bottom w:val="single" w:sz="4" w:space="0" w:color="auto"/>
            </w:tcBorders>
            <w:shd w:val="clear" w:color="auto" w:fill="D0CECE" w:themeFill="background2" w:themeFillShade="E6"/>
            <w:noWrap/>
            <w:vAlign w:val="bottom"/>
            <w:hideMark/>
          </w:tcPr>
          <w:p w14:paraId="7569798F" w14:textId="77777777" w:rsidR="00E761F8" w:rsidRPr="00E761F8" w:rsidRDefault="00E761F8" w:rsidP="00E761F8">
            <w:pPr>
              <w:spacing w:after="0" w:line="240" w:lineRule="auto"/>
              <w:rPr>
                <w:rFonts w:eastAsia="Times New Roman" w:cstheme="minorHAnsi"/>
                <w:b/>
                <w:bCs/>
                <w:sz w:val="21"/>
                <w:szCs w:val="21"/>
              </w:rPr>
            </w:pPr>
            <w:r w:rsidRPr="00E761F8">
              <w:rPr>
                <w:rFonts w:eastAsia="Times New Roman" w:cstheme="minorHAnsi"/>
                <w:b/>
                <w:bCs/>
                <w:sz w:val="21"/>
                <w:szCs w:val="21"/>
              </w:rPr>
              <w:t>Mean</w:t>
            </w:r>
          </w:p>
        </w:tc>
        <w:tc>
          <w:tcPr>
            <w:tcW w:w="648" w:type="pct"/>
            <w:tcBorders>
              <w:top w:val="double" w:sz="4" w:space="0" w:color="auto"/>
              <w:bottom w:val="single" w:sz="4" w:space="0" w:color="auto"/>
            </w:tcBorders>
            <w:shd w:val="clear" w:color="auto" w:fill="D0CECE" w:themeFill="background2" w:themeFillShade="E6"/>
            <w:noWrap/>
            <w:vAlign w:val="bottom"/>
            <w:hideMark/>
          </w:tcPr>
          <w:p w14:paraId="6A694D1F" w14:textId="77777777" w:rsidR="00E761F8" w:rsidRPr="00E761F8" w:rsidRDefault="00E761F8" w:rsidP="00E761F8">
            <w:pPr>
              <w:spacing w:after="0" w:line="240" w:lineRule="auto"/>
              <w:rPr>
                <w:rFonts w:eastAsia="Times New Roman" w:cstheme="minorHAnsi"/>
                <w:b/>
                <w:bCs/>
                <w:sz w:val="21"/>
                <w:szCs w:val="21"/>
              </w:rPr>
            </w:pPr>
            <w:r w:rsidRPr="00E761F8">
              <w:rPr>
                <w:rFonts w:eastAsia="Times New Roman" w:cstheme="minorHAnsi"/>
                <w:b/>
                <w:bCs/>
                <w:sz w:val="21"/>
                <w:szCs w:val="21"/>
              </w:rPr>
              <w:t>Std. Dev.</w:t>
            </w:r>
          </w:p>
        </w:tc>
        <w:tc>
          <w:tcPr>
            <w:tcW w:w="496" w:type="pct"/>
            <w:tcBorders>
              <w:top w:val="double" w:sz="4" w:space="0" w:color="auto"/>
              <w:bottom w:val="single" w:sz="4" w:space="0" w:color="auto"/>
            </w:tcBorders>
            <w:shd w:val="clear" w:color="auto" w:fill="D0CECE" w:themeFill="background2" w:themeFillShade="E6"/>
            <w:noWrap/>
            <w:vAlign w:val="bottom"/>
            <w:hideMark/>
          </w:tcPr>
          <w:p w14:paraId="64C086EF" w14:textId="77777777" w:rsidR="00E761F8" w:rsidRPr="00E761F8" w:rsidRDefault="00E761F8" w:rsidP="00E761F8">
            <w:pPr>
              <w:spacing w:after="0" w:line="240" w:lineRule="auto"/>
              <w:rPr>
                <w:rFonts w:eastAsia="Times New Roman" w:cstheme="minorHAnsi"/>
                <w:b/>
                <w:bCs/>
                <w:sz w:val="21"/>
                <w:szCs w:val="21"/>
              </w:rPr>
            </w:pPr>
            <w:r w:rsidRPr="00E761F8">
              <w:rPr>
                <w:rFonts w:eastAsia="Times New Roman" w:cstheme="minorHAnsi"/>
                <w:b/>
                <w:bCs/>
                <w:sz w:val="21"/>
                <w:szCs w:val="21"/>
              </w:rPr>
              <w:t>Min</w:t>
            </w:r>
          </w:p>
        </w:tc>
        <w:tc>
          <w:tcPr>
            <w:tcW w:w="686" w:type="pct"/>
            <w:tcBorders>
              <w:top w:val="double" w:sz="4" w:space="0" w:color="auto"/>
              <w:bottom w:val="single" w:sz="4" w:space="0" w:color="auto"/>
            </w:tcBorders>
            <w:shd w:val="clear" w:color="auto" w:fill="D0CECE" w:themeFill="background2" w:themeFillShade="E6"/>
            <w:noWrap/>
            <w:vAlign w:val="bottom"/>
            <w:hideMark/>
          </w:tcPr>
          <w:p w14:paraId="49057583" w14:textId="77777777" w:rsidR="00E761F8" w:rsidRPr="00E761F8" w:rsidRDefault="00E761F8" w:rsidP="00E761F8">
            <w:pPr>
              <w:spacing w:after="0" w:line="240" w:lineRule="auto"/>
              <w:rPr>
                <w:rFonts w:eastAsia="Times New Roman" w:cstheme="minorHAnsi"/>
                <w:b/>
                <w:bCs/>
                <w:sz w:val="21"/>
                <w:szCs w:val="21"/>
              </w:rPr>
            </w:pPr>
            <w:r w:rsidRPr="00E761F8">
              <w:rPr>
                <w:rFonts w:eastAsia="Times New Roman" w:cstheme="minorHAnsi"/>
                <w:b/>
                <w:bCs/>
                <w:sz w:val="21"/>
                <w:szCs w:val="21"/>
              </w:rPr>
              <w:t>Max</w:t>
            </w:r>
          </w:p>
        </w:tc>
      </w:tr>
      <w:tr w:rsidR="00E761F8" w:rsidRPr="00AA3A66" w14:paraId="5DECAD4D" w14:textId="77777777" w:rsidTr="00A1784D">
        <w:trPr>
          <w:trHeight w:val="175"/>
        </w:trPr>
        <w:tc>
          <w:tcPr>
            <w:tcW w:w="776" w:type="pct"/>
            <w:shd w:val="clear" w:color="auto" w:fill="auto"/>
            <w:noWrap/>
            <w:vAlign w:val="bottom"/>
            <w:hideMark/>
          </w:tcPr>
          <w:p w14:paraId="6E37EC41"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Price</w:t>
            </w:r>
          </w:p>
        </w:tc>
        <w:tc>
          <w:tcPr>
            <w:tcW w:w="1403" w:type="pct"/>
          </w:tcPr>
          <w:p w14:paraId="726F6522"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Transactional Price</w:t>
            </w:r>
          </w:p>
        </w:tc>
        <w:tc>
          <w:tcPr>
            <w:tcW w:w="420" w:type="pct"/>
            <w:shd w:val="clear" w:color="auto" w:fill="auto"/>
            <w:noWrap/>
            <w:hideMark/>
          </w:tcPr>
          <w:p w14:paraId="3687BC5E" w14:textId="6C9D7A94"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1,049 </w:t>
            </w:r>
          </w:p>
        </w:tc>
        <w:tc>
          <w:tcPr>
            <w:tcW w:w="572" w:type="pct"/>
            <w:shd w:val="clear" w:color="auto" w:fill="auto"/>
            <w:noWrap/>
            <w:hideMark/>
          </w:tcPr>
          <w:p w14:paraId="10523519" w14:textId="221FBF0F"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244.81 </w:t>
            </w:r>
          </w:p>
        </w:tc>
        <w:tc>
          <w:tcPr>
            <w:tcW w:w="648" w:type="pct"/>
            <w:shd w:val="clear" w:color="auto" w:fill="auto"/>
            <w:noWrap/>
            <w:hideMark/>
          </w:tcPr>
          <w:p w14:paraId="3CCBB67B" w14:textId="63731875"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43.20 </w:t>
            </w:r>
          </w:p>
        </w:tc>
        <w:tc>
          <w:tcPr>
            <w:tcW w:w="496" w:type="pct"/>
            <w:shd w:val="clear" w:color="auto" w:fill="auto"/>
            <w:noWrap/>
            <w:hideMark/>
          </w:tcPr>
          <w:p w14:paraId="6E246193" w14:textId="21507670"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180.00 </w:t>
            </w:r>
          </w:p>
        </w:tc>
        <w:tc>
          <w:tcPr>
            <w:tcW w:w="686" w:type="pct"/>
            <w:shd w:val="clear" w:color="auto" w:fill="auto"/>
            <w:noWrap/>
            <w:hideMark/>
          </w:tcPr>
          <w:p w14:paraId="04C03CE4" w14:textId="718FD859"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385.00 </w:t>
            </w:r>
          </w:p>
        </w:tc>
      </w:tr>
      <w:tr w:rsidR="00E761F8" w:rsidRPr="00AA3A66" w14:paraId="25387744" w14:textId="77777777" w:rsidTr="00A1784D">
        <w:trPr>
          <w:trHeight w:val="175"/>
        </w:trPr>
        <w:tc>
          <w:tcPr>
            <w:tcW w:w="776" w:type="pct"/>
            <w:shd w:val="clear" w:color="auto" w:fill="auto"/>
            <w:noWrap/>
            <w:vAlign w:val="bottom"/>
            <w:hideMark/>
          </w:tcPr>
          <w:p w14:paraId="5BC13ED5"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Size</w:t>
            </w:r>
          </w:p>
        </w:tc>
        <w:tc>
          <w:tcPr>
            <w:tcW w:w="1403" w:type="pct"/>
          </w:tcPr>
          <w:p w14:paraId="1F9465BF"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Size of Indoor Area</w:t>
            </w:r>
          </w:p>
        </w:tc>
        <w:tc>
          <w:tcPr>
            <w:tcW w:w="420" w:type="pct"/>
            <w:shd w:val="clear" w:color="auto" w:fill="auto"/>
            <w:noWrap/>
            <w:hideMark/>
          </w:tcPr>
          <w:p w14:paraId="1B10073D" w14:textId="06D7E3A9"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1,089 </w:t>
            </w:r>
          </w:p>
        </w:tc>
        <w:tc>
          <w:tcPr>
            <w:tcW w:w="572" w:type="pct"/>
            <w:shd w:val="clear" w:color="auto" w:fill="auto"/>
            <w:noWrap/>
            <w:hideMark/>
          </w:tcPr>
          <w:p w14:paraId="50F26123" w14:textId="39FB02C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295.82 </w:t>
            </w:r>
          </w:p>
        </w:tc>
        <w:tc>
          <w:tcPr>
            <w:tcW w:w="648" w:type="pct"/>
            <w:shd w:val="clear" w:color="auto" w:fill="auto"/>
            <w:noWrap/>
            <w:hideMark/>
          </w:tcPr>
          <w:p w14:paraId="7D855B78" w14:textId="76A064E6"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308.14 </w:t>
            </w:r>
          </w:p>
        </w:tc>
        <w:tc>
          <w:tcPr>
            <w:tcW w:w="496" w:type="pct"/>
            <w:shd w:val="clear" w:color="auto" w:fill="auto"/>
            <w:noWrap/>
            <w:hideMark/>
          </w:tcPr>
          <w:p w14:paraId="0013100C"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6" w:type="pct"/>
            <w:shd w:val="clear" w:color="auto" w:fill="auto"/>
            <w:noWrap/>
            <w:hideMark/>
          </w:tcPr>
          <w:p w14:paraId="765B3CCD" w14:textId="4B1142C5"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2,000.00 </w:t>
            </w:r>
          </w:p>
        </w:tc>
      </w:tr>
      <w:tr w:rsidR="00E761F8" w:rsidRPr="00AA3A66" w14:paraId="76DF0F8B" w14:textId="77777777" w:rsidTr="00A1784D">
        <w:trPr>
          <w:trHeight w:val="175"/>
        </w:trPr>
        <w:tc>
          <w:tcPr>
            <w:tcW w:w="776" w:type="pct"/>
            <w:shd w:val="clear" w:color="auto" w:fill="auto"/>
            <w:noWrap/>
            <w:vAlign w:val="bottom"/>
            <w:hideMark/>
          </w:tcPr>
          <w:p w14:paraId="02443776" w14:textId="32B898C0"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No.</w:t>
            </w:r>
            <w:r w:rsidR="005F7FDA">
              <w:rPr>
                <w:rFonts w:asciiTheme="majorHAnsi" w:eastAsia="Times New Roman" w:hAnsiTheme="majorHAnsi" w:cstheme="majorHAnsi"/>
                <w:color w:val="000000"/>
                <w:sz w:val="21"/>
                <w:szCs w:val="21"/>
              </w:rPr>
              <w:t xml:space="preserve"> </w:t>
            </w:r>
            <w:r w:rsidRPr="00E761F8">
              <w:rPr>
                <w:rFonts w:asciiTheme="majorHAnsi" w:eastAsia="Times New Roman" w:hAnsiTheme="majorHAnsi" w:cstheme="majorHAnsi"/>
                <w:color w:val="000000"/>
                <w:sz w:val="21"/>
                <w:szCs w:val="21"/>
              </w:rPr>
              <w:t>Beds</w:t>
            </w:r>
          </w:p>
        </w:tc>
        <w:tc>
          <w:tcPr>
            <w:tcW w:w="1403" w:type="pct"/>
          </w:tcPr>
          <w:p w14:paraId="0E104F7C"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Number of Bedrooms</w:t>
            </w:r>
          </w:p>
        </w:tc>
        <w:tc>
          <w:tcPr>
            <w:tcW w:w="420" w:type="pct"/>
            <w:shd w:val="clear" w:color="auto" w:fill="auto"/>
            <w:noWrap/>
            <w:hideMark/>
          </w:tcPr>
          <w:p w14:paraId="22C60292" w14:textId="437C6601"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1,089 </w:t>
            </w:r>
          </w:p>
        </w:tc>
        <w:tc>
          <w:tcPr>
            <w:tcW w:w="572" w:type="pct"/>
            <w:shd w:val="clear" w:color="auto" w:fill="auto"/>
            <w:noWrap/>
            <w:hideMark/>
          </w:tcPr>
          <w:p w14:paraId="215D6033" w14:textId="2A0B4312"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1.73 </w:t>
            </w:r>
          </w:p>
        </w:tc>
        <w:tc>
          <w:tcPr>
            <w:tcW w:w="648" w:type="pct"/>
            <w:shd w:val="clear" w:color="auto" w:fill="auto"/>
            <w:noWrap/>
            <w:hideMark/>
          </w:tcPr>
          <w:p w14:paraId="1640511B" w14:textId="19ED6A23"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0.64 </w:t>
            </w:r>
          </w:p>
        </w:tc>
        <w:tc>
          <w:tcPr>
            <w:tcW w:w="496" w:type="pct"/>
            <w:shd w:val="clear" w:color="auto" w:fill="auto"/>
            <w:noWrap/>
            <w:hideMark/>
          </w:tcPr>
          <w:p w14:paraId="3C7444B6"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1.00</w:t>
            </w:r>
          </w:p>
        </w:tc>
        <w:tc>
          <w:tcPr>
            <w:tcW w:w="686" w:type="pct"/>
            <w:shd w:val="clear" w:color="auto" w:fill="auto"/>
            <w:noWrap/>
            <w:hideMark/>
          </w:tcPr>
          <w:p w14:paraId="537CD408" w14:textId="03A1074C"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3.00 </w:t>
            </w:r>
          </w:p>
        </w:tc>
      </w:tr>
      <w:tr w:rsidR="00E761F8" w:rsidRPr="00AA3A66" w14:paraId="4D83E84B" w14:textId="77777777" w:rsidTr="00A1784D">
        <w:trPr>
          <w:trHeight w:val="175"/>
        </w:trPr>
        <w:tc>
          <w:tcPr>
            <w:tcW w:w="776" w:type="pct"/>
            <w:shd w:val="clear" w:color="auto" w:fill="auto"/>
            <w:noWrap/>
            <w:vAlign w:val="bottom"/>
            <w:hideMark/>
          </w:tcPr>
          <w:p w14:paraId="66644320" w14:textId="6EC8D2F1"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No.</w:t>
            </w:r>
            <w:r w:rsidR="005F7FDA">
              <w:rPr>
                <w:rFonts w:asciiTheme="majorHAnsi" w:eastAsia="Times New Roman" w:hAnsiTheme="majorHAnsi" w:cstheme="majorHAnsi"/>
                <w:color w:val="000000"/>
                <w:sz w:val="21"/>
                <w:szCs w:val="21"/>
              </w:rPr>
              <w:t xml:space="preserve"> </w:t>
            </w:r>
            <w:r w:rsidRPr="00E761F8">
              <w:rPr>
                <w:rFonts w:asciiTheme="majorHAnsi" w:eastAsia="Times New Roman" w:hAnsiTheme="majorHAnsi" w:cstheme="majorHAnsi"/>
                <w:color w:val="000000"/>
                <w:sz w:val="21"/>
                <w:szCs w:val="21"/>
              </w:rPr>
              <w:t>Baths</w:t>
            </w:r>
          </w:p>
        </w:tc>
        <w:tc>
          <w:tcPr>
            <w:tcW w:w="1403" w:type="pct"/>
          </w:tcPr>
          <w:p w14:paraId="2F7017BD"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Number of Bathroom</w:t>
            </w:r>
          </w:p>
        </w:tc>
        <w:tc>
          <w:tcPr>
            <w:tcW w:w="420" w:type="pct"/>
            <w:shd w:val="clear" w:color="auto" w:fill="auto"/>
            <w:noWrap/>
            <w:hideMark/>
          </w:tcPr>
          <w:p w14:paraId="7A4B83D3" w14:textId="1013CACC"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1,089 </w:t>
            </w:r>
          </w:p>
        </w:tc>
        <w:tc>
          <w:tcPr>
            <w:tcW w:w="572" w:type="pct"/>
            <w:shd w:val="clear" w:color="auto" w:fill="auto"/>
            <w:noWrap/>
            <w:hideMark/>
          </w:tcPr>
          <w:p w14:paraId="3E0D3182" w14:textId="40C8377B"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1.06 </w:t>
            </w:r>
          </w:p>
        </w:tc>
        <w:tc>
          <w:tcPr>
            <w:tcW w:w="648" w:type="pct"/>
            <w:shd w:val="clear" w:color="auto" w:fill="auto"/>
            <w:noWrap/>
            <w:hideMark/>
          </w:tcPr>
          <w:p w14:paraId="1B312BCF" w14:textId="27C894D8"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0.24 </w:t>
            </w:r>
          </w:p>
        </w:tc>
        <w:tc>
          <w:tcPr>
            <w:tcW w:w="496" w:type="pct"/>
            <w:shd w:val="clear" w:color="auto" w:fill="auto"/>
            <w:noWrap/>
            <w:hideMark/>
          </w:tcPr>
          <w:p w14:paraId="486A6709"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1.00</w:t>
            </w:r>
          </w:p>
        </w:tc>
        <w:tc>
          <w:tcPr>
            <w:tcW w:w="686" w:type="pct"/>
            <w:shd w:val="clear" w:color="auto" w:fill="auto"/>
            <w:noWrap/>
            <w:hideMark/>
          </w:tcPr>
          <w:p w14:paraId="34FF9F02" w14:textId="7CC4DF7D"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2.00 </w:t>
            </w:r>
          </w:p>
        </w:tc>
      </w:tr>
      <w:tr w:rsidR="00E761F8" w:rsidRPr="00AA3A66" w14:paraId="25E95E76" w14:textId="77777777" w:rsidTr="00A1784D">
        <w:trPr>
          <w:trHeight w:val="175"/>
        </w:trPr>
        <w:tc>
          <w:tcPr>
            <w:tcW w:w="776" w:type="pct"/>
            <w:shd w:val="clear" w:color="auto" w:fill="auto"/>
            <w:noWrap/>
            <w:vAlign w:val="bottom"/>
            <w:hideMark/>
          </w:tcPr>
          <w:p w14:paraId="5873538C" w14:textId="2951558C"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No.</w:t>
            </w:r>
            <w:r w:rsidR="005F7FDA">
              <w:rPr>
                <w:rFonts w:asciiTheme="majorHAnsi" w:eastAsia="Times New Roman" w:hAnsiTheme="majorHAnsi" w:cstheme="majorHAnsi"/>
                <w:color w:val="000000"/>
                <w:sz w:val="21"/>
                <w:szCs w:val="21"/>
              </w:rPr>
              <w:t xml:space="preserve"> </w:t>
            </w:r>
            <w:r w:rsidRPr="00E761F8">
              <w:rPr>
                <w:rFonts w:asciiTheme="majorHAnsi" w:eastAsia="Times New Roman" w:hAnsiTheme="majorHAnsi" w:cstheme="majorHAnsi"/>
                <w:color w:val="000000"/>
                <w:sz w:val="21"/>
                <w:szCs w:val="21"/>
              </w:rPr>
              <w:t>Parking</w:t>
            </w:r>
          </w:p>
        </w:tc>
        <w:tc>
          <w:tcPr>
            <w:tcW w:w="1403" w:type="pct"/>
          </w:tcPr>
          <w:p w14:paraId="5B58F494"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Number of Carpark</w:t>
            </w:r>
          </w:p>
        </w:tc>
        <w:tc>
          <w:tcPr>
            <w:tcW w:w="420" w:type="pct"/>
            <w:shd w:val="clear" w:color="auto" w:fill="auto"/>
            <w:noWrap/>
            <w:hideMark/>
          </w:tcPr>
          <w:p w14:paraId="7EABBFFB" w14:textId="78B6A27C"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1,089 </w:t>
            </w:r>
          </w:p>
        </w:tc>
        <w:tc>
          <w:tcPr>
            <w:tcW w:w="572" w:type="pct"/>
            <w:shd w:val="clear" w:color="auto" w:fill="auto"/>
            <w:noWrap/>
            <w:hideMark/>
          </w:tcPr>
          <w:p w14:paraId="1DF107CE" w14:textId="14669A2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1.05 </w:t>
            </w:r>
          </w:p>
        </w:tc>
        <w:tc>
          <w:tcPr>
            <w:tcW w:w="648" w:type="pct"/>
            <w:shd w:val="clear" w:color="auto" w:fill="auto"/>
            <w:noWrap/>
            <w:hideMark/>
          </w:tcPr>
          <w:p w14:paraId="42C53AFC" w14:textId="719D69F6"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0.40 </w:t>
            </w:r>
          </w:p>
        </w:tc>
        <w:tc>
          <w:tcPr>
            <w:tcW w:w="496" w:type="pct"/>
            <w:shd w:val="clear" w:color="auto" w:fill="auto"/>
            <w:noWrap/>
            <w:hideMark/>
          </w:tcPr>
          <w:p w14:paraId="2374A486"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6" w:type="pct"/>
            <w:shd w:val="clear" w:color="auto" w:fill="auto"/>
            <w:noWrap/>
            <w:hideMark/>
          </w:tcPr>
          <w:p w14:paraId="4CD86D63" w14:textId="63311BDC"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3.00 </w:t>
            </w:r>
          </w:p>
        </w:tc>
      </w:tr>
      <w:tr w:rsidR="00E761F8" w:rsidRPr="00AA3A66" w14:paraId="5DACC98D" w14:textId="77777777" w:rsidTr="00A1784D">
        <w:trPr>
          <w:trHeight w:val="175"/>
        </w:trPr>
        <w:tc>
          <w:tcPr>
            <w:tcW w:w="776" w:type="pct"/>
            <w:shd w:val="clear" w:color="auto" w:fill="auto"/>
            <w:noWrap/>
            <w:vAlign w:val="bottom"/>
            <w:hideMark/>
          </w:tcPr>
          <w:p w14:paraId="04D99323"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DY-2015</w:t>
            </w:r>
          </w:p>
        </w:tc>
        <w:tc>
          <w:tcPr>
            <w:tcW w:w="1403" w:type="pct"/>
          </w:tcPr>
          <w:p w14:paraId="29EE5705"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Year of 2015</w:t>
            </w:r>
          </w:p>
        </w:tc>
        <w:tc>
          <w:tcPr>
            <w:tcW w:w="420" w:type="pct"/>
            <w:shd w:val="clear" w:color="auto" w:fill="auto"/>
            <w:noWrap/>
            <w:hideMark/>
          </w:tcPr>
          <w:p w14:paraId="378D2239" w14:textId="1C6BFD0E"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1,089 </w:t>
            </w:r>
          </w:p>
        </w:tc>
        <w:tc>
          <w:tcPr>
            <w:tcW w:w="572" w:type="pct"/>
            <w:shd w:val="clear" w:color="auto" w:fill="auto"/>
            <w:noWrap/>
            <w:hideMark/>
          </w:tcPr>
          <w:p w14:paraId="3C66C285" w14:textId="7780B05D"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0.07 </w:t>
            </w:r>
          </w:p>
        </w:tc>
        <w:tc>
          <w:tcPr>
            <w:tcW w:w="648" w:type="pct"/>
            <w:shd w:val="clear" w:color="auto" w:fill="auto"/>
            <w:noWrap/>
            <w:hideMark/>
          </w:tcPr>
          <w:p w14:paraId="4D412BAD" w14:textId="239055FA"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0.25 </w:t>
            </w:r>
          </w:p>
        </w:tc>
        <w:tc>
          <w:tcPr>
            <w:tcW w:w="496" w:type="pct"/>
            <w:shd w:val="clear" w:color="auto" w:fill="auto"/>
            <w:noWrap/>
            <w:hideMark/>
          </w:tcPr>
          <w:p w14:paraId="58357100"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6" w:type="pct"/>
            <w:shd w:val="clear" w:color="auto" w:fill="auto"/>
            <w:noWrap/>
            <w:hideMark/>
          </w:tcPr>
          <w:p w14:paraId="153CEF16" w14:textId="12F6A2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1.00 </w:t>
            </w:r>
          </w:p>
        </w:tc>
      </w:tr>
      <w:tr w:rsidR="00E761F8" w:rsidRPr="00AA3A66" w14:paraId="09D99008" w14:textId="77777777" w:rsidTr="00A1784D">
        <w:trPr>
          <w:trHeight w:val="175"/>
        </w:trPr>
        <w:tc>
          <w:tcPr>
            <w:tcW w:w="776" w:type="pct"/>
            <w:shd w:val="clear" w:color="auto" w:fill="auto"/>
            <w:noWrap/>
            <w:vAlign w:val="bottom"/>
            <w:hideMark/>
          </w:tcPr>
          <w:p w14:paraId="48BD06A8"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DY-2016</w:t>
            </w:r>
          </w:p>
        </w:tc>
        <w:tc>
          <w:tcPr>
            <w:tcW w:w="1403" w:type="pct"/>
          </w:tcPr>
          <w:p w14:paraId="16B52C1B"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Year of 2016</w:t>
            </w:r>
          </w:p>
        </w:tc>
        <w:tc>
          <w:tcPr>
            <w:tcW w:w="420" w:type="pct"/>
            <w:shd w:val="clear" w:color="auto" w:fill="auto"/>
            <w:noWrap/>
            <w:hideMark/>
          </w:tcPr>
          <w:p w14:paraId="3F69CFD1" w14:textId="085DDE25"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1,089 </w:t>
            </w:r>
          </w:p>
        </w:tc>
        <w:tc>
          <w:tcPr>
            <w:tcW w:w="572" w:type="pct"/>
            <w:shd w:val="clear" w:color="auto" w:fill="auto"/>
            <w:noWrap/>
            <w:hideMark/>
          </w:tcPr>
          <w:p w14:paraId="59564DC1" w14:textId="1210792E"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0.09 </w:t>
            </w:r>
          </w:p>
        </w:tc>
        <w:tc>
          <w:tcPr>
            <w:tcW w:w="648" w:type="pct"/>
            <w:shd w:val="clear" w:color="auto" w:fill="auto"/>
            <w:noWrap/>
            <w:hideMark/>
          </w:tcPr>
          <w:p w14:paraId="5EF1D43B" w14:textId="35CA8051"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0.29 </w:t>
            </w:r>
          </w:p>
        </w:tc>
        <w:tc>
          <w:tcPr>
            <w:tcW w:w="496" w:type="pct"/>
            <w:shd w:val="clear" w:color="auto" w:fill="auto"/>
            <w:noWrap/>
            <w:hideMark/>
          </w:tcPr>
          <w:p w14:paraId="7E67C395"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6" w:type="pct"/>
            <w:shd w:val="clear" w:color="auto" w:fill="auto"/>
            <w:noWrap/>
            <w:hideMark/>
          </w:tcPr>
          <w:p w14:paraId="6DC71766" w14:textId="3EA00280"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1.00 </w:t>
            </w:r>
          </w:p>
        </w:tc>
      </w:tr>
      <w:tr w:rsidR="00E761F8" w:rsidRPr="00AA3A66" w14:paraId="7B22B1D8" w14:textId="77777777" w:rsidTr="00A1784D">
        <w:trPr>
          <w:trHeight w:val="175"/>
        </w:trPr>
        <w:tc>
          <w:tcPr>
            <w:tcW w:w="776" w:type="pct"/>
            <w:shd w:val="clear" w:color="auto" w:fill="auto"/>
            <w:noWrap/>
            <w:vAlign w:val="bottom"/>
            <w:hideMark/>
          </w:tcPr>
          <w:p w14:paraId="7A772CA3"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DY-2017</w:t>
            </w:r>
          </w:p>
        </w:tc>
        <w:tc>
          <w:tcPr>
            <w:tcW w:w="1403" w:type="pct"/>
          </w:tcPr>
          <w:p w14:paraId="48F87016"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Year of 2017</w:t>
            </w:r>
          </w:p>
        </w:tc>
        <w:tc>
          <w:tcPr>
            <w:tcW w:w="420" w:type="pct"/>
            <w:shd w:val="clear" w:color="auto" w:fill="auto"/>
            <w:noWrap/>
            <w:hideMark/>
          </w:tcPr>
          <w:p w14:paraId="7DF0D408" w14:textId="74F9EA49"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1,089 </w:t>
            </w:r>
          </w:p>
        </w:tc>
        <w:tc>
          <w:tcPr>
            <w:tcW w:w="572" w:type="pct"/>
            <w:shd w:val="clear" w:color="auto" w:fill="auto"/>
            <w:noWrap/>
            <w:hideMark/>
          </w:tcPr>
          <w:p w14:paraId="1B032128" w14:textId="6730A302"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0.25 </w:t>
            </w:r>
          </w:p>
        </w:tc>
        <w:tc>
          <w:tcPr>
            <w:tcW w:w="648" w:type="pct"/>
            <w:shd w:val="clear" w:color="auto" w:fill="auto"/>
            <w:noWrap/>
            <w:hideMark/>
          </w:tcPr>
          <w:p w14:paraId="621BC4E2" w14:textId="4936035A"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0.43 </w:t>
            </w:r>
          </w:p>
        </w:tc>
        <w:tc>
          <w:tcPr>
            <w:tcW w:w="496" w:type="pct"/>
            <w:shd w:val="clear" w:color="auto" w:fill="auto"/>
            <w:noWrap/>
            <w:hideMark/>
          </w:tcPr>
          <w:p w14:paraId="5E5D0BA2"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6" w:type="pct"/>
            <w:shd w:val="clear" w:color="auto" w:fill="auto"/>
            <w:noWrap/>
            <w:hideMark/>
          </w:tcPr>
          <w:p w14:paraId="32943785" w14:textId="520DB3A0"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1.00 </w:t>
            </w:r>
          </w:p>
        </w:tc>
      </w:tr>
      <w:tr w:rsidR="00E761F8" w:rsidRPr="00AA3A66" w14:paraId="2C20E858" w14:textId="77777777" w:rsidTr="00A1784D">
        <w:trPr>
          <w:trHeight w:val="175"/>
        </w:trPr>
        <w:tc>
          <w:tcPr>
            <w:tcW w:w="776" w:type="pct"/>
            <w:shd w:val="clear" w:color="auto" w:fill="auto"/>
            <w:noWrap/>
            <w:vAlign w:val="bottom"/>
            <w:hideMark/>
          </w:tcPr>
          <w:p w14:paraId="7D0DA513"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DY-2018</w:t>
            </w:r>
          </w:p>
        </w:tc>
        <w:tc>
          <w:tcPr>
            <w:tcW w:w="1403" w:type="pct"/>
          </w:tcPr>
          <w:p w14:paraId="0F82C29D"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Year of 2018</w:t>
            </w:r>
          </w:p>
        </w:tc>
        <w:tc>
          <w:tcPr>
            <w:tcW w:w="420" w:type="pct"/>
            <w:shd w:val="clear" w:color="auto" w:fill="auto"/>
            <w:noWrap/>
            <w:hideMark/>
          </w:tcPr>
          <w:p w14:paraId="2670CC7D" w14:textId="579A79B4"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1,089 </w:t>
            </w:r>
          </w:p>
        </w:tc>
        <w:tc>
          <w:tcPr>
            <w:tcW w:w="572" w:type="pct"/>
            <w:shd w:val="clear" w:color="auto" w:fill="auto"/>
            <w:noWrap/>
            <w:hideMark/>
          </w:tcPr>
          <w:p w14:paraId="5061ADE0" w14:textId="05E5C2A8"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0.26 </w:t>
            </w:r>
          </w:p>
        </w:tc>
        <w:tc>
          <w:tcPr>
            <w:tcW w:w="648" w:type="pct"/>
            <w:shd w:val="clear" w:color="auto" w:fill="auto"/>
            <w:noWrap/>
            <w:hideMark/>
          </w:tcPr>
          <w:p w14:paraId="4E585BBE" w14:textId="443AE684"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0.44 </w:t>
            </w:r>
          </w:p>
        </w:tc>
        <w:tc>
          <w:tcPr>
            <w:tcW w:w="496" w:type="pct"/>
            <w:shd w:val="clear" w:color="auto" w:fill="auto"/>
            <w:noWrap/>
            <w:hideMark/>
          </w:tcPr>
          <w:p w14:paraId="2EC45B0C"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6" w:type="pct"/>
            <w:shd w:val="clear" w:color="auto" w:fill="auto"/>
            <w:noWrap/>
            <w:hideMark/>
          </w:tcPr>
          <w:p w14:paraId="3DE598BA" w14:textId="09614AF6"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1.00 </w:t>
            </w:r>
          </w:p>
        </w:tc>
      </w:tr>
      <w:tr w:rsidR="00E761F8" w:rsidRPr="00AA3A66" w14:paraId="0954DBB0" w14:textId="77777777" w:rsidTr="00A1784D">
        <w:trPr>
          <w:trHeight w:val="175"/>
        </w:trPr>
        <w:tc>
          <w:tcPr>
            <w:tcW w:w="776" w:type="pct"/>
            <w:shd w:val="clear" w:color="auto" w:fill="auto"/>
            <w:noWrap/>
            <w:vAlign w:val="bottom"/>
            <w:hideMark/>
          </w:tcPr>
          <w:p w14:paraId="057E4A78"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DY-2019</w:t>
            </w:r>
          </w:p>
        </w:tc>
        <w:tc>
          <w:tcPr>
            <w:tcW w:w="1403" w:type="pct"/>
          </w:tcPr>
          <w:p w14:paraId="58FB908B"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Year of 2019</w:t>
            </w:r>
          </w:p>
        </w:tc>
        <w:tc>
          <w:tcPr>
            <w:tcW w:w="420" w:type="pct"/>
            <w:shd w:val="clear" w:color="auto" w:fill="auto"/>
            <w:noWrap/>
            <w:hideMark/>
          </w:tcPr>
          <w:p w14:paraId="45E5121E" w14:textId="0E17A664"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1,089 </w:t>
            </w:r>
          </w:p>
        </w:tc>
        <w:tc>
          <w:tcPr>
            <w:tcW w:w="572" w:type="pct"/>
            <w:shd w:val="clear" w:color="auto" w:fill="auto"/>
            <w:noWrap/>
            <w:hideMark/>
          </w:tcPr>
          <w:p w14:paraId="7FF4D8C5" w14:textId="662628FE"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0.17 </w:t>
            </w:r>
          </w:p>
        </w:tc>
        <w:tc>
          <w:tcPr>
            <w:tcW w:w="648" w:type="pct"/>
            <w:shd w:val="clear" w:color="auto" w:fill="auto"/>
            <w:noWrap/>
            <w:hideMark/>
          </w:tcPr>
          <w:p w14:paraId="6F2CEF88" w14:textId="6D89D44B"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0.37 </w:t>
            </w:r>
          </w:p>
        </w:tc>
        <w:tc>
          <w:tcPr>
            <w:tcW w:w="496" w:type="pct"/>
            <w:shd w:val="clear" w:color="auto" w:fill="auto"/>
            <w:noWrap/>
            <w:hideMark/>
          </w:tcPr>
          <w:p w14:paraId="29EE18E3"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6" w:type="pct"/>
            <w:shd w:val="clear" w:color="auto" w:fill="auto"/>
            <w:noWrap/>
            <w:hideMark/>
          </w:tcPr>
          <w:p w14:paraId="2E3D8645" w14:textId="583A1DB0"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1.00 </w:t>
            </w:r>
          </w:p>
        </w:tc>
      </w:tr>
      <w:tr w:rsidR="00E761F8" w:rsidRPr="00AA3A66" w14:paraId="678C1B06" w14:textId="77777777" w:rsidTr="00A1784D">
        <w:trPr>
          <w:trHeight w:val="175"/>
        </w:trPr>
        <w:tc>
          <w:tcPr>
            <w:tcW w:w="776" w:type="pct"/>
            <w:shd w:val="clear" w:color="auto" w:fill="auto"/>
            <w:noWrap/>
            <w:vAlign w:val="bottom"/>
            <w:hideMark/>
          </w:tcPr>
          <w:p w14:paraId="177CA184"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DY-2020</w:t>
            </w:r>
          </w:p>
        </w:tc>
        <w:tc>
          <w:tcPr>
            <w:tcW w:w="1403" w:type="pct"/>
          </w:tcPr>
          <w:p w14:paraId="234D0FBC"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Year of 2020</w:t>
            </w:r>
          </w:p>
        </w:tc>
        <w:tc>
          <w:tcPr>
            <w:tcW w:w="420" w:type="pct"/>
            <w:shd w:val="clear" w:color="auto" w:fill="auto"/>
            <w:noWrap/>
            <w:hideMark/>
          </w:tcPr>
          <w:p w14:paraId="5E615D69" w14:textId="7F953716"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1,089 </w:t>
            </w:r>
          </w:p>
        </w:tc>
        <w:tc>
          <w:tcPr>
            <w:tcW w:w="572" w:type="pct"/>
            <w:shd w:val="clear" w:color="auto" w:fill="auto"/>
            <w:noWrap/>
            <w:hideMark/>
          </w:tcPr>
          <w:p w14:paraId="5849753C" w14:textId="2B466DAA"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0.13 </w:t>
            </w:r>
          </w:p>
        </w:tc>
        <w:tc>
          <w:tcPr>
            <w:tcW w:w="648" w:type="pct"/>
            <w:shd w:val="clear" w:color="auto" w:fill="auto"/>
            <w:noWrap/>
            <w:hideMark/>
          </w:tcPr>
          <w:p w14:paraId="152374D0" w14:textId="335D0C96"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0.33 </w:t>
            </w:r>
          </w:p>
        </w:tc>
        <w:tc>
          <w:tcPr>
            <w:tcW w:w="496" w:type="pct"/>
            <w:shd w:val="clear" w:color="auto" w:fill="auto"/>
            <w:noWrap/>
            <w:hideMark/>
          </w:tcPr>
          <w:p w14:paraId="0C450643" w14:textId="77777777"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0.00</w:t>
            </w:r>
          </w:p>
        </w:tc>
        <w:tc>
          <w:tcPr>
            <w:tcW w:w="686" w:type="pct"/>
            <w:shd w:val="clear" w:color="auto" w:fill="auto"/>
            <w:noWrap/>
            <w:hideMark/>
          </w:tcPr>
          <w:p w14:paraId="4F0E02BE" w14:textId="6FCB0094" w:rsidR="00E761F8" w:rsidRPr="00E761F8" w:rsidRDefault="00E761F8" w:rsidP="00E761F8">
            <w:pPr>
              <w:spacing w:after="0" w:line="240" w:lineRule="auto"/>
              <w:rPr>
                <w:rFonts w:asciiTheme="majorHAnsi" w:eastAsia="Times New Roman" w:hAnsiTheme="majorHAnsi" w:cstheme="majorHAnsi"/>
                <w:color w:val="000000"/>
                <w:sz w:val="21"/>
                <w:szCs w:val="21"/>
              </w:rPr>
            </w:pPr>
            <w:r w:rsidRPr="00E761F8">
              <w:rPr>
                <w:rFonts w:asciiTheme="majorHAnsi" w:eastAsia="Times New Roman" w:hAnsiTheme="majorHAnsi" w:cstheme="majorHAnsi"/>
                <w:color w:val="000000"/>
                <w:sz w:val="21"/>
                <w:szCs w:val="21"/>
              </w:rPr>
              <w:t xml:space="preserve">1.00 </w:t>
            </w:r>
          </w:p>
        </w:tc>
      </w:tr>
    </w:tbl>
    <w:p w14:paraId="04F59385" w14:textId="13F7FDB0" w:rsidR="00E761F8" w:rsidRPr="00E761F8" w:rsidRDefault="00E761F8" w:rsidP="00E761F8">
      <w:pPr>
        <w:spacing w:after="0" w:line="240" w:lineRule="auto"/>
        <w:rPr>
          <w:rFonts w:cstheme="minorHAnsi"/>
          <w:b/>
          <w:bCs/>
          <w:sz w:val="21"/>
          <w:szCs w:val="21"/>
        </w:rPr>
      </w:pPr>
      <w:r w:rsidRPr="00E761F8">
        <w:rPr>
          <w:rFonts w:cstheme="minorHAnsi"/>
          <w:b/>
          <w:bCs/>
          <w:sz w:val="21"/>
          <w:szCs w:val="21"/>
        </w:rPr>
        <w:t>Table 7.8: Statistical Description of Housing Market for the Three Focal Suburbs</w:t>
      </w:r>
    </w:p>
    <w:p w14:paraId="5C28FCBA" w14:textId="77777777" w:rsidR="00E761F8" w:rsidRPr="00E761F8" w:rsidRDefault="00E761F8" w:rsidP="00E761F8">
      <w:pPr>
        <w:spacing w:before="120" w:after="120" w:line="276" w:lineRule="auto"/>
        <w:rPr>
          <w:rFonts w:asciiTheme="majorHAnsi" w:hAnsiTheme="majorHAnsi" w:cstheme="majorHAnsi"/>
          <w:sz w:val="23"/>
          <w:szCs w:val="23"/>
        </w:rPr>
      </w:pPr>
      <w:r w:rsidRPr="00E761F8">
        <w:rPr>
          <w:rFonts w:asciiTheme="majorHAnsi" w:hAnsiTheme="majorHAnsi" w:cstheme="majorHAnsi"/>
          <w:sz w:val="23"/>
          <w:szCs w:val="23"/>
        </w:rPr>
        <w:lastRenderedPageBreak/>
        <w:t>We have also constructed monthly hedonic indexes to track the trend of housing costs for the three suburbs, as well as for the whole of Victoria, Greater Melbourne, Regional Victoria, and Greater Geelong, for comparison. The time frame of the indexes is from January 2015 to October 2020. We construct indexes for submarkets of house transactional sample, unit transactional sample, house rental sample, and unit rental sample. The hedonic indexes are presented in Figures 7.3–7.6 (below). The methodology for the hedonic indexes is outlined in Appendix D.</w:t>
      </w:r>
    </w:p>
    <w:p w14:paraId="2B745A3E" w14:textId="77777777" w:rsidR="00E761F8" w:rsidRPr="00E761F8" w:rsidRDefault="00E761F8" w:rsidP="00E761F8">
      <w:pPr>
        <w:spacing w:before="120" w:after="120" w:line="276" w:lineRule="auto"/>
        <w:rPr>
          <w:rFonts w:asciiTheme="majorHAnsi" w:hAnsiTheme="majorHAnsi" w:cstheme="majorBidi"/>
          <w:sz w:val="23"/>
          <w:szCs w:val="23"/>
        </w:rPr>
      </w:pPr>
      <w:r w:rsidRPr="00E761F8">
        <w:rPr>
          <w:rFonts w:asciiTheme="majorHAnsi" w:hAnsiTheme="majorHAnsi" w:cstheme="majorBidi"/>
          <w:sz w:val="23"/>
          <w:szCs w:val="23"/>
        </w:rPr>
        <w:t xml:space="preserve">As Figure 7.2 shows, the house value of the three focal suburbs grows by 43.2 percent over the period January 2015–October 2020, higher than the growth rates of </w:t>
      </w:r>
      <w:bookmarkStart w:id="7" w:name="_Hlk71035945"/>
      <w:r w:rsidRPr="00E761F8">
        <w:rPr>
          <w:rFonts w:asciiTheme="majorHAnsi" w:hAnsiTheme="majorHAnsi" w:cstheme="majorBidi"/>
          <w:sz w:val="23"/>
          <w:szCs w:val="23"/>
        </w:rPr>
        <w:t xml:space="preserve">Greater Geelong (39.75 percent), Regional Victoria (32.75 percent), Greater Melbourne (36.4 percent), and Victoria as a whole (35.8 percent) </w:t>
      </w:r>
      <w:bookmarkEnd w:id="7"/>
      <w:r w:rsidRPr="00E761F8">
        <w:rPr>
          <w:rFonts w:asciiTheme="majorHAnsi" w:hAnsiTheme="majorHAnsi" w:cstheme="majorBidi"/>
          <w:sz w:val="23"/>
          <w:szCs w:val="23"/>
        </w:rPr>
        <w:t>during the same period. A similar trend is found for the local house rental price, with Figure 7.3 showing that the growth rate of the three focal suburbs (18.05 percent) outperforms Greater Geelong (14.55 percent) and the other reference groups.</w:t>
      </w:r>
    </w:p>
    <w:p w14:paraId="29B6BADE" w14:textId="77777777" w:rsidR="00E761F8" w:rsidRPr="00E761F8" w:rsidRDefault="00E761F8" w:rsidP="00E761F8">
      <w:pPr>
        <w:spacing w:before="120" w:after="120" w:line="276" w:lineRule="auto"/>
        <w:rPr>
          <w:rFonts w:asciiTheme="majorHAnsi" w:hAnsiTheme="majorHAnsi" w:cstheme="majorBidi"/>
          <w:sz w:val="23"/>
          <w:szCs w:val="23"/>
        </w:rPr>
      </w:pPr>
      <w:r w:rsidRPr="00E761F8">
        <w:rPr>
          <w:rFonts w:asciiTheme="majorHAnsi" w:hAnsiTheme="majorHAnsi" w:cstheme="majorBidi"/>
          <w:sz w:val="23"/>
          <w:szCs w:val="23"/>
        </w:rPr>
        <w:t>The unit price index for the three focal suburbs (Figure 7.4) is more volatile compared to the other reference groups, because of small size of the unit transaction subsample of the three focal suburbs. The growth rate of unit value in Greater Geelong and the three focal suburbs has surpassed the rest of Victoria since 2017. The growth rate of the three focal suburbs from January 2015–October 2020 is 29.35 percent, slightly lower than the rate for Greater Geelong (32.73 percent), but much higher than the growth for Regional Victoria (15.25 percent), Greater Melbourne (8.72 percent), and the whole of Victoria (10.82 percent) during the same period. Similar to the trend of unit value, the growth of unit rental price for the three focal suburbs (21.6 percent) and Greater Geelong (11.6 percent) also outperforms the other reference groups. More importantly, the unit rental price has been declining dramatically in Greater Melbourne since early 2020 because of the outbreak of COVID-19, but the drop of unit rental cost in Greater Geelong is much lower. However, the unit rental price in the three focal suburbs continued to grow after March 2020, regardless of the COVID-19 pandemic.</w:t>
      </w:r>
    </w:p>
    <w:p w14:paraId="622B8EEB" w14:textId="77777777" w:rsidR="00E761F8" w:rsidRPr="00E761F8" w:rsidRDefault="00E761F8" w:rsidP="00E761F8">
      <w:pPr>
        <w:spacing w:before="120" w:after="120" w:line="276" w:lineRule="auto"/>
        <w:rPr>
          <w:rFonts w:asciiTheme="majorHAnsi" w:hAnsiTheme="majorHAnsi" w:cstheme="majorHAnsi"/>
          <w:sz w:val="23"/>
          <w:szCs w:val="23"/>
        </w:rPr>
      </w:pPr>
      <w:r w:rsidRPr="00E761F8">
        <w:rPr>
          <w:rFonts w:asciiTheme="majorHAnsi" w:hAnsiTheme="majorHAnsi" w:cstheme="majorHAnsi"/>
          <w:sz w:val="23"/>
          <w:szCs w:val="23"/>
        </w:rPr>
        <w:t>The average transactional prices of houses and units in the three focal suburbs from 1 January 2020 to 31 October 2020 are $384,539.9 and $366,150.9 respectively, lower than that of Greater Geelong ($603,725.7 and $478,179.9), Metropolitan Melbourne ($913,772.3 and $615,105.4), and the whole Victoria ($749,952.4 and $582,934.1). Also, the average rental prices of house and units for the three focal suburbs in the same period are $306 and $208 per week respectively, lower than that of Greater Geelong ($440 and $353), Metropolitan Melbourne ($624 and $524), and the whole of Victoria ($634 pw and $550 pw).</w:t>
      </w:r>
    </w:p>
    <w:p w14:paraId="3C16B705" w14:textId="77777777" w:rsidR="00E761F8" w:rsidRPr="00E761F8" w:rsidRDefault="00E761F8" w:rsidP="00E761F8">
      <w:pPr>
        <w:spacing w:before="120" w:after="120" w:line="276" w:lineRule="auto"/>
        <w:rPr>
          <w:rFonts w:asciiTheme="majorHAnsi" w:hAnsiTheme="majorHAnsi" w:cstheme="majorBidi"/>
          <w:sz w:val="23"/>
          <w:szCs w:val="23"/>
        </w:rPr>
      </w:pPr>
      <w:r w:rsidRPr="00E761F8">
        <w:rPr>
          <w:rFonts w:asciiTheme="majorHAnsi" w:hAnsiTheme="majorHAnsi" w:cstheme="majorBidi"/>
          <w:sz w:val="23"/>
          <w:szCs w:val="23"/>
        </w:rPr>
        <w:t>While the current housing cost in the three focal suburbs is lower than in Greater Melbourne, Greater Geelong, and the rest of Victoria, the growth rate of housing costs in these suburbs – especially the unit rental cost – increased much more than these reference groups over the past six years. The main factors driving this rapid increase in housing cost within the focal suburbs could include Victoria’s population growth over recent years, and the Regional Victorian First package, which encourages first home buyers to purchase property in regional areas.</w:t>
      </w:r>
    </w:p>
    <w:p w14:paraId="4E781900" w14:textId="77777777" w:rsidR="00E761F8" w:rsidRPr="00E761F8" w:rsidRDefault="00E761F8" w:rsidP="00E761F8">
      <w:pPr>
        <w:spacing w:before="120" w:after="120" w:line="276" w:lineRule="auto"/>
        <w:rPr>
          <w:rFonts w:asciiTheme="majorHAnsi" w:hAnsiTheme="majorHAnsi" w:cstheme="majorHAnsi"/>
          <w:sz w:val="23"/>
          <w:szCs w:val="23"/>
        </w:rPr>
      </w:pPr>
      <w:r w:rsidRPr="00E761F8">
        <w:rPr>
          <w:rFonts w:asciiTheme="majorHAnsi" w:hAnsiTheme="majorHAnsi" w:cstheme="majorHAnsi"/>
          <w:sz w:val="23"/>
          <w:szCs w:val="23"/>
        </w:rPr>
        <w:t>In addition, Geelong has been growing relatively fast since 2015, while the COVID-19 pandemic has pushed out housing demand into regional Victoria. This has further aggravated housing cost in the three focal suburbs, especially in the unit rental market. Given that renting a unit is the most common housing tenure for people on low incomes, it is important to continue to monitor this aspect of the housing situation in Corio, Norlane, and Whittington.</w:t>
      </w:r>
    </w:p>
    <w:p w14:paraId="7063FB33" w14:textId="77777777" w:rsidR="00E761F8" w:rsidRPr="00E761F8" w:rsidRDefault="00E761F8" w:rsidP="00E761F8">
      <w:pPr>
        <w:spacing w:after="0" w:line="360" w:lineRule="auto"/>
        <w:jc w:val="both"/>
        <w:rPr>
          <w:rFonts w:asciiTheme="majorHAnsi" w:hAnsiTheme="majorHAnsi" w:cstheme="majorHAnsi"/>
          <w:sz w:val="23"/>
          <w:szCs w:val="23"/>
        </w:rPr>
      </w:pPr>
      <w:r w:rsidRPr="00E91887">
        <w:rPr>
          <w:noProof/>
          <w:shd w:val="clear" w:color="auto" w:fill="E6E6E6"/>
          <w:lang w:eastAsia="zh-CN"/>
        </w:rPr>
        <w:lastRenderedPageBreak/>
        <w:drawing>
          <wp:inline distT="0" distB="0" distL="0" distR="0" wp14:anchorId="322F30FD" wp14:editId="577720F1">
            <wp:extent cx="5943600" cy="3162300"/>
            <wp:effectExtent l="0" t="0" r="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A8CA70" w14:textId="77777777" w:rsidR="00E761F8" w:rsidRPr="00E761F8" w:rsidRDefault="00E761F8" w:rsidP="004B24BE">
      <w:pPr>
        <w:spacing w:after="120" w:line="240" w:lineRule="auto"/>
        <w:rPr>
          <w:b/>
          <w:bCs/>
          <w:sz w:val="21"/>
          <w:szCs w:val="21"/>
        </w:rPr>
      </w:pPr>
      <w:r w:rsidRPr="00E761F8">
        <w:rPr>
          <w:b/>
          <w:bCs/>
          <w:sz w:val="21"/>
          <w:szCs w:val="21"/>
        </w:rPr>
        <w:t>Figure 7.2: Hedonic indexes of house transactional price for whole of VIC, Greater Melbourne, Regional VIC, Greater Geelong, and the three focal suburbs, from January 2015–October 2020</w:t>
      </w:r>
    </w:p>
    <w:p w14:paraId="679D65D0" w14:textId="77777777" w:rsidR="00E761F8" w:rsidRPr="00E761F8" w:rsidRDefault="00E761F8" w:rsidP="00E761F8">
      <w:pPr>
        <w:spacing w:after="0" w:line="360" w:lineRule="auto"/>
        <w:jc w:val="both"/>
        <w:rPr>
          <w:rFonts w:asciiTheme="majorHAnsi" w:hAnsiTheme="majorHAnsi" w:cstheme="majorHAnsi"/>
          <w:sz w:val="23"/>
          <w:szCs w:val="23"/>
        </w:rPr>
      </w:pPr>
      <w:r w:rsidRPr="00E91887">
        <w:rPr>
          <w:noProof/>
          <w:shd w:val="clear" w:color="auto" w:fill="E6E6E6"/>
          <w:lang w:eastAsia="zh-CN"/>
        </w:rPr>
        <w:drawing>
          <wp:inline distT="0" distB="0" distL="0" distR="0" wp14:anchorId="10379EE3" wp14:editId="40D71C11">
            <wp:extent cx="5943600" cy="3175000"/>
            <wp:effectExtent l="0" t="0" r="0" b="635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57BC19" w14:textId="77777777" w:rsidR="00E761F8" w:rsidRPr="00E761F8" w:rsidRDefault="00E761F8" w:rsidP="00E761F8">
      <w:pPr>
        <w:spacing w:after="0" w:line="240" w:lineRule="auto"/>
        <w:rPr>
          <w:b/>
          <w:bCs/>
          <w:sz w:val="21"/>
          <w:szCs w:val="21"/>
        </w:rPr>
      </w:pPr>
      <w:r w:rsidRPr="00E761F8">
        <w:rPr>
          <w:b/>
          <w:bCs/>
          <w:sz w:val="21"/>
          <w:szCs w:val="21"/>
        </w:rPr>
        <w:t>Figure 7.3: Hedonic indexes of house rental price for the whole of VIC, Greater Melbourne, Regional VIC, Greater Geelong, and the three focal suburbs, from January 2015–October 2020</w:t>
      </w:r>
    </w:p>
    <w:p w14:paraId="6CD7D542" w14:textId="77777777" w:rsidR="00E761F8" w:rsidRPr="00E761F8" w:rsidRDefault="00E761F8" w:rsidP="00E761F8">
      <w:pPr>
        <w:spacing w:after="0" w:line="240" w:lineRule="auto"/>
        <w:rPr>
          <w:rFonts w:cstheme="minorHAnsi"/>
          <w:b/>
          <w:bCs/>
          <w:iCs/>
          <w:sz w:val="21"/>
          <w:szCs w:val="21"/>
        </w:rPr>
      </w:pPr>
    </w:p>
    <w:p w14:paraId="2F1D3E70" w14:textId="77777777" w:rsidR="00E761F8" w:rsidRPr="00E761F8" w:rsidRDefault="00E761F8" w:rsidP="00E761F8">
      <w:pPr>
        <w:spacing w:after="0" w:line="360" w:lineRule="auto"/>
        <w:jc w:val="both"/>
        <w:rPr>
          <w:rFonts w:asciiTheme="majorHAnsi" w:hAnsiTheme="majorHAnsi" w:cstheme="majorHAnsi"/>
          <w:sz w:val="23"/>
          <w:szCs w:val="23"/>
        </w:rPr>
      </w:pPr>
      <w:r w:rsidRPr="00E91887">
        <w:rPr>
          <w:noProof/>
          <w:shd w:val="clear" w:color="auto" w:fill="E6E6E6"/>
          <w:lang w:eastAsia="zh-CN"/>
        </w:rPr>
        <w:lastRenderedPageBreak/>
        <w:drawing>
          <wp:inline distT="0" distB="0" distL="0" distR="0" wp14:anchorId="175C9B75" wp14:editId="56C4A4D4">
            <wp:extent cx="5943600" cy="3257550"/>
            <wp:effectExtent l="0" t="0" r="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F1131A" w14:textId="77777777" w:rsidR="00E761F8" w:rsidRPr="00E761F8" w:rsidRDefault="00E761F8" w:rsidP="004B24BE">
      <w:pPr>
        <w:spacing w:after="240" w:line="240" w:lineRule="auto"/>
        <w:jc w:val="both"/>
        <w:rPr>
          <w:b/>
          <w:bCs/>
          <w:sz w:val="21"/>
          <w:szCs w:val="21"/>
        </w:rPr>
      </w:pPr>
      <w:r w:rsidRPr="00E761F8">
        <w:rPr>
          <w:b/>
          <w:bCs/>
          <w:sz w:val="21"/>
          <w:szCs w:val="21"/>
        </w:rPr>
        <w:t>Figure 7.4: Hedonic indexes of unit transactional price for the whole of VIC, Greater Melbourne, Regional VIC, Greater Geelong, and the three focal suburbs, from January 2015–October 2020</w:t>
      </w:r>
    </w:p>
    <w:p w14:paraId="40341A61" w14:textId="77777777" w:rsidR="00E761F8" w:rsidRPr="00E761F8" w:rsidRDefault="00E761F8" w:rsidP="00E761F8">
      <w:pPr>
        <w:spacing w:after="0" w:line="240" w:lineRule="auto"/>
        <w:jc w:val="both"/>
        <w:rPr>
          <w:rFonts w:asciiTheme="majorHAnsi" w:hAnsiTheme="majorHAnsi" w:cstheme="majorHAnsi"/>
          <w:sz w:val="23"/>
          <w:szCs w:val="23"/>
        </w:rPr>
      </w:pPr>
      <w:r w:rsidRPr="00E91887">
        <w:rPr>
          <w:noProof/>
          <w:shd w:val="clear" w:color="auto" w:fill="E6E6E6"/>
          <w:lang w:eastAsia="zh-CN"/>
        </w:rPr>
        <w:drawing>
          <wp:inline distT="0" distB="0" distL="0" distR="0" wp14:anchorId="50F4443D" wp14:editId="45EAAF3A">
            <wp:extent cx="5886450" cy="3594100"/>
            <wp:effectExtent l="0" t="0" r="0" b="635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A93953" w14:textId="77777777" w:rsidR="00E761F8" w:rsidRDefault="00E761F8" w:rsidP="004B24BE">
      <w:pPr>
        <w:spacing w:after="240" w:line="240" w:lineRule="auto"/>
        <w:rPr>
          <w:rFonts w:asciiTheme="majorHAnsi" w:hAnsiTheme="majorHAnsi" w:cstheme="majorHAnsi"/>
          <w:sz w:val="23"/>
          <w:szCs w:val="23"/>
        </w:rPr>
      </w:pPr>
      <w:r w:rsidRPr="00E761F8">
        <w:rPr>
          <w:b/>
          <w:bCs/>
          <w:sz w:val="21"/>
          <w:szCs w:val="21"/>
        </w:rPr>
        <w:t>Figure 7.5: Hedonic indexes of unit rental price for the whole of VIC, Greater Melbourne, Regional VIC, Greater Geelong, and the three focal suburbs, from January 2015–October 2020</w:t>
      </w:r>
    </w:p>
    <w:p w14:paraId="270D6F26" w14:textId="4DD1663F" w:rsidR="00E761F8" w:rsidRDefault="00E761F8" w:rsidP="004B24BE">
      <w:pPr>
        <w:spacing w:after="120" w:line="240" w:lineRule="auto"/>
        <w:rPr>
          <w:rFonts w:asciiTheme="majorHAnsi" w:hAnsiTheme="majorHAnsi" w:cstheme="majorHAnsi"/>
          <w:sz w:val="23"/>
          <w:szCs w:val="23"/>
        </w:rPr>
      </w:pPr>
      <w:r w:rsidRPr="00E761F8">
        <w:rPr>
          <w:rFonts w:asciiTheme="majorHAnsi" w:hAnsiTheme="majorHAnsi" w:cstheme="majorHAnsi"/>
          <w:sz w:val="23"/>
          <w:szCs w:val="23"/>
        </w:rPr>
        <w:t xml:space="preserve">The data presented above confirms that Corio, Norlane, and Whittington have relatively affordable housing compared to Greater Geelong, Melbourne, and Victoria. However, our analysis also reveals significant increases in the costs of dwellings within these focal suburbs in recent years, both for houses and units. In particular, there was a significant rise in the numbers and prices of rental units sold in the three areas, along with increases in house prices well above those registered for the City of Geelong and across Victoria. This raises the urgent question of </w:t>
      </w:r>
      <w:r w:rsidRPr="00E761F8">
        <w:rPr>
          <w:rFonts w:asciiTheme="majorHAnsi" w:hAnsiTheme="majorHAnsi" w:cstheme="majorHAnsi"/>
          <w:sz w:val="23"/>
          <w:szCs w:val="23"/>
        </w:rPr>
        <w:lastRenderedPageBreak/>
        <w:t>housing affordability in the three focal suburbs: whether it will continue to decline, by how much, and how this will impact local rates of housing stress.</w:t>
      </w:r>
    </w:p>
    <w:p w14:paraId="496DD6A0" w14:textId="77777777" w:rsidR="00E761F8" w:rsidRPr="00E761F8" w:rsidRDefault="00E761F8" w:rsidP="004B24BE">
      <w:pPr>
        <w:spacing w:after="120" w:line="276" w:lineRule="auto"/>
        <w:rPr>
          <w:rFonts w:asciiTheme="majorHAnsi" w:hAnsiTheme="majorHAnsi" w:cstheme="majorBidi"/>
          <w:sz w:val="23"/>
          <w:szCs w:val="23"/>
        </w:rPr>
      </w:pPr>
      <w:r w:rsidRPr="00E761F8">
        <w:rPr>
          <w:rFonts w:asciiTheme="majorHAnsi" w:hAnsiTheme="majorHAnsi" w:cstheme="majorBidi"/>
          <w:sz w:val="23"/>
          <w:szCs w:val="23"/>
        </w:rPr>
        <w:t>“Housing stress” is defined by households in prescribed income brackets spending more than 30 percent of their gross income on either rent or mortgage payments. In 2016 there were 91,802 households in the City of Greater Geelong, 8618 of these households were in rental housing stress (41 percent of a total 24,377 renters), and 322 were in mortgage stress.</w:t>
      </w:r>
      <w:r>
        <w:rPr>
          <w:rStyle w:val="FootnoteReference"/>
          <w:rFonts w:asciiTheme="majorHAnsi" w:hAnsiTheme="majorHAnsi" w:cstheme="majorBidi"/>
          <w:sz w:val="23"/>
          <w:szCs w:val="23"/>
        </w:rPr>
        <w:footnoteReference w:id="1"/>
      </w:r>
      <w:r w:rsidRPr="00E761F8">
        <w:rPr>
          <w:rFonts w:asciiTheme="majorHAnsi" w:hAnsiTheme="majorHAnsi" w:cstheme="majorBidi"/>
          <w:sz w:val="23"/>
          <w:szCs w:val="23"/>
        </w:rPr>
        <w:t xml:space="preserve"> Table 7.9 (below) shows data on households experiencing rental stress in several Geelong localities in 2020, while Table 7.10 (below) provides comparable local data for mortgage stress. This data reveals a significant issue of rental stress in the localities of focus, and a smaller but nonetheless significant incidence of mortgage stress. Figure 7.6 (below) reinforces this picture of localised rental stress, particularly in Corio–Norlane.</w:t>
      </w:r>
    </w:p>
    <w:tbl>
      <w:tblPr>
        <w:tblStyle w:val="TableGrid"/>
        <w:tblW w:w="0" w:type="auto"/>
        <w:tblLook w:val="04A0" w:firstRow="1" w:lastRow="0" w:firstColumn="1" w:lastColumn="0" w:noHBand="0" w:noVBand="1"/>
      </w:tblPr>
      <w:tblGrid>
        <w:gridCol w:w="2801"/>
        <w:gridCol w:w="3049"/>
        <w:gridCol w:w="3166"/>
      </w:tblGrid>
      <w:tr w:rsidR="00E761F8" w:rsidRPr="003B1129" w14:paraId="7DFC48C4" w14:textId="77777777" w:rsidTr="004B24BE">
        <w:tc>
          <w:tcPr>
            <w:tcW w:w="2801" w:type="dxa"/>
            <w:shd w:val="clear" w:color="auto" w:fill="D0CECE" w:themeFill="background2" w:themeFillShade="E6"/>
            <w:vAlign w:val="center"/>
          </w:tcPr>
          <w:p w14:paraId="5924EB1F" w14:textId="77777777" w:rsidR="00E761F8" w:rsidRPr="00E761F8" w:rsidRDefault="00E761F8" w:rsidP="00E761F8">
            <w:pPr>
              <w:spacing w:line="276" w:lineRule="auto"/>
              <w:rPr>
                <w:rFonts w:cstheme="minorHAnsi"/>
                <w:b/>
                <w:bCs/>
                <w:sz w:val="21"/>
                <w:szCs w:val="21"/>
              </w:rPr>
            </w:pPr>
            <w:bookmarkStart w:id="8" w:name="_Hlk71039991"/>
            <w:r w:rsidRPr="00E761F8">
              <w:rPr>
                <w:rFonts w:cstheme="minorHAnsi"/>
                <w:b/>
                <w:bCs/>
                <w:sz w:val="21"/>
                <w:szCs w:val="21"/>
              </w:rPr>
              <w:t>Locality</w:t>
            </w:r>
          </w:p>
        </w:tc>
        <w:tc>
          <w:tcPr>
            <w:tcW w:w="3049" w:type="dxa"/>
            <w:shd w:val="clear" w:color="auto" w:fill="D0CECE" w:themeFill="background2" w:themeFillShade="E6"/>
            <w:vAlign w:val="center"/>
          </w:tcPr>
          <w:p w14:paraId="785CF720" w14:textId="77777777" w:rsidR="00E761F8" w:rsidRPr="00E761F8" w:rsidRDefault="00E761F8" w:rsidP="00E761F8">
            <w:pPr>
              <w:spacing w:line="276" w:lineRule="auto"/>
              <w:rPr>
                <w:rFonts w:cstheme="minorHAnsi"/>
                <w:b/>
                <w:bCs/>
                <w:sz w:val="21"/>
                <w:szCs w:val="21"/>
              </w:rPr>
            </w:pPr>
            <w:r w:rsidRPr="00E761F8">
              <w:rPr>
                <w:rFonts w:cstheme="minorHAnsi"/>
                <w:b/>
                <w:bCs/>
                <w:sz w:val="21"/>
                <w:szCs w:val="21"/>
              </w:rPr>
              <w:t>Households in Rental Stress (%)</w:t>
            </w:r>
          </w:p>
        </w:tc>
        <w:tc>
          <w:tcPr>
            <w:tcW w:w="3166" w:type="dxa"/>
            <w:shd w:val="clear" w:color="auto" w:fill="D0CECE" w:themeFill="background2" w:themeFillShade="E6"/>
            <w:vAlign w:val="center"/>
          </w:tcPr>
          <w:p w14:paraId="218171ED" w14:textId="77777777" w:rsidR="00E761F8" w:rsidRPr="00E761F8" w:rsidRDefault="00E761F8" w:rsidP="00E761F8">
            <w:pPr>
              <w:spacing w:line="276" w:lineRule="auto"/>
              <w:rPr>
                <w:rFonts w:cstheme="minorHAnsi"/>
                <w:b/>
                <w:bCs/>
                <w:sz w:val="21"/>
                <w:szCs w:val="21"/>
              </w:rPr>
            </w:pPr>
            <w:r w:rsidRPr="00E761F8">
              <w:rPr>
                <w:rFonts w:cstheme="minorHAnsi"/>
                <w:b/>
                <w:bCs/>
                <w:sz w:val="21"/>
                <w:szCs w:val="21"/>
              </w:rPr>
              <w:t>Households in Rental Stress (#)</w:t>
            </w:r>
          </w:p>
        </w:tc>
      </w:tr>
      <w:tr w:rsidR="00E761F8" w:rsidRPr="003B1129" w14:paraId="6E7B6027" w14:textId="77777777" w:rsidTr="004B24BE">
        <w:tc>
          <w:tcPr>
            <w:tcW w:w="2801" w:type="dxa"/>
            <w:vAlign w:val="center"/>
          </w:tcPr>
          <w:p w14:paraId="528085D5"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Portarlington</w:t>
            </w:r>
          </w:p>
        </w:tc>
        <w:tc>
          <w:tcPr>
            <w:tcW w:w="3049" w:type="dxa"/>
            <w:vAlign w:val="center"/>
          </w:tcPr>
          <w:p w14:paraId="279B1552"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 xml:space="preserve">45.4      </w:t>
            </w:r>
          </w:p>
        </w:tc>
        <w:tc>
          <w:tcPr>
            <w:tcW w:w="3166" w:type="dxa"/>
            <w:vAlign w:val="center"/>
          </w:tcPr>
          <w:p w14:paraId="038DB592"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325</w:t>
            </w:r>
          </w:p>
        </w:tc>
      </w:tr>
      <w:tr w:rsidR="00E761F8" w:rsidRPr="003B1129" w14:paraId="7224B1DC" w14:textId="77777777" w:rsidTr="004B24BE">
        <w:tc>
          <w:tcPr>
            <w:tcW w:w="2801" w:type="dxa"/>
            <w:vAlign w:val="center"/>
          </w:tcPr>
          <w:p w14:paraId="0E24A844"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Newcomb-Moolap</w:t>
            </w:r>
          </w:p>
        </w:tc>
        <w:tc>
          <w:tcPr>
            <w:tcW w:w="3049" w:type="dxa"/>
            <w:vAlign w:val="center"/>
          </w:tcPr>
          <w:p w14:paraId="2F57E1FD"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43.1</w:t>
            </w:r>
          </w:p>
        </w:tc>
        <w:tc>
          <w:tcPr>
            <w:tcW w:w="3166" w:type="dxa"/>
            <w:vAlign w:val="center"/>
          </w:tcPr>
          <w:p w14:paraId="598583F8"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559</w:t>
            </w:r>
          </w:p>
        </w:tc>
      </w:tr>
      <w:tr w:rsidR="00E761F8" w:rsidRPr="003B1129" w14:paraId="342E63BC" w14:textId="77777777" w:rsidTr="004B24BE">
        <w:tc>
          <w:tcPr>
            <w:tcW w:w="2801" w:type="dxa"/>
            <w:vAlign w:val="center"/>
          </w:tcPr>
          <w:p w14:paraId="04C82CED"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Corio-Norlane</w:t>
            </w:r>
          </w:p>
        </w:tc>
        <w:tc>
          <w:tcPr>
            <w:tcW w:w="3049" w:type="dxa"/>
            <w:vAlign w:val="center"/>
          </w:tcPr>
          <w:p w14:paraId="0E703813"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41.9</w:t>
            </w:r>
          </w:p>
        </w:tc>
        <w:tc>
          <w:tcPr>
            <w:tcW w:w="3166" w:type="dxa"/>
            <w:vAlign w:val="center"/>
          </w:tcPr>
          <w:p w14:paraId="0223D852"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1035</w:t>
            </w:r>
          </w:p>
        </w:tc>
      </w:tr>
      <w:tr w:rsidR="00E761F8" w:rsidRPr="003B1129" w14:paraId="4562470B" w14:textId="77777777" w:rsidTr="004B24BE">
        <w:tc>
          <w:tcPr>
            <w:tcW w:w="2801" w:type="dxa"/>
            <w:vAlign w:val="center"/>
          </w:tcPr>
          <w:p w14:paraId="72B4E1A3"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Highton</w:t>
            </w:r>
          </w:p>
        </w:tc>
        <w:tc>
          <w:tcPr>
            <w:tcW w:w="3049" w:type="dxa"/>
            <w:vAlign w:val="center"/>
          </w:tcPr>
          <w:p w14:paraId="20411FDB"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30.0</w:t>
            </w:r>
          </w:p>
        </w:tc>
        <w:tc>
          <w:tcPr>
            <w:tcW w:w="3166" w:type="dxa"/>
            <w:vAlign w:val="center"/>
          </w:tcPr>
          <w:p w14:paraId="7D6FCEED"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321</w:t>
            </w:r>
          </w:p>
        </w:tc>
      </w:tr>
      <w:tr w:rsidR="00E761F8" w:rsidRPr="003B1129" w14:paraId="5F356D22" w14:textId="77777777" w:rsidTr="004B24BE">
        <w:tc>
          <w:tcPr>
            <w:tcW w:w="2801" w:type="dxa"/>
            <w:vAlign w:val="center"/>
          </w:tcPr>
          <w:p w14:paraId="664C4F07"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Newtown</w:t>
            </w:r>
          </w:p>
        </w:tc>
        <w:tc>
          <w:tcPr>
            <w:tcW w:w="3049" w:type="dxa"/>
            <w:vAlign w:val="center"/>
          </w:tcPr>
          <w:p w14:paraId="1880BE2D"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27.4</w:t>
            </w:r>
          </w:p>
        </w:tc>
        <w:tc>
          <w:tcPr>
            <w:tcW w:w="3166" w:type="dxa"/>
            <w:vAlign w:val="center"/>
          </w:tcPr>
          <w:p w14:paraId="1E0C76C7"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258</w:t>
            </w:r>
          </w:p>
        </w:tc>
      </w:tr>
      <w:tr w:rsidR="00E761F8" w:rsidRPr="003B1129" w14:paraId="65B82EA7" w14:textId="77777777" w:rsidTr="004B24BE">
        <w:tc>
          <w:tcPr>
            <w:tcW w:w="2801" w:type="dxa"/>
            <w:vAlign w:val="center"/>
          </w:tcPr>
          <w:p w14:paraId="1FA89E13"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Geelong City</w:t>
            </w:r>
          </w:p>
        </w:tc>
        <w:tc>
          <w:tcPr>
            <w:tcW w:w="3049" w:type="dxa"/>
            <w:vAlign w:val="center"/>
          </w:tcPr>
          <w:p w14:paraId="22C507E2"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28.5</w:t>
            </w:r>
          </w:p>
        </w:tc>
        <w:tc>
          <w:tcPr>
            <w:tcW w:w="3166" w:type="dxa"/>
            <w:vAlign w:val="center"/>
          </w:tcPr>
          <w:p w14:paraId="7BCC3FCA"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491</w:t>
            </w:r>
          </w:p>
        </w:tc>
      </w:tr>
    </w:tbl>
    <w:bookmarkEnd w:id="8"/>
    <w:p w14:paraId="65E2A9B0" w14:textId="77777777" w:rsidR="00E761F8" w:rsidRPr="00E761F8" w:rsidRDefault="00E761F8" w:rsidP="004B24BE">
      <w:pPr>
        <w:spacing w:after="120" w:line="276" w:lineRule="auto"/>
        <w:rPr>
          <w:rFonts w:cstheme="minorHAnsi"/>
          <w:noProof/>
          <w:sz w:val="21"/>
          <w:szCs w:val="21"/>
        </w:rPr>
      </w:pPr>
      <w:r w:rsidRPr="00E761F8">
        <w:rPr>
          <w:rFonts w:cstheme="minorHAnsi"/>
          <w:b/>
          <w:bCs/>
          <w:sz w:val="21"/>
          <w:szCs w:val="21"/>
        </w:rPr>
        <w:t xml:space="preserve">Table 7.9: Households in Rental Stress, Geelong Region, 2020 </w:t>
      </w:r>
      <w:r w:rsidRPr="00E761F8">
        <w:rPr>
          <w:rFonts w:cstheme="minorHAnsi"/>
          <w:b/>
          <w:bCs/>
          <w:noProof/>
          <w:sz w:val="21"/>
          <w:szCs w:val="21"/>
        </w:rPr>
        <w:t>(Source: .id consulting pty ltd, 2021)</w:t>
      </w:r>
    </w:p>
    <w:tbl>
      <w:tblPr>
        <w:tblStyle w:val="TableGrid"/>
        <w:tblW w:w="0" w:type="auto"/>
        <w:tblLook w:val="04A0" w:firstRow="1" w:lastRow="0" w:firstColumn="1" w:lastColumn="0" w:noHBand="0" w:noVBand="1"/>
      </w:tblPr>
      <w:tblGrid>
        <w:gridCol w:w="2787"/>
        <w:gridCol w:w="3056"/>
        <w:gridCol w:w="3173"/>
      </w:tblGrid>
      <w:tr w:rsidR="00E761F8" w:rsidRPr="00DD31C8" w14:paraId="4B47AB68" w14:textId="77777777" w:rsidTr="004B24BE">
        <w:tc>
          <w:tcPr>
            <w:tcW w:w="2787" w:type="dxa"/>
            <w:shd w:val="clear" w:color="auto" w:fill="D0CECE" w:themeFill="background2" w:themeFillShade="E6"/>
            <w:vAlign w:val="center"/>
          </w:tcPr>
          <w:p w14:paraId="394296F4" w14:textId="77777777" w:rsidR="00E761F8" w:rsidRPr="00E761F8" w:rsidRDefault="00E761F8" w:rsidP="00E761F8">
            <w:pPr>
              <w:spacing w:line="276" w:lineRule="auto"/>
              <w:rPr>
                <w:rFonts w:cstheme="minorHAnsi"/>
                <w:b/>
                <w:bCs/>
                <w:sz w:val="21"/>
                <w:szCs w:val="21"/>
              </w:rPr>
            </w:pPr>
            <w:r w:rsidRPr="00E761F8">
              <w:rPr>
                <w:rFonts w:cstheme="minorHAnsi"/>
                <w:b/>
                <w:bCs/>
                <w:sz w:val="21"/>
                <w:szCs w:val="21"/>
              </w:rPr>
              <w:t>Locality</w:t>
            </w:r>
          </w:p>
        </w:tc>
        <w:tc>
          <w:tcPr>
            <w:tcW w:w="3056" w:type="dxa"/>
            <w:shd w:val="clear" w:color="auto" w:fill="D0CECE" w:themeFill="background2" w:themeFillShade="E6"/>
            <w:vAlign w:val="center"/>
          </w:tcPr>
          <w:p w14:paraId="4AA5F00C" w14:textId="77777777" w:rsidR="00E761F8" w:rsidRPr="00E761F8" w:rsidRDefault="00E761F8" w:rsidP="00E761F8">
            <w:pPr>
              <w:spacing w:line="276" w:lineRule="auto"/>
              <w:rPr>
                <w:rFonts w:cstheme="minorHAnsi"/>
                <w:b/>
                <w:bCs/>
                <w:sz w:val="21"/>
                <w:szCs w:val="21"/>
              </w:rPr>
            </w:pPr>
            <w:r w:rsidRPr="00E761F8">
              <w:rPr>
                <w:rFonts w:cstheme="minorHAnsi"/>
                <w:b/>
                <w:bCs/>
                <w:sz w:val="21"/>
                <w:szCs w:val="21"/>
              </w:rPr>
              <w:t>Households in Mortgage Stress (%)</w:t>
            </w:r>
          </w:p>
        </w:tc>
        <w:tc>
          <w:tcPr>
            <w:tcW w:w="3173" w:type="dxa"/>
            <w:shd w:val="clear" w:color="auto" w:fill="D0CECE" w:themeFill="background2" w:themeFillShade="E6"/>
            <w:vAlign w:val="center"/>
          </w:tcPr>
          <w:p w14:paraId="5AF6DB4B" w14:textId="77777777" w:rsidR="00E761F8" w:rsidRPr="00E761F8" w:rsidRDefault="00E761F8" w:rsidP="00E761F8">
            <w:pPr>
              <w:spacing w:line="276" w:lineRule="auto"/>
              <w:rPr>
                <w:rFonts w:cstheme="minorHAnsi"/>
                <w:b/>
                <w:bCs/>
                <w:sz w:val="21"/>
                <w:szCs w:val="21"/>
              </w:rPr>
            </w:pPr>
            <w:r w:rsidRPr="00E761F8">
              <w:rPr>
                <w:rFonts w:cstheme="minorHAnsi"/>
                <w:b/>
                <w:bCs/>
                <w:sz w:val="21"/>
                <w:szCs w:val="21"/>
              </w:rPr>
              <w:t>Households in Mortgage Stress (#)</w:t>
            </w:r>
          </w:p>
        </w:tc>
      </w:tr>
      <w:tr w:rsidR="00E761F8" w:rsidRPr="00DD31C8" w14:paraId="1E017BDC" w14:textId="77777777" w:rsidTr="004B24BE">
        <w:tc>
          <w:tcPr>
            <w:tcW w:w="2787" w:type="dxa"/>
            <w:vAlign w:val="center"/>
          </w:tcPr>
          <w:p w14:paraId="1787827C"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Corio-Norlane</w:t>
            </w:r>
            <w:r w:rsidRPr="00E761F8">
              <w:rPr>
                <w:rFonts w:asciiTheme="majorHAnsi" w:hAnsiTheme="majorHAnsi" w:cstheme="majorHAnsi"/>
                <w:sz w:val="21"/>
                <w:szCs w:val="21"/>
              </w:rPr>
              <w:tab/>
            </w:r>
          </w:p>
        </w:tc>
        <w:tc>
          <w:tcPr>
            <w:tcW w:w="3056" w:type="dxa"/>
            <w:vAlign w:val="center"/>
          </w:tcPr>
          <w:p w14:paraId="44A59062"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15.2</w:t>
            </w:r>
          </w:p>
        </w:tc>
        <w:tc>
          <w:tcPr>
            <w:tcW w:w="3173" w:type="dxa"/>
            <w:vAlign w:val="center"/>
          </w:tcPr>
          <w:p w14:paraId="1EA0E86E"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395</w:t>
            </w:r>
          </w:p>
        </w:tc>
      </w:tr>
      <w:tr w:rsidR="00E761F8" w:rsidRPr="00DD31C8" w14:paraId="63A683E7" w14:textId="77777777" w:rsidTr="004B24BE">
        <w:tc>
          <w:tcPr>
            <w:tcW w:w="2787" w:type="dxa"/>
            <w:vAlign w:val="center"/>
          </w:tcPr>
          <w:p w14:paraId="39F96DBB"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Newcomb-Moolap</w:t>
            </w:r>
          </w:p>
        </w:tc>
        <w:tc>
          <w:tcPr>
            <w:tcW w:w="3056" w:type="dxa"/>
            <w:vAlign w:val="center"/>
          </w:tcPr>
          <w:p w14:paraId="30F36B5D"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13.9</w:t>
            </w:r>
          </w:p>
        </w:tc>
        <w:tc>
          <w:tcPr>
            <w:tcW w:w="3173" w:type="dxa"/>
            <w:vAlign w:val="center"/>
          </w:tcPr>
          <w:p w14:paraId="056A8CC1"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256</w:t>
            </w:r>
          </w:p>
        </w:tc>
      </w:tr>
      <w:tr w:rsidR="00E761F8" w:rsidRPr="00DD31C8" w14:paraId="3D165802" w14:textId="77777777" w:rsidTr="004B24BE">
        <w:tc>
          <w:tcPr>
            <w:tcW w:w="2787" w:type="dxa"/>
            <w:vAlign w:val="center"/>
          </w:tcPr>
          <w:p w14:paraId="061F332D"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Highton</w:t>
            </w:r>
          </w:p>
        </w:tc>
        <w:tc>
          <w:tcPr>
            <w:tcW w:w="3056" w:type="dxa"/>
            <w:vAlign w:val="center"/>
          </w:tcPr>
          <w:p w14:paraId="75FAFB4B"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7.3</w:t>
            </w:r>
          </w:p>
        </w:tc>
        <w:tc>
          <w:tcPr>
            <w:tcW w:w="3173" w:type="dxa"/>
            <w:vAlign w:val="center"/>
          </w:tcPr>
          <w:p w14:paraId="3887640F"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210</w:t>
            </w:r>
          </w:p>
        </w:tc>
      </w:tr>
      <w:tr w:rsidR="00E761F8" w:rsidRPr="00DD31C8" w14:paraId="696D6151" w14:textId="77777777" w:rsidTr="004B24BE">
        <w:tc>
          <w:tcPr>
            <w:tcW w:w="2787" w:type="dxa"/>
            <w:vAlign w:val="center"/>
          </w:tcPr>
          <w:p w14:paraId="1D3B2649"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Newtown</w:t>
            </w:r>
          </w:p>
        </w:tc>
        <w:tc>
          <w:tcPr>
            <w:tcW w:w="3056" w:type="dxa"/>
            <w:vAlign w:val="center"/>
          </w:tcPr>
          <w:p w14:paraId="01388508"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5.5</w:t>
            </w:r>
          </w:p>
        </w:tc>
        <w:tc>
          <w:tcPr>
            <w:tcW w:w="3173" w:type="dxa"/>
            <w:vAlign w:val="center"/>
          </w:tcPr>
          <w:p w14:paraId="70543475" w14:textId="77777777" w:rsidR="00E761F8" w:rsidRPr="00E761F8" w:rsidRDefault="00E761F8" w:rsidP="00E761F8">
            <w:pPr>
              <w:spacing w:line="276" w:lineRule="auto"/>
              <w:rPr>
                <w:rFonts w:asciiTheme="majorHAnsi" w:hAnsiTheme="majorHAnsi" w:cstheme="majorHAnsi"/>
                <w:sz w:val="21"/>
                <w:szCs w:val="21"/>
              </w:rPr>
            </w:pPr>
            <w:r w:rsidRPr="00E761F8">
              <w:rPr>
                <w:rFonts w:asciiTheme="majorHAnsi" w:hAnsiTheme="majorHAnsi" w:cstheme="majorHAnsi"/>
                <w:sz w:val="21"/>
                <w:szCs w:val="21"/>
              </w:rPr>
              <w:t>67</w:t>
            </w:r>
          </w:p>
        </w:tc>
      </w:tr>
    </w:tbl>
    <w:p w14:paraId="243B4CB3" w14:textId="77777777" w:rsidR="00E761F8" w:rsidRPr="00E761F8" w:rsidRDefault="00E761F8" w:rsidP="00E761F8">
      <w:pPr>
        <w:spacing w:line="276" w:lineRule="auto"/>
        <w:rPr>
          <w:rFonts w:cstheme="minorHAnsi"/>
          <w:b/>
          <w:bCs/>
          <w:sz w:val="21"/>
          <w:szCs w:val="21"/>
        </w:rPr>
      </w:pPr>
      <w:r w:rsidRPr="00E761F8">
        <w:rPr>
          <w:rFonts w:cstheme="minorHAnsi"/>
          <w:b/>
          <w:bCs/>
          <w:sz w:val="21"/>
          <w:szCs w:val="21"/>
        </w:rPr>
        <w:t xml:space="preserve">Table 7.10: Households in Mortgage Stress, Geelong Region, 2020 </w:t>
      </w:r>
      <w:r w:rsidRPr="00E761F8">
        <w:rPr>
          <w:rFonts w:cstheme="minorHAnsi"/>
          <w:b/>
          <w:bCs/>
          <w:noProof/>
          <w:sz w:val="21"/>
          <w:szCs w:val="21"/>
        </w:rPr>
        <w:t>(Source: .id consulting pty ltd, 2021)</w:t>
      </w:r>
    </w:p>
    <w:p w14:paraId="17935AA1" w14:textId="77777777" w:rsidR="004B24BE" w:rsidRDefault="004B24BE">
      <w:pPr>
        <w:rPr>
          <w:rFonts w:asciiTheme="majorHAnsi" w:hAnsiTheme="majorHAnsi" w:cstheme="majorBidi"/>
          <w:sz w:val="23"/>
          <w:szCs w:val="23"/>
        </w:rPr>
      </w:pPr>
      <w:r>
        <w:rPr>
          <w:rFonts w:asciiTheme="majorHAnsi" w:hAnsiTheme="majorHAnsi" w:cstheme="majorBidi"/>
          <w:sz w:val="23"/>
          <w:szCs w:val="23"/>
        </w:rPr>
        <w:br w:type="page"/>
      </w:r>
    </w:p>
    <w:p w14:paraId="607BE342" w14:textId="6B6EDFFA" w:rsidR="0010453D" w:rsidRDefault="00E761F8" w:rsidP="00E761F8">
      <w:pPr>
        <w:spacing w:line="276" w:lineRule="auto"/>
        <w:rPr>
          <w:rFonts w:asciiTheme="majorHAnsi" w:hAnsiTheme="majorHAnsi" w:cstheme="majorBidi"/>
          <w:sz w:val="23"/>
          <w:szCs w:val="23"/>
        </w:rPr>
      </w:pPr>
      <w:r w:rsidRPr="00E761F8">
        <w:rPr>
          <w:rFonts w:asciiTheme="majorHAnsi" w:hAnsiTheme="majorHAnsi" w:cstheme="majorBidi"/>
          <w:sz w:val="23"/>
          <w:szCs w:val="23"/>
        </w:rPr>
        <w:lastRenderedPageBreak/>
        <w:t xml:space="preserve">Over the 12 months to June 2020, only 0.4 percent of all rental listings in the City of Greater Geelong would have been affordable to a household on a “very low income”. However, people on a “low income” can more readily afford to rent a unit or house in Corio, Norlane, or Newcomb-Moolap. These more affordable areas provide a vital housing option for people on low incomes in the City of Greater Geelong. However, the significant numbers of local households already under housing stress underlines the need to investigate this issue further and develop targeted actions. If current trends continue, rates of housing stress and homelessness in Corio, </w:t>
      </w:r>
      <w:r w:rsidR="0010453D">
        <w:rPr>
          <w:rFonts w:asciiTheme="majorHAnsi" w:hAnsiTheme="majorHAnsi" w:cstheme="majorBidi"/>
          <w:sz w:val="23"/>
          <w:szCs w:val="23"/>
        </w:rPr>
        <w:t>N</w:t>
      </w:r>
      <w:r w:rsidRPr="00E761F8">
        <w:rPr>
          <w:rFonts w:asciiTheme="majorHAnsi" w:hAnsiTheme="majorHAnsi" w:cstheme="majorBidi"/>
          <w:sz w:val="23"/>
          <w:szCs w:val="23"/>
        </w:rPr>
        <w:t>orlane, and Whittington look almost certain to increase.</w:t>
      </w:r>
    </w:p>
    <w:p w14:paraId="46BF415E" w14:textId="0F057C3D" w:rsidR="00E761F8" w:rsidRPr="00E91887" w:rsidRDefault="00E761F8" w:rsidP="00E761F8">
      <w:pPr>
        <w:spacing w:line="276" w:lineRule="auto"/>
      </w:pPr>
      <w:r w:rsidRPr="00E91887">
        <w:rPr>
          <w:rFonts w:asciiTheme="majorHAnsi" w:hAnsiTheme="majorHAnsi" w:cstheme="majorHAnsi"/>
          <w:noProof/>
          <w:color w:val="2B579A"/>
          <w:sz w:val="23"/>
          <w:szCs w:val="23"/>
          <w:shd w:val="clear" w:color="auto" w:fill="E6E6E6"/>
          <w:lang w:eastAsia="zh-CN"/>
        </w:rPr>
        <w:drawing>
          <wp:inline distT="0" distB="0" distL="0" distR="0" wp14:anchorId="57512075" wp14:editId="5E5700EB">
            <wp:extent cx="6057604" cy="4749800"/>
            <wp:effectExtent l="19050" t="19050" r="19685" b="12700"/>
            <wp:docPr id="45" name="Picture 45"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p&#10;&#10;Description automatically generated"/>
                    <pic:cNvPicPr/>
                  </pic:nvPicPr>
                  <pic:blipFill>
                    <a:blip r:embed="rId12" cstate="print">
                      <a:extLst>
                        <a:ext uri="{28A0092B-C50C-407E-A947-70E740481C1C}">
                          <a14:useLocalDpi xmlns:a14="http://schemas.microsoft.com/office/drawing/2010/main"/>
                        </a:ext>
                      </a:extLst>
                    </a:blip>
                    <a:stretch>
                      <a:fillRect/>
                    </a:stretch>
                  </pic:blipFill>
                  <pic:spPr>
                    <a:xfrm>
                      <a:off x="0" y="0"/>
                      <a:ext cx="6060517" cy="4752084"/>
                    </a:xfrm>
                    <a:prstGeom prst="rect">
                      <a:avLst/>
                    </a:prstGeom>
                    <a:ln w="3175">
                      <a:solidFill>
                        <a:schemeClr val="tx1"/>
                      </a:solidFill>
                    </a:ln>
                  </pic:spPr>
                </pic:pic>
              </a:graphicData>
            </a:graphic>
          </wp:inline>
        </w:drawing>
      </w:r>
      <w:r w:rsidRPr="00E761F8">
        <w:rPr>
          <w:sz w:val="12"/>
          <w:szCs w:val="12"/>
        </w:rPr>
        <w:t xml:space="preserve">       </w:t>
      </w:r>
    </w:p>
    <w:p w14:paraId="323B90CF" w14:textId="77777777" w:rsidR="00E761F8" w:rsidRPr="00E761F8" w:rsidRDefault="00E761F8" w:rsidP="00E761F8">
      <w:pPr>
        <w:spacing w:after="0" w:line="240" w:lineRule="auto"/>
        <w:rPr>
          <w:b/>
          <w:sz w:val="21"/>
          <w:szCs w:val="21"/>
        </w:rPr>
      </w:pPr>
      <w:r w:rsidRPr="00E761F8">
        <w:rPr>
          <w:b/>
          <w:bCs/>
          <w:sz w:val="21"/>
          <w:szCs w:val="21"/>
        </w:rPr>
        <w:t xml:space="preserve">Figure 7.6: </w:t>
      </w:r>
      <w:r w:rsidRPr="00E761F8">
        <w:rPr>
          <w:b/>
          <w:bCs/>
          <w:noProof/>
          <w:sz w:val="21"/>
          <w:szCs w:val="21"/>
        </w:rPr>
        <w:t>Proportion of</w:t>
      </w:r>
      <w:r w:rsidRPr="00E761F8">
        <w:rPr>
          <w:b/>
          <w:bCs/>
          <w:sz w:val="21"/>
          <w:szCs w:val="21"/>
        </w:rPr>
        <w:t xml:space="preserve"> Geelong Households in Each </w:t>
      </w:r>
      <w:r w:rsidRPr="00E761F8">
        <w:rPr>
          <w:b/>
          <w:bCs/>
          <w:noProof/>
          <w:sz w:val="21"/>
          <w:szCs w:val="21"/>
        </w:rPr>
        <w:t>SA2-Level Statistical</w:t>
      </w:r>
      <w:r w:rsidRPr="00E761F8">
        <w:rPr>
          <w:b/>
          <w:bCs/>
          <w:sz w:val="21"/>
          <w:szCs w:val="21"/>
        </w:rPr>
        <w:t xml:space="preserve"> Area </w:t>
      </w:r>
      <w:r w:rsidRPr="00E761F8">
        <w:rPr>
          <w:b/>
          <w:bCs/>
          <w:noProof/>
          <w:sz w:val="21"/>
          <w:szCs w:val="21"/>
        </w:rPr>
        <w:t xml:space="preserve">Where Rent Payments were Greater than or Equal to 30% of Household Income (Source: ABS, 2016) (Note: </w:t>
      </w:r>
      <w:r w:rsidRPr="00E761F8">
        <w:rPr>
          <w:rFonts w:ascii="Segoe UI" w:eastAsia="Segoe UI" w:hAnsi="Segoe UI" w:cs="Segoe UI"/>
          <w:b/>
          <w:sz w:val="18"/>
          <w:szCs w:val="18"/>
        </w:rPr>
        <w:t>C-N is Corio-Norlane</w:t>
      </w:r>
      <w:r w:rsidRPr="00E761F8">
        <w:rPr>
          <w:rFonts w:ascii="Segoe UI" w:eastAsia="Segoe UI" w:hAnsi="Segoe UI" w:cs="Segoe UI"/>
          <w:b/>
          <w:bCs/>
          <w:noProof/>
          <w:sz w:val="18"/>
          <w:szCs w:val="18"/>
        </w:rPr>
        <w:t>,</w:t>
      </w:r>
      <w:r w:rsidRPr="00E761F8">
        <w:rPr>
          <w:rFonts w:ascii="Segoe UI" w:eastAsia="Segoe UI" w:hAnsi="Segoe UI" w:cs="Segoe UI"/>
          <w:b/>
          <w:sz w:val="18"/>
          <w:szCs w:val="18"/>
        </w:rPr>
        <w:t xml:space="preserve"> and N-M is Newcomb-Moolap</w:t>
      </w:r>
      <w:r w:rsidRPr="00E761F8">
        <w:rPr>
          <w:rFonts w:ascii="Segoe UI" w:eastAsia="Segoe UI" w:hAnsi="Segoe UI" w:cs="Segoe UI"/>
          <w:b/>
          <w:bCs/>
          <w:noProof/>
          <w:sz w:val="18"/>
          <w:szCs w:val="18"/>
        </w:rPr>
        <w:t>, which</w:t>
      </w:r>
      <w:r w:rsidRPr="00E761F8">
        <w:rPr>
          <w:rFonts w:ascii="Segoe UI" w:eastAsia="Segoe UI" w:hAnsi="Segoe UI" w:cs="Segoe UI"/>
          <w:b/>
          <w:sz w:val="18"/>
          <w:szCs w:val="18"/>
        </w:rPr>
        <w:t xml:space="preserve"> takes in Whittington</w:t>
      </w:r>
      <w:r w:rsidRPr="00E761F8">
        <w:rPr>
          <w:b/>
          <w:bCs/>
          <w:noProof/>
          <w:sz w:val="21"/>
          <w:szCs w:val="21"/>
        </w:rPr>
        <w:t>)</w:t>
      </w:r>
    </w:p>
    <w:p w14:paraId="36BF0320" w14:textId="7E54E162" w:rsidR="00D2186C" w:rsidRPr="00A937D8" w:rsidRDefault="00D2186C" w:rsidP="00D2186C">
      <w:pPr>
        <w:pStyle w:val="ListParagraph"/>
        <w:numPr>
          <w:ilvl w:val="0"/>
          <w:numId w:val="2"/>
        </w:numPr>
        <w:spacing w:before="100" w:beforeAutospacing="1" w:after="0" w:line="276" w:lineRule="auto"/>
        <w:rPr>
          <w:b/>
          <w:color w:val="2F5496" w:themeColor="accent1" w:themeShade="BF"/>
          <w:sz w:val="25"/>
          <w:szCs w:val="25"/>
        </w:rPr>
      </w:pPr>
      <w:bookmarkStart w:id="9" w:name="_Ref106634693"/>
      <w:r w:rsidRPr="00A937D8">
        <w:rPr>
          <w:b/>
          <w:color w:val="2F5496" w:themeColor="accent1" w:themeShade="BF"/>
          <w:sz w:val="25"/>
          <w:szCs w:val="25"/>
        </w:rPr>
        <w:t>What are the determinants and factors that influence housing?</w:t>
      </w:r>
      <w:bookmarkEnd w:id="9"/>
    </w:p>
    <w:p w14:paraId="56419512" w14:textId="77777777" w:rsidR="00E761F8" w:rsidRPr="00BC19B6" w:rsidRDefault="00E761F8" w:rsidP="004B24BE">
      <w:pPr>
        <w:spacing w:after="120" w:line="276" w:lineRule="auto"/>
        <w:rPr>
          <w:rFonts w:asciiTheme="majorHAnsi" w:eastAsia="Times New Roman" w:hAnsiTheme="majorHAnsi" w:cstheme="majorHAnsi"/>
          <w:sz w:val="23"/>
          <w:szCs w:val="23"/>
          <w:lang w:eastAsia="en-GB"/>
        </w:rPr>
      </w:pPr>
      <w:r w:rsidRPr="00BC19B6">
        <w:rPr>
          <w:rFonts w:asciiTheme="majorHAnsi" w:eastAsia="Times New Roman" w:hAnsiTheme="majorHAnsi" w:cstheme="majorHAnsi"/>
          <w:sz w:val="23"/>
          <w:szCs w:val="23"/>
          <w:lang w:eastAsia="en-GB"/>
        </w:rPr>
        <w:t xml:space="preserve">There is a strong relationship between housing and disadvantage, </w:t>
      </w:r>
      <w:r>
        <w:rPr>
          <w:rFonts w:asciiTheme="majorHAnsi" w:eastAsia="Times New Roman" w:hAnsiTheme="majorHAnsi" w:cstheme="majorHAnsi"/>
          <w:sz w:val="23"/>
          <w:szCs w:val="23"/>
          <w:lang w:eastAsia="en-GB"/>
        </w:rPr>
        <w:t xml:space="preserve">largely </w:t>
      </w:r>
      <w:r w:rsidRPr="00BC19B6">
        <w:rPr>
          <w:rFonts w:asciiTheme="majorHAnsi" w:eastAsia="Times New Roman" w:hAnsiTheme="majorHAnsi" w:cstheme="majorHAnsi"/>
          <w:sz w:val="23"/>
          <w:szCs w:val="23"/>
          <w:lang w:eastAsia="en-GB"/>
        </w:rPr>
        <w:t xml:space="preserve">because housing is the largest fixed cost of most low-income households </w:t>
      </w:r>
      <w:r>
        <w:rPr>
          <w:rFonts w:asciiTheme="majorHAnsi" w:eastAsia="Times New Roman" w:hAnsiTheme="majorHAnsi" w:cstheme="majorHAnsi"/>
          <w:noProof/>
          <w:sz w:val="23"/>
          <w:szCs w:val="23"/>
          <w:lang w:eastAsia="en-GB"/>
        </w:rPr>
        <w:t>(Davidson et al., 2020b)</w:t>
      </w:r>
      <w:r>
        <w:rPr>
          <w:rFonts w:asciiTheme="majorHAnsi" w:eastAsia="Times New Roman" w:hAnsiTheme="majorHAnsi" w:cstheme="majorHAnsi"/>
          <w:sz w:val="23"/>
          <w:szCs w:val="23"/>
          <w:lang w:eastAsia="en-GB"/>
        </w:rPr>
        <w:t>. But</w:t>
      </w:r>
      <w:r w:rsidRPr="00BC19B6">
        <w:rPr>
          <w:rFonts w:asciiTheme="majorHAnsi" w:eastAsia="Times New Roman" w:hAnsiTheme="majorHAnsi" w:cstheme="majorHAnsi"/>
          <w:sz w:val="23"/>
          <w:szCs w:val="23"/>
          <w:lang w:eastAsia="en-GB"/>
        </w:rPr>
        <w:t xml:space="preserve"> the nature of that relationship is complex. In Australia, as in many Western nations, “access to safe, affordable and suitable housing is essential to the wellbeing of people and families and can help enhance equal opportunity and protect from homelessness risk” </w:t>
      </w:r>
      <w:r>
        <w:rPr>
          <w:rFonts w:asciiTheme="majorHAnsi" w:eastAsia="Times New Roman" w:hAnsiTheme="majorHAnsi" w:cstheme="majorHAnsi"/>
          <w:noProof/>
          <w:sz w:val="23"/>
          <w:szCs w:val="23"/>
          <w:lang w:eastAsia="en-GB"/>
        </w:rPr>
        <w:t>(Health &amp; Welfare, 2019, p. 50)</w:t>
      </w:r>
      <w:r w:rsidRPr="00BC19B6">
        <w:rPr>
          <w:rFonts w:asciiTheme="majorHAnsi" w:eastAsia="Times New Roman" w:hAnsiTheme="majorHAnsi" w:cstheme="majorHAnsi"/>
          <w:sz w:val="23"/>
          <w:szCs w:val="23"/>
          <w:lang w:eastAsia="en-GB"/>
        </w:rPr>
        <w:t xml:space="preserve">. </w:t>
      </w:r>
      <w:r>
        <w:rPr>
          <w:rFonts w:asciiTheme="majorHAnsi" w:eastAsia="Times New Roman" w:hAnsiTheme="majorHAnsi" w:cstheme="majorHAnsi"/>
          <w:sz w:val="23"/>
          <w:szCs w:val="23"/>
          <w:lang w:eastAsia="en-GB"/>
        </w:rPr>
        <w:t>Because</w:t>
      </w:r>
      <w:r w:rsidRPr="00BC19B6">
        <w:rPr>
          <w:rFonts w:asciiTheme="majorHAnsi" w:eastAsia="Times New Roman" w:hAnsiTheme="majorHAnsi" w:cstheme="majorHAnsi"/>
          <w:sz w:val="23"/>
          <w:szCs w:val="23"/>
          <w:lang w:eastAsia="en-GB"/>
        </w:rPr>
        <w:t xml:space="preserve"> access to good-quality, affordable housing is </w:t>
      </w:r>
      <w:r>
        <w:rPr>
          <w:rFonts w:asciiTheme="majorHAnsi" w:eastAsia="Times New Roman" w:hAnsiTheme="majorHAnsi" w:cstheme="majorHAnsi"/>
          <w:sz w:val="23"/>
          <w:szCs w:val="23"/>
          <w:lang w:eastAsia="en-GB"/>
        </w:rPr>
        <w:t xml:space="preserve">so </w:t>
      </w:r>
      <w:r w:rsidRPr="00BC19B6">
        <w:rPr>
          <w:rFonts w:asciiTheme="majorHAnsi" w:eastAsia="Times New Roman" w:hAnsiTheme="majorHAnsi" w:cstheme="majorHAnsi"/>
          <w:sz w:val="23"/>
          <w:szCs w:val="23"/>
          <w:lang w:eastAsia="en-GB"/>
        </w:rPr>
        <w:t>fundamental to wellbeing, housing has impacts on</w:t>
      </w:r>
      <w:r>
        <w:rPr>
          <w:rFonts w:asciiTheme="majorHAnsi" w:eastAsia="Times New Roman" w:hAnsiTheme="majorHAnsi" w:cstheme="majorHAnsi"/>
          <w:sz w:val="23"/>
          <w:szCs w:val="23"/>
          <w:lang w:eastAsia="en-GB"/>
        </w:rPr>
        <w:t>,</w:t>
      </w:r>
      <w:r w:rsidRPr="00BC19B6">
        <w:rPr>
          <w:rFonts w:asciiTheme="majorHAnsi" w:eastAsia="Times New Roman" w:hAnsiTheme="majorHAnsi" w:cstheme="majorHAnsi"/>
          <w:sz w:val="23"/>
          <w:szCs w:val="23"/>
          <w:lang w:eastAsia="en-GB"/>
        </w:rPr>
        <w:t xml:space="preserve"> and is impacted by</w:t>
      </w:r>
      <w:r>
        <w:rPr>
          <w:rFonts w:asciiTheme="majorHAnsi" w:eastAsia="Times New Roman" w:hAnsiTheme="majorHAnsi" w:cstheme="majorHAnsi"/>
          <w:sz w:val="23"/>
          <w:szCs w:val="23"/>
          <w:lang w:eastAsia="en-GB"/>
        </w:rPr>
        <w:t>,</w:t>
      </w:r>
      <w:r w:rsidRPr="00BC19B6">
        <w:rPr>
          <w:rFonts w:asciiTheme="majorHAnsi" w:eastAsia="Times New Roman" w:hAnsiTheme="majorHAnsi" w:cstheme="majorHAnsi"/>
          <w:sz w:val="23"/>
          <w:szCs w:val="23"/>
          <w:lang w:eastAsia="en-GB"/>
        </w:rPr>
        <w:t xml:space="preserve"> many other aspects of wellbeing, including </w:t>
      </w:r>
      <w:r>
        <w:rPr>
          <w:rFonts w:asciiTheme="majorHAnsi" w:eastAsia="Times New Roman" w:hAnsiTheme="majorHAnsi" w:cstheme="majorHAnsi"/>
          <w:sz w:val="23"/>
          <w:szCs w:val="23"/>
          <w:lang w:eastAsia="en-GB"/>
        </w:rPr>
        <w:t xml:space="preserve">health, </w:t>
      </w:r>
      <w:r w:rsidRPr="00BC19B6">
        <w:rPr>
          <w:rFonts w:asciiTheme="majorHAnsi" w:eastAsia="Times New Roman" w:hAnsiTheme="majorHAnsi" w:cstheme="majorHAnsi"/>
          <w:sz w:val="23"/>
          <w:szCs w:val="23"/>
          <w:lang w:eastAsia="en-GB"/>
        </w:rPr>
        <w:t xml:space="preserve">educations and skills, employment and work, income, social support, and justice and safety. </w:t>
      </w:r>
    </w:p>
    <w:p w14:paraId="0FEDFE0F" w14:textId="77777777" w:rsidR="00E761F8" w:rsidRPr="00BC19B6" w:rsidRDefault="00E761F8" w:rsidP="00E761F8">
      <w:pPr>
        <w:spacing w:after="0" w:line="276" w:lineRule="auto"/>
        <w:rPr>
          <w:rFonts w:asciiTheme="majorHAnsi" w:eastAsia="Times New Roman" w:hAnsiTheme="majorHAnsi" w:cstheme="majorHAnsi"/>
          <w:sz w:val="23"/>
          <w:szCs w:val="23"/>
          <w:lang w:eastAsia="en-GB"/>
        </w:rPr>
      </w:pPr>
      <w:r w:rsidRPr="00BC19B6">
        <w:rPr>
          <w:rFonts w:asciiTheme="majorHAnsi" w:eastAsia="Times New Roman" w:hAnsiTheme="majorHAnsi" w:cstheme="majorHAnsi"/>
          <w:sz w:val="23"/>
          <w:szCs w:val="23"/>
          <w:lang w:eastAsia="en-GB"/>
        </w:rPr>
        <w:lastRenderedPageBreak/>
        <w:t>Key issues for low-income households in Australia are affordability and housing stress, or what is measured as Housing Affordability Stress (HAS). HAS identifies households living with levels of income and housing costs according to the well-known 30/40 rule,</w:t>
      </w:r>
    </w:p>
    <w:p w14:paraId="5EF858C3" w14:textId="77777777" w:rsidR="00E761F8" w:rsidRPr="00A05031" w:rsidRDefault="00E761F8" w:rsidP="004B24BE">
      <w:pPr>
        <w:spacing w:before="120" w:after="120" w:line="276" w:lineRule="auto"/>
        <w:ind w:left="720"/>
        <w:rPr>
          <w:rFonts w:asciiTheme="majorHAnsi" w:eastAsia="Times New Roman" w:hAnsiTheme="majorHAnsi" w:cstheme="majorBidi"/>
          <w:sz w:val="23"/>
          <w:szCs w:val="23"/>
          <w:lang w:eastAsia="en-GB"/>
        </w:rPr>
      </w:pPr>
      <w:r w:rsidRPr="00A05031">
        <w:rPr>
          <w:rFonts w:asciiTheme="majorHAnsi" w:eastAsia="Times New Roman" w:hAnsiTheme="majorHAnsi" w:cstheme="majorBidi"/>
          <w:sz w:val="23"/>
          <w:szCs w:val="23"/>
          <w:lang w:eastAsia="en-GB"/>
        </w:rPr>
        <w:t xml:space="preserve">which has become a standard indicator in Australia over the course of many years. Households with a gross disposable income that sits within the lower 40% of the distribution, and whom pay 30% or more of their income by way of housing costs are defined as being in HAS under this measure. Households paying 50% or more are defined as being in Severe Housing Affordability Stress (SHAS)” </w:t>
      </w:r>
      <w:r>
        <w:rPr>
          <w:rFonts w:asciiTheme="majorHAnsi" w:eastAsia="Times New Roman" w:hAnsiTheme="majorHAnsi" w:cstheme="majorBidi"/>
          <w:noProof/>
          <w:sz w:val="23"/>
          <w:szCs w:val="23"/>
          <w:lang w:eastAsia="en-GB"/>
        </w:rPr>
        <w:t>(Leishman et al., 2020, p. 19)</w:t>
      </w:r>
      <w:r w:rsidRPr="00A05031">
        <w:rPr>
          <w:rFonts w:asciiTheme="majorHAnsi" w:eastAsia="Times New Roman" w:hAnsiTheme="majorHAnsi" w:cstheme="majorBidi"/>
          <w:sz w:val="23"/>
          <w:szCs w:val="23"/>
          <w:lang w:eastAsia="en-GB"/>
        </w:rPr>
        <w:t xml:space="preserve">. </w:t>
      </w:r>
    </w:p>
    <w:p w14:paraId="4ABFDEFE" w14:textId="77777777" w:rsidR="00E761F8" w:rsidRDefault="00E761F8" w:rsidP="004B24BE">
      <w:pPr>
        <w:spacing w:after="120" w:line="276" w:lineRule="auto"/>
        <w:rPr>
          <w:rFonts w:asciiTheme="majorHAnsi" w:eastAsia="Times New Roman" w:hAnsiTheme="majorHAnsi" w:cstheme="majorBidi"/>
          <w:sz w:val="23"/>
          <w:szCs w:val="23"/>
          <w:lang w:eastAsia="en-GB"/>
        </w:rPr>
      </w:pPr>
      <w:r w:rsidRPr="00A05031">
        <w:rPr>
          <w:rFonts w:asciiTheme="majorHAnsi" w:eastAsia="Times New Roman" w:hAnsiTheme="majorHAnsi" w:cstheme="majorBidi"/>
          <w:sz w:val="23"/>
          <w:szCs w:val="23"/>
          <w:lang w:eastAsia="en-GB"/>
        </w:rPr>
        <w:t>Yet housing stress and other traditional indicators of housing</w:t>
      </w:r>
      <w:r w:rsidRPr="64875FDB">
        <w:rPr>
          <w:rFonts w:asciiTheme="majorHAnsi" w:eastAsia="Times New Roman" w:hAnsiTheme="majorHAnsi" w:cstheme="majorBidi"/>
          <w:sz w:val="23"/>
          <w:szCs w:val="23"/>
          <w:lang w:eastAsia="en-GB"/>
        </w:rPr>
        <w:t xml:space="preserve"> affordability “do not address the wider outcomes of housing affordability but simply the financial burden of housing costs” </w:t>
      </w:r>
      <w:r>
        <w:rPr>
          <w:rFonts w:asciiTheme="majorHAnsi" w:eastAsia="Times New Roman" w:hAnsiTheme="majorHAnsi" w:cstheme="majorBidi"/>
          <w:noProof/>
          <w:sz w:val="23"/>
          <w:szCs w:val="23"/>
          <w:lang w:eastAsia="en-GB"/>
        </w:rPr>
        <w:t>(Rowley, 2012, p. 9)</w:t>
      </w:r>
      <w:r w:rsidRPr="64875FDB">
        <w:rPr>
          <w:rFonts w:asciiTheme="majorHAnsi" w:eastAsia="Times New Roman" w:hAnsiTheme="majorHAnsi" w:cstheme="majorBidi"/>
          <w:sz w:val="23"/>
          <w:szCs w:val="23"/>
          <w:lang w:eastAsia="en-GB"/>
        </w:rPr>
        <w:t xml:space="preserve">. Thus, for example, “there are households that fall within the traditional measure of stress that consider their levels of wellbeing acceptable. Additionally, there are households that fall outside the measure that are suffering considerable economic and social hardships” </w:t>
      </w:r>
      <w:r>
        <w:rPr>
          <w:rFonts w:asciiTheme="majorHAnsi" w:eastAsia="Times New Roman" w:hAnsiTheme="majorHAnsi" w:cstheme="majorBidi"/>
          <w:noProof/>
          <w:sz w:val="23"/>
          <w:szCs w:val="23"/>
          <w:lang w:eastAsia="en-GB"/>
        </w:rPr>
        <w:t>(Rowley, 2012, p. 9)</w:t>
      </w:r>
      <w:r w:rsidRPr="64875FDB">
        <w:rPr>
          <w:rFonts w:asciiTheme="majorHAnsi" w:eastAsia="Times New Roman" w:hAnsiTheme="majorHAnsi" w:cstheme="majorBidi"/>
          <w:sz w:val="23"/>
          <w:szCs w:val="23"/>
          <w:lang w:eastAsia="en-GB"/>
        </w:rPr>
        <w:t xml:space="preserve">. Hence, HAS is a problematic indicator because measuring housing affordability also ought to acknowledge “the individual nature of the housing consumption choice and the extent of variations in the outcomes as a consequence of that choice” </w:t>
      </w:r>
      <w:r>
        <w:rPr>
          <w:rFonts w:asciiTheme="majorHAnsi" w:eastAsia="Times New Roman" w:hAnsiTheme="majorHAnsi" w:cstheme="majorBidi"/>
          <w:noProof/>
          <w:sz w:val="23"/>
          <w:szCs w:val="23"/>
          <w:lang w:eastAsia="en-GB"/>
        </w:rPr>
        <w:t>(Rowley, 2012, p. 9)</w:t>
      </w:r>
      <w:r w:rsidRPr="64875FDB">
        <w:rPr>
          <w:rFonts w:asciiTheme="majorHAnsi" w:eastAsia="Times New Roman" w:hAnsiTheme="majorHAnsi" w:cstheme="majorBidi"/>
          <w:sz w:val="23"/>
          <w:szCs w:val="23"/>
          <w:lang w:eastAsia="en-GB"/>
        </w:rPr>
        <w:t xml:space="preserve">. This limitation is summed up by Hulse et al., who state that housing stress is less of an indicator of financial stress and more of an indicator of the potential risks of falling into hardship </w:t>
      </w:r>
      <w:r>
        <w:rPr>
          <w:rFonts w:asciiTheme="majorHAnsi" w:eastAsia="Times New Roman" w:hAnsiTheme="majorHAnsi" w:cstheme="majorBidi"/>
          <w:noProof/>
          <w:sz w:val="23"/>
          <w:szCs w:val="23"/>
          <w:lang w:eastAsia="en-GB"/>
        </w:rPr>
        <w:t>(Hulse et al., 2010)</w:t>
      </w:r>
      <w:r w:rsidRPr="64875FDB">
        <w:rPr>
          <w:rFonts w:asciiTheme="majorHAnsi" w:eastAsia="Times New Roman" w:hAnsiTheme="majorHAnsi" w:cstheme="majorBidi"/>
          <w:sz w:val="23"/>
          <w:szCs w:val="23"/>
          <w:lang w:eastAsia="en-GB"/>
        </w:rPr>
        <w:t>.</w:t>
      </w:r>
    </w:p>
    <w:p w14:paraId="075B5D3E" w14:textId="77777777" w:rsidR="00E761F8" w:rsidRPr="00BC19B6" w:rsidRDefault="00E761F8" w:rsidP="004B24BE">
      <w:pPr>
        <w:spacing w:after="120" w:line="276" w:lineRule="auto"/>
        <w:rPr>
          <w:rFonts w:asciiTheme="majorHAnsi" w:eastAsia="Times New Roman" w:hAnsiTheme="majorHAnsi" w:cstheme="majorHAnsi"/>
          <w:sz w:val="23"/>
          <w:szCs w:val="23"/>
          <w:lang w:eastAsia="en-GB"/>
        </w:rPr>
      </w:pPr>
      <w:r w:rsidRPr="00BC19B6">
        <w:rPr>
          <w:rFonts w:asciiTheme="majorHAnsi" w:eastAsia="Times New Roman" w:hAnsiTheme="majorHAnsi" w:cstheme="majorHAnsi"/>
          <w:sz w:val="23"/>
          <w:szCs w:val="23"/>
          <w:lang w:eastAsia="en-GB"/>
        </w:rPr>
        <w:t xml:space="preserve">Other indicators of the housing pressures facing low-income families are </w:t>
      </w:r>
      <w:r w:rsidRPr="005B1977">
        <w:rPr>
          <w:rFonts w:asciiTheme="majorHAnsi" w:eastAsia="Times New Roman" w:hAnsiTheme="majorHAnsi" w:cstheme="majorHAnsi"/>
          <w:sz w:val="23"/>
          <w:szCs w:val="23"/>
          <w:lang w:eastAsia="en-GB"/>
        </w:rPr>
        <w:t>household economic wellbeing</w:t>
      </w:r>
      <w:r w:rsidRPr="00BC19B6">
        <w:rPr>
          <w:rFonts w:asciiTheme="majorHAnsi" w:eastAsia="Times New Roman" w:hAnsiTheme="majorHAnsi" w:cstheme="majorHAnsi"/>
          <w:sz w:val="23"/>
          <w:szCs w:val="23"/>
          <w:lang w:eastAsia="en-GB"/>
        </w:rPr>
        <w:t xml:space="preserve"> (</w:t>
      </w:r>
      <w:r>
        <w:rPr>
          <w:rFonts w:asciiTheme="majorHAnsi" w:eastAsia="Times New Roman" w:hAnsiTheme="majorHAnsi" w:cstheme="majorHAnsi"/>
          <w:sz w:val="23"/>
          <w:szCs w:val="23"/>
          <w:lang w:eastAsia="en-GB"/>
        </w:rPr>
        <w:t>the household’s</w:t>
      </w:r>
      <w:r w:rsidRPr="00BC19B6">
        <w:rPr>
          <w:rFonts w:asciiTheme="majorHAnsi" w:eastAsia="Times New Roman" w:hAnsiTheme="majorHAnsi" w:cstheme="majorHAnsi"/>
          <w:sz w:val="23"/>
          <w:szCs w:val="23"/>
          <w:lang w:eastAsia="en-GB"/>
        </w:rPr>
        <w:t xml:space="preserve"> ability to maintain a minimum material standard of living) and household wellbeing. Put simply, housing affordability is a concept </w:t>
      </w:r>
      <w:r>
        <w:rPr>
          <w:rFonts w:asciiTheme="majorHAnsi" w:eastAsia="Times New Roman" w:hAnsiTheme="majorHAnsi" w:cstheme="majorHAnsi"/>
          <w:sz w:val="23"/>
          <w:szCs w:val="23"/>
          <w:lang w:eastAsia="en-GB"/>
        </w:rPr>
        <w:t>“</w:t>
      </w:r>
      <w:r w:rsidRPr="00BC19B6">
        <w:rPr>
          <w:rFonts w:asciiTheme="majorHAnsi" w:eastAsia="Times New Roman" w:hAnsiTheme="majorHAnsi" w:cstheme="majorHAnsi"/>
          <w:sz w:val="23"/>
          <w:szCs w:val="23"/>
          <w:lang w:eastAsia="en-GB"/>
        </w:rPr>
        <w:t xml:space="preserve">that stretches beyond simply the financial to incorporate other housing-related outcomes that are directly related to household wellbeing” </w:t>
      </w:r>
      <w:r>
        <w:rPr>
          <w:rFonts w:asciiTheme="majorHAnsi" w:eastAsia="Times New Roman" w:hAnsiTheme="majorHAnsi" w:cstheme="majorHAnsi"/>
          <w:noProof/>
          <w:sz w:val="23"/>
          <w:szCs w:val="23"/>
          <w:lang w:eastAsia="en-GB"/>
        </w:rPr>
        <w:t>(Rowley, 2012, p. 83)</w:t>
      </w:r>
      <w:r w:rsidRPr="00BC19B6">
        <w:rPr>
          <w:rFonts w:asciiTheme="majorHAnsi" w:eastAsia="Times New Roman" w:hAnsiTheme="majorHAnsi" w:cstheme="majorHAnsi"/>
          <w:sz w:val="23"/>
          <w:szCs w:val="23"/>
          <w:lang w:eastAsia="en-GB"/>
        </w:rPr>
        <w:t xml:space="preserve">. Determinants of housing affordability and related housing pressures ought therefore to include the wider contextual factors that link housing affordability to household wellbeing. </w:t>
      </w:r>
    </w:p>
    <w:p w14:paraId="0686521E" w14:textId="77777777" w:rsidR="004B24BE" w:rsidRDefault="004B24BE">
      <w:pPr>
        <w:rPr>
          <w:rFonts w:asciiTheme="majorHAnsi" w:eastAsia="Times New Roman" w:hAnsiTheme="majorHAnsi" w:cstheme="majorHAnsi"/>
          <w:sz w:val="23"/>
          <w:szCs w:val="23"/>
          <w:lang w:eastAsia="en-GB"/>
        </w:rPr>
      </w:pPr>
      <w:r>
        <w:rPr>
          <w:rFonts w:asciiTheme="majorHAnsi" w:eastAsia="Times New Roman" w:hAnsiTheme="majorHAnsi" w:cstheme="majorHAnsi"/>
          <w:sz w:val="23"/>
          <w:szCs w:val="23"/>
          <w:lang w:eastAsia="en-GB"/>
        </w:rPr>
        <w:br w:type="page"/>
      </w:r>
    </w:p>
    <w:p w14:paraId="52B5E196" w14:textId="7534D2C2" w:rsidR="00E761F8" w:rsidRPr="00F05291" w:rsidRDefault="00E761F8" w:rsidP="004B24BE">
      <w:pPr>
        <w:spacing w:after="120" w:line="276" w:lineRule="auto"/>
        <w:contextualSpacing/>
        <w:rPr>
          <w:rFonts w:asciiTheme="majorHAnsi" w:eastAsia="Times New Roman" w:hAnsiTheme="majorHAnsi" w:cstheme="majorBidi"/>
          <w:sz w:val="23"/>
          <w:szCs w:val="23"/>
          <w:lang w:eastAsia="en-GB"/>
        </w:rPr>
      </w:pPr>
      <w:r w:rsidRPr="00BC19B6">
        <w:rPr>
          <w:rFonts w:asciiTheme="majorHAnsi" w:eastAsia="Times New Roman" w:hAnsiTheme="majorHAnsi" w:cstheme="majorHAnsi"/>
          <w:sz w:val="23"/>
          <w:szCs w:val="23"/>
          <w:lang w:eastAsia="en-GB"/>
        </w:rPr>
        <w:lastRenderedPageBreak/>
        <w:t xml:space="preserve">Our sample of the literature indicates clear and bi-directional relationships between </w:t>
      </w:r>
      <w:r>
        <w:rPr>
          <w:rFonts w:asciiTheme="majorHAnsi" w:eastAsia="Times New Roman" w:hAnsiTheme="majorHAnsi" w:cstheme="majorHAnsi"/>
          <w:sz w:val="23"/>
          <w:szCs w:val="23"/>
          <w:lang w:eastAsia="en-GB"/>
        </w:rPr>
        <w:t>H</w:t>
      </w:r>
      <w:r w:rsidRPr="00BC19B6">
        <w:rPr>
          <w:rFonts w:asciiTheme="majorHAnsi" w:eastAsia="Times New Roman" w:hAnsiTheme="majorHAnsi" w:cstheme="majorHAnsi"/>
          <w:sz w:val="23"/>
          <w:szCs w:val="23"/>
          <w:lang w:eastAsia="en-GB"/>
        </w:rPr>
        <w:t xml:space="preserve">ousing, </w:t>
      </w:r>
      <w:r>
        <w:rPr>
          <w:rFonts w:asciiTheme="majorHAnsi" w:eastAsia="Times New Roman" w:hAnsiTheme="majorHAnsi" w:cstheme="majorHAnsi"/>
          <w:sz w:val="23"/>
          <w:szCs w:val="23"/>
          <w:lang w:eastAsia="en-GB"/>
        </w:rPr>
        <w:t>H</w:t>
      </w:r>
      <w:r w:rsidRPr="00BC19B6">
        <w:rPr>
          <w:rFonts w:asciiTheme="majorHAnsi" w:eastAsia="Times New Roman" w:hAnsiTheme="majorHAnsi" w:cstheme="majorHAnsi"/>
          <w:sz w:val="23"/>
          <w:szCs w:val="23"/>
          <w:lang w:eastAsia="en-GB"/>
        </w:rPr>
        <w:t xml:space="preserve">ealth and </w:t>
      </w:r>
      <w:r>
        <w:rPr>
          <w:rFonts w:asciiTheme="majorHAnsi" w:eastAsia="Times New Roman" w:hAnsiTheme="majorHAnsi" w:cstheme="majorHAnsi"/>
          <w:sz w:val="23"/>
          <w:szCs w:val="23"/>
          <w:lang w:eastAsia="en-GB"/>
        </w:rPr>
        <w:t>W</w:t>
      </w:r>
      <w:r w:rsidRPr="00BC19B6">
        <w:rPr>
          <w:rFonts w:asciiTheme="majorHAnsi" w:eastAsia="Times New Roman" w:hAnsiTheme="majorHAnsi" w:cstheme="majorHAnsi"/>
          <w:sz w:val="23"/>
          <w:szCs w:val="23"/>
          <w:lang w:eastAsia="en-GB"/>
        </w:rPr>
        <w:t>ellbeing</w:t>
      </w:r>
      <w:r>
        <w:rPr>
          <w:rFonts w:asciiTheme="majorHAnsi" w:eastAsia="Times New Roman" w:hAnsiTheme="majorHAnsi" w:cstheme="majorHAnsi"/>
          <w:sz w:val="23"/>
          <w:szCs w:val="23"/>
          <w:lang w:eastAsia="en-GB"/>
        </w:rPr>
        <w:t>,</w:t>
      </w:r>
      <w:r w:rsidRPr="00BC19B6">
        <w:rPr>
          <w:rFonts w:asciiTheme="majorHAnsi" w:eastAsia="Times New Roman" w:hAnsiTheme="majorHAnsi" w:cstheme="majorHAnsi"/>
          <w:sz w:val="23"/>
          <w:szCs w:val="23"/>
          <w:lang w:eastAsia="en-GB"/>
        </w:rPr>
        <w:t xml:space="preserve"> and the other </w:t>
      </w:r>
      <w:r>
        <w:rPr>
          <w:rFonts w:asciiTheme="majorHAnsi" w:eastAsia="Times New Roman" w:hAnsiTheme="majorHAnsi" w:cstheme="majorHAnsi"/>
          <w:sz w:val="23"/>
          <w:szCs w:val="23"/>
          <w:lang w:eastAsia="en-GB"/>
        </w:rPr>
        <w:t>Practice Domain</w:t>
      </w:r>
      <w:r w:rsidRPr="00BC19B6">
        <w:rPr>
          <w:rFonts w:asciiTheme="majorHAnsi" w:eastAsia="Times New Roman" w:hAnsiTheme="majorHAnsi" w:cstheme="majorHAnsi"/>
          <w:sz w:val="23"/>
          <w:szCs w:val="23"/>
          <w:lang w:eastAsia="en-GB"/>
        </w:rPr>
        <w:t xml:space="preserve">s. Of the 30 papers </w:t>
      </w:r>
      <w:r>
        <w:rPr>
          <w:rFonts w:asciiTheme="majorHAnsi" w:eastAsia="Times New Roman" w:hAnsiTheme="majorHAnsi" w:cstheme="majorHAnsi"/>
          <w:sz w:val="23"/>
          <w:szCs w:val="23"/>
          <w:lang w:eastAsia="en-GB"/>
        </w:rPr>
        <w:t xml:space="preserve">that </w:t>
      </w:r>
      <w:r w:rsidRPr="00BC19B6">
        <w:rPr>
          <w:rFonts w:asciiTheme="majorHAnsi" w:eastAsia="Times New Roman" w:hAnsiTheme="majorHAnsi" w:cstheme="majorHAnsi"/>
          <w:sz w:val="23"/>
          <w:szCs w:val="23"/>
          <w:lang w:eastAsia="en-GB"/>
        </w:rPr>
        <w:t>focus</w:t>
      </w:r>
      <w:r>
        <w:rPr>
          <w:rFonts w:asciiTheme="majorHAnsi" w:eastAsia="Times New Roman" w:hAnsiTheme="majorHAnsi" w:cstheme="majorHAnsi"/>
          <w:sz w:val="23"/>
          <w:szCs w:val="23"/>
          <w:lang w:eastAsia="en-GB"/>
        </w:rPr>
        <w:t>ed</w:t>
      </w:r>
      <w:r w:rsidRPr="00BC19B6">
        <w:rPr>
          <w:rFonts w:asciiTheme="majorHAnsi" w:eastAsia="Times New Roman" w:hAnsiTheme="majorHAnsi" w:cstheme="majorHAnsi"/>
          <w:sz w:val="23"/>
          <w:szCs w:val="23"/>
          <w:lang w:eastAsia="en-GB"/>
        </w:rPr>
        <w:t xml:space="preserve"> on the factors and social determinants of inequality, 38 connect Housing to other domains, with housing affordability being the most common housing factor impacting other domains. </w:t>
      </w:r>
      <w:r>
        <w:rPr>
          <w:rFonts w:asciiTheme="majorHAnsi" w:eastAsia="Times New Roman" w:hAnsiTheme="majorHAnsi" w:cstheme="majorHAnsi"/>
          <w:sz w:val="23"/>
          <w:szCs w:val="23"/>
          <w:lang w:eastAsia="en-GB"/>
        </w:rPr>
        <w:t>Table 3.7 (below)</w:t>
      </w:r>
      <w:r w:rsidRPr="00BC19B6">
        <w:rPr>
          <w:rFonts w:asciiTheme="majorHAnsi" w:eastAsia="Times New Roman" w:hAnsiTheme="majorHAnsi" w:cstheme="majorHAnsi"/>
          <w:sz w:val="23"/>
          <w:szCs w:val="23"/>
          <w:lang w:eastAsia="en-GB"/>
        </w:rPr>
        <w:t xml:space="preserve"> indicates the </w:t>
      </w:r>
      <w:r>
        <w:rPr>
          <w:rFonts w:asciiTheme="majorHAnsi" w:eastAsia="Times New Roman" w:hAnsiTheme="majorHAnsi" w:cstheme="majorHAnsi"/>
          <w:sz w:val="23"/>
          <w:szCs w:val="23"/>
          <w:lang w:eastAsia="en-GB"/>
        </w:rPr>
        <w:t xml:space="preserve">factors these </w:t>
      </w:r>
      <w:r w:rsidRPr="00BC19B6">
        <w:rPr>
          <w:rFonts w:asciiTheme="majorHAnsi" w:eastAsia="Times New Roman" w:hAnsiTheme="majorHAnsi" w:cstheme="majorHAnsi"/>
          <w:sz w:val="23"/>
          <w:szCs w:val="23"/>
          <w:lang w:eastAsia="en-GB"/>
        </w:rPr>
        <w:t>studies</w:t>
      </w:r>
      <w:r>
        <w:rPr>
          <w:rFonts w:asciiTheme="majorHAnsi" w:eastAsia="Times New Roman" w:hAnsiTheme="majorHAnsi" w:cstheme="majorHAnsi"/>
          <w:sz w:val="23"/>
          <w:szCs w:val="23"/>
          <w:lang w:eastAsia="en-GB"/>
        </w:rPr>
        <w:t xml:space="preserve"> identified</w:t>
      </w:r>
      <w:r w:rsidRPr="00BC19B6">
        <w:rPr>
          <w:rFonts w:asciiTheme="majorHAnsi" w:eastAsia="Times New Roman" w:hAnsiTheme="majorHAnsi" w:cstheme="majorHAnsi"/>
          <w:sz w:val="23"/>
          <w:szCs w:val="23"/>
          <w:lang w:eastAsia="en-GB"/>
        </w:rPr>
        <w:t xml:space="preserve"> as impacting and being impacted by housing for low-income communities. </w:t>
      </w:r>
      <w:r>
        <w:rPr>
          <w:rFonts w:asciiTheme="majorHAnsi" w:eastAsia="Times New Roman" w:hAnsiTheme="majorHAnsi" w:cstheme="majorBidi"/>
          <w:sz w:val="23"/>
          <w:szCs w:val="23"/>
          <w:lang w:eastAsia="en-GB"/>
        </w:rPr>
        <w:t>In common with the broader research literature, income, education level, and access to affordable housing, services, and facilities stand out as key factors impacting housing outcomes.</w:t>
      </w:r>
    </w:p>
    <w:tbl>
      <w:tblPr>
        <w:tblStyle w:val="TableGrid"/>
        <w:tblW w:w="9554" w:type="dxa"/>
        <w:tblInd w:w="-5" w:type="dxa"/>
        <w:tblLook w:val="04A0" w:firstRow="1" w:lastRow="0" w:firstColumn="1" w:lastColumn="0" w:noHBand="0" w:noVBand="1"/>
      </w:tblPr>
      <w:tblGrid>
        <w:gridCol w:w="1061"/>
        <w:gridCol w:w="2477"/>
        <w:gridCol w:w="4247"/>
        <w:gridCol w:w="884"/>
        <w:gridCol w:w="885"/>
      </w:tblGrid>
      <w:tr w:rsidR="00E761F8" w:rsidRPr="008F7049" w14:paraId="4B39CF1B" w14:textId="77777777" w:rsidTr="004B24BE">
        <w:trPr>
          <w:trHeight w:val="426"/>
          <w:tblHeader/>
        </w:trPr>
        <w:tc>
          <w:tcPr>
            <w:tcW w:w="1061" w:type="dxa"/>
            <w:shd w:val="clear" w:color="auto" w:fill="D0CECE" w:themeFill="background2" w:themeFillShade="E6"/>
          </w:tcPr>
          <w:p w14:paraId="269C1408" w14:textId="77777777" w:rsidR="00E761F8" w:rsidRDefault="00E761F8" w:rsidP="00A1784D">
            <w:pPr>
              <w:contextualSpacing/>
              <w:rPr>
                <w:rFonts w:eastAsia="Times New Roman" w:cstheme="minorHAnsi"/>
                <w:b/>
                <w:bCs/>
                <w:sz w:val="21"/>
                <w:szCs w:val="21"/>
                <w:lang w:eastAsia="en-GB"/>
              </w:rPr>
            </w:pPr>
            <w:r w:rsidRPr="008F7049">
              <w:rPr>
                <w:rFonts w:eastAsia="Times New Roman" w:cstheme="minorHAnsi"/>
                <w:b/>
                <w:bCs/>
                <w:sz w:val="21"/>
                <w:szCs w:val="21"/>
                <w:lang w:eastAsia="en-GB"/>
              </w:rPr>
              <w:t>Context Category</w:t>
            </w:r>
          </w:p>
          <w:p w14:paraId="4CB936E5" w14:textId="77777777" w:rsidR="00E761F8" w:rsidRPr="00906BD0" w:rsidRDefault="00E761F8" w:rsidP="00A1784D">
            <w:pPr>
              <w:contextualSpacing/>
              <w:rPr>
                <w:rFonts w:eastAsia="Times New Roman" w:cstheme="minorHAnsi"/>
                <w:b/>
                <w:bCs/>
                <w:sz w:val="4"/>
                <w:szCs w:val="4"/>
                <w:lang w:eastAsia="en-GB"/>
              </w:rPr>
            </w:pPr>
          </w:p>
        </w:tc>
        <w:tc>
          <w:tcPr>
            <w:tcW w:w="2477" w:type="dxa"/>
            <w:shd w:val="clear" w:color="auto" w:fill="D0CECE" w:themeFill="background2" w:themeFillShade="E6"/>
          </w:tcPr>
          <w:p w14:paraId="787BCDAC" w14:textId="77777777" w:rsidR="00E761F8" w:rsidRPr="008F7049" w:rsidRDefault="00E761F8" w:rsidP="00A1784D">
            <w:pPr>
              <w:contextualSpacing/>
              <w:rPr>
                <w:rFonts w:eastAsia="Times New Roman" w:cstheme="minorHAnsi"/>
                <w:b/>
                <w:bCs/>
                <w:sz w:val="21"/>
                <w:szCs w:val="21"/>
                <w:lang w:eastAsia="en-GB"/>
              </w:rPr>
            </w:pPr>
            <w:r w:rsidRPr="008F7049">
              <w:rPr>
                <w:rFonts w:eastAsia="Times New Roman" w:cstheme="minorHAnsi"/>
                <w:b/>
                <w:bCs/>
                <w:sz w:val="21"/>
                <w:szCs w:val="21"/>
                <w:lang w:eastAsia="en-GB"/>
              </w:rPr>
              <w:t>Determinant</w:t>
            </w:r>
          </w:p>
        </w:tc>
        <w:tc>
          <w:tcPr>
            <w:tcW w:w="4247" w:type="dxa"/>
            <w:shd w:val="clear" w:color="auto" w:fill="D0CECE" w:themeFill="background2" w:themeFillShade="E6"/>
          </w:tcPr>
          <w:p w14:paraId="408E418F" w14:textId="77777777" w:rsidR="00E761F8" w:rsidRPr="008F7049" w:rsidRDefault="00E761F8" w:rsidP="00A1784D">
            <w:pPr>
              <w:contextualSpacing/>
              <w:rPr>
                <w:rFonts w:eastAsia="Times New Roman" w:cstheme="minorHAnsi"/>
                <w:b/>
                <w:bCs/>
                <w:sz w:val="21"/>
                <w:szCs w:val="21"/>
                <w:lang w:eastAsia="en-GB"/>
              </w:rPr>
            </w:pPr>
            <w:r w:rsidRPr="008F7049">
              <w:rPr>
                <w:rFonts w:eastAsia="Times New Roman" w:cstheme="minorHAnsi"/>
                <w:b/>
                <w:bCs/>
                <w:sz w:val="21"/>
                <w:szCs w:val="21"/>
                <w:lang w:eastAsia="en-GB"/>
              </w:rPr>
              <w:t>Factor</w:t>
            </w:r>
          </w:p>
        </w:tc>
        <w:tc>
          <w:tcPr>
            <w:tcW w:w="1769" w:type="dxa"/>
            <w:gridSpan w:val="2"/>
            <w:shd w:val="clear" w:color="auto" w:fill="D0CECE" w:themeFill="background2" w:themeFillShade="E6"/>
          </w:tcPr>
          <w:p w14:paraId="2C75F161" w14:textId="77777777" w:rsidR="00E761F8" w:rsidRPr="008F7049" w:rsidRDefault="00E761F8" w:rsidP="00A1784D">
            <w:pPr>
              <w:contextualSpacing/>
              <w:rPr>
                <w:rFonts w:eastAsia="Times New Roman" w:cstheme="minorHAnsi"/>
                <w:b/>
                <w:bCs/>
                <w:sz w:val="21"/>
                <w:szCs w:val="21"/>
                <w:lang w:eastAsia="en-GB"/>
              </w:rPr>
            </w:pPr>
            <w:r w:rsidRPr="008F7049">
              <w:rPr>
                <w:rFonts w:eastAsia="Times New Roman" w:cstheme="minorHAnsi"/>
                <w:b/>
                <w:bCs/>
                <w:sz w:val="21"/>
                <w:szCs w:val="21"/>
                <w:lang w:eastAsia="en-GB"/>
              </w:rPr>
              <w:t xml:space="preserve"># Articles </w:t>
            </w:r>
          </w:p>
          <w:p w14:paraId="43B9D554" w14:textId="77777777" w:rsidR="00E761F8" w:rsidRPr="008F7049" w:rsidRDefault="00E761F8" w:rsidP="00A1784D">
            <w:pPr>
              <w:contextualSpacing/>
              <w:rPr>
                <w:rFonts w:eastAsia="Times New Roman" w:cstheme="minorHAnsi"/>
                <w:b/>
                <w:bCs/>
                <w:sz w:val="21"/>
                <w:szCs w:val="21"/>
                <w:lang w:eastAsia="en-GB"/>
              </w:rPr>
            </w:pPr>
            <w:r>
              <w:rPr>
                <w:rFonts w:eastAsia="Times New Roman" w:cstheme="minorHAnsi"/>
                <w:b/>
                <w:bCs/>
                <w:sz w:val="21"/>
                <w:szCs w:val="21"/>
                <w:lang w:eastAsia="en-GB"/>
              </w:rPr>
              <w:t>I</w:t>
            </w:r>
            <w:r w:rsidRPr="008F7049">
              <w:rPr>
                <w:rFonts w:eastAsia="Times New Roman" w:cstheme="minorHAnsi"/>
                <w:b/>
                <w:bCs/>
                <w:sz w:val="21"/>
                <w:szCs w:val="21"/>
                <w:lang w:eastAsia="en-GB"/>
              </w:rPr>
              <w:t xml:space="preserve">dentifying </w:t>
            </w:r>
            <w:r>
              <w:rPr>
                <w:rFonts w:eastAsia="Times New Roman" w:cstheme="minorHAnsi"/>
                <w:b/>
                <w:bCs/>
                <w:sz w:val="21"/>
                <w:szCs w:val="21"/>
                <w:lang w:eastAsia="en-GB"/>
              </w:rPr>
              <w:t>F</w:t>
            </w:r>
            <w:r w:rsidRPr="008F7049">
              <w:rPr>
                <w:rFonts w:eastAsia="Times New Roman" w:cstheme="minorHAnsi"/>
                <w:b/>
                <w:bCs/>
                <w:sz w:val="21"/>
                <w:szCs w:val="21"/>
                <w:lang w:eastAsia="en-GB"/>
              </w:rPr>
              <w:t>actor</w:t>
            </w:r>
          </w:p>
        </w:tc>
      </w:tr>
      <w:tr w:rsidR="00E761F8" w:rsidRPr="00E171E6" w14:paraId="5A6AE57F" w14:textId="77777777" w:rsidTr="00A1784D">
        <w:trPr>
          <w:trHeight w:val="305"/>
        </w:trPr>
        <w:tc>
          <w:tcPr>
            <w:tcW w:w="1061" w:type="dxa"/>
            <w:vMerge w:val="restart"/>
            <w:textDirection w:val="tbRl"/>
            <w:vAlign w:val="center"/>
          </w:tcPr>
          <w:p w14:paraId="03CB259D" w14:textId="77777777" w:rsidR="00E761F8" w:rsidRPr="00E171E6" w:rsidRDefault="00E761F8" w:rsidP="00A1784D">
            <w:pPr>
              <w:ind w:left="113" w:right="113"/>
              <w:contextualSpacing/>
              <w:jc w:val="center"/>
              <w:rPr>
                <w:rFonts w:eastAsia="Times New Roman"/>
                <w:b/>
                <w:color w:val="000000"/>
                <w:lang w:eastAsia="en-GB"/>
              </w:rPr>
            </w:pPr>
            <w:r w:rsidRPr="701B9583">
              <w:rPr>
                <w:rFonts w:eastAsia="Times New Roman"/>
                <w:b/>
                <w:bCs/>
                <w:color w:val="000000" w:themeColor="text1"/>
                <w:lang w:eastAsia="en-GB"/>
              </w:rPr>
              <w:t>Economic</w:t>
            </w:r>
          </w:p>
        </w:tc>
        <w:tc>
          <w:tcPr>
            <w:tcW w:w="2477" w:type="dxa"/>
            <w:vMerge w:val="restart"/>
            <w:vAlign w:val="center"/>
          </w:tcPr>
          <w:p w14:paraId="236EB39B"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Economy</w:t>
            </w:r>
          </w:p>
        </w:tc>
        <w:tc>
          <w:tcPr>
            <w:tcW w:w="4247" w:type="dxa"/>
            <w:vAlign w:val="center"/>
          </w:tcPr>
          <w:p w14:paraId="68ED044B"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color w:val="000000"/>
                <w:sz w:val="20"/>
                <w:szCs w:val="20"/>
                <w:lang w:eastAsia="en-GB"/>
              </w:rPr>
              <w:t>Education Funding</w:t>
            </w:r>
          </w:p>
        </w:tc>
        <w:tc>
          <w:tcPr>
            <w:tcW w:w="884" w:type="dxa"/>
            <w:vAlign w:val="center"/>
          </w:tcPr>
          <w:p w14:paraId="67CA99EB"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sz w:val="20"/>
                <w:szCs w:val="20"/>
                <w:lang w:eastAsia="en-GB"/>
              </w:rPr>
              <w:t>1</w:t>
            </w:r>
          </w:p>
        </w:tc>
        <w:tc>
          <w:tcPr>
            <w:tcW w:w="884" w:type="dxa"/>
            <w:vMerge w:val="restart"/>
            <w:vAlign w:val="center"/>
          </w:tcPr>
          <w:p w14:paraId="627FC30E" w14:textId="77777777" w:rsidR="00E761F8" w:rsidRPr="00E171E6" w:rsidRDefault="00E761F8" w:rsidP="00A1784D">
            <w:pPr>
              <w:tabs>
                <w:tab w:val="left" w:pos="2127"/>
              </w:tabs>
              <w:contextualSpacing/>
              <w:jc w:val="center"/>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3</w:t>
            </w:r>
          </w:p>
        </w:tc>
      </w:tr>
      <w:tr w:rsidR="00E761F8" w:rsidRPr="00E171E6" w14:paraId="7646893A" w14:textId="77777777" w:rsidTr="00A1784D">
        <w:trPr>
          <w:trHeight w:val="193"/>
        </w:trPr>
        <w:tc>
          <w:tcPr>
            <w:tcW w:w="1061" w:type="dxa"/>
            <w:vMerge/>
          </w:tcPr>
          <w:p w14:paraId="51F32B2D" w14:textId="77777777" w:rsidR="00E761F8" w:rsidRPr="00E171E6" w:rsidRDefault="00E761F8" w:rsidP="00A1784D">
            <w:pPr>
              <w:contextualSpacing/>
              <w:rPr>
                <w:rFonts w:asciiTheme="majorHAnsi" w:eastAsia="Times New Roman" w:hAnsiTheme="majorHAnsi" w:cstheme="majorHAnsi"/>
                <w:color w:val="000000"/>
                <w:lang w:eastAsia="en-GB"/>
              </w:rPr>
            </w:pPr>
          </w:p>
        </w:tc>
        <w:tc>
          <w:tcPr>
            <w:tcW w:w="2477" w:type="dxa"/>
            <w:vMerge/>
          </w:tcPr>
          <w:p w14:paraId="78CC48B7"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p>
        </w:tc>
        <w:tc>
          <w:tcPr>
            <w:tcW w:w="4247" w:type="dxa"/>
            <w:vAlign w:val="center"/>
          </w:tcPr>
          <w:p w14:paraId="500E9FD9"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color w:val="000000"/>
                <w:sz w:val="20"/>
                <w:szCs w:val="20"/>
                <w:lang w:eastAsia="en-GB"/>
              </w:rPr>
              <w:t>Energy Affordability</w:t>
            </w:r>
          </w:p>
        </w:tc>
        <w:tc>
          <w:tcPr>
            <w:tcW w:w="884" w:type="dxa"/>
            <w:vAlign w:val="center"/>
          </w:tcPr>
          <w:p w14:paraId="5C171BFA"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sz w:val="20"/>
                <w:szCs w:val="20"/>
                <w:lang w:eastAsia="en-GB"/>
              </w:rPr>
              <w:t>2</w:t>
            </w:r>
          </w:p>
        </w:tc>
        <w:tc>
          <w:tcPr>
            <w:tcW w:w="884" w:type="dxa"/>
            <w:vMerge/>
            <w:vAlign w:val="center"/>
          </w:tcPr>
          <w:p w14:paraId="7D991EFB"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p>
        </w:tc>
      </w:tr>
      <w:tr w:rsidR="00E761F8" w:rsidRPr="00E171E6" w14:paraId="793EF362" w14:textId="77777777" w:rsidTr="00A1784D">
        <w:trPr>
          <w:trHeight w:val="405"/>
        </w:trPr>
        <w:tc>
          <w:tcPr>
            <w:tcW w:w="1061" w:type="dxa"/>
            <w:vMerge/>
          </w:tcPr>
          <w:p w14:paraId="0B0B74A1" w14:textId="77777777" w:rsidR="00E761F8" w:rsidRPr="00E171E6" w:rsidRDefault="00E761F8" w:rsidP="00A1784D">
            <w:pPr>
              <w:contextualSpacing/>
              <w:rPr>
                <w:rFonts w:asciiTheme="majorHAnsi" w:eastAsia="Times New Roman" w:hAnsiTheme="majorHAnsi" w:cstheme="majorHAnsi"/>
                <w:color w:val="000000"/>
                <w:lang w:eastAsia="en-GB"/>
              </w:rPr>
            </w:pPr>
          </w:p>
        </w:tc>
        <w:tc>
          <w:tcPr>
            <w:tcW w:w="2477" w:type="dxa"/>
            <w:vMerge w:val="restart"/>
            <w:vAlign w:val="center"/>
          </w:tcPr>
          <w:p w14:paraId="5185F005"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Policy</w:t>
            </w:r>
          </w:p>
        </w:tc>
        <w:tc>
          <w:tcPr>
            <w:tcW w:w="4247" w:type="dxa"/>
            <w:vAlign w:val="center"/>
          </w:tcPr>
          <w:p w14:paraId="1A55DE1D"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Government Policy (local &amp; national)</w:t>
            </w:r>
          </w:p>
        </w:tc>
        <w:tc>
          <w:tcPr>
            <w:tcW w:w="884" w:type="dxa"/>
            <w:vAlign w:val="center"/>
          </w:tcPr>
          <w:p w14:paraId="6B36C065"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sz w:val="20"/>
                <w:szCs w:val="20"/>
                <w:lang w:eastAsia="en-GB"/>
              </w:rPr>
              <w:t>2</w:t>
            </w:r>
          </w:p>
        </w:tc>
        <w:tc>
          <w:tcPr>
            <w:tcW w:w="884" w:type="dxa"/>
            <w:vMerge w:val="restart"/>
            <w:vAlign w:val="center"/>
          </w:tcPr>
          <w:p w14:paraId="2E7FD5EF"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3</w:t>
            </w:r>
          </w:p>
        </w:tc>
      </w:tr>
      <w:tr w:rsidR="00E761F8" w:rsidRPr="00E171E6" w14:paraId="0E1218BF" w14:textId="77777777" w:rsidTr="00A1784D">
        <w:trPr>
          <w:trHeight w:val="301"/>
        </w:trPr>
        <w:tc>
          <w:tcPr>
            <w:tcW w:w="1061" w:type="dxa"/>
            <w:vMerge/>
          </w:tcPr>
          <w:p w14:paraId="7F0BF454" w14:textId="77777777" w:rsidR="00E761F8" w:rsidRPr="00E171E6" w:rsidRDefault="00E761F8" w:rsidP="00A1784D">
            <w:pPr>
              <w:contextualSpacing/>
              <w:rPr>
                <w:rFonts w:asciiTheme="majorHAnsi" w:eastAsia="Times New Roman" w:hAnsiTheme="majorHAnsi" w:cstheme="majorHAnsi"/>
                <w:color w:val="000000"/>
                <w:lang w:eastAsia="en-GB"/>
              </w:rPr>
            </w:pPr>
          </w:p>
        </w:tc>
        <w:tc>
          <w:tcPr>
            <w:tcW w:w="2477" w:type="dxa"/>
            <w:vMerge/>
          </w:tcPr>
          <w:p w14:paraId="08A932EE"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p>
        </w:tc>
        <w:tc>
          <w:tcPr>
            <w:tcW w:w="4247" w:type="dxa"/>
            <w:vAlign w:val="center"/>
          </w:tcPr>
          <w:p w14:paraId="5E13840A"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Human Rights Policy</w:t>
            </w:r>
          </w:p>
        </w:tc>
        <w:tc>
          <w:tcPr>
            <w:tcW w:w="884" w:type="dxa"/>
            <w:vAlign w:val="center"/>
          </w:tcPr>
          <w:p w14:paraId="2DBD5A96"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1</w:t>
            </w:r>
          </w:p>
        </w:tc>
        <w:tc>
          <w:tcPr>
            <w:tcW w:w="884" w:type="dxa"/>
            <w:vMerge/>
            <w:vAlign w:val="center"/>
          </w:tcPr>
          <w:p w14:paraId="5448F5FF"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p>
        </w:tc>
      </w:tr>
      <w:tr w:rsidR="00E761F8" w:rsidRPr="00E171E6" w14:paraId="174F1609" w14:textId="77777777" w:rsidTr="00A1784D">
        <w:trPr>
          <w:trHeight w:val="254"/>
        </w:trPr>
        <w:tc>
          <w:tcPr>
            <w:tcW w:w="1061" w:type="dxa"/>
            <w:vMerge w:val="restart"/>
            <w:textDirection w:val="tbRl"/>
            <w:vAlign w:val="center"/>
          </w:tcPr>
          <w:p w14:paraId="674C1A72" w14:textId="77777777" w:rsidR="00E761F8" w:rsidRPr="00E171E6" w:rsidRDefault="00E761F8" w:rsidP="00A1784D">
            <w:pPr>
              <w:contextualSpacing/>
              <w:jc w:val="center"/>
              <w:rPr>
                <w:rFonts w:eastAsia="Times New Roman" w:cstheme="minorHAnsi"/>
                <w:b/>
                <w:bCs/>
                <w:color w:val="000000"/>
                <w:lang w:eastAsia="en-GB"/>
              </w:rPr>
            </w:pPr>
            <w:r w:rsidRPr="00E171E6">
              <w:rPr>
                <w:rFonts w:eastAsia="Times New Roman" w:cstheme="minorHAnsi"/>
                <w:b/>
                <w:bCs/>
                <w:color w:val="000000"/>
                <w:lang w:eastAsia="en-GB"/>
              </w:rPr>
              <w:t>Health</w:t>
            </w:r>
          </w:p>
        </w:tc>
        <w:tc>
          <w:tcPr>
            <w:tcW w:w="2477" w:type="dxa"/>
            <w:vMerge w:val="restart"/>
            <w:vAlign w:val="center"/>
          </w:tcPr>
          <w:p w14:paraId="6D9F770E" w14:textId="77777777" w:rsidR="00E761F8" w:rsidRPr="00E171E6" w:rsidRDefault="00E761F8" w:rsidP="00A1784D">
            <w:pPr>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Healthcare &amp; Social Services</w:t>
            </w:r>
          </w:p>
        </w:tc>
        <w:tc>
          <w:tcPr>
            <w:tcW w:w="4247" w:type="dxa"/>
            <w:vAlign w:val="center"/>
          </w:tcPr>
          <w:p w14:paraId="19A746A7"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color w:val="000000"/>
                <w:sz w:val="20"/>
                <w:szCs w:val="20"/>
                <w:lang w:eastAsia="en-GB"/>
              </w:rPr>
              <w:t>Access to Health Information</w:t>
            </w:r>
          </w:p>
        </w:tc>
        <w:tc>
          <w:tcPr>
            <w:tcW w:w="884" w:type="dxa"/>
            <w:vAlign w:val="center"/>
          </w:tcPr>
          <w:p w14:paraId="414E442B"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sz w:val="20"/>
                <w:szCs w:val="20"/>
                <w:lang w:eastAsia="en-GB"/>
              </w:rPr>
              <w:t>1</w:t>
            </w:r>
          </w:p>
        </w:tc>
        <w:tc>
          <w:tcPr>
            <w:tcW w:w="884" w:type="dxa"/>
            <w:vMerge w:val="restart"/>
            <w:vAlign w:val="center"/>
          </w:tcPr>
          <w:p w14:paraId="7299F4BE"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11</w:t>
            </w:r>
          </w:p>
        </w:tc>
      </w:tr>
      <w:tr w:rsidR="00E761F8" w:rsidRPr="00E171E6" w14:paraId="420C36FD" w14:textId="77777777" w:rsidTr="00A1784D">
        <w:trPr>
          <w:trHeight w:val="254"/>
        </w:trPr>
        <w:tc>
          <w:tcPr>
            <w:tcW w:w="1061" w:type="dxa"/>
            <w:vMerge/>
          </w:tcPr>
          <w:p w14:paraId="500D183B" w14:textId="77777777" w:rsidR="00E761F8" w:rsidRPr="00E171E6" w:rsidRDefault="00E761F8" w:rsidP="00A1784D">
            <w:pPr>
              <w:contextualSpacing/>
              <w:rPr>
                <w:rFonts w:eastAsia="Times New Roman" w:cstheme="minorHAnsi"/>
                <w:b/>
                <w:bCs/>
                <w:color w:val="000000"/>
                <w:lang w:eastAsia="en-GB"/>
              </w:rPr>
            </w:pPr>
          </w:p>
        </w:tc>
        <w:tc>
          <w:tcPr>
            <w:tcW w:w="2477" w:type="dxa"/>
            <w:vMerge/>
          </w:tcPr>
          <w:p w14:paraId="21677BC8"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p>
        </w:tc>
        <w:tc>
          <w:tcPr>
            <w:tcW w:w="4247" w:type="dxa"/>
            <w:vAlign w:val="center"/>
          </w:tcPr>
          <w:p w14:paraId="1A047429"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Access to Healthcare</w:t>
            </w:r>
          </w:p>
        </w:tc>
        <w:tc>
          <w:tcPr>
            <w:tcW w:w="884" w:type="dxa"/>
            <w:vAlign w:val="center"/>
          </w:tcPr>
          <w:p w14:paraId="37E90DD4"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1</w:t>
            </w:r>
          </w:p>
        </w:tc>
        <w:tc>
          <w:tcPr>
            <w:tcW w:w="884" w:type="dxa"/>
            <w:vMerge/>
            <w:vAlign w:val="center"/>
          </w:tcPr>
          <w:p w14:paraId="02C45C0E"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p>
        </w:tc>
      </w:tr>
      <w:tr w:rsidR="00E761F8" w:rsidRPr="00E171E6" w14:paraId="09F8115A" w14:textId="77777777" w:rsidTr="00A1784D">
        <w:trPr>
          <w:trHeight w:val="263"/>
        </w:trPr>
        <w:tc>
          <w:tcPr>
            <w:tcW w:w="1061" w:type="dxa"/>
            <w:vMerge/>
          </w:tcPr>
          <w:p w14:paraId="69A660B3" w14:textId="77777777" w:rsidR="00E761F8" w:rsidRPr="00E171E6" w:rsidRDefault="00E761F8" w:rsidP="00A1784D">
            <w:pPr>
              <w:contextualSpacing/>
              <w:rPr>
                <w:rFonts w:eastAsia="Times New Roman" w:cstheme="minorHAnsi"/>
                <w:b/>
                <w:bCs/>
                <w:color w:val="000000"/>
                <w:lang w:eastAsia="en-GB"/>
              </w:rPr>
            </w:pPr>
          </w:p>
        </w:tc>
        <w:tc>
          <w:tcPr>
            <w:tcW w:w="2477" w:type="dxa"/>
            <w:vMerge/>
          </w:tcPr>
          <w:p w14:paraId="2ED8AD3D"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p>
        </w:tc>
        <w:tc>
          <w:tcPr>
            <w:tcW w:w="4247" w:type="dxa"/>
            <w:vAlign w:val="center"/>
          </w:tcPr>
          <w:p w14:paraId="497ABA74"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Access to Services</w:t>
            </w:r>
          </w:p>
        </w:tc>
        <w:tc>
          <w:tcPr>
            <w:tcW w:w="884" w:type="dxa"/>
            <w:vAlign w:val="center"/>
          </w:tcPr>
          <w:p w14:paraId="044FBDF3"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9</w:t>
            </w:r>
          </w:p>
        </w:tc>
        <w:tc>
          <w:tcPr>
            <w:tcW w:w="884" w:type="dxa"/>
            <w:vMerge/>
            <w:vAlign w:val="center"/>
          </w:tcPr>
          <w:p w14:paraId="0236C389"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p>
        </w:tc>
      </w:tr>
      <w:tr w:rsidR="00E761F8" w:rsidRPr="00E171E6" w14:paraId="3D78F724" w14:textId="77777777" w:rsidTr="00A1784D">
        <w:trPr>
          <w:trHeight w:val="519"/>
        </w:trPr>
        <w:tc>
          <w:tcPr>
            <w:tcW w:w="1061" w:type="dxa"/>
            <w:vMerge/>
          </w:tcPr>
          <w:p w14:paraId="0CBE4E1E" w14:textId="77777777" w:rsidR="00E761F8" w:rsidRPr="00E171E6" w:rsidRDefault="00E761F8" w:rsidP="00A1784D">
            <w:pPr>
              <w:contextualSpacing/>
              <w:rPr>
                <w:rFonts w:eastAsia="Times New Roman" w:cstheme="minorHAnsi"/>
                <w:b/>
                <w:bCs/>
                <w:color w:val="000000"/>
                <w:lang w:eastAsia="en-GB"/>
              </w:rPr>
            </w:pPr>
          </w:p>
        </w:tc>
        <w:tc>
          <w:tcPr>
            <w:tcW w:w="2477" w:type="dxa"/>
            <w:vAlign w:val="center"/>
          </w:tcPr>
          <w:p w14:paraId="7BC783A4" w14:textId="77777777" w:rsidR="00E761F8" w:rsidRPr="00E171E6" w:rsidRDefault="00E761F8" w:rsidP="00A1784D">
            <w:pPr>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Personal Health Status</w:t>
            </w:r>
          </w:p>
        </w:tc>
        <w:tc>
          <w:tcPr>
            <w:tcW w:w="4247" w:type="dxa"/>
            <w:vAlign w:val="center"/>
          </w:tcPr>
          <w:p w14:paraId="301228B6"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Individual Health</w:t>
            </w:r>
          </w:p>
        </w:tc>
        <w:tc>
          <w:tcPr>
            <w:tcW w:w="884" w:type="dxa"/>
            <w:vAlign w:val="center"/>
          </w:tcPr>
          <w:p w14:paraId="43B0A3E9"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1</w:t>
            </w:r>
          </w:p>
        </w:tc>
        <w:tc>
          <w:tcPr>
            <w:tcW w:w="884" w:type="dxa"/>
            <w:vAlign w:val="center"/>
          </w:tcPr>
          <w:p w14:paraId="6A8CFAA8"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1</w:t>
            </w:r>
          </w:p>
        </w:tc>
      </w:tr>
      <w:tr w:rsidR="00E761F8" w:rsidRPr="00E171E6" w14:paraId="7CE21CB8" w14:textId="77777777" w:rsidTr="00A1784D">
        <w:trPr>
          <w:trHeight w:val="254"/>
        </w:trPr>
        <w:tc>
          <w:tcPr>
            <w:tcW w:w="1061" w:type="dxa"/>
            <w:vMerge w:val="restart"/>
            <w:textDirection w:val="tbRl"/>
            <w:vAlign w:val="center"/>
          </w:tcPr>
          <w:p w14:paraId="64AE006F" w14:textId="77777777" w:rsidR="00E761F8" w:rsidRPr="00E171E6" w:rsidRDefault="00E761F8" w:rsidP="00A1784D">
            <w:pPr>
              <w:tabs>
                <w:tab w:val="left" w:pos="1457"/>
              </w:tabs>
              <w:contextualSpacing/>
              <w:jc w:val="center"/>
              <w:rPr>
                <w:rFonts w:eastAsia="Times New Roman" w:cstheme="minorHAnsi"/>
                <w:b/>
                <w:bCs/>
                <w:color w:val="000000"/>
                <w:lang w:eastAsia="en-GB"/>
              </w:rPr>
            </w:pPr>
            <w:r w:rsidRPr="00E171E6">
              <w:rPr>
                <w:rFonts w:eastAsia="Times New Roman" w:cstheme="minorHAnsi"/>
                <w:b/>
                <w:bCs/>
                <w:color w:val="000000"/>
                <w:lang w:eastAsia="en-GB"/>
              </w:rPr>
              <w:t>Social</w:t>
            </w:r>
          </w:p>
        </w:tc>
        <w:tc>
          <w:tcPr>
            <w:tcW w:w="2477" w:type="dxa"/>
            <w:vMerge w:val="restart"/>
            <w:vAlign w:val="center"/>
          </w:tcPr>
          <w:p w14:paraId="025392CC" w14:textId="77777777" w:rsidR="00E761F8" w:rsidRPr="00E171E6" w:rsidRDefault="00E761F8" w:rsidP="00A1784D">
            <w:pPr>
              <w:tabs>
                <w:tab w:val="left" w:pos="1457"/>
              </w:tabs>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Behaviours</w:t>
            </w:r>
          </w:p>
        </w:tc>
        <w:tc>
          <w:tcPr>
            <w:tcW w:w="4247" w:type="dxa"/>
            <w:vAlign w:val="center"/>
          </w:tcPr>
          <w:p w14:paraId="5B3341DF" w14:textId="77777777" w:rsidR="00E761F8" w:rsidRPr="00E171E6" w:rsidRDefault="00E761F8" w:rsidP="00A1784D">
            <w:pPr>
              <w:tabs>
                <w:tab w:val="left" w:pos="1457"/>
              </w:tabs>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color w:val="000000"/>
                <w:sz w:val="20"/>
                <w:szCs w:val="20"/>
                <w:lang w:eastAsia="en-GB"/>
              </w:rPr>
              <w:t>Personal Behaviours</w:t>
            </w:r>
          </w:p>
        </w:tc>
        <w:tc>
          <w:tcPr>
            <w:tcW w:w="884" w:type="dxa"/>
            <w:vAlign w:val="center"/>
          </w:tcPr>
          <w:p w14:paraId="5872F6D5"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sz w:val="20"/>
                <w:szCs w:val="20"/>
                <w:lang w:eastAsia="en-GB"/>
              </w:rPr>
              <w:t>3</w:t>
            </w:r>
          </w:p>
        </w:tc>
        <w:tc>
          <w:tcPr>
            <w:tcW w:w="884" w:type="dxa"/>
            <w:vMerge w:val="restart"/>
            <w:vAlign w:val="center"/>
          </w:tcPr>
          <w:p w14:paraId="4D742CA9"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4</w:t>
            </w:r>
          </w:p>
        </w:tc>
      </w:tr>
      <w:tr w:rsidR="00E761F8" w:rsidRPr="00E171E6" w14:paraId="17AD4CAF" w14:textId="77777777" w:rsidTr="00A1784D">
        <w:trPr>
          <w:trHeight w:val="254"/>
        </w:trPr>
        <w:tc>
          <w:tcPr>
            <w:tcW w:w="1061" w:type="dxa"/>
            <w:vMerge/>
          </w:tcPr>
          <w:p w14:paraId="0974AA12" w14:textId="77777777" w:rsidR="00E761F8" w:rsidRPr="00E171E6" w:rsidRDefault="00E761F8" w:rsidP="00A1784D">
            <w:pPr>
              <w:tabs>
                <w:tab w:val="left" w:pos="1457"/>
              </w:tabs>
              <w:contextualSpacing/>
              <w:rPr>
                <w:rFonts w:eastAsia="Times New Roman" w:cstheme="minorHAnsi"/>
                <w:b/>
                <w:bCs/>
                <w:color w:val="000000"/>
                <w:lang w:eastAsia="en-GB"/>
              </w:rPr>
            </w:pPr>
          </w:p>
        </w:tc>
        <w:tc>
          <w:tcPr>
            <w:tcW w:w="2477" w:type="dxa"/>
            <w:vMerge/>
          </w:tcPr>
          <w:p w14:paraId="5BAD2551" w14:textId="77777777" w:rsidR="00E761F8" w:rsidRPr="00E171E6" w:rsidRDefault="00E761F8" w:rsidP="00A1784D">
            <w:pPr>
              <w:tabs>
                <w:tab w:val="left" w:pos="1457"/>
              </w:tabs>
              <w:contextualSpacing/>
              <w:rPr>
                <w:rFonts w:asciiTheme="majorHAnsi" w:eastAsia="Times New Roman" w:hAnsiTheme="majorHAnsi" w:cstheme="majorHAnsi"/>
                <w:color w:val="000000"/>
                <w:sz w:val="20"/>
                <w:szCs w:val="20"/>
                <w:lang w:eastAsia="en-GB"/>
              </w:rPr>
            </w:pPr>
          </w:p>
        </w:tc>
        <w:tc>
          <w:tcPr>
            <w:tcW w:w="4247" w:type="dxa"/>
            <w:vAlign w:val="center"/>
          </w:tcPr>
          <w:p w14:paraId="1C7D77C8" w14:textId="77777777" w:rsidR="00E761F8" w:rsidRPr="00E171E6" w:rsidRDefault="00E761F8" w:rsidP="00A1784D">
            <w:pPr>
              <w:tabs>
                <w:tab w:val="left" w:pos="1457"/>
              </w:tabs>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Personal Motivation</w:t>
            </w:r>
          </w:p>
        </w:tc>
        <w:tc>
          <w:tcPr>
            <w:tcW w:w="884" w:type="dxa"/>
            <w:vAlign w:val="center"/>
          </w:tcPr>
          <w:p w14:paraId="146907F4"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1</w:t>
            </w:r>
          </w:p>
        </w:tc>
        <w:tc>
          <w:tcPr>
            <w:tcW w:w="884" w:type="dxa"/>
            <w:vMerge/>
            <w:vAlign w:val="center"/>
          </w:tcPr>
          <w:p w14:paraId="1C62DC62"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p>
        </w:tc>
      </w:tr>
      <w:tr w:rsidR="00E761F8" w:rsidRPr="00E171E6" w14:paraId="605EB659" w14:textId="77777777" w:rsidTr="00A1784D">
        <w:trPr>
          <w:trHeight w:val="226"/>
        </w:trPr>
        <w:tc>
          <w:tcPr>
            <w:tcW w:w="1061" w:type="dxa"/>
            <w:vMerge/>
          </w:tcPr>
          <w:p w14:paraId="6E638813" w14:textId="77777777" w:rsidR="00E761F8" w:rsidRPr="00E171E6" w:rsidRDefault="00E761F8" w:rsidP="00A1784D">
            <w:pPr>
              <w:tabs>
                <w:tab w:val="left" w:pos="3181"/>
              </w:tabs>
              <w:contextualSpacing/>
              <w:rPr>
                <w:rFonts w:eastAsia="Times New Roman" w:cstheme="minorHAnsi"/>
                <w:b/>
                <w:bCs/>
                <w:color w:val="000000"/>
                <w:lang w:eastAsia="en-GB"/>
              </w:rPr>
            </w:pPr>
          </w:p>
        </w:tc>
        <w:tc>
          <w:tcPr>
            <w:tcW w:w="2477" w:type="dxa"/>
            <w:vMerge w:val="restart"/>
            <w:vAlign w:val="center"/>
          </w:tcPr>
          <w:p w14:paraId="7B682B13" w14:textId="77777777" w:rsidR="00E761F8" w:rsidRPr="00E171E6" w:rsidRDefault="00E761F8" w:rsidP="00A1784D">
            <w:pPr>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Crime &amp; Safety</w:t>
            </w:r>
          </w:p>
        </w:tc>
        <w:tc>
          <w:tcPr>
            <w:tcW w:w="4247" w:type="dxa"/>
            <w:vAlign w:val="center"/>
          </w:tcPr>
          <w:p w14:paraId="66496093" w14:textId="77777777" w:rsidR="00E761F8" w:rsidRPr="00E171E6" w:rsidRDefault="00E761F8" w:rsidP="00A1784D">
            <w:pPr>
              <w:tabs>
                <w:tab w:val="left" w:pos="3181"/>
              </w:tabs>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color w:val="000000"/>
                <w:sz w:val="20"/>
                <w:szCs w:val="20"/>
                <w:lang w:eastAsia="en-GB"/>
              </w:rPr>
              <w:t>Crime</w:t>
            </w:r>
          </w:p>
        </w:tc>
        <w:tc>
          <w:tcPr>
            <w:tcW w:w="884" w:type="dxa"/>
            <w:vAlign w:val="center"/>
          </w:tcPr>
          <w:p w14:paraId="280ADE2A" w14:textId="77777777" w:rsidR="00E761F8" w:rsidRPr="00E171E6" w:rsidRDefault="00E761F8" w:rsidP="00A1784D">
            <w:pPr>
              <w:tabs>
                <w:tab w:val="left" w:pos="854"/>
              </w:tabs>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sz w:val="20"/>
                <w:szCs w:val="20"/>
                <w:lang w:eastAsia="en-GB"/>
              </w:rPr>
              <w:t>5</w:t>
            </w:r>
          </w:p>
        </w:tc>
        <w:tc>
          <w:tcPr>
            <w:tcW w:w="884" w:type="dxa"/>
            <w:vMerge w:val="restart"/>
            <w:vAlign w:val="center"/>
          </w:tcPr>
          <w:p w14:paraId="43F9C747" w14:textId="77777777" w:rsidR="00E761F8" w:rsidRPr="00E171E6" w:rsidRDefault="00E761F8" w:rsidP="00A1784D">
            <w:pPr>
              <w:tabs>
                <w:tab w:val="left" w:pos="854"/>
              </w:tabs>
              <w:contextualSpacing/>
              <w:jc w:val="center"/>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19</w:t>
            </w:r>
          </w:p>
        </w:tc>
      </w:tr>
      <w:tr w:rsidR="00E761F8" w:rsidRPr="00E171E6" w14:paraId="1C7B1A61" w14:textId="77777777" w:rsidTr="00A1784D">
        <w:trPr>
          <w:trHeight w:val="263"/>
        </w:trPr>
        <w:tc>
          <w:tcPr>
            <w:tcW w:w="1061" w:type="dxa"/>
            <w:vMerge/>
          </w:tcPr>
          <w:p w14:paraId="2C866015" w14:textId="77777777" w:rsidR="00E761F8" w:rsidRPr="00E171E6" w:rsidRDefault="00E761F8" w:rsidP="00A1784D">
            <w:pPr>
              <w:tabs>
                <w:tab w:val="left" w:pos="3181"/>
              </w:tabs>
              <w:contextualSpacing/>
              <w:rPr>
                <w:rFonts w:eastAsia="Times New Roman" w:cstheme="minorHAnsi"/>
                <w:b/>
                <w:bCs/>
                <w:color w:val="000000"/>
                <w:lang w:eastAsia="en-GB"/>
              </w:rPr>
            </w:pPr>
          </w:p>
        </w:tc>
        <w:tc>
          <w:tcPr>
            <w:tcW w:w="2477" w:type="dxa"/>
            <w:vMerge/>
          </w:tcPr>
          <w:p w14:paraId="3A20C0BF" w14:textId="77777777" w:rsidR="00E761F8" w:rsidRPr="00E171E6" w:rsidRDefault="00E761F8" w:rsidP="00A1784D">
            <w:pPr>
              <w:tabs>
                <w:tab w:val="left" w:pos="3181"/>
              </w:tabs>
              <w:contextualSpacing/>
              <w:rPr>
                <w:rFonts w:asciiTheme="majorHAnsi" w:eastAsia="Times New Roman" w:hAnsiTheme="majorHAnsi" w:cstheme="majorHAnsi"/>
                <w:color w:val="000000"/>
                <w:sz w:val="20"/>
                <w:szCs w:val="20"/>
                <w:lang w:eastAsia="en-GB"/>
              </w:rPr>
            </w:pPr>
          </w:p>
        </w:tc>
        <w:tc>
          <w:tcPr>
            <w:tcW w:w="4247" w:type="dxa"/>
            <w:vAlign w:val="center"/>
          </w:tcPr>
          <w:p w14:paraId="158F454B" w14:textId="77777777" w:rsidR="00E761F8" w:rsidRPr="00E171E6" w:rsidRDefault="00E761F8" w:rsidP="00A1784D">
            <w:pPr>
              <w:tabs>
                <w:tab w:val="left" w:pos="3181"/>
              </w:tabs>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Neighbourhood Reputation</w:t>
            </w:r>
          </w:p>
        </w:tc>
        <w:tc>
          <w:tcPr>
            <w:tcW w:w="884" w:type="dxa"/>
            <w:vAlign w:val="center"/>
          </w:tcPr>
          <w:p w14:paraId="346202EC" w14:textId="77777777" w:rsidR="00E761F8" w:rsidRPr="00E171E6" w:rsidRDefault="00E761F8" w:rsidP="00A1784D">
            <w:pPr>
              <w:tabs>
                <w:tab w:val="left" w:pos="854"/>
              </w:tabs>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2</w:t>
            </w:r>
          </w:p>
        </w:tc>
        <w:tc>
          <w:tcPr>
            <w:tcW w:w="884" w:type="dxa"/>
            <w:vMerge/>
            <w:vAlign w:val="center"/>
          </w:tcPr>
          <w:p w14:paraId="2F16E5D0" w14:textId="77777777" w:rsidR="00E761F8" w:rsidRPr="00E171E6" w:rsidRDefault="00E761F8" w:rsidP="00A1784D">
            <w:pPr>
              <w:tabs>
                <w:tab w:val="left" w:pos="854"/>
              </w:tabs>
              <w:contextualSpacing/>
              <w:jc w:val="center"/>
              <w:rPr>
                <w:rFonts w:asciiTheme="majorHAnsi" w:eastAsia="Times New Roman" w:hAnsiTheme="majorHAnsi" w:cstheme="majorHAnsi"/>
                <w:color w:val="000000"/>
                <w:sz w:val="20"/>
                <w:szCs w:val="20"/>
                <w:lang w:eastAsia="en-GB"/>
              </w:rPr>
            </w:pPr>
          </w:p>
        </w:tc>
      </w:tr>
      <w:tr w:rsidR="00E761F8" w:rsidRPr="00E171E6" w14:paraId="17415A14" w14:textId="77777777" w:rsidTr="00A1784D">
        <w:trPr>
          <w:trHeight w:val="263"/>
        </w:trPr>
        <w:tc>
          <w:tcPr>
            <w:tcW w:w="1061" w:type="dxa"/>
            <w:vMerge/>
          </w:tcPr>
          <w:p w14:paraId="39AFCF75" w14:textId="77777777" w:rsidR="00E761F8" w:rsidRPr="00E171E6" w:rsidRDefault="00E761F8" w:rsidP="00A1784D">
            <w:pPr>
              <w:tabs>
                <w:tab w:val="left" w:pos="3181"/>
              </w:tabs>
              <w:contextualSpacing/>
              <w:rPr>
                <w:rFonts w:eastAsia="Times New Roman" w:cstheme="minorHAnsi"/>
                <w:b/>
                <w:bCs/>
                <w:color w:val="000000"/>
                <w:lang w:eastAsia="en-GB"/>
              </w:rPr>
            </w:pPr>
          </w:p>
        </w:tc>
        <w:tc>
          <w:tcPr>
            <w:tcW w:w="2477" w:type="dxa"/>
            <w:vMerge/>
          </w:tcPr>
          <w:p w14:paraId="28B69BA3" w14:textId="77777777" w:rsidR="00E761F8" w:rsidRPr="00E171E6" w:rsidRDefault="00E761F8" w:rsidP="00A1784D">
            <w:pPr>
              <w:tabs>
                <w:tab w:val="left" w:pos="3181"/>
              </w:tabs>
              <w:contextualSpacing/>
              <w:rPr>
                <w:rFonts w:asciiTheme="majorHAnsi" w:eastAsia="Times New Roman" w:hAnsiTheme="majorHAnsi" w:cstheme="majorHAnsi"/>
                <w:color w:val="000000"/>
                <w:sz w:val="20"/>
                <w:szCs w:val="20"/>
                <w:lang w:eastAsia="en-GB"/>
              </w:rPr>
            </w:pPr>
          </w:p>
        </w:tc>
        <w:tc>
          <w:tcPr>
            <w:tcW w:w="4247" w:type="dxa"/>
            <w:vAlign w:val="center"/>
          </w:tcPr>
          <w:p w14:paraId="007D97C8" w14:textId="77777777" w:rsidR="00E761F8" w:rsidRPr="00E171E6" w:rsidRDefault="00E761F8" w:rsidP="00A1784D">
            <w:pPr>
              <w:tabs>
                <w:tab w:val="left" w:pos="3181"/>
              </w:tabs>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Neighbourhood Safety</w:t>
            </w:r>
          </w:p>
        </w:tc>
        <w:tc>
          <w:tcPr>
            <w:tcW w:w="884" w:type="dxa"/>
            <w:vAlign w:val="center"/>
          </w:tcPr>
          <w:p w14:paraId="6D3485C8" w14:textId="77777777" w:rsidR="00E761F8" w:rsidRPr="00E171E6" w:rsidRDefault="00E761F8" w:rsidP="00A1784D">
            <w:pPr>
              <w:tabs>
                <w:tab w:val="left" w:pos="854"/>
              </w:tabs>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9</w:t>
            </w:r>
          </w:p>
        </w:tc>
        <w:tc>
          <w:tcPr>
            <w:tcW w:w="884" w:type="dxa"/>
            <w:vMerge/>
            <w:vAlign w:val="center"/>
          </w:tcPr>
          <w:p w14:paraId="12FD375B" w14:textId="77777777" w:rsidR="00E761F8" w:rsidRPr="00E171E6" w:rsidRDefault="00E761F8" w:rsidP="00A1784D">
            <w:pPr>
              <w:tabs>
                <w:tab w:val="left" w:pos="854"/>
              </w:tabs>
              <w:contextualSpacing/>
              <w:jc w:val="center"/>
              <w:rPr>
                <w:rFonts w:asciiTheme="majorHAnsi" w:eastAsia="Times New Roman" w:hAnsiTheme="majorHAnsi" w:cstheme="majorHAnsi"/>
                <w:color w:val="000000"/>
                <w:sz w:val="20"/>
                <w:szCs w:val="20"/>
                <w:lang w:eastAsia="en-GB"/>
              </w:rPr>
            </w:pPr>
          </w:p>
        </w:tc>
      </w:tr>
      <w:tr w:rsidR="00E761F8" w:rsidRPr="00E171E6" w14:paraId="376AB404" w14:textId="77777777" w:rsidTr="00A1784D">
        <w:trPr>
          <w:trHeight w:val="254"/>
        </w:trPr>
        <w:tc>
          <w:tcPr>
            <w:tcW w:w="1061" w:type="dxa"/>
            <w:vMerge/>
          </w:tcPr>
          <w:p w14:paraId="412977B3" w14:textId="77777777" w:rsidR="00E761F8" w:rsidRPr="00E171E6" w:rsidRDefault="00E761F8" w:rsidP="00A1784D">
            <w:pPr>
              <w:contextualSpacing/>
              <w:rPr>
                <w:rFonts w:eastAsia="Times New Roman" w:cstheme="minorHAnsi"/>
                <w:b/>
                <w:bCs/>
                <w:color w:val="000000"/>
                <w:lang w:eastAsia="en-GB"/>
              </w:rPr>
            </w:pPr>
          </w:p>
        </w:tc>
        <w:tc>
          <w:tcPr>
            <w:tcW w:w="2477" w:type="dxa"/>
            <w:vMerge/>
          </w:tcPr>
          <w:p w14:paraId="6EE1DDF9"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p>
        </w:tc>
        <w:tc>
          <w:tcPr>
            <w:tcW w:w="4247" w:type="dxa"/>
            <w:vAlign w:val="center"/>
          </w:tcPr>
          <w:p w14:paraId="6A0D9264"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color w:val="000000"/>
                <w:sz w:val="20"/>
                <w:szCs w:val="20"/>
                <w:lang w:eastAsia="en-GB"/>
              </w:rPr>
              <w:t>Violence</w:t>
            </w:r>
          </w:p>
        </w:tc>
        <w:tc>
          <w:tcPr>
            <w:tcW w:w="884" w:type="dxa"/>
            <w:vAlign w:val="center"/>
          </w:tcPr>
          <w:p w14:paraId="25B5E6C3"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sz w:val="20"/>
                <w:szCs w:val="20"/>
                <w:lang w:eastAsia="en-GB"/>
              </w:rPr>
              <w:t>2</w:t>
            </w:r>
          </w:p>
        </w:tc>
        <w:tc>
          <w:tcPr>
            <w:tcW w:w="884" w:type="dxa"/>
            <w:vMerge/>
            <w:vAlign w:val="center"/>
          </w:tcPr>
          <w:p w14:paraId="4E6297E9"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p>
        </w:tc>
      </w:tr>
      <w:tr w:rsidR="00E761F8" w:rsidRPr="00E171E6" w14:paraId="202C2AD3" w14:textId="77777777" w:rsidTr="00A1784D">
        <w:trPr>
          <w:trHeight w:val="263"/>
        </w:trPr>
        <w:tc>
          <w:tcPr>
            <w:tcW w:w="1061" w:type="dxa"/>
            <w:vMerge/>
          </w:tcPr>
          <w:p w14:paraId="1388C649" w14:textId="77777777" w:rsidR="00E761F8" w:rsidRPr="00E171E6" w:rsidRDefault="00E761F8" w:rsidP="00A1784D">
            <w:pPr>
              <w:contextualSpacing/>
              <w:rPr>
                <w:rFonts w:eastAsia="Times New Roman" w:cstheme="minorHAnsi"/>
                <w:b/>
                <w:bCs/>
                <w:color w:val="000000"/>
                <w:lang w:eastAsia="en-GB"/>
              </w:rPr>
            </w:pPr>
          </w:p>
        </w:tc>
        <w:tc>
          <w:tcPr>
            <w:tcW w:w="2477" w:type="dxa"/>
            <w:vMerge w:val="restart"/>
            <w:vAlign w:val="center"/>
          </w:tcPr>
          <w:p w14:paraId="012BA747" w14:textId="77777777" w:rsidR="00E761F8" w:rsidRPr="00E171E6" w:rsidRDefault="00E761F8" w:rsidP="00A1784D">
            <w:pPr>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Employment &amp; Work</w:t>
            </w:r>
          </w:p>
        </w:tc>
        <w:tc>
          <w:tcPr>
            <w:tcW w:w="4247" w:type="dxa"/>
            <w:vAlign w:val="center"/>
          </w:tcPr>
          <w:p w14:paraId="02BD1096"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color w:val="000000"/>
                <w:sz w:val="20"/>
                <w:szCs w:val="20"/>
                <w:lang w:eastAsia="en-GB"/>
              </w:rPr>
              <w:t>Access to Employment</w:t>
            </w:r>
          </w:p>
        </w:tc>
        <w:tc>
          <w:tcPr>
            <w:tcW w:w="884" w:type="dxa"/>
            <w:vAlign w:val="center"/>
          </w:tcPr>
          <w:p w14:paraId="2A31EA0A"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sz w:val="20"/>
                <w:szCs w:val="20"/>
                <w:lang w:eastAsia="en-GB"/>
              </w:rPr>
              <w:t>4</w:t>
            </w:r>
          </w:p>
        </w:tc>
        <w:tc>
          <w:tcPr>
            <w:tcW w:w="884" w:type="dxa"/>
            <w:vMerge w:val="restart"/>
            <w:vAlign w:val="center"/>
          </w:tcPr>
          <w:p w14:paraId="57EC52AA"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13</w:t>
            </w:r>
          </w:p>
        </w:tc>
      </w:tr>
      <w:tr w:rsidR="00E761F8" w:rsidRPr="00E171E6" w14:paraId="2C4695FF" w14:textId="77777777" w:rsidTr="00A1784D">
        <w:trPr>
          <w:trHeight w:val="263"/>
        </w:trPr>
        <w:tc>
          <w:tcPr>
            <w:tcW w:w="1061" w:type="dxa"/>
            <w:vMerge/>
          </w:tcPr>
          <w:p w14:paraId="5973A164" w14:textId="77777777" w:rsidR="00E761F8" w:rsidRPr="00E171E6" w:rsidRDefault="00E761F8" w:rsidP="00A1784D">
            <w:pPr>
              <w:contextualSpacing/>
              <w:rPr>
                <w:rFonts w:eastAsia="Times New Roman" w:cstheme="minorHAnsi"/>
                <w:b/>
                <w:bCs/>
                <w:color w:val="000000"/>
                <w:lang w:eastAsia="en-GB"/>
              </w:rPr>
            </w:pPr>
          </w:p>
        </w:tc>
        <w:tc>
          <w:tcPr>
            <w:tcW w:w="2477" w:type="dxa"/>
            <w:vMerge/>
          </w:tcPr>
          <w:p w14:paraId="440350C5"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p>
        </w:tc>
        <w:tc>
          <w:tcPr>
            <w:tcW w:w="4247" w:type="dxa"/>
            <w:vAlign w:val="center"/>
          </w:tcPr>
          <w:p w14:paraId="4E3E6E6E"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color w:val="000000"/>
                <w:sz w:val="20"/>
                <w:szCs w:val="20"/>
                <w:lang w:eastAsia="en-GB"/>
              </w:rPr>
              <w:t xml:space="preserve">Employment </w:t>
            </w:r>
          </w:p>
        </w:tc>
        <w:tc>
          <w:tcPr>
            <w:tcW w:w="884" w:type="dxa"/>
            <w:vAlign w:val="center"/>
          </w:tcPr>
          <w:p w14:paraId="4C1F5C22"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sz w:val="20"/>
                <w:szCs w:val="20"/>
                <w:lang w:eastAsia="en-GB"/>
              </w:rPr>
              <w:t>7</w:t>
            </w:r>
          </w:p>
        </w:tc>
        <w:tc>
          <w:tcPr>
            <w:tcW w:w="884" w:type="dxa"/>
            <w:vMerge/>
            <w:vAlign w:val="center"/>
          </w:tcPr>
          <w:p w14:paraId="6A1E6CF3"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p>
        </w:tc>
      </w:tr>
      <w:tr w:rsidR="00E761F8" w:rsidRPr="00E171E6" w14:paraId="220F1847" w14:textId="77777777" w:rsidTr="00A1784D">
        <w:trPr>
          <w:trHeight w:val="263"/>
        </w:trPr>
        <w:tc>
          <w:tcPr>
            <w:tcW w:w="1061" w:type="dxa"/>
            <w:vMerge/>
          </w:tcPr>
          <w:p w14:paraId="2AF52ACF" w14:textId="77777777" w:rsidR="00E761F8" w:rsidRPr="00E171E6" w:rsidRDefault="00E761F8" w:rsidP="00A1784D">
            <w:pPr>
              <w:contextualSpacing/>
              <w:rPr>
                <w:rFonts w:eastAsia="Times New Roman" w:cstheme="minorHAnsi"/>
                <w:b/>
                <w:bCs/>
                <w:color w:val="000000"/>
                <w:lang w:eastAsia="en-GB"/>
              </w:rPr>
            </w:pPr>
          </w:p>
        </w:tc>
        <w:tc>
          <w:tcPr>
            <w:tcW w:w="2477" w:type="dxa"/>
            <w:vMerge/>
          </w:tcPr>
          <w:p w14:paraId="1A781281"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p>
        </w:tc>
        <w:tc>
          <w:tcPr>
            <w:tcW w:w="4247" w:type="dxa"/>
            <w:vAlign w:val="center"/>
          </w:tcPr>
          <w:p w14:paraId="0B6AA766"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color w:val="000000"/>
                <w:sz w:val="20"/>
                <w:szCs w:val="20"/>
                <w:lang w:eastAsia="en-GB"/>
              </w:rPr>
              <w:t>Skills</w:t>
            </w:r>
          </w:p>
        </w:tc>
        <w:tc>
          <w:tcPr>
            <w:tcW w:w="884" w:type="dxa"/>
            <w:vAlign w:val="center"/>
          </w:tcPr>
          <w:p w14:paraId="15A4A0F1"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sz w:val="20"/>
                <w:szCs w:val="20"/>
                <w:lang w:eastAsia="en-GB"/>
              </w:rPr>
              <w:t>2</w:t>
            </w:r>
          </w:p>
        </w:tc>
        <w:tc>
          <w:tcPr>
            <w:tcW w:w="884" w:type="dxa"/>
            <w:vMerge/>
            <w:vAlign w:val="center"/>
          </w:tcPr>
          <w:p w14:paraId="67BEE975"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p>
        </w:tc>
      </w:tr>
      <w:tr w:rsidR="00E761F8" w:rsidRPr="00E171E6" w14:paraId="4E4BE2BF" w14:textId="77777777" w:rsidTr="00A1784D">
        <w:trPr>
          <w:trHeight w:val="150"/>
        </w:trPr>
        <w:tc>
          <w:tcPr>
            <w:tcW w:w="1061" w:type="dxa"/>
            <w:vMerge/>
          </w:tcPr>
          <w:p w14:paraId="38232F6A" w14:textId="77777777" w:rsidR="00E761F8" w:rsidRPr="00E171E6" w:rsidRDefault="00E761F8" w:rsidP="00A1784D">
            <w:pPr>
              <w:contextualSpacing/>
              <w:rPr>
                <w:rFonts w:eastAsia="Times New Roman" w:cstheme="minorHAnsi"/>
                <w:b/>
                <w:bCs/>
                <w:color w:val="000000"/>
                <w:lang w:eastAsia="en-GB"/>
              </w:rPr>
            </w:pPr>
          </w:p>
        </w:tc>
        <w:tc>
          <w:tcPr>
            <w:tcW w:w="2477" w:type="dxa"/>
            <w:vMerge w:val="restart"/>
            <w:vAlign w:val="center"/>
          </w:tcPr>
          <w:p w14:paraId="38DEC442" w14:textId="77777777" w:rsidR="00E761F8" w:rsidRPr="00E171E6" w:rsidRDefault="00E761F8" w:rsidP="00A1784D">
            <w:pPr>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Housing</w:t>
            </w:r>
          </w:p>
        </w:tc>
        <w:tc>
          <w:tcPr>
            <w:tcW w:w="4247" w:type="dxa"/>
            <w:vAlign w:val="center"/>
          </w:tcPr>
          <w:p w14:paraId="551BEE25"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Housing (access to Affordable Housing)</w:t>
            </w:r>
          </w:p>
        </w:tc>
        <w:tc>
          <w:tcPr>
            <w:tcW w:w="884" w:type="dxa"/>
            <w:vAlign w:val="center"/>
          </w:tcPr>
          <w:p w14:paraId="2B8BD6F0"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color w:val="000000"/>
                <w:sz w:val="20"/>
                <w:szCs w:val="20"/>
                <w:lang w:eastAsia="en-GB"/>
              </w:rPr>
              <w:t>10</w:t>
            </w:r>
          </w:p>
        </w:tc>
        <w:tc>
          <w:tcPr>
            <w:tcW w:w="884" w:type="dxa"/>
            <w:vMerge w:val="restart"/>
            <w:vAlign w:val="center"/>
          </w:tcPr>
          <w:p w14:paraId="2EC17255"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14</w:t>
            </w:r>
          </w:p>
        </w:tc>
      </w:tr>
      <w:tr w:rsidR="00E761F8" w:rsidRPr="00E171E6" w14:paraId="41005C95" w14:textId="77777777" w:rsidTr="00A1784D">
        <w:trPr>
          <w:trHeight w:val="263"/>
        </w:trPr>
        <w:tc>
          <w:tcPr>
            <w:tcW w:w="1061" w:type="dxa"/>
            <w:vMerge/>
          </w:tcPr>
          <w:p w14:paraId="5046983F" w14:textId="77777777" w:rsidR="00E761F8" w:rsidRPr="00E171E6" w:rsidRDefault="00E761F8" w:rsidP="00A1784D">
            <w:pPr>
              <w:tabs>
                <w:tab w:val="left" w:pos="2713"/>
              </w:tabs>
              <w:contextualSpacing/>
              <w:rPr>
                <w:rFonts w:eastAsia="Times New Roman" w:cstheme="minorHAnsi"/>
                <w:b/>
                <w:bCs/>
                <w:color w:val="000000"/>
                <w:lang w:eastAsia="en-GB"/>
              </w:rPr>
            </w:pPr>
          </w:p>
        </w:tc>
        <w:tc>
          <w:tcPr>
            <w:tcW w:w="2477" w:type="dxa"/>
            <w:vMerge/>
          </w:tcPr>
          <w:p w14:paraId="3F4B8114" w14:textId="77777777" w:rsidR="00E761F8" w:rsidRPr="00E171E6" w:rsidRDefault="00E761F8" w:rsidP="00A1784D">
            <w:pPr>
              <w:tabs>
                <w:tab w:val="left" w:pos="2713"/>
              </w:tabs>
              <w:contextualSpacing/>
              <w:rPr>
                <w:rFonts w:asciiTheme="majorHAnsi" w:eastAsia="Times New Roman" w:hAnsiTheme="majorHAnsi" w:cstheme="majorHAnsi"/>
                <w:color w:val="000000"/>
                <w:sz w:val="20"/>
                <w:szCs w:val="20"/>
                <w:lang w:eastAsia="en-GB"/>
              </w:rPr>
            </w:pPr>
          </w:p>
        </w:tc>
        <w:tc>
          <w:tcPr>
            <w:tcW w:w="4247" w:type="dxa"/>
            <w:vAlign w:val="center"/>
          </w:tcPr>
          <w:p w14:paraId="4EA3AE16" w14:textId="77777777" w:rsidR="00E761F8" w:rsidRPr="00E171E6" w:rsidRDefault="00E761F8" w:rsidP="00A1784D">
            <w:pPr>
              <w:tabs>
                <w:tab w:val="left" w:pos="2713"/>
              </w:tabs>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Housing (Home-making Practices)</w:t>
            </w:r>
          </w:p>
        </w:tc>
        <w:tc>
          <w:tcPr>
            <w:tcW w:w="884" w:type="dxa"/>
            <w:vAlign w:val="center"/>
          </w:tcPr>
          <w:p w14:paraId="785A6951"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sz w:val="20"/>
                <w:szCs w:val="20"/>
                <w:lang w:eastAsia="en-GB"/>
              </w:rPr>
              <w:t>1</w:t>
            </w:r>
          </w:p>
        </w:tc>
        <w:tc>
          <w:tcPr>
            <w:tcW w:w="884" w:type="dxa"/>
            <w:vMerge/>
            <w:vAlign w:val="center"/>
          </w:tcPr>
          <w:p w14:paraId="3F8734C6"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p>
        </w:tc>
      </w:tr>
      <w:tr w:rsidR="00E761F8" w:rsidRPr="00E171E6" w14:paraId="2BE2514D" w14:textId="77777777" w:rsidTr="00A1784D">
        <w:trPr>
          <w:trHeight w:val="263"/>
        </w:trPr>
        <w:tc>
          <w:tcPr>
            <w:tcW w:w="1061" w:type="dxa"/>
            <w:vMerge/>
          </w:tcPr>
          <w:p w14:paraId="45EC9300" w14:textId="77777777" w:rsidR="00E761F8" w:rsidRPr="00E171E6" w:rsidRDefault="00E761F8" w:rsidP="00A1784D">
            <w:pPr>
              <w:tabs>
                <w:tab w:val="left" w:pos="2713"/>
              </w:tabs>
              <w:contextualSpacing/>
              <w:rPr>
                <w:rFonts w:eastAsia="Times New Roman" w:cstheme="minorHAnsi"/>
                <w:b/>
                <w:bCs/>
                <w:color w:val="000000"/>
                <w:lang w:eastAsia="en-GB"/>
              </w:rPr>
            </w:pPr>
          </w:p>
        </w:tc>
        <w:tc>
          <w:tcPr>
            <w:tcW w:w="2477" w:type="dxa"/>
            <w:vMerge/>
          </w:tcPr>
          <w:p w14:paraId="1FD03CCC" w14:textId="77777777" w:rsidR="00E761F8" w:rsidRPr="00E171E6" w:rsidRDefault="00E761F8" w:rsidP="00A1784D">
            <w:pPr>
              <w:tabs>
                <w:tab w:val="left" w:pos="2713"/>
              </w:tabs>
              <w:contextualSpacing/>
              <w:rPr>
                <w:rFonts w:asciiTheme="majorHAnsi" w:eastAsia="Times New Roman" w:hAnsiTheme="majorHAnsi" w:cstheme="majorHAnsi"/>
                <w:color w:val="000000"/>
                <w:sz w:val="20"/>
                <w:szCs w:val="20"/>
                <w:lang w:eastAsia="en-GB"/>
              </w:rPr>
            </w:pPr>
          </w:p>
        </w:tc>
        <w:tc>
          <w:tcPr>
            <w:tcW w:w="4247" w:type="dxa"/>
            <w:vAlign w:val="center"/>
          </w:tcPr>
          <w:p w14:paraId="12B910C4" w14:textId="77777777" w:rsidR="00E761F8" w:rsidRPr="00E171E6" w:rsidRDefault="00E761F8" w:rsidP="00A1784D">
            <w:pPr>
              <w:tabs>
                <w:tab w:val="left" w:pos="2713"/>
              </w:tabs>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Housing (length of tenure/stay)</w:t>
            </w:r>
          </w:p>
        </w:tc>
        <w:tc>
          <w:tcPr>
            <w:tcW w:w="884" w:type="dxa"/>
            <w:vAlign w:val="center"/>
          </w:tcPr>
          <w:p w14:paraId="60C4DA96"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1</w:t>
            </w:r>
          </w:p>
        </w:tc>
        <w:tc>
          <w:tcPr>
            <w:tcW w:w="884" w:type="dxa"/>
            <w:vMerge/>
            <w:vAlign w:val="center"/>
          </w:tcPr>
          <w:p w14:paraId="7B028CD9"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p>
        </w:tc>
      </w:tr>
      <w:tr w:rsidR="00E761F8" w:rsidRPr="00E171E6" w14:paraId="2D2CD073" w14:textId="77777777" w:rsidTr="00A1784D">
        <w:trPr>
          <w:trHeight w:val="254"/>
        </w:trPr>
        <w:tc>
          <w:tcPr>
            <w:tcW w:w="1061" w:type="dxa"/>
            <w:vMerge/>
          </w:tcPr>
          <w:p w14:paraId="2455C32D" w14:textId="77777777" w:rsidR="00E761F8" w:rsidRPr="00E171E6" w:rsidRDefault="00E761F8" w:rsidP="00A1784D">
            <w:pPr>
              <w:contextualSpacing/>
              <w:rPr>
                <w:rFonts w:eastAsia="Times New Roman" w:cstheme="minorHAnsi"/>
                <w:b/>
                <w:bCs/>
                <w:color w:val="000000"/>
                <w:lang w:eastAsia="en-GB"/>
              </w:rPr>
            </w:pPr>
          </w:p>
        </w:tc>
        <w:tc>
          <w:tcPr>
            <w:tcW w:w="2477" w:type="dxa"/>
            <w:vMerge w:val="restart"/>
            <w:vAlign w:val="center"/>
          </w:tcPr>
          <w:p w14:paraId="092D64C6" w14:textId="77777777" w:rsidR="00E761F8"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 xml:space="preserve">Social </w:t>
            </w:r>
            <w:r>
              <w:rPr>
                <w:rFonts w:asciiTheme="majorHAnsi" w:eastAsia="Times New Roman" w:hAnsiTheme="majorHAnsi" w:cstheme="majorHAnsi"/>
                <w:color w:val="000000"/>
                <w:sz w:val="20"/>
                <w:szCs w:val="20"/>
                <w:lang w:eastAsia="en-GB"/>
              </w:rPr>
              <w:t>N</w:t>
            </w:r>
            <w:r w:rsidRPr="00E171E6">
              <w:rPr>
                <w:rFonts w:asciiTheme="majorHAnsi" w:eastAsia="Times New Roman" w:hAnsiTheme="majorHAnsi" w:cstheme="majorHAnsi"/>
                <w:color w:val="000000"/>
                <w:sz w:val="20"/>
                <w:szCs w:val="20"/>
                <w:lang w:eastAsia="en-GB"/>
              </w:rPr>
              <w:t xml:space="preserve">etworks, </w:t>
            </w:r>
          </w:p>
          <w:p w14:paraId="2D7FC816"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Pr>
                <w:rFonts w:asciiTheme="majorHAnsi" w:eastAsia="Times New Roman" w:hAnsiTheme="majorHAnsi" w:cstheme="majorHAnsi"/>
                <w:color w:val="000000"/>
                <w:sz w:val="20"/>
                <w:szCs w:val="20"/>
                <w:lang w:eastAsia="en-GB"/>
              </w:rPr>
              <w:t>S</w:t>
            </w:r>
            <w:r w:rsidRPr="00E171E6">
              <w:rPr>
                <w:rFonts w:asciiTheme="majorHAnsi" w:eastAsia="Times New Roman" w:hAnsiTheme="majorHAnsi" w:cstheme="majorHAnsi"/>
                <w:color w:val="000000"/>
                <w:sz w:val="20"/>
                <w:szCs w:val="20"/>
                <w:lang w:eastAsia="en-GB"/>
              </w:rPr>
              <w:t>upport</w:t>
            </w:r>
            <w:r>
              <w:rPr>
                <w:rFonts w:asciiTheme="majorHAnsi" w:eastAsia="Times New Roman" w:hAnsiTheme="majorHAnsi" w:cstheme="majorHAnsi"/>
                <w:color w:val="000000"/>
                <w:sz w:val="20"/>
                <w:szCs w:val="20"/>
                <w:lang w:eastAsia="en-GB"/>
              </w:rPr>
              <w:t xml:space="preserve"> </w:t>
            </w:r>
            <w:r w:rsidRPr="00E171E6">
              <w:rPr>
                <w:rFonts w:asciiTheme="majorHAnsi" w:eastAsia="Times New Roman" w:hAnsiTheme="majorHAnsi" w:cstheme="majorHAnsi"/>
                <w:color w:val="000000"/>
                <w:sz w:val="20"/>
                <w:szCs w:val="20"/>
                <w:lang w:eastAsia="en-GB"/>
              </w:rPr>
              <w:t>&amp;</w:t>
            </w:r>
            <w:r>
              <w:rPr>
                <w:rFonts w:asciiTheme="majorHAnsi" w:eastAsia="Times New Roman" w:hAnsiTheme="majorHAnsi" w:cstheme="majorHAnsi"/>
                <w:color w:val="000000"/>
                <w:sz w:val="20"/>
                <w:szCs w:val="20"/>
                <w:lang w:eastAsia="en-GB"/>
              </w:rPr>
              <w:t xml:space="preserve"> E</w:t>
            </w:r>
            <w:r w:rsidRPr="00E171E6">
              <w:rPr>
                <w:rFonts w:asciiTheme="majorHAnsi" w:eastAsia="Times New Roman" w:hAnsiTheme="majorHAnsi" w:cstheme="majorHAnsi"/>
                <w:color w:val="000000"/>
                <w:sz w:val="20"/>
                <w:szCs w:val="20"/>
                <w:lang w:eastAsia="en-GB"/>
              </w:rPr>
              <w:t>xclusion</w:t>
            </w:r>
          </w:p>
        </w:tc>
        <w:tc>
          <w:tcPr>
            <w:tcW w:w="4247" w:type="dxa"/>
            <w:vAlign w:val="center"/>
          </w:tcPr>
          <w:p w14:paraId="1A2BCAC3"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Quality of Social &amp; Familial Networks</w:t>
            </w:r>
          </w:p>
        </w:tc>
        <w:tc>
          <w:tcPr>
            <w:tcW w:w="884" w:type="dxa"/>
            <w:vAlign w:val="center"/>
          </w:tcPr>
          <w:p w14:paraId="1D0E5B5B"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sz w:val="20"/>
                <w:szCs w:val="20"/>
                <w:lang w:eastAsia="en-GB"/>
              </w:rPr>
              <w:t>1</w:t>
            </w:r>
          </w:p>
        </w:tc>
        <w:tc>
          <w:tcPr>
            <w:tcW w:w="884" w:type="dxa"/>
            <w:vMerge w:val="restart"/>
            <w:vAlign w:val="center"/>
          </w:tcPr>
          <w:p w14:paraId="4AD37498"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21</w:t>
            </w:r>
          </w:p>
        </w:tc>
      </w:tr>
      <w:tr w:rsidR="00E761F8" w:rsidRPr="00E171E6" w14:paraId="5E6B8E30" w14:textId="77777777" w:rsidTr="00A1784D">
        <w:trPr>
          <w:trHeight w:val="263"/>
        </w:trPr>
        <w:tc>
          <w:tcPr>
            <w:tcW w:w="1061" w:type="dxa"/>
            <w:vMerge/>
          </w:tcPr>
          <w:p w14:paraId="2B458E77" w14:textId="77777777" w:rsidR="00E761F8" w:rsidRPr="00E171E6" w:rsidRDefault="00E761F8" w:rsidP="00A1784D">
            <w:pPr>
              <w:contextualSpacing/>
              <w:rPr>
                <w:rFonts w:eastAsia="Times New Roman" w:cstheme="minorHAnsi"/>
                <w:b/>
                <w:bCs/>
                <w:color w:val="000000"/>
                <w:lang w:eastAsia="en-GB"/>
              </w:rPr>
            </w:pPr>
          </w:p>
        </w:tc>
        <w:tc>
          <w:tcPr>
            <w:tcW w:w="2477" w:type="dxa"/>
            <w:vMerge/>
          </w:tcPr>
          <w:p w14:paraId="26773809"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p>
        </w:tc>
        <w:tc>
          <w:tcPr>
            <w:tcW w:w="4247" w:type="dxa"/>
            <w:vAlign w:val="center"/>
          </w:tcPr>
          <w:p w14:paraId="46AD6BB7"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Sense of Belonging</w:t>
            </w:r>
          </w:p>
        </w:tc>
        <w:tc>
          <w:tcPr>
            <w:tcW w:w="884" w:type="dxa"/>
            <w:vAlign w:val="center"/>
          </w:tcPr>
          <w:p w14:paraId="060A1909"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1</w:t>
            </w:r>
          </w:p>
        </w:tc>
        <w:tc>
          <w:tcPr>
            <w:tcW w:w="884" w:type="dxa"/>
            <w:vMerge/>
            <w:vAlign w:val="center"/>
          </w:tcPr>
          <w:p w14:paraId="4C6F21AB"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p>
        </w:tc>
      </w:tr>
      <w:tr w:rsidR="00E761F8" w:rsidRPr="00E171E6" w14:paraId="15E83627" w14:textId="77777777" w:rsidTr="00A1784D">
        <w:trPr>
          <w:trHeight w:val="263"/>
        </w:trPr>
        <w:tc>
          <w:tcPr>
            <w:tcW w:w="1061" w:type="dxa"/>
            <w:vMerge/>
          </w:tcPr>
          <w:p w14:paraId="5F3AA4F2" w14:textId="77777777" w:rsidR="00E761F8" w:rsidRPr="00E171E6" w:rsidRDefault="00E761F8" w:rsidP="00A1784D">
            <w:pPr>
              <w:contextualSpacing/>
              <w:rPr>
                <w:rFonts w:eastAsia="Times New Roman" w:cstheme="minorHAnsi"/>
                <w:b/>
                <w:bCs/>
                <w:color w:val="000000"/>
                <w:lang w:eastAsia="en-GB"/>
              </w:rPr>
            </w:pPr>
          </w:p>
        </w:tc>
        <w:tc>
          <w:tcPr>
            <w:tcW w:w="2477" w:type="dxa"/>
            <w:vMerge/>
          </w:tcPr>
          <w:p w14:paraId="67D6CC20"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p>
        </w:tc>
        <w:tc>
          <w:tcPr>
            <w:tcW w:w="4247" w:type="dxa"/>
            <w:vAlign w:val="center"/>
          </w:tcPr>
          <w:p w14:paraId="3661DD43"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Social Capital</w:t>
            </w:r>
          </w:p>
        </w:tc>
        <w:tc>
          <w:tcPr>
            <w:tcW w:w="884" w:type="dxa"/>
            <w:vAlign w:val="center"/>
          </w:tcPr>
          <w:p w14:paraId="637233EC"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9</w:t>
            </w:r>
          </w:p>
        </w:tc>
        <w:tc>
          <w:tcPr>
            <w:tcW w:w="884" w:type="dxa"/>
            <w:vMerge/>
            <w:vAlign w:val="center"/>
          </w:tcPr>
          <w:p w14:paraId="2F3EC3BF"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p>
        </w:tc>
      </w:tr>
      <w:tr w:rsidR="00E761F8" w:rsidRPr="00E171E6" w14:paraId="269EC829" w14:textId="77777777" w:rsidTr="00A1784D">
        <w:trPr>
          <w:trHeight w:val="263"/>
        </w:trPr>
        <w:tc>
          <w:tcPr>
            <w:tcW w:w="1061" w:type="dxa"/>
            <w:vMerge/>
          </w:tcPr>
          <w:p w14:paraId="08723FC0" w14:textId="77777777" w:rsidR="00E761F8" w:rsidRPr="00E171E6" w:rsidRDefault="00E761F8" w:rsidP="00A1784D">
            <w:pPr>
              <w:contextualSpacing/>
              <w:rPr>
                <w:rFonts w:eastAsia="Times New Roman" w:cstheme="minorHAnsi"/>
                <w:b/>
                <w:bCs/>
                <w:color w:val="000000"/>
                <w:lang w:eastAsia="en-GB"/>
              </w:rPr>
            </w:pPr>
          </w:p>
        </w:tc>
        <w:tc>
          <w:tcPr>
            <w:tcW w:w="2477" w:type="dxa"/>
            <w:vMerge/>
          </w:tcPr>
          <w:p w14:paraId="22046A77"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p>
        </w:tc>
        <w:tc>
          <w:tcPr>
            <w:tcW w:w="4247" w:type="dxa"/>
            <w:vAlign w:val="center"/>
          </w:tcPr>
          <w:p w14:paraId="1E75162C"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Social Cohesion</w:t>
            </w:r>
          </w:p>
        </w:tc>
        <w:tc>
          <w:tcPr>
            <w:tcW w:w="884" w:type="dxa"/>
            <w:vAlign w:val="center"/>
          </w:tcPr>
          <w:p w14:paraId="0CE05FA4"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1</w:t>
            </w:r>
          </w:p>
        </w:tc>
        <w:tc>
          <w:tcPr>
            <w:tcW w:w="884" w:type="dxa"/>
            <w:vMerge/>
            <w:vAlign w:val="center"/>
          </w:tcPr>
          <w:p w14:paraId="16C1DF43"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p>
        </w:tc>
      </w:tr>
      <w:tr w:rsidR="00E761F8" w:rsidRPr="00E171E6" w14:paraId="44843BCB" w14:textId="77777777" w:rsidTr="00A1784D">
        <w:trPr>
          <w:trHeight w:val="254"/>
        </w:trPr>
        <w:tc>
          <w:tcPr>
            <w:tcW w:w="1061" w:type="dxa"/>
            <w:vMerge/>
          </w:tcPr>
          <w:p w14:paraId="347196ED" w14:textId="77777777" w:rsidR="00E761F8" w:rsidRPr="00E171E6" w:rsidRDefault="00E761F8" w:rsidP="00A1784D">
            <w:pPr>
              <w:contextualSpacing/>
              <w:rPr>
                <w:rFonts w:eastAsia="Times New Roman" w:cstheme="minorHAnsi"/>
                <w:b/>
                <w:bCs/>
                <w:color w:val="000000"/>
                <w:lang w:eastAsia="en-GB"/>
              </w:rPr>
            </w:pPr>
          </w:p>
        </w:tc>
        <w:tc>
          <w:tcPr>
            <w:tcW w:w="2477" w:type="dxa"/>
            <w:vMerge/>
          </w:tcPr>
          <w:p w14:paraId="04B7C743"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p>
        </w:tc>
        <w:tc>
          <w:tcPr>
            <w:tcW w:w="4247" w:type="dxa"/>
            <w:vAlign w:val="center"/>
          </w:tcPr>
          <w:p w14:paraId="1963FB8E"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Social Diversity</w:t>
            </w:r>
          </w:p>
        </w:tc>
        <w:tc>
          <w:tcPr>
            <w:tcW w:w="884" w:type="dxa"/>
            <w:vAlign w:val="center"/>
          </w:tcPr>
          <w:p w14:paraId="2BB6427D"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sz w:val="20"/>
                <w:szCs w:val="20"/>
                <w:lang w:eastAsia="en-GB"/>
              </w:rPr>
              <w:t>2</w:t>
            </w:r>
          </w:p>
        </w:tc>
        <w:tc>
          <w:tcPr>
            <w:tcW w:w="884" w:type="dxa"/>
            <w:vMerge/>
            <w:vAlign w:val="center"/>
          </w:tcPr>
          <w:p w14:paraId="0A218F54"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p>
        </w:tc>
      </w:tr>
      <w:tr w:rsidR="00E761F8" w:rsidRPr="00E171E6" w14:paraId="34F83A73" w14:textId="77777777" w:rsidTr="00A1784D">
        <w:trPr>
          <w:trHeight w:val="263"/>
        </w:trPr>
        <w:tc>
          <w:tcPr>
            <w:tcW w:w="1061" w:type="dxa"/>
            <w:vMerge/>
          </w:tcPr>
          <w:p w14:paraId="1FF6B004" w14:textId="77777777" w:rsidR="00E761F8" w:rsidRPr="00E171E6" w:rsidRDefault="00E761F8" w:rsidP="00A1784D">
            <w:pPr>
              <w:contextualSpacing/>
              <w:rPr>
                <w:rFonts w:eastAsia="Times New Roman" w:cstheme="minorHAnsi"/>
                <w:b/>
                <w:bCs/>
                <w:color w:val="000000"/>
                <w:lang w:eastAsia="en-GB"/>
              </w:rPr>
            </w:pPr>
          </w:p>
        </w:tc>
        <w:tc>
          <w:tcPr>
            <w:tcW w:w="2477" w:type="dxa"/>
            <w:vMerge/>
          </w:tcPr>
          <w:p w14:paraId="55CB580D"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p>
        </w:tc>
        <w:tc>
          <w:tcPr>
            <w:tcW w:w="4247" w:type="dxa"/>
            <w:vAlign w:val="center"/>
          </w:tcPr>
          <w:p w14:paraId="74FDD950"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Social Engagement</w:t>
            </w:r>
          </w:p>
        </w:tc>
        <w:tc>
          <w:tcPr>
            <w:tcW w:w="884" w:type="dxa"/>
            <w:vAlign w:val="center"/>
          </w:tcPr>
          <w:p w14:paraId="4986D629"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2</w:t>
            </w:r>
          </w:p>
        </w:tc>
        <w:tc>
          <w:tcPr>
            <w:tcW w:w="884" w:type="dxa"/>
            <w:vMerge/>
            <w:vAlign w:val="center"/>
          </w:tcPr>
          <w:p w14:paraId="54D2C5B9"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p>
        </w:tc>
      </w:tr>
      <w:tr w:rsidR="00E761F8" w:rsidRPr="00E171E6" w14:paraId="00D0BB9B" w14:textId="77777777" w:rsidTr="00A1784D">
        <w:trPr>
          <w:trHeight w:val="263"/>
        </w:trPr>
        <w:tc>
          <w:tcPr>
            <w:tcW w:w="1061" w:type="dxa"/>
            <w:vMerge/>
          </w:tcPr>
          <w:p w14:paraId="31E72B5D" w14:textId="77777777" w:rsidR="00E761F8" w:rsidRPr="00E171E6" w:rsidRDefault="00E761F8" w:rsidP="00A1784D">
            <w:pPr>
              <w:contextualSpacing/>
              <w:rPr>
                <w:rFonts w:eastAsia="Times New Roman" w:cstheme="minorHAnsi"/>
                <w:b/>
                <w:bCs/>
                <w:color w:val="000000"/>
                <w:lang w:eastAsia="en-GB"/>
              </w:rPr>
            </w:pPr>
          </w:p>
        </w:tc>
        <w:tc>
          <w:tcPr>
            <w:tcW w:w="2477" w:type="dxa"/>
            <w:vMerge/>
          </w:tcPr>
          <w:p w14:paraId="0C77639C"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p>
        </w:tc>
        <w:tc>
          <w:tcPr>
            <w:tcW w:w="4247" w:type="dxa"/>
            <w:vAlign w:val="center"/>
          </w:tcPr>
          <w:p w14:paraId="5B34FC76"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Social Exclusion</w:t>
            </w:r>
          </w:p>
        </w:tc>
        <w:tc>
          <w:tcPr>
            <w:tcW w:w="884" w:type="dxa"/>
            <w:vAlign w:val="center"/>
          </w:tcPr>
          <w:p w14:paraId="1AC61BD4"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sz w:val="20"/>
                <w:szCs w:val="20"/>
                <w:lang w:eastAsia="en-GB"/>
              </w:rPr>
              <w:t>3</w:t>
            </w:r>
          </w:p>
        </w:tc>
        <w:tc>
          <w:tcPr>
            <w:tcW w:w="884" w:type="dxa"/>
            <w:vMerge/>
            <w:vAlign w:val="center"/>
          </w:tcPr>
          <w:p w14:paraId="3D264924"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p>
        </w:tc>
      </w:tr>
      <w:tr w:rsidR="00E761F8" w:rsidRPr="00E171E6" w14:paraId="0718B814" w14:textId="77777777" w:rsidTr="00A1784D">
        <w:trPr>
          <w:trHeight w:val="263"/>
        </w:trPr>
        <w:tc>
          <w:tcPr>
            <w:tcW w:w="1061" w:type="dxa"/>
            <w:vMerge/>
          </w:tcPr>
          <w:p w14:paraId="62B9CE65" w14:textId="77777777" w:rsidR="00E761F8" w:rsidRPr="00E171E6" w:rsidRDefault="00E761F8" w:rsidP="00A1784D">
            <w:pPr>
              <w:contextualSpacing/>
              <w:rPr>
                <w:rFonts w:eastAsia="Times New Roman" w:cstheme="minorHAnsi"/>
                <w:b/>
                <w:bCs/>
                <w:color w:val="000000"/>
                <w:lang w:eastAsia="en-GB"/>
              </w:rPr>
            </w:pPr>
          </w:p>
        </w:tc>
        <w:tc>
          <w:tcPr>
            <w:tcW w:w="2477" w:type="dxa"/>
            <w:vMerge/>
          </w:tcPr>
          <w:p w14:paraId="0D2FF587"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p>
        </w:tc>
        <w:tc>
          <w:tcPr>
            <w:tcW w:w="4247" w:type="dxa"/>
            <w:vAlign w:val="center"/>
          </w:tcPr>
          <w:p w14:paraId="03EAEC27"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Discrimination</w:t>
            </w:r>
          </w:p>
        </w:tc>
        <w:tc>
          <w:tcPr>
            <w:tcW w:w="884" w:type="dxa"/>
            <w:vAlign w:val="center"/>
          </w:tcPr>
          <w:p w14:paraId="667238CE"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sz w:val="20"/>
                <w:szCs w:val="20"/>
                <w:lang w:eastAsia="en-GB"/>
              </w:rPr>
              <w:t>2</w:t>
            </w:r>
          </w:p>
        </w:tc>
        <w:tc>
          <w:tcPr>
            <w:tcW w:w="884" w:type="dxa"/>
            <w:vMerge/>
            <w:vAlign w:val="center"/>
          </w:tcPr>
          <w:p w14:paraId="46FA3038"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p>
        </w:tc>
      </w:tr>
      <w:tr w:rsidR="00E761F8" w:rsidRPr="00E171E6" w14:paraId="53E04F39" w14:textId="77777777" w:rsidTr="00A1784D">
        <w:trPr>
          <w:trHeight w:val="254"/>
        </w:trPr>
        <w:tc>
          <w:tcPr>
            <w:tcW w:w="1061" w:type="dxa"/>
            <w:vMerge/>
          </w:tcPr>
          <w:p w14:paraId="5A5A81AC" w14:textId="77777777" w:rsidR="00E761F8" w:rsidRPr="00E171E6" w:rsidRDefault="00E761F8" w:rsidP="00A1784D">
            <w:pPr>
              <w:contextualSpacing/>
              <w:rPr>
                <w:rFonts w:eastAsia="Times New Roman" w:cstheme="minorHAnsi"/>
                <w:b/>
                <w:bCs/>
                <w:color w:val="000000"/>
                <w:lang w:eastAsia="en-GB"/>
              </w:rPr>
            </w:pPr>
          </w:p>
        </w:tc>
        <w:tc>
          <w:tcPr>
            <w:tcW w:w="2477" w:type="dxa"/>
            <w:vMerge w:val="restart"/>
            <w:vAlign w:val="center"/>
          </w:tcPr>
          <w:p w14:paraId="5D2D9C58" w14:textId="77777777" w:rsidR="00E761F8" w:rsidRPr="00E171E6" w:rsidRDefault="00E761F8" w:rsidP="00A1784D">
            <w:pPr>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Socio-demographics</w:t>
            </w:r>
          </w:p>
        </w:tc>
        <w:tc>
          <w:tcPr>
            <w:tcW w:w="4247" w:type="dxa"/>
            <w:vAlign w:val="center"/>
          </w:tcPr>
          <w:p w14:paraId="39D3B549"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Area (Neighbourhood) Effects</w:t>
            </w:r>
          </w:p>
        </w:tc>
        <w:tc>
          <w:tcPr>
            <w:tcW w:w="884" w:type="dxa"/>
            <w:vAlign w:val="center"/>
          </w:tcPr>
          <w:p w14:paraId="09DE78C8"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sz w:val="20"/>
                <w:szCs w:val="20"/>
                <w:lang w:eastAsia="en-GB"/>
              </w:rPr>
              <w:t>1</w:t>
            </w:r>
          </w:p>
        </w:tc>
        <w:tc>
          <w:tcPr>
            <w:tcW w:w="884" w:type="dxa"/>
            <w:vMerge w:val="restart"/>
            <w:vAlign w:val="center"/>
          </w:tcPr>
          <w:p w14:paraId="36CC3A2B"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4</w:t>
            </w:r>
          </w:p>
        </w:tc>
      </w:tr>
      <w:tr w:rsidR="00E761F8" w:rsidRPr="00E171E6" w14:paraId="65936B6C" w14:textId="77777777" w:rsidTr="00A1784D">
        <w:trPr>
          <w:trHeight w:val="263"/>
        </w:trPr>
        <w:tc>
          <w:tcPr>
            <w:tcW w:w="1061" w:type="dxa"/>
            <w:vMerge/>
          </w:tcPr>
          <w:p w14:paraId="5F4C221C" w14:textId="77777777" w:rsidR="00E761F8" w:rsidRPr="00E171E6" w:rsidRDefault="00E761F8" w:rsidP="00A1784D">
            <w:pPr>
              <w:contextualSpacing/>
              <w:rPr>
                <w:rFonts w:eastAsia="Times New Roman" w:cstheme="minorHAnsi"/>
                <w:b/>
                <w:bCs/>
                <w:color w:val="000000"/>
                <w:lang w:eastAsia="en-GB"/>
              </w:rPr>
            </w:pPr>
          </w:p>
        </w:tc>
        <w:tc>
          <w:tcPr>
            <w:tcW w:w="2477" w:type="dxa"/>
            <w:vMerge/>
          </w:tcPr>
          <w:p w14:paraId="06C5754D"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p>
        </w:tc>
        <w:tc>
          <w:tcPr>
            <w:tcW w:w="4247" w:type="dxa"/>
            <w:vAlign w:val="center"/>
          </w:tcPr>
          <w:p w14:paraId="6031B861"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Demographics</w:t>
            </w:r>
          </w:p>
        </w:tc>
        <w:tc>
          <w:tcPr>
            <w:tcW w:w="884" w:type="dxa"/>
            <w:vAlign w:val="center"/>
          </w:tcPr>
          <w:p w14:paraId="6E7B3DEC"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3</w:t>
            </w:r>
          </w:p>
        </w:tc>
        <w:tc>
          <w:tcPr>
            <w:tcW w:w="884" w:type="dxa"/>
            <w:vMerge/>
            <w:vAlign w:val="center"/>
          </w:tcPr>
          <w:p w14:paraId="09037B07"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p>
        </w:tc>
      </w:tr>
      <w:tr w:rsidR="00E761F8" w:rsidRPr="00E171E6" w14:paraId="7721E877" w14:textId="77777777" w:rsidTr="00A1784D">
        <w:trPr>
          <w:trHeight w:val="263"/>
        </w:trPr>
        <w:tc>
          <w:tcPr>
            <w:tcW w:w="1061" w:type="dxa"/>
            <w:vMerge/>
          </w:tcPr>
          <w:p w14:paraId="638CEAB2" w14:textId="77777777" w:rsidR="00E761F8" w:rsidRPr="00E171E6" w:rsidRDefault="00E761F8" w:rsidP="00A1784D">
            <w:pPr>
              <w:contextualSpacing/>
              <w:rPr>
                <w:rFonts w:eastAsia="Times New Roman" w:cstheme="minorHAnsi"/>
                <w:b/>
                <w:bCs/>
                <w:color w:val="000000"/>
                <w:lang w:eastAsia="en-GB"/>
              </w:rPr>
            </w:pPr>
          </w:p>
        </w:tc>
        <w:tc>
          <w:tcPr>
            <w:tcW w:w="2477" w:type="dxa"/>
            <w:vMerge w:val="restart"/>
            <w:vAlign w:val="center"/>
          </w:tcPr>
          <w:p w14:paraId="30148E0D" w14:textId="77777777" w:rsidR="00E761F8" w:rsidRPr="00E171E6" w:rsidRDefault="00E761F8" w:rsidP="00A1784D">
            <w:pPr>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 xml:space="preserve">Socioeconomic </w:t>
            </w:r>
            <w:r>
              <w:rPr>
                <w:rFonts w:asciiTheme="majorHAnsi" w:eastAsia="Times New Roman" w:hAnsiTheme="majorHAnsi" w:cstheme="majorHAnsi"/>
                <w:color w:val="000000"/>
                <w:sz w:val="20"/>
                <w:szCs w:val="20"/>
                <w:lang w:eastAsia="en-GB"/>
              </w:rPr>
              <w:t>P</w:t>
            </w:r>
            <w:r w:rsidRPr="00E171E6">
              <w:rPr>
                <w:rFonts w:asciiTheme="majorHAnsi" w:eastAsia="Times New Roman" w:hAnsiTheme="majorHAnsi" w:cstheme="majorHAnsi"/>
                <w:color w:val="000000"/>
                <w:sz w:val="20"/>
                <w:szCs w:val="20"/>
                <w:lang w:eastAsia="en-GB"/>
              </w:rPr>
              <w:t>osition</w:t>
            </w:r>
          </w:p>
        </w:tc>
        <w:tc>
          <w:tcPr>
            <w:tcW w:w="4247" w:type="dxa"/>
            <w:vAlign w:val="center"/>
          </w:tcPr>
          <w:p w14:paraId="1F9A44F8"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Education Level</w:t>
            </w:r>
          </w:p>
        </w:tc>
        <w:tc>
          <w:tcPr>
            <w:tcW w:w="884" w:type="dxa"/>
            <w:vAlign w:val="center"/>
          </w:tcPr>
          <w:p w14:paraId="7C549311"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sz w:val="20"/>
                <w:szCs w:val="20"/>
                <w:lang w:eastAsia="en-GB"/>
              </w:rPr>
              <w:t>11</w:t>
            </w:r>
          </w:p>
        </w:tc>
        <w:tc>
          <w:tcPr>
            <w:tcW w:w="884" w:type="dxa"/>
            <w:vMerge w:val="restart"/>
            <w:vAlign w:val="center"/>
          </w:tcPr>
          <w:p w14:paraId="539ADD20"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37</w:t>
            </w:r>
          </w:p>
        </w:tc>
      </w:tr>
      <w:tr w:rsidR="00E761F8" w:rsidRPr="00E171E6" w14:paraId="31C8F474" w14:textId="77777777" w:rsidTr="00A1784D">
        <w:trPr>
          <w:trHeight w:val="263"/>
        </w:trPr>
        <w:tc>
          <w:tcPr>
            <w:tcW w:w="1061" w:type="dxa"/>
            <w:vMerge/>
          </w:tcPr>
          <w:p w14:paraId="6AE0273F" w14:textId="77777777" w:rsidR="00E761F8" w:rsidRPr="00E171E6" w:rsidRDefault="00E761F8" w:rsidP="00A1784D">
            <w:pPr>
              <w:contextualSpacing/>
              <w:rPr>
                <w:rFonts w:eastAsia="Times New Roman" w:cstheme="minorHAnsi"/>
                <w:b/>
                <w:bCs/>
                <w:color w:val="000000"/>
                <w:lang w:eastAsia="en-GB"/>
              </w:rPr>
            </w:pPr>
          </w:p>
        </w:tc>
        <w:tc>
          <w:tcPr>
            <w:tcW w:w="2477" w:type="dxa"/>
            <w:vMerge/>
          </w:tcPr>
          <w:p w14:paraId="344E8C35"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p>
        </w:tc>
        <w:tc>
          <w:tcPr>
            <w:tcW w:w="4247" w:type="dxa"/>
            <w:vAlign w:val="center"/>
          </w:tcPr>
          <w:p w14:paraId="44658B85"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Educational Opportunity</w:t>
            </w:r>
          </w:p>
        </w:tc>
        <w:tc>
          <w:tcPr>
            <w:tcW w:w="884" w:type="dxa"/>
            <w:vAlign w:val="center"/>
          </w:tcPr>
          <w:p w14:paraId="06A644FD"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1</w:t>
            </w:r>
          </w:p>
        </w:tc>
        <w:tc>
          <w:tcPr>
            <w:tcW w:w="884" w:type="dxa"/>
            <w:vMerge/>
            <w:vAlign w:val="center"/>
          </w:tcPr>
          <w:p w14:paraId="33B13EF4"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p>
        </w:tc>
      </w:tr>
      <w:tr w:rsidR="00E761F8" w:rsidRPr="00E171E6" w14:paraId="29528635" w14:textId="77777777" w:rsidTr="00A1784D">
        <w:trPr>
          <w:trHeight w:val="254"/>
        </w:trPr>
        <w:tc>
          <w:tcPr>
            <w:tcW w:w="1061" w:type="dxa"/>
            <w:vMerge/>
          </w:tcPr>
          <w:p w14:paraId="0556C981" w14:textId="77777777" w:rsidR="00E761F8" w:rsidRPr="00E171E6" w:rsidRDefault="00E761F8" w:rsidP="00A1784D">
            <w:pPr>
              <w:contextualSpacing/>
              <w:rPr>
                <w:rFonts w:eastAsia="Times New Roman" w:cstheme="minorHAnsi"/>
                <w:b/>
                <w:bCs/>
                <w:color w:val="000000"/>
                <w:lang w:eastAsia="en-GB"/>
              </w:rPr>
            </w:pPr>
          </w:p>
        </w:tc>
        <w:tc>
          <w:tcPr>
            <w:tcW w:w="2477" w:type="dxa"/>
            <w:vMerge/>
          </w:tcPr>
          <w:p w14:paraId="6D7D18A7"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p>
        </w:tc>
        <w:tc>
          <w:tcPr>
            <w:tcW w:w="4247" w:type="dxa"/>
            <w:vAlign w:val="center"/>
          </w:tcPr>
          <w:p w14:paraId="7327A0BF"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Income (including Poverty)</w:t>
            </w:r>
          </w:p>
        </w:tc>
        <w:tc>
          <w:tcPr>
            <w:tcW w:w="884" w:type="dxa"/>
            <w:vAlign w:val="center"/>
          </w:tcPr>
          <w:p w14:paraId="524EB6BF"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sz w:val="20"/>
                <w:szCs w:val="20"/>
                <w:lang w:eastAsia="en-GB"/>
              </w:rPr>
              <w:t>14</w:t>
            </w:r>
          </w:p>
        </w:tc>
        <w:tc>
          <w:tcPr>
            <w:tcW w:w="884" w:type="dxa"/>
            <w:vMerge/>
            <w:vAlign w:val="center"/>
          </w:tcPr>
          <w:p w14:paraId="30C5A4DD"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p>
        </w:tc>
      </w:tr>
      <w:tr w:rsidR="00E761F8" w:rsidRPr="00E171E6" w14:paraId="17F56B2C" w14:textId="77777777" w:rsidTr="00A1784D">
        <w:trPr>
          <w:trHeight w:val="519"/>
        </w:trPr>
        <w:tc>
          <w:tcPr>
            <w:tcW w:w="1061" w:type="dxa"/>
            <w:vMerge/>
          </w:tcPr>
          <w:p w14:paraId="5DF36383" w14:textId="77777777" w:rsidR="00E761F8" w:rsidRPr="00E171E6" w:rsidRDefault="00E761F8" w:rsidP="00A1784D">
            <w:pPr>
              <w:contextualSpacing/>
              <w:rPr>
                <w:rFonts w:eastAsia="Times New Roman" w:cstheme="minorHAnsi"/>
                <w:b/>
                <w:bCs/>
                <w:color w:val="000000"/>
                <w:lang w:eastAsia="en-GB"/>
              </w:rPr>
            </w:pPr>
          </w:p>
        </w:tc>
        <w:tc>
          <w:tcPr>
            <w:tcW w:w="2477" w:type="dxa"/>
            <w:vMerge/>
          </w:tcPr>
          <w:p w14:paraId="5D3D84A3"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p>
        </w:tc>
        <w:tc>
          <w:tcPr>
            <w:tcW w:w="4247" w:type="dxa"/>
            <w:vAlign w:val="center"/>
          </w:tcPr>
          <w:p w14:paraId="1C163836"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Intergenerational Transmission of Disadvantage</w:t>
            </w:r>
          </w:p>
        </w:tc>
        <w:tc>
          <w:tcPr>
            <w:tcW w:w="884" w:type="dxa"/>
            <w:vAlign w:val="center"/>
          </w:tcPr>
          <w:p w14:paraId="1B771EAD"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sz w:val="20"/>
                <w:szCs w:val="20"/>
                <w:lang w:eastAsia="en-GB"/>
              </w:rPr>
              <w:t>3</w:t>
            </w:r>
          </w:p>
        </w:tc>
        <w:tc>
          <w:tcPr>
            <w:tcW w:w="884" w:type="dxa"/>
            <w:vMerge/>
            <w:vAlign w:val="center"/>
          </w:tcPr>
          <w:p w14:paraId="43E08905"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p>
        </w:tc>
      </w:tr>
      <w:tr w:rsidR="00E761F8" w:rsidRPr="00E171E6" w14:paraId="37832072" w14:textId="77777777" w:rsidTr="00A1784D">
        <w:trPr>
          <w:trHeight w:val="263"/>
        </w:trPr>
        <w:tc>
          <w:tcPr>
            <w:tcW w:w="1061" w:type="dxa"/>
            <w:vMerge/>
          </w:tcPr>
          <w:p w14:paraId="3D1D2F1B" w14:textId="77777777" w:rsidR="00E761F8" w:rsidRPr="00E171E6" w:rsidRDefault="00E761F8" w:rsidP="00A1784D">
            <w:pPr>
              <w:contextualSpacing/>
              <w:rPr>
                <w:rFonts w:eastAsia="Times New Roman" w:cstheme="minorHAnsi"/>
                <w:b/>
                <w:bCs/>
                <w:color w:val="000000"/>
                <w:lang w:eastAsia="en-GB"/>
              </w:rPr>
            </w:pPr>
          </w:p>
        </w:tc>
        <w:tc>
          <w:tcPr>
            <w:tcW w:w="2477" w:type="dxa"/>
            <w:vMerge/>
          </w:tcPr>
          <w:p w14:paraId="23A4FA86"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p>
        </w:tc>
        <w:tc>
          <w:tcPr>
            <w:tcW w:w="4247" w:type="dxa"/>
            <w:vAlign w:val="center"/>
          </w:tcPr>
          <w:p w14:paraId="0B2BA6BF"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Residential Mobility</w:t>
            </w:r>
          </w:p>
        </w:tc>
        <w:tc>
          <w:tcPr>
            <w:tcW w:w="884" w:type="dxa"/>
            <w:vAlign w:val="center"/>
          </w:tcPr>
          <w:p w14:paraId="24A8AC7A"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sz w:val="20"/>
                <w:szCs w:val="20"/>
                <w:lang w:eastAsia="en-GB"/>
              </w:rPr>
              <w:t>6</w:t>
            </w:r>
          </w:p>
        </w:tc>
        <w:tc>
          <w:tcPr>
            <w:tcW w:w="884" w:type="dxa"/>
            <w:vMerge/>
            <w:vAlign w:val="center"/>
          </w:tcPr>
          <w:p w14:paraId="75ED9BE9"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p>
        </w:tc>
      </w:tr>
      <w:tr w:rsidR="00E761F8" w:rsidRPr="00E171E6" w14:paraId="33E68A27" w14:textId="77777777" w:rsidTr="00A1784D">
        <w:trPr>
          <w:trHeight w:val="254"/>
        </w:trPr>
        <w:tc>
          <w:tcPr>
            <w:tcW w:w="1061" w:type="dxa"/>
            <w:vMerge/>
          </w:tcPr>
          <w:p w14:paraId="3C809759" w14:textId="77777777" w:rsidR="00E761F8" w:rsidRPr="00E171E6" w:rsidRDefault="00E761F8" w:rsidP="00A1784D">
            <w:pPr>
              <w:contextualSpacing/>
              <w:rPr>
                <w:rFonts w:eastAsia="Times New Roman" w:cstheme="minorHAnsi"/>
                <w:b/>
                <w:bCs/>
                <w:color w:val="000000"/>
                <w:lang w:eastAsia="en-GB"/>
              </w:rPr>
            </w:pPr>
          </w:p>
        </w:tc>
        <w:tc>
          <w:tcPr>
            <w:tcW w:w="2477" w:type="dxa"/>
            <w:vMerge/>
          </w:tcPr>
          <w:p w14:paraId="2C3AF452"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p>
        </w:tc>
        <w:tc>
          <w:tcPr>
            <w:tcW w:w="4247" w:type="dxa"/>
            <w:vAlign w:val="center"/>
          </w:tcPr>
          <w:p w14:paraId="6CBBB019"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Socioeconomic Status</w:t>
            </w:r>
          </w:p>
        </w:tc>
        <w:tc>
          <w:tcPr>
            <w:tcW w:w="884" w:type="dxa"/>
            <w:vAlign w:val="center"/>
          </w:tcPr>
          <w:p w14:paraId="775FA5C4"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sz w:val="20"/>
                <w:szCs w:val="20"/>
                <w:lang w:eastAsia="en-GB"/>
              </w:rPr>
              <w:t>1</w:t>
            </w:r>
          </w:p>
        </w:tc>
        <w:tc>
          <w:tcPr>
            <w:tcW w:w="884" w:type="dxa"/>
            <w:vMerge/>
            <w:vAlign w:val="center"/>
          </w:tcPr>
          <w:p w14:paraId="2B67459E"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p>
        </w:tc>
      </w:tr>
      <w:tr w:rsidR="00E761F8" w:rsidRPr="00E171E6" w14:paraId="69803908" w14:textId="77777777" w:rsidTr="00A1784D">
        <w:trPr>
          <w:trHeight w:val="263"/>
        </w:trPr>
        <w:tc>
          <w:tcPr>
            <w:tcW w:w="1061" w:type="dxa"/>
            <w:vMerge/>
          </w:tcPr>
          <w:p w14:paraId="2E4EC626" w14:textId="77777777" w:rsidR="00E761F8" w:rsidRPr="00E171E6" w:rsidRDefault="00E761F8" w:rsidP="00A1784D">
            <w:pPr>
              <w:tabs>
                <w:tab w:val="left" w:pos="1273"/>
              </w:tabs>
              <w:contextualSpacing/>
              <w:rPr>
                <w:rFonts w:eastAsia="Times New Roman" w:cstheme="minorHAnsi"/>
                <w:b/>
                <w:bCs/>
                <w:color w:val="000000"/>
                <w:lang w:eastAsia="en-GB"/>
              </w:rPr>
            </w:pPr>
          </w:p>
        </w:tc>
        <w:tc>
          <w:tcPr>
            <w:tcW w:w="2477" w:type="dxa"/>
            <w:vMerge/>
          </w:tcPr>
          <w:p w14:paraId="1F145A53" w14:textId="77777777" w:rsidR="00E761F8" w:rsidRPr="00E171E6" w:rsidRDefault="00E761F8" w:rsidP="00A1784D">
            <w:pPr>
              <w:tabs>
                <w:tab w:val="left" w:pos="1273"/>
              </w:tabs>
              <w:contextualSpacing/>
              <w:rPr>
                <w:rFonts w:asciiTheme="majorHAnsi" w:eastAsia="Times New Roman" w:hAnsiTheme="majorHAnsi" w:cstheme="majorHAnsi"/>
                <w:color w:val="000000"/>
                <w:sz w:val="20"/>
                <w:szCs w:val="20"/>
                <w:lang w:eastAsia="en-GB"/>
              </w:rPr>
            </w:pPr>
          </w:p>
        </w:tc>
        <w:tc>
          <w:tcPr>
            <w:tcW w:w="4247" w:type="dxa"/>
            <w:vAlign w:val="center"/>
          </w:tcPr>
          <w:p w14:paraId="6AD9F6AB" w14:textId="77777777" w:rsidR="00E761F8" w:rsidRPr="00E171E6" w:rsidRDefault="00E761F8" w:rsidP="00A1784D">
            <w:pPr>
              <w:tabs>
                <w:tab w:val="left" w:pos="1273"/>
              </w:tabs>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Wealth</w:t>
            </w:r>
          </w:p>
        </w:tc>
        <w:tc>
          <w:tcPr>
            <w:tcW w:w="884" w:type="dxa"/>
            <w:vAlign w:val="center"/>
          </w:tcPr>
          <w:p w14:paraId="46D8FA21"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sz w:val="20"/>
                <w:szCs w:val="20"/>
                <w:lang w:eastAsia="en-GB"/>
              </w:rPr>
              <w:t>1</w:t>
            </w:r>
          </w:p>
        </w:tc>
        <w:tc>
          <w:tcPr>
            <w:tcW w:w="884" w:type="dxa"/>
            <w:vMerge/>
            <w:vAlign w:val="center"/>
          </w:tcPr>
          <w:p w14:paraId="0D008F25"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p>
        </w:tc>
      </w:tr>
      <w:tr w:rsidR="00E761F8" w:rsidRPr="00E171E6" w14:paraId="01B6E69D" w14:textId="77777777" w:rsidTr="00A1784D">
        <w:trPr>
          <w:trHeight w:val="190"/>
        </w:trPr>
        <w:tc>
          <w:tcPr>
            <w:tcW w:w="1061" w:type="dxa"/>
            <w:vMerge w:val="restart"/>
            <w:textDirection w:val="tbRl"/>
            <w:vAlign w:val="center"/>
          </w:tcPr>
          <w:p w14:paraId="7718E9C1" w14:textId="77777777" w:rsidR="00E761F8" w:rsidRPr="00E171E6" w:rsidRDefault="00E761F8" w:rsidP="00A1784D">
            <w:pPr>
              <w:tabs>
                <w:tab w:val="left" w:pos="1273"/>
              </w:tabs>
              <w:contextualSpacing/>
              <w:jc w:val="center"/>
              <w:rPr>
                <w:rFonts w:eastAsia="Times New Roman"/>
                <w:b/>
                <w:color w:val="000000"/>
                <w:lang w:eastAsia="en-GB"/>
              </w:rPr>
            </w:pPr>
            <w:r w:rsidRPr="701B9583">
              <w:rPr>
                <w:rFonts w:eastAsia="Times New Roman"/>
                <w:b/>
                <w:bCs/>
                <w:color w:val="000000" w:themeColor="text1"/>
                <w:lang w:eastAsia="en-GB"/>
              </w:rPr>
              <w:t>Urban Environment</w:t>
            </w:r>
          </w:p>
        </w:tc>
        <w:tc>
          <w:tcPr>
            <w:tcW w:w="2477" w:type="dxa"/>
            <w:vAlign w:val="center"/>
          </w:tcPr>
          <w:p w14:paraId="11CC8900" w14:textId="77777777" w:rsidR="00E761F8" w:rsidRPr="00E171E6" w:rsidRDefault="00E761F8" w:rsidP="00A1784D">
            <w:pPr>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Housing</w:t>
            </w:r>
          </w:p>
        </w:tc>
        <w:tc>
          <w:tcPr>
            <w:tcW w:w="4247" w:type="dxa"/>
            <w:vAlign w:val="center"/>
          </w:tcPr>
          <w:p w14:paraId="6EB09073"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Housing Quality</w:t>
            </w:r>
          </w:p>
        </w:tc>
        <w:tc>
          <w:tcPr>
            <w:tcW w:w="884" w:type="dxa"/>
            <w:vAlign w:val="center"/>
          </w:tcPr>
          <w:p w14:paraId="06A2889D"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1</w:t>
            </w:r>
          </w:p>
        </w:tc>
        <w:tc>
          <w:tcPr>
            <w:tcW w:w="884" w:type="dxa"/>
            <w:vAlign w:val="center"/>
          </w:tcPr>
          <w:p w14:paraId="245F93D4"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1</w:t>
            </w:r>
          </w:p>
        </w:tc>
      </w:tr>
      <w:tr w:rsidR="00E761F8" w:rsidRPr="00E171E6" w14:paraId="11F2B87A" w14:textId="77777777" w:rsidTr="00A1784D">
        <w:trPr>
          <w:trHeight w:val="263"/>
        </w:trPr>
        <w:tc>
          <w:tcPr>
            <w:tcW w:w="1061" w:type="dxa"/>
            <w:vMerge/>
          </w:tcPr>
          <w:p w14:paraId="60B9CA28"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p>
        </w:tc>
        <w:tc>
          <w:tcPr>
            <w:tcW w:w="2477" w:type="dxa"/>
            <w:vMerge w:val="restart"/>
            <w:vAlign w:val="center"/>
          </w:tcPr>
          <w:p w14:paraId="528D586B" w14:textId="77777777" w:rsidR="00E761F8" w:rsidRPr="00E171E6" w:rsidRDefault="00E761F8" w:rsidP="00A1784D">
            <w:pPr>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Neighbourhood Accessibility</w:t>
            </w:r>
          </w:p>
        </w:tc>
        <w:tc>
          <w:tcPr>
            <w:tcW w:w="4247" w:type="dxa"/>
            <w:vAlign w:val="center"/>
          </w:tcPr>
          <w:p w14:paraId="1385E354"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Access to Facilities/Amenities</w:t>
            </w:r>
          </w:p>
        </w:tc>
        <w:tc>
          <w:tcPr>
            <w:tcW w:w="884" w:type="dxa"/>
            <w:vAlign w:val="center"/>
          </w:tcPr>
          <w:p w14:paraId="126EDAEB" w14:textId="77777777" w:rsidR="00E761F8" w:rsidRPr="00E171E6" w:rsidRDefault="00E761F8" w:rsidP="00A1784D">
            <w:pPr>
              <w:tabs>
                <w:tab w:val="left" w:pos="753"/>
              </w:tabs>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sz w:val="20"/>
                <w:szCs w:val="20"/>
                <w:lang w:eastAsia="en-GB"/>
              </w:rPr>
              <w:t>9</w:t>
            </w:r>
          </w:p>
        </w:tc>
        <w:tc>
          <w:tcPr>
            <w:tcW w:w="884" w:type="dxa"/>
            <w:vMerge w:val="restart"/>
            <w:vAlign w:val="center"/>
          </w:tcPr>
          <w:p w14:paraId="41D13533" w14:textId="77777777" w:rsidR="00E761F8" w:rsidRPr="00E171E6" w:rsidRDefault="00E761F8" w:rsidP="00A1784D">
            <w:pPr>
              <w:tabs>
                <w:tab w:val="left" w:pos="753"/>
              </w:tabs>
              <w:contextualSpacing/>
              <w:jc w:val="center"/>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14</w:t>
            </w:r>
          </w:p>
        </w:tc>
      </w:tr>
      <w:tr w:rsidR="00E761F8" w:rsidRPr="00E171E6" w14:paraId="40650A5E" w14:textId="77777777" w:rsidTr="00A1784D">
        <w:trPr>
          <w:trHeight w:val="254"/>
        </w:trPr>
        <w:tc>
          <w:tcPr>
            <w:tcW w:w="1061" w:type="dxa"/>
            <w:vMerge/>
          </w:tcPr>
          <w:p w14:paraId="279BD6B8" w14:textId="77777777" w:rsidR="00E761F8" w:rsidRPr="00E171E6" w:rsidRDefault="00E761F8" w:rsidP="00A1784D">
            <w:pPr>
              <w:tabs>
                <w:tab w:val="left" w:pos="1540"/>
              </w:tabs>
              <w:contextualSpacing/>
              <w:rPr>
                <w:rFonts w:asciiTheme="majorHAnsi" w:eastAsia="Times New Roman" w:hAnsiTheme="majorHAnsi" w:cstheme="majorHAnsi"/>
                <w:color w:val="000000"/>
                <w:sz w:val="20"/>
                <w:szCs w:val="20"/>
                <w:lang w:eastAsia="en-GB"/>
              </w:rPr>
            </w:pPr>
          </w:p>
        </w:tc>
        <w:tc>
          <w:tcPr>
            <w:tcW w:w="2477" w:type="dxa"/>
            <w:vMerge/>
          </w:tcPr>
          <w:p w14:paraId="208925BD" w14:textId="77777777" w:rsidR="00E761F8" w:rsidRPr="00E171E6" w:rsidRDefault="00E761F8" w:rsidP="00A1784D">
            <w:pPr>
              <w:tabs>
                <w:tab w:val="left" w:pos="1540"/>
              </w:tabs>
              <w:contextualSpacing/>
              <w:rPr>
                <w:rFonts w:asciiTheme="majorHAnsi" w:eastAsia="Times New Roman" w:hAnsiTheme="majorHAnsi" w:cstheme="majorHAnsi"/>
                <w:color w:val="000000"/>
                <w:sz w:val="20"/>
                <w:szCs w:val="20"/>
                <w:lang w:eastAsia="en-GB"/>
              </w:rPr>
            </w:pPr>
          </w:p>
        </w:tc>
        <w:tc>
          <w:tcPr>
            <w:tcW w:w="4247" w:type="dxa"/>
            <w:vAlign w:val="center"/>
          </w:tcPr>
          <w:p w14:paraId="487995C8" w14:textId="77777777" w:rsidR="00E761F8" w:rsidRPr="00E171E6" w:rsidRDefault="00E761F8" w:rsidP="00A1784D">
            <w:pPr>
              <w:tabs>
                <w:tab w:val="left" w:pos="1540"/>
              </w:tabs>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Access to Transport</w:t>
            </w:r>
          </w:p>
        </w:tc>
        <w:tc>
          <w:tcPr>
            <w:tcW w:w="884" w:type="dxa"/>
            <w:vAlign w:val="center"/>
          </w:tcPr>
          <w:p w14:paraId="7B73F67D"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sz w:val="20"/>
                <w:szCs w:val="20"/>
                <w:lang w:eastAsia="en-GB"/>
              </w:rPr>
              <w:t>5</w:t>
            </w:r>
          </w:p>
        </w:tc>
        <w:tc>
          <w:tcPr>
            <w:tcW w:w="884" w:type="dxa"/>
            <w:vMerge/>
            <w:vAlign w:val="center"/>
          </w:tcPr>
          <w:p w14:paraId="2AC41BA3"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p>
        </w:tc>
      </w:tr>
      <w:tr w:rsidR="00E761F8" w:rsidRPr="00E171E6" w14:paraId="378AC7CC" w14:textId="77777777" w:rsidTr="00A1784D">
        <w:trPr>
          <w:trHeight w:val="519"/>
        </w:trPr>
        <w:tc>
          <w:tcPr>
            <w:tcW w:w="1061" w:type="dxa"/>
            <w:vMerge/>
          </w:tcPr>
          <w:p w14:paraId="7F4B7CEE" w14:textId="77777777" w:rsidR="00E761F8" w:rsidRPr="00E171E6" w:rsidRDefault="00E761F8" w:rsidP="00A1784D">
            <w:pPr>
              <w:ind w:firstLine="25"/>
              <w:contextualSpacing/>
              <w:rPr>
                <w:rFonts w:asciiTheme="majorHAnsi" w:eastAsia="Times New Roman" w:hAnsiTheme="majorHAnsi" w:cstheme="majorHAnsi"/>
                <w:color w:val="000000"/>
                <w:sz w:val="20"/>
                <w:szCs w:val="20"/>
                <w:lang w:eastAsia="en-GB"/>
              </w:rPr>
            </w:pPr>
          </w:p>
        </w:tc>
        <w:tc>
          <w:tcPr>
            <w:tcW w:w="2477" w:type="dxa"/>
            <w:vMerge/>
          </w:tcPr>
          <w:p w14:paraId="0E04ACED" w14:textId="77777777" w:rsidR="00E761F8" w:rsidRPr="00E171E6" w:rsidRDefault="00E761F8" w:rsidP="00A1784D">
            <w:pPr>
              <w:ind w:firstLine="25"/>
              <w:contextualSpacing/>
              <w:rPr>
                <w:rFonts w:asciiTheme="majorHAnsi" w:eastAsia="Times New Roman" w:hAnsiTheme="majorHAnsi" w:cstheme="majorHAnsi"/>
                <w:color w:val="000000"/>
                <w:sz w:val="20"/>
                <w:szCs w:val="20"/>
                <w:lang w:eastAsia="en-GB"/>
              </w:rPr>
            </w:pPr>
          </w:p>
        </w:tc>
        <w:tc>
          <w:tcPr>
            <w:tcW w:w="4247" w:type="dxa"/>
            <w:vAlign w:val="center"/>
          </w:tcPr>
          <w:p w14:paraId="646ABA51" w14:textId="77777777" w:rsidR="00E761F8" w:rsidRPr="00E171E6" w:rsidRDefault="00E761F8" w:rsidP="00A1784D">
            <w:pPr>
              <w:ind w:firstLine="25"/>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 xml:space="preserve">Food (Access to Affordable &amp; Good Quality) </w:t>
            </w:r>
          </w:p>
        </w:tc>
        <w:tc>
          <w:tcPr>
            <w:tcW w:w="884" w:type="dxa"/>
            <w:vAlign w:val="center"/>
          </w:tcPr>
          <w:p w14:paraId="6D7A946F"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sz w:val="20"/>
                <w:szCs w:val="20"/>
                <w:lang w:eastAsia="en-GB"/>
              </w:rPr>
              <w:t>3</w:t>
            </w:r>
          </w:p>
        </w:tc>
        <w:tc>
          <w:tcPr>
            <w:tcW w:w="884" w:type="dxa"/>
            <w:vMerge/>
            <w:vAlign w:val="center"/>
          </w:tcPr>
          <w:p w14:paraId="129D4C74"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p>
        </w:tc>
      </w:tr>
      <w:tr w:rsidR="00E761F8" w:rsidRPr="00E171E6" w14:paraId="47C2EE65" w14:textId="77777777" w:rsidTr="00A1784D">
        <w:trPr>
          <w:trHeight w:val="519"/>
        </w:trPr>
        <w:tc>
          <w:tcPr>
            <w:tcW w:w="1061" w:type="dxa"/>
            <w:vMerge/>
          </w:tcPr>
          <w:p w14:paraId="621FA5CA"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p>
        </w:tc>
        <w:tc>
          <w:tcPr>
            <w:tcW w:w="2477" w:type="dxa"/>
          </w:tcPr>
          <w:p w14:paraId="73281790" w14:textId="77777777" w:rsidR="00E761F8" w:rsidRPr="00E171E6" w:rsidRDefault="00E761F8" w:rsidP="00A1784D">
            <w:pPr>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Physical Environment</w:t>
            </w:r>
          </w:p>
        </w:tc>
        <w:tc>
          <w:tcPr>
            <w:tcW w:w="4247" w:type="dxa"/>
            <w:vAlign w:val="center"/>
          </w:tcPr>
          <w:p w14:paraId="641CDFB4" w14:textId="77777777" w:rsidR="00E761F8" w:rsidRPr="00E171E6" w:rsidRDefault="00E761F8" w:rsidP="00A1784D">
            <w:pPr>
              <w:contextualSpacing/>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Physical Environment</w:t>
            </w:r>
          </w:p>
        </w:tc>
        <w:tc>
          <w:tcPr>
            <w:tcW w:w="884" w:type="dxa"/>
            <w:vAlign w:val="center"/>
          </w:tcPr>
          <w:p w14:paraId="42BEE7EA" w14:textId="77777777" w:rsidR="00E761F8" w:rsidRPr="00E171E6" w:rsidRDefault="00E761F8" w:rsidP="00A1784D">
            <w:pPr>
              <w:contextualSpacing/>
              <w:rPr>
                <w:rFonts w:asciiTheme="majorHAnsi" w:eastAsia="Times New Roman" w:hAnsiTheme="majorHAnsi" w:cstheme="majorHAnsi"/>
                <w:sz w:val="20"/>
                <w:szCs w:val="20"/>
                <w:lang w:eastAsia="en-GB"/>
              </w:rPr>
            </w:pPr>
            <w:r w:rsidRPr="00E171E6">
              <w:rPr>
                <w:rFonts w:asciiTheme="majorHAnsi" w:eastAsia="Times New Roman" w:hAnsiTheme="majorHAnsi" w:cstheme="majorHAnsi"/>
                <w:sz w:val="20"/>
                <w:szCs w:val="20"/>
                <w:lang w:eastAsia="en-GB"/>
              </w:rPr>
              <w:t>6</w:t>
            </w:r>
          </w:p>
        </w:tc>
        <w:tc>
          <w:tcPr>
            <w:tcW w:w="884" w:type="dxa"/>
            <w:vAlign w:val="center"/>
          </w:tcPr>
          <w:p w14:paraId="30D3C896" w14:textId="77777777" w:rsidR="00E761F8" w:rsidRPr="00E171E6" w:rsidRDefault="00E761F8" w:rsidP="00A1784D">
            <w:pPr>
              <w:contextualSpacing/>
              <w:jc w:val="center"/>
              <w:rPr>
                <w:rFonts w:asciiTheme="majorHAnsi" w:eastAsia="Times New Roman" w:hAnsiTheme="majorHAnsi" w:cstheme="majorHAnsi"/>
                <w:color w:val="000000"/>
                <w:sz w:val="20"/>
                <w:szCs w:val="20"/>
                <w:lang w:eastAsia="en-GB"/>
              </w:rPr>
            </w:pPr>
            <w:r w:rsidRPr="00E171E6">
              <w:rPr>
                <w:rFonts w:asciiTheme="majorHAnsi" w:eastAsia="Times New Roman" w:hAnsiTheme="majorHAnsi" w:cstheme="majorHAnsi"/>
                <w:color w:val="000000"/>
                <w:sz w:val="20"/>
                <w:szCs w:val="20"/>
                <w:lang w:eastAsia="en-GB"/>
              </w:rPr>
              <w:t>6</w:t>
            </w:r>
          </w:p>
        </w:tc>
      </w:tr>
    </w:tbl>
    <w:p w14:paraId="195760D1" w14:textId="1C40729C" w:rsidR="00E761F8" w:rsidRPr="00E761F8" w:rsidRDefault="00E761F8" w:rsidP="00A937D8">
      <w:pPr>
        <w:spacing w:after="0" w:line="276" w:lineRule="auto"/>
        <w:rPr>
          <w:b/>
          <w:color w:val="2E74B5" w:themeColor="accent5" w:themeShade="BF"/>
          <w:sz w:val="25"/>
          <w:szCs w:val="25"/>
        </w:rPr>
      </w:pPr>
      <w:bookmarkStart w:id="10" w:name="OLE_LINKTable113"/>
      <w:r w:rsidRPr="00E761F8">
        <w:rPr>
          <w:rFonts w:eastAsia="Times New Roman" w:cstheme="minorHAnsi"/>
          <w:b/>
          <w:bCs/>
          <w:sz w:val="21"/>
          <w:szCs w:val="21"/>
          <w:lang w:eastAsia="en-GB"/>
        </w:rPr>
        <w:t>Table 3.7: Housing: Social, Economic, Health, and Urban Environment Impacts</w:t>
      </w:r>
      <w:bookmarkEnd w:id="10"/>
    </w:p>
    <w:p w14:paraId="06CCB9AA" w14:textId="0AC595BB" w:rsidR="00D2186C" w:rsidRPr="00A937D8" w:rsidRDefault="0010453D" w:rsidP="00251925">
      <w:pPr>
        <w:pStyle w:val="Heading1"/>
        <w:rPr>
          <w:b/>
          <w:bCs/>
          <w:u w:val="single"/>
        </w:rPr>
      </w:pPr>
      <w:bookmarkStart w:id="11" w:name="_Toc107838248"/>
      <w:r w:rsidRPr="00A937D8">
        <w:rPr>
          <w:b/>
          <w:bCs/>
          <w:u w:val="single"/>
        </w:rPr>
        <w:t>Determining s</w:t>
      </w:r>
      <w:r w:rsidR="00D2186C" w:rsidRPr="00A937D8">
        <w:rPr>
          <w:b/>
          <w:bCs/>
          <w:u w:val="single"/>
        </w:rPr>
        <w:t>trategies and responses</w:t>
      </w:r>
      <w:bookmarkEnd w:id="11"/>
    </w:p>
    <w:p w14:paraId="76FB5F88" w14:textId="77777777" w:rsidR="00D2186C" w:rsidRPr="00A937D8" w:rsidRDefault="00D2186C" w:rsidP="00D2186C">
      <w:pPr>
        <w:pStyle w:val="Default"/>
        <w:numPr>
          <w:ilvl w:val="0"/>
          <w:numId w:val="2"/>
        </w:numPr>
        <w:spacing w:line="276" w:lineRule="auto"/>
        <w:rPr>
          <w:rFonts w:asciiTheme="minorHAnsi" w:hAnsiTheme="minorHAnsi" w:cstheme="minorBidi"/>
          <w:b/>
          <w:bCs/>
          <w:color w:val="2F5496" w:themeColor="accent1" w:themeShade="BF"/>
          <w:sz w:val="25"/>
          <w:szCs w:val="25"/>
        </w:rPr>
      </w:pPr>
      <w:bookmarkStart w:id="12" w:name="_Ref106634696"/>
      <w:r w:rsidRPr="00A937D8">
        <w:rPr>
          <w:rFonts w:asciiTheme="minorHAnsi" w:hAnsiTheme="minorHAnsi" w:cstheme="minorBidi"/>
          <w:b/>
          <w:color w:val="2F5496" w:themeColor="accent1" w:themeShade="BF"/>
          <w:sz w:val="25"/>
          <w:szCs w:val="25"/>
        </w:rPr>
        <w:t>What makes place-based interventions effective at addressing these social and economic factors and improve community outcomes, both within Australia and globally?</w:t>
      </w:r>
      <w:bookmarkEnd w:id="12"/>
    </w:p>
    <w:p w14:paraId="248CEE20" w14:textId="77777777" w:rsidR="00D2186C" w:rsidRDefault="00D2186C" w:rsidP="00D2186C">
      <w:pPr>
        <w:spacing w:after="0" w:line="276" w:lineRule="auto"/>
        <w:contextualSpacing/>
        <w:rPr>
          <w:rFonts w:asciiTheme="majorHAnsi" w:hAnsiTheme="majorHAnsi" w:cstheme="majorBidi"/>
          <w:sz w:val="23"/>
          <w:szCs w:val="23"/>
        </w:rPr>
      </w:pPr>
      <w:r>
        <w:rPr>
          <w:rFonts w:asciiTheme="majorHAnsi" w:hAnsiTheme="majorHAnsi" w:cstheme="majorBidi"/>
          <w:sz w:val="23"/>
          <w:szCs w:val="23"/>
        </w:rPr>
        <w:t xml:space="preserve">Drawing on the research that informed the Case Studies (see Appendix 1), we identify </w:t>
      </w:r>
      <w:r w:rsidRPr="37EA9A9A">
        <w:rPr>
          <w:rFonts w:asciiTheme="majorHAnsi" w:hAnsiTheme="majorHAnsi" w:cstheme="majorBidi"/>
          <w:sz w:val="23"/>
          <w:szCs w:val="23"/>
        </w:rPr>
        <w:t xml:space="preserve">some key tendencies of effective place-based </w:t>
      </w:r>
      <w:r w:rsidRPr="00CC521D">
        <w:rPr>
          <w:rFonts w:asciiTheme="majorHAnsi" w:hAnsiTheme="majorHAnsi" w:cstheme="majorBidi"/>
          <w:sz w:val="23"/>
          <w:szCs w:val="23"/>
        </w:rPr>
        <w:t xml:space="preserve">interventions. </w:t>
      </w:r>
      <w:r>
        <w:rPr>
          <w:rFonts w:asciiTheme="majorHAnsi" w:hAnsiTheme="majorHAnsi" w:cstheme="majorBidi"/>
          <w:sz w:val="23"/>
          <w:szCs w:val="23"/>
        </w:rPr>
        <w:t xml:space="preserve">These </w:t>
      </w:r>
      <w:r w:rsidRPr="00CC521D">
        <w:rPr>
          <w:rFonts w:asciiTheme="majorHAnsi" w:hAnsiTheme="majorHAnsi" w:cstheme="majorBidi"/>
          <w:sz w:val="23"/>
          <w:szCs w:val="23"/>
        </w:rPr>
        <w:t>programs often:</w:t>
      </w:r>
    </w:p>
    <w:p w14:paraId="4D981612" w14:textId="77777777" w:rsidR="00D2186C" w:rsidRPr="00D27F4B" w:rsidRDefault="00D2186C" w:rsidP="004B24BE">
      <w:pPr>
        <w:pStyle w:val="ListParagraph"/>
        <w:numPr>
          <w:ilvl w:val="0"/>
          <w:numId w:val="4"/>
        </w:numPr>
        <w:spacing w:after="120" w:line="276" w:lineRule="auto"/>
        <w:ind w:left="357" w:hanging="357"/>
        <w:contextualSpacing w:val="0"/>
        <w:rPr>
          <w:rFonts w:asciiTheme="majorHAnsi" w:eastAsiaTheme="majorEastAsia" w:hAnsiTheme="majorHAnsi" w:cstheme="majorBidi"/>
          <w:sz w:val="23"/>
          <w:szCs w:val="23"/>
        </w:rPr>
      </w:pPr>
      <w:r>
        <w:rPr>
          <w:rFonts w:asciiTheme="majorHAnsi" w:hAnsiTheme="majorHAnsi" w:cstheme="majorBidi"/>
          <w:sz w:val="23"/>
          <w:szCs w:val="23"/>
        </w:rPr>
        <w:t xml:space="preserve">have a </w:t>
      </w:r>
      <w:r w:rsidRPr="37EA9A9A">
        <w:rPr>
          <w:rFonts w:asciiTheme="majorHAnsi" w:hAnsiTheme="majorHAnsi" w:cstheme="majorBidi"/>
          <w:sz w:val="23"/>
          <w:szCs w:val="23"/>
        </w:rPr>
        <w:t xml:space="preserve">multi-pronged focus, </w:t>
      </w:r>
      <w:r>
        <w:rPr>
          <w:rFonts w:asciiTheme="majorHAnsi" w:hAnsiTheme="majorHAnsi" w:cstheme="majorBidi"/>
          <w:sz w:val="23"/>
          <w:szCs w:val="23"/>
        </w:rPr>
        <w:t>involving</w:t>
      </w:r>
      <w:r w:rsidRPr="37EA9A9A">
        <w:rPr>
          <w:rFonts w:asciiTheme="majorHAnsi" w:hAnsiTheme="majorHAnsi" w:cstheme="majorBidi"/>
          <w:sz w:val="23"/>
          <w:szCs w:val="23"/>
        </w:rPr>
        <w:t xml:space="preserve"> cross-sector collaboration</w:t>
      </w:r>
      <w:r>
        <w:rPr>
          <w:rFonts w:asciiTheme="majorHAnsi" w:hAnsiTheme="majorHAnsi" w:cstheme="majorBidi"/>
          <w:sz w:val="23"/>
          <w:szCs w:val="23"/>
        </w:rPr>
        <w:t>, and</w:t>
      </w:r>
      <w:r w:rsidRPr="37EA9A9A">
        <w:rPr>
          <w:rFonts w:asciiTheme="majorHAnsi" w:hAnsiTheme="majorHAnsi" w:cstheme="majorBidi"/>
          <w:sz w:val="23"/>
          <w:szCs w:val="23"/>
        </w:rPr>
        <w:t xml:space="preserve"> span</w:t>
      </w:r>
      <w:r>
        <w:rPr>
          <w:rFonts w:asciiTheme="majorHAnsi" w:hAnsiTheme="majorHAnsi" w:cstheme="majorBidi"/>
          <w:sz w:val="23"/>
          <w:szCs w:val="23"/>
        </w:rPr>
        <w:t>ning</w:t>
      </w:r>
      <w:r w:rsidRPr="37EA9A9A">
        <w:rPr>
          <w:rFonts w:asciiTheme="majorHAnsi" w:hAnsiTheme="majorHAnsi" w:cstheme="majorBidi"/>
          <w:sz w:val="23"/>
          <w:szCs w:val="23"/>
        </w:rPr>
        <w:t xml:space="preserve"> </w:t>
      </w:r>
      <w:r>
        <w:rPr>
          <w:rFonts w:asciiTheme="majorHAnsi" w:hAnsiTheme="majorHAnsi" w:cstheme="majorBidi"/>
          <w:sz w:val="23"/>
          <w:szCs w:val="23"/>
        </w:rPr>
        <w:t>more than one</w:t>
      </w:r>
      <w:r w:rsidRPr="37EA9A9A">
        <w:rPr>
          <w:rFonts w:asciiTheme="majorHAnsi" w:hAnsiTheme="majorHAnsi" w:cstheme="majorBidi"/>
          <w:sz w:val="23"/>
          <w:szCs w:val="23"/>
        </w:rPr>
        <w:t xml:space="preserve"> </w:t>
      </w:r>
      <w:r>
        <w:rPr>
          <w:rFonts w:asciiTheme="majorHAnsi" w:hAnsiTheme="majorHAnsi" w:cstheme="majorBidi"/>
          <w:sz w:val="23"/>
          <w:szCs w:val="23"/>
        </w:rPr>
        <w:t>Practice Domain</w:t>
      </w:r>
    </w:p>
    <w:p w14:paraId="5E937F36" w14:textId="77777777" w:rsidR="00D2186C" w:rsidRDefault="00D2186C" w:rsidP="004B24BE">
      <w:pPr>
        <w:pStyle w:val="ListParagraph"/>
        <w:numPr>
          <w:ilvl w:val="0"/>
          <w:numId w:val="4"/>
        </w:numPr>
        <w:spacing w:after="120" w:line="276" w:lineRule="auto"/>
        <w:ind w:left="357" w:hanging="357"/>
        <w:contextualSpacing w:val="0"/>
        <w:rPr>
          <w:rFonts w:asciiTheme="majorHAnsi" w:eastAsiaTheme="majorEastAsia" w:hAnsiTheme="majorHAnsi" w:cstheme="majorBidi"/>
          <w:sz w:val="23"/>
          <w:szCs w:val="23"/>
        </w:rPr>
      </w:pPr>
      <w:r>
        <w:rPr>
          <w:rFonts w:asciiTheme="majorHAnsi" w:hAnsiTheme="majorHAnsi" w:cstheme="majorBidi"/>
          <w:sz w:val="23"/>
          <w:szCs w:val="23"/>
        </w:rPr>
        <w:t>support and empower community members to play an active role in identifying issues, solving problems,</w:t>
      </w:r>
      <w:r w:rsidRPr="001B7A14">
        <w:rPr>
          <w:rFonts w:asciiTheme="majorHAnsi" w:hAnsiTheme="majorHAnsi" w:cstheme="majorBidi"/>
          <w:sz w:val="23"/>
          <w:szCs w:val="23"/>
        </w:rPr>
        <w:t xml:space="preserve"> </w:t>
      </w:r>
      <w:r>
        <w:rPr>
          <w:rFonts w:asciiTheme="majorHAnsi" w:hAnsiTheme="majorHAnsi" w:cstheme="majorBidi"/>
          <w:sz w:val="23"/>
          <w:szCs w:val="23"/>
        </w:rPr>
        <w:t>and shaping and evaluating programs</w:t>
      </w:r>
    </w:p>
    <w:p w14:paraId="5B84302E" w14:textId="77777777" w:rsidR="00D2186C" w:rsidRDefault="00D2186C" w:rsidP="004B24BE">
      <w:pPr>
        <w:pStyle w:val="ListParagraph"/>
        <w:numPr>
          <w:ilvl w:val="0"/>
          <w:numId w:val="4"/>
        </w:numPr>
        <w:spacing w:after="120" w:line="276" w:lineRule="auto"/>
        <w:ind w:left="357" w:hanging="357"/>
        <w:contextualSpacing w:val="0"/>
        <w:rPr>
          <w:rFonts w:eastAsiaTheme="minorEastAsia"/>
          <w:sz w:val="23"/>
          <w:szCs w:val="23"/>
        </w:rPr>
      </w:pPr>
      <w:r>
        <w:rPr>
          <w:rFonts w:asciiTheme="majorHAnsi" w:hAnsiTheme="majorHAnsi" w:cstheme="majorBidi"/>
          <w:sz w:val="23"/>
          <w:szCs w:val="23"/>
        </w:rPr>
        <w:t xml:space="preserve">are </w:t>
      </w:r>
      <w:r w:rsidRPr="37EA9A9A">
        <w:rPr>
          <w:rFonts w:asciiTheme="majorHAnsi" w:hAnsiTheme="majorHAnsi" w:cstheme="majorBidi"/>
          <w:sz w:val="23"/>
          <w:szCs w:val="23"/>
        </w:rPr>
        <w:t xml:space="preserve">based on sound community engagement </w:t>
      </w:r>
      <w:r>
        <w:rPr>
          <w:rFonts w:asciiTheme="majorHAnsi" w:hAnsiTheme="majorHAnsi" w:cstheme="majorBidi"/>
          <w:sz w:val="23"/>
          <w:szCs w:val="23"/>
        </w:rPr>
        <w:t xml:space="preserve">strategies, </w:t>
      </w:r>
      <w:r w:rsidRPr="37EA9A9A">
        <w:rPr>
          <w:rFonts w:asciiTheme="majorHAnsi" w:hAnsiTheme="majorHAnsi" w:cstheme="majorBidi"/>
          <w:sz w:val="23"/>
          <w:szCs w:val="23"/>
        </w:rPr>
        <w:t xml:space="preserve">including co-design </w:t>
      </w:r>
      <w:r>
        <w:rPr>
          <w:rFonts w:asciiTheme="majorHAnsi" w:hAnsiTheme="majorHAnsi" w:cstheme="majorBidi"/>
          <w:sz w:val="23"/>
          <w:szCs w:val="23"/>
        </w:rPr>
        <w:t>methods</w:t>
      </w:r>
      <w:r w:rsidRPr="37EA9A9A">
        <w:rPr>
          <w:rFonts w:asciiTheme="majorHAnsi" w:hAnsiTheme="majorHAnsi" w:cstheme="majorBidi"/>
          <w:sz w:val="23"/>
          <w:szCs w:val="23"/>
        </w:rPr>
        <w:t xml:space="preserve">, that are </w:t>
      </w:r>
      <w:r w:rsidRPr="37EA9A9A">
        <w:rPr>
          <w:rFonts w:ascii="Calibri Light" w:eastAsia="Calibri Light" w:hAnsi="Calibri Light" w:cs="Calibri Light"/>
          <w:sz w:val="23"/>
          <w:szCs w:val="23"/>
        </w:rPr>
        <w:t>genuinely participatory</w:t>
      </w:r>
      <w:r>
        <w:rPr>
          <w:rFonts w:ascii="Calibri Light" w:eastAsia="Calibri Light" w:hAnsi="Calibri Light" w:cs="Calibri Light"/>
          <w:sz w:val="23"/>
          <w:szCs w:val="23"/>
        </w:rPr>
        <w:t>,</w:t>
      </w:r>
      <w:r w:rsidRPr="37EA9A9A">
        <w:rPr>
          <w:rFonts w:ascii="Calibri Light" w:eastAsia="Calibri Light" w:hAnsi="Calibri Light" w:cs="Calibri Light"/>
          <w:sz w:val="23"/>
          <w:szCs w:val="23"/>
        </w:rPr>
        <w:t xml:space="preserve"> respectful, empowering, </w:t>
      </w:r>
      <w:r>
        <w:rPr>
          <w:rFonts w:ascii="Calibri Light" w:eastAsia="Calibri Light" w:hAnsi="Calibri Light" w:cs="Calibri Light"/>
          <w:sz w:val="23"/>
          <w:szCs w:val="23"/>
        </w:rPr>
        <w:t xml:space="preserve">and </w:t>
      </w:r>
      <w:r w:rsidRPr="37EA9A9A">
        <w:rPr>
          <w:rFonts w:ascii="Calibri Light" w:eastAsia="Calibri Light" w:hAnsi="Calibri Light" w:cs="Calibri Light"/>
          <w:sz w:val="23"/>
          <w:szCs w:val="23"/>
        </w:rPr>
        <w:t xml:space="preserve">inclusive </w:t>
      </w:r>
    </w:p>
    <w:p w14:paraId="79392E52" w14:textId="77777777" w:rsidR="00D2186C" w:rsidRDefault="00D2186C" w:rsidP="004B24BE">
      <w:pPr>
        <w:pStyle w:val="ListParagraph"/>
        <w:numPr>
          <w:ilvl w:val="0"/>
          <w:numId w:val="4"/>
        </w:numPr>
        <w:spacing w:after="120" w:line="276" w:lineRule="auto"/>
        <w:ind w:left="357" w:hanging="357"/>
        <w:contextualSpacing w:val="0"/>
        <w:rPr>
          <w:rFonts w:eastAsiaTheme="minorEastAsia"/>
          <w:sz w:val="23"/>
          <w:szCs w:val="23"/>
        </w:rPr>
      </w:pPr>
      <w:r w:rsidRPr="37EA9A9A">
        <w:rPr>
          <w:rFonts w:ascii="Calibri Light" w:eastAsia="Calibri Light" w:hAnsi="Calibri Light" w:cs="Calibri Light"/>
          <w:sz w:val="23"/>
          <w:szCs w:val="23"/>
        </w:rPr>
        <w:t>recognise</w:t>
      </w:r>
      <w:r>
        <w:rPr>
          <w:rFonts w:ascii="Calibri Light" w:eastAsia="Calibri Light" w:hAnsi="Calibri Light" w:cs="Calibri Light"/>
          <w:sz w:val="23"/>
          <w:szCs w:val="23"/>
        </w:rPr>
        <w:t>,</w:t>
      </w:r>
      <w:r w:rsidRPr="37EA9A9A">
        <w:rPr>
          <w:rFonts w:ascii="Calibri Light" w:eastAsia="Calibri Light" w:hAnsi="Calibri Light" w:cs="Calibri Light"/>
          <w:sz w:val="23"/>
          <w:szCs w:val="23"/>
        </w:rPr>
        <w:t xml:space="preserve"> build</w:t>
      </w:r>
      <w:r>
        <w:rPr>
          <w:rFonts w:ascii="Calibri Light" w:eastAsia="Calibri Light" w:hAnsi="Calibri Light" w:cs="Calibri Light"/>
          <w:sz w:val="23"/>
          <w:szCs w:val="23"/>
        </w:rPr>
        <w:t xml:space="preserve"> on, and celebrate existing </w:t>
      </w:r>
      <w:r w:rsidRPr="37EA9A9A">
        <w:rPr>
          <w:rFonts w:ascii="Calibri Light" w:eastAsia="Calibri Light" w:hAnsi="Calibri Light" w:cs="Calibri Light"/>
          <w:sz w:val="23"/>
          <w:szCs w:val="23"/>
        </w:rPr>
        <w:t>community assets,</w:t>
      </w:r>
      <w:r>
        <w:rPr>
          <w:rFonts w:ascii="Calibri Light" w:eastAsia="Calibri Light" w:hAnsi="Calibri Light" w:cs="Calibri Light"/>
          <w:sz w:val="23"/>
          <w:szCs w:val="23"/>
        </w:rPr>
        <w:t xml:space="preserve"> strengths,</w:t>
      </w:r>
      <w:r w:rsidRPr="37EA9A9A">
        <w:rPr>
          <w:rFonts w:ascii="Calibri Light" w:eastAsia="Calibri Light" w:hAnsi="Calibri Light" w:cs="Calibri Light"/>
          <w:sz w:val="23"/>
          <w:szCs w:val="23"/>
        </w:rPr>
        <w:t xml:space="preserve"> knowledge, </w:t>
      </w:r>
      <w:r>
        <w:rPr>
          <w:rFonts w:ascii="Calibri Light" w:eastAsia="Calibri Light" w:hAnsi="Calibri Light" w:cs="Calibri Light"/>
          <w:sz w:val="23"/>
          <w:szCs w:val="23"/>
        </w:rPr>
        <w:t>and skills</w:t>
      </w:r>
    </w:p>
    <w:p w14:paraId="21B30949" w14:textId="77777777" w:rsidR="00D2186C" w:rsidRDefault="00D2186C" w:rsidP="004B24BE">
      <w:pPr>
        <w:pStyle w:val="ListParagraph"/>
        <w:numPr>
          <w:ilvl w:val="0"/>
          <w:numId w:val="4"/>
        </w:numPr>
        <w:spacing w:after="120" w:line="276" w:lineRule="auto"/>
        <w:ind w:left="357" w:hanging="357"/>
        <w:contextualSpacing w:val="0"/>
        <w:rPr>
          <w:sz w:val="23"/>
          <w:szCs w:val="23"/>
        </w:rPr>
      </w:pPr>
      <w:r w:rsidRPr="37EA9A9A">
        <w:rPr>
          <w:rFonts w:asciiTheme="majorHAnsi" w:hAnsiTheme="majorHAnsi" w:cstheme="majorBidi"/>
          <w:sz w:val="23"/>
          <w:szCs w:val="23"/>
        </w:rPr>
        <w:t>are overseen by a highly capable lead agency with strong local connections</w:t>
      </w:r>
    </w:p>
    <w:p w14:paraId="6C77F4FB" w14:textId="77777777" w:rsidR="00D2186C" w:rsidRDefault="00D2186C" w:rsidP="004B24BE">
      <w:pPr>
        <w:pStyle w:val="ListParagraph"/>
        <w:numPr>
          <w:ilvl w:val="0"/>
          <w:numId w:val="4"/>
        </w:numPr>
        <w:spacing w:after="120" w:line="276" w:lineRule="auto"/>
        <w:ind w:left="357" w:hanging="357"/>
        <w:contextualSpacing w:val="0"/>
        <w:rPr>
          <w:rFonts w:eastAsiaTheme="minorEastAsia"/>
          <w:sz w:val="23"/>
          <w:szCs w:val="23"/>
        </w:rPr>
      </w:pPr>
      <w:r w:rsidRPr="37EA9A9A">
        <w:rPr>
          <w:rFonts w:ascii="Calibri Light" w:eastAsia="Calibri Light" w:hAnsi="Calibri Light" w:cs="Calibri Light"/>
          <w:sz w:val="23"/>
          <w:szCs w:val="23"/>
        </w:rPr>
        <w:t xml:space="preserve">involve </w:t>
      </w:r>
      <w:r>
        <w:rPr>
          <w:rFonts w:ascii="Calibri Light" w:eastAsia="Calibri Light" w:hAnsi="Calibri Light" w:cs="Calibri Light"/>
          <w:sz w:val="23"/>
          <w:szCs w:val="23"/>
        </w:rPr>
        <w:t>effective</w:t>
      </w:r>
      <w:r w:rsidRPr="37EA9A9A">
        <w:rPr>
          <w:rFonts w:ascii="Calibri Light" w:eastAsia="Calibri Light" w:hAnsi="Calibri Light" w:cs="Calibri Light"/>
          <w:sz w:val="23"/>
          <w:szCs w:val="23"/>
        </w:rPr>
        <w:t xml:space="preserve"> partnerships, sound governance</w:t>
      </w:r>
      <w:r>
        <w:rPr>
          <w:rFonts w:ascii="Calibri Light" w:eastAsia="Calibri Light" w:hAnsi="Calibri Light" w:cs="Calibri Light"/>
          <w:sz w:val="23"/>
          <w:szCs w:val="23"/>
        </w:rPr>
        <w:t>,</w:t>
      </w:r>
      <w:r w:rsidRPr="37EA9A9A">
        <w:rPr>
          <w:rFonts w:ascii="Calibri Light" w:eastAsia="Calibri Light" w:hAnsi="Calibri Light" w:cs="Calibri Light"/>
          <w:sz w:val="23"/>
          <w:szCs w:val="23"/>
        </w:rPr>
        <w:t xml:space="preserve"> and relationships of trust</w:t>
      </w:r>
    </w:p>
    <w:p w14:paraId="50FE3B9E" w14:textId="77777777" w:rsidR="00D2186C" w:rsidRDefault="00D2186C" w:rsidP="004B24BE">
      <w:pPr>
        <w:pStyle w:val="ListParagraph"/>
        <w:numPr>
          <w:ilvl w:val="0"/>
          <w:numId w:val="4"/>
        </w:numPr>
        <w:spacing w:after="120" w:line="276" w:lineRule="auto"/>
        <w:ind w:left="357" w:hanging="357"/>
        <w:contextualSpacing w:val="0"/>
        <w:rPr>
          <w:sz w:val="23"/>
          <w:szCs w:val="23"/>
        </w:rPr>
      </w:pPr>
      <w:r w:rsidRPr="37EA9A9A">
        <w:rPr>
          <w:rFonts w:ascii="Calibri Light" w:eastAsia="Calibri Light" w:hAnsi="Calibri Light" w:cs="Calibri Light"/>
          <w:sz w:val="23"/>
          <w:szCs w:val="23"/>
        </w:rPr>
        <w:t xml:space="preserve">are adequately funded and resourced, with generous timeframes and </w:t>
      </w:r>
      <w:r>
        <w:rPr>
          <w:rFonts w:ascii="Calibri Light" w:eastAsia="Calibri Light" w:hAnsi="Calibri Light" w:cs="Calibri Light"/>
          <w:sz w:val="23"/>
          <w:szCs w:val="23"/>
        </w:rPr>
        <w:t>workable</w:t>
      </w:r>
      <w:r w:rsidRPr="37EA9A9A">
        <w:rPr>
          <w:rFonts w:ascii="Calibri Light" w:eastAsia="Calibri Light" w:hAnsi="Calibri Light" w:cs="Calibri Light"/>
          <w:sz w:val="23"/>
          <w:szCs w:val="23"/>
        </w:rPr>
        <w:t xml:space="preserve"> evaluation methods</w:t>
      </w:r>
    </w:p>
    <w:p w14:paraId="4441EEBF" w14:textId="77777777" w:rsidR="00D2186C" w:rsidRPr="001132AD" w:rsidRDefault="00D2186C" w:rsidP="004B24BE">
      <w:pPr>
        <w:pStyle w:val="ListParagraph"/>
        <w:numPr>
          <w:ilvl w:val="0"/>
          <w:numId w:val="4"/>
        </w:numPr>
        <w:spacing w:after="120" w:line="276" w:lineRule="auto"/>
        <w:ind w:left="357" w:hanging="357"/>
        <w:contextualSpacing w:val="0"/>
        <w:rPr>
          <w:rFonts w:eastAsiaTheme="minorEastAsia"/>
          <w:sz w:val="23"/>
          <w:szCs w:val="23"/>
        </w:rPr>
      </w:pPr>
      <w:r>
        <w:rPr>
          <w:rFonts w:ascii="Calibri Light" w:eastAsia="Calibri Light" w:hAnsi="Calibri Light" w:cs="Calibri Light"/>
          <w:sz w:val="23"/>
          <w:szCs w:val="23"/>
        </w:rPr>
        <w:t>enable</w:t>
      </w:r>
      <w:r w:rsidRPr="37EA9A9A">
        <w:rPr>
          <w:rFonts w:ascii="Calibri Light" w:eastAsia="Calibri Light" w:hAnsi="Calibri Light" w:cs="Calibri Light"/>
          <w:sz w:val="23"/>
          <w:szCs w:val="23"/>
        </w:rPr>
        <w:t xml:space="preserve"> holistic thinking and</w:t>
      </w:r>
      <w:r>
        <w:rPr>
          <w:rFonts w:ascii="Calibri Light" w:eastAsia="Calibri Light" w:hAnsi="Calibri Light" w:cs="Calibri Light"/>
          <w:sz w:val="23"/>
          <w:szCs w:val="23"/>
        </w:rPr>
        <w:t xml:space="preserve"> program flexibility</w:t>
      </w:r>
    </w:p>
    <w:p w14:paraId="3070E0C4" w14:textId="5D2CDE65" w:rsidR="00D2186C" w:rsidRPr="004B24BE" w:rsidRDefault="00D2186C" w:rsidP="004B24BE">
      <w:pPr>
        <w:pStyle w:val="ListParagraph"/>
        <w:numPr>
          <w:ilvl w:val="0"/>
          <w:numId w:val="4"/>
        </w:numPr>
        <w:spacing w:after="120" w:line="276" w:lineRule="auto"/>
        <w:ind w:left="357" w:hanging="357"/>
        <w:contextualSpacing w:val="0"/>
        <w:rPr>
          <w:rFonts w:eastAsiaTheme="minorEastAsia"/>
          <w:sz w:val="23"/>
          <w:szCs w:val="23"/>
        </w:rPr>
      </w:pPr>
      <w:r w:rsidRPr="001132AD">
        <w:rPr>
          <w:rFonts w:ascii="Calibri Light" w:eastAsia="Calibri Light" w:hAnsi="Calibri Light" w:cs="Calibri Light"/>
          <w:sz w:val="23"/>
          <w:szCs w:val="23"/>
        </w:rPr>
        <w:t>are connected to broader socioeconomic contexts, including local, regional, and national policy.</w:t>
      </w:r>
    </w:p>
    <w:p w14:paraId="1D5CB411" w14:textId="4CDF2A81" w:rsidR="004B24BE" w:rsidRDefault="004B24BE">
      <w:pPr>
        <w:rPr>
          <w:rFonts w:eastAsiaTheme="minorEastAsia"/>
          <w:sz w:val="23"/>
          <w:szCs w:val="23"/>
        </w:rPr>
      </w:pPr>
      <w:r>
        <w:rPr>
          <w:rFonts w:eastAsiaTheme="minorEastAsia"/>
          <w:sz w:val="23"/>
          <w:szCs w:val="23"/>
        </w:rPr>
        <w:br w:type="page"/>
      </w:r>
    </w:p>
    <w:p w14:paraId="3A4E5E84" w14:textId="55E0903E" w:rsidR="00D2186C" w:rsidRPr="00A937D8" w:rsidRDefault="00D2186C" w:rsidP="00D2186C">
      <w:pPr>
        <w:pStyle w:val="Default"/>
        <w:numPr>
          <w:ilvl w:val="0"/>
          <w:numId w:val="2"/>
        </w:numPr>
        <w:spacing w:line="276" w:lineRule="auto"/>
        <w:rPr>
          <w:rFonts w:asciiTheme="minorHAnsi" w:hAnsiTheme="minorHAnsi" w:cstheme="minorBidi"/>
          <w:b/>
          <w:color w:val="2F5496" w:themeColor="accent1" w:themeShade="BF"/>
          <w:sz w:val="25"/>
          <w:szCs w:val="25"/>
        </w:rPr>
      </w:pPr>
      <w:bookmarkStart w:id="13" w:name="_Ref106634699"/>
      <w:bookmarkStart w:id="14" w:name="_Hlk106304924"/>
      <w:r w:rsidRPr="00A937D8">
        <w:rPr>
          <w:rFonts w:asciiTheme="minorHAnsi" w:hAnsiTheme="minorHAnsi" w:cstheme="minorBidi"/>
          <w:b/>
          <w:color w:val="2F5496" w:themeColor="accent1" w:themeShade="BF"/>
          <w:sz w:val="25"/>
          <w:szCs w:val="25"/>
        </w:rPr>
        <w:lastRenderedPageBreak/>
        <w:t>What are the key federal and state policies, programs, and funding initiatives that target housing to improve community outcomes?</w:t>
      </w:r>
      <w:bookmarkEnd w:id="13"/>
    </w:p>
    <w:tbl>
      <w:tblPr>
        <w:tblStyle w:val="TableGrid"/>
        <w:tblW w:w="9488" w:type="dxa"/>
        <w:tblLayout w:type="fixed"/>
        <w:tblLook w:val="04A0" w:firstRow="1" w:lastRow="0" w:firstColumn="1" w:lastColumn="0" w:noHBand="0" w:noVBand="1"/>
      </w:tblPr>
      <w:tblGrid>
        <w:gridCol w:w="983"/>
        <w:gridCol w:w="5953"/>
        <w:gridCol w:w="2552"/>
      </w:tblGrid>
      <w:tr w:rsidR="00A225F5" w:rsidRPr="00661DE7" w14:paraId="14E6C2F0" w14:textId="77777777" w:rsidTr="004B24BE">
        <w:trPr>
          <w:tblHeader/>
        </w:trPr>
        <w:tc>
          <w:tcPr>
            <w:tcW w:w="983"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109828F8" w14:textId="77777777" w:rsidR="00A225F5" w:rsidRPr="00661DE7" w:rsidRDefault="00A225F5" w:rsidP="00A1784D">
            <w:pPr>
              <w:rPr>
                <w:rFonts w:eastAsia="Times New Roman" w:cstheme="minorHAnsi"/>
                <w:b/>
                <w:bCs/>
                <w:sz w:val="21"/>
                <w:szCs w:val="21"/>
                <w:lang w:val="en-GB"/>
              </w:rPr>
            </w:pPr>
            <w:r w:rsidRPr="00661DE7">
              <w:rPr>
                <w:rFonts w:eastAsia="Times New Roman" w:cstheme="minorHAnsi"/>
                <w:b/>
                <w:bCs/>
                <w:sz w:val="21"/>
                <w:szCs w:val="21"/>
                <w:lang w:val="en-GB"/>
              </w:rPr>
              <w:t>Practice</w:t>
            </w:r>
          </w:p>
          <w:p w14:paraId="386877C7" w14:textId="77777777" w:rsidR="00A225F5" w:rsidRPr="00661DE7" w:rsidRDefault="00A225F5" w:rsidP="00A1784D">
            <w:pPr>
              <w:rPr>
                <w:rFonts w:eastAsia="Times New Roman" w:cstheme="minorHAnsi"/>
                <w:b/>
                <w:bCs/>
                <w:sz w:val="21"/>
                <w:szCs w:val="21"/>
                <w:lang w:val="en-GB"/>
              </w:rPr>
            </w:pPr>
            <w:r w:rsidRPr="00661DE7">
              <w:rPr>
                <w:rFonts w:eastAsia="Times New Roman" w:cstheme="minorHAnsi"/>
                <w:b/>
                <w:bCs/>
                <w:sz w:val="21"/>
                <w:szCs w:val="21"/>
                <w:lang w:val="en-GB"/>
              </w:rPr>
              <w:t>Domain</w:t>
            </w:r>
          </w:p>
          <w:p w14:paraId="1AC7E44A" w14:textId="77777777" w:rsidR="00A225F5" w:rsidRPr="00661DE7" w:rsidRDefault="00A225F5" w:rsidP="00A1784D">
            <w:pPr>
              <w:rPr>
                <w:rFonts w:eastAsia="Times New Roman" w:cstheme="minorHAnsi"/>
                <w:b/>
                <w:bCs/>
                <w:sz w:val="21"/>
                <w:szCs w:val="21"/>
                <w:lang w:val="en-GB"/>
              </w:rPr>
            </w:pPr>
          </w:p>
        </w:tc>
        <w:tc>
          <w:tcPr>
            <w:tcW w:w="5953"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018D99F1" w14:textId="77777777" w:rsidR="00A225F5" w:rsidRPr="00661DE7" w:rsidRDefault="00A225F5" w:rsidP="00A1784D">
            <w:pPr>
              <w:rPr>
                <w:rFonts w:cstheme="minorHAnsi"/>
                <w:sz w:val="21"/>
                <w:szCs w:val="21"/>
              </w:rPr>
            </w:pPr>
            <w:r w:rsidRPr="00661DE7">
              <w:rPr>
                <w:rFonts w:eastAsia="Times New Roman" w:cstheme="minorHAnsi"/>
                <w:b/>
                <w:bCs/>
                <w:sz w:val="21"/>
                <w:szCs w:val="21"/>
                <w:lang w:val="en-GB"/>
              </w:rPr>
              <w:t>Policy Name and Purpose</w:t>
            </w:r>
          </w:p>
        </w:tc>
        <w:tc>
          <w:tcPr>
            <w:tcW w:w="2552"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305768BA" w14:textId="77777777" w:rsidR="00A225F5" w:rsidRPr="00661DE7" w:rsidRDefault="00A225F5" w:rsidP="00A1784D">
            <w:pPr>
              <w:rPr>
                <w:rFonts w:eastAsia="Times New Roman" w:cstheme="minorHAnsi"/>
                <w:b/>
                <w:bCs/>
                <w:sz w:val="21"/>
                <w:szCs w:val="21"/>
                <w:lang w:val="en-GB"/>
              </w:rPr>
            </w:pPr>
            <w:r w:rsidRPr="00661DE7">
              <w:rPr>
                <w:rFonts w:eastAsia="Times New Roman" w:cstheme="minorHAnsi"/>
                <w:b/>
                <w:bCs/>
                <w:sz w:val="21"/>
                <w:szCs w:val="21"/>
                <w:lang w:val="en-GB"/>
              </w:rPr>
              <w:t xml:space="preserve">Relevance to Geelong, Corio, Norlane, Whittington </w:t>
            </w:r>
          </w:p>
          <w:p w14:paraId="24596790" w14:textId="77777777" w:rsidR="00A225F5" w:rsidRPr="00661DE7" w:rsidRDefault="00A225F5" w:rsidP="00A1784D">
            <w:pPr>
              <w:rPr>
                <w:rFonts w:cstheme="minorHAnsi"/>
                <w:sz w:val="21"/>
                <w:szCs w:val="21"/>
              </w:rPr>
            </w:pPr>
          </w:p>
        </w:tc>
      </w:tr>
      <w:tr w:rsidR="00A225F5" w:rsidRPr="00AF4BAC" w14:paraId="092B6AEA" w14:textId="77777777" w:rsidTr="00A225F5">
        <w:tc>
          <w:tcPr>
            <w:tcW w:w="983" w:type="dxa"/>
            <w:tcBorders>
              <w:top w:val="single" w:sz="8" w:space="0" w:color="auto"/>
              <w:left w:val="single" w:sz="8" w:space="0" w:color="auto"/>
              <w:bottom w:val="single" w:sz="8" w:space="0" w:color="auto"/>
              <w:right w:val="single" w:sz="8" w:space="0" w:color="auto"/>
            </w:tcBorders>
          </w:tcPr>
          <w:p w14:paraId="7893C51E" w14:textId="77777777" w:rsidR="00A225F5" w:rsidRDefault="00A225F5" w:rsidP="00A1784D">
            <w:pPr>
              <w:rPr>
                <w:rFonts w:asciiTheme="majorHAnsi" w:hAnsiTheme="majorHAnsi" w:cstheme="majorHAnsi"/>
                <w:sz w:val="21"/>
                <w:szCs w:val="21"/>
              </w:rPr>
            </w:pPr>
          </w:p>
          <w:p w14:paraId="57FDF7D3" w14:textId="77777777" w:rsidR="00A225F5" w:rsidRDefault="00A225F5" w:rsidP="00A1784D">
            <w:pPr>
              <w:rPr>
                <w:rFonts w:asciiTheme="majorHAnsi" w:hAnsiTheme="majorHAnsi" w:cstheme="majorHAnsi"/>
                <w:sz w:val="21"/>
                <w:szCs w:val="21"/>
              </w:rPr>
            </w:pPr>
          </w:p>
          <w:p w14:paraId="45193118" w14:textId="77777777" w:rsidR="00A225F5" w:rsidRPr="00C711E4" w:rsidRDefault="00A225F5" w:rsidP="00A1784D">
            <w:pPr>
              <w:rPr>
                <w:rFonts w:asciiTheme="majorHAnsi" w:hAnsiTheme="majorHAnsi" w:cstheme="majorHAnsi"/>
                <w:sz w:val="21"/>
                <w:szCs w:val="21"/>
              </w:rPr>
            </w:pPr>
            <w:r w:rsidRPr="00C711E4">
              <w:rPr>
                <w:rFonts w:asciiTheme="majorHAnsi" w:hAnsiTheme="majorHAnsi" w:cstheme="majorHAnsi"/>
                <w:noProof/>
                <w:color w:val="2B579A"/>
                <w:sz w:val="21"/>
                <w:szCs w:val="21"/>
                <w:shd w:val="clear" w:color="auto" w:fill="E6E6E6"/>
                <w:lang w:eastAsia="zh-CN"/>
              </w:rPr>
              <mc:AlternateContent>
                <mc:Choice Requires="wps">
                  <w:drawing>
                    <wp:anchor distT="45720" distB="45720" distL="114300" distR="114300" simplePos="0" relativeHeight="251661312" behindDoc="0" locked="0" layoutInCell="1" allowOverlap="1" wp14:anchorId="170FE215" wp14:editId="046B6245">
                      <wp:simplePos x="0" y="0"/>
                      <wp:positionH relativeFrom="column">
                        <wp:posOffset>-253365</wp:posOffset>
                      </wp:positionH>
                      <wp:positionV relativeFrom="paragraph">
                        <wp:posOffset>1130300</wp:posOffset>
                      </wp:positionV>
                      <wp:extent cx="991870" cy="341630"/>
                      <wp:effectExtent l="127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1870" cy="341630"/>
                              </a:xfrm>
                              <a:prstGeom prst="rect">
                                <a:avLst/>
                              </a:prstGeom>
                              <a:noFill/>
                              <a:ln w="9525">
                                <a:noFill/>
                                <a:miter lim="800000"/>
                                <a:headEnd/>
                                <a:tailEnd/>
                              </a:ln>
                            </wps:spPr>
                            <wps:txbx>
                              <w:txbxContent>
                                <w:p w14:paraId="7A2206D2" w14:textId="6D8B58C9" w:rsidR="00A225F5" w:rsidRPr="004200CF" w:rsidRDefault="00A225F5" w:rsidP="00A225F5">
                                  <w:pPr>
                                    <w:jc w:val="right"/>
                                    <w:rPr>
                                      <w:b/>
                                      <w:bCs/>
                                      <w:color w:val="595959" w:themeColor="text1" w:themeTint="A6"/>
                                    </w:rPr>
                                  </w:pPr>
                                  <w:r>
                                    <w:rPr>
                                      <w:b/>
                                      <w:bCs/>
                                      <w:color w:val="595959" w:themeColor="text1" w:themeTint="A6"/>
                                    </w:rPr>
                                    <w:t>Federal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FE215" id="_x0000_t202" coordsize="21600,21600" o:spt="202" path="m,l,21600r21600,l21600,xe">
                      <v:stroke joinstyle="miter"/>
                      <v:path gradientshapeok="t" o:connecttype="rect"/>
                    </v:shapetype>
                    <v:shape id="Text Box 2" o:spid="_x0000_s1026" type="#_x0000_t202" style="position:absolute;margin-left:-19.95pt;margin-top:89pt;width:78.1pt;height:26.9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" filled="f" stroked="f">
                      <v:textbox>
                        <w:txbxContent>
                          <w:p w14:paraId="7A2206D2" w14:textId="6D8B58C9" w:rsidR="00A225F5" w:rsidRPr="004200CF" w:rsidRDefault="00A225F5" w:rsidP="00A225F5">
                            <w:pPr>
                              <w:jc w:val="right"/>
                              <w:rPr>
                                <w:b/>
                                <w:bCs/>
                                <w:color w:val="595959" w:themeColor="text1" w:themeTint="A6"/>
                              </w:rPr>
                            </w:pPr>
                            <w:r>
                              <w:rPr>
                                <w:b/>
                                <w:bCs/>
                                <w:color w:val="595959" w:themeColor="text1" w:themeTint="A6"/>
                              </w:rPr>
                              <w:t>Federal</w:t>
                            </w:r>
                          </w:p>
                        </w:txbxContent>
                      </v:textbox>
                      <w10:wrap type="square"/>
                    </v:shape>
                  </w:pict>
                </mc:Fallback>
              </mc:AlternateContent>
            </w:r>
          </w:p>
        </w:tc>
        <w:tc>
          <w:tcPr>
            <w:tcW w:w="5953" w:type="dxa"/>
            <w:tcBorders>
              <w:top w:val="single" w:sz="8" w:space="0" w:color="auto"/>
              <w:left w:val="single" w:sz="8" w:space="0" w:color="auto"/>
              <w:bottom w:val="single" w:sz="8" w:space="0" w:color="auto"/>
              <w:right w:val="single" w:sz="8" w:space="0" w:color="auto"/>
            </w:tcBorders>
          </w:tcPr>
          <w:p w14:paraId="727D3E95" w14:textId="77777777" w:rsidR="00A225F5" w:rsidRPr="0094479E" w:rsidRDefault="00A225F5" w:rsidP="00A1784D">
            <w:pPr>
              <w:rPr>
                <w:rFonts w:asciiTheme="majorHAnsi" w:eastAsia="Times New Roman" w:hAnsiTheme="majorHAnsi" w:cstheme="majorHAnsi"/>
                <w:sz w:val="21"/>
                <w:szCs w:val="21"/>
                <w:lang w:val="en-GB"/>
              </w:rPr>
            </w:pPr>
            <w:r w:rsidRPr="00AF4BAC">
              <w:rPr>
                <w:rFonts w:asciiTheme="majorHAnsi" w:eastAsia="Times New Roman" w:hAnsiTheme="majorHAnsi" w:cstheme="majorHAnsi"/>
                <w:b/>
                <w:bCs/>
                <w:sz w:val="21"/>
                <w:szCs w:val="21"/>
                <w:lang w:val="en-GB"/>
              </w:rPr>
              <w:t xml:space="preserve">National Housing and Homelessness Agreement/ National Partnership Agreement on Homelessness </w:t>
            </w:r>
            <w:r w:rsidRPr="00AF4BAC">
              <w:rPr>
                <w:rFonts w:asciiTheme="majorHAnsi" w:eastAsia="Times New Roman" w:hAnsiTheme="majorHAnsi" w:cstheme="majorHAnsi"/>
                <w:sz w:val="21"/>
                <w:szCs w:val="21"/>
                <w:lang w:val="en-GB"/>
              </w:rPr>
              <w:t xml:space="preserve">(from 2019): Australian and State government commit $1.1 billion to the National Affordable Housing Agreement to help people who are homeless or at risk </w:t>
            </w:r>
            <w:r>
              <w:rPr>
                <w:rFonts w:asciiTheme="majorHAnsi" w:eastAsia="Times New Roman" w:hAnsiTheme="majorHAnsi" w:cstheme="majorHAnsi"/>
                <w:sz w:val="21"/>
                <w:szCs w:val="21"/>
                <w:lang w:val="en-GB"/>
              </w:rPr>
              <w:t>to</w:t>
            </w:r>
            <w:r w:rsidRPr="00AF4BAC">
              <w:rPr>
                <w:rFonts w:asciiTheme="majorHAnsi" w:eastAsia="Times New Roman" w:hAnsiTheme="majorHAnsi" w:cstheme="majorHAnsi"/>
                <w:sz w:val="21"/>
                <w:szCs w:val="21"/>
                <w:lang w:val="en-GB"/>
              </w:rPr>
              <w:t xml:space="preserve"> achieve sustainable housing and social inclusion. Targets jurisdictional specific priorities including supply targets, planning</w:t>
            </w:r>
            <w:r>
              <w:rPr>
                <w:rFonts w:asciiTheme="majorHAnsi" w:eastAsia="Times New Roman" w:hAnsiTheme="majorHAnsi" w:cstheme="majorHAnsi"/>
                <w:sz w:val="21"/>
                <w:szCs w:val="21"/>
                <w:lang w:val="en-GB"/>
              </w:rPr>
              <w:t>,</w:t>
            </w:r>
            <w:r w:rsidRPr="00AF4BAC">
              <w:rPr>
                <w:rFonts w:asciiTheme="majorHAnsi" w:eastAsia="Times New Roman" w:hAnsiTheme="majorHAnsi" w:cstheme="majorHAnsi"/>
                <w:sz w:val="21"/>
                <w:szCs w:val="21"/>
                <w:lang w:val="en-GB"/>
              </w:rPr>
              <w:t xml:space="preserve"> zoning reforms</w:t>
            </w:r>
            <w:r>
              <w:rPr>
                <w:rFonts w:asciiTheme="majorHAnsi" w:eastAsia="Times New Roman" w:hAnsiTheme="majorHAnsi" w:cstheme="majorHAnsi"/>
                <w:sz w:val="21"/>
                <w:szCs w:val="21"/>
                <w:lang w:val="en-GB"/>
              </w:rPr>
              <w:t>,</w:t>
            </w:r>
            <w:r w:rsidRPr="00AF4BAC">
              <w:rPr>
                <w:rFonts w:asciiTheme="majorHAnsi" w:eastAsia="Times New Roman" w:hAnsiTheme="majorHAnsi" w:cstheme="majorHAnsi"/>
                <w:sz w:val="21"/>
                <w:szCs w:val="21"/>
                <w:lang w:val="en-GB"/>
              </w:rPr>
              <w:t xml:space="preserve"> and renewal of public housing.</w:t>
            </w:r>
          </w:p>
          <w:p w14:paraId="49D6C44D" w14:textId="77777777" w:rsidR="00A225F5" w:rsidRPr="0094479E" w:rsidRDefault="00A225F5" w:rsidP="00A1784D">
            <w:pPr>
              <w:rPr>
                <w:rFonts w:asciiTheme="majorHAnsi" w:hAnsiTheme="majorHAnsi" w:cstheme="majorBidi"/>
                <w:sz w:val="21"/>
                <w:szCs w:val="21"/>
              </w:rPr>
            </w:pPr>
            <w:r w:rsidRPr="701B9583">
              <w:rPr>
                <w:rFonts w:asciiTheme="majorHAnsi" w:eastAsia="Times New Roman" w:hAnsiTheme="majorHAnsi" w:cstheme="majorBidi"/>
                <w:b/>
                <w:sz w:val="21"/>
                <w:szCs w:val="21"/>
                <w:lang w:val="en-GB"/>
              </w:rPr>
              <w:t xml:space="preserve">National Rental Affordability Scheme </w:t>
            </w:r>
            <w:r w:rsidRPr="701B9583">
              <w:rPr>
                <w:rFonts w:asciiTheme="majorHAnsi" w:eastAsia="Times New Roman" w:hAnsiTheme="majorHAnsi" w:cstheme="majorBidi"/>
                <w:sz w:val="21"/>
                <w:szCs w:val="21"/>
                <w:lang w:val="en-GB"/>
              </w:rPr>
              <w:t>(from July 2008): Gives investors annual incentives (tax credits if paying tax, grants if not) for 10 years to create 50,000 new affordable rental properties for low- and mid-income households at 20% below local market rents. Scheme ended for new property incentives in 2014 after 37,142 units built.</w:t>
            </w:r>
          </w:p>
          <w:p w14:paraId="5846FEA0" w14:textId="427C3B99" w:rsidR="00A225F5" w:rsidRPr="0094479E" w:rsidRDefault="00A225F5" w:rsidP="00A1784D">
            <w:pPr>
              <w:rPr>
                <w:rFonts w:asciiTheme="majorHAnsi" w:hAnsiTheme="majorHAnsi" w:cstheme="majorHAnsi"/>
                <w:sz w:val="21"/>
                <w:szCs w:val="21"/>
              </w:rPr>
            </w:pPr>
            <w:r w:rsidRPr="00AF4BAC">
              <w:rPr>
                <w:rFonts w:asciiTheme="majorHAnsi" w:eastAsia="Times New Roman" w:hAnsiTheme="majorHAnsi" w:cstheme="majorHAnsi"/>
                <w:b/>
                <w:bCs/>
                <w:sz w:val="21"/>
                <w:szCs w:val="21"/>
                <w:lang w:val="en-GB"/>
              </w:rPr>
              <w:t xml:space="preserve">Commonwealth Rent Assistance: </w:t>
            </w:r>
            <w:r>
              <w:rPr>
                <w:rFonts w:asciiTheme="majorHAnsi" w:eastAsia="Times New Roman" w:hAnsiTheme="majorHAnsi" w:cstheme="majorHAnsi"/>
                <w:sz w:val="21"/>
                <w:szCs w:val="21"/>
                <w:lang w:val="en-GB"/>
              </w:rPr>
              <w:t>For people on a</w:t>
            </w:r>
            <w:r w:rsidRPr="00AF4BAC">
              <w:rPr>
                <w:rFonts w:asciiTheme="majorHAnsi" w:eastAsia="Times New Roman" w:hAnsiTheme="majorHAnsi" w:cstheme="majorHAnsi"/>
                <w:sz w:val="21"/>
                <w:szCs w:val="21"/>
                <w:lang w:val="en-GB"/>
              </w:rPr>
              <w:t xml:space="preserve"> </w:t>
            </w:r>
            <w:r>
              <w:rPr>
                <w:rFonts w:asciiTheme="majorHAnsi" w:eastAsia="Times New Roman" w:hAnsiTheme="majorHAnsi" w:cstheme="majorHAnsi"/>
                <w:sz w:val="21"/>
                <w:szCs w:val="21"/>
                <w:lang w:val="en-GB"/>
              </w:rPr>
              <w:t>range of</w:t>
            </w:r>
            <w:r w:rsidRPr="00AF4BAC">
              <w:rPr>
                <w:rFonts w:asciiTheme="majorHAnsi" w:eastAsia="Times New Roman" w:hAnsiTheme="majorHAnsi" w:cstheme="majorHAnsi"/>
                <w:sz w:val="21"/>
                <w:szCs w:val="21"/>
                <w:lang w:val="en-GB"/>
              </w:rPr>
              <w:t xml:space="preserve"> welfare payments renting from private o</w:t>
            </w:r>
            <w:r>
              <w:rPr>
                <w:rFonts w:asciiTheme="majorHAnsi" w:eastAsia="Times New Roman" w:hAnsiTheme="majorHAnsi" w:cstheme="majorHAnsi"/>
                <w:sz w:val="21"/>
                <w:szCs w:val="21"/>
                <w:lang w:val="en-GB"/>
              </w:rPr>
              <w:t>r</w:t>
            </w:r>
            <w:r w:rsidRPr="00AF4BAC">
              <w:rPr>
                <w:rFonts w:asciiTheme="majorHAnsi" w:eastAsia="Times New Roman" w:hAnsiTheme="majorHAnsi" w:cstheme="majorHAnsi"/>
                <w:sz w:val="21"/>
                <w:szCs w:val="21"/>
                <w:lang w:val="en-GB"/>
              </w:rPr>
              <w:t xml:space="preserve"> community housing providers</w:t>
            </w:r>
            <w:r>
              <w:rPr>
                <w:rFonts w:asciiTheme="majorHAnsi" w:eastAsia="Times New Roman" w:hAnsiTheme="majorHAnsi" w:cstheme="majorHAnsi"/>
                <w:sz w:val="21"/>
                <w:szCs w:val="21"/>
                <w:lang w:val="en-GB"/>
              </w:rPr>
              <w:t>. Fills</w:t>
            </w:r>
            <w:r w:rsidRPr="00AF4BAC">
              <w:rPr>
                <w:rFonts w:asciiTheme="majorHAnsi" w:eastAsia="Times New Roman" w:hAnsiTheme="majorHAnsi" w:cstheme="majorHAnsi"/>
                <w:sz w:val="21"/>
                <w:szCs w:val="21"/>
                <w:lang w:val="en-GB"/>
              </w:rPr>
              <w:t xml:space="preserve"> gap between </w:t>
            </w:r>
            <w:r>
              <w:rPr>
                <w:rFonts w:asciiTheme="majorHAnsi" w:eastAsia="Times New Roman" w:hAnsiTheme="majorHAnsi" w:cstheme="majorHAnsi"/>
                <w:sz w:val="21"/>
                <w:szCs w:val="21"/>
                <w:lang w:val="en-GB"/>
              </w:rPr>
              <w:t>actual</w:t>
            </w:r>
            <w:r w:rsidRPr="00AF4BAC">
              <w:rPr>
                <w:rFonts w:asciiTheme="majorHAnsi" w:eastAsia="Times New Roman" w:hAnsiTheme="majorHAnsi" w:cstheme="majorHAnsi"/>
                <w:sz w:val="21"/>
                <w:szCs w:val="21"/>
                <w:lang w:val="en-GB"/>
              </w:rPr>
              <w:t xml:space="preserve"> rent and “rent threshold” </w:t>
            </w:r>
            <w:r>
              <w:rPr>
                <w:rFonts w:asciiTheme="majorHAnsi" w:eastAsia="Times New Roman" w:hAnsiTheme="majorHAnsi" w:cstheme="majorHAnsi"/>
                <w:sz w:val="21"/>
                <w:szCs w:val="21"/>
                <w:lang w:val="en-GB"/>
              </w:rPr>
              <w:t>(</w:t>
            </w:r>
            <w:r w:rsidRPr="00AF4BAC">
              <w:rPr>
                <w:rFonts w:asciiTheme="majorHAnsi" w:eastAsia="Times New Roman" w:hAnsiTheme="majorHAnsi" w:cstheme="majorHAnsi"/>
                <w:sz w:val="21"/>
                <w:szCs w:val="21"/>
                <w:lang w:val="en-GB"/>
              </w:rPr>
              <w:t>usually 30%</w:t>
            </w:r>
            <w:r>
              <w:rPr>
                <w:rFonts w:asciiTheme="majorHAnsi" w:eastAsia="Times New Roman" w:hAnsiTheme="majorHAnsi" w:cstheme="majorHAnsi"/>
                <w:sz w:val="21"/>
                <w:szCs w:val="21"/>
                <w:lang w:val="en-GB"/>
              </w:rPr>
              <w:t>-plus</w:t>
            </w:r>
            <w:r w:rsidRPr="00AF4BAC">
              <w:rPr>
                <w:rFonts w:asciiTheme="majorHAnsi" w:eastAsia="Times New Roman" w:hAnsiTheme="majorHAnsi" w:cstheme="majorHAnsi"/>
                <w:sz w:val="21"/>
                <w:szCs w:val="21"/>
                <w:lang w:val="en-GB"/>
              </w:rPr>
              <w:t xml:space="preserve"> of income </w:t>
            </w:r>
            <w:r>
              <w:rPr>
                <w:rFonts w:asciiTheme="majorHAnsi" w:eastAsia="Times New Roman" w:hAnsiTheme="majorHAnsi" w:cstheme="majorHAnsi"/>
                <w:sz w:val="21"/>
                <w:szCs w:val="21"/>
                <w:lang w:val="en-GB"/>
              </w:rPr>
              <w:t xml:space="preserve">paid </w:t>
            </w:r>
            <w:r w:rsidRPr="00AF4BAC">
              <w:rPr>
                <w:rFonts w:asciiTheme="majorHAnsi" w:eastAsia="Times New Roman" w:hAnsiTheme="majorHAnsi" w:cstheme="majorHAnsi"/>
                <w:sz w:val="21"/>
                <w:szCs w:val="21"/>
                <w:lang w:val="en-GB"/>
              </w:rPr>
              <w:t>in rent</w:t>
            </w:r>
            <w:r>
              <w:rPr>
                <w:rFonts w:asciiTheme="majorHAnsi" w:eastAsia="Times New Roman" w:hAnsiTheme="majorHAnsi" w:cstheme="majorHAnsi"/>
                <w:sz w:val="21"/>
                <w:szCs w:val="21"/>
                <w:lang w:val="en-GB"/>
              </w:rPr>
              <w:t>).</w:t>
            </w:r>
            <w:r w:rsidR="00A01EB5">
              <w:rPr>
                <w:rFonts w:asciiTheme="majorHAnsi" w:eastAsia="Times New Roman" w:hAnsiTheme="majorHAnsi" w:cstheme="majorHAnsi"/>
                <w:sz w:val="21"/>
                <w:szCs w:val="21"/>
                <w:lang w:val="en-GB"/>
              </w:rPr>
              <w:br/>
            </w:r>
            <w:r w:rsidRPr="00AF4BAC">
              <w:rPr>
                <w:rFonts w:asciiTheme="majorHAnsi" w:eastAsia="Times New Roman" w:hAnsiTheme="majorHAnsi" w:cstheme="majorHAnsi"/>
                <w:b/>
                <w:bCs/>
                <w:sz w:val="21"/>
                <w:szCs w:val="21"/>
                <w:lang w:val="en-GB"/>
              </w:rPr>
              <w:t xml:space="preserve">Support for home ownership: </w:t>
            </w:r>
            <w:r w:rsidRPr="00AF4BAC">
              <w:rPr>
                <w:rFonts w:asciiTheme="majorHAnsi" w:eastAsia="Times New Roman" w:hAnsiTheme="majorHAnsi" w:cstheme="majorHAnsi"/>
                <w:sz w:val="21"/>
                <w:szCs w:val="21"/>
                <w:lang w:val="en-GB"/>
              </w:rPr>
              <w:t xml:space="preserve">Direct support </w:t>
            </w:r>
            <w:r>
              <w:rPr>
                <w:rFonts w:asciiTheme="majorHAnsi" w:eastAsia="Times New Roman" w:hAnsiTheme="majorHAnsi" w:cstheme="majorHAnsi"/>
                <w:sz w:val="21"/>
                <w:szCs w:val="21"/>
                <w:lang w:val="en-GB"/>
              </w:rPr>
              <w:t>via</w:t>
            </w:r>
            <w:r w:rsidRPr="00AF4BAC">
              <w:rPr>
                <w:rFonts w:asciiTheme="majorHAnsi" w:eastAsia="Times New Roman" w:hAnsiTheme="majorHAnsi" w:cstheme="majorHAnsi"/>
                <w:sz w:val="21"/>
                <w:szCs w:val="21"/>
                <w:lang w:val="en-GB"/>
              </w:rPr>
              <w:t xml:space="preserve"> First Home Owners Grant Scheme, First Home Super Saver Scheme, First Home Loan Deposit Scheme. All assume regular employment and capacity to save.</w:t>
            </w:r>
            <w:r w:rsidRPr="00AF4BAC">
              <w:rPr>
                <w:rFonts w:asciiTheme="majorHAnsi" w:eastAsia="Times New Roman" w:hAnsiTheme="majorHAnsi" w:cstheme="majorHAnsi"/>
                <w:b/>
                <w:bCs/>
                <w:sz w:val="21"/>
                <w:szCs w:val="21"/>
                <w:lang w:val="en-GB"/>
              </w:rPr>
              <w:t xml:space="preserve"> </w:t>
            </w:r>
            <w:r w:rsidR="005F7FDA">
              <w:rPr>
                <w:rFonts w:asciiTheme="majorHAnsi" w:eastAsia="Times New Roman" w:hAnsiTheme="majorHAnsi" w:cstheme="majorHAnsi"/>
                <w:sz w:val="21"/>
                <w:szCs w:val="21"/>
                <w:lang w:val="en-GB"/>
              </w:rPr>
              <w:t>A</w:t>
            </w:r>
            <w:r w:rsidR="005F7FDA" w:rsidRPr="00AF4BAC">
              <w:rPr>
                <w:rFonts w:asciiTheme="majorHAnsi" w:eastAsia="Times New Roman" w:hAnsiTheme="majorHAnsi" w:cstheme="majorHAnsi"/>
                <w:sz w:val="21"/>
                <w:szCs w:val="21"/>
                <w:lang w:val="en-GB"/>
              </w:rPr>
              <w:t>lso,</w:t>
            </w:r>
            <w:r w:rsidRPr="00AF4BAC">
              <w:rPr>
                <w:rFonts w:asciiTheme="majorHAnsi" w:eastAsia="Times New Roman" w:hAnsiTheme="majorHAnsi" w:cstheme="majorHAnsi"/>
                <w:sz w:val="21"/>
                <w:szCs w:val="21"/>
                <w:lang w:val="en-GB"/>
              </w:rPr>
              <w:t xml:space="preserve"> indirect supports for homeowners:</w:t>
            </w:r>
            <w:r w:rsidRPr="00AF4BAC">
              <w:rPr>
                <w:rFonts w:asciiTheme="majorHAnsi" w:eastAsia="Times New Roman" w:hAnsiTheme="majorHAnsi" w:cstheme="majorHAnsi"/>
                <w:b/>
                <w:bCs/>
                <w:sz w:val="21"/>
                <w:szCs w:val="21"/>
                <w:lang w:val="en-GB"/>
              </w:rPr>
              <w:t xml:space="preserve"> </w:t>
            </w:r>
            <w:r w:rsidRPr="00AF4BAC">
              <w:rPr>
                <w:rFonts w:asciiTheme="majorHAnsi" w:eastAsia="Times New Roman" w:hAnsiTheme="majorHAnsi" w:cstheme="majorHAnsi"/>
                <w:sz w:val="21"/>
                <w:szCs w:val="21"/>
                <w:lang w:val="en-GB"/>
              </w:rPr>
              <w:t>negative gearing, non-taxing of capital gains from housing</w:t>
            </w:r>
            <w:r>
              <w:rPr>
                <w:rFonts w:asciiTheme="majorHAnsi" w:eastAsia="Times New Roman" w:hAnsiTheme="majorHAnsi" w:cstheme="majorHAnsi"/>
                <w:sz w:val="21"/>
                <w:szCs w:val="21"/>
                <w:lang w:val="en-GB"/>
              </w:rPr>
              <w:t xml:space="preserve"> sales</w:t>
            </w:r>
            <w:r w:rsidRPr="00AF4BAC">
              <w:rPr>
                <w:rFonts w:asciiTheme="majorHAnsi" w:eastAsia="Times New Roman" w:hAnsiTheme="majorHAnsi" w:cstheme="majorHAnsi"/>
                <w:sz w:val="21"/>
                <w:szCs w:val="21"/>
                <w:lang w:val="en-GB"/>
              </w:rPr>
              <w:t xml:space="preserve"> (after one year), primary residence not considered an asset </w:t>
            </w:r>
            <w:r>
              <w:rPr>
                <w:rFonts w:asciiTheme="majorHAnsi" w:eastAsia="Times New Roman" w:hAnsiTheme="majorHAnsi" w:cstheme="majorHAnsi"/>
                <w:sz w:val="21"/>
                <w:szCs w:val="21"/>
                <w:lang w:val="en-GB"/>
              </w:rPr>
              <w:t>in calculating</w:t>
            </w:r>
            <w:r w:rsidRPr="00AF4BAC">
              <w:rPr>
                <w:rFonts w:asciiTheme="majorHAnsi" w:eastAsia="Times New Roman" w:hAnsiTheme="majorHAnsi" w:cstheme="majorHAnsi"/>
                <w:sz w:val="21"/>
                <w:szCs w:val="21"/>
                <w:lang w:val="en-GB"/>
              </w:rPr>
              <w:t xml:space="preserve"> social welfare benefits.</w:t>
            </w:r>
          </w:p>
          <w:p w14:paraId="36A3358A" w14:textId="77777777" w:rsidR="00A225F5" w:rsidRPr="0094479E" w:rsidRDefault="00A225F5" w:rsidP="00A1784D">
            <w:pPr>
              <w:rPr>
                <w:rFonts w:asciiTheme="majorHAnsi" w:hAnsiTheme="majorHAnsi" w:cstheme="majorHAnsi"/>
                <w:sz w:val="21"/>
                <w:szCs w:val="21"/>
              </w:rPr>
            </w:pPr>
            <w:r w:rsidRPr="00AF4BAC">
              <w:rPr>
                <w:rFonts w:asciiTheme="majorHAnsi" w:eastAsia="Times New Roman" w:hAnsiTheme="majorHAnsi" w:cstheme="majorHAnsi"/>
                <w:b/>
                <w:bCs/>
                <w:sz w:val="21"/>
                <w:szCs w:val="21"/>
                <w:lang w:val="en-GB"/>
              </w:rPr>
              <w:t xml:space="preserve">Negative gearing: </w:t>
            </w:r>
            <w:r w:rsidRPr="00AF4BAC">
              <w:rPr>
                <w:rFonts w:asciiTheme="majorHAnsi" w:eastAsia="Times New Roman" w:hAnsiTheme="majorHAnsi" w:cstheme="majorHAnsi"/>
                <w:sz w:val="21"/>
                <w:szCs w:val="21"/>
                <w:lang w:val="en-GB"/>
              </w:rPr>
              <w:t>Tax concession allowing landlords to deduct the costs and losses of owning a rental property from their overall income. Massive inflow of investors into property market from 2001.</w:t>
            </w:r>
          </w:p>
          <w:p w14:paraId="2E49BAD0" w14:textId="77777777" w:rsidR="00A225F5" w:rsidRPr="00E956AA" w:rsidRDefault="00A225F5" w:rsidP="00A1784D">
            <w:pPr>
              <w:rPr>
                <w:rFonts w:asciiTheme="majorHAnsi" w:hAnsiTheme="majorHAnsi" w:cstheme="majorHAnsi"/>
                <w:sz w:val="21"/>
                <w:szCs w:val="21"/>
              </w:rPr>
            </w:pPr>
            <w:r w:rsidRPr="00AF4BAC">
              <w:rPr>
                <w:rFonts w:asciiTheme="majorHAnsi" w:eastAsia="Times New Roman" w:hAnsiTheme="majorHAnsi" w:cstheme="majorHAnsi"/>
                <w:b/>
                <w:bCs/>
                <w:sz w:val="21"/>
                <w:szCs w:val="21"/>
                <w:lang w:val="en-GB"/>
              </w:rPr>
              <w:t>Settlement of African Australian in regional areas</w:t>
            </w:r>
            <w:r w:rsidRPr="00AF4BAC">
              <w:rPr>
                <w:rFonts w:asciiTheme="majorHAnsi" w:hAnsiTheme="majorHAnsi" w:cstheme="majorHAnsi"/>
                <w:sz w:val="21"/>
                <w:szCs w:val="21"/>
              </w:rPr>
              <w:t xml:space="preserve">: </w:t>
            </w:r>
            <w:r w:rsidRPr="00AF4BAC">
              <w:rPr>
                <w:rFonts w:asciiTheme="majorHAnsi" w:eastAsia="Times New Roman" w:hAnsiTheme="majorHAnsi" w:cstheme="majorHAnsi"/>
                <w:sz w:val="21"/>
                <w:szCs w:val="21"/>
                <w:lang w:val="en-GB"/>
              </w:rPr>
              <w:t xml:space="preserve">Featured in Federal Immigration Policy. Some evidence it produces better outcomes </w:t>
            </w:r>
            <w:r>
              <w:rPr>
                <w:rFonts w:asciiTheme="majorHAnsi" w:eastAsia="Times New Roman" w:hAnsiTheme="majorHAnsi" w:cstheme="majorHAnsi"/>
                <w:sz w:val="21"/>
                <w:szCs w:val="21"/>
                <w:lang w:val="en-GB"/>
              </w:rPr>
              <w:t>for</w:t>
            </w:r>
            <w:r w:rsidRPr="00AF4BAC">
              <w:rPr>
                <w:rFonts w:asciiTheme="majorHAnsi" w:eastAsia="Times New Roman" w:hAnsiTheme="majorHAnsi" w:cstheme="majorHAnsi"/>
                <w:sz w:val="21"/>
                <w:szCs w:val="21"/>
                <w:lang w:val="en-GB"/>
              </w:rPr>
              <w:t xml:space="preserve"> both housing and employment, but also some questions about its sustainability. </w:t>
            </w:r>
          </w:p>
          <w:p w14:paraId="5D908292" w14:textId="77777777" w:rsidR="00A225F5" w:rsidRPr="00E956AA" w:rsidRDefault="001E285C" w:rsidP="00A1784D">
            <w:pPr>
              <w:rPr>
                <w:rFonts w:asciiTheme="majorHAnsi" w:hAnsiTheme="majorHAnsi" w:cstheme="majorHAnsi"/>
                <w:sz w:val="21"/>
                <w:szCs w:val="21"/>
              </w:rPr>
            </w:pPr>
            <w:hyperlink r:id="rId13">
              <w:r w:rsidR="00A225F5" w:rsidRPr="00AF4BAC">
                <w:rPr>
                  <w:rStyle w:val="Hyperlink"/>
                  <w:rFonts w:asciiTheme="majorHAnsi" w:eastAsia="Times New Roman" w:hAnsiTheme="majorHAnsi" w:cstheme="majorHAnsi"/>
                  <w:b/>
                  <w:sz w:val="21"/>
                  <w:szCs w:val="21"/>
                  <w:lang w:val="en-GB"/>
                </w:rPr>
                <w:t>Housing Australia (2017)</w:t>
              </w:r>
            </w:hyperlink>
            <w:r w:rsidR="00A225F5" w:rsidRPr="00AF4BAC">
              <w:rPr>
                <w:rFonts w:asciiTheme="majorHAnsi" w:hAnsiTheme="majorHAnsi" w:cstheme="majorHAnsi"/>
                <w:sz w:val="21"/>
                <w:szCs w:val="21"/>
              </w:rPr>
              <w:t xml:space="preserve">: </w:t>
            </w:r>
            <w:r w:rsidR="00A225F5" w:rsidRPr="00AF4BAC">
              <w:rPr>
                <w:rFonts w:asciiTheme="majorHAnsi" w:eastAsia="Times New Roman" w:hAnsiTheme="majorHAnsi" w:cstheme="majorHAnsi"/>
                <w:sz w:val="21"/>
                <w:szCs w:val="21"/>
                <w:lang w:val="en-GB"/>
              </w:rPr>
              <w:t xml:space="preserve">Housing price and rents growth are lowest in regional Australia. Regional housing impacted by a range of fiscal, transport, infrastructure, and population policies (many controlled </w:t>
            </w:r>
            <w:r w:rsidR="00A225F5">
              <w:rPr>
                <w:rFonts w:asciiTheme="majorHAnsi" w:eastAsia="Times New Roman" w:hAnsiTheme="majorHAnsi" w:cstheme="majorHAnsi"/>
                <w:sz w:val="21"/>
                <w:szCs w:val="21"/>
                <w:lang w:val="en-GB"/>
              </w:rPr>
              <w:t>federally</w:t>
            </w:r>
            <w:r w:rsidR="00A225F5" w:rsidRPr="00AF4BAC">
              <w:rPr>
                <w:rFonts w:asciiTheme="majorHAnsi" w:eastAsia="Times New Roman" w:hAnsiTheme="majorHAnsi" w:cstheme="majorHAnsi"/>
                <w:sz w:val="21"/>
                <w:szCs w:val="21"/>
                <w:lang w:val="en-GB"/>
              </w:rPr>
              <w:t xml:space="preserve">). </w:t>
            </w:r>
          </w:p>
        </w:tc>
        <w:tc>
          <w:tcPr>
            <w:tcW w:w="2552" w:type="dxa"/>
            <w:tcBorders>
              <w:top w:val="single" w:sz="8" w:space="0" w:color="auto"/>
              <w:left w:val="single" w:sz="8" w:space="0" w:color="auto"/>
              <w:bottom w:val="single" w:sz="8" w:space="0" w:color="auto"/>
              <w:right w:val="single" w:sz="8" w:space="0" w:color="auto"/>
            </w:tcBorders>
          </w:tcPr>
          <w:p w14:paraId="0BEE000C" w14:textId="77777777" w:rsidR="00A225F5" w:rsidRPr="00AF4BAC" w:rsidRDefault="00A225F5" w:rsidP="00A1784D">
            <w:pPr>
              <w:rPr>
                <w:rFonts w:asciiTheme="majorHAnsi" w:hAnsiTheme="majorHAnsi" w:cstheme="majorHAnsi"/>
                <w:sz w:val="21"/>
                <w:szCs w:val="21"/>
              </w:rPr>
            </w:pPr>
            <w:r w:rsidRPr="00AF4BAC">
              <w:rPr>
                <w:rFonts w:asciiTheme="majorHAnsi" w:eastAsia="Times New Roman" w:hAnsiTheme="majorHAnsi" w:cstheme="majorHAnsi"/>
                <w:sz w:val="21"/>
                <w:szCs w:val="21"/>
                <w:lang w:val="en-GB"/>
              </w:rPr>
              <w:t xml:space="preserve"> </w:t>
            </w:r>
          </w:p>
          <w:p w14:paraId="44847A24" w14:textId="77777777" w:rsidR="00A225F5" w:rsidRPr="00AF4BAC" w:rsidRDefault="00A225F5" w:rsidP="00A1784D">
            <w:pPr>
              <w:rPr>
                <w:rFonts w:asciiTheme="majorHAnsi" w:hAnsiTheme="majorHAnsi" w:cstheme="majorHAnsi"/>
                <w:sz w:val="21"/>
                <w:szCs w:val="21"/>
              </w:rPr>
            </w:pPr>
            <w:r w:rsidRPr="00AF4BAC">
              <w:rPr>
                <w:rFonts w:asciiTheme="majorHAnsi" w:eastAsia="Times New Roman" w:hAnsiTheme="majorHAnsi" w:cstheme="majorHAnsi"/>
                <w:sz w:val="21"/>
                <w:szCs w:val="21"/>
                <w:lang w:val="en-GB"/>
              </w:rPr>
              <w:t xml:space="preserve"> </w:t>
            </w:r>
          </w:p>
          <w:p w14:paraId="294E903F" w14:textId="77777777" w:rsidR="00A225F5" w:rsidRPr="00AF4BAC" w:rsidRDefault="00A225F5" w:rsidP="00A1784D">
            <w:pPr>
              <w:rPr>
                <w:rFonts w:asciiTheme="majorHAnsi" w:hAnsiTheme="majorHAnsi" w:cstheme="majorHAnsi"/>
                <w:sz w:val="21"/>
                <w:szCs w:val="21"/>
              </w:rPr>
            </w:pPr>
            <w:r w:rsidRPr="00AF4BAC">
              <w:rPr>
                <w:rFonts w:asciiTheme="majorHAnsi" w:eastAsia="Times New Roman" w:hAnsiTheme="majorHAnsi" w:cstheme="majorHAnsi"/>
                <w:sz w:val="21"/>
                <w:szCs w:val="21"/>
                <w:lang w:val="en-GB"/>
              </w:rPr>
              <w:t xml:space="preserve"> </w:t>
            </w:r>
          </w:p>
          <w:p w14:paraId="46007A35" w14:textId="77777777" w:rsidR="00A225F5" w:rsidRPr="002204B2" w:rsidRDefault="00A225F5" w:rsidP="00A1784D">
            <w:pPr>
              <w:rPr>
                <w:rFonts w:asciiTheme="majorHAnsi" w:hAnsiTheme="majorHAnsi" w:cstheme="majorHAnsi"/>
                <w:sz w:val="12"/>
                <w:szCs w:val="12"/>
              </w:rPr>
            </w:pPr>
            <w:r w:rsidRPr="00AF4BAC">
              <w:rPr>
                <w:rFonts w:asciiTheme="majorHAnsi" w:eastAsia="Times New Roman" w:hAnsiTheme="majorHAnsi" w:cstheme="majorHAnsi"/>
                <w:sz w:val="21"/>
                <w:szCs w:val="21"/>
                <w:lang w:val="en-GB"/>
              </w:rPr>
              <w:t xml:space="preserve"> </w:t>
            </w:r>
          </w:p>
          <w:p w14:paraId="1B5D1B5F" w14:textId="77777777" w:rsidR="00A225F5" w:rsidRPr="002204B2" w:rsidRDefault="00A225F5" w:rsidP="00A1784D">
            <w:pPr>
              <w:rPr>
                <w:rFonts w:asciiTheme="majorHAnsi" w:eastAsia="Times New Roman" w:hAnsiTheme="majorHAnsi" w:cstheme="majorHAnsi"/>
                <w:sz w:val="24"/>
                <w:szCs w:val="24"/>
                <w:lang w:val="en-GB"/>
              </w:rPr>
            </w:pPr>
            <w:r>
              <w:br/>
            </w:r>
          </w:p>
          <w:p w14:paraId="5DEFD65D" w14:textId="77777777" w:rsidR="00A225F5" w:rsidRDefault="00A225F5" w:rsidP="00A1784D">
            <w:pPr>
              <w:rPr>
                <w:rFonts w:asciiTheme="majorHAnsi" w:eastAsia="Times New Roman" w:hAnsiTheme="majorHAnsi" w:cstheme="majorBidi"/>
                <w:sz w:val="21"/>
                <w:szCs w:val="21"/>
                <w:lang w:val="en-GB"/>
              </w:rPr>
            </w:pPr>
          </w:p>
          <w:p w14:paraId="54FF993B" w14:textId="77777777" w:rsidR="00A225F5" w:rsidRDefault="00A225F5" w:rsidP="00A1784D">
            <w:pPr>
              <w:rPr>
                <w:rFonts w:asciiTheme="majorHAnsi" w:eastAsia="Times New Roman" w:hAnsiTheme="majorHAnsi" w:cstheme="majorBidi"/>
                <w:sz w:val="21"/>
                <w:szCs w:val="21"/>
                <w:lang w:val="en-GB"/>
              </w:rPr>
            </w:pPr>
          </w:p>
          <w:p w14:paraId="44FD82C2" w14:textId="77777777" w:rsidR="00A01EB5" w:rsidRDefault="00A01EB5" w:rsidP="00A1784D">
            <w:pPr>
              <w:rPr>
                <w:rFonts w:asciiTheme="majorHAnsi" w:eastAsia="Times New Roman" w:hAnsiTheme="majorHAnsi" w:cstheme="majorHAnsi"/>
                <w:sz w:val="21"/>
                <w:szCs w:val="21"/>
                <w:lang w:val="en-GB"/>
              </w:rPr>
            </w:pPr>
          </w:p>
          <w:p w14:paraId="02B7563E" w14:textId="77777777" w:rsidR="00A01EB5" w:rsidRDefault="00A01EB5" w:rsidP="00A1784D">
            <w:pPr>
              <w:rPr>
                <w:rFonts w:asciiTheme="majorHAnsi" w:eastAsia="Times New Roman" w:hAnsiTheme="majorHAnsi" w:cstheme="majorHAnsi"/>
                <w:sz w:val="21"/>
                <w:szCs w:val="21"/>
                <w:lang w:val="en-GB"/>
              </w:rPr>
            </w:pPr>
          </w:p>
          <w:p w14:paraId="5B87E52C" w14:textId="77777777" w:rsidR="00A01EB5" w:rsidRDefault="00A01EB5" w:rsidP="00A1784D">
            <w:pPr>
              <w:rPr>
                <w:rFonts w:asciiTheme="majorHAnsi" w:eastAsia="Times New Roman" w:hAnsiTheme="majorHAnsi" w:cstheme="majorHAnsi"/>
                <w:sz w:val="21"/>
                <w:szCs w:val="21"/>
                <w:lang w:val="en-GB"/>
              </w:rPr>
            </w:pPr>
          </w:p>
          <w:p w14:paraId="657AB422" w14:textId="77777777" w:rsidR="00A01EB5" w:rsidRDefault="00A01EB5" w:rsidP="00A1784D">
            <w:pPr>
              <w:rPr>
                <w:rFonts w:asciiTheme="majorHAnsi" w:eastAsia="Times New Roman" w:hAnsiTheme="majorHAnsi" w:cstheme="majorHAnsi"/>
                <w:sz w:val="21"/>
                <w:szCs w:val="21"/>
                <w:lang w:val="en-GB"/>
              </w:rPr>
            </w:pPr>
          </w:p>
          <w:p w14:paraId="306086AE" w14:textId="77777777" w:rsidR="00A01EB5" w:rsidRDefault="00A01EB5" w:rsidP="00A1784D">
            <w:pPr>
              <w:rPr>
                <w:rFonts w:asciiTheme="majorHAnsi" w:eastAsia="Times New Roman" w:hAnsiTheme="majorHAnsi" w:cstheme="majorHAnsi"/>
                <w:sz w:val="21"/>
                <w:szCs w:val="21"/>
                <w:lang w:val="en-GB"/>
              </w:rPr>
            </w:pPr>
          </w:p>
          <w:p w14:paraId="79122824" w14:textId="77777777" w:rsidR="00A01EB5" w:rsidRDefault="00A01EB5" w:rsidP="00A1784D">
            <w:pPr>
              <w:rPr>
                <w:rFonts w:asciiTheme="majorHAnsi" w:eastAsia="Times New Roman" w:hAnsiTheme="majorHAnsi" w:cstheme="majorHAnsi"/>
                <w:sz w:val="21"/>
                <w:szCs w:val="21"/>
                <w:lang w:val="en-GB"/>
              </w:rPr>
            </w:pPr>
          </w:p>
          <w:p w14:paraId="787FC392" w14:textId="77777777" w:rsidR="00A01EB5" w:rsidRDefault="00A01EB5" w:rsidP="00A1784D">
            <w:pPr>
              <w:rPr>
                <w:rFonts w:asciiTheme="majorHAnsi" w:eastAsia="Times New Roman" w:hAnsiTheme="majorHAnsi" w:cstheme="majorHAnsi"/>
                <w:sz w:val="21"/>
                <w:szCs w:val="21"/>
                <w:lang w:val="en-GB"/>
              </w:rPr>
            </w:pPr>
          </w:p>
          <w:p w14:paraId="0E162F61" w14:textId="77777777" w:rsidR="00A01EB5" w:rsidRDefault="00A01EB5" w:rsidP="00A1784D">
            <w:pPr>
              <w:rPr>
                <w:rFonts w:asciiTheme="majorHAnsi" w:eastAsia="Times New Roman" w:hAnsiTheme="majorHAnsi" w:cstheme="majorHAnsi"/>
                <w:sz w:val="21"/>
                <w:szCs w:val="21"/>
                <w:lang w:val="en-GB"/>
              </w:rPr>
            </w:pPr>
          </w:p>
          <w:p w14:paraId="7EF09E36" w14:textId="77777777" w:rsidR="00A01EB5" w:rsidRDefault="00A01EB5" w:rsidP="00A1784D">
            <w:pPr>
              <w:rPr>
                <w:rFonts w:asciiTheme="majorHAnsi" w:eastAsia="Times New Roman" w:hAnsiTheme="majorHAnsi" w:cstheme="majorHAnsi"/>
                <w:sz w:val="21"/>
                <w:szCs w:val="21"/>
                <w:lang w:val="en-GB"/>
              </w:rPr>
            </w:pPr>
          </w:p>
          <w:p w14:paraId="43E31DB2" w14:textId="77777777" w:rsidR="00A01EB5" w:rsidRDefault="00A01EB5" w:rsidP="00A1784D">
            <w:pPr>
              <w:rPr>
                <w:rFonts w:asciiTheme="majorHAnsi" w:eastAsia="Times New Roman" w:hAnsiTheme="majorHAnsi" w:cstheme="majorHAnsi"/>
                <w:sz w:val="21"/>
                <w:szCs w:val="21"/>
                <w:lang w:val="en-GB"/>
              </w:rPr>
            </w:pPr>
          </w:p>
          <w:p w14:paraId="6CA65867" w14:textId="6FF27799" w:rsidR="00A225F5" w:rsidRPr="0094479E" w:rsidRDefault="00A225F5" w:rsidP="00A1784D">
            <w:pPr>
              <w:rPr>
                <w:rFonts w:asciiTheme="majorHAnsi" w:eastAsia="Times New Roman" w:hAnsiTheme="majorHAnsi" w:cstheme="majorHAnsi"/>
                <w:sz w:val="21"/>
                <w:szCs w:val="21"/>
                <w:lang w:val="en-GB"/>
              </w:rPr>
            </w:pPr>
            <w:r w:rsidRPr="00AF4BAC">
              <w:rPr>
                <w:rFonts w:asciiTheme="majorHAnsi" w:eastAsia="Times New Roman" w:hAnsiTheme="majorHAnsi" w:cstheme="majorHAnsi"/>
                <w:sz w:val="21"/>
                <w:szCs w:val="21"/>
                <w:lang w:val="en-GB"/>
              </w:rPr>
              <w:t>Many</w:t>
            </w:r>
            <w:r>
              <w:rPr>
                <w:rFonts w:asciiTheme="majorHAnsi" w:eastAsia="Times New Roman" w:hAnsiTheme="majorHAnsi" w:cstheme="majorHAnsi"/>
                <w:sz w:val="21"/>
                <w:szCs w:val="21"/>
                <w:lang w:val="en-GB"/>
              </w:rPr>
              <w:t xml:space="preserve"> low-income </w:t>
            </w:r>
            <w:r w:rsidRPr="00AF4BAC">
              <w:rPr>
                <w:rFonts w:asciiTheme="majorHAnsi" w:eastAsia="Times New Roman" w:hAnsiTheme="majorHAnsi" w:cstheme="majorHAnsi"/>
                <w:sz w:val="21"/>
                <w:szCs w:val="21"/>
                <w:lang w:val="en-GB"/>
              </w:rPr>
              <w:t>residents</w:t>
            </w:r>
            <w:r>
              <w:rPr>
                <w:rFonts w:asciiTheme="majorHAnsi" w:eastAsia="Times New Roman" w:hAnsiTheme="majorHAnsi" w:cstheme="majorHAnsi"/>
                <w:sz w:val="21"/>
                <w:szCs w:val="21"/>
                <w:lang w:val="en-GB"/>
              </w:rPr>
              <w:t xml:space="preserve"> on</w:t>
            </w:r>
            <w:r w:rsidRPr="00AF4BAC">
              <w:rPr>
                <w:rFonts w:asciiTheme="majorHAnsi" w:eastAsia="Times New Roman" w:hAnsiTheme="majorHAnsi" w:cstheme="majorHAnsi"/>
                <w:sz w:val="21"/>
                <w:szCs w:val="21"/>
                <w:lang w:val="en-GB"/>
              </w:rPr>
              <w:t xml:space="preserve"> Commonwealth Rent Assistance</w:t>
            </w:r>
            <w:r>
              <w:rPr>
                <w:rFonts w:asciiTheme="majorHAnsi" w:eastAsia="Times New Roman" w:hAnsiTheme="majorHAnsi" w:cstheme="majorHAnsi"/>
                <w:sz w:val="21"/>
                <w:szCs w:val="21"/>
                <w:lang w:val="en-GB"/>
              </w:rPr>
              <w:t>,</w:t>
            </w:r>
            <w:r w:rsidRPr="00AF4BAC">
              <w:rPr>
                <w:rFonts w:asciiTheme="majorHAnsi" w:eastAsia="Times New Roman" w:hAnsiTheme="majorHAnsi" w:cstheme="majorHAnsi"/>
                <w:sz w:val="21"/>
                <w:szCs w:val="21"/>
                <w:lang w:val="en-GB"/>
              </w:rPr>
              <w:t xml:space="preserve"> and</w:t>
            </w:r>
            <w:r>
              <w:rPr>
                <w:rFonts w:asciiTheme="majorHAnsi" w:eastAsia="Times New Roman" w:hAnsiTheme="majorHAnsi" w:cstheme="majorHAnsi"/>
                <w:sz w:val="21"/>
                <w:szCs w:val="21"/>
                <w:lang w:val="en-GB"/>
              </w:rPr>
              <w:t>/or</w:t>
            </w:r>
            <w:r w:rsidRPr="00AF4BAC">
              <w:rPr>
                <w:rFonts w:asciiTheme="majorHAnsi" w:eastAsia="Times New Roman" w:hAnsiTheme="majorHAnsi" w:cstheme="majorHAnsi"/>
                <w:sz w:val="21"/>
                <w:szCs w:val="21"/>
                <w:lang w:val="en-GB"/>
              </w:rPr>
              <w:t xml:space="preserve"> </w:t>
            </w:r>
            <w:r>
              <w:rPr>
                <w:rFonts w:asciiTheme="majorHAnsi" w:eastAsia="Times New Roman" w:hAnsiTheme="majorHAnsi" w:cstheme="majorHAnsi"/>
                <w:sz w:val="21"/>
                <w:szCs w:val="21"/>
                <w:lang w:val="en-GB"/>
              </w:rPr>
              <w:t>need</w:t>
            </w:r>
            <w:r w:rsidRPr="00AF4BAC">
              <w:rPr>
                <w:rFonts w:asciiTheme="majorHAnsi" w:eastAsia="Times New Roman" w:hAnsiTheme="majorHAnsi" w:cstheme="majorHAnsi"/>
                <w:sz w:val="21"/>
                <w:szCs w:val="21"/>
                <w:lang w:val="en-GB"/>
              </w:rPr>
              <w:t xml:space="preserve"> social housing.</w:t>
            </w:r>
          </w:p>
          <w:p w14:paraId="449A5DCE" w14:textId="314D1B8F" w:rsidR="00A225F5" w:rsidRPr="00AF4BAC" w:rsidRDefault="00A225F5" w:rsidP="00A1784D">
            <w:pPr>
              <w:rPr>
                <w:rFonts w:asciiTheme="majorHAnsi" w:hAnsiTheme="majorHAnsi" w:cstheme="majorHAnsi"/>
                <w:sz w:val="21"/>
                <w:szCs w:val="21"/>
              </w:rPr>
            </w:pPr>
            <w:r w:rsidRPr="00AF4BAC">
              <w:rPr>
                <w:rFonts w:asciiTheme="majorHAnsi" w:eastAsia="Times New Roman" w:hAnsiTheme="majorHAnsi" w:cstheme="majorHAnsi"/>
                <w:sz w:val="21"/>
                <w:szCs w:val="21"/>
                <w:lang w:val="en-GB"/>
              </w:rPr>
              <w:t>Few residents can access schemes to support entry into home ownership.</w:t>
            </w:r>
          </w:p>
          <w:p w14:paraId="710D815F" w14:textId="77777777" w:rsidR="00A225F5" w:rsidRPr="00475B20" w:rsidRDefault="00A225F5" w:rsidP="00A1784D">
            <w:pPr>
              <w:rPr>
                <w:rFonts w:asciiTheme="majorHAnsi" w:hAnsiTheme="majorHAnsi" w:cstheme="majorHAnsi"/>
                <w:sz w:val="8"/>
                <w:szCs w:val="8"/>
              </w:rPr>
            </w:pPr>
          </w:p>
          <w:p w14:paraId="4FD88A5E" w14:textId="77777777" w:rsidR="00A01EB5" w:rsidRDefault="00A01EB5" w:rsidP="00A1784D">
            <w:pPr>
              <w:rPr>
                <w:rFonts w:asciiTheme="majorHAnsi" w:eastAsia="Times New Roman" w:hAnsiTheme="majorHAnsi" w:cstheme="majorHAnsi"/>
                <w:sz w:val="21"/>
                <w:szCs w:val="21"/>
                <w:lang w:val="en-GB"/>
              </w:rPr>
            </w:pPr>
          </w:p>
          <w:p w14:paraId="2E291C0A" w14:textId="4141131D" w:rsidR="00A225F5" w:rsidRDefault="00A225F5" w:rsidP="00A1784D">
            <w:pPr>
              <w:rPr>
                <w:rFonts w:asciiTheme="majorHAnsi" w:eastAsia="Times New Roman" w:hAnsiTheme="majorHAnsi" w:cstheme="majorHAnsi"/>
                <w:sz w:val="21"/>
                <w:szCs w:val="21"/>
                <w:lang w:val="en-GB"/>
              </w:rPr>
            </w:pPr>
            <w:r>
              <w:rPr>
                <w:rFonts w:asciiTheme="majorHAnsi" w:eastAsia="Times New Roman" w:hAnsiTheme="majorHAnsi" w:cstheme="majorHAnsi"/>
                <w:sz w:val="21"/>
                <w:szCs w:val="21"/>
                <w:lang w:val="en-GB"/>
              </w:rPr>
              <w:t xml:space="preserve">Investors buying some </w:t>
            </w:r>
            <w:r w:rsidRPr="00AF4BAC">
              <w:rPr>
                <w:rFonts w:asciiTheme="majorHAnsi" w:eastAsia="Times New Roman" w:hAnsiTheme="majorHAnsi" w:cstheme="majorHAnsi"/>
                <w:sz w:val="21"/>
                <w:szCs w:val="21"/>
                <w:lang w:val="en-GB"/>
              </w:rPr>
              <w:t>Corio, Norlane, Whittington housing stock to rent out.</w:t>
            </w:r>
          </w:p>
          <w:p w14:paraId="788706A4" w14:textId="77777777" w:rsidR="00A01EB5" w:rsidRPr="00E956AA" w:rsidRDefault="00A01EB5" w:rsidP="00A1784D">
            <w:pPr>
              <w:rPr>
                <w:rFonts w:asciiTheme="majorHAnsi" w:hAnsiTheme="majorHAnsi" w:cstheme="majorHAnsi"/>
                <w:sz w:val="21"/>
                <w:szCs w:val="21"/>
              </w:rPr>
            </w:pPr>
          </w:p>
          <w:p w14:paraId="7A256F4A" w14:textId="77777777" w:rsidR="00A225F5" w:rsidRPr="00AF4BAC" w:rsidRDefault="00A225F5" w:rsidP="00A1784D">
            <w:pPr>
              <w:rPr>
                <w:rFonts w:asciiTheme="majorHAnsi" w:hAnsiTheme="majorHAnsi" w:cstheme="majorHAnsi"/>
                <w:sz w:val="21"/>
                <w:szCs w:val="21"/>
              </w:rPr>
            </w:pPr>
            <w:r w:rsidRPr="00AF4BAC">
              <w:rPr>
                <w:rFonts w:asciiTheme="majorHAnsi" w:eastAsia="Times New Roman" w:hAnsiTheme="majorHAnsi" w:cstheme="majorHAnsi"/>
                <w:sz w:val="21"/>
                <w:szCs w:val="21"/>
                <w:lang w:val="en-GB"/>
              </w:rPr>
              <w:t xml:space="preserve">Notable </w:t>
            </w:r>
            <w:r>
              <w:rPr>
                <w:rFonts w:asciiTheme="majorHAnsi" w:eastAsia="Times New Roman" w:hAnsiTheme="majorHAnsi" w:cstheme="majorHAnsi"/>
                <w:sz w:val="21"/>
                <w:szCs w:val="21"/>
                <w:lang w:val="en-GB"/>
              </w:rPr>
              <w:t xml:space="preserve">local </w:t>
            </w:r>
            <w:r w:rsidRPr="00AF4BAC">
              <w:rPr>
                <w:rFonts w:asciiTheme="majorHAnsi" w:eastAsia="Times New Roman" w:hAnsiTheme="majorHAnsi" w:cstheme="majorHAnsi"/>
                <w:sz w:val="21"/>
                <w:szCs w:val="21"/>
                <w:lang w:val="en-GB"/>
              </w:rPr>
              <w:t xml:space="preserve">settlement of refugees </w:t>
            </w:r>
            <w:r>
              <w:rPr>
                <w:rFonts w:asciiTheme="majorHAnsi" w:eastAsia="Times New Roman" w:hAnsiTheme="majorHAnsi" w:cstheme="majorHAnsi"/>
                <w:sz w:val="21"/>
                <w:szCs w:val="21"/>
                <w:lang w:val="en-GB"/>
              </w:rPr>
              <w:t xml:space="preserve">(including </w:t>
            </w:r>
            <w:r w:rsidRPr="00AF4BAC">
              <w:rPr>
                <w:rFonts w:asciiTheme="majorHAnsi" w:eastAsia="Times New Roman" w:hAnsiTheme="majorHAnsi" w:cstheme="majorHAnsi"/>
                <w:sz w:val="21"/>
                <w:szCs w:val="21"/>
                <w:lang w:val="en-GB"/>
              </w:rPr>
              <w:t>Karen, Afghan, African</w:t>
            </w:r>
            <w:r>
              <w:rPr>
                <w:rFonts w:asciiTheme="majorHAnsi" w:eastAsia="Times New Roman" w:hAnsiTheme="majorHAnsi" w:cstheme="majorHAnsi"/>
                <w:sz w:val="21"/>
                <w:szCs w:val="21"/>
                <w:lang w:val="en-GB"/>
              </w:rPr>
              <w:t>).</w:t>
            </w:r>
          </w:p>
        </w:tc>
      </w:tr>
      <w:tr w:rsidR="00A225F5" w:rsidRPr="00717682" w14:paraId="5C1071F1" w14:textId="77777777" w:rsidTr="00A225F5">
        <w:trPr>
          <w:trHeight w:val="1492"/>
        </w:trPr>
        <w:tc>
          <w:tcPr>
            <w:tcW w:w="983" w:type="dxa"/>
          </w:tcPr>
          <w:p w14:paraId="18ED9A9D" w14:textId="77777777" w:rsidR="00A225F5" w:rsidRPr="008949E9" w:rsidRDefault="00A225F5" w:rsidP="00A1784D">
            <w:pPr>
              <w:rPr>
                <w:rFonts w:asciiTheme="majorHAnsi" w:hAnsiTheme="majorHAnsi" w:cstheme="majorHAnsi"/>
                <w:sz w:val="21"/>
                <w:szCs w:val="21"/>
              </w:rPr>
            </w:pPr>
            <w:r w:rsidRPr="00C711E4">
              <w:rPr>
                <w:rFonts w:asciiTheme="majorHAnsi" w:hAnsiTheme="majorHAnsi" w:cstheme="majorHAnsi"/>
                <w:noProof/>
                <w:color w:val="2B579A"/>
                <w:sz w:val="21"/>
                <w:szCs w:val="21"/>
                <w:shd w:val="clear" w:color="auto" w:fill="E6E6E6"/>
                <w:lang w:eastAsia="zh-CN"/>
              </w:rPr>
              <mc:AlternateContent>
                <mc:Choice Requires="wps">
                  <w:drawing>
                    <wp:anchor distT="45720" distB="45720" distL="114300" distR="114300" simplePos="0" relativeHeight="251663360" behindDoc="0" locked="0" layoutInCell="1" allowOverlap="1" wp14:anchorId="7DF0097B" wp14:editId="6B8E4E6B">
                      <wp:simplePos x="0" y="0"/>
                      <wp:positionH relativeFrom="column">
                        <wp:posOffset>-147320</wp:posOffset>
                      </wp:positionH>
                      <wp:positionV relativeFrom="paragraph">
                        <wp:posOffset>1398270</wp:posOffset>
                      </wp:positionV>
                      <wp:extent cx="806450" cy="341630"/>
                      <wp:effectExtent l="3810" t="0" r="0" b="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06450" cy="341630"/>
                              </a:xfrm>
                              <a:prstGeom prst="rect">
                                <a:avLst/>
                              </a:prstGeom>
                              <a:noFill/>
                              <a:ln w="9525">
                                <a:noFill/>
                                <a:miter lim="800000"/>
                                <a:headEnd/>
                                <a:tailEnd/>
                              </a:ln>
                            </wps:spPr>
                            <wps:txbx>
                              <w:txbxContent>
                                <w:p w14:paraId="5BBDBC4C" w14:textId="65B71076" w:rsidR="00A225F5" w:rsidRPr="004200CF" w:rsidRDefault="00A225F5" w:rsidP="00A225F5">
                                  <w:pPr>
                                    <w:jc w:val="right"/>
                                    <w:rPr>
                                      <w:b/>
                                      <w:bCs/>
                                      <w:color w:val="595959" w:themeColor="text1" w:themeTint="A6"/>
                                    </w:rPr>
                                  </w:pPr>
                                  <w:r>
                                    <w:rPr>
                                      <w:b/>
                                      <w:bCs/>
                                      <w:color w:val="595959" w:themeColor="text1" w:themeTint="A6"/>
                                    </w:rPr>
                                    <w:t>Victoria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0097B" id="_x0000_s1027" type="#_x0000_t202" style="position:absolute;margin-left:-11.6pt;margin-top:110.1pt;width:63.5pt;height:26.9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" filled="f" stroked="f">
                      <v:textbox>
                        <w:txbxContent>
                          <w:p w14:paraId="5BBDBC4C" w14:textId="65B71076" w:rsidR="00A225F5" w:rsidRPr="004200CF" w:rsidRDefault="00A225F5" w:rsidP="00A225F5">
                            <w:pPr>
                              <w:jc w:val="right"/>
                              <w:rPr>
                                <w:b/>
                                <w:bCs/>
                                <w:color w:val="595959" w:themeColor="text1" w:themeTint="A6"/>
                              </w:rPr>
                            </w:pPr>
                            <w:r>
                              <w:rPr>
                                <w:b/>
                                <w:bCs/>
                                <w:color w:val="595959" w:themeColor="text1" w:themeTint="A6"/>
                              </w:rPr>
                              <w:t>Victoria</w:t>
                            </w:r>
                          </w:p>
                        </w:txbxContent>
                      </v:textbox>
                      <w10:wrap type="square"/>
                    </v:shape>
                  </w:pict>
                </mc:Fallback>
              </mc:AlternateContent>
            </w:r>
          </w:p>
        </w:tc>
        <w:tc>
          <w:tcPr>
            <w:tcW w:w="5953" w:type="dxa"/>
          </w:tcPr>
          <w:p w14:paraId="6E512BD6" w14:textId="77777777" w:rsidR="00A225F5" w:rsidRPr="00717682" w:rsidRDefault="00A225F5" w:rsidP="00A1784D">
            <w:pPr>
              <w:rPr>
                <w:rFonts w:asciiTheme="majorHAnsi" w:eastAsia="Times New Roman" w:hAnsiTheme="majorHAnsi" w:cstheme="majorHAnsi"/>
                <w:color w:val="000000" w:themeColor="text1"/>
                <w:sz w:val="21"/>
                <w:szCs w:val="21"/>
              </w:rPr>
            </w:pPr>
            <w:r w:rsidRPr="00717682">
              <w:rPr>
                <w:rFonts w:asciiTheme="majorHAnsi" w:eastAsia="Times New Roman" w:hAnsiTheme="majorHAnsi" w:cstheme="majorHAnsi"/>
                <w:b/>
                <w:bCs/>
                <w:color w:val="000000" w:themeColor="text1"/>
                <w:sz w:val="21"/>
                <w:szCs w:val="21"/>
              </w:rPr>
              <w:t>Journey to Social Inclusion:</w:t>
            </w:r>
            <w:r w:rsidRPr="00717682">
              <w:rPr>
                <w:rFonts w:asciiTheme="majorHAnsi" w:eastAsia="Times New Roman" w:hAnsiTheme="majorHAnsi" w:cstheme="majorHAnsi"/>
                <w:color w:val="000000" w:themeColor="text1"/>
                <w:sz w:val="21"/>
                <w:szCs w:val="21"/>
              </w:rPr>
              <w:t xml:space="preserve"> Sacred Heart Mission is delivering a scaled-up version of this program, which has shown promising signs of ending the cycle of chronic homelessness by taking a relationship-based, trauma-informed, and strengths-based approach in the context of long-term assertive case management and access to rapid housing.</w:t>
            </w:r>
          </w:p>
          <w:p w14:paraId="45B07DCA" w14:textId="77777777" w:rsidR="00A225F5" w:rsidRPr="00717682" w:rsidRDefault="00A225F5" w:rsidP="00A1784D">
            <w:pPr>
              <w:rPr>
                <w:rFonts w:asciiTheme="majorHAnsi" w:eastAsia="Times New Roman" w:hAnsiTheme="majorHAnsi" w:cstheme="majorHAnsi"/>
                <w:sz w:val="21"/>
                <w:szCs w:val="21"/>
                <w:lang w:val="en-GB"/>
              </w:rPr>
            </w:pPr>
            <w:r w:rsidRPr="00717682">
              <w:rPr>
                <w:rFonts w:asciiTheme="majorHAnsi" w:eastAsia="Times New Roman" w:hAnsiTheme="majorHAnsi" w:cstheme="majorHAnsi"/>
                <w:b/>
                <w:bCs/>
                <w:sz w:val="21"/>
                <w:szCs w:val="21"/>
                <w:lang w:val="en-GB"/>
              </w:rPr>
              <w:t xml:space="preserve">Homes for Victorians: </w:t>
            </w:r>
            <w:r w:rsidRPr="00717682">
              <w:rPr>
                <w:rFonts w:asciiTheme="majorHAnsi" w:eastAsia="Times New Roman" w:hAnsiTheme="majorHAnsi" w:cstheme="majorHAnsi"/>
                <w:sz w:val="21"/>
                <w:szCs w:val="21"/>
                <w:lang w:val="en-GB"/>
              </w:rPr>
              <w:t xml:space="preserve"> Support for low-income people to buy homes, tenancy reform to promote stability and affordability for renters, and renewal and expansion of public/social housing stock.</w:t>
            </w:r>
          </w:p>
          <w:p w14:paraId="26013238" w14:textId="77777777" w:rsidR="00A225F5" w:rsidRPr="00717682" w:rsidRDefault="001E285C" w:rsidP="00A1784D">
            <w:pPr>
              <w:rPr>
                <w:rFonts w:asciiTheme="majorHAnsi" w:eastAsia="Times New Roman" w:hAnsiTheme="majorHAnsi" w:cstheme="majorHAnsi"/>
                <w:color w:val="000000" w:themeColor="text1"/>
                <w:sz w:val="21"/>
                <w:szCs w:val="21"/>
              </w:rPr>
            </w:pPr>
            <w:hyperlink r:id="rId14">
              <w:r w:rsidR="00A225F5" w:rsidRPr="00717682">
                <w:rPr>
                  <w:rStyle w:val="Hyperlink"/>
                  <w:rFonts w:asciiTheme="majorHAnsi" w:eastAsia="Times New Roman" w:hAnsiTheme="majorHAnsi" w:cstheme="majorHAnsi"/>
                  <w:b/>
                  <w:bCs/>
                  <w:sz w:val="21"/>
                  <w:szCs w:val="21"/>
                </w:rPr>
                <w:t>Big Housing Build</w:t>
              </w:r>
            </w:hyperlink>
            <w:r w:rsidR="00A225F5" w:rsidRPr="00717682">
              <w:rPr>
                <w:rFonts w:asciiTheme="majorHAnsi" w:eastAsia="Times New Roman" w:hAnsiTheme="majorHAnsi" w:cstheme="majorHAnsi"/>
                <w:color w:val="000000" w:themeColor="text1"/>
                <w:sz w:val="21"/>
                <w:szCs w:val="21"/>
              </w:rPr>
              <w:t xml:space="preserve"> </w:t>
            </w:r>
            <w:r w:rsidR="00A225F5" w:rsidRPr="00EF2093">
              <w:rPr>
                <w:rFonts w:asciiTheme="majorHAnsi" w:eastAsia="Times New Roman" w:hAnsiTheme="majorHAnsi" w:cstheme="majorHAnsi"/>
                <w:b/>
                <w:bCs/>
                <w:color w:val="000000" w:themeColor="text1"/>
                <w:sz w:val="21"/>
                <w:szCs w:val="21"/>
              </w:rPr>
              <w:t>(BHB):</w:t>
            </w:r>
            <w:r w:rsidR="00A225F5" w:rsidRPr="00717682">
              <w:rPr>
                <w:rFonts w:asciiTheme="majorHAnsi" w:eastAsia="Times New Roman" w:hAnsiTheme="majorHAnsi" w:cstheme="majorHAnsi"/>
                <w:color w:val="000000" w:themeColor="text1"/>
                <w:sz w:val="21"/>
                <w:szCs w:val="21"/>
              </w:rPr>
              <w:t xml:space="preserve"> Minimum investment commitment to regional governments with significant growth to build social housing.</w:t>
            </w:r>
          </w:p>
          <w:p w14:paraId="1CDFE705" w14:textId="37A59490" w:rsidR="00A225F5" w:rsidRPr="00717682" w:rsidRDefault="001E285C" w:rsidP="00A1784D">
            <w:pPr>
              <w:rPr>
                <w:rFonts w:asciiTheme="majorHAnsi" w:hAnsiTheme="majorHAnsi" w:cstheme="majorHAnsi"/>
                <w:sz w:val="21"/>
                <w:szCs w:val="21"/>
              </w:rPr>
            </w:pPr>
            <w:hyperlink r:id="rId15">
              <w:r w:rsidR="00A225F5" w:rsidRPr="00717682">
                <w:rPr>
                  <w:rStyle w:val="Hyperlink"/>
                  <w:rFonts w:asciiTheme="majorHAnsi" w:eastAsia="Times New Roman" w:hAnsiTheme="majorHAnsi" w:cstheme="majorHAnsi"/>
                  <w:b/>
                  <w:bCs/>
                  <w:sz w:val="21"/>
                  <w:szCs w:val="21"/>
                </w:rPr>
                <w:t>Homes for Victorians – Changes in housing and renting</w:t>
              </w:r>
            </w:hyperlink>
            <w:r w:rsidR="00A225F5" w:rsidRPr="00717682">
              <w:rPr>
                <w:rFonts w:asciiTheme="majorHAnsi" w:hAnsiTheme="majorHAnsi" w:cstheme="majorHAnsi"/>
                <w:sz w:val="21"/>
                <w:szCs w:val="21"/>
              </w:rPr>
              <w:t xml:space="preserve">: </w:t>
            </w:r>
            <w:r w:rsidR="00A225F5" w:rsidRPr="00717682">
              <w:rPr>
                <w:rFonts w:asciiTheme="majorHAnsi" w:eastAsia="Times New Roman" w:hAnsiTheme="majorHAnsi" w:cstheme="majorHAnsi"/>
                <w:color w:val="000000" w:themeColor="text1"/>
                <w:sz w:val="21"/>
                <w:szCs w:val="21"/>
              </w:rPr>
              <w:t xml:space="preserve">First </w:t>
            </w:r>
            <w:r w:rsidR="005F7FDA" w:rsidRPr="00717682">
              <w:rPr>
                <w:rFonts w:asciiTheme="majorHAnsi" w:eastAsia="Times New Roman" w:hAnsiTheme="majorHAnsi" w:cstheme="majorHAnsi"/>
                <w:color w:val="000000" w:themeColor="text1"/>
                <w:sz w:val="21"/>
                <w:szCs w:val="21"/>
              </w:rPr>
              <w:t>Homeowner</w:t>
            </w:r>
            <w:r w:rsidR="00A225F5" w:rsidRPr="00717682">
              <w:rPr>
                <w:rFonts w:asciiTheme="majorHAnsi" w:eastAsia="Times New Roman" w:hAnsiTheme="majorHAnsi" w:cstheme="majorHAnsi"/>
                <w:color w:val="000000" w:themeColor="text1"/>
                <w:sz w:val="21"/>
                <w:szCs w:val="21"/>
              </w:rPr>
              <w:t xml:space="preserve"> Grant doubled in regional Victoria (now $20,000 for new homes up to $750,000).</w:t>
            </w:r>
          </w:p>
          <w:p w14:paraId="4301F6C9" w14:textId="65E07E63" w:rsidR="00A225F5" w:rsidRPr="00717682" w:rsidRDefault="001E285C" w:rsidP="00A1784D">
            <w:pPr>
              <w:rPr>
                <w:rFonts w:asciiTheme="majorHAnsi" w:hAnsiTheme="majorHAnsi" w:cstheme="majorHAnsi"/>
                <w:sz w:val="21"/>
                <w:szCs w:val="21"/>
              </w:rPr>
            </w:pPr>
            <w:hyperlink r:id="rId16">
              <w:r w:rsidR="00A225F5" w:rsidRPr="00717682">
                <w:rPr>
                  <w:rStyle w:val="Hyperlink"/>
                  <w:rFonts w:asciiTheme="majorHAnsi" w:eastAsia="Times New Roman" w:hAnsiTheme="majorHAnsi" w:cstheme="majorHAnsi"/>
                  <w:b/>
                  <w:bCs/>
                  <w:sz w:val="21"/>
                  <w:szCs w:val="21"/>
                  <w:lang w:val="en-GB"/>
                </w:rPr>
                <w:t>Refugee Resettlement in Regional and Rural Victoria: Impacts and Policy Issues</w:t>
              </w:r>
            </w:hyperlink>
            <w:r w:rsidR="00A225F5">
              <w:t xml:space="preserve">: </w:t>
            </w:r>
            <w:r w:rsidR="00A225F5" w:rsidRPr="00717682">
              <w:rPr>
                <w:rFonts w:asciiTheme="majorHAnsi" w:eastAsia="Times New Roman" w:hAnsiTheme="majorHAnsi" w:cstheme="majorHAnsi"/>
                <w:sz w:val="21"/>
                <w:szCs w:val="21"/>
                <w:lang w:val="en-GB"/>
              </w:rPr>
              <w:t xml:space="preserve">Settlement in Geelong is encouraged by the Federal Government, and the </w:t>
            </w:r>
            <w:r w:rsidR="00A225F5">
              <w:rPr>
                <w:rFonts w:asciiTheme="majorHAnsi" w:eastAsia="Times New Roman" w:hAnsiTheme="majorHAnsi" w:cstheme="majorHAnsi"/>
                <w:sz w:val="21"/>
                <w:szCs w:val="21"/>
                <w:lang w:val="en-GB"/>
              </w:rPr>
              <w:t>C</w:t>
            </w:r>
            <w:r w:rsidR="00A225F5" w:rsidRPr="00717682">
              <w:rPr>
                <w:rFonts w:asciiTheme="majorHAnsi" w:eastAsia="Times New Roman" w:hAnsiTheme="majorHAnsi" w:cstheme="majorHAnsi"/>
                <w:sz w:val="21"/>
                <w:szCs w:val="21"/>
                <w:lang w:val="en-GB"/>
              </w:rPr>
              <w:t>ity has long been a destination for direct settlement. However secondary migration to other areas (</w:t>
            </w:r>
            <w:r w:rsidR="005F7FDA" w:rsidRPr="00717682">
              <w:rPr>
                <w:rFonts w:asciiTheme="majorHAnsi" w:eastAsia="Times New Roman" w:hAnsiTheme="majorHAnsi" w:cstheme="majorHAnsi"/>
                <w:sz w:val="21"/>
                <w:szCs w:val="21"/>
                <w:lang w:val="en-GB"/>
              </w:rPr>
              <w:t>i.e.,</w:t>
            </w:r>
            <w:r w:rsidR="00A225F5" w:rsidRPr="00717682">
              <w:rPr>
                <w:rFonts w:asciiTheme="majorHAnsi" w:eastAsia="Times New Roman" w:hAnsiTheme="majorHAnsi" w:cstheme="majorHAnsi"/>
                <w:sz w:val="21"/>
                <w:szCs w:val="21"/>
                <w:lang w:val="en-GB"/>
              </w:rPr>
              <w:t xml:space="preserve"> Colac) is also occurring to address skill shortages and population decline.</w:t>
            </w:r>
          </w:p>
        </w:tc>
        <w:tc>
          <w:tcPr>
            <w:tcW w:w="2552" w:type="dxa"/>
          </w:tcPr>
          <w:p w14:paraId="3D655549" w14:textId="77777777" w:rsidR="00A225F5" w:rsidRPr="00717682" w:rsidRDefault="00A225F5" w:rsidP="00A1784D">
            <w:pPr>
              <w:rPr>
                <w:rFonts w:asciiTheme="majorHAnsi" w:hAnsiTheme="majorHAnsi" w:cstheme="majorHAnsi"/>
                <w:sz w:val="21"/>
                <w:szCs w:val="21"/>
              </w:rPr>
            </w:pPr>
            <w:r w:rsidRPr="00717682">
              <w:rPr>
                <w:rFonts w:asciiTheme="majorHAnsi" w:eastAsia="Times New Roman" w:hAnsiTheme="majorHAnsi" w:cstheme="majorHAnsi"/>
                <w:sz w:val="21"/>
                <w:szCs w:val="21"/>
                <w:lang w:val="en-GB"/>
              </w:rPr>
              <w:lastRenderedPageBreak/>
              <w:t xml:space="preserve"> </w:t>
            </w:r>
          </w:p>
          <w:p w14:paraId="7385AA4F" w14:textId="77777777" w:rsidR="00A225F5" w:rsidRPr="00717682" w:rsidRDefault="00A225F5" w:rsidP="00A1784D">
            <w:pPr>
              <w:rPr>
                <w:rFonts w:asciiTheme="majorHAnsi" w:hAnsiTheme="majorHAnsi" w:cstheme="majorHAnsi"/>
                <w:sz w:val="21"/>
                <w:szCs w:val="21"/>
              </w:rPr>
            </w:pPr>
            <w:r w:rsidRPr="00717682">
              <w:rPr>
                <w:rFonts w:asciiTheme="majorHAnsi" w:eastAsia="Times New Roman" w:hAnsiTheme="majorHAnsi" w:cstheme="majorHAnsi"/>
                <w:sz w:val="21"/>
                <w:szCs w:val="21"/>
                <w:lang w:val="en-GB"/>
              </w:rPr>
              <w:t xml:space="preserve"> </w:t>
            </w:r>
          </w:p>
          <w:p w14:paraId="69E37BE7" w14:textId="77777777" w:rsidR="00A225F5" w:rsidRPr="00717682" w:rsidRDefault="00A225F5" w:rsidP="00A1784D">
            <w:pPr>
              <w:rPr>
                <w:rFonts w:asciiTheme="majorHAnsi" w:hAnsiTheme="majorHAnsi" w:cstheme="majorHAnsi"/>
                <w:sz w:val="21"/>
                <w:szCs w:val="21"/>
              </w:rPr>
            </w:pPr>
            <w:r w:rsidRPr="00717682">
              <w:rPr>
                <w:rFonts w:asciiTheme="majorHAnsi" w:eastAsia="Times New Roman" w:hAnsiTheme="majorHAnsi" w:cstheme="majorHAnsi"/>
                <w:sz w:val="21"/>
                <w:szCs w:val="21"/>
                <w:lang w:val="en-GB"/>
              </w:rPr>
              <w:t xml:space="preserve"> </w:t>
            </w:r>
          </w:p>
          <w:p w14:paraId="571539A3" w14:textId="77777777" w:rsidR="00A225F5" w:rsidRDefault="00A225F5" w:rsidP="00A1784D">
            <w:pPr>
              <w:rPr>
                <w:rFonts w:asciiTheme="majorHAnsi" w:eastAsia="Times New Roman" w:hAnsiTheme="majorHAnsi" w:cstheme="majorHAnsi"/>
                <w:sz w:val="21"/>
                <w:szCs w:val="21"/>
                <w:lang w:val="en-GB"/>
              </w:rPr>
            </w:pPr>
          </w:p>
          <w:p w14:paraId="6451118E" w14:textId="77777777" w:rsidR="00A225F5" w:rsidRDefault="00A225F5" w:rsidP="00A1784D">
            <w:pPr>
              <w:rPr>
                <w:rFonts w:asciiTheme="majorHAnsi" w:eastAsia="Times New Roman" w:hAnsiTheme="majorHAnsi" w:cstheme="majorHAnsi"/>
                <w:sz w:val="21"/>
                <w:szCs w:val="21"/>
                <w:lang w:val="en-GB"/>
              </w:rPr>
            </w:pPr>
          </w:p>
          <w:p w14:paraId="151B71A5" w14:textId="77777777" w:rsidR="00A225F5" w:rsidRDefault="00A225F5" w:rsidP="00A1784D">
            <w:pPr>
              <w:rPr>
                <w:rFonts w:asciiTheme="majorHAnsi" w:eastAsia="Times New Roman" w:hAnsiTheme="majorHAnsi" w:cstheme="majorHAnsi"/>
                <w:sz w:val="21"/>
                <w:szCs w:val="21"/>
                <w:lang w:val="en-GB"/>
              </w:rPr>
            </w:pPr>
          </w:p>
          <w:p w14:paraId="58E3807C" w14:textId="77777777" w:rsidR="00A225F5" w:rsidRDefault="00A225F5" w:rsidP="00A1784D">
            <w:pPr>
              <w:rPr>
                <w:rFonts w:asciiTheme="majorHAnsi" w:eastAsia="Times New Roman" w:hAnsiTheme="majorHAnsi" w:cstheme="majorBidi"/>
                <w:sz w:val="21"/>
                <w:szCs w:val="21"/>
                <w:lang w:val="en-GB"/>
              </w:rPr>
            </w:pPr>
          </w:p>
          <w:p w14:paraId="2AC50212" w14:textId="77777777" w:rsidR="00A225F5" w:rsidRDefault="00A225F5" w:rsidP="00A1784D">
            <w:pPr>
              <w:rPr>
                <w:rFonts w:asciiTheme="majorHAnsi" w:eastAsia="Times New Roman" w:hAnsiTheme="majorHAnsi" w:cstheme="majorBidi"/>
                <w:sz w:val="21"/>
                <w:szCs w:val="21"/>
                <w:lang w:val="en-GB"/>
              </w:rPr>
            </w:pPr>
          </w:p>
          <w:p w14:paraId="44C633B2" w14:textId="77777777" w:rsidR="00A01EB5" w:rsidRDefault="00A01EB5" w:rsidP="00A1784D">
            <w:pPr>
              <w:rPr>
                <w:rFonts w:asciiTheme="majorHAnsi" w:eastAsia="Times New Roman" w:hAnsiTheme="majorHAnsi" w:cstheme="majorHAnsi"/>
                <w:sz w:val="21"/>
                <w:szCs w:val="21"/>
                <w:lang w:val="en-GB"/>
              </w:rPr>
            </w:pPr>
          </w:p>
          <w:p w14:paraId="62ED2B07" w14:textId="4569F0E3" w:rsidR="00A225F5" w:rsidRPr="00717682" w:rsidRDefault="00A225F5" w:rsidP="00A1784D">
            <w:pPr>
              <w:rPr>
                <w:rFonts w:asciiTheme="majorHAnsi" w:hAnsiTheme="majorHAnsi" w:cstheme="majorHAnsi"/>
                <w:sz w:val="21"/>
                <w:szCs w:val="21"/>
              </w:rPr>
            </w:pPr>
            <w:r w:rsidRPr="00717682">
              <w:rPr>
                <w:rFonts w:asciiTheme="majorHAnsi" w:eastAsia="Times New Roman" w:hAnsiTheme="majorHAnsi" w:cstheme="majorHAnsi"/>
                <w:sz w:val="21"/>
                <w:szCs w:val="21"/>
                <w:lang w:val="en-GB"/>
              </w:rPr>
              <w:t xml:space="preserve">Geelong received $180 million from BHB scheme. Committed to build new social housing and </w:t>
            </w:r>
            <w:r w:rsidRPr="00717682">
              <w:rPr>
                <w:rFonts w:asciiTheme="majorHAnsi" w:eastAsia="Times New Roman" w:hAnsiTheme="majorHAnsi" w:cstheme="majorHAnsi"/>
                <w:sz w:val="21"/>
                <w:szCs w:val="21"/>
                <w:lang w:val="en-GB"/>
              </w:rPr>
              <w:lastRenderedPageBreak/>
              <w:t>revitalise existing public housing estates, especially in Norlane and Whittington</w:t>
            </w:r>
            <w:r>
              <w:rPr>
                <w:rFonts w:asciiTheme="majorHAnsi" w:eastAsia="Times New Roman" w:hAnsiTheme="majorHAnsi" w:cstheme="majorHAnsi"/>
                <w:sz w:val="21"/>
                <w:szCs w:val="21"/>
                <w:lang w:val="en-GB"/>
              </w:rPr>
              <w:t>.</w:t>
            </w:r>
          </w:p>
          <w:p w14:paraId="3F98981D" w14:textId="77777777" w:rsidR="00A225F5" w:rsidRPr="00717682" w:rsidRDefault="00A225F5" w:rsidP="00A1784D">
            <w:pPr>
              <w:rPr>
                <w:rFonts w:asciiTheme="majorHAnsi" w:hAnsiTheme="majorHAnsi" w:cstheme="majorHAnsi"/>
                <w:sz w:val="21"/>
                <w:szCs w:val="21"/>
              </w:rPr>
            </w:pPr>
            <w:r w:rsidRPr="00717682">
              <w:rPr>
                <w:rFonts w:asciiTheme="majorHAnsi" w:eastAsia="Times New Roman" w:hAnsiTheme="majorHAnsi" w:cstheme="majorHAnsi"/>
                <w:sz w:val="21"/>
                <w:szCs w:val="21"/>
                <w:lang w:val="en-GB"/>
              </w:rPr>
              <w:t xml:space="preserve"> </w:t>
            </w:r>
          </w:p>
        </w:tc>
      </w:tr>
      <w:tr w:rsidR="00A225F5" w:rsidRPr="00BA500D" w14:paraId="01BB9AD9" w14:textId="77777777" w:rsidTr="00A225F5">
        <w:trPr>
          <w:trHeight w:val="1443"/>
        </w:trPr>
        <w:tc>
          <w:tcPr>
            <w:tcW w:w="983" w:type="dxa"/>
          </w:tcPr>
          <w:p w14:paraId="6FCA3C1E" w14:textId="77777777" w:rsidR="00A225F5" w:rsidRPr="00BA500D" w:rsidRDefault="00A225F5" w:rsidP="00A1784D">
            <w:pPr>
              <w:rPr>
                <w:rFonts w:asciiTheme="majorHAnsi" w:hAnsiTheme="majorHAnsi" w:cstheme="majorHAnsi"/>
                <w:sz w:val="21"/>
                <w:szCs w:val="21"/>
              </w:rPr>
            </w:pPr>
            <w:r w:rsidRPr="00C711E4">
              <w:rPr>
                <w:rFonts w:asciiTheme="majorHAnsi" w:hAnsiTheme="majorHAnsi" w:cstheme="majorHAnsi"/>
                <w:noProof/>
                <w:color w:val="2B579A"/>
                <w:sz w:val="21"/>
                <w:szCs w:val="21"/>
                <w:shd w:val="clear" w:color="auto" w:fill="E6E6E6"/>
                <w:lang w:eastAsia="zh-CN"/>
              </w:rPr>
              <w:lastRenderedPageBreak/>
              <mc:AlternateContent>
                <mc:Choice Requires="wps">
                  <w:drawing>
                    <wp:anchor distT="45720" distB="45720" distL="114300" distR="114300" simplePos="0" relativeHeight="251665408" behindDoc="0" locked="0" layoutInCell="1" allowOverlap="1" wp14:anchorId="1530157B" wp14:editId="3CE99A16">
                      <wp:simplePos x="0" y="0"/>
                      <wp:positionH relativeFrom="column">
                        <wp:posOffset>-60325</wp:posOffset>
                      </wp:positionH>
                      <wp:positionV relativeFrom="paragraph">
                        <wp:posOffset>318135</wp:posOffset>
                      </wp:positionV>
                      <wp:extent cx="564515" cy="341630"/>
                      <wp:effectExtent l="0" t="0" r="4127" b="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64515" cy="341630"/>
                              </a:xfrm>
                              <a:prstGeom prst="rect">
                                <a:avLst/>
                              </a:prstGeom>
                              <a:noFill/>
                              <a:ln w="9525">
                                <a:noFill/>
                                <a:miter lim="800000"/>
                                <a:headEnd/>
                                <a:tailEnd/>
                              </a:ln>
                            </wps:spPr>
                            <wps:txbx>
                              <w:txbxContent>
                                <w:p w14:paraId="5A39A05F" w14:textId="47A76D63" w:rsidR="00A225F5" w:rsidRPr="004200CF" w:rsidRDefault="00A225F5" w:rsidP="00A225F5">
                                  <w:pPr>
                                    <w:jc w:val="right"/>
                                    <w:rPr>
                                      <w:b/>
                                      <w:bCs/>
                                      <w:color w:val="595959" w:themeColor="text1" w:themeTint="A6"/>
                                    </w:rPr>
                                  </w:pPr>
                                  <w:r>
                                    <w:rPr>
                                      <w:b/>
                                      <w:bCs/>
                                      <w:color w:val="595959" w:themeColor="text1" w:themeTint="A6"/>
                                    </w:rPr>
                                    <w:t>Local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0157B" id="_x0000_s1028" type="#_x0000_t202" style="position:absolute;margin-left:-4.75pt;margin-top:25.05pt;width:44.45pt;height:26.9pt;rotation:-90;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" filled="f" stroked="f">
                      <v:textbox>
                        <w:txbxContent>
                          <w:p w14:paraId="5A39A05F" w14:textId="47A76D63" w:rsidR="00A225F5" w:rsidRPr="004200CF" w:rsidRDefault="00A225F5" w:rsidP="00A225F5">
                            <w:pPr>
                              <w:jc w:val="right"/>
                              <w:rPr>
                                <w:b/>
                                <w:bCs/>
                                <w:color w:val="595959" w:themeColor="text1" w:themeTint="A6"/>
                              </w:rPr>
                            </w:pPr>
                            <w:r>
                              <w:rPr>
                                <w:b/>
                                <w:bCs/>
                                <w:color w:val="595959" w:themeColor="text1" w:themeTint="A6"/>
                              </w:rPr>
                              <w:t>Local</w:t>
                            </w:r>
                          </w:p>
                        </w:txbxContent>
                      </v:textbox>
                      <w10:wrap type="square"/>
                    </v:shape>
                  </w:pict>
                </mc:Fallback>
              </mc:AlternateContent>
            </w:r>
          </w:p>
        </w:tc>
        <w:tc>
          <w:tcPr>
            <w:tcW w:w="5953" w:type="dxa"/>
          </w:tcPr>
          <w:p w14:paraId="3C714269" w14:textId="50572526" w:rsidR="00A225F5" w:rsidRPr="00BA500D" w:rsidRDefault="00A225F5" w:rsidP="00A1784D">
            <w:pPr>
              <w:rPr>
                <w:rFonts w:asciiTheme="majorHAnsi" w:hAnsiTheme="majorHAnsi" w:cstheme="majorHAnsi"/>
                <w:sz w:val="21"/>
                <w:szCs w:val="21"/>
              </w:rPr>
            </w:pPr>
            <w:r w:rsidRPr="00BA500D">
              <w:rPr>
                <w:rFonts w:asciiTheme="majorHAnsi" w:eastAsia="Times New Roman" w:hAnsiTheme="majorHAnsi" w:cstheme="majorHAnsi"/>
                <w:b/>
                <w:bCs/>
                <w:sz w:val="21"/>
                <w:szCs w:val="21"/>
                <w:lang w:val="en-GB"/>
              </w:rPr>
              <w:t>Social Housing Policy</w:t>
            </w:r>
            <w:r>
              <w:rPr>
                <w:rFonts w:asciiTheme="majorHAnsi" w:hAnsiTheme="majorHAnsi" w:cstheme="majorHAnsi"/>
                <w:sz w:val="21"/>
                <w:szCs w:val="21"/>
              </w:rPr>
              <w:t xml:space="preserve">: </w:t>
            </w:r>
            <w:r w:rsidRPr="00BA500D">
              <w:rPr>
                <w:rFonts w:asciiTheme="majorHAnsi" w:eastAsia="Times New Roman" w:hAnsiTheme="majorHAnsi" w:cstheme="majorHAnsi"/>
                <w:sz w:val="21"/>
                <w:szCs w:val="21"/>
                <w:lang w:val="en-GB"/>
              </w:rPr>
              <w:t>Comprises funds and a commitment to build and secure new social housing</w:t>
            </w:r>
            <w:r>
              <w:rPr>
                <w:rFonts w:asciiTheme="majorHAnsi" w:eastAsia="Times New Roman" w:hAnsiTheme="majorHAnsi" w:cstheme="majorHAnsi"/>
                <w:sz w:val="21"/>
                <w:szCs w:val="21"/>
                <w:lang w:val="en-GB"/>
              </w:rPr>
              <w:t>,</w:t>
            </w:r>
            <w:r w:rsidRPr="00BA500D">
              <w:rPr>
                <w:rFonts w:asciiTheme="majorHAnsi" w:eastAsia="Times New Roman" w:hAnsiTheme="majorHAnsi" w:cstheme="majorHAnsi"/>
                <w:sz w:val="21"/>
                <w:szCs w:val="21"/>
                <w:lang w:val="en-GB"/>
              </w:rPr>
              <w:t xml:space="preserve"> </w:t>
            </w:r>
            <w:r w:rsidR="005F7FDA" w:rsidRPr="00BA500D">
              <w:rPr>
                <w:rFonts w:asciiTheme="majorHAnsi" w:eastAsia="Times New Roman" w:hAnsiTheme="majorHAnsi" w:cstheme="majorHAnsi"/>
                <w:sz w:val="21"/>
                <w:szCs w:val="21"/>
                <w:lang w:val="en-GB"/>
              </w:rPr>
              <w:t>and</w:t>
            </w:r>
            <w:r w:rsidRPr="00BA500D">
              <w:rPr>
                <w:rFonts w:asciiTheme="majorHAnsi" w:eastAsia="Times New Roman" w:hAnsiTheme="majorHAnsi" w:cstheme="majorHAnsi"/>
                <w:sz w:val="21"/>
                <w:szCs w:val="21"/>
                <w:lang w:val="en-GB"/>
              </w:rPr>
              <w:t xml:space="preserve"> renovate existing public housing stock, </w:t>
            </w:r>
            <w:r>
              <w:rPr>
                <w:rFonts w:asciiTheme="majorHAnsi" w:eastAsia="Times New Roman" w:hAnsiTheme="majorHAnsi" w:cstheme="majorHAnsi"/>
                <w:sz w:val="21"/>
                <w:szCs w:val="21"/>
                <w:lang w:val="en-GB"/>
              </w:rPr>
              <w:t xml:space="preserve">which is </w:t>
            </w:r>
            <w:r w:rsidRPr="00BA500D">
              <w:rPr>
                <w:rFonts w:asciiTheme="majorHAnsi" w:eastAsia="Times New Roman" w:hAnsiTheme="majorHAnsi" w:cstheme="majorHAnsi"/>
                <w:sz w:val="21"/>
                <w:szCs w:val="21"/>
                <w:lang w:val="en-GB"/>
              </w:rPr>
              <w:t>heavily concentrated in Norlane and Whittington.</w:t>
            </w:r>
          </w:p>
        </w:tc>
        <w:tc>
          <w:tcPr>
            <w:tcW w:w="2552" w:type="dxa"/>
          </w:tcPr>
          <w:p w14:paraId="600D8531" w14:textId="77777777" w:rsidR="00A225F5" w:rsidRPr="00BA500D" w:rsidRDefault="00A225F5" w:rsidP="00A1784D">
            <w:pPr>
              <w:rPr>
                <w:rFonts w:asciiTheme="majorHAnsi" w:hAnsiTheme="majorHAnsi" w:cstheme="majorHAnsi"/>
                <w:sz w:val="21"/>
                <w:szCs w:val="21"/>
              </w:rPr>
            </w:pPr>
            <w:r w:rsidRPr="00BA500D">
              <w:rPr>
                <w:rFonts w:asciiTheme="majorHAnsi" w:eastAsia="Times New Roman" w:hAnsiTheme="majorHAnsi" w:cstheme="majorHAnsi"/>
                <w:sz w:val="21"/>
                <w:szCs w:val="21"/>
                <w:lang w:val="en-GB"/>
              </w:rPr>
              <w:t xml:space="preserve">Highly relevant to </w:t>
            </w:r>
            <w:r>
              <w:rPr>
                <w:rFonts w:asciiTheme="majorHAnsi" w:eastAsia="Times New Roman" w:hAnsiTheme="majorHAnsi" w:cstheme="majorHAnsi"/>
                <w:sz w:val="21"/>
                <w:szCs w:val="21"/>
                <w:lang w:val="en-GB"/>
              </w:rPr>
              <w:t xml:space="preserve">all </w:t>
            </w:r>
            <w:r w:rsidRPr="00BA500D">
              <w:rPr>
                <w:rFonts w:asciiTheme="majorHAnsi" w:eastAsia="Times New Roman" w:hAnsiTheme="majorHAnsi" w:cstheme="majorHAnsi"/>
                <w:sz w:val="21"/>
                <w:szCs w:val="21"/>
                <w:lang w:val="en-GB"/>
              </w:rPr>
              <w:t>three areas</w:t>
            </w:r>
            <w:r>
              <w:rPr>
                <w:rFonts w:asciiTheme="majorHAnsi" w:eastAsia="Times New Roman" w:hAnsiTheme="majorHAnsi" w:cstheme="majorHAnsi"/>
                <w:sz w:val="21"/>
                <w:szCs w:val="21"/>
                <w:lang w:val="en-GB"/>
              </w:rPr>
              <w:t>,</w:t>
            </w:r>
            <w:r w:rsidRPr="00BA500D">
              <w:rPr>
                <w:rFonts w:asciiTheme="majorHAnsi" w:eastAsia="Times New Roman" w:hAnsiTheme="majorHAnsi" w:cstheme="majorHAnsi"/>
                <w:sz w:val="21"/>
                <w:szCs w:val="21"/>
                <w:lang w:val="en-GB"/>
              </w:rPr>
              <w:t xml:space="preserve"> </w:t>
            </w:r>
            <w:r>
              <w:rPr>
                <w:rFonts w:asciiTheme="majorHAnsi" w:eastAsia="Times New Roman" w:hAnsiTheme="majorHAnsi" w:cstheme="majorHAnsi"/>
                <w:sz w:val="21"/>
                <w:szCs w:val="21"/>
                <w:lang w:val="en-GB"/>
              </w:rPr>
              <w:t>with</w:t>
            </w:r>
            <w:r w:rsidRPr="00BA500D">
              <w:rPr>
                <w:rFonts w:asciiTheme="majorHAnsi" w:eastAsia="Times New Roman" w:hAnsiTheme="majorHAnsi" w:cstheme="majorHAnsi"/>
                <w:sz w:val="21"/>
                <w:szCs w:val="21"/>
                <w:lang w:val="en-GB"/>
              </w:rPr>
              <w:t xml:space="preserve"> concentrat</w:t>
            </w:r>
            <w:r>
              <w:rPr>
                <w:rFonts w:asciiTheme="majorHAnsi" w:eastAsia="Times New Roman" w:hAnsiTheme="majorHAnsi" w:cstheme="majorHAnsi"/>
                <w:sz w:val="21"/>
                <w:szCs w:val="21"/>
                <w:lang w:val="en-GB"/>
              </w:rPr>
              <w:t>ed</w:t>
            </w:r>
            <w:r w:rsidRPr="00BA500D">
              <w:rPr>
                <w:rFonts w:asciiTheme="majorHAnsi" w:eastAsia="Times New Roman" w:hAnsiTheme="majorHAnsi" w:cstheme="majorHAnsi"/>
                <w:sz w:val="21"/>
                <w:szCs w:val="21"/>
                <w:lang w:val="en-GB"/>
              </w:rPr>
              <w:t xml:space="preserve"> public housing needing </w:t>
            </w:r>
            <w:r>
              <w:rPr>
                <w:rFonts w:asciiTheme="majorHAnsi" w:eastAsia="Times New Roman" w:hAnsiTheme="majorHAnsi" w:cstheme="majorHAnsi"/>
                <w:sz w:val="21"/>
                <w:szCs w:val="21"/>
                <w:lang w:val="en-GB"/>
              </w:rPr>
              <w:t>upgrade</w:t>
            </w:r>
            <w:r w:rsidRPr="00BA500D">
              <w:rPr>
                <w:rFonts w:asciiTheme="majorHAnsi" w:eastAsia="Times New Roman" w:hAnsiTheme="majorHAnsi" w:cstheme="majorHAnsi"/>
                <w:sz w:val="21"/>
                <w:szCs w:val="21"/>
                <w:lang w:val="en-GB"/>
              </w:rPr>
              <w:t xml:space="preserve"> and</w:t>
            </w:r>
            <w:r>
              <w:rPr>
                <w:rFonts w:asciiTheme="majorHAnsi" w:eastAsia="Times New Roman" w:hAnsiTheme="majorHAnsi" w:cstheme="majorHAnsi"/>
                <w:sz w:val="21"/>
                <w:szCs w:val="21"/>
                <w:lang w:val="en-GB"/>
              </w:rPr>
              <w:t xml:space="preserve"> </w:t>
            </w:r>
            <w:r w:rsidRPr="00BA500D">
              <w:rPr>
                <w:rFonts w:asciiTheme="majorHAnsi" w:eastAsia="Times New Roman" w:hAnsiTheme="majorHAnsi" w:cstheme="majorHAnsi"/>
                <w:sz w:val="21"/>
                <w:szCs w:val="21"/>
                <w:lang w:val="en-GB"/>
              </w:rPr>
              <w:t>low</w:t>
            </w:r>
            <w:r>
              <w:rPr>
                <w:rFonts w:asciiTheme="majorHAnsi" w:eastAsia="Times New Roman" w:hAnsiTheme="majorHAnsi" w:cstheme="majorHAnsi"/>
                <w:sz w:val="21"/>
                <w:szCs w:val="21"/>
                <w:lang w:val="en-GB"/>
              </w:rPr>
              <w:t>-</w:t>
            </w:r>
            <w:r w:rsidRPr="00BA500D">
              <w:rPr>
                <w:rFonts w:asciiTheme="majorHAnsi" w:eastAsia="Times New Roman" w:hAnsiTheme="majorHAnsi" w:cstheme="majorHAnsi"/>
                <w:sz w:val="21"/>
                <w:szCs w:val="21"/>
                <w:lang w:val="en-GB"/>
              </w:rPr>
              <w:t xml:space="preserve">income </w:t>
            </w:r>
            <w:r>
              <w:rPr>
                <w:rFonts w:asciiTheme="majorHAnsi" w:eastAsia="Times New Roman" w:hAnsiTheme="majorHAnsi" w:cstheme="majorHAnsi"/>
                <w:sz w:val="21"/>
                <w:szCs w:val="21"/>
                <w:lang w:val="en-GB"/>
              </w:rPr>
              <w:t>residents</w:t>
            </w:r>
            <w:r w:rsidRPr="00BA500D">
              <w:rPr>
                <w:rFonts w:asciiTheme="majorHAnsi" w:eastAsia="Times New Roman" w:hAnsiTheme="majorHAnsi" w:cstheme="majorHAnsi"/>
                <w:sz w:val="21"/>
                <w:szCs w:val="21"/>
                <w:lang w:val="en-GB"/>
              </w:rPr>
              <w:t xml:space="preserve"> needing social housing</w:t>
            </w:r>
            <w:r>
              <w:rPr>
                <w:rFonts w:asciiTheme="majorHAnsi" w:eastAsia="Times New Roman" w:hAnsiTheme="majorHAnsi" w:cstheme="majorHAnsi"/>
                <w:sz w:val="21"/>
                <w:szCs w:val="21"/>
                <w:lang w:val="en-GB"/>
              </w:rPr>
              <w:t>.</w:t>
            </w:r>
          </w:p>
        </w:tc>
      </w:tr>
      <w:tr w:rsidR="00A225F5" w:rsidRPr="00BA500D" w14:paraId="53B865A5" w14:textId="77777777" w:rsidTr="00A225F5">
        <w:trPr>
          <w:trHeight w:val="1443"/>
        </w:trPr>
        <w:tc>
          <w:tcPr>
            <w:tcW w:w="983" w:type="dxa"/>
          </w:tcPr>
          <w:p w14:paraId="4F71F7E8" w14:textId="164F6939" w:rsidR="00A225F5" w:rsidRPr="00C711E4" w:rsidRDefault="00A225F5" w:rsidP="00A225F5">
            <w:pPr>
              <w:rPr>
                <w:rFonts w:asciiTheme="majorHAnsi" w:hAnsiTheme="majorHAnsi" w:cstheme="majorHAnsi"/>
                <w:noProof/>
                <w:color w:val="2B579A"/>
                <w:sz w:val="21"/>
                <w:szCs w:val="21"/>
                <w:shd w:val="clear" w:color="auto" w:fill="E6E6E6"/>
                <w:lang w:eastAsia="zh-CN"/>
              </w:rPr>
            </w:pPr>
            <w:r w:rsidRPr="00E4140A">
              <w:rPr>
                <w:rFonts w:asciiTheme="majorHAnsi" w:hAnsiTheme="majorHAnsi" w:cstheme="majorHAnsi"/>
                <w:noProof/>
                <w:color w:val="2B579A"/>
                <w:sz w:val="6"/>
                <w:szCs w:val="6"/>
                <w:shd w:val="clear" w:color="auto" w:fill="E6E6E6"/>
                <w:lang w:eastAsia="zh-CN"/>
              </w:rPr>
              <mc:AlternateContent>
                <mc:Choice Requires="wps">
                  <w:drawing>
                    <wp:anchor distT="45720" distB="45720" distL="114300" distR="114300" simplePos="0" relativeHeight="251667456" behindDoc="0" locked="0" layoutInCell="1" allowOverlap="1" wp14:anchorId="7F845ACA" wp14:editId="22495A05">
                      <wp:simplePos x="0" y="0"/>
                      <wp:positionH relativeFrom="page">
                        <wp:posOffset>-97790</wp:posOffset>
                      </wp:positionH>
                      <wp:positionV relativeFrom="page">
                        <wp:posOffset>447040</wp:posOffset>
                      </wp:positionV>
                      <wp:extent cx="824230" cy="341630"/>
                      <wp:effectExtent l="0" t="0" r="0" b="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24230" cy="341630"/>
                              </a:xfrm>
                              <a:prstGeom prst="rect">
                                <a:avLst/>
                              </a:prstGeom>
                              <a:noFill/>
                              <a:ln w="9525">
                                <a:noFill/>
                                <a:miter lim="800000"/>
                                <a:headEnd/>
                                <a:tailEnd/>
                              </a:ln>
                            </wps:spPr>
                            <wps:txbx>
                              <w:txbxContent>
                                <w:p w14:paraId="1EDC0875" w14:textId="71170486" w:rsidR="00A225F5" w:rsidRPr="004200CF" w:rsidRDefault="00A225F5" w:rsidP="00257EEF">
                                  <w:pPr>
                                    <w:spacing w:after="0"/>
                                    <w:jc w:val="right"/>
                                    <w:rPr>
                                      <w:b/>
                                      <w:bCs/>
                                      <w:color w:val="595959" w:themeColor="text1" w:themeTint="A6"/>
                                    </w:rPr>
                                  </w:pPr>
                                  <w:r>
                                    <w:rPr>
                                      <w:b/>
                                      <w:bCs/>
                                      <w:color w:val="595959" w:themeColor="text1" w:themeTint="A6"/>
                                    </w:rPr>
                                    <w:t>COVID 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45ACA" id="_x0000_s1029" type="#_x0000_t202" style="position:absolute;margin-left:-7.7pt;margin-top:35.2pt;width:64.9pt;height:26.9pt;rotation:-90;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" filled="f" stroked="f">
                      <v:textbox>
                        <w:txbxContent>
                          <w:p w14:paraId="1EDC0875" w14:textId="71170486" w:rsidR="00A225F5" w:rsidRPr="004200CF" w:rsidRDefault="00A225F5" w:rsidP="00257EEF">
                            <w:pPr>
                              <w:spacing w:after="0"/>
                              <w:jc w:val="right"/>
                              <w:rPr>
                                <w:b/>
                                <w:bCs/>
                                <w:color w:val="595959" w:themeColor="text1" w:themeTint="A6"/>
                              </w:rPr>
                            </w:pPr>
                            <w:r>
                              <w:rPr>
                                <w:b/>
                                <w:bCs/>
                                <w:color w:val="595959" w:themeColor="text1" w:themeTint="A6"/>
                              </w:rPr>
                              <w:t>COVID 19</w:t>
                            </w:r>
                          </w:p>
                        </w:txbxContent>
                      </v:textbox>
                      <w10:wrap type="square" anchorx="page" anchory="page"/>
                    </v:shape>
                  </w:pict>
                </mc:Fallback>
              </mc:AlternateContent>
            </w:r>
          </w:p>
        </w:tc>
        <w:tc>
          <w:tcPr>
            <w:tcW w:w="5953" w:type="dxa"/>
          </w:tcPr>
          <w:p w14:paraId="5E42CC2C" w14:textId="77777777" w:rsidR="00A225F5" w:rsidRPr="00FD4C62" w:rsidRDefault="00A225F5" w:rsidP="00A225F5">
            <w:pPr>
              <w:rPr>
                <w:rFonts w:asciiTheme="majorHAnsi" w:eastAsia="Times New Roman" w:hAnsiTheme="majorHAnsi" w:cstheme="majorHAnsi"/>
                <w:lang w:val="en-GB"/>
              </w:rPr>
            </w:pPr>
            <w:r w:rsidRPr="009B41BE">
              <w:rPr>
                <w:rFonts w:asciiTheme="majorHAnsi" w:eastAsia="Times New Roman" w:hAnsiTheme="majorHAnsi" w:cstheme="majorHAnsi"/>
                <w:b/>
                <w:bCs/>
                <w:lang w:val="en-GB"/>
              </w:rPr>
              <w:t>Federal:</w:t>
            </w:r>
            <w:r w:rsidRPr="009B41BE">
              <w:rPr>
                <w:rFonts w:asciiTheme="majorHAnsi" w:eastAsia="Times New Roman" w:hAnsiTheme="majorHAnsi" w:cstheme="majorHAnsi"/>
                <w:lang w:val="en-GB"/>
              </w:rPr>
              <w:t xml:space="preserve"> Encouragement for renters and landlords</w:t>
            </w:r>
            <w:r>
              <w:rPr>
                <w:rFonts w:asciiTheme="majorHAnsi" w:eastAsia="Times New Roman" w:hAnsiTheme="majorHAnsi" w:cstheme="majorHAnsi"/>
                <w:lang w:val="en-GB"/>
              </w:rPr>
              <w:t xml:space="preserve"> </w:t>
            </w:r>
            <w:r w:rsidRPr="009B41BE">
              <w:rPr>
                <w:rFonts w:asciiTheme="majorHAnsi" w:eastAsia="Times New Roman" w:hAnsiTheme="majorHAnsi" w:cstheme="majorHAnsi"/>
                <w:lang w:val="en-GB"/>
              </w:rPr>
              <w:t>to directly negotiate rental discounts or rent holidays.</w:t>
            </w:r>
            <w:r w:rsidRPr="009B41BE">
              <w:rPr>
                <w:rFonts w:asciiTheme="majorHAnsi" w:hAnsiTheme="majorHAnsi" w:cstheme="majorHAnsi"/>
              </w:rPr>
              <w:t xml:space="preserve"> </w:t>
            </w:r>
            <w:r w:rsidRPr="009B41BE">
              <w:rPr>
                <w:rFonts w:asciiTheme="majorHAnsi" w:eastAsia="Times New Roman" w:hAnsiTheme="majorHAnsi" w:cstheme="majorHAnsi"/>
                <w:lang w:val="en-GB"/>
              </w:rPr>
              <w:t>Bans on evicting renters for non-payment of rent.</w:t>
            </w:r>
          </w:p>
          <w:p w14:paraId="6240701F" w14:textId="439F8C8D" w:rsidR="00A225F5" w:rsidRPr="00BA500D" w:rsidRDefault="00A225F5" w:rsidP="00A225F5">
            <w:pPr>
              <w:rPr>
                <w:rFonts w:asciiTheme="majorHAnsi" w:eastAsia="Times New Roman" w:hAnsiTheme="majorHAnsi" w:cstheme="majorHAnsi"/>
                <w:b/>
                <w:bCs/>
                <w:sz w:val="21"/>
                <w:szCs w:val="21"/>
                <w:lang w:val="en-GB"/>
              </w:rPr>
            </w:pPr>
            <w:r w:rsidRPr="009B41BE">
              <w:rPr>
                <w:rFonts w:asciiTheme="majorHAnsi" w:eastAsia="Times New Roman" w:hAnsiTheme="majorHAnsi" w:cstheme="majorHAnsi"/>
                <w:b/>
                <w:bCs/>
                <w:color w:val="000000" w:themeColor="text1"/>
              </w:rPr>
              <w:t>State:</w:t>
            </w:r>
            <w:r w:rsidRPr="009B41BE">
              <w:rPr>
                <w:rFonts w:asciiTheme="majorHAnsi" w:eastAsia="Times New Roman" w:hAnsiTheme="majorHAnsi" w:cstheme="majorHAnsi"/>
                <w:color w:val="000000" w:themeColor="text1"/>
              </w:rPr>
              <w:t xml:space="preserve"> Victorian Government allocated $420 million in land tax relief to landlords who give discounts to tenants and $80 million for residential renters facing hardship.</w:t>
            </w:r>
          </w:p>
        </w:tc>
        <w:tc>
          <w:tcPr>
            <w:tcW w:w="2552" w:type="dxa"/>
          </w:tcPr>
          <w:p w14:paraId="5D1A443B" w14:textId="5ADFCB85" w:rsidR="00A225F5" w:rsidRPr="00BA500D" w:rsidRDefault="00A225F5" w:rsidP="00A225F5">
            <w:pPr>
              <w:rPr>
                <w:rFonts w:asciiTheme="majorHAnsi" w:eastAsia="Times New Roman" w:hAnsiTheme="majorHAnsi" w:cstheme="majorHAnsi"/>
                <w:sz w:val="21"/>
                <w:szCs w:val="21"/>
                <w:lang w:val="en-GB"/>
              </w:rPr>
            </w:pPr>
            <w:r>
              <w:rPr>
                <w:rFonts w:asciiTheme="majorHAnsi" w:eastAsia="Times New Roman" w:hAnsiTheme="majorHAnsi" w:cstheme="majorHAnsi"/>
                <w:lang w:val="en-GB"/>
              </w:rPr>
              <w:t>E</w:t>
            </w:r>
            <w:r w:rsidRPr="00386CF2">
              <w:rPr>
                <w:rFonts w:asciiTheme="majorHAnsi" w:eastAsia="Times New Roman" w:hAnsiTheme="majorHAnsi" w:cstheme="majorHAnsi"/>
                <w:lang w:val="en-GB"/>
              </w:rPr>
              <w:t>viction</w:t>
            </w:r>
            <w:r>
              <w:rPr>
                <w:rFonts w:asciiTheme="majorHAnsi" w:eastAsia="Times New Roman" w:hAnsiTheme="majorHAnsi" w:cstheme="majorHAnsi"/>
                <w:lang w:val="en-GB"/>
              </w:rPr>
              <w:t xml:space="preserve"> bans</w:t>
            </w:r>
            <w:r w:rsidRPr="00386CF2">
              <w:rPr>
                <w:rFonts w:asciiTheme="majorHAnsi" w:eastAsia="Times New Roman" w:hAnsiTheme="majorHAnsi" w:cstheme="majorHAnsi"/>
                <w:lang w:val="en-GB"/>
              </w:rPr>
              <w:t xml:space="preserve"> </w:t>
            </w:r>
            <w:r>
              <w:rPr>
                <w:rFonts w:asciiTheme="majorHAnsi" w:eastAsia="Times New Roman" w:hAnsiTheme="majorHAnsi" w:cstheme="majorHAnsi"/>
                <w:lang w:val="en-GB"/>
              </w:rPr>
              <w:t>and rent variations may have assisted some residents (although nationally the percentage of tenants granted a rent variation was reportedly low).</w:t>
            </w:r>
          </w:p>
        </w:tc>
      </w:tr>
    </w:tbl>
    <w:p w14:paraId="29FD9537" w14:textId="186D5B26" w:rsidR="00D2186C" w:rsidRPr="00A937D8" w:rsidRDefault="00D2186C" w:rsidP="004B24BE">
      <w:pPr>
        <w:pStyle w:val="Default"/>
        <w:numPr>
          <w:ilvl w:val="0"/>
          <w:numId w:val="2"/>
        </w:numPr>
        <w:spacing w:before="240" w:line="276" w:lineRule="auto"/>
        <w:rPr>
          <w:color w:val="2F5496" w:themeColor="accent1" w:themeShade="BF"/>
        </w:rPr>
      </w:pPr>
      <w:bookmarkStart w:id="15" w:name="_Hlk106304937"/>
      <w:bookmarkEnd w:id="14"/>
      <w:r w:rsidRPr="00A937D8">
        <w:rPr>
          <w:rFonts w:asciiTheme="minorHAnsi" w:hAnsiTheme="minorHAnsi" w:cstheme="minorBidi"/>
          <w:b/>
          <w:color w:val="2F5496" w:themeColor="accent1" w:themeShade="BF"/>
          <w:sz w:val="25"/>
          <w:szCs w:val="25"/>
        </w:rPr>
        <w:t xml:space="preserve">What </w:t>
      </w:r>
      <w:bookmarkStart w:id="16" w:name="_Hlk106635776"/>
      <w:r w:rsidRPr="00A937D8">
        <w:rPr>
          <w:rFonts w:asciiTheme="minorHAnsi" w:hAnsiTheme="minorHAnsi" w:cstheme="minorBidi"/>
          <w:b/>
          <w:color w:val="2F5496" w:themeColor="accent1" w:themeShade="BF"/>
          <w:sz w:val="25"/>
          <w:szCs w:val="25"/>
        </w:rPr>
        <w:t xml:space="preserve">housing policy gaps </w:t>
      </w:r>
      <w:bookmarkEnd w:id="16"/>
      <w:r w:rsidRPr="00A937D8">
        <w:rPr>
          <w:rFonts w:asciiTheme="minorHAnsi" w:hAnsiTheme="minorHAnsi" w:cstheme="minorBidi"/>
          <w:b/>
          <w:color w:val="2F5496" w:themeColor="accent1" w:themeShade="BF"/>
          <w:sz w:val="25"/>
          <w:szCs w:val="25"/>
        </w:rPr>
        <w:t>could be addressed to help improve community outcomes?</w:t>
      </w:r>
      <w:bookmarkStart w:id="17" w:name="_Hlk106304961"/>
      <w:bookmarkEnd w:id="15"/>
    </w:p>
    <w:p w14:paraId="5E7FE0E3" w14:textId="77777777" w:rsidR="00A225F5" w:rsidRPr="00A225F5" w:rsidRDefault="00A225F5" w:rsidP="004B24BE">
      <w:pPr>
        <w:pStyle w:val="ListParagraph"/>
        <w:numPr>
          <w:ilvl w:val="0"/>
          <w:numId w:val="7"/>
        </w:numPr>
        <w:spacing w:after="120" w:line="276" w:lineRule="auto"/>
        <w:ind w:left="851" w:hanging="425"/>
        <w:contextualSpacing w:val="0"/>
        <w:rPr>
          <w:rFonts w:asciiTheme="majorHAnsi" w:eastAsiaTheme="majorEastAsia" w:hAnsiTheme="majorHAnsi" w:cstheme="majorBidi"/>
          <w:b/>
          <w:bCs/>
          <w:sz w:val="23"/>
          <w:szCs w:val="23"/>
        </w:rPr>
      </w:pPr>
      <w:r w:rsidRPr="00A225F5">
        <w:rPr>
          <w:rFonts w:asciiTheme="majorHAnsi" w:eastAsiaTheme="majorEastAsia" w:hAnsiTheme="majorHAnsi" w:cstheme="majorBidi"/>
          <w:sz w:val="23"/>
          <w:szCs w:val="23"/>
        </w:rPr>
        <w:t>Council to contribute to continued urban revitalisation in partnership with State Government.</w:t>
      </w:r>
    </w:p>
    <w:p w14:paraId="6AE35E12" w14:textId="77777777" w:rsidR="00A225F5" w:rsidRPr="00A225F5" w:rsidRDefault="00A225F5" w:rsidP="004B24BE">
      <w:pPr>
        <w:pStyle w:val="ListParagraph"/>
        <w:numPr>
          <w:ilvl w:val="0"/>
          <w:numId w:val="7"/>
        </w:numPr>
        <w:spacing w:after="120" w:line="276" w:lineRule="auto"/>
        <w:ind w:left="851" w:hanging="425"/>
        <w:contextualSpacing w:val="0"/>
        <w:rPr>
          <w:rFonts w:asciiTheme="majorHAnsi" w:eastAsiaTheme="majorEastAsia" w:hAnsiTheme="majorHAnsi" w:cstheme="majorBidi"/>
          <w:b/>
          <w:bCs/>
          <w:sz w:val="23"/>
          <w:szCs w:val="23"/>
        </w:rPr>
      </w:pPr>
      <w:r w:rsidRPr="00A225F5">
        <w:rPr>
          <w:rFonts w:asciiTheme="majorHAnsi" w:eastAsiaTheme="majorEastAsia" w:hAnsiTheme="majorHAnsi" w:cstheme="majorBidi"/>
          <w:sz w:val="23"/>
          <w:szCs w:val="23"/>
        </w:rPr>
        <w:t>Increase local supply of affordable housing in partnership with State Government.</w:t>
      </w:r>
    </w:p>
    <w:p w14:paraId="2F9CD12D" w14:textId="77777777" w:rsidR="00A225F5" w:rsidRPr="00A225F5" w:rsidRDefault="00A225F5" w:rsidP="004B24BE">
      <w:pPr>
        <w:pStyle w:val="ListParagraph"/>
        <w:numPr>
          <w:ilvl w:val="0"/>
          <w:numId w:val="7"/>
        </w:numPr>
        <w:spacing w:after="120" w:line="276" w:lineRule="auto"/>
        <w:ind w:left="851" w:hanging="425"/>
        <w:contextualSpacing w:val="0"/>
        <w:rPr>
          <w:b/>
          <w:bCs/>
          <w:color w:val="000000" w:themeColor="text1"/>
          <w:sz w:val="23"/>
          <w:szCs w:val="23"/>
        </w:rPr>
      </w:pPr>
      <w:r w:rsidRPr="00A225F5">
        <w:rPr>
          <w:rFonts w:asciiTheme="majorHAnsi" w:eastAsiaTheme="majorEastAsia" w:hAnsiTheme="majorHAnsi" w:cstheme="majorBidi"/>
          <w:sz w:val="23"/>
          <w:szCs w:val="23"/>
        </w:rPr>
        <w:t xml:space="preserve">Improve streetscapes and neighbourhood character through a “greening” approach. </w:t>
      </w:r>
    </w:p>
    <w:p w14:paraId="364E8A4F" w14:textId="7ADB35A6" w:rsidR="00470D72" w:rsidRDefault="00470D72">
      <w:pPr>
        <w:rPr>
          <w:rFonts w:ascii="Calibri" w:hAnsi="Calibri" w:cs="Calibri"/>
          <w:color w:val="2F5496" w:themeColor="accent1" w:themeShade="BF"/>
          <w:sz w:val="24"/>
          <w:szCs w:val="24"/>
        </w:rPr>
      </w:pPr>
      <w:r>
        <w:rPr>
          <w:color w:val="2F5496" w:themeColor="accent1" w:themeShade="BF"/>
        </w:rPr>
        <w:br w:type="page"/>
      </w:r>
    </w:p>
    <w:p w14:paraId="77424D7B" w14:textId="40D2C512" w:rsidR="00D2186C" w:rsidRPr="00A937D8" w:rsidRDefault="00D2186C" w:rsidP="00D2186C">
      <w:pPr>
        <w:pStyle w:val="Default"/>
        <w:numPr>
          <w:ilvl w:val="0"/>
          <w:numId w:val="2"/>
        </w:numPr>
        <w:spacing w:line="276" w:lineRule="auto"/>
        <w:rPr>
          <w:color w:val="2F5496" w:themeColor="accent1" w:themeShade="BF"/>
        </w:rPr>
      </w:pPr>
      <w:bookmarkStart w:id="18" w:name="_Ref106634702"/>
      <w:r w:rsidRPr="00A937D8">
        <w:rPr>
          <w:rFonts w:asciiTheme="minorHAnsi" w:hAnsiTheme="minorHAnsi" w:cstheme="minorBidi"/>
          <w:b/>
          <w:color w:val="2F5496" w:themeColor="accent1" w:themeShade="BF"/>
          <w:sz w:val="25"/>
          <w:szCs w:val="25"/>
        </w:rPr>
        <w:lastRenderedPageBreak/>
        <w:t>What are the key housing issues to be addressed in a COVID-19 impact assessment?</w:t>
      </w:r>
      <w:bookmarkEnd w:id="17"/>
      <w:bookmarkEnd w:id="18"/>
    </w:p>
    <w:p w14:paraId="3AC51563" w14:textId="77777777" w:rsidR="00A225F5" w:rsidRPr="002E4C92" w:rsidRDefault="00A225F5" w:rsidP="004E2DB8">
      <w:pPr>
        <w:pStyle w:val="ListParagraph"/>
        <w:numPr>
          <w:ilvl w:val="0"/>
          <w:numId w:val="8"/>
        </w:numPr>
        <w:spacing w:after="80" w:line="276" w:lineRule="auto"/>
        <w:ind w:left="714" w:hanging="357"/>
        <w:contextualSpacing w:val="0"/>
        <w:rPr>
          <w:rFonts w:asciiTheme="majorHAnsi" w:eastAsiaTheme="majorEastAsia" w:hAnsiTheme="majorHAnsi" w:cstheme="majorHAnsi"/>
          <w:color w:val="000000" w:themeColor="text1"/>
          <w:sz w:val="23"/>
          <w:szCs w:val="23"/>
        </w:rPr>
      </w:pPr>
      <w:r w:rsidRPr="002E4C92">
        <w:rPr>
          <w:rFonts w:asciiTheme="majorHAnsi" w:eastAsiaTheme="majorEastAsia" w:hAnsiTheme="majorHAnsi" w:cstheme="majorHAnsi"/>
          <w:color w:val="000000" w:themeColor="text1"/>
          <w:sz w:val="23"/>
          <w:szCs w:val="23"/>
        </w:rPr>
        <w:t xml:space="preserve">Rapid re-acceleration of housing prices in big cities and many regions when </w:t>
      </w:r>
      <w:r>
        <w:rPr>
          <w:rFonts w:asciiTheme="majorHAnsi" w:eastAsiaTheme="majorEastAsia" w:hAnsiTheme="majorHAnsi" w:cstheme="majorHAnsi"/>
          <w:color w:val="000000" w:themeColor="text1"/>
          <w:sz w:val="23"/>
          <w:szCs w:val="23"/>
        </w:rPr>
        <w:t>Australians</w:t>
      </w:r>
      <w:r w:rsidRPr="002E4C92">
        <w:rPr>
          <w:rFonts w:asciiTheme="majorHAnsi" w:eastAsiaTheme="majorEastAsia" w:hAnsiTheme="majorHAnsi" w:cstheme="majorHAnsi"/>
          <w:color w:val="000000" w:themeColor="text1"/>
          <w:sz w:val="23"/>
          <w:szCs w:val="23"/>
        </w:rPr>
        <w:t xml:space="preserve"> on low incomes are losing the short-term protection of Job</w:t>
      </w:r>
      <w:r>
        <w:rPr>
          <w:rFonts w:asciiTheme="majorHAnsi" w:eastAsiaTheme="majorEastAsia" w:hAnsiTheme="majorHAnsi" w:cstheme="majorHAnsi"/>
          <w:color w:val="000000" w:themeColor="text1"/>
          <w:sz w:val="23"/>
          <w:szCs w:val="23"/>
        </w:rPr>
        <w:t>K</w:t>
      </w:r>
      <w:r w:rsidRPr="002E4C92">
        <w:rPr>
          <w:rFonts w:asciiTheme="majorHAnsi" w:eastAsiaTheme="majorEastAsia" w:hAnsiTheme="majorHAnsi" w:cstheme="majorHAnsi"/>
          <w:color w:val="000000" w:themeColor="text1"/>
          <w:sz w:val="23"/>
          <w:szCs w:val="23"/>
        </w:rPr>
        <w:t>eeper</w:t>
      </w:r>
      <w:r>
        <w:rPr>
          <w:rFonts w:asciiTheme="majorHAnsi" w:eastAsiaTheme="majorEastAsia" w:hAnsiTheme="majorHAnsi" w:cstheme="majorHAnsi"/>
          <w:color w:val="000000" w:themeColor="text1"/>
          <w:sz w:val="23"/>
          <w:szCs w:val="23"/>
        </w:rPr>
        <w:t xml:space="preserve"> and the</w:t>
      </w:r>
      <w:r w:rsidRPr="00BF13C7">
        <w:rPr>
          <w:rFonts w:asciiTheme="majorHAnsi" w:eastAsiaTheme="majorEastAsia" w:hAnsiTheme="majorHAnsi" w:cstheme="majorHAnsi"/>
          <w:color w:val="000000" w:themeColor="text1"/>
          <w:sz w:val="23"/>
          <w:szCs w:val="23"/>
        </w:rPr>
        <w:t xml:space="preserve"> </w:t>
      </w:r>
      <w:r>
        <w:rPr>
          <w:rFonts w:asciiTheme="majorHAnsi" w:eastAsiaTheme="majorEastAsia" w:hAnsiTheme="majorHAnsi" w:cstheme="majorHAnsi"/>
          <w:color w:val="000000" w:themeColor="text1"/>
          <w:sz w:val="23"/>
          <w:szCs w:val="23"/>
        </w:rPr>
        <w:t>JobSeeker subsidy</w:t>
      </w:r>
      <w:r w:rsidRPr="002E4C92">
        <w:rPr>
          <w:rFonts w:asciiTheme="majorHAnsi" w:eastAsiaTheme="majorEastAsia" w:hAnsiTheme="majorHAnsi" w:cstheme="majorHAnsi"/>
          <w:color w:val="000000" w:themeColor="text1"/>
          <w:sz w:val="23"/>
          <w:szCs w:val="23"/>
        </w:rPr>
        <w:t>.</w:t>
      </w:r>
    </w:p>
    <w:p w14:paraId="35D251B4" w14:textId="77777777" w:rsidR="00A225F5" w:rsidRDefault="00A225F5" w:rsidP="004E2DB8">
      <w:pPr>
        <w:pStyle w:val="ListParagraph"/>
        <w:numPr>
          <w:ilvl w:val="0"/>
          <w:numId w:val="8"/>
        </w:numPr>
        <w:spacing w:after="80" w:line="276" w:lineRule="auto"/>
        <w:ind w:left="714" w:hanging="357"/>
        <w:contextualSpacing w:val="0"/>
        <w:rPr>
          <w:rFonts w:asciiTheme="majorHAnsi" w:eastAsiaTheme="majorEastAsia" w:hAnsiTheme="majorHAnsi" w:cstheme="majorBidi"/>
          <w:color w:val="000000" w:themeColor="text1"/>
          <w:sz w:val="23"/>
          <w:szCs w:val="23"/>
        </w:rPr>
      </w:pPr>
      <w:r w:rsidRPr="78F9AF82">
        <w:rPr>
          <w:rFonts w:asciiTheme="majorHAnsi" w:eastAsiaTheme="majorEastAsia" w:hAnsiTheme="majorHAnsi" w:cstheme="majorBidi"/>
          <w:color w:val="000000" w:themeColor="text1"/>
          <w:sz w:val="23"/>
          <w:szCs w:val="23"/>
        </w:rPr>
        <w:t>Increased risk in the property market impacting housing affordability, particularly for households with children and lower liquidity.</w:t>
      </w:r>
    </w:p>
    <w:p w14:paraId="60953EF4" w14:textId="77777777" w:rsidR="00A225F5" w:rsidRPr="009B2795" w:rsidRDefault="00A225F5" w:rsidP="004E2DB8">
      <w:pPr>
        <w:pStyle w:val="ListParagraph"/>
        <w:numPr>
          <w:ilvl w:val="0"/>
          <w:numId w:val="8"/>
        </w:numPr>
        <w:spacing w:after="80" w:line="276" w:lineRule="auto"/>
        <w:ind w:left="714" w:hanging="357"/>
        <w:contextualSpacing w:val="0"/>
        <w:rPr>
          <w:rFonts w:asciiTheme="majorHAnsi" w:eastAsiaTheme="majorEastAsia" w:hAnsiTheme="majorHAnsi" w:cstheme="majorHAnsi"/>
          <w:color w:val="000000" w:themeColor="text1"/>
          <w:sz w:val="23"/>
          <w:szCs w:val="23"/>
        </w:rPr>
      </w:pPr>
      <w:r>
        <w:rPr>
          <w:rFonts w:asciiTheme="majorHAnsi" w:eastAsiaTheme="majorEastAsia" w:hAnsiTheme="majorHAnsi" w:cstheme="majorBidi"/>
          <w:color w:val="000000" w:themeColor="text1"/>
          <w:sz w:val="23"/>
          <w:szCs w:val="23"/>
        </w:rPr>
        <w:t>Increased risk of housing stress, housing precarity, and homelessness across Australia.</w:t>
      </w:r>
    </w:p>
    <w:p w14:paraId="589D0B4E" w14:textId="77777777" w:rsidR="00A225F5" w:rsidRPr="009B2795" w:rsidRDefault="00A225F5" w:rsidP="004E2DB8">
      <w:pPr>
        <w:pStyle w:val="ListParagraph"/>
        <w:numPr>
          <w:ilvl w:val="0"/>
          <w:numId w:val="8"/>
        </w:numPr>
        <w:spacing w:after="80" w:line="276" w:lineRule="auto"/>
        <w:ind w:left="714" w:hanging="357"/>
        <w:contextualSpacing w:val="0"/>
        <w:rPr>
          <w:rFonts w:asciiTheme="majorHAnsi" w:eastAsiaTheme="majorEastAsia" w:hAnsiTheme="majorHAnsi" w:cstheme="majorHAnsi"/>
          <w:color w:val="000000" w:themeColor="text1"/>
          <w:sz w:val="23"/>
          <w:szCs w:val="23"/>
        </w:rPr>
      </w:pPr>
      <w:r>
        <w:rPr>
          <w:rFonts w:asciiTheme="majorHAnsi" w:eastAsiaTheme="majorEastAsia" w:hAnsiTheme="majorHAnsi" w:cstheme="majorHAnsi"/>
          <w:color w:val="000000" w:themeColor="text1"/>
          <w:sz w:val="23"/>
          <w:szCs w:val="23"/>
        </w:rPr>
        <w:t>Housing costs in the three focal suburbs rising faster than elsewhere, raising concerns around declining local affordability and increased rates of housing stress.</w:t>
      </w:r>
    </w:p>
    <w:p w14:paraId="1BC7820F" w14:textId="77777777" w:rsidR="00A225F5" w:rsidRPr="002E4C92" w:rsidRDefault="00A225F5" w:rsidP="004E2DB8">
      <w:pPr>
        <w:pStyle w:val="ListParagraph"/>
        <w:numPr>
          <w:ilvl w:val="0"/>
          <w:numId w:val="8"/>
        </w:numPr>
        <w:spacing w:after="80" w:line="276" w:lineRule="auto"/>
        <w:ind w:left="714" w:hanging="357"/>
        <w:contextualSpacing w:val="0"/>
        <w:rPr>
          <w:rFonts w:asciiTheme="majorHAnsi" w:eastAsiaTheme="majorEastAsia" w:hAnsiTheme="majorHAnsi" w:cstheme="majorHAnsi"/>
          <w:color w:val="000000" w:themeColor="text1"/>
          <w:sz w:val="23"/>
          <w:szCs w:val="23"/>
        </w:rPr>
      </w:pPr>
      <w:r w:rsidRPr="002E4C92">
        <w:rPr>
          <w:rFonts w:asciiTheme="majorHAnsi" w:eastAsiaTheme="majorEastAsia" w:hAnsiTheme="majorHAnsi" w:cstheme="majorHAnsi"/>
          <w:color w:val="000000" w:themeColor="text1"/>
          <w:sz w:val="23"/>
          <w:szCs w:val="23"/>
        </w:rPr>
        <w:t xml:space="preserve">Ending of </w:t>
      </w:r>
      <w:r>
        <w:rPr>
          <w:rFonts w:asciiTheme="majorHAnsi" w:eastAsiaTheme="majorEastAsia" w:hAnsiTheme="majorHAnsi" w:cstheme="majorHAnsi"/>
          <w:color w:val="000000" w:themeColor="text1"/>
          <w:sz w:val="23"/>
          <w:szCs w:val="23"/>
        </w:rPr>
        <w:t xml:space="preserve">JobKeeper, JobSeeker subsidy, </w:t>
      </w:r>
      <w:r w:rsidRPr="002E4C92">
        <w:rPr>
          <w:rFonts w:asciiTheme="majorHAnsi" w:eastAsiaTheme="majorEastAsia" w:hAnsiTheme="majorHAnsi" w:cstheme="majorHAnsi"/>
          <w:color w:val="000000" w:themeColor="text1"/>
          <w:sz w:val="23"/>
          <w:szCs w:val="23"/>
        </w:rPr>
        <w:t>eviction</w:t>
      </w:r>
      <w:r>
        <w:rPr>
          <w:rFonts w:asciiTheme="majorHAnsi" w:eastAsiaTheme="majorEastAsia" w:hAnsiTheme="majorHAnsi" w:cstheme="majorHAnsi"/>
          <w:color w:val="000000" w:themeColor="text1"/>
          <w:sz w:val="23"/>
          <w:szCs w:val="23"/>
        </w:rPr>
        <w:t xml:space="preserve"> bans</w:t>
      </w:r>
      <w:r w:rsidRPr="002E4C92">
        <w:rPr>
          <w:rFonts w:asciiTheme="majorHAnsi" w:eastAsiaTheme="majorEastAsia" w:hAnsiTheme="majorHAnsi" w:cstheme="majorHAnsi"/>
          <w:color w:val="000000" w:themeColor="text1"/>
          <w:sz w:val="23"/>
          <w:szCs w:val="23"/>
        </w:rPr>
        <w:t xml:space="preserve">, </w:t>
      </w:r>
      <w:r>
        <w:rPr>
          <w:rFonts w:asciiTheme="majorHAnsi" w:eastAsiaTheme="majorEastAsia" w:hAnsiTheme="majorHAnsi" w:cstheme="majorHAnsi"/>
          <w:color w:val="000000" w:themeColor="text1"/>
          <w:sz w:val="23"/>
          <w:szCs w:val="23"/>
        </w:rPr>
        <w:t xml:space="preserve">rental variations, </w:t>
      </w:r>
      <w:r w:rsidRPr="002E4C92">
        <w:rPr>
          <w:rFonts w:asciiTheme="majorHAnsi" w:eastAsiaTheme="majorEastAsia" w:hAnsiTheme="majorHAnsi" w:cstheme="majorHAnsi"/>
          <w:color w:val="000000" w:themeColor="text1"/>
          <w:sz w:val="23"/>
          <w:szCs w:val="23"/>
        </w:rPr>
        <w:t>mortgage holidays.</w:t>
      </w:r>
    </w:p>
    <w:p w14:paraId="4FD5414E" w14:textId="77777777" w:rsidR="00A225F5" w:rsidRDefault="00A225F5" w:rsidP="004E2DB8">
      <w:pPr>
        <w:pStyle w:val="ListParagraph"/>
        <w:numPr>
          <w:ilvl w:val="0"/>
          <w:numId w:val="8"/>
        </w:numPr>
        <w:spacing w:after="80" w:line="276" w:lineRule="auto"/>
        <w:ind w:left="714" w:hanging="357"/>
        <w:contextualSpacing w:val="0"/>
        <w:rPr>
          <w:rFonts w:asciiTheme="majorHAnsi" w:eastAsiaTheme="majorEastAsia" w:hAnsiTheme="majorHAnsi" w:cstheme="majorBidi"/>
          <w:color w:val="000000" w:themeColor="text1"/>
          <w:sz w:val="23"/>
          <w:szCs w:val="23"/>
        </w:rPr>
      </w:pPr>
      <w:r w:rsidRPr="002E4C92">
        <w:rPr>
          <w:rFonts w:asciiTheme="majorHAnsi" w:eastAsiaTheme="majorEastAsia" w:hAnsiTheme="majorHAnsi" w:cstheme="majorBidi"/>
          <w:color w:val="000000" w:themeColor="text1"/>
          <w:sz w:val="23"/>
          <w:szCs w:val="23"/>
        </w:rPr>
        <w:t>Termination of rough sleepers’ access to short-term accommodation in hotels.</w:t>
      </w:r>
    </w:p>
    <w:p w14:paraId="43372E98" w14:textId="77777777" w:rsidR="00A225F5" w:rsidRPr="00D00E61" w:rsidRDefault="00A225F5" w:rsidP="00470D72">
      <w:pPr>
        <w:pStyle w:val="ListParagraph"/>
        <w:numPr>
          <w:ilvl w:val="0"/>
          <w:numId w:val="8"/>
        </w:numPr>
        <w:spacing w:after="240" w:line="276" w:lineRule="auto"/>
        <w:ind w:left="714" w:hanging="357"/>
        <w:contextualSpacing w:val="0"/>
        <w:rPr>
          <w:rFonts w:asciiTheme="majorHAnsi" w:eastAsiaTheme="majorEastAsia" w:hAnsiTheme="majorHAnsi" w:cstheme="majorHAnsi"/>
          <w:color w:val="000000" w:themeColor="text1"/>
          <w:sz w:val="23"/>
          <w:szCs w:val="23"/>
        </w:rPr>
      </w:pPr>
      <w:r w:rsidRPr="00D00E61">
        <w:rPr>
          <w:rFonts w:asciiTheme="majorHAnsi" w:eastAsiaTheme="majorEastAsia" w:hAnsiTheme="majorHAnsi" w:cstheme="majorHAnsi"/>
          <w:color w:val="000000" w:themeColor="text1"/>
          <w:sz w:val="23"/>
          <w:szCs w:val="23"/>
        </w:rPr>
        <w:t>Potential long-term shifts in geographical patterns in housing markets.</w:t>
      </w:r>
    </w:p>
    <w:p w14:paraId="6BBDBAB8" w14:textId="28A0A79A" w:rsidR="00D2186C" w:rsidRPr="00A937D8" w:rsidRDefault="00D2186C" w:rsidP="00D2186C">
      <w:pPr>
        <w:pStyle w:val="Default"/>
        <w:numPr>
          <w:ilvl w:val="0"/>
          <w:numId w:val="2"/>
        </w:numPr>
        <w:spacing w:line="276" w:lineRule="auto"/>
        <w:rPr>
          <w:rFonts w:asciiTheme="minorHAnsi" w:hAnsiTheme="minorHAnsi" w:cstheme="minorBidi"/>
          <w:b/>
          <w:color w:val="2F5496" w:themeColor="accent1" w:themeShade="BF"/>
          <w:sz w:val="25"/>
          <w:szCs w:val="25"/>
        </w:rPr>
      </w:pPr>
      <w:bookmarkStart w:id="19" w:name="_Ref106634704"/>
      <w:bookmarkStart w:id="20" w:name="_Hlk106304981"/>
      <w:r w:rsidRPr="00A937D8">
        <w:rPr>
          <w:rFonts w:asciiTheme="minorHAnsi" w:hAnsiTheme="minorHAnsi" w:cstheme="minorBidi"/>
          <w:b/>
          <w:color w:val="2F5496" w:themeColor="accent1" w:themeShade="BF"/>
          <w:sz w:val="25"/>
          <w:szCs w:val="25"/>
        </w:rPr>
        <w:t>How have “disadvantaged” communities in Geelong dealt with the pandemic in relation to housing?</w:t>
      </w:r>
      <w:bookmarkEnd w:id="19"/>
    </w:p>
    <w:p w14:paraId="364A90EB" w14:textId="0D5C7578" w:rsidR="00A225F5" w:rsidRPr="0010453D" w:rsidRDefault="00A225F5" w:rsidP="004E2DB8">
      <w:pPr>
        <w:spacing w:after="120"/>
        <w:ind w:left="360"/>
        <w:rPr>
          <w:rFonts w:asciiTheme="majorHAnsi" w:eastAsiaTheme="majorEastAsia" w:hAnsiTheme="majorHAnsi" w:cstheme="majorBidi"/>
          <w:i/>
          <w:iCs/>
          <w:sz w:val="23"/>
          <w:szCs w:val="23"/>
        </w:rPr>
      </w:pPr>
      <w:r w:rsidRPr="00A225F5">
        <w:rPr>
          <w:rFonts w:asciiTheme="majorHAnsi" w:eastAsiaTheme="majorEastAsia" w:hAnsiTheme="majorHAnsi" w:cstheme="majorBidi"/>
          <w:sz w:val="23"/>
          <w:szCs w:val="23"/>
          <w:lang w:val="en-GB"/>
        </w:rPr>
        <w:t>One key local impact on housing was the enforced use of domestic environments not well-equipped for habitation by multiple residents around the clock. These changes had a knock-on effect on family dynamics, increasing friction between family or household members and neighbours. COVID-19 also exacerbated existing problems of housing stress, precarious accommodation, and low affordability, with the latter increased by gentrification due to property speculation and in-migration of new residents.</w:t>
      </w:r>
    </w:p>
    <w:p w14:paraId="34803EE5" w14:textId="084F925A" w:rsidR="00D2186C" w:rsidRPr="00A937D8" w:rsidRDefault="00D2186C" w:rsidP="00D2186C">
      <w:pPr>
        <w:pStyle w:val="Default"/>
        <w:numPr>
          <w:ilvl w:val="0"/>
          <w:numId w:val="2"/>
        </w:numPr>
        <w:spacing w:line="276" w:lineRule="auto"/>
        <w:rPr>
          <w:rFonts w:asciiTheme="minorHAnsi" w:hAnsiTheme="minorHAnsi" w:cstheme="minorBidi"/>
          <w:b/>
          <w:color w:val="2F5496" w:themeColor="accent1" w:themeShade="BF"/>
          <w:sz w:val="25"/>
          <w:szCs w:val="25"/>
        </w:rPr>
      </w:pPr>
      <w:bookmarkStart w:id="21" w:name="_Ref106634706"/>
      <w:bookmarkStart w:id="22" w:name="_Hlk106304989"/>
      <w:bookmarkEnd w:id="20"/>
      <w:r w:rsidRPr="00A937D8">
        <w:rPr>
          <w:rFonts w:asciiTheme="minorHAnsi" w:hAnsiTheme="minorHAnsi" w:cstheme="minorBidi"/>
          <w:b/>
          <w:color w:val="2F5496" w:themeColor="accent1" w:themeShade="BF"/>
          <w:sz w:val="25"/>
          <w:szCs w:val="25"/>
        </w:rPr>
        <w:t xml:space="preserve">What factors relating to </w:t>
      </w:r>
      <w:r w:rsidR="00A937D8">
        <w:rPr>
          <w:rFonts w:asciiTheme="minorHAnsi" w:hAnsiTheme="minorHAnsi" w:cstheme="minorBidi"/>
          <w:b/>
          <w:color w:val="2F5496" w:themeColor="accent1" w:themeShade="BF"/>
          <w:sz w:val="25"/>
          <w:szCs w:val="25"/>
        </w:rPr>
        <w:t>housing</w:t>
      </w:r>
      <w:r w:rsidRPr="00A937D8">
        <w:rPr>
          <w:rFonts w:asciiTheme="minorHAnsi" w:hAnsiTheme="minorHAnsi" w:cstheme="minorBidi"/>
          <w:b/>
          <w:color w:val="2F5496" w:themeColor="accent1" w:themeShade="BF"/>
          <w:sz w:val="25"/>
          <w:szCs w:val="25"/>
        </w:rPr>
        <w:t xml:space="preserve"> supported local economic resilience and social cohesion?</w:t>
      </w:r>
      <w:bookmarkEnd w:id="21"/>
    </w:p>
    <w:p w14:paraId="33B4A38E" w14:textId="77777777" w:rsidR="00A225F5" w:rsidRPr="00A225F5" w:rsidRDefault="00A225F5" w:rsidP="00470D72">
      <w:pPr>
        <w:widowControl w:val="0"/>
        <w:ind w:left="360"/>
        <w:rPr>
          <w:rFonts w:asciiTheme="majorHAnsi" w:eastAsiaTheme="majorEastAsia" w:hAnsiTheme="majorHAnsi" w:cstheme="majorBidi"/>
          <w:sz w:val="23"/>
          <w:szCs w:val="23"/>
          <w:lang w:val="en-GB"/>
        </w:rPr>
      </w:pPr>
      <w:r w:rsidRPr="00A225F5">
        <w:rPr>
          <w:rFonts w:asciiTheme="majorHAnsi" w:eastAsiaTheme="majorEastAsia" w:hAnsiTheme="majorHAnsi" w:cstheme="majorBidi"/>
          <w:sz w:val="23"/>
          <w:szCs w:val="23"/>
          <w:lang w:val="en-GB"/>
        </w:rPr>
        <w:t>Some positive outcomes during the pandemic were reported across all five Practice Domains, some of which reflected community responses to the challenges and negative impacts described above. The overarching theme was the community’s ability to leverage pre-existing economic and social resilience, developed from years of experience with disadvantage.</w:t>
      </w:r>
    </w:p>
    <w:p w14:paraId="7E82B786" w14:textId="2615E7A5" w:rsidR="00A225F5" w:rsidRDefault="00A225F5" w:rsidP="004E2DB8">
      <w:pPr>
        <w:pStyle w:val="Default"/>
        <w:spacing w:after="120" w:line="276" w:lineRule="auto"/>
        <w:ind w:left="360"/>
        <w:rPr>
          <w:rFonts w:asciiTheme="majorHAnsi" w:eastAsiaTheme="majorEastAsia" w:hAnsiTheme="majorHAnsi" w:cstheme="majorBidi"/>
          <w:sz w:val="23"/>
          <w:szCs w:val="23"/>
          <w:lang w:val="en-GB"/>
        </w:rPr>
      </w:pPr>
      <w:r w:rsidRPr="368497C5">
        <w:rPr>
          <w:rFonts w:asciiTheme="majorHAnsi" w:eastAsiaTheme="majorEastAsia" w:hAnsiTheme="majorHAnsi" w:cstheme="majorBidi"/>
          <w:sz w:val="23"/>
          <w:szCs w:val="23"/>
          <w:lang w:val="en-GB"/>
        </w:rPr>
        <w:t>Housing improvement</w:t>
      </w:r>
      <w:r>
        <w:rPr>
          <w:rFonts w:asciiTheme="majorHAnsi" w:eastAsiaTheme="majorEastAsia" w:hAnsiTheme="majorHAnsi" w:cstheme="majorBidi"/>
          <w:sz w:val="23"/>
          <w:szCs w:val="23"/>
          <w:lang w:val="en-GB"/>
        </w:rPr>
        <w:t xml:space="preserve">s were </w:t>
      </w:r>
      <w:r w:rsidRPr="368497C5">
        <w:rPr>
          <w:rFonts w:asciiTheme="majorHAnsi" w:eastAsiaTheme="majorEastAsia" w:hAnsiTheme="majorHAnsi" w:cstheme="majorBidi"/>
          <w:sz w:val="23"/>
          <w:szCs w:val="23"/>
          <w:lang w:val="en-GB"/>
        </w:rPr>
        <w:t>experienced by some</w:t>
      </w:r>
      <w:r w:rsidRPr="42078E23">
        <w:rPr>
          <w:rFonts w:asciiTheme="majorHAnsi" w:eastAsiaTheme="majorEastAsia" w:hAnsiTheme="majorHAnsi" w:cstheme="majorBidi"/>
          <w:sz w:val="23"/>
          <w:szCs w:val="23"/>
          <w:lang w:val="en-GB"/>
        </w:rPr>
        <w:t xml:space="preserve"> residents, albeit a minority</w:t>
      </w:r>
      <w:r w:rsidRPr="368497C5">
        <w:rPr>
          <w:rFonts w:asciiTheme="majorHAnsi" w:eastAsiaTheme="majorEastAsia" w:hAnsiTheme="majorHAnsi" w:cstheme="majorBidi"/>
          <w:sz w:val="23"/>
          <w:szCs w:val="23"/>
          <w:lang w:val="en-GB"/>
        </w:rPr>
        <w:t xml:space="preserve">: those with more time </w:t>
      </w:r>
      <w:r w:rsidRPr="42078E23">
        <w:rPr>
          <w:rFonts w:asciiTheme="majorHAnsi" w:eastAsiaTheme="majorEastAsia" w:hAnsiTheme="majorHAnsi" w:cstheme="majorBidi"/>
          <w:sz w:val="23"/>
          <w:szCs w:val="23"/>
          <w:lang w:val="en-GB"/>
        </w:rPr>
        <w:t xml:space="preserve">and income </w:t>
      </w:r>
      <w:r w:rsidRPr="368497C5">
        <w:rPr>
          <w:rFonts w:asciiTheme="majorHAnsi" w:eastAsiaTheme="majorEastAsia" w:hAnsiTheme="majorHAnsi" w:cstheme="majorBidi"/>
          <w:sz w:val="23"/>
          <w:szCs w:val="23"/>
          <w:lang w:val="en-GB"/>
        </w:rPr>
        <w:t>to complete maintenance and repairs, public housing residents whose homes were upgraded, and those able to find creative solutions for the combined use of space for work and play.</w:t>
      </w:r>
    </w:p>
    <w:p w14:paraId="5C45DDB6" w14:textId="7412DB58" w:rsidR="00D2186C" w:rsidRPr="00A937D8" w:rsidRDefault="00D2186C" w:rsidP="00D2186C">
      <w:pPr>
        <w:pStyle w:val="Default"/>
        <w:numPr>
          <w:ilvl w:val="0"/>
          <w:numId w:val="2"/>
        </w:numPr>
        <w:spacing w:line="276" w:lineRule="auto"/>
        <w:rPr>
          <w:rFonts w:asciiTheme="minorHAnsi" w:hAnsiTheme="minorHAnsi" w:cstheme="minorBidi"/>
          <w:b/>
          <w:color w:val="2F5496" w:themeColor="accent1" w:themeShade="BF"/>
          <w:sz w:val="12"/>
          <w:szCs w:val="12"/>
        </w:rPr>
      </w:pPr>
      <w:bookmarkStart w:id="23" w:name="_Ref106634708"/>
      <w:bookmarkStart w:id="24" w:name="_Hlk106305039"/>
      <w:bookmarkEnd w:id="22"/>
      <w:r w:rsidRPr="00A937D8">
        <w:rPr>
          <w:rFonts w:asciiTheme="minorHAnsi" w:hAnsiTheme="minorHAnsi" w:cstheme="minorBidi"/>
          <w:b/>
          <w:color w:val="2F5496" w:themeColor="accent1" w:themeShade="BF"/>
          <w:sz w:val="25"/>
          <w:szCs w:val="25"/>
        </w:rPr>
        <w:t>What interventions worked best, and what other approaches could have enhanced residents’ experience?</w:t>
      </w:r>
      <w:bookmarkEnd w:id="23"/>
      <w:bookmarkEnd w:id="24"/>
    </w:p>
    <w:p w14:paraId="7F578187" w14:textId="77777777" w:rsidR="00D2186C" w:rsidRDefault="00D2186C" w:rsidP="004E2DB8">
      <w:pPr>
        <w:spacing w:after="120" w:line="257" w:lineRule="auto"/>
        <w:ind w:left="360"/>
        <w:rPr>
          <w:rFonts w:asciiTheme="majorHAnsi" w:hAnsiTheme="majorHAnsi" w:cstheme="majorBidi"/>
          <w:color w:val="000000" w:themeColor="text1"/>
          <w:sz w:val="23"/>
          <w:szCs w:val="23"/>
        </w:rPr>
      </w:pPr>
      <w:bookmarkStart w:id="25" w:name="_Hlk106305057"/>
      <w:r>
        <w:rPr>
          <w:rFonts w:asciiTheme="majorHAnsi" w:eastAsia="Calibri Light" w:hAnsiTheme="majorHAnsi" w:cstheme="majorBidi"/>
          <w:sz w:val="23"/>
          <w:szCs w:val="23"/>
          <w:lang w:val="en-GB"/>
        </w:rPr>
        <w:t>Local</w:t>
      </w:r>
      <w:r w:rsidRPr="7667331C">
        <w:rPr>
          <w:rFonts w:asciiTheme="majorHAnsi" w:eastAsia="Calibri Light" w:hAnsiTheme="majorHAnsi" w:cstheme="majorBidi"/>
          <w:sz w:val="23"/>
          <w:szCs w:val="23"/>
          <w:lang w:val="en-GB"/>
        </w:rPr>
        <w:t xml:space="preserve"> community workers stressed that </w:t>
      </w:r>
      <w:r>
        <w:rPr>
          <w:rFonts w:asciiTheme="majorHAnsi" w:eastAsia="Calibri Light" w:hAnsiTheme="majorHAnsi" w:cstheme="majorBidi"/>
          <w:sz w:val="23"/>
          <w:szCs w:val="23"/>
          <w:lang w:val="en-GB"/>
        </w:rPr>
        <w:t>the approach taken to developing any new</w:t>
      </w:r>
      <w:r w:rsidRPr="7667331C">
        <w:rPr>
          <w:rFonts w:asciiTheme="majorHAnsi" w:eastAsia="Calibri Light" w:hAnsiTheme="majorHAnsi" w:cstheme="majorBidi"/>
          <w:sz w:val="23"/>
          <w:szCs w:val="23"/>
          <w:lang w:val="en-GB"/>
        </w:rPr>
        <w:t xml:space="preserve"> initiatives </w:t>
      </w:r>
      <w:r>
        <w:rPr>
          <w:rFonts w:asciiTheme="majorHAnsi" w:eastAsia="Calibri Light" w:hAnsiTheme="majorHAnsi" w:cstheme="majorBidi"/>
          <w:sz w:val="23"/>
          <w:szCs w:val="23"/>
          <w:lang w:val="en-GB"/>
        </w:rPr>
        <w:t>i</w:t>
      </w:r>
      <w:r w:rsidRPr="7667331C">
        <w:rPr>
          <w:rFonts w:asciiTheme="majorHAnsi" w:eastAsia="Calibri Light" w:hAnsiTheme="majorHAnsi" w:cstheme="majorBidi"/>
          <w:sz w:val="23"/>
          <w:szCs w:val="23"/>
          <w:lang w:val="en-GB"/>
        </w:rPr>
        <w:t>s of equal if not greater importance than the initiatives themselves</w:t>
      </w:r>
      <w:r>
        <w:rPr>
          <w:rFonts w:asciiTheme="majorHAnsi" w:eastAsia="Calibri Light" w:hAnsiTheme="majorHAnsi" w:cstheme="majorBidi"/>
          <w:sz w:val="23"/>
          <w:szCs w:val="23"/>
          <w:lang w:val="en-GB"/>
        </w:rPr>
        <w:t>. Our informants advised that</w:t>
      </w:r>
      <w:r w:rsidRPr="7667331C">
        <w:rPr>
          <w:rFonts w:asciiTheme="majorHAnsi" w:eastAsia="Calibri Light" w:hAnsiTheme="majorHAnsi" w:cstheme="majorBidi"/>
          <w:sz w:val="23"/>
          <w:szCs w:val="23"/>
          <w:lang w:val="en-GB"/>
        </w:rPr>
        <w:t xml:space="preserve"> successful approaches need to </w:t>
      </w:r>
      <w:r w:rsidRPr="7667331C">
        <w:rPr>
          <w:rFonts w:asciiTheme="majorHAnsi" w:hAnsiTheme="majorHAnsi" w:cstheme="majorBidi"/>
          <w:color w:val="000000" w:themeColor="text1"/>
          <w:sz w:val="23"/>
          <w:szCs w:val="23"/>
        </w:rPr>
        <w:t xml:space="preserve">build trust, </w:t>
      </w:r>
      <w:r>
        <w:rPr>
          <w:rFonts w:asciiTheme="majorHAnsi" w:hAnsiTheme="majorHAnsi" w:cstheme="majorBidi"/>
          <w:color w:val="000000" w:themeColor="text1"/>
          <w:sz w:val="23"/>
          <w:szCs w:val="23"/>
        </w:rPr>
        <w:t xml:space="preserve">identify and </w:t>
      </w:r>
      <w:r w:rsidRPr="7667331C">
        <w:rPr>
          <w:rFonts w:asciiTheme="majorHAnsi" w:hAnsiTheme="majorHAnsi" w:cstheme="majorBidi"/>
          <w:color w:val="000000" w:themeColor="text1"/>
          <w:sz w:val="23"/>
          <w:szCs w:val="23"/>
        </w:rPr>
        <w:t xml:space="preserve">build on existing </w:t>
      </w:r>
      <w:r>
        <w:rPr>
          <w:rFonts w:asciiTheme="majorHAnsi" w:hAnsiTheme="majorHAnsi" w:cstheme="majorBidi"/>
          <w:color w:val="000000" w:themeColor="text1"/>
          <w:sz w:val="23"/>
          <w:szCs w:val="23"/>
        </w:rPr>
        <w:t xml:space="preserve">local </w:t>
      </w:r>
      <w:r w:rsidRPr="7667331C">
        <w:rPr>
          <w:rFonts w:asciiTheme="majorHAnsi" w:hAnsiTheme="majorHAnsi" w:cstheme="majorBidi"/>
          <w:color w:val="000000" w:themeColor="text1"/>
          <w:sz w:val="23"/>
          <w:szCs w:val="23"/>
        </w:rPr>
        <w:t>strengths, support community confidence and empowerment</w:t>
      </w:r>
      <w:r>
        <w:rPr>
          <w:rFonts w:asciiTheme="majorHAnsi" w:hAnsiTheme="majorHAnsi" w:cstheme="majorBidi"/>
          <w:color w:val="000000" w:themeColor="text1"/>
          <w:sz w:val="23"/>
          <w:szCs w:val="23"/>
        </w:rPr>
        <w:t xml:space="preserve">, </w:t>
      </w:r>
      <w:r w:rsidRPr="7667331C">
        <w:rPr>
          <w:rFonts w:asciiTheme="majorHAnsi" w:hAnsiTheme="majorHAnsi" w:cstheme="majorBidi"/>
          <w:color w:val="000000" w:themeColor="text1"/>
          <w:sz w:val="23"/>
          <w:szCs w:val="23"/>
        </w:rPr>
        <w:t>recognis</w:t>
      </w:r>
      <w:r>
        <w:rPr>
          <w:rFonts w:asciiTheme="majorHAnsi" w:hAnsiTheme="majorHAnsi" w:cstheme="majorBidi"/>
          <w:color w:val="000000" w:themeColor="text1"/>
          <w:sz w:val="23"/>
          <w:szCs w:val="23"/>
        </w:rPr>
        <w:t>e and support</w:t>
      </w:r>
      <w:r w:rsidRPr="7667331C">
        <w:rPr>
          <w:rFonts w:asciiTheme="majorHAnsi" w:hAnsiTheme="majorHAnsi" w:cstheme="majorBidi"/>
          <w:color w:val="000000" w:themeColor="text1"/>
          <w:sz w:val="23"/>
          <w:szCs w:val="23"/>
        </w:rPr>
        <w:t xml:space="preserve"> the community’s ability to design solutions to problems, </w:t>
      </w:r>
      <w:r>
        <w:rPr>
          <w:rFonts w:asciiTheme="majorHAnsi" w:hAnsiTheme="majorHAnsi" w:cstheme="majorBidi"/>
          <w:color w:val="000000" w:themeColor="text1"/>
          <w:sz w:val="23"/>
          <w:szCs w:val="23"/>
        </w:rPr>
        <w:t>provide appropriate funding</w:t>
      </w:r>
      <w:r w:rsidRPr="7667331C">
        <w:rPr>
          <w:rFonts w:asciiTheme="majorHAnsi" w:hAnsiTheme="majorHAnsi" w:cstheme="majorBidi"/>
          <w:color w:val="000000" w:themeColor="text1"/>
          <w:sz w:val="23"/>
          <w:szCs w:val="23"/>
        </w:rPr>
        <w:t xml:space="preserve">, plan for long-term delivery and evaluation, support collaboration </w:t>
      </w:r>
      <w:r w:rsidRPr="502830E4">
        <w:rPr>
          <w:rFonts w:asciiTheme="majorHAnsi" w:hAnsiTheme="majorHAnsi" w:cstheme="majorBidi"/>
          <w:color w:val="000000" w:themeColor="text1"/>
          <w:sz w:val="23"/>
          <w:szCs w:val="23"/>
        </w:rPr>
        <w:t>(</w:t>
      </w:r>
      <w:r w:rsidRPr="7667331C">
        <w:rPr>
          <w:rFonts w:asciiTheme="majorHAnsi" w:hAnsiTheme="majorHAnsi" w:cstheme="majorBidi"/>
          <w:color w:val="000000" w:themeColor="text1"/>
          <w:sz w:val="23"/>
          <w:szCs w:val="23"/>
        </w:rPr>
        <w:t>across organisations, sectors, levels of government</w:t>
      </w:r>
      <w:r w:rsidRPr="502830E4">
        <w:rPr>
          <w:rFonts w:asciiTheme="majorHAnsi" w:hAnsiTheme="majorHAnsi" w:cstheme="majorBidi"/>
          <w:color w:val="000000" w:themeColor="text1"/>
          <w:sz w:val="23"/>
          <w:szCs w:val="23"/>
        </w:rPr>
        <w:t>),</w:t>
      </w:r>
      <w:r w:rsidRPr="7667331C">
        <w:rPr>
          <w:rFonts w:asciiTheme="majorHAnsi" w:hAnsiTheme="majorHAnsi" w:cstheme="majorBidi"/>
          <w:color w:val="000000" w:themeColor="text1"/>
          <w:sz w:val="23"/>
          <w:szCs w:val="23"/>
        </w:rPr>
        <w:t xml:space="preserve"> and </w:t>
      </w:r>
      <w:r>
        <w:rPr>
          <w:rFonts w:asciiTheme="majorHAnsi" w:hAnsiTheme="majorHAnsi" w:cstheme="majorBidi"/>
          <w:color w:val="000000" w:themeColor="text1"/>
          <w:sz w:val="23"/>
          <w:szCs w:val="23"/>
        </w:rPr>
        <w:t>take a</w:t>
      </w:r>
      <w:r w:rsidRPr="7667331C">
        <w:rPr>
          <w:rFonts w:asciiTheme="majorHAnsi" w:hAnsiTheme="majorHAnsi" w:cstheme="majorBidi"/>
          <w:color w:val="000000" w:themeColor="text1"/>
          <w:sz w:val="23"/>
          <w:szCs w:val="23"/>
        </w:rPr>
        <w:t xml:space="preserve"> holistic </w:t>
      </w:r>
      <w:r>
        <w:rPr>
          <w:rFonts w:asciiTheme="majorHAnsi" w:hAnsiTheme="majorHAnsi" w:cstheme="majorBidi"/>
          <w:color w:val="000000" w:themeColor="text1"/>
          <w:sz w:val="23"/>
          <w:szCs w:val="23"/>
        </w:rPr>
        <w:t>view</w:t>
      </w:r>
      <w:r w:rsidRPr="7667331C">
        <w:rPr>
          <w:rFonts w:asciiTheme="majorHAnsi" w:hAnsiTheme="majorHAnsi" w:cstheme="majorBidi"/>
          <w:color w:val="000000" w:themeColor="text1"/>
          <w:sz w:val="23"/>
          <w:szCs w:val="23"/>
        </w:rPr>
        <w:t>.</w:t>
      </w:r>
    </w:p>
    <w:p w14:paraId="11226217" w14:textId="78956FE1" w:rsidR="00D2186C" w:rsidRPr="00A937D8" w:rsidRDefault="00D2186C" w:rsidP="00251925">
      <w:pPr>
        <w:pStyle w:val="Heading1"/>
        <w:rPr>
          <w:b/>
          <w:bCs/>
          <w:u w:val="single"/>
        </w:rPr>
      </w:pPr>
      <w:bookmarkStart w:id="26" w:name="_Hlk106305630"/>
      <w:bookmarkStart w:id="27" w:name="_Toc107838249"/>
      <w:bookmarkEnd w:id="25"/>
      <w:r w:rsidRPr="00A937D8">
        <w:rPr>
          <w:b/>
          <w:bCs/>
          <w:u w:val="single"/>
        </w:rPr>
        <w:lastRenderedPageBreak/>
        <w:t xml:space="preserve">Recommendations relating to the </w:t>
      </w:r>
      <w:r w:rsidR="00F46D10" w:rsidRPr="00A937D8">
        <w:rPr>
          <w:b/>
          <w:bCs/>
          <w:u w:val="single"/>
        </w:rPr>
        <w:t>housing</w:t>
      </w:r>
      <w:r w:rsidRPr="00A937D8">
        <w:rPr>
          <w:b/>
          <w:bCs/>
          <w:u w:val="single"/>
        </w:rPr>
        <w:t xml:space="preserve"> domain.</w:t>
      </w:r>
      <w:bookmarkEnd w:id="27"/>
    </w:p>
    <w:p w14:paraId="6F19BBEF" w14:textId="0FE5F1C7" w:rsidR="00D2186C" w:rsidRPr="005A42A9" w:rsidRDefault="00D2186C" w:rsidP="004E2DB8">
      <w:pPr>
        <w:pStyle w:val="Default"/>
        <w:spacing w:after="120" w:line="276" w:lineRule="auto"/>
        <w:rPr>
          <w:rFonts w:asciiTheme="majorHAnsi" w:eastAsiaTheme="majorEastAsia" w:hAnsiTheme="majorHAnsi" w:cstheme="majorBidi"/>
          <w:sz w:val="23"/>
          <w:szCs w:val="23"/>
        </w:rPr>
      </w:pPr>
      <w:bookmarkStart w:id="28" w:name="_Hlk106305652"/>
      <w:bookmarkEnd w:id="26"/>
      <w:r>
        <w:rPr>
          <w:rFonts w:asciiTheme="majorHAnsi" w:eastAsiaTheme="majorEastAsia" w:hAnsiTheme="majorHAnsi" w:cstheme="majorBidi"/>
          <w:sz w:val="23"/>
          <w:szCs w:val="23"/>
        </w:rPr>
        <w:t xml:space="preserve">Note: Some recommendations relate to </w:t>
      </w:r>
      <w:r w:rsidR="004E2DB8">
        <w:rPr>
          <w:rFonts w:asciiTheme="majorHAnsi" w:eastAsiaTheme="majorEastAsia" w:hAnsiTheme="majorHAnsi" w:cstheme="majorBidi"/>
          <w:sz w:val="23"/>
          <w:szCs w:val="23"/>
        </w:rPr>
        <w:t xml:space="preserve">several </w:t>
      </w:r>
      <w:r>
        <w:rPr>
          <w:rFonts w:asciiTheme="majorHAnsi" w:eastAsiaTheme="majorEastAsia" w:hAnsiTheme="majorHAnsi" w:cstheme="majorBidi"/>
          <w:sz w:val="23"/>
          <w:szCs w:val="23"/>
        </w:rPr>
        <w:t xml:space="preserve">domains </w:t>
      </w:r>
      <w:r w:rsidR="004E2DB8">
        <w:rPr>
          <w:rFonts w:asciiTheme="majorHAnsi" w:eastAsiaTheme="majorEastAsia" w:hAnsiTheme="majorHAnsi" w:cstheme="majorBidi"/>
          <w:sz w:val="23"/>
          <w:szCs w:val="23"/>
        </w:rPr>
        <w:t xml:space="preserve">so </w:t>
      </w:r>
      <w:r>
        <w:rPr>
          <w:rFonts w:asciiTheme="majorHAnsi" w:eastAsiaTheme="majorEastAsia" w:hAnsiTheme="majorHAnsi" w:cstheme="majorBidi"/>
          <w:sz w:val="23"/>
          <w:szCs w:val="23"/>
        </w:rPr>
        <w:t>will be included in m</w:t>
      </w:r>
      <w:r w:rsidR="004E2DB8">
        <w:rPr>
          <w:rFonts w:asciiTheme="majorHAnsi" w:eastAsiaTheme="majorEastAsia" w:hAnsiTheme="majorHAnsi" w:cstheme="majorBidi"/>
          <w:sz w:val="23"/>
          <w:szCs w:val="23"/>
        </w:rPr>
        <w:t xml:space="preserve">ultiple </w:t>
      </w:r>
      <w:r>
        <w:rPr>
          <w:rFonts w:asciiTheme="majorHAnsi" w:eastAsiaTheme="majorEastAsia" w:hAnsiTheme="majorHAnsi" w:cstheme="majorBidi"/>
          <w:sz w:val="23"/>
          <w:szCs w:val="23"/>
        </w:rPr>
        <w:t>summar</w:t>
      </w:r>
      <w:r w:rsidR="004E2DB8">
        <w:rPr>
          <w:rFonts w:asciiTheme="majorHAnsi" w:eastAsiaTheme="majorEastAsia" w:hAnsiTheme="majorHAnsi" w:cstheme="majorBidi"/>
          <w:sz w:val="23"/>
          <w:szCs w:val="23"/>
        </w:rPr>
        <w:t>ies</w:t>
      </w:r>
      <w:r>
        <w:rPr>
          <w:rFonts w:asciiTheme="majorHAnsi" w:eastAsiaTheme="majorEastAsia" w:hAnsiTheme="majorHAnsi" w:cstheme="majorBidi"/>
          <w:sz w:val="23"/>
          <w:szCs w:val="23"/>
        </w:rPr>
        <w:t xml:space="preserve">. </w:t>
      </w:r>
      <w:r w:rsidR="00407403">
        <w:rPr>
          <w:rFonts w:asciiTheme="majorHAnsi" w:eastAsiaTheme="majorEastAsia" w:hAnsiTheme="majorHAnsi" w:cstheme="majorBidi"/>
          <w:sz w:val="23"/>
          <w:szCs w:val="23"/>
        </w:rPr>
        <w:t>Recommendation reference numbers and case study page numbers refer to the full report</w:t>
      </w:r>
      <w:r>
        <w:rPr>
          <w:rFonts w:asciiTheme="majorHAnsi" w:eastAsiaTheme="majorEastAsia" w:hAnsiTheme="majorHAnsi" w:cstheme="majorBidi"/>
          <w:sz w:val="23"/>
          <w:szCs w:val="23"/>
        </w:rPr>
        <w:t>.</w:t>
      </w:r>
    </w:p>
    <w:bookmarkEnd w:id="28"/>
    <w:p w14:paraId="4A790CF5" w14:textId="37F5873D" w:rsidR="002C1CB1" w:rsidRPr="00A937D8" w:rsidRDefault="002C1CB1" w:rsidP="002C1CB1">
      <w:pPr>
        <w:pStyle w:val="Default"/>
        <w:spacing w:line="276" w:lineRule="auto"/>
        <w:rPr>
          <w:rFonts w:asciiTheme="minorHAnsi" w:eastAsiaTheme="minorEastAsia" w:hAnsiTheme="minorHAnsi" w:cstheme="minorBidi"/>
          <w:b/>
          <w:color w:val="2F5496" w:themeColor="accent1" w:themeShade="BF"/>
          <w:sz w:val="16"/>
          <w:szCs w:val="16"/>
          <w:lang w:val="en-GB"/>
        </w:rPr>
      </w:pPr>
      <w:r w:rsidRPr="00A937D8">
        <w:rPr>
          <w:rFonts w:eastAsia="Calibri"/>
          <w:b/>
          <w:color w:val="2F5496" w:themeColor="accent1" w:themeShade="BF"/>
          <w:sz w:val="25"/>
          <w:szCs w:val="25"/>
        </w:rPr>
        <w:t>3.1 Program Extension Initiative: Identify and Extend Successful Programs</w:t>
      </w:r>
    </w:p>
    <w:p w14:paraId="20F301AD" w14:textId="77777777" w:rsidR="002C1CB1" w:rsidRPr="00AB31C9" w:rsidRDefault="002C1CB1" w:rsidP="004E2DB8">
      <w:pPr>
        <w:spacing w:after="0" w:line="276" w:lineRule="auto"/>
        <w:rPr>
          <w:rFonts w:asciiTheme="majorHAnsi" w:eastAsiaTheme="minorEastAsia" w:hAnsiTheme="majorHAnsi" w:cstheme="majorBidi"/>
          <w:sz w:val="23"/>
          <w:szCs w:val="23"/>
          <w:lang w:val="en-GB"/>
        </w:rPr>
      </w:pPr>
      <w:r>
        <w:rPr>
          <w:rFonts w:asciiTheme="majorHAnsi" w:eastAsiaTheme="minorEastAsia" w:hAnsiTheme="majorHAnsi" w:cstheme="majorBidi"/>
          <w:sz w:val="23"/>
          <w:szCs w:val="23"/>
          <w:lang w:val="en-GB"/>
        </w:rPr>
        <w:t>Our r</w:t>
      </w:r>
      <w:r w:rsidRPr="00AB31C9">
        <w:rPr>
          <w:rFonts w:asciiTheme="majorHAnsi" w:eastAsiaTheme="minorEastAsia" w:hAnsiTheme="majorHAnsi" w:cstheme="majorBidi"/>
          <w:sz w:val="23"/>
          <w:szCs w:val="23"/>
          <w:lang w:val="en-GB"/>
        </w:rPr>
        <w:t>esearch into the three localities and consultation</w:t>
      </w:r>
      <w:r>
        <w:rPr>
          <w:rFonts w:asciiTheme="majorHAnsi" w:eastAsiaTheme="minorEastAsia" w:hAnsiTheme="majorHAnsi" w:cstheme="majorBidi"/>
          <w:sz w:val="23"/>
          <w:szCs w:val="23"/>
          <w:lang w:val="en-GB"/>
        </w:rPr>
        <w:t>s</w:t>
      </w:r>
      <w:r w:rsidRPr="00AB31C9">
        <w:rPr>
          <w:rFonts w:asciiTheme="majorHAnsi" w:eastAsiaTheme="minorEastAsia" w:hAnsiTheme="majorHAnsi" w:cstheme="majorBidi"/>
          <w:sz w:val="23"/>
          <w:szCs w:val="23"/>
          <w:lang w:val="en-GB"/>
        </w:rPr>
        <w:t xml:space="preserve"> with key workers identified a range of highly effective existing programs and promising approaches. Rather than attempting to implement new programs from scratch, it is strongly recommended that an audit of existing programs be conducted, with a view to supporting and extending those that are effective, mapping potential overlaps, and identifying possible partnerships and lead agencies </w:t>
      </w:r>
      <w:r>
        <w:rPr>
          <w:rFonts w:asciiTheme="majorHAnsi" w:eastAsiaTheme="minorEastAsia" w:hAnsiTheme="majorHAnsi" w:cstheme="majorBidi"/>
          <w:sz w:val="23"/>
          <w:szCs w:val="23"/>
          <w:lang w:val="en-GB"/>
        </w:rPr>
        <w:t>to develop</w:t>
      </w:r>
      <w:r w:rsidRPr="00AB31C9">
        <w:rPr>
          <w:rFonts w:asciiTheme="majorHAnsi" w:eastAsiaTheme="minorEastAsia" w:hAnsiTheme="majorHAnsi" w:cstheme="majorBidi"/>
          <w:sz w:val="23"/>
          <w:szCs w:val="23"/>
          <w:lang w:val="en-GB"/>
        </w:rPr>
        <w:t xml:space="preserve"> future initiatives. There is also </w:t>
      </w:r>
      <w:r>
        <w:rPr>
          <w:rFonts w:asciiTheme="majorHAnsi" w:eastAsiaTheme="minorEastAsia" w:hAnsiTheme="majorHAnsi" w:cstheme="majorBidi"/>
          <w:sz w:val="23"/>
          <w:szCs w:val="23"/>
          <w:lang w:val="en-GB"/>
        </w:rPr>
        <w:t xml:space="preserve">some </w:t>
      </w:r>
      <w:r w:rsidRPr="00AB31C9">
        <w:rPr>
          <w:rFonts w:asciiTheme="majorHAnsi" w:eastAsiaTheme="minorEastAsia" w:hAnsiTheme="majorHAnsi" w:cstheme="majorBidi"/>
          <w:sz w:val="23"/>
          <w:szCs w:val="23"/>
          <w:lang w:val="en-GB"/>
        </w:rPr>
        <w:t>scope to build upon or leverage existing government policies and plans. While this list is only a starting point, we have identified the following candidates (listed by</w:t>
      </w:r>
      <w:r>
        <w:rPr>
          <w:rFonts w:asciiTheme="majorHAnsi" w:eastAsiaTheme="minorEastAsia" w:hAnsiTheme="majorHAnsi" w:cstheme="majorBidi"/>
          <w:sz w:val="23"/>
          <w:szCs w:val="23"/>
          <w:lang w:val="en-GB"/>
        </w:rPr>
        <w:t xml:space="preserve"> Practice Domain</w:t>
      </w:r>
      <w:r w:rsidRPr="00AB31C9">
        <w:rPr>
          <w:rFonts w:asciiTheme="majorHAnsi" w:eastAsiaTheme="minorEastAsia" w:hAnsiTheme="majorHAnsi" w:cstheme="majorBidi"/>
          <w:sz w:val="23"/>
          <w:szCs w:val="23"/>
          <w:lang w:val="en-GB"/>
        </w:rPr>
        <w:t>):</w:t>
      </w:r>
    </w:p>
    <w:p w14:paraId="3D9C739F" w14:textId="61CCC629" w:rsidR="002C1CB1" w:rsidRPr="00552857" w:rsidRDefault="002C1CB1" w:rsidP="004E2DB8">
      <w:pPr>
        <w:pStyle w:val="ListParagraph"/>
        <w:numPr>
          <w:ilvl w:val="0"/>
          <w:numId w:val="9"/>
        </w:numPr>
        <w:spacing w:after="120" w:line="276" w:lineRule="auto"/>
        <w:rPr>
          <w:rFonts w:asciiTheme="majorHAnsi" w:hAnsiTheme="majorHAnsi" w:cstheme="majorBidi"/>
          <w:sz w:val="23"/>
          <w:szCs w:val="23"/>
        </w:rPr>
      </w:pPr>
      <w:r w:rsidRPr="00A968F7">
        <w:rPr>
          <w:rFonts w:cstheme="minorHAnsi"/>
          <w:b/>
          <w:bCs/>
          <w:sz w:val="23"/>
          <w:szCs w:val="23"/>
        </w:rPr>
        <w:t>Housing:</w:t>
      </w:r>
      <w:r w:rsidRPr="39226A36">
        <w:rPr>
          <w:rFonts w:asciiTheme="majorHAnsi" w:hAnsiTheme="majorHAnsi" w:cstheme="majorBidi"/>
          <w:sz w:val="23"/>
          <w:szCs w:val="23"/>
        </w:rPr>
        <w:t xml:space="preserve"> Exten</w:t>
      </w:r>
      <w:r>
        <w:rPr>
          <w:rFonts w:asciiTheme="majorHAnsi" w:hAnsiTheme="majorHAnsi" w:cstheme="majorBidi"/>
          <w:sz w:val="23"/>
          <w:szCs w:val="23"/>
        </w:rPr>
        <w:t>d</w:t>
      </w:r>
      <w:r w:rsidRPr="39226A36">
        <w:rPr>
          <w:rFonts w:asciiTheme="majorHAnsi" w:hAnsiTheme="majorHAnsi" w:cstheme="majorBidi"/>
          <w:sz w:val="23"/>
          <w:szCs w:val="23"/>
        </w:rPr>
        <w:t xml:space="preserve"> </w:t>
      </w:r>
      <w:r w:rsidR="004E2DB8">
        <w:rPr>
          <w:rFonts w:asciiTheme="majorHAnsi" w:hAnsiTheme="majorHAnsi" w:cstheme="majorBidi"/>
          <w:sz w:val="23"/>
          <w:szCs w:val="23"/>
        </w:rPr>
        <w:t>the City’</w:t>
      </w:r>
      <w:r>
        <w:rPr>
          <w:rFonts w:asciiTheme="majorHAnsi" w:hAnsiTheme="majorHAnsi" w:cstheme="majorBidi"/>
          <w:sz w:val="23"/>
          <w:szCs w:val="23"/>
        </w:rPr>
        <w:t>s</w:t>
      </w:r>
      <w:r w:rsidRPr="39226A36">
        <w:rPr>
          <w:rFonts w:asciiTheme="majorHAnsi" w:hAnsiTheme="majorHAnsi" w:cstheme="majorBidi"/>
          <w:sz w:val="23"/>
          <w:szCs w:val="23"/>
        </w:rPr>
        <w:t xml:space="preserve"> Social Housing </w:t>
      </w:r>
      <w:r>
        <w:rPr>
          <w:rFonts w:asciiTheme="majorHAnsi" w:hAnsiTheme="majorHAnsi" w:cstheme="majorBidi"/>
          <w:sz w:val="23"/>
          <w:szCs w:val="23"/>
        </w:rPr>
        <w:t>P</w:t>
      </w:r>
      <w:r w:rsidRPr="39226A36">
        <w:rPr>
          <w:rFonts w:asciiTheme="majorHAnsi" w:hAnsiTheme="majorHAnsi" w:cstheme="majorBidi"/>
          <w:sz w:val="23"/>
          <w:szCs w:val="23"/>
        </w:rPr>
        <w:t>olicy – for new builds and renovation – to Corio, Norlane</w:t>
      </w:r>
      <w:r>
        <w:rPr>
          <w:rFonts w:asciiTheme="majorHAnsi" w:hAnsiTheme="majorHAnsi" w:cstheme="majorBidi"/>
          <w:sz w:val="23"/>
          <w:szCs w:val="23"/>
        </w:rPr>
        <w:t>,</w:t>
      </w:r>
      <w:r w:rsidRPr="39226A36">
        <w:rPr>
          <w:rFonts w:asciiTheme="majorHAnsi" w:hAnsiTheme="majorHAnsi" w:cstheme="majorBidi"/>
          <w:sz w:val="23"/>
          <w:szCs w:val="23"/>
        </w:rPr>
        <w:t xml:space="preserve"> and Whittington.</w:t>
      </w:r>
    </w:p>
    <w:p w14:paraId="07FEAC31" w14:textId="6151FBA9" w:rsidR="002C1CB1" w:rsidRPr="00A937D8" w:rsidRDefault="002C1CB1" w:rsidP="002C1CB1">
      <w:pPr>
        <w:pStyle w:val="Default"/>
        <w:spacing w:line="276" w:lineRule="auto"/>
        <w:rPr>
          <w:rFonts w:eastAsia="Calibri"/>
          <w:b/>
          <w:color w:val="2F5496" w:themeColor="accent1" w:themeShade="BF"/>
          <w:sz w:val="12"/>
          <w:szCs w:val="12"/>
        </w:rPr>
      </w:pPr>
      <w:r w:rsidRPr="00A937D8">
        <w:rPr>
          <w:rFonts w:eastAsia="Calibri"/>
          <w:b/>
          <w:color w:val="2F5496" w:themeColor="accent1" w:themeShade="BF"/>
          <w:sz w:val="25"/>
          <w:szCs w:val="25"/>
        </w:rPr>
        <w:t>3.2 Safe and Affordable Housing Initiative</w:t>
      </w:r>
    </w:p>
    <w:p w14:paraId="50207777" w14:textId="77777777" w:rsidR="002C1CB1" w:rsidRPr="000C78E4" w:rsidRDefault="002C1CB1" w:rsidP="004E2DB8">
      <w:pPr>
        <w:spacing w:after="120" w:line="276" w:lineRule="auto"/>
        <w:rPr>
          <w:rFonts w:asciiTheme="majorHAnsi" w:hAnsiTheme="majorHAnsi" w:cstheme="majorHAnsi"/>
          <w:bCs/>
          <w:sz w:val="23"/>
          <w:szCs w:val="23"/>
        </w:rPr>
      </w:pPr>
      <w:r>
        <w:rPr>
          <w:rFonts w:asciiTheme="majorHAnsi" w:hAnsiTheme="majorHAnsi" w:cstheme="majorHAnsi"/>
          <w:bCs/>
          <w:sz w:val="23"/>
          <w:szCs w:val="23"/>
        </w:rPr>
        <w:t>COVID-19</w:t>
      </w:r>
      <w:r w:rsidRPr="000C78E4">
        <w:rPr>
          <w:rFonts w:asciiTheme="majorHAnsi" w:hAnsiTheme="majorHAnsi" w:cstheme="majorHAnsi"/>
          <w:bCs/>
          <w:sz w:val="23"/>
          <w:szCs w:val="23"/>
        </w:rPr>
        <w:t xml:space="preserve"> </w:t>
      </w:r>
      <w:r>
        <w:rPr>
          <w:rFonts w:asciiTheme="majorHAnsi" w:hAnsiTheme="majorHAnsi" w:cstheme="majorHAnsi"/>
          <w:bCs/>
          <w:sz w:val="23"/>
          <w:szCs w:val="23"/>
        </w:rPr>
        <w:t>has</w:t>
      </w:r>
      <w:r w:rsidRPr="000C78E4">
        <w:rPr>
          <w:rFonts w:asciiTheme="majorHAnsi" w:hAnsiTheme="majorHAnsi" w:cstheme="majorHAnsi"/>
          <w:bCs/>
          <w:sz w:val="23"/>
          <w:szCs w:val="23"/>
        </w:rPr>
        <w:t xml:space="preserve"> highlighted several</w:t>
      </w:r>
      <w:r>
        <w:rPr>
          <w:rFonts w:asciiTheme="majorHAnsi" w:hAnsiTheme="majorHAnsi" w:cstheme="majorHAnsi"/>
          <w:bCs/>
          <w:sz w:val="23"/>
          <w:szCs w:val="23"/>
        </w:rPr>
        <w:t xml:space="preserve"> local</w:t>
      </w:r>
      <w:r w:rsidRPr="000C78E4">
        <w:rPr>
          <w:rFonts w:asciiTheme="majorHAnsi" w:hAnsiTheme="majorHAnsi" w:cstheme="majorHAnsi"/>
          <w:bCs/>
          <w:sz w:val="23"/>
          <w:szCs w:val="23"/>
        </w:rPr>
        <w:t xml:space="preserve"> housing issues that require urgent remedy.</w:t>
      </w:r>
      <w:r>
        <w:rPr>
          <w:rFonts w:asciiTheme="majorHAnsi" w:hAnsiTheme="majorHAnsi" w:cstheme="majorHAnsi"/>
          <w:bCs/>
          <w:sz w:val="23"/>
          <w:szCs w:val="23"/>
        </w:rPr>
        <w:t xml:space="preserve"> The pandemic has heightened l</w:t>
      </w:r>
      <w:r w:rsidRPr="000C78E4">
        <w:rPr>
          <w:rFonts w:asciiTheme="majorHAnsi" w:hAnsiTheme="majorHAnsi" w:cstheme="majorHAnsi"/>
          <w:bCs/>
          <w:sz w:val="23"/>
          <w:szCs w:val="23"/>
        </w:rPr>
        <w:t xml:space="preserve">ong-term issues around </w:t>
      </w:r>
      <w:r>
        <w:rPr>
          <w:rFonts w:asciiTheme="majorHAnsi" w:hAnsiTheme="majorHAnsi" w:cstheme="majorHAnsi"/>
          <w:bCs/>
          <w:sz w:val="23"/>
          <w:szCs w:val="23"/>
        </w:rPr>
        <w:t xml:space="preserve">local </w:t>
      </w:r>
      <w:r w:rsidRPr="000C78E4">
        <w:rPr>
          <w:rFonts w:asciiTheme="majorHAnsi" w:hAnsiTheme="majorHAnsi" w:cstheme="majorBidi"/>
          <w:bCs/>
          <w:sz w:val="23"/>
          <w:szCs w:val="23"/>
        </w:rPr>
        <w:t xml:space="preserve">housing </w:t>
      </w:r>
      <w:r w:rsidRPr="000C78E4">
        <w:rPr>
          <w:rFonts w:asciiTheme="majorHAnsi" w:hAnsiTheme="majorHAnsi" w:cstheme="majorHAnsi"/>
          <w:bCs/>
          <w:sz w:val="23"/>
          <w:szCs w:val="23"/>
        </w:rPr>
        <w:t>affordability</w:t>
      </w:r>
      <w:r w:rsidRPr="000C78E4">
        <w:rPr>
          <w:rFonts w:asciiTheme="majorHAnsi" w:hAnsiTheme="majorHAnsi" w:cstheme="majorBidi"/>
          <w:bCs/>
          <w:sz w:val="23"/>
          <w:szCs w:val="23"/>
        </w:rPr>
        <w:t>, quality</w:t>
      </w:r>
      <w:r>
        <w:rPr>
          <w:rFonts w:asciiTheme="majorHAnsi" w:hAnsiTheme="majorHAnsi" w:cstheme="majorBidi"/>
          <w:bCs/>
          <w:sz w:val="23"/>
          <w:szCs w:val="23"/>
        </w:rPr>
        <w:t>,</w:t>
      </w:r>
      <w:r w:rsidRPr="000C78E4">
        <w:rPr>
          <w:rFonts w:asciiTheme="majorHAnsi" w:hAnsiTheme="majorHAnsi" w:cstheme="majorHAnsi"/>
          <w:bCs/>
          <w:sz w:val="23"/>
          <w:szCs w:val="23"/>
        </w:rPr>
        <w:t xml:space="preserve"> and </w:t>
      </w:r>
      <w:r w:rsidRPr="000C78E4">
        <w:rPr>
          <w:rFonts w:asciiTheme="majorHAnsi" w:hAnsiTheme="majorHAnsi" w:cstheme="majorBidi"/>
          <w:bCs/>
          <w:sz w:val="23"/>
          <w:szCs w:val="23"/>
        </w:rPr>
        <w:t xml:space="preserve">capacity </w:t>
      </w:r>
      <w:r w:rsidRPr="000C78E4">
        <w:rPr>
          <w:rFonts w:asciiTheme="majorHAnsi" w:hAnsiTheme="majorHAnsi" w:cstheme="majorHAnsi"/>
          <w:bCs/>
          <w:sz w:val="23"/>
          <w:szCs w:val="23"/>
        </w:rPr>
        <w:t xml:space="preserve">to meet </w:t>
      </w:r>
      <w:r w:rsidRPr="000C78E4">
        <w:rPr>
          <w:rFonts w:asciiTheme="majorHAnsi" w:hAnsiTheme="majorHAnsi" w:cstheme="majorBidi"/>
          <w:bCs/>
          <w:sz w:val="23"/>
          <w:szCs w:val="23"/>
        </w:rPr>
        <w:t>residents’</w:t>
      </w:r>
      <w:r w:rsidRPr="000C78E4">
        <w:rPr>
          <w:rFonts w:asciiTheme="majorHAnsi" w:hAnsiTheme="majorHAnsi" w:cstheme="majorHAnsi"/>
          <w:bCs/>
          <w:sz w:val="23"/>
          <w:szCs w:val="23"/>
        </w:rPr>
        <w:t xml:space="preserve"> lifelong needs </w:t>
      </w:r>
      <w:r w:rsidRPr="000C78E4">
        <w:rPr>
          <w:rFonts w:asciiTheme="majorHAnsi" w:hAnsiTheme="majorHAnsi" w:cstheme="majorBidi"/>
          <w:bCs/>
          <w:sz w:val="23"/>
          <w:szCs w:val="23"/>
        </w:rPr>
        <w:t>–</w:t>
      </w:r>
      <w:r w:rsidRPr="000C78E4">
        <w:rPr>
          <w:rFonts w:asciiTheme="majorHAnsi" w:hAnsiTheme="majorHAnsi" w:cstheme="majorHAnsi"/>
          <w:bCs/>
          <w:sz w:val="23"/>
          <w:szCs w:val="23"/>
        </w:rPr>
        <w:t xml:space="preserve"> to live, work and learn together.</w:t>
      </w:r>
      <w:r>
        <w:rPr>
          <w:rFonts w:asciiTheme="majorHAnsi" w:hAnsiTheme="majorHAnsi" w:cstheme="majorHAnsi"/>
          <w:bCs/>
          <w:sz w:val="23"/>
          <w:szCs w:val="23"/>
        </w:rPr>
        <w:t xml:space="preserve"> Unless decisive action is taken, there are clear indications that rates of housing stress and homelessness will likely increase in these three localities as the impacts of COVID-19 continue to unfold. One study predicts that</w:t>
      </w:r>
      <w:r w:rsidRPr="008236B4">
        <w:rPr>
          <w:rFonts w:asciiTheme="majorHAnsi" w:hAnsiTheme="majorHAnsi" w:cstheme="majorHAnsi"/>
          <w:bCs/>
          <w:sz w:val="23"/>
          <w:szCs w:val="23"/>
        </w:rPr>
        <w:t xml:space="preserve"> </w:t>
      </w:r>
      <w:r>
        <w:rPr>
          <w:rFonts w:asciiTheme="majorHAnsi" w:hAnsiTheme="majorHAnsi" w:cstheme="majorHAnsi"/>
          <w:bCs/>
          <w:sz w:val="23"/>
          <w:szCs w:val="23"/>
        </w:rPr>
        <w:t xml:space="preserve">by mid-2021 national </w:t>
      </w:r>
      <w:r w:rsidRPr="008236B4">
        <w:rPr>
          <w:rFonts w:asciiTheme="majorHAnsi" w:hAnsiTheme="majorHAnsi" w:cstheme="majorHAnsi"/>
          <w:bCs/>
          <w:sz w:val="23"/>
          <w:szCs w:val="23"/>
        </w:rPr>
        <w:t xml:space="preserve">homelessness </w:t>
      </w:r>
      <w:r>
        <w:rPr>
          <w:rFonts w:asciiTheme="majorHAnsi" w:hAnsiTheme="majorHAnsi" w:cstheme="majorHAnsi"/>
          <w:bCs/>
          <w:sz w:val="23"/>
          <w:szCs w:val="23"/>
        </w:rPr>
        <w:t>will</w:t>
      </w:r>
      <w:r w:rsidRPr="008236B4">
        <w:rPr>
          <w:rFonts w:asciiTheme="majorHAnsi" w:hAnsiTheme="majorHAnsi" w:cstheme="majorHAnsi"/>
          <w:bCs/>
          <w:sz w:val="23"/>
          <w:szCs w:val="23"/>
        </w:rPr>
        <w:t xml:space="preserve"> increase </w:t>
      </w:r>
      <w:r>
        <w:rPr>
          <w:rFonts w:asciiTheme="majorHAnsi" w:hAnsiTheme="majorHAnsi" w:cstheme="majorHAnsi"/>
          <w:bCs/>
          <w:sz w:val="23"/>
          <w:szCs w:val="23"/>
        </w:rPr>
        <w:t>9 percent, and housing stress will affect</w:t>
      </w:r>
      <w:r>
        <w:rPr>
          <w:rFonts w:ascii="Calibri Light" w:eastAsia="Calibri" w:hAnsi="Calibri Light" w:cs="Calibri Light"/>
          <w:sz w:val="23"/>
          <w:szCs w:val="23"/>
        </w:rPr>
        <w:t xml:space="preserve"> 24 percent more Australian households</w:t>
      </w:r>
      <w:r>
        <w:rPr>
          <w:rFonts w:asciiTheme="majorHAnsi" w:hAnsiTheme="majorHAnsi" w:cstheme="majorHAnsi"/>
          <w:bCs/>
          <w:sz w:val="23"/>
          <w:szCs w:val="23"/>
        </w:rPr>
        <w:t xml:space="preserve">. The Geelong forecast is even more alarming: homelessness in Geelong is expected to increase </w:t>
      </w:r>
      <w:r w:rsidRPr="008236B4">
        <w:rPr>
          <w:rFonts w:asciiTheme="majorHAnsi" w:hAnsiTheme="majorHAnsi" w:cstheme="majorHAnsi"/>
          <w:bCs/>
          <w:sz w:val="23"/>
          <w:szCs w:val="23"/>
        </w:rPr>
        <w:t>23 percent, and housing stress by 62.7 percent (Equity Economics, 2020b, p. 8–9, 4).</w:t>
      </w:r>
    </w:p>
    <w:p w14:paraId="0893FBC2" w14:textId="77777777" w:rsidR="002C1CB1" w:rsidRPr="00552857" w:rsidRDefault="002C1CB1" w:rsidP="004E2DB8">
      <w:pPr>
        <w:spacing w:after="120" w:line="276" w:lineRule="auto"/>
        <w:rPr>
          <w:rFonts w:asciiTheme="majorHAnsi" w:hAnsiTheme="majorHAnsi" w:cstheme="majorBidi"/>
          <w:sz w:val="23"/>
          <w:szCs w:val="23"/>
        </w:rPr>
      </w:pPr>
      <w:r>
        <w:rPr>
          <w:rFonts w:asciiTheme="majorHAnsi" w:hAnsiTheme="majorHAnsi" w:cstheme="majorBidi"/>
          <w:sz w:val="23"/>
          <w:szCs w:val="23"/>
        </w:rPr>
        <w:t xml:space="preserve">A </w:t>
      </w:r>
      <w:r w:rsidRPr="502830E4">
        <w:rPr>
          <w:rFonts w:asciiTheme="majorHAnsi" w:hAnsiTheme="majorHAnsi" w:cstheme="majorBidi"/>
          <w:sz w:val="23"/>
          <w:szCs w:val="23"/>
        </w:rPr>
        <w:t>local shortage of social housing</w:t>
      </w:r>
      <w:r>
        <w:rPr>
          <w:rFonts w:asciiTheme="majorHAnsi" w:hAnsiTheme="majorHAnsi" w:cstheme="majorBidi"/>
          <w:sz w:val="23"/>
          <w:szCs w:val="23"/>
        </w:rPr>
        <w:t xml:space="preserve">, along with ongoing </w:t>
      </w:r>
      <w:r w:rsidRPr="502830E4">
        <w:rPr>
          <w:rFonts w:asciiTheme="majorHAnsi" w:hAnsiTheme="majorHAnsi" w:cstheme="majorBidi"/>
          <w:sz w:val="23"/>
          <w:szCs w:val="23"/>
        </w:rPr>
        <w:t>mortgage and rental stress</w:t>
      </w:r>
      <w:r>
        <w:rPr>
          <w:rFonts w:asciiTheme="majorHAnsi" w:hAnsiTheme="majorHAnsi" w:cstheme="majorBidi"/>
          <w:sz w:val="23"/>
          <w:szCs w:val="23"/>
        </w:rPr>
        <w:t>, are now</w:t>
      </w:r>
      <w:r w:rsidRPr="502830E4">
        <w:rPr>
          <w:rFonts w:asciiTheme="majorHAnsi" w:hAnsiTheme="majorHAnsi" w:cstheme="majorBidi"/>
          <w:sz w:val="23"/>
          <w:szCs w:val="23"/>
        </w:rPr>
        <w:t xml:space="preserve"> being exacerbated by gentrification</w:t>
      </w:r>
      <w:r>
        <w:rPr>
          <w:rFonts w:asciiTheme="majorHAnsi" w:hAnsiTheme="majorHAnsi" w:cstheme="majorBidi"/>
          <w:sz w:val="23"/>
          <w:szCs w:val="23"/>
        </w:rPr>
        <w:t xml:space="preserve"> and declining affordability in Corio, Norlane, and Whittington</w:t>
      </w:r>
      <w:r w:rsidRPr="502830E4">
        <w:rPr>
          <w:rFonts w:asciiTheme="majorHAnsi" w:hAnsiTheme="majorHAnsi" w:cstheme="majorBidi"/>
          <w:sz w:val="23"/>
          <w:szCs w:val="23"/>
        </w:rPr>
        <w:t xml:space="preserve">. More </w:t>
      </w:r>
      <w:r>
        <w:rPr>
          <w:rFonts w:asciiTheme="majorHAnsi" w:hAnsiTheme="majorHAnsi" w:cstheme="majorBidi"/>
          <w:sz w:val="23"/>
          <w:szCs w:val="23"/>
        </w:rPr>
        <w:t xml:space="preserve">permanent </w:t>
      </w:r>
      <w:r w:rsidRPr="502830E4">
        <w:rPr>
          <w:rFonts w:asciiTheme="majorHAnsi" w:hAnsiTheme="majorHAnsi" w:cstheme="majorBidi"/>
          <w:sz w:val="23"/>
          <w:szCs w:val="23"/>
        </w:rPr>
        <w:t xml:space="preserve">housing is </w:t>
      </w:r>
      <w:r>
        <w:rPr>
          <w:rFonts w:asciiTheme="majorHAnsi" w:hAnsiTheme="majorHAnsi" w:cstheme="majorBidi"/>
          <w:sz w:val="23"/>
          <w:szCs w:val="23"/>
        </w:rPr>
        <w:t xml:space="preserve">particularly </w:t>
      </w:r>
      <w:r w:rsidRPr="502830E4">
        <w:rPr>
          <w:rFonts w:asciiTheme="majorHAnsi" w:hAnsiTheme="majorHAnsi" w:cstheme="majorBidi"/>
          <w:sz w:val="23"/>
          <w:szCs w:val="23"/>
        </w:rPr>
        <w:t>needed for women and children escaping domestic violence, vulnerable young people, and others living in precarious housing situations, including secondary homelessness (overcrowding, couch-surfing).</w:t>
      </w:r>
      <w:r>
        <w:rPr>
          <w:rFonts w:asciiTheme="majorHAnsi" w:hAnsiTheme="majorHAnsi" w:cstheme="majorBidi"/>
          <w:sz w:val="23"/>
          <w:szCs w:val="23"/>
        </w:rPr>
        <w:t xml:space="preserve"> </w:t>
      </w:r>
      <w:r w:rsidRPr="502830E4">
        <w:rPr>
          <w:rFonts w:asciiTheme="majorHAnsi" w:hAnsiTheme="majorHAnsi" w:cstheme="majorBidi"/>
          <w:sz w:val="23"/>
          <w:szCs w:val="23"/>
        </w:rPr>
        <w:t>The three localities</w:t>
      </w:r>
      <w:r>
        <w:rPr>
          <w:rFonts w:asciiTheme="majorHAnsi" w:hAnsiTheme="majorHAnsi" w:cstheme="majorBidi"/>
          <w:sz w:val="23"/>
          <w:szCs w:val="23"/>
        </w:rPr>
        <w:t xml:space="preserve"> also</w:t>
      </w:r>
      <w:r w:rsidRPr="502830E4">
        <w:rPr>
          <w:rFonts w:asciiTheme="majorHAnsi" w:hAnsiTheme="majorHAnsi" w:cstheme="majorBidi"/>
          <w:sz w:val="23"/>
          <w:szCs w:val="23"/>
        </w:rPr>
        <w:t xml:space="preserve"> have significant proportions of public housing, most of which was built in the 1950s</w:t>
      </w:r>
      <w:r>
        <w:rPr>
          <w:rFonts w:asciiTheme="majorHAnsi" w:hAnsiTheme="majorHAnsi" w:cstheme="majorBidi"/>
          <w:sz w:val="23"/>
          <w:szCs w:val="23"/>
        </w:rPr>
        <w:t>–</w:t>
      </w:r>
      <w:r w:rsidRPr="502830E4">
        <w:rPr>
          <w:rFonts w:asciiTheme="majorHAnsi" w:hAnsiTheme="majorHAnsi" w:cstheme="majorBidi"/>
          <w:sz w:val="23"/>
          <w:szCs w:val="23"/>
        </w:rPr>
        <w:t>1970s, and is increasingly run-down, cramped</w:t>
      </w:r>
      <w:r>
        <w:rPr>
          <w:rFonts w:asciiTheme="majorHAnsi" w:hAnsiTheme="majorHAnsi" w:cstheme="majorBidi"/>
          <w:sz w:val="23"/>
          <w:szCs w:val="23"/>
        </w:rPr>
        <w:t>,</w:t>
      </w:r>
      <w:r w:rsidRPr="502830E4">
        <w:rPr>
          <w:rFonts w:asciiTheme="majorHAnsi" w:hAnsiTheme="majorHAnsi" w:cstheme="majorBidi"/>
          <w:sz w:val="23"/>
          <w:szCs w:val="23"/>
        </w:rPr>
        <w:t xml:space="preserve"> and unfit for current use. </w:t>
      </w:r>
      <w:r>
        <w:rPr>
          <w:rFonts w:asciiTheme="majorHAnsi" w:hAnsiTheme="majorHAnsi" w:cstheme="majorHAnsi"/>
          <w:bCs/>
          <w:sz w:val="23"/>
          <w:szCs w:val="23"/>
        </w:rPr>
        <w:t xml:space="preserve">Lockdowns compounded existing housing quality issues and precarity, resulting in </w:t>
      </w:r>
      <w:r w:rsidRPr="000C78E4">
        <w:rPr>
          <w:rFonts w:asciiTheme="majorHAnsi" w:hAnsiTheme="majorHAnsi" w:cstheme="majorHAnsi"/>
          <w:bCs/>
          <w:sz w:val="23"/>
          <w:szCs w:val="23"/>
        </w:rPr>
        <w:t xml:space="preserve">disharmony between residents, family members and neighbours, </w:t>
      </w:r>
      <w:r>
        <w:rPr>
          <w:rFonts w:asciiTheme="majorHAnsi" w:hAnsiTheme="majorHAnsi" w:cstheme="majorHAnsi"/>
          <w:bCs/>
          <w:sz w:val="23"/>
          <w:szCs w:val="23"/>
        </w:rPr>
        <w:t xml:space="preserve">and </w:t>
      </w:r>
      <w:r w:rsidRPr="000D0CDD">
        <w:rPr>
          <w:rFonts w:asciiTheme="majorHAnsi" w:hAnsiTheme="majorHAnsi" w:cstheme="majorHAnsi"/>
          <w:bCs/>
          <w:sz w:val="23"/>
          <w:szCs w:val="23"/>
        </w:rPr>
        <w:t>contributing in the worst case</w:t>
      </w:r>
      <w:r>
        <w:rPr>
          <w:rFonts w:asciiTheme="majorHAnsi" w:hAnsiTheme="majorHAnsi" w:cstheme="majorHAnsi"/>
          <w:bCs/>
          <w:sz w:val="23"/>
          <w:szCs w:val="23"/>
        </w:rPr>
        <w:t>s</w:t>
      </w:r>
      <w:r w:rsidRPr="000D0CDD">
        <w:rPr>
          <w:rFonts w:asciiTheme="majorHAnsi" w:hAnsiTheme="majorHAnsi" w:cstheme="majorHAnsi"/>
          <w:bCs/>
          <w:sz w:val="23"/>
          <w:szCs w:val="23"/>
        </w:rPr>
        <w:t xml:space="preserve"> to</w:t>
      </w:r>
      <w:r w:rsidRPr="000C78E4">
        <w:rPr>
          <w:rFonts w:asciiTheme="majorHAnsi" w:hAnsiTheme="majorHAnsi" w:cstheme="majorHAnsi"/>
          <w:bCs/>
          <w:sz w:val="23"/>
          <w:szCs w:val="23"/>
        </w:rPr>
        <w:t xml:space="preserve"> domestic violence</w:t>
      </w:r>
      <w:r w:rsidRPr="000C78E4">
        <w:rPr>
          <w:rFonts w:asciiTheme="majorHAnsi" w:hAnsiTheme="majorHAnsi" w:cstheme="majorBidi"/>
          <w:bCs/>
          <w:sz w:val="23"/>
          <w:szCs w:val="23"/>
        </w:rPr>
        <w:t xml:space="preserve"> situations.</w:t>
      </w:r>
      <w:r w:rsidRPr="000C78E4">
        <w:rPr>
          <w:rFonts w:asciiTheme="majorHAnsi" w:hAnsiTheme="majorHAnsi" w:cstheme="majorHAnsi"/>
          <w:bCs/>
          <w:sz w:val="23"/>
          <w:szCs w:val="23"/>
        </w:rPr>
        <w:t xml:space="preserve"> </w:t>
      </w:r>
    </w:p>
    <w:p w14:paraId="302DE7B1" w14:textId="77777777" w:rsidR="002C1CB1" w:rsidRPr="00ED5E90" w:rsidRDefault="002C1CB1" w:rsidP="002C1CB1">
      <w:pPr>
        <w:spacing w:after="0" w:line="276" w:lineRule="auto"/>
        <w:rPr>
          <w:rFonts w:asciiTheme="majorHAnsi" w:hAnsiTheme="majorHAnsi" w:cstheme="majorBidi"/>
          <w:sz w:val="23"/>
          <w:szCs w:val="23"/>
        </w:rPr>
      </w:pPr>
      <w:r>
        <w:rPr>
          <w:rFonts w:asciiTheme="majorHAnsi" w:hAnsiTheme="majorHAnsi" w:cstheme="majorBidi"/>
          <w:sz w:val="23"/>
          <w:szCs w:val="23"/>
        </w:rPr>
        <w:t>The Safe and Affordable Housing Initiative focuses on three key interventions:</w:t>
      </w:r>
    </w:p>
    <w:p w14:paraId="6C1E3D33" w14:textId="77777777" w:rsidR="002C1CB1" w:rsidRPr="00552857" w:rsidRDefault="002C1CB1" w:rsidP="004E2DB8">
      <w:pPr>
        <w:pStyle w:val="ListParagraph"/>
        <w:numPr>
          <w:ilvl w:val="0"/>
          <w:numId w:val="10"/>
        </w:numPr>
        <w:spacing w:after="40" w:line="276" w:lineRule="auto"/>
        <w:ind w:left="357" w:hanging="357"/>
        <w:contextualSpacing w:val="0"/>
        <w:rPr>
          <w:rFonts w:asciiTheme="majorHAnsi" w:eastAsiaTheme="majorEastAsia" w:hAnsiTheme="majorHAnsi" w:cstheme="majorBidi"/>
          <w:sz w:val="23"/>
          <w:szCs w:val="23"/>
        </w:rPr>
      </w:pPr>
      <w:r w:rsidRPr="502830E4">
        <w:rPr>
          <w:rFonts w:asciiTheme="majorHAnsi" w:hAnsiTheme="majorHAnsi" w:cstheme="majorBidi"/>
          <w:sz w:val="23"/>
          <w:szCs w:val="23"/>
        </w:rPr>
        <w:t>Increase the supply of social and affordable housing in accessible and well-serviced locations in Corio</w:t>
      </w:r>
      <w:r>
        <w:rPr>
          <w:rFonts w:asciiTheme="majorHAnsi" w:hAnsiTheme="majorHAnsi" w:cstheme="majorBidi"/>
          <w:sz w:val="23"/>
          <w:szCs w:val="23"/>
        </w:rPr>
        <w:t xml:space="preserve"> and </w:t>
      </w:r>
      <w:r w:rsidRPr="502830E4">
        <w:rPr>
          <w:rFonts w:asciiTheme="majorHAnsi" w:hAnsiTheme="majorHAnsi" w:cstheme="majorBidi"/>
          <w:sz w:val="23"/>
          <w:szCs w:val="23"/>
        </w:rPr>
        <w:t>Norlane, including quality communal spaces for residents.</w:t>
      </w:r>
    </w:p>
    <w:p w14:paraId="5F1ECDCE" w14:textId="77777777" w:rsidR="002C1CB1" w:rsidRDefault="002C1CB1" w:rsidP="004E2DB8">
      <w:pPr>
        <w:pStyle w:val="ListParagraph"/>
        <w:numPr>
          <w:ilvl w:val="0"/>
          <w:numId w:val="10"/>
        </w:numPr>
        <w:spacing w:after="40" w:line="276" w:lineRule="auto"/>
        <w:ind w:left="357" w:hanging="357"/>
        <w:contextualSpacing w:val="0"/>
        <w:rPr>
          <w:rFonts w:asciiTheme="majorHAnsi" w:eastAsiaTheme="majorEastAsia" w:hAnsiTheme="majorHAnsi" w:cstheme="majorBidi"/>
          <w:sz w:val="23"/>
          <w:szCs w:val="23"/>
        </w:rPr>
      </w:pPr>
      <w:r w:rsidRPr="502830E4">
        <w:rPr>
          <w:rFonts w:asciiTheme="majorHAnsi" w:hAnsiTheme="majorHAnsi" w:cstheme="majorBidi"/>
          <w:sz w:val="23"/>
          <w:szCs w:val="23"/>
        </w:rPr>
        <w:t xml:space="preserve">Upgrade existing public housing stock (in line with the </w:t>
      </w:r>
      <w:r>
        <w:rPr>
          <w:rFonts w:asciiTheme="majorHAnsi" w:hAnsiTheme="majorHAnsi" w:cstheme="majorBidi"/>
          <w:sz w:val="23"/>
          <w:szCs w:val="23"/>
        </w:rPr>
        <w:t>COGG</w:t>
      </w:r>
      <w:r w:rsidRPr="502830E4">
        <w:rPr>
          <w:rFonts w:asciiTheme="majorHAnsi" w:hAnsiTheme="majorHAnsi" w:cstheme="majorBidi"/>
          <w:sz w:val="23"/>
          <w:szCs w:val="23"/>
        </w:rPr>
        <w:t xml:space="preserve"> Social Housing Plan and the Victorian Government’s Big Build program).</w:t>
      </w:r>
    </w:p>
    <w:p w14:paraId="3BCA307A" w14:textId="77777777" w:rsidR="002C1CB1" w:rsidRDefault="002C1CB1" w:rsidP="004E2DB8">
      <w:pPr>
        <w:pStyle w:val="ListParagraph"/>
        <w:numPr>
          <w:ilvl w:val="0"/>
          <w:numId w:val="10"/>
        </w:numPr>
        <w:spacing w:after="40" w:line="276" w:lineRule="auto"/>
        <w:ind w:left="357" w:hanging="357"/>
        <w:contextualSpacing w:val="0"/>
        <w:rPr>
          <w:sz w:val="23"/>
          <w:szCs w:val="23"/>
        </w:rPr>
      </w:pPr>
      <w:r w:rsidRPr="502830E4">
        <w:rPr>
          <w:rFonts w:asciiTheme="majorHAnsi" w:hAnsiTheme="majorHAnsi" w:cstheme="majorBidi"/>
          <w:sz w:val="23"/>
          <w:szCs w:val="23"/>
        </w:rPr>
        <w:t>Improve access to housing and support services, including for residents at risk of homelessness</w:t>
      </w:r>
      <w:r>
        <w:rPr>
          <w:rFonts w:asciiTheme="majorHAnsi" w:hAnsiTheme="majorHAnsi" w:cstheme="majorBidi"/>
          <w:sz w:val="23"/>
          <w:szCs w:val="23"/>
        </w:rPr>
        <w:t>, prioritising Housing First approaches.</w:t>
      </w:r>
    </w:p>
    <w:p w14:paraId="56B28D96" w14:textId="77777777" w:rsidR="002C1CB1" w:rsidRPr="004E04B0" w:rsidRDefault="002C1CB1" w:rsidP="002C1CB1">
      <w:pPr>
        <w:spacing w:after="0" w:line="276" w:lineRule="auto"/>
        <w:rPr>
          <w:rFonts w:asciiTheme="majorHAnsi" w:eastAsiaTheme="majorEastAsia" w:hAnsiTheme="majorHAnsi" w:cstheme="majorBidi"/>
          <w:color w:val="595959" w:themeColor="text1" w:themeTint="A6"/>
          <w:sz w:val="23"/>
          <w:szCs w:val="23"/>
        </w:rPr>
      </w:pPr>
      <w:r w:rsidRPr="00D9154D">
        <w:rPr>
          <w:rFonts w:eastAsiaTheme="majorEastAsia" w:cstheme="minorHAnsi"/>
          <w:b/>
          <w:bCs/>
          <w:color w:val="595959" w:themeColor="text1" w:themeTint="A6"/>
          <w:sz w:val="23"/>
          <w:szCs w:val="23"/>
        </w:rPr>
        <w:lastRenderedPageBreak/>
        <w:t xml:space="preserve">Relevant </w:t>
      </w:r>
      <w:r>
        <w:rPr>
          <w:rFonts w:eastAsiaTheme="majorEastAsia" w:cstheme="minorHAnsi"/>
          <w:b/>
          <w:bCs/>
          <w:color w:val="595959" w:themeColor="text1" w:themeTint="A6"/>
          <w:sz w:val="23"/>
          <w:szCs w:val="23"/>
        </w:rPr>
        <w:t>Case Studies</w:t>
      </w:r>
      <w:r w:rsidRPr="00D9154D">
        <w:rPr>
          <w:rFonts w:eastAsiaTheme="majorEastAsia" w:cstheme="minorHAnsi"/>
          <w:b/>
          <w:bCs/>
          <w:color w:val="595959" w:themeColor="text1" w:themeTint="A6"/>
          <w:sz w:val="23"/>
          <w:szCs w:val="23"/>
        </w:rPr>
        <w:t>:</w:t>
      </w:r>
      <w:r w:rsidRPr="00D9154D">
        <w:rPr>
          <w:rFonts w:asciiTheme="majorHAnsi" w:eastAsiaTheme="majorEastAsia" w:hAnsiTheme="majorHAnsi" w:cstheme="majorBidi"/>
          <w:color w:val="595959" w:themeColor="text1" w:themeTint="A6"/>
          <w:sz w:val="23"/>
          <w:szCs w:val="23"/>
        </w:rPr>
        <w:t xml:space="preserve"> Towards Home </w:t>
      </w:r>
      <w:r w:rsidRPr="004E04B0">
        <w:rPr>
          <w:rFonts w:asciiTheme="majorHAnsi" w:eastAsiaTheme="majorEastAsia" w:hAnsiTheme="majorHAnsi" w:cstheme="majorBidi"/>
          <w:color w:val="595959" w:themeColor="text1" w:themeTint="A6"/>
          <w:sz w:val="23"/>
          <w:szCs w:val="23"/>
        </w:rPr>
        <w:t xml:space="preserve">Plus, Geelong (p.61); </w:t>
      </w:r>
      <w:r w:rsidRPr="502830E4">
        <w:rPr>
          <w:rFonts w:asciiTheme="majorHAnsi" w:eastAsiaTheme="majorEastAsia" w:hAnsiTheme="majorHAnsi" w:cstheme="majorBidi"/>
          <w:color w:val="525252" w:themeColor="accent3" w:themeShade="80"/>
          <w:sz w:val="23"/>
          <w:szCs w:val="23"/>
        </w:rPr>
        <w:t>Neighbourhood Renewal</w:t>
      </w:r>
      <w:r>
        <w:rPr>
          <w:rFonts w:asciiTheme="majorHAnsi" w:eastAsiaTheme="majorEastAsia" w:hAnsiTheme="majorHAnsi" w:cstheme="majorBidi"/>
          <w:color w:val="525252" w:themeColor="accent3" w:themeShade="80"/>
          <w:sz w:val="23"/>
          <w:szCs w:val="23"/>
        </w:rPr>
        <w:t xml:space="preserve"> Program</w:t>
      </w:r>
      <w:r w:rsidRPr="502830E4">
        <w:rPr>
          <w:rFonts w:asciiTheme="majorHAnsi" w:eastAsiaTheme="majorEastAsia" w:hAnsiTheme="majorHAnsi" w:cstheme="majorBidi"/>
          <w:color w:val="525252" w:themeColor="accent3" w:themeShade="80"/>
          <w:sz w:val="23"/>
          <w:szCs w:val="23"/>
        </w:rPr>
        <w:t>, Victoria</w:t>
      </w:r>
      <w:r>
        <w:rPr>
          <w:rFonts w:asciiTheme="majorHAnsi" w:eastAsiaTheme="majorEastAsia" w:hAnsiTheme="majorHAnsi" w:cstheme="majorBidi"/>
          <w:color w:val="525252" w:themeColor="accent3" w:themeShade="80"/>
          <w:sz w:val="23"/>
          <w:szCs w:val="23"/>
        </w:rPr>
        <w:t xml:space="preserve"> (p.66)</w:t>
      </w:r>
      <w:r w:rsidRPr="502830E4">
        <w:rPr>
          <w:rFonts w:asciiTheme="majorHAnsi" w:eastAsiaTheme="majorEastAsia" w:hAnsiTheme="majorHAnsi" w:cstheme="majorBidi"/>
          <w:color w:val="525252" w:themeColor="accent3" w:themeShade="80"/>
          <w:sz w:val="23"/>
          <w:szCs w:val="23"/>
        </w:rPr>
        <w:t xml:space="preserve">; </w:t>
      </w:r>
      <w:r w:rsidRPr="004E04B0">
        <w:rPr>
          <w:rFonts w:asciiTheme="majorHAnsi" w:eastAsiaTheme="majorEastAsia" w:hAnsiTheme="majorHAnsi" w:cstheme="majorBidi"/>
          <w:color w:val="595959" w:themeColor="text1" w:themeTint="A6"/>
          <w:sz w:val="23"/>
          <w:szCs w:val="23"/>
        </w:rPr>
        <w:t xml:space="preserve">Perpetrator Intervention Pilot, South Australia (p.69); The Broomhill Project, Glasgow (Broomy’s Bees </w:t>
      </w:r>
      <w:r>
        <w:rPr>
          <w:rFonts w:asciiTheme="majorHAnsi" w:eastAsiaTheme="majorEastAsia" w:hAnsiTheme="majorHAnsi" w:cstheme="majorBidi"/>
          <w:color w:val="595959" w:themeColor="text1" w:themeTint="A6"/>
          <w:sz w:val="23"/>
          <w:szCs w:val="23"/>
        </w:rPr>
        <w:t>c</w:t>
      </w:r>
      <w:r w:rsidRPr="004E04B0">
        <w:rPr>
          <w:rFonts w:asciiTheme="majorHAnsi" w:eastAsiaTheme="majorEastAsia" w:hAnsiTheme="majorHAnsi" w:cstheme="majorBidi"/>
          <w:color w:val="595959" w:themeColor="text1" w:themeTint="A6"/>
          <w:sz w:val="23"/>
          <w:szCs w:val="23"/>
        </w:rPr>
        <w:t>ommunity pocket park) (p.76).</w:t>
      </w:r>
    </w:p>
    <w:p w14:paraId="609143E5" w14:textId="21306DB2" w:rsidR="002C1CB1" w:rsidRPr="00A937D8" w:rsidRDefault="002C1CB1" w:rsidP="004E2DB8">
      <w:pPr>
        <w:pStyle w:val="Default"/>
        <w:spacing w:before="240" w:line="276" w:lineRule="auto"/>
        <w:rPr>
          <w:rFonts w:eastAsia="Calibri"/>
          <w:b/>
          <w:color w:val="2F5496" w:themeColor="accent1" w:themeShade="BF"/>
          <w:sz w:val="12"/>
          <w:szCs w:val="12"/>
        </w:rPr>
      </w:pPr>
      <w:r w:rsidRPr="00A937D8">
        <w:rPr>
          <w:rFonts w:eastAsia="Calibri"/>
          <w:b/>
          <w:color w:val="2F5496" w:themeColor="accent1" w:themeShade="BF"/>
          <w:sz w:val="25"/>
          <w:szCs w:val="25"/>
        </w:rPr>
        <w:t>3.10 Accessibility and Inclusion Initiative</w:t>
      </w:r>
    </w:p>
    <w:p w14:paraId="3FE69F41" w14:textId="77777777" w:rsidR="002C1CB1" w:rsidRPr="002A597F" w:rsidRDefault="002C1CB1" w:rsidP="002C1CB1">
      <w:pPr>
        <w:spacing w:line="276" w:lineRule="auto"/>
        <w:rPr>
          <w:rFonts w:asciiTheme="majorHAnsi" w:hAnsiTheme="majorHAnsi" w:cstheme="majorBidi"/>
          <w:sz w:val="23"/>
          <w:szCs w:val="23"/>
        </w:rPr>
      </w:pPr>
      <w:r w:rsidRPr="778E395A">
        <w:rPr>
          <w:rFonts w:asciiTheme="majorHAnsi" w:eastAsiaTheme="minorEastAsia" w:hAnsiTheme="majorHAnsi" w:cstheme="majorBidi"/>
          <w:sz w:val="23"/>
          <w:szCs w:val="23"/>
          <w:lang w:val="en-GB"/>
        </w:rPr>
        <w:t>Our final recommended initiative seeks to embed an active commitment to social equity across all program areas. There is a clear need</w:t>
      </w:r>
      <w:r w:rsidRPr="778E395A">
        <w:rPr>
          <w:rFonts w:asciiTheme="majorHAnsi" w:hAnsiTheme="majorHAnsi" w:cstheme="majorBidi"/>
          <w:sz w:val="23"/>
          <w:szCs w:val="23"/>
        </w:rPr>
        <w:t xml:space="preserve"> to provide communities </w:t>
      </w:r>
      <w:r w:rsidRPr="778E395A">
        <w:rPr>
          <w:rFonts w:asciiTheme="majorHAnsi" w:eastAsiaTheme="minorEastAsia" w:hAnsiTheme="majorHAnsi" w:cstheme="majorBidi"/>
          <w:sz w:val="23"/>
          <w:szCs w:val="23"/>
          <w:lang w:val="en-GB"/>
        </w:rPr>
        <w:t xml:space="preserve">in Corio, Norlane, and Whittington </w:t>
      </w:r>
      <w:r w:rsidRPr="778E395A">
        <w:rPr>
          <w:rFonts w:asciiTheme="majorHAnsi" w:hAnsiTheme="majorHAnsi" w:cstheme="majorBidi"/>
          <w:sz w:val="23"/>
          <w:szCs w:val="23"/>
        </w:rPr>
        <w:t xml:space="preserve">with more equitable opportunities for social inclusion, economic participation, employment, education, and housing, along with access to community and social infrastructure that meets the needs and aspirations of all residents. This applies across all 14 priority areas and all 10 proposed initiatives, and is consistent with the recommendations of the </w:t>
      </w:r>
      <w:hyperlink r:id="rId17" w:history="1">
        <w:r w:rsidRPr="00AF0C3C">
          <w:rPr>
            <w:rStyle w:val="Hyperlink"/>
            <w:rFonts w:asciiTheme="majorHAnsi" w:hAnsiTheme="majorHAnsi" w:cstheme="majorBidi"/>
            <w:i/>
            <w:iCs/>
            <w:sz w:val="23"/>
            <w:szCs w:val="23"/>
          </w:rPr>
          <w:t>Accessible and Inclusive Geelong Feasibility Study</w:t>
        </w:r>
      </w:hyperlink>
      <w:r w:rsidRPr="778E395A">
        <w:rPr>
          <w:rFonts w:asciiTheme="majorHAnsi" w:hAnsiTheme="majorHAnsi" w:cstheme="majorBidi"/>
          <w:i/>
          <w:iCs/>
          <w:sz w:val="23"/>
          <w:szCs w:val="23"/>
        </w:rPr>
        <w:t xml:space="preserve"> (Tucker et. al. 2018)</w:t>
      </w:r>
      <w:r w:rsidRPr="778E395A">
        <w:rPr>
          <w:rFonts w:asciiTheme="majorHAnsi" w:hAnsiTheme="majorHAnsi" w:cstheme="majorBidi"/>
          <w:sz w:val="23"/>
          <w:szCs w:val="23"/>
        </w:rPr>
        <w:t xml:space="preserve">. </w:t>
      </w:r>
    </w:p>
    <w:p w14:paraId="0D784C25" w14:textId="59187AA2" w:rsidR="002C1CB1" w:rsidRDefault="002C1CB1" w:rsidP="002C1CB1">
      <w:pPr>
        <w:spacing w:line="276" w:lineRule="auto"/>
        <w:rPr>
          <w:rFonts w:asciiTheme="majorHAnsi" w:eastAsiaTheme="majorEastAsia" w:hAnsiTheme="majorHAnsi" w:cstheme="majorBidi"/>
          <w:sz w:val="23"/>
          <w:szCs w:val="23"/>
        </w:rPr>
      </w:pPr>
      <w:r w:rsidRPr="78F9AF82">
        <w:rPr>
          <w:rFonts w:asciiTheme="majorHAnsi" w:hAnsiTheme="majorHAnsi" w:cstheme="majorBidi"/>
          <w:sz w:val="23"/>
          <w:szCs w:val="23"/>
        </w:rPr>
        <w:t>Mobility barriers and transport equity were identified issues, with</w:t>
      </w:r>
      <w:r w:rsidRPr="78F9AF82">
        <w:rPr>
          <w:rFonts w:asciiTheme="majorHAnsi" w:eastAsiaTheme="majorEastAsia" w:hAnsiTheme="majorHAnsi" w:cstheme="majorBidi"/>
          <w:sz w:val="23"/>
          <w:szCs w:val="23"/>
        </w:rPr>
        <w:t xml:space="preserve"> a need to improve both local public transport and active transport options. Residents who wish to own and drive cars also need support to obtain drivers’ licenses. Inequitable access to education was also highlighted, with support requested for local schools to link with key community organisations – such as Wad</w:t>
      </w:r>
      <w:r w:rsidR="004E2DB8">
        <w:rPr>
          <w:rFonts w:asciiTheme="majorHAnsi" w:eastAsiaTheme="majorEastAsia" w:hAnsiTheme="majorHAnsi" w:cstheme="majorBidi"/>
          <w:sz w:val="23"/>
          <w:szCs w:val="23"/>
        </w:rPr>
        <w:t>aw</w:t>
      </w:r>
      <w:r w:rsidRPr="78F9AF82">
        <w:rPr>
          <w:rFonts w:asciiTheme="majorHAnsi" w:eastAsiaTheme="majorEastAsia" w:hAnsiTheme="majorHAnsi" w:cstheme="majorBidi"/>
          <w:sz w:val="23"/>
          <w:szCs w:val="23"/>
        </w:rPr>
        <w:t>urrung Elders, Wathaurong Aboriginal Co-operative, and Diversitat – to develop more culturally appropriate programs to engage ATSI and CALD students, while also supporting these students with transport to their schools.</w:t>
      </w:r>
    </w:p>
    <w:p w14:paraId="5B0DDE83" w14:textId="77777777" w:rsidR="002C1CB1" w:rsidRPr="002A597F" w:rsidRDefault="002C1CB1" w:rsidP="002C1CB1">
      <w:pPr>
        <w:spacing w:line="276" w:lineRule="auto"/>
        <w:rPr>
          <w:rFonts w:asciiTheme="majorHAnsi" w:hAnsiTheme="majorHAnsi" w:cstheme="majorBidi"/>
          <w:bCs/>
          <w:sz w:val="23"/>
          <w:szCs w:val="23"/>
        </w:rPr>
      </w:pPr>
      <w:r>
        <w:rPr>
          <w:rFonts w:asciiTheme="majorHAnsi" w:eastAsiaTheme="majorEastAsia" w:hAnsiTheme="majorHAnsi" w:cstheme="majorBidi"/>
          <w:bCs/>
          <w:sz w:val="23"/>
          <w:szCs w:val="23"/>
        </w:rPr>
        <w:t>Specific actions for the</w:t>
      </w:r>
      <w:r w:rsidRPr="006745EC">
        <w:t xml:space="preserve"> </w:t>
      </w:r>
      <w:r w:rsidRPr="006745EC">
        <w:rPr>
          <w:rFonts w:asciiTheme="majorHAnsi" w:eastAsiaTheme="majorEastAsia" w:hAnsiTheme="majorHAnsi" w:cstheme="majorBidi"/>
          <w:bCs/>
          <w:sz w:val="23"/>
          <w:szCs w:val="23"/>
        </w:rPr>
        <w:t>Accessibility and Inclusion Initiative</w:t>
      </w:r>
      <w:r>
        <w:rPr>
          <w:rFonts w:asciiTheme="majorHAnsi" w:eastAsiaTheme="majorEastAsia" w:hAnsiTheme="majorHAnsi" w:cstheme="majorBidi"/>
          <w:bCs/>
          <w:sz w:val="23"/>
          <w:szCs w:val="23"/>
        </w:rPr>
        <w:t xml:space="preserve"> include:</w:t>
      </w:r>
    </w:p>
    <w:p w14:paraId="3E1E34D6" w14:textId="77777777" w:rsidR="002C1CB1" w:rsidRPr="008C2620" w:rsidRDefault="002C1CB1" w:rsidP="004E2DB8">
      <w:pPr>
        <w:pStyle w:val="ListParagraph"/>
        <w:numPr>
          <w:ilvl w:val="0"/>
          <w:numId w:val="11"/>
        </w:numPr>
        <w:spacing w:after="120" w:line="276" w:lineRule="auto"/>
        <w:ind w:left="357" w:hanging="357"/>
        <w:contextualSpacing w:val="0"/>
        <w:rPr>
          <w:rFonts w:asciiTheme="majorHAnsi" w:hAnsiTheme="majorHAnsi" w:cstheme="majorBidi"/>
          <w:sz w:val="23"/>
          <w:szCs w:val="23"/>
        </w:rPr>
      </w:pPr>
      <w:r>
        <w:rPr>
          <w:rFonts w:asciiTheme="majorHAnsi" w:hAnsiTheme="majorHAnsi" w:cstheme="majorBidi"/>
          <w:sz w:val="23"/>
          <w:szCs w:val="23"/>
        </w:rPr>
        <w:t>In line with</w:t>
      </w:r>
      <w:r w:rsidRPr="008C2620">
        <w:rPr>
          <w:rFonts w:asciiTheme="majorHAnsi" w:hAnsiTheme="majorHAnsi" w:cstheme="majorBidi"/>
          <w:sz w:val="23"/>
          <w:szCs w:val="23"/>
        </w:rPr>
        <w:t xml:space="preserve"> Recommendation 1, adopt inclusive co-research and co-design approaches for development, implementation</w:t>
      </w:r>
      <w:r>
        <w:rPr>
          <w:rFonts w:asciiTheme="majorHAnsi" w:hAnsiTheme="majorHAnsi" w:cstheme="majorBidi"/>
          <w:sz w:val="23"/>
          <w:szCs w:val="23"/>
        </w:rPr>
        <w:t>,</w:t>
      </w:r>
      <w:r w:rsidRPr="008C2620">
        <w:rPr>
          <w:rFonts w:asciiTheme="majorHAnsi" w:hAnsiTheme="majorHAnsi" w:cstheme="majorBidi"/>
          <w:sz w:val="23"/>
          <w:szCs w:val="23"/>
        </w:rPr>
        <w:t xml:space="preserve"> and evaluation of all local initiatives and programs. </w:t>
      </w:r>
    </w:p>
    <w:p w14:paraId="27DDC924" w14:textId="77777777" w:rsidR="002C1CB1" w:rsidRPr="008C2620" w:rsidRDefault="002C1CB1" w:rsidP="004E2DB8">
      <w:pPr>
        <w:pStyle w:val="ListParagraph"/>
        <w:numPr>
          <w:ilvl w:val="0"/>
          <w:numId w:val="11"/>
        </w:numPr>
        <w:spacing w:after="120" w:line="276" w:lineRule="auto"/>
        <w:ind w:left="357" w:hanging="357"/>
        <w:contextualSpacing w:val="0"/>
        <w:rPr>
          <w:rFonts w:asciiTheme="majorHAnsi" w:hAnsiTheme="majorHAnsi" w:cstheme="majorBidi"/>
          <w:sz w:val="23"/>
          <w:szCs w:val="23"/>
        </w:rPr>
      </w:pPr>
      <w:r w:rsidRPr="008C2620">
        <w:rPr>
          <w:rFonts w:asciiTheme="majorHAnsi" w:hAnsiTheme="majorHAnsi" w:cstheme="majorBidi"/>
          <w:sz w:val="23"/>
          <w:szCs w:val="23"/>
        </w:rPr>
        <w:t xml:space="preserve">Embed principles of Universal Design into the implementation of all actions. </w:t>
      </w:r>
    </w:p>
    <w:p w14:paraId="027A23ED" w14:textId="77777777" w:rsidR="002C1CB1" w:rsidRPr="008C2620" w:rsidRDefault="002C1CB1" w:rsidP="004E2DB8">
      <w:pPr>
        <w:pStyle w:val="ListParagraph"/>
        <w:numPr>
          <w:ilvl w:val="0"/>
          <w:numId w:val="11"/>
        </w:numPr>
        <w:spacing w:after="120" w:line="276" w:lineRule="auto"/>
        <w:ind w:left="357" w:hanging="357"/>
        <w:contextualSpacing w:val="0"/>
        <w:rPr>
          <w:rFonts w:asciiTheme="majorHAnsi" w:hAnsiTheme="majorHAnsi" w:cstheme="majorBidi"/>
          <w:sz w:val="23"/>
          <w:szCs w:val="23"/>
        </w:rPr>
      </w:pPr>
      <w:r w:rsidRPr="008C2620">
        <w:rPr>
          <w:rFonts w:asciiTheme="majorHAnsi" w:hAnsiTheme="majorHAnsi" w:cstheme="majorBidi"/>
          <w:sz w:val="23"/>
          <w:szCs w:val="23"/>
        </w:rPr>
        <w:t xml:space="preserve">Ensure all residents have equitable access to </w:t>
      </w:r>
      <w:r>
        <w:rPr>
          <w:rFonts w:asciiTheme="majorHAnsi" w:hAnsiTheme="majorHAnsi" w:cstheme="majorBidi"/>
          <w:sz w:val="23"/>
          <w:szCs w:val="23"/>
        </w:rPr>
        <w:t xml:space="preserve">social infrastructure, </w:t>
      </w:r>
      <w:r w:rsidRPr="008C2620">
        <w:rPr>
          <w:rFonts w:asciiTheme="majorHAnsi" w:hAnsiTheme="majorHAnsi" w:cstheme="majorBidi"/>
          <w:sz w:val="23"/>
          <w:szCs w:val="23"/>
        </w:rPr>
        <w:t xml:space="preserve">built environment improvements, </w:t>
      </w:r>
      <w:r>
        <w:rPr>
          <w:rFonts w:asciiTheme="majorHAnsi" w:hAnsiTheme="majorHAnsi" w:cstheme="majorBidi"/>
          <w:sz w:val="23"/>
          <w:szCs w:val="23"/>
        </w:rPr>
        <w:t xml:space="preserve">quality public space, </w:t>
      </w:r>
      <w:r w:rsidRPr="008C2620">
        <w:rPr>
          <w:rFonts w:asciiTheme="majorHAnsi" w:hAnsiTheme="majorHAnsi" w:cstheme="majorBidi"/>
          <w:sz w:val="23"/>
          <w:szCs w:val="23"/>
        </w:rPr>
        <w:t>affordable and appropriate housing, dedicated services</w:t>
      </w:r>
      <w:r>
        <w:rPr>
          <w:rFonts w:asciiTheme="majorHAnsi" w:hAnsiTheme="majorHAnsi" w:cstheme="majorBidi"/>
          <w:sz w:val="23"/>
          <w:szCs w:val="23"/>
        </w:rPr>
        <w:t>,</w:t>
      </w:r>
      <w:r w:rsidRPr="008C2620">
        <w:rPr>
          <w:rFonts w:asciiTheme="majorHAnsi" w:hAnsiTheme="majorHAnsi" w:cstheme="majorBidi"/>
          <w:sz w:val="23"/>
          <w:szCs w:val="23"/>
        </w:rPr>
        <w:t xml:space="preserve"> </w:t>
      </w:r>
      <w:r>
        <w:rPr>
          <w:rFonts w:asciiTheme="majorHAnsi" w:hAnsiTheme="majorHAnsi" w:cstheme="majorBidi"/>
          <w:sz w:val="23"/>
          <w:szCs w:val="23"/>
        </w:rPr>
        <w:t xml:space="preserve">public transport options, </w:t>
      </w:r>
      <w:r w:rsidRPr="008C2620">
        <w:rPr>
          <w:rFonts w:asciiTheme="majorHAnsi" w:hAnsiTheme="majorHAnsi" w:cstheme="majorBidi"/>
          <w:sz w:val="23"/>
          <w:szCs w:val="23"/>
        </w:rPr>
        <w:t>and employment opportunities</w:t>
      </w:r>
      <w:r>
        <w:rPr>
          <w:rFonts w:asciiTheme="majorHAnsi" w:hAnsiTheme="majorHAnsi" w:cstheme="majorBidi"/>
          <w:sz w:val="23"/>
          <w:szCs w:val="23"/>
        </w:rPr>
        <w:t>.</w:t>
      </w:r>
    </w:p>
    <w:p w14:paraId="22C0F744" w14:textId="77777777" w:rsidR="002C1CB1" w:rsidRPr="008C2620" w:rsidRDefault="002C1CB1" w:rsidP="004E2DB8">
      <w:pPr>
        <w:pStyle w:val="ListParagraph"/>
        <w:numPr>
          <w:ilvl w:val="0"/>
          <w:numId w:val="11"/>
        </w:numPr>
        <w:spacing w:after="120" w:line="276" w:lineRule="auto"/>
        <w:ind w:left="357" w:hanging="357"/>
        <w:contextualSpacing w:val="0"/>
        <w:rPr>
          <w:rFonts w:asciiTheme="majorHAnsi" w:hAnsiTheme="majorHAnsi" w:cstheme="majorBidi"/>
          <w:sz w:val="23"/>
          <w:szCs w:val="23"/>
        </w:rPr>
      </w:pPr>
      <w:r w:rsidRPr="008C2620">
        <w:rPr>
          <w:rFonts w:asciiTheme="majorHAnsi" w:hAnsiTheme="majorHAnsi" w:cstheme="majorBidi"/>
          <w:sz w:val="23"/>
          <w:szCs w:val="23"/>
        </w:rPr>
        <w:t>Prioritise attitudinal change towards inclusion</w:t>
      </w:r>
      <w:r>
        <w:rPr>
          <w:rFonts w:asciiTheme="majorHAnsi" w:hAnsiTheme="majorHAnsi" w:cstheme="majorBidi"/>
          <w:sz w:val="23"/>
          <w:szCs w:val="23"/>
        </w:rPr>
        <w:t>, equity,</w:t>
      </w:r>
      <w:r w:rsidRPr="008C2620">
        <w:rPr>
          <w:rFonts w:asciiTheme="majorHAnsi" w:hAnsiTheme="majorHAnsi" w:cstheme="majorBidi"/>
          <w:sz w:val="23"/>
          <w:szCs w:val="23"/>
        </w:rPr>
        <w:t xml:space="preserve"> and access.</w:t>
      </w:r>
    </w:p>
    <w:p w14:paraId="5FDAC013" w14:textId="77777777" w:rsidR="002C1CB1" w:rsidRPr="008C2620" w:rsidRDefault="002C1CB1" w:rsidP="004E2DB8">
      <w:pPr>
        <w:pStyle w:val="ListParagraph"/>
        <w:numPr>
          <w:ilvl w:val="0"/>
          <w:numId w:val="11"/>
        </w:numPr>
        <w:spacing w:after="120" w:line="276" w:lineRule="auto"/>
        <w:ind w:left="357" w:hanging="357"/>
        <w:contextualSpacing w:val="0"/>
        <w:rPr>
          <w:rFonts w:asciiTheme="majorHAnsi" w:hAnsiTheme="majorHAnsi" w:cstheme="majorBidi"/>
          <w:sz w:val="23"/>
          <w:szCs w:val="23"/>
        </w:rPr>
      </w:pPr>
      <w:r w:rsidRPr="008C2620">
        <w:rPr>
          <w:rFonts w:asciiTheme="majorHAnsi" w:hAnsiTheme="majorHAnsi" w:cstheme="majorBidi"/>
          <w:sz w:val="23"/>
          <w:szCs w:val="23"/>
        </w:rPr>
        <w:t xml:space="preserve">Adopt social inclusion as a core value for </w:t>
      </w:r>
      <w:r w:rsidRPr="008C2620">
        <w:rPr>
          <w:rFonts w:asciiTheme="majorHAnsi" w:eastAsiaTheme="minorEastAsia" w:hAnsiTheme="majorHAnsi" w:cstheme="majorBidi"/>
          <w:sz w:val="23"/>
          <w:szCs w:val="23"/>
          <w:lang w:val="en-GB"/>
        </w:rPr>
        <w:t>Corio, Norlane</w:t>
      </w:r>
      <w:r>
        <w:rPr>
          <w:rFonts w:asciiTheme="majorHAnsi" w:eastAsiaTheme="minorEastAsia" w:hAnsiTheme="majorHAnsi" w:cstheme="majorBidi"/>
          <w:sz w:val="23"/>
          <w:szCs w:val="23"/>
          <w:lang w:val="en-GB"/>
        </w:rPr>
        <w:t>,</w:t>
      </w:r>
      <w:r w:rsidRPr="008C2620">
        <w:rPr>
          <w:rFonts w:asciiTheme="majorHAnsi" w:eastAsiaTheme="minorEastAsia" w:hAnsiTheme="majorHAnsi" w:cstheme="majorBidi"/>
          <w:sz w:val="23"/>
          <w:szCs w:val="23"/>
          <w:lang w:val="en-GB"/>
        </w:rPr>
        <w:t xml:space="preserve"> and Whittington</w:t>
      </w:r>
      <w:r w:rsidRPr="008C2620">
        <w:rPr>
          <w:rFonts w:asciiTheme="majorHAnsi" w:hAnsiTheme="majorHAnsi" w:cstheme="majorBidi"/>
          <w:sz w:val="23"/>
          <w:szCs w:val="23"/>
        </w:rPr>
        <w:t>.</w:t>
      </w:r>
    </w:p>
    <w:p w14:paraId="6607779C" w14:textId="77777777" w:rsidR="002C1CB1" w:rsidRPr="00D9154D" w:rsidRDefault="002C1CB1" w:rsidP="002C1CB1">
      <w:pPr>
        <w:spacing w:after="0"/>
        <w:rPr>
          <w:color w:val="595959" w:themeColor="text1" w:themeTint="A6"/>
          <w:sz w:val="23"/>
          <w:szCs w:val="23"/>
        </w:rPr>
      </w:pPr>
      <w:r w:rsidRPr="00D9154D">
        <w:rPr>
          <w:rFonts w:cstheme="minorHAnsi"/>
          <w:b/>
          <w:bCs/>
          <w:color w:val="595959" w:themeColor="text1" w:themeTint="A6"/>
          <w:sz w:val="23"/>
          <w:szCs w:val="23"/>
        </w:rPr>
        <w:t xml:space="preserve">Relevant </w:t>
      </w:r>
      <w:r>
        <w:rPr>
          <w:rFonts w:cstheme="minorHAnsi"/>
          <w:b/>
          <w:bCs/>
          <w:color w:val="595959" w:themeColor="text1" w:themeTint="A6"/>
          <w:sz w:val="23"/>
          <w:szCs w:val="23"/>
        </w:rPr>
        <w:t>Case Studies</w:t>
      </w:r>
      <w:r w:rsidRPr="00D9154D">
        <w:rPr>
          <w:rFonts w:cstheme="minorHAnsi"/>
          <w:b/>
          <w:bCs/>
          <w:color w:val="595959" w:themeColor="text1" w:themeTint="A6"/>
          <w:sz w:val="23"/>
          <w:szCs w:val="23"/>
        </w:rPr>
        <w:t>:</w:t>
      </w:r>
      <w:r w:rsidRPr="00D9154D">
        <w:rPr>
          <w:rFonts w:asciiTheme="majorHAnsi" w:hAnsiTheme="majorHAnsi" w:cstheme="majorBidi"/>
          <w:color w:val="595959" w:themeColor="text1" w:themeTint="A6"/>
          <w:sz w:val="23"/>
          <w:szCs w:val="23"/>
        </w:rPr>
        <w:t xml:space="preserve"> Afghan Girls Bike Skills Workshops, Bendigo </w:t>
      </w:r>
      <w:r>
        <w:rPr>
          <w:rFonts w:asciiTheme="majorHAnsi" w:hAnsiTheme="majorHAnsi" w:cstheme="majorBidi"/>
          <w:color w:val="595959" w:themeColor="text1" w:themeTint="A6"/>
          <w:sz w:val="23"/>
          <w:szCs w:val="23"/>
        </w:rPr>
        <w:t>(p.62)</w:t>
      </w:r>
      <w:r w:rsidRPr="00D9154D">
        <w:rPr>
          <w:rFonts w:asciiTheme="majorHAnsi" w:hAnsiTheme="majorHAnsi" w:cstheme="majorBidi"/>
          <w:color w:val="595959" w:themeColor="text1" w:themeTint="A6"/>
          <w:sz w:val="23"/>
          <w:szCs w:val="23"/>
        </w:rPr>
        <w:t>; Australian Indigenous Mentoring Experience</w:t>
      </w:r>
      <w:r>
        <w:rPr>
          <w:rFonts w:asciiTheme="majorHAnsi" w:hAnsiTheme="majorHAnsi" w:cstheme="majorBidi"/>
          <w:color w:val="595959" w:themeColor="text1" w:themeTint="A6"/>
          <w:sz w:val="23"/>
          <w:szCs w:val="23"/>
        </w:rPr>
        <w:t xml:space="preserve"> (AIME)</w:t>
      </w:r>
      <w:r w:rsidRPr="00D9154D">
        <w:rPr>
          <w:rFonts w:asciiTheme="majorHAnsi" w:hAnsiTheme="majorHAnsi" w:cstheme="majorBidi"/>
          <w:color w:val="595959" w:themeColor="text1" w:themeTint="A6"/>
          <w:sz w:val="23"/>
          <w:szCs w:val="23"/>
        </w:rPr>
        <w:t xml:space="preserve"> </w:t>
      </w:r>
      <w:r>
        <w:rPr>
          <w:rFonts w:asciiTheme="majorHAnsi" w:hAnsiTheme="majorHAnsi" w:cstheme="majorBidi"/>
          <w:color w:val="595959" w:themeColor="text1" w:themeTint="A6"/>
          <w:sz w:val="23"/>
          <w:szCs w:val="23"/>
        </w:rPr>
        <w:t>(p.70)</w:t>
      </w:r>
      <w:r w:rsidRPr="00D9154D">
        <w:rPr>
          <w:rFonts w:asciiTheme="majorHAnsi" w:hAnsiTheme="majorHAnsi" w:cstheme="majorBidi"/>
          <w:color w:val="595959" w:themeColor="text1" w:themeTint="A6"/>
          <w:sz w:val="23"/>
          <w:szCs w:val="23"/>
        </w:rPr>
        <w:t xml:space="preserve">; </w:t>
      </w:r>
      <w:r w:rsidRPr="00D9154D">
        <w:rPr>
          <w:rFonts w:asciiTheme="majorHAnsi" w:eastAsiaTheme="majorEastAsia" w:hAnsiTheme="majorHAnsi" w:cstheme="majorBidi"/>
          <w:color w:val="595959" w:themeColor="text1" w:themeTint="A6"/>
          <w:sz w:val="23"/>
          <w:szCs w:val="23"/>
        </w:rPr>
        <w:t xml:space="preserve">Streets Ahead, Victoria </w:t>
      </w:r>
      <w:r>
        <w:rPr>
          <w:rFonts w:asciiTheme="majorHAnsi" w:eastAsiaTheme="majorEastAsia" w:hAnsiTheme="majorHAnsi" w:cstheme="majorBidi"/>
          <w:color w:val="595959" w:themeColor="text1" w:themeTint="A6"/>
          <w:sz w:val="23"/>
          <w:szCs w:val="23"/>
        </w:rPr>
        <w:t>(p.64)</w:t>
      </w:r>
      <w:r w:rsidRPr="00D9154D">
        <w:rPr>
          <w:rFonts w:asciiTheme="majorHAnsi" w:eastAsiaTheme="majorEastAsia" w:hAnsiTheme="majorHAnsi" w:cstheme="majorBidi"/>
          <w:color w:val="595959" w:themeColor="text1" w:themeTint="A6"/>
          <w:sz w:val="23"/>
          <w:szCs w:val="23"/>
        </w:rPr>
        <w:t xml:space="preserve">; </w:t>
      </w:r>
      <w:r w:rsidRPr="00D9154D">
        <w:rPr>
          <w:rFonts w:asciiTheme="majorHAnsi" w:hAnsiTheme="majorHAnsi" w:cstheme="majorBidi"/>
          <w:color w:val="595959" w:themeColor="text1" w:themeTint="A6"/>
          <w:sz w:val="23"/>
          <w:szCs w:val="23"/>
        </w:rPr>
        <w:t xml:space="preserve">Best Babies Zone, USA </w:t>
      </w:r>
      <w:r>
        <w:rPr>
          <w:rFonts w:ascii="Calibri" w:eastAsia="Calibri" w:hAnsi="Calibri" w:cs="Calibri"/>
          <w:color w:val="595959" w:themeColor="text1" w:themeTint="A6"/>
          <w:sz w:val="23"/>
          <w:szCs w:val="23"/>
        </w:rPr>
        <w:t>(</w:t>
      </w:r>
      <w:r w:rsidRPr="00D9154D">
        <w:rPr>
          <w:rFonts w:asciiTheme="majorHAnsi" w:hAnsiTheme="majorHAnsi" w:cstheme="majorBidi"/>
          <w:color w:val="595959" w:themeColor="text1" w:themeTint="A6"/>
          <w:sz w:val="23"/>
          <w:szCs w:val="23"/>
        </w:rPr>
        <w:t>East Oakland Innovators</w:t>
      </w:r>
      <w:r>
        <w:rPr>
          <w:rFonts w:asciiTheme="majorHAnsi" w:hAnsiTheme="majorHAnsi" w:cstheme="majorBidi"/>
          <w:color w:val="595959" w:themeColor="text1" w:themeTint="A6"/>
          <w:sz w:val="23"/>
          <w:szCs w:val="23"/>
        </w:rPr>
        <w:t>)</w:t>
      </w:r>
      <w:r w:rsidRPr="00D9154D">
        <w:rPr>
          <w:rFonts w:asciiTheme="majorHAnsi" w:hAnsiTheme="majorHAnsi" w:cstheme="majorBidi"/>
          <w:color w:val="595959" w:themeColor="text1" w:themeTint="A6"/>
          <w:sz w:val="23"/>
          <w:szCs w:val="23"/>
        </w:rPr>
        <w:t xml:space="preserve"> </w:t>
      </w:r>
      <w:r>
        <w:rPr>
          <w:rFonts w:asciiTheme="majorHAnsi" w:eastAsiaTheme="majorEastAsia" w:hAnsiTheme="majorHAnsi" w:cstheme="majorBidi"/>
          <w:color w:val="595959" w:themeColor="text1" w:themeTint="A6"/>
          <w:sz w:val="23"/>
          <w:szCs w:val="23"/>
        </w:rPr>
        <w:t>(p.71)</w:t>
      </w:r>
      <w:r w:rsidRPr="00D9154D">
        <w:rPr>
          <w:rFonts w:asciiTheme="majorHAnsi" w:eastAsiaTheme="majorEastAsia" w:hAnsiTheme="majorHAnsi" w:cstheme="majorBidi"/>
          <w:color w:val="595959" w:themeColor="text1" w:themeTint="A6"/>
          <w:sz w:val="23"/>
          <w:szCs w:val="23"/>
        </w:rPr>
        <w:t xml:space="preserve">; </w:t>
      </w:r>
      <w:r w:rsidRPr="00D9154D">
        <w:rPr>
          <w:rFonts w:asciiTheme="majorHAnsi" w:hAnsiTheme="majorHAnsi" w:cstheme="majorBidi"/>
          <w:color w:val="595959" w:themeColor="text1" w:themeTint="A6"/>
          <w:sz w:val="23"/>
          <w:szCs w:val="23"/>
        </w:rPr>
        <w:t>My C</w:t>
      </w:r>
      <w:r>
        <w:rPr>
          <w:rFonts w:asciiTheme="majorHAnsi" w:hAnsiTheme="majorHAnsi" w:cstheme="majorBidi"/>
          <w:color w:val="595959" w:themeColor="text1" w:themeTint="A6"/>
          <w:sz w:val="23"/>
          <w:szCs w:val="23"/>
        </w:rPr>
        <w:t>o</w:t>
      </w:r>
      <w:r w:rsidRPr="00D9154D">
        <w:rPr>
          <w:rFonts w:asciiTheme="majorHAnsi" w:hAnsiTheme="majorHAnsi" w:cstheme="majorBidi"/>
          <w:color w:val="595959" w:themeColor="text1" w:themeTint="A6"/>
          <w:sz w:val="23"/>
          <w:szCs w:val="23"/>
        </w:rPr>
        <w:t xml:space="preserve">mmunity Matters, UK </w:t>
      </w:r>
      <w:r>
        <w:rPr>
          <w:rFonts w:asciiTheme="majorHAnsi" w:eastAsiaTheme="majorEastAsia" w:hAnsiTheme="majorHAnsi" w:cstheme="majorBidi"/>
          <w:color w:val="595959" w:themeColor="text1" w:themeTint="A6"/>
          <w:sz w:val="23"/>
          <w:szCs w:val="23"/>
        </w:rPr>
        <w:t>(p.77)</w:t>
      </w:r>
      <w:r w:rsidRPr="00D9154D">
        <w:rPr>
          <w:rFonts w:asciiTheme="majorHAnsi" w:eastAsiaTheme="majorEastAsia" w:hAnsiTheme="majorHAnsi" w:cstheme="majorBidi"/>
          <w:color w:val="595959" w:themeColor="text1" w:themeTint="A6"/>
          <w:sz w:val="23"/>
          <w:szCs w:val="23"/>
        </w:rPr>
        <w:t xml:space="preserve">; </w:t>
      </w:r>
      <w:r w:rsidRPr="00D9154D">
        <w:rPr>
          <w:rFonts w:asciiTheme="majorHAnsi" w:hAnsiTheme="majorHAnsi" w:cstheme="majorBidi"/>
          <w:color w:val="595959" w:themeColor="text1" w:themeTint="A6"/>
          <w:sz w:val="23"/>
          <w:szCs w:val="23"/>
        </w:rPr>
        <w:t xml:space="preserve">Oslo Living Lab, Norway </w:t>
      </w:r>
      <w:r>
        <w:rPr>
          <w:rFonts w:asciiTheme="majorHAnsi" w:eastAsiaTheme="majorEastAsia" w:hAnsiTheme="majorHAnsi" w:cstheme="majorBidi"/>
          <w:color w:val="595959" w:themeColor="text1" w:themeTint="A6"/>
          <w:sz w:val="23"/>
          <w:szCs w:val="23"/>
        </w:rPr>
        <w:t xml:space="preserve">(p.82); </w:t>
      </w:r>
      <w:r w:rsidRPr="00D9154D">
        <w:rPr>
          <w:rFonts w:ascii="Calibri Light" w:eastAsia="Calibri Light" w:hAnsi="Calibri Light" w:cs="Calibri Light"/>
          <w:color w:val="595959" w:themeColor="text1" w:themeTint="A6"/>
          <w:sz w:val="23"/>
          <w:szCs w:val="23"/>
        </w:rPr>
        <w:t xml:space="preserve">We Dundee, Scotland </w:t>
      </w:r>
      <w:r>
        <w:rPr>
          <w:rFonts w:asciiTheme="majorHAnsi" w:hAnsiTheme="majorHAnsi" w:cstheme="majorBidi"/>
          <w:color w:val="525252" w:themeColor="accent3" w:themeShade="80"/>
          <w:sz w:val="23"/>
          <w:szCs w:val="23"/>
        </w:rPr>
        <w:t xml:space="preserve">(p.80); </w:t>
      </w:r>
      <w:r w:rsidRPr="00D9154D">
        <w:rPr>
          <w:rFonts w:ascii="Calibri Light" w:eastAsia="Calibri Light" w:hAnsi="Calibri Light" w:cs="Calibri Light"/>
          <w:color w:val="595959" w:themeColor="text1" w:themeTint="A6"/>
          <w:sz w:val="23"/>
          <w:szCs w:val="23"/>
        </w:rPr>
        <w:t xml:space="preserve">We Design For Life, Kolding, Denmark </w:t>
      </w:r>
      <w:r>
        <w:rPr>
          <w:rFonts w:asciiTheme="majorHAnsi" w:eastAsiaTheme="majorEastAsia" w:hAnsiTheme="majorHAnsi" w:cstheme="majorBidi"/>
          <w:color w:val="525252" w:themeColor="accent3" w:themeShade="80"/>
          <w:sz w:val="23"/>
          <w:szCs w:val="23"/>
        </w:rPr>
        <w:t>(p.83).</w:t>
      </w:r>
    </w:p>
    <w:p w14:paraId="47848C4A" w14:textId="77777777" w:rsidR="002C1CB1" w:rsidRPr="00674177" w:rsidRDefault="002C1CB1" w:rsidP="002C1CB1">
      <w:pPr>
        <w:pStyle w:val="Default"/>
        <w:spacing w:line="276" w:lineRule="auto"/>
        <w:rPr>
          <w:rFonts w:eastAsia="Calibri"/>
          <w:b/>
          <w:bCs/>
          <w:color w:val="000000" w:themeColor="text1"/>
          <w:sz w:val="16"/>
          <w:szCs w:val="16"/>
        </w:rPr>
      </w:pPr>
    </w:p>
    <w:p w14:paraId="58F9B89D" w14:textId="77777777" w:rsidR="002C1CB1" w:rsidRDefault="002C1CB1" w:rsidP="00D2186C">
      <w:pPr>
        <w:pStyle w:val="Default"/>
        <w:spacing w:line="276" w:lineRule="auto"/>
      </w:pPr>
    </w:p>
    <w:sectPr w:rsidR="002C1CB1" w:rsidSect="004E2DB8">
      <w:headerReference w:type="even" r:id="rId18"/>
      <w:headerReference w:type="default" r:id="rId19"/>
      <w:footerReference w:type="even" r:id="rId20"/>
      <w:footerReference w:type="default" r:id="rId21"/>
      <w:headerReference w:type="first" r:id="rId22"/>
      <w:footerReference w:type="first" r:id="rId2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17E5" w14:textId="77777777" w:rsidR="001E285C" w:rsidRDefault="001E285C" w:rsidP="00D2186C">
      <w:pPr>
        <w:spacing w:after="0" w:line="240" w:lineRule="auto"/>
      </w:pPr>
      <w:r>
        <w:separator/>
      </w:r>
    </w:p>
  </w:endnote>
  <w:endnote w:type="continuationSeparator" w:id="0">
    <w:p w14:paraId="2C601867" w14:textId="77777777" w:rsidR="001E285C" w:rsidRDefault="001E285C" w:rsidP="00D21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D31C" w14:textId="77777777" w:rsidR="00251925" w:rsidRDefault="00251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173851"/>
      <w:docPartObj>
        <w:docPartGallery w:val="Page Numbers (Bottom of Page)"/>
        <w:docPartUnique/>
      </w:docPartObj>
    </w:sdtPr>
    <w:sdtEndPr>
      <w:rPr>
        <w:noProof/>
      </w:rPr>
    </w:sdtEndPr>
    <w:sdtContent>
      <w:p w14:paraId="29FDEC6E" w14:textId="50AA5290" w:rsidR="005F3EA5" w:rsidRDefault="005F3E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00BC98" w14:textId="77777777" w:rsidR="00D2186C" w:rsidRDefault="00D218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34C2" w14:textId="77777777" w:rsidR="00251925" w:rsidRDefault="00251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24FC9" w14:textId="77777777" w:rsidR="001E285C" w:rsidRDefault="001E285C" w:rsidP="00D2186C">
      <w:pPr>
        <w:spacing w:after="0" w:line="240" w:lineRule="auto"/>
      </w:pPr>
      <w:r>
        <w:separator/>
      </w:r>
    </w:p>
  </w:footnote>
  <w:footnote w:type="continuationSeparator" w:id="0">
    <w:p w14:paraId="7C444D61" w14:textId="77777777" w:rsidR="001E285C" w:rsidRDefault="001E285C" w:rsidP="00D2186C">
      <w:pPr>
        <w:spacing w:after="0" w:line="240" w:lineRule="auto"/>
      </w:pPr>
      <w:r>
        <w:continuationSeparator/>
      </w:r>
    </w:p>
  </w:footnote>
  <w:footnote w:id="1">
    <w:p w14:paraId="4ACB1E19" w14:textId="77777777" w:rsidR="00E761F8" w:rsidRDefault="00E761F8" w:rsidP="00E761F8">
      <w:pPr>
        <w:pStyle w:val="FootnoteText"/>
      </w:pPr>
      <w:r>
        <w:rPr>
          <w:rStyle w:val="FootnoteReference"/>
        </w:rPr>
        <w:footnoteRef/>
      </w:r>
      <w:r>
        <w:t xml:space="preserve"> </w:t>
      </w:r>
      <w:r w:rsidRPr="00203685">
        <w:rPr>
          <w:rFonts w:asciiTheme="majorHAnsi" w:hAnsiTheme="majorHAnsi" w:cstheme="majorBidi"/>
        </w:rPr>
        <w:t>(</w:t>
      </w:r>
      <w:hyperlink r:id="rId1" w:anchor="how-affordable-is-renting">
        <w:r w:rsidRPr="00203685">
          <w:rPr>
            <w:rStyle w:val="Hyperlink"/>
            <w:rFonts w:asciiTheme="majorHAnsi" w:hAnsiTheme="majorHAnsi" w:cstheme="majorBidi"/>
          </w:rPr>
          <w:t>https://housing.id.com.au/geelong/affodablility-and-availability#how-affordable-is-renting</w:t>
        </w:r>
      </w:hyperlink>
      <w:r w:rsidRPr="00203685">
        <w:rPr>
          <w:rFonts w:asciiTheme="majorHAnsi" w:hAnsiTheme="majorHAnsi" w:cstheme="majorBidi"/>
        </w:rPr>
        <w:t>, accessed 3.2.21).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C5485" w14:textId="77777777" w:rsidR="00251925" w:rsidRDefault="002519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2AF91" w14:textId="77777777" w:rsidR="00251925" w:rsidRDefault="002519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0A77" w14:textId="77777777" w:rsidR="00251925" w:rsidRDefault="00251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C5763"/>
    <w:multiLevelType w:val="hybridMultilevel"/>
    <w:tmpl w:val="66041CBE"/>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 w15:restartNumberingAfterBreak="0">
    <w:nsid w:val="10E43F12"/>
    <w:multiLevelType w:val="hybridMultilevel"/>
    <w:tmpl w:val="C25E04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30369EA"/>
    <w:multiLevelType w:val="hybridMultilevel"/>
    <w:tmpl w:val="95B6FF6C"/>
    <w:lvl w:ilvl="0" w:tplc="130E845E">
      <w:start w:val="1"/>
      <w:numFmt w:val="decimal"/>
      <w:lvlText w:val="%1."/>
      <w:lvlJc w:val="left"/>
      <w:pPr>
        <w:ind w:left="576" w:hanging="360"/>
      </w:pPr>
      <w:rPr>
        <w:rFonts w:hint="default"/>
      </w:rPr>
    </w:lvl>
    <w:lvl w:ilvl="1" w:tplc="0C090019" w:tentative="1">
      <w:start w:val="1"/>
      <w:numFmt w:val="lowerLetter"/>
      <w:lvlText w:val="%2."/>
      <w:lvlJc w:val="left"/>
      <w:pPr>
        <w:ind w:left="1296" w:hanging="360"/>
      </w:pPr>
    </w:lvl>
    <w:lvl w:ilvl="2" w:tplc="0C09001B" w:tentative="1">
      <w:start w:val="1"/>
      <w:numFmt w:val="lowerRoman"/>
      <w:lvlText w:val="%3."/>
      <w:lvlJc w:val="right"/>
      <w:pPr>
        <w:ind w:left="2016" w:hanging="180"/>
      </w:pPr>
    </w:lvl>
    <w:lvl w:ilvl="3" w:tplc="0C09000F" w:tentative="1">
      <w:start w:val="1"/>
      <w:numFmt w:val="decimal"/>
      <w:lvlText w:val="%4."/>
      <w:lvlJc w:val="left"/>
      <w:pPr>
        <w:ind w:left="2736" w:hanging="360"/>
      </w:pPr>
    </w:lvl>
    <w:lvl w:ilvl="4" w:tplc="0C090019" w:tentative="1">
      <w:start w:val="1"/>
      <w:numFmt w:val="lowerLetter"/>
      <w:lvlText w:val="%5."/>
      <w:lvlJc w:val="left"/>
      <w:pPr>
        <w:ind w:left="3456" w:hanging="360"/>
      </w:pPr>
    </w:lvl>
    <w:lvl w:ilvl="5" w:tplc="0C09001B" w:tentative="1">
      <w:start w:val="1"/>
      <w:numFmt w:val="lowerRoman"/>
      <w:lvlText w:val="%6."/>
      <w:lvlJc w:val="right"/>
      <w:pPr>
        <w:ind w:left="4176" w:hanging="180"/>
      </w:pPr>
    </w:lvl>
    <w:lvl w:ilvl="6" w:tplc="0C09000F" w:tentative="1">
      <w:start w:val="1"/>
      <w:numFmt w:val="decimal"/>
      <w:lvlText w:val="%7."/>
      <w:lvlJc w:val="left"/>
      <w:pPr>
        <w:ind w:left="4896" w:hanging="360"/>
      </w:pPr>
    </w:lvl>
    <w:lvl w:ilvl="7" w:tplc="0C090019" w:tentative="1">
      <w:start w:val="1"/>
      <w:numFmt w:val="lowerLetter"/>
      <w:lvlText w:val="%8."/>
      <w:lvlJc w:val="left"/>
      <w:pPr>
        <w:ind w:left="5616" w:hanging="360"/>
      </w:pPr>
    </w:lvl>
    <w:lvl w:ilvl="8" w:tplc="0C09001B" w:tentative="1">
      <w:start w:val="1"/>
      <w:numFmt w:val="lowerRoman"/>
      <w:lvlText w:val="%9."/>
      <w:lvlJc w:val="right"/>
      <w:pPr>
        <w:ind w:left="6336" w:hanging="180"/>
      </w:pPr>
    </w:lvl>
  </w:abstractNum>
  <w:abstractNum w:abstractNumId="3" w15:restartNumberingAfterBreak="0">
    <w:nsid w:val="29EF66A3"/>
    <w:multiLevelType w:val="hybridMultilevel"/>
    <w:tmpl w:val="B3821146"/>
    <w:lvl w:ilvl="0" w:tplc="0C09000F">
      <w:start w:val="1"/>
      <w:numFmt w:val="decimal"/>
      <w:lvlText w:val="%1."/>
      <w:lvlJc w:val="left"/>
      <w:pPr>
        <w:ind w:left="720" w:hanging="360"/>
      </w:pPr>
      <w:rPr>
        <w:rFonts w:hint="default"/>
      </w:rPr>
    </w:lvl>
    <w:lvl w:ilvl="1" w:tplc="48D231E6">
      <w:start w:val="1"/>
      <w:numFmt w:val="bullet"/>
      <w:lvlText w:val="o"/>
      <w:lvlJc w:val="left"/>
      <w:pPr>
        <w:ind w:left="1440" w:hanging="360"/>
      </w:pPr>
      <w:rPr>
        <w:rFonts w:ascii="Courier New" w:hAnsi="Courier New" w:hint="default"/>
      </w:rPr>
    </w:lvl>
    <w:lvl w:ilvl="2" w:tplc="9AF64312">
      <w:start w:val="1"/>
      <w:numFmt w:val="bullet"/>
      <w:lvlText w:val=""/>
      <w:lvlJc w:val="left"/>
      <w:pPr>
        <w:ind w:left="2160" w:hanging="360"/>
      </w:pPr>
      <w:rPr>
        <w:rFonts w:ascii="Wingdings" w:hAnsi="Wingdings" w:hint="default"/>
      </w:rPr>
    </w:lvl>
    <w:lvl w:ilvl="3" w:tplc="5B5E9604">
      <w:start w:val="1"/>
      <w:numFmt w:val="bullet"/>
      <w:lvlText w:val=""/>
      <w:lvlJc w:val="left"/>
      <w:pPr>
        <w:ind w:left="2880" w:hanging="360"/>
      </w:pPr>
      <w:rPr>
        <w:rFonts w:ascii="Symbol" w:hAnsi="Symbol" w:hint="default"/>
      </w:rPr>
    </w:lvl>
    <w:lvl w:ilvl="4" w:tplc="7C3C6FEA">
      <w:start w:val="1"/>
      <w:numFmt w:val="bullet"/>
      <w:lvlText w:val="o"/>
      <w:lvlJc w:val="left"/>
      <w:pPr>
        <w:ind w:left="3600" w:hanging="360"/>
      </w:pPr>
      <w:rPr>
        <w:rFonts w:ascii="Courier New" w:hAnsi="Courier New" w:hint="default"/>
      </w:rPr>
    </w:lvl>
    <w:lvl w:ilvl="5" w:tplc="00946AD0">
      <w:start w:val="1"/>
      <w:numFmt w:val="bullet"/>
      <w:lvlText w:val=""/>
      <w:lvlJc w:val="left"/>
      <w:pPr>
        <w:ind w:left="4320" w:hanging="360"/>
      </w:pPr>
      <w:rPr>
        <w:rFonts w:ascii="Wingdings" w:hAnsi="Wingdings" w:hint="default"/>
      </w:rPr>
    </w:lvl>
    <w:lvl w:ilvl="6" w:tplc="179ACE0E">
      <w:start w:val="1"/>
      <w:numFmt w:val="bullet"/>
      <w:lvlText w:val=""/>
      <w:lvlJc w:val="left"/>
      <w:pPr>
        <w:ind w:left="5040" w:hanging="360"/>
      </w:pPr>
      <w:rPr>
        <w:rFonts w:ascii="Symbol" w:hAnsi="Symbol" w:hint="default"/>
      </w:rPr>
    </w:lvl>
    <w:lvl w:ilvl="7" w:tplc="94C82106">
      <w:start w:val="1"/>
      <w:numFmt w:val="bullet"/>
      <w:lvlText w:val="o"/>
      <w:lvlJc w:val="left"/>
      <w:pPr>
        <w:ind w:left="5760" w:hanging="360"/>
      </w:pPr>
      <w:rPr>
        <w:rFonts w:ascii="Courier New" w:hAnsi="Courier New" w:hint="default"/>
      </w:rPr>
    </w:lvl>
    <w:lvl w:ilvl="8" w:tplc="32985CF4">
      <w:start w:val="1"/>
      <w:numFmt w:val="bullet"/>
      <w:lvlText w:val=""/>
      <w:lvlJc w:val="left"/>
      <w:pPr>
        <w:ind w:left="6480" w:hanging="360"/>
      </w:pPr>
      <w:rPr>
        <w:rFonts w:ascii="Wingdings" w:hAnsi="Wingdings" w:hint="default"/>
      </w:rPr>
    </w:lvl>
  </w:abstractNum>
  <w:abstractNum w:abstractNumId="4" w15:restartNumberingAfterBreak="0">
    <w:nsid w:val="31472E59"/>
    <w:multiLevelType w:val="hybridMultilevel"/>
    <w:tmpl w:val="9530C7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C3747A1"/>
    <w:multiLevelType w:val="hybridMultilevel"/>
    <w:tmpl w:val="5AA6F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231753"/>
    <w:multiLevelType w:val="hybridMultilevel"/>
    <w:tmpl w:val="95B6FF6C"/>
    <w:lvl w:ilvl="0" w:tplc="130E845E">
      <w:start w:val="1"/>
      <w:numFmt w:val="decimal"/>
      <w:lvlText w:val="%1."/>
      <w:lvlJc w:val="left"/>
      <w:pPr>
        <w:ind w:left="576" w:hanging="360"/>
      </w:pPr>
      <w:rPr>
        <w:rFonts w:hint="default"/>
      </w:rPr>
    </w:lvl>
    <w:lvl w:ilvl="1" w:tplc="0C090019" w:tentative="1">
      <w:start w:val="1"/>
      <w:numFmt w:val="lowerLetter"/>
      <w:lvlText w:val="%2."/>
      <w:lvlJc w:val="left"/>
      <w:pPr>
        <w:ind w:left="1296" w:hanging="360"/>
      </w:pPr>
    </w:lvl>
    <w:lvl w:ilvl="2" w:tplc="0C09001B" w:tentative="1">
      <w:start w:val="1"/>
      <w:numFmt w:val="lowerRoman"/>
      <w:lvlText w:val="%3."/>
      <w:lvlJc w:val="right"/>
      <w:pPr>
        <w:ind w:left="2016" w:hanging="180"/>
      </w:pPr>
    </w:lvl>
    <w:lvl w:ilvl="3" w:tplc="0C09000F" w:tentative="1">
      <w:start w:val="1"/>
      <w:numFmt w:val="decimal"/>
      <w:lvlText w:val="%4."/>
      <w:lvlJc w:val="left"/>
      <w:pPr>
        <w:ind w:left="2736" w:hanging="360"/>
      </w:pPr>
    </w:lvl>
    <w:lvl w:ilvl="4" w:tplc="0C090019" w:tentative="1">
      <w:start w:val="1"/>
      <w:numFmt w:val="lowerLetter"/>
      <w:lvlText w:val="%5."/>
      <w:lvlJc w:val="left"/>
      <w:pPr>
        <w:ind w:left="3456" w:hanging="360"/>
      </w:pPr>
    </w:lvl>
    <w:lvl w:ilvl="5" w:tplc="0C09001B" w:tentative="1">
      <w:start w:val="1"/>
      <w:numFmt w:val="lowerRoman"/>
      <w:lvlText w:val="%6."/>
      <w:lvlJc w:val="right"/>
      <w:pPr>
        <w:ind w:left="4176" w:hanging="180"/>
      </w:pPr>
    </w:lvl>
    <w:lvl w:ilvl="6" w:tplc="0C09000F" w:tentative="1">
      <w:start w:val="1"/>
      <w:numFmt w:val="decimal"/>
      <w:lvlText w:val="%7."/>
      <w:lvlJc w:val="left"/>
      <w:pPr>
        <w:ind w:left="4896" w:hanging="360"/>
      </w:pPr>
    </w:lvl>
    <w:lvl w:ilvl="7" w:tplc="0C090019" w:tentative="1">
      <w:start w:val="1"/>
      <w:numFmt w:val="lowerLetter"/>
      <w:lvlText w:val="%8."/>
      <w:lvlJc w:val="left"/>
      <w:pPr>
        <w:ind w:left="5616" w:hanging="360"/>
      </w:pPr>
    </w:lvl>
    <w:lvl w:ilvl="8" w:tplc="0C09001B" w:tentative="1">
      <w:start w:val="1"/>
      <w:numFmt w:val="lowerRoman"/>
      <w:lvlText w:val="%9."/>
      <w:lvlJc w:val="right"/>
      <w:pPr>
        <w:ind w:left="6336" w:hanging="180"/>
      </w:pPr>
    </w:lvl>
  </w:abstractNum>
  <w:abstractNum w:abstractNumId="7" w15:restartNumberingAfterBreak="0">
    <w:nsid w:val="3F3D4C41"/>
    <w:multiLevelType w:val="hybridMultilevel"/>
    <w:tmpl w:val="3AF43020"/>
    <w:lvl w:ilvl="0" w:tplc="38C411FE">
      <w:start w:val="1"/>
      <w:numFmt w:val="decimal"/>
      <w:lvlText w:val="%1."/>
      <w:lvlJc w:val="left"/>
      <w:pPr>
        <w:ind w:left="360" w:hanging="360"/>
      </w:pPr>
      <w:rPr>
        <w:rFonts w:asciiTheme="minorHAnsi" w:hAnsiTheme="minorHAnsi" w:cstheme="minorHAnsi" w:hint="default"/>
        <w:b/>
        <w:bCs/>
        <w:color w:val="2E74B5" w:themeColor="accent5" w:themeShade="BF"/>
        <w:sz w:val="25"/>
        <w:szCs w:val="25"/>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2D815A3"/>
    <w:multiLevelType w:val="hybridMultilevel"/>
    <w:tmpl w:val="4310521C"/>
    <w:lvl w:ilvl="0" w:tplc="5B1A7C5A">
      <w:start w:val="1"/>
      <w:numFmt w:val="decimal"/>
      <w:lvlText w:val="%1."/>
      <w:lvlJc w:val="left"/>
      <w:pPr>
        <w:ind w:left="360" w:hanging="360"/>
      </w:pPr>
      <w:rPr>
        <w:rFonts w:asciiTheme="minorHAnsi" w:hAnsiTheme="minorHAnsi" w:cstheme="minorHAnsi" w:hint="default"/>
        <w:b/>
        <w:bCs/>
        <w:color w:val="2F5496" w:themeColor="accent1" w:themeShade="BF"/>
        <w:sz w:val="25"/>
        <w:szCs w:val="25"/>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35409B6"/>
    <w:multiLevelType w:val="hybridMultilevel"/>
    <w:tmpl w:val="82AA54C4"/>
    <w:lvl w:ilvl="0" w:tplc="0C090001">
      <w:start w:val="1"/>
      <w:numFmt w:val="bullet"/>
      <w:lvlText w:val=""/>
      <w:lvlJc w:val="left"/>
      <w:pPr>
        <w:ind w:left="360" w:hanging="360"/>
      </w:pPr>
      <w:rPr>
        <w:rFonts w:ascii="Symbol" w:hAnsi="Symbol" w:hint="default"/>
      </w:rPr>
    </w:lvl>
    <w:lvl w:ilvl="1" w:tplc="48D231E6">
      <w:start w:val="1"/>
      <w:numFmt w:val="bullet"/>
      <w:lvlText w:val="o"/>
      <w:lvlJc w:val="left"/>
      <w:pPr>
        <w:ind w:left="1080" w:hanging="360"/>
      </w:pPr>
      <w:rPr>
        <w:rFonts w:ascii="Courier New" w:hAnsi="Courier New" w:hint="default"/>
      </w:rPr>
    </w:lvl>
    <w:lvl w:ilvl="2" w:tplc="9AF64312">
      <w:start w:val="1"/>
      <w:numFmt w:val="bullet"/>
      <w:lvlText w:val=""/>
      <w:lvlJc w:val="left"/>
      <w:pPr>
        <w:ind w:left="1800" w:hanging="360"/>
      </w:pPr>
      <w:rPr>
        <w:rFonts w:ascii="Wingdings" w:hAnsi="Wingdings" w:hint="default"/>
      </w:rPr>
    </w:lvl>
    <w:lvl w:ilvl="3" w:tplc="5B5E9604">
      <w:start w:val="1"/>
      <w:numFmt w:val="bullet"/>
      <w:lvlText w:val=""/>
      <w:lvlJc w:val="left"/>
      <w:pPr>
        <w:ind w:left="2520" w:hanging="360"/>
      </w:pPr>
      <w:rPr>
        <w:rFonts w:ascii="Symbol" w:hAnsi="Symbol" w:hint="default"/>
      </w:rPr>
    </w:lvl>
    <w:lvl w:ilvl="4" w:tplc="7C3C6FEA">
      <w:start w:val="1"/>
      <w:numFmt w:val="bullet"/>
      <w:lvlText w:val="o"/>
      <w:lvlJc w:val="left"/>
      <w:pPr>
        <w:ind w:left="3240" w:hanging="360"/>
      </w:pPr>
      <w:rPr>
        <w:rFonts w:ascii="Courier New" w:hAnsi="Courier New" w:hint="default"/>
      </w:rPr>
    </w:lvl>
    <w:lvl w:ilvl="5" w:tplc="00946AD0">
      <w:start w:val="1"/>
      <w:numFmt w:val="bullet"/>
      <w:lvlText w:val=""/>
      <w:lvlJc w:val="left"/>
      <w:pPr>
        <w:ind w:left="3960" w:hanging="360"/>
      </w:pPr>
      <w:rPr>
        <w:rFonts w:ascii="Wingdings" w:hAnsi="Wingdings" w:hint="default"/>
      </w:rPr>
    </w:lvl>
    <w:lvl w:ilvl="6" w:tplc="179ACE0E">
      <w:start w:val="1"/>
      <w:numFmt w:val="bullet"/>
      <w:lvlText w:val=""/>
      <w:lvlJc w:val="left"/>
      <w:pPr>
        <w:ind w:left="4680" w:hanging="360"/>
      </w:pPr>
      <w:rPr>
        <w:rFonts w:ascii="Symbol" w:hAnsi="Symbol" w:hint="default"/>
      </w:rPr>
    </w:lvl>
    <w:lvl w:ilvl="7" w:tplc="94C82106">
      <w:start w:val="1"/>
      <w:numFmt w:val="bullet"/>
      <w:lvlText w:val="o"/>
      <w:lvlJc w:val="left"/>
      <w:pPr>
        <w:ind w:left="5400" w:hanging="360"/>
      </w:pPr>
      <w:rPr>
        <w:rFonts w:ascii="Courier New" w:hAnsi="Courier New" w:hint="default"/>
      </w:rPr>
    </w:lvl>
    <w:lvl w:ilvl="8" w:tplc="32985CF4">
      <w:start w:val="1"/>
      <w:numFmt w:val="bullet"/>
      <w:lvlText w:val=""/>
      <w:lvlJc w:val="left"/>
      <w:pPr>
        <w:ind w:left="6120" w:hanging="360"/>
      </w:pPr>
      <w:rPr>
        <w:rFonts w:ascii="Wingdings" w:hAnsi="Wingdings" w:hint="default"/>
      </w:rPr>
    </w:lvl>
  </w:abstractNum>
  <w:abstractNum w:abstractNumId="10" w15:restartNumberingAfterBreak="0">
    <w:nsid w:val="5C18567C"/>
    <w:multiLevelType w:val="hybridMultilevel"/>
    <w:tmpl w:val="FFFFFFFF"/>
    <w:lvl w:ilvl="0" w:tplc="432C3A90">
      <w:start w:val="1"/>
      <w:numFmt w:val="bullet"/>
      <w:lvlText w:val="·"/>
      <w:lvlJc w:val="left"/>
      <w:pPr>
        <w:ind w:left="720" w:hanging="360"/>
      </w:pPr>
      <w:rPr>
        <w:rFonts w:ascii="Symbol" w:hAnsi="Symbol" w:hint="default"/>
      </w:rPr>
    </w:lvl>
    <w:lvl w:ilvl="1" w:tplc="FBE42132">
      <w:start w:val="1"/>
      <w:numFmt w:val="bullet"/>
      <w:lvlText w:val="o"/>
      <w:lvlJc w:val="left"/>
      <w:pPr>
        <w:ind w:left="1440" w:hanging="360"/>
      </w:pPr>
      <w:rPr>
        <w:rFonts w:ascii="Courier New" w:hAnsi="Courier New" w:hint="default"/>
      </w:rPr>
    </w:lvl>
    <w:lvl w:ilvl="2" w:tplc="E5CC8156">
      <w:start w:val="1"/>
      <w:numFmt w:val="bullet"/>
      <w:lvlText w:val=""/>
      <w:lvlJc w:val="left"/>
      <w:pPr>
        <w:ind w:left="2160" w:hanging="360"/>
      </w:pPr>
      <w:rPr>
        <w:rFonts w:ascii="Wingdings" w:hAnsi="Wingdings" w:hint="default"/>
      </w:rPr>
    </w:lvl>
    <w:lvl w:ilvl="3" w:tplc="3FD8B834">
      <w:start w:val="1"/>
      <w:numFmt w:val="bullet"/>
      <w:lvlText w:val=""/>
      <w:lvlJc w:val="left"/>
      <w:pPr>
        <w:ind w:left="2880" w:hanging="360"/>
      </w:pPr>
      <w:rPr>
        <w:rFonts w:ascii="Symbol" w:hAnsi="Symbol" w:hint="default"/>
      </w:rPr>
    </w:lvl>
    <w:lvl w:ilvl="4" w:tplc="4BAC8834">
      <w:start w:val="1"/>
      <w:numFmt w:val="bullet"/>
      <w:lvlText w:val="o"/>
      <w:lvlJc w:val="left"/>
      <w:pPr>
        <w:ind w:left="3600" w:hanging="360"/>
      </w:pPr>
      <w:rPr>
        <w:rFonts w:ascii="Courier New" w:hAnsi="Courier New" w:hint="default"/>
      </w:rPr>
    </w:lvl>
    <w:lvl w:ilvl="5" w:tplc="C930DEAA">
      <w:start w:val="1"/>
      <w:numFmt w:val="bullet"/>
      <w:lvlText w:val=""/>
      <w:lvlJc w:val="left"/>
      <w:pPr>
        <w:ind w:left="4320" w:hanging="360"/>
      </w:pPr>
      <w:rPr>
        <w:rFonts w:ascii="Wingdings" w:hAnsi="Wingdings" w:hint="default"/>
      </w:rPr>
    </w:lvl>
    <w:lvl w:ilvl="6" w:tplc="E4F08224">
      <w:start w:val="1"/>
      <w:numFmt w:val="bullet"/>
      <w:lvlText w:val=""/>
      <w:lvlJc w:val="left"/>
      <w:pPr>
        <w:ind w:left="5040" w:hanging="360"/>
      </w:pPr>
      <w:rPr>
        <w:rFonts w:ascii="Symbol" w:hAnsi="Symbol" w:hint="default"/>
      </w:rPr>
    </w:lvl>
    <w:lvl w:ilvl="7" w:tplc="022A3C28">
      <w:start w:val="1"/>
      <w:numFmt w:val="bullet"/>
      <w:lvlText w:val="o"/>
      <w:lvlJc w:val="left"/>
      <w:pPr>
        <w:ind w:left="5760" w:hanging="360"/>
      </w:pPr>
      <w:rPr>
        <w:rFonts w:ascii="Courier New" w:hAnsi="Courier New" w:hint="default"/>
      </w:rPr>
    </w:lvl>
    <w:lvl w:ilvl="8" w:tplc="523E9F0A">
      <w:start w:val="1"/>
      <w:numFmt w:val="bullet"/>
      <w:lvlText w:val=""/>
      <w:lvlJc w:val="left"/>
      <w:pPr>
        <w:ind w:left="6480" w:hanging="360"/>
      </w:pPr>
      <w:rPr>
        <w:rFonts w:ascii="Wingdings" w:hAnsi="Wingdings" w:hint="default"/>
      </w:rPr>
    </w:lvl>
  </w:abstractNum>
  <w:abstractNum w:abstractNumId="11" w15:restartNumberingAfterBreak="0">
    <w:nsid w:val="5E203759"/>
    <w:multiLevelType w:val="hybridMultilevel"/>
    <w:tmpl w:val="2F02B4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E232690"/>
    <w:multiLevelType w:val="hybridMultilevel"/>
    <w:tmpl w:val="4C26C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2B49EA"/>
    <w:multiLevelType w:val="hybridMultilevel"/>
    <w:tmpl w:val="FFFFFFFF"/>
    <w:lvl w:ilvl="0" w:tplc="C3AADCB2">
      <w:start w:val="1"/>
      <w:numFmt w:val="bullet"/>
      <w:lvlText w:val=""/>
      <w:lvlJc w:val="left"/>
      <w:pPr>
        <w:ind w:left="360" w:hanging="360"/>
      </w:pPr>
      <w:rPr>
        <w:rFonts w:ascii="Symbol" w:hAnsi="Symbol" w:hint="default"/>
      </w:rPr>
    </w:lvl>
    <w:lvl w:ilvl="1" w:tplc="3A80B442">
      <w:start w:val="1"/>
      <w:numFmt w:val="bullet"/>
      <w:lvlText w:val="o"/>
      <w:lvlJc w:val="left"/>
      <w:pPr>
        <w:ind w:left="1080" w:hanging="360"/>
      </w:pPr>
      <w:rPr>
        <w:rFonts w:ascii="Courier New" w:hAnsi="Courier New" w:hint="default"/>
      </w:rPr>
    </w:lvl>
    <w:lvl w:ilvl="2" w:tplc="CAD8497E">
      <w:start w:val="1"/>
      <w:numFmt w:val="bullet"/>
      <w:lvlText w:val=""/>
      <w:lvlJc w:val="left"/>
      <w:pPr>
        <w:ind w:left="1800" w:hanging="360"/>
      </w:pPr>
      <w:rPr>
        <w:rFonts w:ascii="Wingdings" w:hAnsi="Wingdings" w:hint="default"/>
      </w:rPr>
    </w:lvl>
    <w:lvl w:ilvl="3" w:tplc="C2A60738">
      <w:start w:val="1"/>
      <w:numFmt w:val="bullet"/>
      <w:lvlText w:val=""/>
      <w:lvlJc w:val="left"/>
      <w:pPr>
        <w:ind w:left="2520" w:hanging="360"/>
      </w:pPr>
      <w:rPr>
        <w:rFonts w:ascii="Symbol" w:hAnsi="Symbol" w:hint="default"/>
      </w:rPr>
    </w:lvl>
    <w:lvl w:ilvl="4" w:tplc="68C81650">
      <w:start w:val="1"/>
      <w:numFmt w:val="bullet"/>
      <w:lvlText w:val="o"/>
      <w:lvlJc w:val="left"/>
      <w:pPr>
        <w:ind w:left="3240" w:hanging="360"/>
      </w:pPr>
      <w:rPr>
        <w:rFonts w:ascii="Courier New" w:hAnsi="Courier New" w:hint="default"/>
      </w:rPr>
    </w:lvl>
    <w:lvl w:ilvl="5" w:tplc="51B862DA">
      <w:start w:val="1"/>
      <w:numFmt w:val="bullet"/>
      <w:lvlText w:val=""/>
      <w:lvlJc w:val="left"/>
      <w:pPr>
        <w:ind w:left="3960" w:hanging="360"/>
      </w:pPr>
      <w:rPr>
        <w:rFonts w:ascii="Wingdings" w:hAnsi="Wingdings" w:hint="default"/>
      </w:rPr>
    </w:lvl>
    <w:lvl w:ilvl="6" w:tplc="C866A274">
      <w:start w:val="1"/>
      <w:numFmt w:val="bullet"/>
      <w:lvlText w:val=""/>
      <w:lvlJc w:val="left"/>
      <w:pPr>
        <w:ind w:left="4680" w:hanging="360"/>
      </w:pPr>
      <w:rPr>
        <w:rFonts w:ascii="Symbol" w:hAnsi="Symbol" w:hint="default"/>
      </w:rPr>
    </w:lvl>
    <w:lvl w:ilvl="7" w:tplc="DB107F0C">
      <w:start w:val="1"/>
      <w:numFmt w:val="bullet"/>
      <w:lvlText w:val="o"/>
      <w:lvlJc w:val="left"/>
      <w:pPr>
        <w:ind w:left="5400" w:hanging="360"/>
      </w:pPr>
      <w:rPr>
        <w:rFonts w:ascii="Courier New" w:hAnsi="Courier New" w:hint="default"/>
      </w:rPr>
    </w:lvl>
    <w:lvl w:ilvl="8" w:tplc="7EEA3BB2">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3"/>
  </w:num>
  <w:num w:numId="4">
    <w:abstractNumId w:val="9"/>
  </w:num>
  <w:num w:numId="5">
    <w:abstractNumId w:val="11"/>
  </w:num>
  <w:num w:numId="6">
    <w:abstractNumId w:val="10"/>
  </w:num>
  <w:num w:numId="7">
    <w:abstractNumId w:val="0"/>
  </w:num>
  <w:num w:numId="8">
    <w:abstractNumId w:val="5"/>
  </w:num>
  <w:num w:numId="9">
    <w:abstractNumId w:val="4"/>
  </w:num>
  <w:num w:numId="10">
    <w:abstractNumId w:val="13"/>
  </w:num>
  <w:num w:numId="11">
    <w:abstractNumId w:val="1"/>
  </w:num>
  <w:num w:numId="12">
    <w:abstractNumId w:val="7"/>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86C"/>
    <w:rsid w:val="000F73BC"/>
    <w:rsid w:val="0010453D"/>
    <w:rsid w:val="001E285C"/>
    <w:rsid w:val="00251925"/>
    <w:rsid w:val="002C1CB1"/>
    <w:rsid w:val="00406D5C"/>
    <w:rsid w:val="00407403"/>
    <w:rsid w:val="00470D72"/>
    <w:rsid w:val="00495B52"/>
    <w:rsid w:val="004B24BE"/>
    <w:rsid w:val="004E2DB8"/>
    <w:rsid w:val="005F3EA5"/>
    <w:rsid w:val="005F7FDA"/>
    <w:rsid w:val="006F27A3"/>
    <w:rsid w:val="008A2F1C"/>
    <w:rsid w:val="00A01EB5"/>
    <w:rsid w:val="00A225F5"/>
    <w:rsid w:val="00A7761E"/>
    <w:rsid w:val="00A937D8"/>
    <w:rsid w:val="00BE3446"/>
    <w:rsid w:val="00D2186C"/>
    <w:rsid w:val="00DD4FFA"/>
    <w:rsid w:val="00E761F8"/>
    <w:rsid w:val="00F46D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BFBB4"/>
  <w15:chartTrackingRefBased/>
  <w15:docId w15:val="{797F3D2B-349C-4F33-B3A8-4D5E1221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86C"/>
  </w:style>
  <w:style w:type="paragraph" w:styleId="Heading1">
    <w:name w:val="heading 1"/>
    <w:basedOn w:val="Normal"/>
    <w:next w:val="Normal"/>
    <w:link w:val="Heading1Char"/>
    <w:uiPriority w:val="9"/>
    <w:qFormat/>
    <w:rsid w:val="000F73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86C"/>
  </w:style>
  <w:style w:type="paragraph" w:styleId="Footer">
    <w:name w:val="footer"/>
    <w:basedOn w:val="Normal"/>
    <w:link w:val="FooterChar"/>
    <w:uiPriority w:val="99"/>
    <w:unhideWhenUsed/>
    <w:rsid w:val="00D21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6C"/>
  </w:style>
  <w:style w:type="paragraph" w:styleId="ListParagraph">
    <w:name w:val="List Paragraph"/>
    <w:basedOn w:val="Normal"/>
    <w:uiPriority w:val="34"/>
    <w:qFormat/>
    <w:rsid w:val="00D2186C"/>
    <w:pPr>
      <w:ind w:left="720"/>
      <w:contextualSpacing/>
    </w:pPr>
  </w:style>
  <w:style w:type="paragraph" w:customStyle="1" w:styleId="Default">
    <w:name w:val="Default"/>
    <w:rsid w:val="00D2186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76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61F8"/>
    <w:rPr>
      <w:color w:val="0563C1" w:themeColor="hyperlink"/>
      <w:u w:val="single"/>
    </w:rPr>
  </w:style>
  <w:style w:type="paragraph" w:styleId="FootnoteText">
    <w:name w:val="footnote text"/>
    <w:basedOn w:val="Normal"/>
    <w:link w:val="FootnoteTextChar"/>
    <w:uiPriority w:val="99"/>
    <w:unhideWhenUsed/>
    <w:rsid w:val="00E761F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761F8"/>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E761F8"/>
    <w:rPr>
      <w:vertAlign w:val="superscript"/>
    </w:rPr>
  </w:style>
  <w:style w:type="character" w:customStyle="1" w:styleId="Heading1Char">
    <w:name w:val="Heading 1 Char"/>
    <w:basedOn w:val="DefaultParagraphFont"/>
    <w:link w:val="Heading1"/>
    <w:uiPriority w:val="9"/>
    <w:rsid w:val="000F73B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F73BC"/>
    <w:pPr>
      <w:outlineLvl w:val="9"/>
    </w:pPr>
    <w:rPr>
      <w:lang w:val="en-US"/>
    </w:rPr>
  </w:style>
  <w:style w:type="paragraph" w:styleId="TOC2">
    <w:name w:val="toc 2"/>
    <w:basedOn w:val="Normal"/>
    <w:next w:val="Normal"/>
    <w:autoRedefine/>
    <w:uiPriority w:val="39"/>
    <w:unhideWhenUsed/>
    <w:rsid w:val="000F73B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0F73BC"/>
    <w:pPr>
      <w:spacing w:after="100"/>
    </w:pPr>
    <w:rPr>
      <w:rFonts w:eastAsiaTheme="minorEastAsia" w:cs="Times New Roman"/>
      <w:lang w:val="en-US"/>
    </w:rPr>
  </w:style>
  <w:style w:type="paragraph" w:styleId="TOC3">
    <w:name w:val="toc 3"/>
    <w:basedOn w:val="Normal"/>
    <w:next w:val="Normal"/>
    <w:autoRedefine/>
    <w:uiPriority w:val="39"/>
    <w:unhideWhenUsed/>
    <w:rsid w:val="000F73BC"/>
    <w:pPr>
      <w:spacing w:after="100"/>
      <w:ind w:left="44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ceda.com.au/CEDA/media/General/Publication/PDFs/HousingAustraliaFinal_Flipsnack.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ordpress-ms.deakin.edu.au/homeresearchhub/wp-content/uploads/sites/77/2019/09/Accessible-and-Inclusive-Geelong-Feasibility-Study.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efugeehealthnetwork.org.au/wp-content/uploads/RefugeeResettlement_Web_Vichealth+report.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ro.vic.gov.au/fhogapply" TargetMode="External"/><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vic.gov.au/regional-investmen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housing.id.com.au/geelong/affodablility-and-availability"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eakin365-my.sharepoint.com/personal/jerry_liang_deakin_edu_au/Documents/Documents/research/Vital%20Community/Hedonic%20Index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eakin365-my.sharepoint.com/personal/jerry_liang_deakin_edu_au/Documents/Documents/research/Vital%20Community/Hedonic%20Index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eakin365-my.sharepoint.com/personal/jerry_liang_deakin_edu_au/Documents/Documents/research/Vital%20Community/Hedonic%20Index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eakin365-my.sharepoint.com/personal/jerry_liang_deakin_edu_au/Documents/Documents/research/Vital%20Community/Hedonic%20Indexe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400" b="0" i="0" baseline="0">
                <a:effectLst/>
              </a:rPr>
              <a:t>House Price Hedonic Index</a:t>
            </a:r>
            <a:endParaRPr lang="en-AU" sz="11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'[Hedonic Indexes.xlsx]House Price Hedonic Index'!$J$1</c:f>
              <c:strCache>
                <c:ptCount val="1"/>
                <c:pt idx="0">
                  <c:v>VIC</c:v>
                </c:pt>
              </c:strCache>
            </c:strRef>
          </c:tx>
          <c:spPr>
            <a:ln w="28575" cap="rnd">
              <a:solidFill>
                <a:schemeClr val="accent1"/>
              </a:solidFill>
              <a:round/>
            </a:ln>
            <a:effectLst/>
          </c:spPr>
          <c:marker>
            <c:symbol val="none"/>
          </c:marker>
          <c:cat>
            <c:numRef>
              <c:f>'[Hedonic Indexes.xlsx]House Price Hedonic Index'!$I$2:$I$71</c:f>
              <c:numCache>
                <c:formatCode>General</c:formatCode>
                <c:ptCount val="7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pt idx="52">
                  <c:v>201905</c:v>
                </c:pt>
                <c:pt idx="53">
                  <c:v>201906</c:v>
                </c:pt>
                <c:pt idx="54">
                  <c:v>201907</c:v>
                </c:pt>
                <c:pt idx="55">
                  <c:v>201908</c:v>
                </c:pt>
                <c:pt idx="56">
                  <c:v>201909</c:v>
                </c:pt>
                <c:pt idx="57">
                  <c:v>201910</c:v>
                </c:pt>
                <c:pt idx="58">
                  <c:v>201911</c:v>
                </c:pt>
                <c:pt idx="59">
                  <c:v>201912</c:v>
                </c:pt>
                <c:pt idx="60">
                  <c:v>202001</c:v>
                </c:pt>
                <c:pt idx="61">
                  <c:v>202002</c:v>
                </c:pt>
                <c:pt idx="62">
                  <c:v>202003</c:v>
                </c:pt>
                <c:pt idx="63">
                  <c:v>202004</c:v>
                </c:pt>
                <c:pt idx="64">
                  <c:v>202005</c:v>
                </c:pt>
                <c:pt idx="65">
                  <c:v>202006</c:v>
                </c:pt>
                <c:pt idx="66">
                  <c:v>202007</c:v>
                </c:pt>
                <c:pt idx="67">
                  <c:v>202008</c:v>
                </c:pt>
                <c:pt idx="68">
                  <c:v>202009</c:v>
                </c:pt>
                <c:pt idx="69">
                  <c:v>202010</c:v>
                </c:pt>
              </c:numCache>
            </c:numRef>
          </c:cat>
          <c:val>
            <c:numRef>
              <c:f>'[Hedonic Indexes.xlsx]House Price Hedonic Index'!$J$2:$J$71</c:f>
              <c:numCache>
                <c:formatCode>General</c:formatCode>
                <c:ptCount val="70"/>
                <c:pt idx="0">
                  <c:v>100</c:v>
                </c:pt>
                <c:pt idx="1">
                  <c:v>103.246</c:v>
                </c:pt>
                <c:pt idx="2">
                  <c:v>103.8933</c:v>
                </c:pt>
                <c:pt idx="3">
                  <c:v>104.2286</c:v>
                </c:pt>
                <c:pt idx="4">
                  <c:v>105.3343</c:v>
                </c:pt>
                <c:pt idx="5">
                  <c:v>106.13</c:v>
                </c:pt>
                <c:pt idx="6">
                  <c:v>106.9686</c:v>
                </c:pt>
                <c:pt idx="7">
                  <c:v>107.80710000000001</c:v>
                </c:pt>
                <c:pt idx="8">
                  <c:v>108.2371</c:v>
                </c:pt>
                <c:pt idx="9">
                  <c:v>108.53570000000001</c:v>
                </c:pt>
                <c:pt idx="10">
                  <c:v>109.20140000000001</c:v>
                </c:pt>
                <c:pt idx="11">
                  <c:v>109.6957</c:v>
                </c:pt>
                <c:pt idx="12">
                  <c:v>110.1771</c:v>
                </c:pt>
                <c:pt idx="13">
                  <c:v>110.56570000000001</c:v>
                </c:pt>
                <c:pt idx="14">
                  <c:v>111.0257</c:v>
                </c:pt>
                <c:pt idx="15">
                  <c:v>111.4171</c:v>
                </c:pt>
                <c:pt idx="16">
                  <c:v>112.1429</c:v>
                </c:pt>
                <c:pt idx="17">
                  <c:v>112.87139999999999</c:v>
                </c:pt>
                <c:pt idx="18">
                  <c:v>113.7714</c:v>
                </c:pt>
                <c:pt idx="19">
                  <c:v>114.7714</c:v>
                </c:pt>
                <c:pt idx="20">
                  <c:v>115.7714</c:v>
                </c:pt>
                <c:pt idx="21">
                  <c:v>116.5429</c:v>
                </c:pt>
                <c:pt idx="22">
                  <c:v>117.8</c:v>
                </c:pt>
                <c:pt idx="23">
                  <c:v>119.0714</c:v>
                </c:pt>
                <c:pt idx="24">
                  <c:v>120.17140000000001</c:v>
                </c:pt>
                <c:pt idx="25">
                  <c:v>121.25709999999999</c:v>
                </c:pt>
                <c:pt idx="26">
                  <c:v>122.4714</c:v>
                </c:pt>
                <c:pt idx="27">
                  <c:v>123.2714</c:v>
                </c:pt>
                <c:pt idx="28">
                  <c:v>124.48569999999999</c:v>
                </c:pt>
                <c:pt idx="29">
                  <c:v>125.48569999999999</c:v>
                </c:pt>
                <c:pt idx="30">
                  <c:v>126.3429</c:v>
                </c:pt>
                <c:pt idx="31">
                  <c:v>127.2286</c:v>
                </c:pt>
                <c:pt idx="32">
                  <c:v>127.9714</c:v>
                </c:pt>
                <c:pt idx="33">
                  <c:v>128.25710000000001</c:v>
                </c:pt>
                <c:pt idx="34">
                  <c:v>128.98570000000001</c:v>
                </c:pt>
                <c:pt idx="35">
                  <c:v>129.5857</c:v>
                </c:pt>
                <c:pt idx="36">
                  <c:v>129.8571</c:v>
                </c:pt>
                <c:pt idx="37">
                  <c:v>129.97139999999999</c:v>
                </c:pt>
                <c:pt idx="38">
                  <c:v>129.78569999999999</c:v>
                </c:pt>
                <c:pt idx="39">
                  <c:v>129.4</c:v>
                </c:pt>
                <c:pt idx="40">
                  <c:v>129.1</c:v>
                </c:pt>
                <c:pt idx="41">
                  <c:v>128.61429999999999</c:v>
                </c:pt>
                <c:pt idx="42">
                  <c:v>127.82859999999999</c:v>
                </c:pt>
                <c:pt idx="43">
                  <c:v>126.9714</c:v>
                </c:pt>
                <c:pt idx="44">
                  <c:v>126.01430000000001</c:v>
                </c:pt>
                <c:pt idx="45">
                  <c:v>125.6</c:v>
                </c:pt>
                <c:pt idx="46">
                  <c:v>125.5</c:v>
                </c:pt>
                <c:pt idx="47">
                  <c:v>125.2286</c:v>
                </c:pt>
                <c:pt idx="48">
                  <c:v>125.0286</c:v>
                </c:pt>
                <c:pt idx="49">
                  <c:v>124.98569999999999</c:v>
                </c:pt>
                <c:pt idx="50">
                  <c:v>125.2</c:v>
                </c:pt>
                <c:pt idx="51">
                  <c:v>125.74290000000001</c:v>
                </c:pt>
                <c:pt idx="52">
                  <c:v>126.1</c:v>
                </c:pt>
                <c:pt idx="53">
                  <c:v>126.5857</c:v>
                </c:pt>
                <c:pt idx="54">
                  <c:v>127.4571</c:v>
                </c:pt>
                <c:pt idx="55">
                  <c:v>128.42859999999999</c:v>
                </c:pt>
                <c:pt idx="56">
                  <c:v>129.42859999999999</c:v>
                </c:pt>
                <c:pt idx="57">
                  <c:v>130.65710000000001</c:v>
                </c:pt>
                <c:pt idx="58">
                  <c:v>131.80000000000001</c:v>
                </c:pt>
                <c:pt idx="59">
                  <c:v>132.55709999999999</c:v>
                </c:pt>
                <c:pt idx="60">
                  <c:v>132.52860000000001</c:v>
                </c:pt>
                <c:pt idx="61">
                  <c:v>132.5857</c:v>
                </c:pt>
                <c:pt idx="62">
                  <c:v>132.8143</c:v>
                </c:pt>
                <c:pt idx="63">
                  <c:v>133.0429</c:v>
                </c:pt>
                <c:pt idx="64">
                  <c:v>133.17140000000001</c:v>
                </c:pt>
                <c:pt idx="65">
                  <c:v>133.52860000000001</c:v>
                </c:pt>
                <c:pt idx="66">
                  <c:v>134.02860000000001</c:v>
                </c:pt>
                <c:pt idx="67">
                  <c:v>134.6833</c:v>
                </c:pt>
                <c:pt idx="68">
                  <c:v>135.34</c:v>
                </c:pt>
                <c:pt idx="69">
                  <c:v>135.80000000000001</c:v>
                </c:pt>
              </c:numCache>
            </c:numRef>
          </c:val>
          <c:smooth val="0"/>
          <c:extLst>
            <c:ext xmlns:c16="http://schemas.microsoft.com/office/drawing/2014/chart" uri="{C3380CC4-5D6E-409C-BE32-E72D297353CC}">
              <c16:uniqueId val="{00000000-37A7-4855-803B-B37D00CFEAD1}"/>
            </c:ext>
          </c:extLst>
        </c:ser>
        <c:ser>
          <c:idx val="1"/>
          <c:order val="1"/>
          <c:tx>
            <c:strRef>
              <c:f>'[Hedonic Indexes.xlsx]House Price Hedonic Index'!$K$1</c:f>
              <c:strCache>
                <c:ptCount val="1"/>
                <c:pt idx="0">
                  <c:v>GreaterMelbourne</c:v>
                </c:pt>
              </c:strCache>
            </c:strRef>
          </c:tx>
          <c:spPr>
            <a:ln w="28575" cap="rnd">
              <a:solidFill>
                <a:schemeClr val="accent2"/>
              </a:solidFill>
              <a:round/>
            </a:ln>
            <a:effectLst/>
          </c:spPr>
          <c:marker>
            <c:symbol val="none"/>
          </c:marker>
          <c:cat>
            <c:numRef>
              <c:f>'[Hedonic Indexes.xlsx]House Price Hedonic Index'!$I$2:$I$71</c:f>
              <c:numCache>
                <c:formatCode>General</c:formatCode>
                <c:ptCount val="7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pt idx="52">
                  <c:v>201905</c:v>
                </c:pt>
                <c:pt idx="53">
                  <c:v>201906</c:v>
                </c:pt>
                <c:pt idx="54">
                  <c:v>201907</c:v>
                </c:pt>
                <c:pt idx="55">
                  <c:v>201908</c:v>
                </c:pt>
                <c:pt idx="56">
                  <c:v>201909</c:v>
                </c:pt>
                <c:pt idx="57">
                  <c:v>201910</c:v>
                </c:pt>
                <c:pt idx="58">
                  <c:v>201911</c:v>
                </c:pt>
                <c:pt idx="59">
                  <c:v>201912</c:v>
                </c:pt>
                <c:pt idx="60">
                  <c:v>202001</c:v>
                </c:pt>
                <c:pt idx="61">
                  <c:v>202002</c:v>
                </c:pt>
                <c:pt idx="62">
                  <c:v>202003</c:v>
                </c:pt>
                <c:pt idx="63">
                  <c:v>202004</c:v>
                </c:pt>
                <c:pt idx="64">
                  <c:v>202005</c:v>
                </c:pt>
                <c:pt idx="65">
                  <c:v>202006</c:v>
                </c:pt>
                <c:pt idx="66">
                  <c:v>202007</c:v>
                </c:pt>
                <c:pt idx="67">
                  <c:v>202008</c:v>
                </c:pt>
                <c:pt idx="68">
                  <c:v>202009</c:v>
                </c:pt>
                <c:pt idx="69">
                  <c:v>202010</c:v>
                </c:pt>
              </c:numCache>
            </c:numRef>
          </c:cat>
          <c:val>
            <c:numRef>
              <c:f>'[Hedonic Indexes.xlsx]House Price Hedonic Index'!$K$2:$K$71</c:f>
              <c:numCache>
                <c:formatCode>General</c:formatCode>
                <c:ptCount val="70"/>
                <c:pt idx="0">
                  <c:v>100</c:v>
                </c:pt>
                <c:pt idx="1">
                  <c:v>104.95399999999999</c:v>
                </c:pt>
                <c:pt idx="2">
                  <c:v>105.8117</c:v>
                </c:pt>
                <c:pt idx="3">
                  <c:v>106.2243</c:v>
                </c:pt>
                <c:pt idx="4">
                  <c:v>107.7671</c:v>
                </c:pt>
                <c:pt idx="5">
                  <c:v>108.8</c:v>
                </c:pt>
                <c:pt idx="6">
                  <c:v>109.8086</c:v>
                </c:pt>
                <c:pt idx="7">
                  <c:v>110.8514</c:v>
                </c:pt>
                <c:pt idx="8">
                  <c:v>111.2286</c:v>
                </c:pt>
                <c:pt idx="9">
                  <c:v>111.48569999999999</c:v>
                </c:pt>
                <c:pt idx="10">
                  <c:v>112.24290000000001</c:v>
                </c:pt>
                <c:pt idx="11">
                  <c:v>112.71429999999999</c:v>
                </c:pt>
                <c:pt idx="12">
                  <c:v>113.2</c:v>
                </c:pt>
                <c:pt idx="13">
                  <c:v>113.67140000000001</c:v>
                </c:pt>
                <c:pt idx="14">
                  <c:v>114.3</c:v>
                </c:pt>
                <c:pt idx="15">
                  <c:v>114.8571</c:v>
                </c:pt>
                <c:pt idx="16">
                  <c:v>115.8143</c:v>
                </c:pt>
                <c:pt idx="17">
                  <c:v>116.74290000000001</c:v>
                </c:pt>
                <c:pt idx="18">
                  <c:v>117.94289999999999</c:v>
                </c:pt>
                <c:pt idx="19">
                  <c:v>119.21429999999999</c:v>
                </c:pt>
                <c:pt idx="20">
                  <c:v>120.3571</c:v>
                </c:pt>
                <c:pt idx="21">
                  <c:v>121.2714</c:v>
                </c:pt>
                <c:pt idx="22">
                  <c:v>122.78570000000001</c:v>
                </c:pt>
                <c:pt idx="23">
                  <c:v>124.4286</c:v>
                </c:pt>
                <c:pt idx="24">
                  <c:v>125.7714</c:v>
                </c:pt>
                <c:pt idx="25">
                  <c:v>127.0429</c:v>
                </c:pt>
                <c:pt idx="26">
                  <c:v>128.4143</c:v>
                </c:pt>
                <c:pt idx="27">
                  <c:v>129.47139999999999</c:v>
                </c:pt>
                <c:pt idx="28">
                  <c:v>130.9571</c:v>
                </c:pt>
                <c:pt idx="29">
                  <c:v>132.17140000000001</c:v>
                </c:pt>
                <c:pt idx="30">
                  <c:v>133.0429</c:v>
                </c:pt>
                <c:pt idx="31">
                  <c:v>134.11429999999999</c:v>
                </c:pt>
                <c:pt idx="32">
                  <c:v>134.92859999999999</c:v>
                </c:pt>
                <c:pt idx="33">
                  <c:v>135.2286</c:v>
                </c:pt>
                <c:pt idx="34">
                  <c:v>136</c:v>
                </c:pt>
                <c:pt idx="35">
                  <c:v>136.48570000000001</c:v>
                </c:pt>
                <c:pt idx="36">
                  <c:v>136.5857</c:v>
                </c:pt>
                <c:pt idx="37">
                  <c:v>136.48570000000001</c:v>
                </c:pt>
                <c:pt idx="38">
                  <c:v>135.9</c:v>
                </c:pt>
                <c:pt idx="39">
                  <c:v>135.1857</c:v>
                </c:pt>
                <c:pt idx="40">
                  <c:v>134.48570000000001</c:v>
                </c:pt>
                <c:pt idx="41">
                  <c:v>133.4571</c:v>
                </c:pt>
                <c:pt idx="42">
                  <c:v>132.1</c:v>
                </c:pt>
                <c:pt idx="43">
                  <c:v>130.69999999999999</c:v>
                </c:pt>
                <c:pt idx="44">
                  <c:v>129.0857</c:v>
                </c:pt>
                <c:pt idx="45">
                  <c:v>128.11429999999999</c:v>
                </c:pt>
                <c:pt idx="46">
                  <c:v>127.8571</c:v>
                </c:pt>
                <c:pt idx="47">
                  <c:v>127.2714</c:v>
                </c:pt>
                <c:pt idx="48">
                  <c:v>126.8</c:v>
                </c:pt>
                <c:pt idx="49">
                  <c:v>126.71429999999999</c:v>
                </c:pt>
                <c:pt idx="50">
                  <c:v>127.0429</c:v>
                </c:pt>
                <c:pt idx="51">
                  <c:v>127.78570000000001</c:v>
                </c:pt>
                <c:pt idx="52">
                  <c:v>128.51429999999999</c:v>
                </c:pt>
                <c:pt idx="53">
                  <c:v>128.98570000000001</c:v>
                </c:pt>
                <c:pt idx="54">
                  <c:v>130.1429</c:v>
                </c:pt>
                <c:pt idx="55">
                  <c:v>131.4143</c:v>
                </c:pt>
                <c:pt idx="56">
                  <c:v>132.5857</c:v>
                </c:pt>
                <c:pt idx="57">
                  <c:v>133.82859999999999</c:v>
                </c:pt>
                <c:pt idx="58">
                  <c:v>135.07140000000001</c:v>
                </c:pt>
                <c:pt idx="59">
                  <c:v>135.6857</c:v>
                </c:pt>
                <c:pt idx="60">
                  <c:v>135.57140000000001</c:v>
                </c:pt>
                <c:pt idx="61">
                  <c:v>135.4571</c:v>
                </c:pt>
                <c:pt idx="62">
                  <c:v>135.5</c:v>
                </c:pt>
                <c:pt idx="63">
                  <c:v>135.57140000000001</c:v>
                </c:pt>
                <c:pt idx="64">
                  <c:v>135.28569999999999</c:v>
                </c:pt>
                <c:pt idx="65">
                  <c:v>135.0428</c:v>
                </c:pt>
                <c:pt idx="66">
                  <c:v>135.4</c:v>
                </c:pt>
                <c:pt idx="67">
                  <c:v>135.83330000000001</c:v>
                </c:pt>
                <c:pt idx="68">
                  <c:v>136.26</c:v>
                </c:pt>
                <c:pt idx="69">
                  <c:v>136.4</c:v>
                </c:pt>
              </c:numCache>
            </c:numRef>
          </c:val>
          <c:smooth val="0"/>
          <c:extLst>
            <c:ext xmlns:c16="http://schemas.microsoft.com/office/drawing/2014/chart" uri="{C3380CC4-5D6E-409C-BE32-E72D297353CC}">
              <c16:uniqueId val="{00000001-37A7-4855-803B-B37D00CFEAD1}"/>
            </c:ext>
          </c:extLst>
        </c:ser>
        <c:ser>
          <c:idx val="2"/>
          <c:order val="2"/>
          <c:tx>
            <c:strRef>
              <c:f>'[Hedonic Indexes.xlsx]House Price Hedonic Index'!$L$1</c:f>
              <c:strCache>
                <c:ptCount val="1"/>
                <c:pt idx="0">
                  <c:v>RegionalVIC</c:v>
                </c:pt>
              </c:strCache>
            </c:strRef>
          </c:tx>
          <c:spPr>
            <a:ln w="28575" cap="rnd">
              <a:solidFill>
                <a:schemeClr val="accent3"/>
              </a:solidFill>
              <a:round/>
            </a:ln>
            <a:effectLst/>
          </c:spPr>
          <c:marker>
            <c:symbol val="none"/>
          </c:marker>
          <c:cat>
            <c:numRef>
              <c:f>'[Hedonic Indexes.xlsx]House Price Hedonic Index'!$I$2:$I$71</c:f>
              <c:numCache>
                <c:formatCode>General</c:formatCode>
                <c:ptCount val="7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pt idx="52">
                  <c:v>201905</c:v>
                </c:pt>
                <c:pt idx="53">
                  <c:v>201906</c:v>
                </c:pt>
                <c:pt idx="54">
                  <c:v>201907</c:v>
                </c:pt>
                <c:pt idx="55">
                  <c:v>201908</c:v>
                </c:pt>
                <c:pt idx="56">
                  <c:v>201909</c:v>
                </c:pt>
                <c:pt idx="57">
                  <c:v>201910</c:v>
                </c:pt>
                <c:pt idx="58">
                  <c:v>201911</c:v>
                </c:pt>
                <c:pt idx="59">
                  <c:v>201912</c:v>
                </c:pt>
                <c:pt idx="60">
                  <c:v>202001</c:v>
                </c:pt>
                <c:pt idx="61">
                  <c:v>202002</c:v>
                </c:pt>
                <c:pt idx="62">
                  <c:v>202003</c:v>
                </c:pt>
                <c:pt idx="63">
                  <c:v>202004</c:v>
                </c:pt>
                <c:pt idx="64">
                  <c:v>202005</c:v>
                </c:pt>
                <c:pt idx="65">
                  <c:v>202006</c:v>
                </c:pt>
                <c:pt idx="66">
                  <c:v>202007</c:v>
                </c:pt>
                <c:pt idx="67">
                  <c:v>202008</c:v>
                </c:pt>
                <c:pt idx="68">
                  <c:v>202009</c:v>
                </c:pt>
                <c:pt idx="69">
                  <c:v>202010</c:v>
                </c:pt>
              </c:numCache>
            </c:numRef>
          </c:cat>
          <c:val>
            <c:numRef>
              <c:f>'[Hedonic Indexes.xlsx]House Price Hedonic Index'!$L$2:$L$71</c:f>
              <c:numCache>
                <c:formatCode>General</c:formatCode>
                <c:ptCount val="70"/>
                <c:pt idx="0">
                  <c:v>100</c:v>
                </c:pt>
                <c:pt idx="1">
                  <c:v>101.25239999999999</c:v>
                </c:pt>
                <c:pt idx="2">
                  <c:v>101.5903</c:v>
                </c:pt>
                <c:pt idx="3">
                  <c:v>101.786</c:v>
                </c:pt>
                <c:pt idx="4">
                  <c:v>102.31310000000001</c:v>
                </c:pt>
                <c:pt idx="5">
                  <c:v>102.7171</c:v>
                </c:pt>
                <c:pt idx="6">
                  <c:v>103.25709999999999</c:v>
                </c:pt>
                <c:pt idx="7">
                  <c:v>103.76860000000001</c:v>
                </c:pt>
                <c:pt idx="8">
                  <c:v>104.22709999999999</c:v>
                </c:pt>
                <c:pt idx="9">
                  <c:v>104.5214</c:v>
                </c:pt>
                <c:pt idx="10">
                  <c:v>105.0429</c:v>
                </c:pt>
                <c:pt idx="11">
                  <c:v>105.5643</c:v>
                </c:pt>
                <c:pt idx="12">
                  <c:v>106.0429</c:v>
                </c:pt>
                <c:pt idx="13">
                  <c:v>106.27290000000001</c:v>
                </c:pt>
                <c:pt idx="14">
                  <c:v>106.44710000000001</c:v>
                </c:pt>
                <c:pt idx="15">
                  <c:v>106.59139999999999</c:v>
                </c:pt>
                <c:pt idx="16">
                  <c:v>107.0014</c:v>
                </c:pt>
                <c:pt idx="17">
                  <c:v>107.3886</c:v>
                </c:pt>
                <c:pt idx="18">
                  <c:v>107.7829</c:v>
                </c:pt>
                <c:pt idx="19">
                  <c:v>108.37</c:v>
                </c:pt>
                <c:pt idx="20">
                  <c:v>109.1443</c:v>
                </c:pt>
                <c:pt idx="21">
                  <c:v>109.8186</c:v>
                </c:pt>
                <c:pt idx="22">
                  <c:v>110.69</c:v>
                </c:pt>
                <c:pt idx="23">
                  <c:v>111.3314</c:v>
                </c:pt>
                <c:pt idx="24">
                  <c:v>112.0714</c:v>
                </c:pt>
                <c:pt idx="25">
                  <c:v>112.9143</c:v>
                </c:pt>
                <c:pt idx="26">
                  <c:v>113.87139999999999</c:v>
                </c:pt>
                <c:pt idx="27">
                  <c:v>114.3</c:v>
                </c:pt>
                <c:pt idx="28">
                  <c:v>115.0286</c:v>
                </c:pt>
                <c:pt idx="29">
                  <c:v>115.67140000000001</c:v>
                </c:pt>
                <c:pt idx="30">
                  <c:v>116.5857</c:v>
                </c:pt>
                <c:pt idx="31">
                  <c:v>117.2286</c:v>
                </c:pt>
                <c:pt idx="32">
                  <c:v>117.8</c:v>
                </c:pt>
                <c:pt idx="33">
                  <c:v>118.2714</c:v>
                </c:pt>
                <c:pt idx="34">
                  <c:v>119.0714</c:v>
                </c:pt>
                <c:pt idx="35">
                  <c:v>119.87139999999999</c:v>
                </c:pt>
                <c:pt idx="36">
                  <c:v>120.5</c:v>
                </c:pt>
                <c:pt idx="37">
                  <c:v>120.98569999999999</c:v>
                </c:pt>
                <c:pt idx="38">
                  <c:v>121.4143</c:v>
                </c:pt>
                <c:pt idx="39">
                  <c:v>121.6143</c:v>
                </c:pt>
                <c:pt idx="40">
                  <c:v>121.7286</c:v>
                </c:pt>
                <c:pt idx="41">
                  <c:v>121.9286</c:v>
                </c:pt>
                <c:pt idx="42">
                  <c:v>121.9286</c:v>
                </c:pt>
                <c:pt idx="43">
                  <c:v>121.7286</c:v>
                </c:pt>
                <c:pt idx="44">
                  <c:v>121.5429</c:v>
                </c:pt>
                <c:pt idx="45">
                  <c:v>121.75709999999999</c:v>
                </c:pt>
                <c:pt idx="46">
                  <c:v>121.9</c:v>
                </c:pt>
                <c:pt idx="47">
                  <c:v>122.05710000000001</c:v>
                </c:pt>
                <c:pt idx="48">
                  <c:v>122.1857</c:v>
                </c:pt>
                <c:pt idx="49">
                  <c:v>122.2</c:v>
                </c:pt>
                <c:pt idx="50">
                  <c:v>122.28570000000001</c:v>
                </c:pt>
                <c:pt idx="51">
                  <c:v>122.62860000000001</c:v>
                </c:pt>
                <c:pt idx="52">
                  <c:v>122.6429</c:v>
                </c:pt>
                <c:pt idx="53">
                  <c:v>123.1143</c:v>
                </c:pt>
                <c:pt idx="54">
                  <c:v>123.62860000000001</c:v>
                </c:pt>
                <c:pt idx="55">
                  <c:v>124.2286</c:v>
                </c:pt>
                <c:pt idx="56">
                  <c:v>125</c:v>
                </c:pt>
                <c:pt idx="57">
                  <c:v>126.1857</c:v>
                </c:pt>
                <c:pt idx="58">
                  <c:v>127.1857</c:v>
                </c:pt>
                <c:pt idx="59">
                  <c:v>128.11429999999999</c:v>
                </c:pt>
                <c:pt idx="60">
                  <c:v>128.19999999999999</c:v>
                </c:pt>
                <c:pt idx="61">
                  <c:v>128.44290000000001</c:v>
                </c:pt>
                <c:pt idx="62">
                  <c:v>128.9</c:v>
                </c:pt>
                <c:pt idx="63">
                  <c:v>129.28569999999999</c:v>
                </c:pt>
                <c:pt idx="64">
                  <c:v>129.67140000000001</c:v>
                </c:pt>
                <c:pt idx="65">
                  <c:v>130.1429</c:v>
                </c:pt>
                <c:pt idx="66">
                  <c:v>130.78569999999999</c:v>
                </c:pt>
                <c:pt idx="67">
                  <c:v>131.5333</c:v>
                </c:pt>
                <c:pt idx="68">
                  <c:v>132.24</c:v>
                </c:pt>
                <c:pt idx="69">
                  <c:v>132.75</c:v>
                </c:pt>
              </c:numCache>
            </c:numRef>
          </c:val>
          <c:smooth val="0"/>
          <c:extLst>
            <c:ext xmlns:c16="http://schemas.microsoft.com/office/drawing/2014/chart" uri="{C3380CC4-5D6E-409C-BE32-E72D297353CC}">
              <c16:uniqueId val="{00000002-37A7-4855-803B-B37D00CFEAD1}"/>
            </c:ext>
          </c:extLst>
        </c:ser>
        <c:ser>
          <c:idx val="3"/>
          <c:order val="3"/>
          <c:tx>
            <c:strRef>
              <c:f>'[Hedonic Indexes.xlsx]House Price Hedonic Index'!$M$1</c:f>
              <c:strCache>
                <c:ptCount val="1"/>
                <c:pt idx="0">
                  <c:v>GreaterGeelong</c:v>
                </c:pt>
              </c:strCache>
            </c:strRef>
          </c:tx>
          <c:spPr>
            <a:ln w="28575" cap="rnd">
              <a:solidFill>
                <a:schemeClr val="accent4"/>
              </a:solidFill>
              <a:round/>
            </a:ln>
            <a:effectLst/>
          </c:spPr>
          <c:marker>
            <c:symbol val="none"/>
          </c:marker>
          <c:cat>
            <c:numRef>
              <c:f>'[Hedonic Indexes.xlsx]House Price Hedonic Index'!$I$2:$I$71</c:f>
              <c:numCache>
                <c:formatCode>General</c:formatCode>
                <c:ptCount val="7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pt idx="52">
                  <c:v>201905</c:v>
                </c:pt>
                <c:pt idx="53">
                  <c:v>201906</c:v>
                </c:pt>
                <c:pt idx="54">
                  <c:v>201907</c:v>
                </c:pt>
                <c:pt idx="55">
                  <c:v>201908</c:v>
                </c:pt>
                <c:pt idx="56">
                  <c:v>201909</c:v>
                </c:pt>
                <c:pt idx="57">
                  <c:v>201910</c:v>
                </c:pt>
                <c:pt idx="58">
                  <c:v>201911</c:v>
                </c:pt>
                <c:pt idx="59">
                  <c:v>201912</c:v>
                </c:pt>
                <c:pt idx="60">
                  <c:v>202001</c:v>
                </c:pt>
                <c:pt idx="61">
                  <c:v>202002</c:v>
                </c:pt>
                <c:pt idx="62">
                  <c:v>202003</c:v>
                </c:pt>
                <c:pt idx="63">
                  <c:v>202004</c:v>
                </c:pt>
                <c:pt idx="64">
                  <c:v>202005</c:v>
                </c:pt>
                <c:pt idx="65">
                  <c:v>202006</c:v>
                </c:pt>
                <c:pt idx="66">
                  <c:v>202007</c:v>
                </c:pt>
                <c:pt idx="67">
                  <c:v>202008</c:v>
                </c:pt>
                <c:pt idx="68">
                  <c:v>202009</c:v>
                </c:pt>
                <c:pt idx="69">
                  <c:v>202010</c:v>
                </c:pt>
              </c:numCache>
            </c:numRef>
          </c:cat>
          <c:val>
            <c:numRef>
              <c:f>'[Hedonic Indexes.xlsx]House Price Hedonic Index'!$M$2:$M$71</c:f>
              <c:numCache>
                <c:formatCode>General</c:formatCode>
                <c:ptCount val="70"/>
                <c:pt idx="0">
                  <c:v>100</c:v>
                </c:pt>
                <c:pt idx="1">
                  <c:v>99.361919999999998</c:v>
                </c:pt>
                <c:pt idx="2">
                  <c:v>99.244929999999997</c:v>
                </c:pt>
                <c:pt idx="3">
                  <c:v>99.278949999999995</c:v>
                </c:pt>
                <c:pt idx="4">
                  <c:v>99.478939999999994</c:v>
                </c:pt>
                <c:pt idx="5">
                  <c:v>99.776799999999994</c:v>
                </c:pt>
                <c:pt idx="6">
                  <c:v>100.31229999999999</c:v>
                </c:pt>
                <c:pt idx="7">
                  <c:v>101.29940000000001</c:v>
                </c:pt>
                <c:pt idx="8">
                  <c:v>101.64400000000001</c:v>
                </c:pt>
                <c:pt idx="9">
                  <c:v>102.3797</c:v>
                </c:pt>
                <c:pt idx="10">
                  <c:v>103.0821</c:v>
                </c:pt>
                <c:pt idx="11">
                  <c:v>103.53789999999999</c:v>
                </c:pt>
                <c:pt idx="12">
                  <c:v>104.06140000000001</c:v>
                </c:pt>
                <c:pt idx="13">
                  <c:v>104.4157</c:v>
                </c:pt>
                <c:pt idx="14">
                  <c:v>104.18429999999999</c:v>
                </c:pt>
                <c:pt idx="15">
                  <c:v>104.7486</c:v>
                </c:pt>
                <c:pt idx="16">
                  <c:v>105.1514</c:v>
                </c:pt>
                <c:pt idx="17">
                  <c:v>105.57429999999999</c:v>
                </c:pt>
                <c:pt idx="18">
                  <c:v>106.3143</c:v>
                </c:pt>
                <c:pt idx="19">
                  <c:v>106.85</c:v>
                </c:pt>
                <c:pt idx="20">
                  <c:v>107.8871</c:v>
                </c:pt>
                <c:pt idx="21">
                  <c:v>109.1271</c:v>
                </c:pt>
                <c:pt idx="22">
                  <c:v>110.2114</c:v>
                </c:pt>
                <c:pt idx="23">
                  <c:v>111.6357</c:v>
                </c:pt>
                <c:pt idx="24">
                  <c:v>113.29859999999999</c:v>
                </c:pt>
                <c:pt idx="25">
                  <c:v>114.2743</c:v>
                </c:pt>
                <c:pt idx="26">
                  <c:v>115.98569999999999</c:v>
                </c:pt>
                <c:pt idx="27">
                  <c:v>116.7714</c:v>
                </c:pt>
                <c:pt idx="28">
                  <c:v>118.01430000000001</c:v>
                </c:pt>
                <c:pt idx="29">
                  <c:v>119.4143</c:v>
                </c:pt>
                <c:pt idx="30">
                  <c:v>120.8571</c:v>
                </c:pt>
                <c:pt idx="31">
                  <c:v>121.8857</c:v>
                </c:pt>
                <c:pt idx="32">
                  <c:v>123.0714</c:v>
                </c:pt>
                <c:pt idx="33">
                  <c:v>124.28570000000001</c:v>
                </c:pt>
                <c:pt idx="34">
                  <c:v>126.0286</c:v>
                </c:pt>
                <c:pt idx="35">
                  <c:v>127.5</c:v>
                </c:pt>
                <c:pt idx="36">
                  <c:v>128.7286</c:v>
                </c:pt>
                <c:pt idx="37">
                  <c:v>129.57140000000001</c:v>
                </c:pt>
                <c:pt idx="38">
                  <c:v>130.47139999999999</c:v>
                </c:pt>
                <c:pt idx="39">
                  <c:v>131.94290000000001</c:v>
                </c:pt>
                <c:pt idx="40">
                  <c:v>132.84280000000001</c:v>
                </c:pt>
                <c:pt idx="41">
                  <c:v>133.4</c:v>
                </c:pt>
                <c:pt idx="42">
                  <c:v>133.6</c:v>
                </c:pt>
                <c:pt idx="43">
                  <c:v>133.62860000000001</c:v>
                </c:pt>
                <c:pt idx="44">
                  <c:v>133.1857</c:v>
                </c:pt>
                <c:pt idx="45">
                  <c:v>133.1857</c:v>
                </c:pt>
                <c:pt idx="46">
                  <c:v>132.6</c:v>
                </c:pt>
                <c:pt idx="47">
                  <c:v>132.15719999999999</c:v>
                </c:pt>
                <c:pt idx="48">
                  <c:v>131.5429</c:v>
                </c:pt>
                <c:pt idx="49">
                  <c:v>131.02860000000001</c:v>
                </c:pt>
                <c:pt idx="50">
                  <c:v>130.67140000000001</c:v>
                </c:pt>
                <c:pt idx="51">
                  <c:v>130.8143</c:v>
                </c:pt>
                <c:pt idx="52">
                  <c:v>130.94290000000001</c:v>
                </c:pt>
                <c:pt idx="53">
                  <c:v>131.34280000000001</c:v>
                </c:pt>
                <c:pt idx="54">
                  <c:v>131.65710000000001</c:v>
                </c:pt>
                <c:pt idx="55">
                  <c:v>132.38570000000001</c:v>
                </c:pt>
                <c:pt idx="56">
                  <c:v>133.24289999999999</c:v>
                </c:pt>
                <c:pt idx="57">
                  <c:v>134.17140000000001</c:v>
                </c:pt>
                <c:pt idx="58">
                  <c:v>135.52860000000001</c:v>
                </c:pt>
                <c:pt idx="59">
                  <c:v>136.4143</c:v>
                </c:pt>
                <c:pt idx="60">
                  <c:v>136.1857</c:v>
                </c:pt>
                <c:pt idx="61">
                  <c:v>136.5429</c:v>
                </c:pt>
                <c:pt idx="62">
                  <c:v>136.7714</c:v>
                </c:pt>
                <c:pt idx="63">
                  <c:v>137.1429</c:v>
                </c:pt>
                <c:pt idx="64">
                  <c:v>137.5857</c:v>
                </c:pt>
                <c:pt idx="65">
                  <c:v>137.5857</c:v>
                </c:pt>
                <c:pt idx="66">
                  <c:v>137.9143</c:v>
                </c:pt>
                <c:pt idx="67">
                  <c:v>138.85</c:v>
                </c:pt>
                <c:pt idx="68">
                  <c:v>139.30000000000001</c:v>
                </c:pt>
                <c:pt idx="69">
                  <c:v>139.75</c:v>
                </c:pt>
              </c:numCache>
            </c:numRef>
          </c:val>
          <c:smooth val="0"/>
          <c:extLst>
            <c:ext xmlns:c16="http://schemas.microsoft.com/office/drawing/2014/chart" uri="{C3380CC4-5D6E-409C-BE32-E72D297353CC}">
              <c16:uniqueId val="{00000003-37A7-4855-803B-B37D00CFEAD1}"/>
            </c:ext>
          </c:extLst>
        </c:ser>
        <c:ser>
          <c:idx val="4"/>
          <c:order val="4"/>
          <c:tx>
            <c:strRef>
              <c:f>'[Hedonic Indexes.xlsx]House Price Hedonic Index'!$N$1</c:f>
              <c:strCache>
                <c:ptCount val="1"/>
                <c:pt idx="0">
                  <c:v>FocalSuburbs</c:v>
                </c:pt>
              </c:strCache>
            </c:strRef>
          </c:tx>
          <c:spPr>
            <a:ln w="28575" cap="rnd">
              <a:solidFill>
                <a:schemeClr val="accent5"/>
              </a:solidFill>
              <a:round/>
            </a:ln>
            <a:effectLst/>
          </c:spPr>
          <c:marker>
            <c:symbol val="none"/>
          </c:marker>
          <c:cat>
            <c:numRef>
              <c:f>'[Hedonic Indexes.xlsx]House Price Hedonic Index'!$I$2:$I$71</c:f>
              <c:numCache>
                <c:formatCode>General</c:formatCode>
                <c:ptCount val="70"/>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pt idx="49">
                  <c:v>201902</c:v>
                </c:pt>
                <c:pt idx="50">
                  <c:v>201903</c:v>
                </c:pt>
                <c:pt idx="51">
                  <c:v>201904</c:v>
                </c:pt>
                <c:pt idx="52">
                  <c:v>201905</c:v>
                </c:pt>
                <c:pt idx="53">
                  <c:v>201906</c:v>
                </c:pt>
                <c:pt idx="54">
                  <c:v>201907</c:v>
                </c:pt>
                <c:pt idx="55">
                  <c:v>201908</c:v>
                </c:pt>
                <c:pt idx="56">
                  <c:v>201909</c:v>
                </c:pt>
                <c:pt idx="57">
                  <c:v>201910</c:v>
                </c:pt>
                <c:pt idx="58">
                  <c:v>201911</c:v>
                </c:pt>
                <c:pt idx="59">
                  <c:v>201912</c:v>
                </c:pt>
                <c:pt idx="60">
                  <c:v>202001</c:v>
                </c:pt>
                <c:pt idx="61">
                  <c:v>202002</c:v>
                </c:pt>
                <c:pt idx="62">
                  <c:v>202003</c:v>
                </c:pt>
                <c:pt idx="63">
                  <c:v>202004</c:v>
                </c:pt>
                <c:pt idx="64">
                  <c:v>202005</c:v>
                </c:pt>
                <c:pt idx="65">
                  <c:v>202006</c:v>
                </c:pt>
                <c:pt idx="66">
                  <c:v>202007</c:v>
                </c:pt>
                <c:pt idx="67">
                  <c:v>202008</c:v>
                </c:pt>
                <c:pt idx="68">
                  <c:v>202009</c:v>
                </c:pt>
                <c:pt idx="69">
                  <c:v>202010</c:v>
                </c:pt>
              </c:numCache>
            </c:numRef>
          </c:cat>
          <c:val>
            <c:numRef>
              <c:f>'[Hedonic Indexes.xlsx]House Price Hedonic Index'!$N$2:$N$71</c:f>
              <c:numCache>
                <c:formatCode>General</c:formatCode>
                <c:ptCount val="70"/>
                <c:pt idx="0">
                  <c:v>100</c:v>
                </c:pt>
                <c:pt idx="1">
                  <c:v>97.237799999999993</c:v>
                </c:pt>
                <c:pt idx="2">
                  <c:v>98.139830000000003</c:v>
                </c:pt>
                <c:pt idx="3">
                  <c:v>97.662710000000004</c:v>
                </c:pt>
                <c:pt idx="4">
                  <c:v>97.633859999999999</c:v>
                </c:pt>
                <c:pt idx="5">
                  <c:v>97.111720000000005</c:v>
                </c:pt>
                <c:pt idx="6">
                  <c:v>98.693150000000003</c:v>
                </c:pt>
                <c:pt idx="7">
                  <c:v>99.895430000000005</c:v>
                </c:pt>
                <c:pt idx="8">
                  <c:v>99.895430000000005</c:v>
                </c:pt>
                <c:pt idx="9">
                  <c:v>99.665430000000001</c:v>
                </c:pt>
                <c:pt idx="10">
                  <c:v>100.2111</c:v>
                </c:pt>
                <c:pt idx="11">
                  <c:v>100.36669999999999</c:v>
                </c:pt>
                <c:pt idx="12">
                  <c:v>101.4496</c:v>
                </c:pt>
                <c:pt idx="13">
                  <c:v>101.1271</c:v>
                </c:pt>
                <c:pt idx="14">
                  <c:v>100.8643</c:v>
                </c:pt>
                <c:pt idx="15">
                  <c:v>101.7786</c:v>
                </c:pt>
                <c:pt idx="16">
                  <c:v>102.2043</c:v>
                </c:pt>
                <c:pt idx="17">
                  <c:v>102.7071</c:v>
                </c:pt>
                <c:pt idx="18">
                  <c:v>103.4447</c:v>
                </c:pt>
                <c:pt idx="19">
                  <c:v>103.4676</c:v>
                </c:pt>
                <c:pt idx="20">
                  <c:v>105.14</c:v>
                </c:pt>
                <c:pt idx="21">
                  <c:v>106.1086</c:v>
                </c:pt>
                <c:pt idx="22">
                  <c:v>107.60290000000001</c:v>
                </c:pt>
                <c:pt idx="23">
                  <c:v>109.1143</c:v>
                </c:pt>
                <c:pt idx="24">
                  <c:v>111.1229</c:v>
                </c:pt>
                <c:pt idx="25">
                  <c:v>112.9157</c:v>
                </c:pt>
                <c:pt idx="26">
                  <c:v>115.4571</c:v>
                </c:pt>
                <c:pt idx="27">
                  <c:v>116.94289999999999</c:v>
                </c:pt>
                <c:pt idx="28">
                  <c:v>118.5429</c:v>
                </c:pt>
                <c:pt idx="29">
                  <c:v>120.37139999999999</c:v>
                </c:pt>
                <c:pt idx="30">
                  <c:v>122.87139999999999</c:v>
                </c:pt>
                <c:pt idx="31">
                  <c:v>124.9143</c:v>
                </c:pt>
                <c:pt idx="32">
                  <c:v>126.4</c:v>
                </c:pt>
                <c:pt idx="33">
                  <c:v>127.9</c:v>
                </c:pt>
                <c:pt idx="34">
                  <c:v>130.34289999999999</c:v>
                </c:pt>
                <c:pt idx="35">
                  <c:v>133.15710000000001</c:v>
                </c:pt>
                <c:pt idx="36">
                  <c:v>135</c:v>
                </c:pt>
                <c:pt idx="37">
                  <c:v>136.5</c:v>
                </c:pt>
                <c:pt idx="38">
                  <c:v>138.0429</c:v>
                </c:pt>
                <c:pt idx="39">
                  <c:v>139.6857</c:v>
                </c:pt>
                <c:pt idx="40">
                  <c:v>141.47139999999999</c:v>
                </c:pt>
                <c:pt idx="41">
                  <c:v>142.30000000000001</c:v>
                </c:pt>
                <c:pt idx="42">
                  <c:v>141.67140000000001</c:v>
                </c:pt>
                <c:pt idx="43">
                  <c:v>141.80000000000001</c:v>
                </c:pt>
                <c:pt idx="44">
                  <c:v>140.78569999999999</c:v>
                </c:pt>
                <c:pt idx="45">
                  <c:v>140.52860000000001</c:v>
                </c:pt>
                <c:pt idx="46">
                  <c:v>140.2286</c:v>
                </c:pt>
                <c:pt idx="47">
                  <c:v>139.82859999999999</c:v>
                </c:pt>
                <c:pt idx="48">
                  <c:v>138.8143</c:v>
                </c:pt>
                <c:pt idx="49">
                  <c:v>138.01429999999999</c:v>
                </c:pt>
                <c:pt idx="50">
                  <c:v>137.0857</c:v>
                </c:pt>
                <c:pt idx="51">
                  <c:v>136.8143</c:v>
                </c:pt>
                <c:pt idx="52">
                  <c:v>136.30000000000001</c:v>
                </c:pt>
                <c:pt idx="53">
                  <c:v>136.32859999999999</c:v>
                </c:pt>
                <c:pt idx="54">
                  <c:v>135.97139999999999</c:v>
                </c:pt>
                <c:pt idx="55">
                  <c:v>136.48570000000001</c:v>
                </c:pt>
                <c:pt idx="56">
                  <c:v>137.5</c:v>
                </c:pt>
                <c:pt idx="57">
                  <c:v>137.92859999999999</c:v>
                </c:pt>
                <c:pt idx="58">
                  <c:v>138.9</c:v>
                </c:pt>
                <c:pt idx="59">
                  <c:v>139.7286</c:v>
                </c:pt>
                <c:pt idx="60">
                  <c:v>139.82859999999999</c:v>
                </c:pt>
                <c:pt idx="61">
                  <c:v>139.4571</c:v>
                </c:pt>
                <c:pt idx="62">
                  <c:v>139.32859999999999</c:v>
                </c:pt>
                <c:pt idx="63">
                  <c:v>139.9</c:v>
                </c:pt>
                <c:pt idx="64">
                  <c:v>140.3143</c:v>
                </c:pt>
                <c:pt idx="65">
                  <c:v>140.6</c:v>
                </c:pt>
                <c:pt idx="66">
                  <c:v>141.0857</c:v>
                </c:pt>
                <c:pt idx="67">
                  <c:v>141.38329999999999</c:v>
                </c:pt>
                <c:pt idx="68">
                  <c:v>142.46</c:v>
                </c:pt>
                <c:pt idx="69">
                  <c:v>143.02500000000001</c:v>
                </c:pt>
              </c:numCache>
            </c:numRef>
          </c:val>
          <c:smooth val="0"/>
          <c:extLst>
            <c:ext xmlns:c16="http://schemas.microsoft.com/office/drawing/2014/chart" uri="{C3380CC4-5D6E-409C-BE32-E72D297353CC}">
              <c16:uniqueId val="{00000004-37A7-4855-803B-B37D00CFEAD1}"/>
            </c:ext>
          </c:extLst>
        </c:ser>
        <c:dLbls>
          <c:showLegendKey val="0"/>
          <c:showVal val="0"/>
          <c:showCatName val="0"/>
          <c:showSerName val="0"/>
          <c:showPercent val="0"/>
          <c:showBubbleSize val="0"/>
        </c:dLbls>
        <c:smooth val="0"/>
        <c:axId val="620895112"/>
        <c:axId val="620895768"/>
      </c:lineChart>
      <c:catAx>
        <c:axId val="620895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895768"/>
        <c:crosses val="autoZero"/>
        <c:auto val="1"/>
        <c:lblAlgn val="ctr"/>
        <c:lblOffset val="100"/>
        <c:noMultiLvlLbl val="0"/>
      </c:catAx>
      <c:valAx>
        <c:axId val="620895768"/>
        <c:scaling>
          <c:orientation val="minMax"/>
          <c:min val="9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895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House Rental</a:t>
            </a:r>
            <a:r>
              <a:rPr lang="en-AU" baseline="0"/>
              <a:t> Hedonic Index</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'[Hedonic Indexes.xlsx]House Rental Hedonic Index'!$I$1</c:f>
              <c:strCache>
                <c:ptCount val="1"/>
                <c:pt idx="0">
                  <c:v>VIC</c:v>
                </c:pt>
              </c:strCache>
            </c:strRef>
          </c:tx>
          <c:spPr>
            <a:ln w="28575" cap="rnd">
              <a:solidFill>
                <a:schemeClr val="accent1"/>
              </a:solidFill>
              <a:round/>
            </a:ln>
            <a:effectLst/>
          </c:spPr>
          <c:marker>
            <c:symbol val="none"/>
          </c:marker>
          <c:cat>
            <c:strRef>
              <c:f>'[Hedonic Indexes.xlsx]House Rental Hedonic Index'!$H$2:$H$71</c:f>
              <c:strCache>
                <c:ptCount val="70"/>
                <c:pt idx="0">
                  <c:v>2015-1</c:v>
                </c:pt>
                <c:pt idx="1">
                  <c:v>2015-2</c:v>
                </c:pt>
                <c:pt idx="2">
                  <c:v>2015-3</c:v>
                </c:pt>
                <c:pt idx="3">
                  <c:v>2015-4</c:v>
                </c:pt>
                <c:pt idx="4">
                  <c:v>2015-5</c:v>
                </c:pt>
                <c:pt idx="5">
                  <c:v>2015-6</c:v>
                </c:pt>
                <c:pt idx="6">
                  <c:v>2015-7</c:v>
                </c:pt>
                <c:pt idx="7">
                  <c:v>2015-8</c:v>
                </c:pt>
                <c:pt idx="8">
                  <c:v>2015-9</c:v>
                </c:pt>
                <c:pt idx="9">
                  <c:v>2015-10</c:v>
                </c:pt>
                <c:pt idx="10">
                  <c:v>2015-11</c:v>
                </c:pt>
                <c:pt idx="11">
                  <c:v>2015-12</c:v>
                </c:pt>
                <c:pt idx="12">
                  <c:v>2016-1</c:v>
                </c:pt>
                <c:pt idx="13">
                  <c:v>2016-2</c:v>
                </c:pt>
                <c:pt idx="14">
                  <c:v>2016-3</c:v>
                </c:pt>
                <c:pt idx="15">
                  <c:v>2016-4</c:v>
                </c:pt>
                <c:pt idx="16">
                  <c:v>2016-5</c:v>
                </c:pt>
                <c:pt idx="17">
                  <c:v>2016-6</c:v>
                </c:pt>
                <c:pt idx="18">
                  <c:v>2016-7</c:v>
                </c:pt>
                <c:pt idx="19">
                  <c:v>2016-8</c:v>
                </c:pt>
                <c:pt idx="20">
                  <c:v>2016-9</c:v>
                </c:pt>
                <c:pt idx="21">
                  <c:v>2016-10</c:v>
                </c:pt>
                <c:pt idx="22">
                  <c:v>2016-11</c:v>
                </c:pt>
                <c:pt idx="23">
                  <c:v>2016-12</c:v>
                </c:pt>
                <c:pt idx="24">
                  <c:v>2017-1</c:v>
                </c:pt>
                <c:pt idx="25">
                  <c:v>2017-2</c:v>
                </c:pt>
                <c:pt idx="26">
                  <c:v>2017-3</c:v>
                </c:pt>
                <c:pt idx="27">
                  <c:v>2017-4</c:v>
                </c:pt>
                <c:pt idx="28">
                  <c:v>2017-5</c:v>
                </c:pt>
                <c:pt idx="29">
                  <c:v>2017-6</c:v>
                </c:pt>
                <c:pt idx="30">
                  <c:v>2017-7</c:v>
                </c:pt>
                <c:pt idx="31">
                  <c:v>2017-8</c:v>
                </c:pt>
                <c:pt idx="32">
                  <c:v>2017-9</c:v>
                </c:pt>
                <c:pt idx="33">
                  <c:v>2017-10</c:v>
                </c:pt>
                <c:pt idx="34">
                  <c:v>2017-11</c:v>
                </c:pt>
                <c:pt idx="35">
                  <c:v>2017-12</c:v>
                </c:pt>
                <c:pt idx="36">
                  <c:v>2018-1</c:v>
                </c:pt>
                <c:pt idx="37">
                  <c:v>2018-2</c:v>
                </c:pt>
                <c:pt idx="38">
                  <c:v>2018-3</c:v>
                </c:pt>
                <c:pt idx="39">
                  <c:v>2018-4</c:v>
                </c:pt>
                <c:pt idx="40">
                  <c:v>2018-5</c:v>
                </c:pt>
                <c:pt idx="41">
                  <c:v>2018-6</c:v>
                </c:pt>
                <c:pt idx="42">
                  <c:v>2018-7</c:v>
                </c:pt>
                <c:pt idx="43">
                  <c:v>2018-8</c:v>
                </c:pt>
                <c:pt idx="44">
                  <c:v>2018-9</c:v>
                </c:pt>
                <c:pt idx="45">
                  <c:v>2018-10</c:v>
                </c:pt>
                <c:pt idx="46">
                  <c:v>2018-11</c:v>
                </c:pt>
                <c:pt idx="47">
                  <c:v>2018-12</c:v>
                </c:pt>
                <c:pt idx="48">
                  <c:v>2019-1</c:v>
                </c:pt>
                <c:pt idx="49">
                  <c:v>2019-2</c:v>
                </c:pt>
                <c:pt idx="50">
                  <c:v>2019-3</c:v>
                </c:pt>
                <c:pt idx="51">
                  <c:v>2019-4</c:v>
                </c:pt>
                <c:pt idx="52">
                  <c:v>2019-5</c:v>
                </c:pt>
                <c:pt idx="53">
                  <c:v>2019-6</c:v>
                </c:pt>
                <c:pt idx="54">
                  <c:v>2019-7</c:v>
                </c:pt>
                <c:pt idx="55">
                  <c:v>2019-8</c:v>
                </c:pt>
                <c:pt idx="56">
                  <c:v>2019-9</c:v>
                </c:pt>
                <c:pt idx="57">
                  <c:v>2019-10</c:v>
                </c:pt>
                <c:pt idx="58">
                  <c:v>2019-11</c:v>
                </c:pt>
                <c:pt idx="59">
                  <c:v>2019-12</c:v>
                </c:pt>
                <c:pt idx="60">
                  <c:v>2020-1</c:v>
                </c:pt>
                <c:pt idx="61">
                  <c:v>2020-2</c:v>
                </c:pt>
                <c:pt idx="62">
                  <c:v>2020-3</c:v>
                </c:pt>
                <c:pt idx="63">
                  <c:v>2020-4</c:v>
                </c:pt>
                <c:pt idx="64">
                  <c:v>2020-5</c:v>
                </c:pt>
                <c:pt idx="65">
                  <c:v>2020-6</c:v>
                </c:pt>
                <c:pt idx="66">
                  <c:v>2020-7</c:v>
                </c:pt>
                <c:pt idx="67">
                  <c:v>2020-8</c:v>
                </c:pt>
                <c:pt idx="68">
                  <c:v>2020-9</c:v>
                </c:pt>
                <c:pt idx="69">
                  <c:v>2020-10</c:v>
                </c:pt>
              </c:strCache>
            </c:strRef>
          </c:cat>
          <c:val>
            <c:numRef>
              <c:f>'[Hedonic Indexes.xlsx]House Rental Hedonic Index'!$I$2:$I$71</c:f>
              <c:numCache>
                <c:formatCode>General</c:formatCode>
                <c:ptCount val="70"/>
                <c:pt idx="0">
                  <c:v>100</c:v>
                </c:pt>
                <c:pt idx="1">
                  <c:v>100.331</c:v>
                </c:pt>
                <c:pt idx="2">
                  <c:v>100.3385</c:v>
                </c:pt>
                <c:pt idx="3">
                  <c:v>100.3604</c:v>
                </c:pt>
                <c:pt idx="4">
                  <c:v>100.44410000000001</c:v>
                </c:pt>
                <c:pt idx="5">
                  <c:v>100.194</c:v>
                </c:pt>
                <c:pt idx="6">
                  <c:v>100.2557</c:v>
                </c:pt>
                <c:pt idx="7">
                  <c:v>100.4759</c:v>
                </c:pt>
                <c:pt idx="8">
                  <c:v>100.6191</c:v>
                </c:pt>
                <c:pt idx="9">
                  <c:v>100.92829999999999</c:v>
                </c:pt>
                <c:pt idx="10">
                  <c:v>101.208</c:v>
                </c:pt>
                <c:pt idx="11">
                  <c:v>102.19710000000001</c:v>
                </c:pt>
                <c:pt idx="12">
                  <c:v>102.7343</c:v>
                </c:pt>
                <c:pt idx="13">
                  <c:v>102.9543</c:v>
                </c:pt>
                <c:pt idx="14">
                  <c:v>103.04430000000001</c:v>
                </c:pt>
                <c:pt idx="15">
                  <c:v>103.20569999999999</c:v>
                </c:pt>
                <c:pt idx="16">
                  <c:v>103.2486</c:v>
                </c:pt>
                <c:pt idx="17">
                  <c:v>103.2957</c:v>
                </c:pt>
                <c:pt idx="18">
                  <c:v>102.7229</c:v>
                </c:pt>
                <c:pt idx="19">
                  <c:v>102.8986</c:v>
                </c:pt>
                <c:pt idx="20">
                  <c:v>103.2414</c:v>
                </c:pt>
                <c:pt idx="21">
                  <c:v>103.6443</c:v>
                </c:pt>
                <c:pt idx="22">
                  <c:v>104.0329</c:v>
                </c:pt>
                <c:pt idx="23">
                  <c:v>104.50709999999999</c:v>
                </c:pt>
                <c:pt idx="24">
                  <c:v>105.0371</c:v>
                </c:pt>
                <c:pt idx="25">
                  <c:v>105.4543</c:v>
                </c:pt>
                <c:pt idx="26">
                  <c:v>105.8486</c:v>
                </c:pt>
                <c:pt idx="27">
                  <c:v>106.10290000000001</c:v>
                </c:pt>
                <c:pt idx="28">
                  <c:v>106.2929</c:v>
                </c:pt>
                <c:pt idx="29">
                  <c:v>106.42140000000001</c:v>
                </c:pt>
                <c:pt idx="30">
                  <c:v>106.48860000000001</c:v>
                </c:pt>
                <c:pt idx="31">
                  <c:v>106.62430000000001</c:v>
                </c:pt>
                <c:pt idx="32">
                  <c:v>106.7714</c:v>
                </c:pt>
                <c:pt idx="33">
                  <c:v>107.37430000000001</c:v>
                </c:pt>
                <c:pt idx="34">
                  <c:v>107.73860000000001</c:v>
                </c:pt>
                <c:pt idx="35">
                  <c:v>108.1114</c:v>
                </c:pt>
                <c:pt idx="36">
                  <c:v>108.5343</c:v>
                </c:pt>
                <c:pt idx="37">
                  <c:v>108.9443</c:v>
                </c:pt>
                <c:pt idx="38">
                  <c:v>109.2029</c:v>
                </c:pt>
                <c:pt idx="39">
                  <c:v>109.5057</c:v>
                </c:pt>
                <c:pt idx="40">
                  <c:v>109.2586</c:v>
                </c:pt>
                <c:pt idx="41">
                  <c:v>109.4329</c:v>
                </c:pt>
                <c:pt idx="42">
                  <c:v>109.6671</c:v>
                </c:pt>
                <c:pt idx="43">
                  <c:v>109.87</c:v>
                </c:pt>
                <c:pt idx="44">
                  <c:v>110.1271</c:v>
                </c:pt>
                <c:pt idx="45">
                  <c:v>110.6057</c:v>
                </c:pt>
                <c:pt idx="46">
                  <c:v>110.9243</c:v>
                </c:pt>
                <c:pt idx="47">
                  <c:v>111.3857</c:v>
                </c:pt>
                <c:pt idx="48">
                  <c:v>111.62860000000001</c:v>
                </c:pt>
                <c:pt idx="49">
                  <c:v>111.7714</c:v>
                </c:pt>
                <c:pt idx="50">
                  <c:v>112.25709999999999</c:v>
                </c:pt>
                <c:pt idx="51">
                  <c:v>112.2286</c:v>
                </c:pt>
                <c:pt idx="52">
                  <c:v>111.98569999999999</c:v>
                </c:pt>
                <c:pt idx="53">
                  <c:v>111.87139999999999</c:v>
                </c:pt>
                <c:pt idx="54">
                  <c:v>111.71429999999999</c:v>
                </c:pt>
                <c:pt idx="55">
                  <c:v>111.67140000000001</c:v>
                </c:pt>
                <c:pt idx="56">
                  <c:v>111.6857</c:v>
                </c:pt>
                <c:pt idx="57">
                  <c:v>111.4286</c:v>
                </c:pt>
                <c:pt idx="58">
                  <c:v>111.67140000000001</c:v>
                </c:pt>
                <c:pt idx="59">
                  <c:v>111.9143</c:v>
                </c:pt>
                <c:pt idx="60">
                  <c:v>111.98569999999999</c:v>
                </c:pt>
                <c:pt idx="61">
                  <c:v>111.9571</c:v>
                </c:pt>
                <c:pt idx="62">
                  <c:v>111.9</c:v>
                </c:pt>
                <c:pt idx="63">
                  <c:v>111.8571</c:v>
                </c:pt>
                <c:pt idx="64">
                  <c:v>111.8857</c:v>
                </c:pt>
                <c:pt idx="65">
                  <c:v>111.62860000000001</c:v>
                </c:pt>
                <c:pt idx="66">
                  <c:v>111.3143</c:v>
                </c:pt>
                <c:pt idx="67">
                  <c:v>111.2833</c:v>
                </c:pt>
                <c:pt idx="68">
                  <c:v>111.36</c:v>
                </c:pt>
                <c:pt idx="69">
                  <c:v>111.4</c:v>
                </c:pt>
              </c:numCache>
            </c:numRef>
          </c:val>
          <c:smooth val="0"/>
          <c:extLst>
            <c:ext xmlns:c16="http://schemas.microsoft.com/office/drawing/2014/chart" uri="{C3380CC4-5D6E-409C-BE32-E72D297353CC}">
              <c16:uniqueId val="{00000000-0B82-4440-AA5F-9929761DA936}"/>
            </c:ext>
          </c:extLst>
        </c:ser>
        <c:ser>
          <c:idx val="1"/>
          <c:order val="1"/>
          <c:tx>
            <c:strRef>
              <c:f>'[Hedonic Indexes.xlsx]House Rental Hedonic Index'!$J$1</c:f>
              <c:strCache>
                <c:ptCount val="1"/>
                <c:pt idx="0">
                  <c:v>GreaterMelbourne</c:v>
                </c:pt>
              </c:strCache>
            </c:strRef>
          </c:tx>
          <c:spPr>
            <a:ln w="28575" cap="rnd">
              <a:solidFill>
                <a:schemeClr val="accent2"/>
              </a:solidFill>
              <a:round/>
            </a:ln>
            <a:effectLst/>
          </c:spPr>
          <c:marker>
            <c:symbol val="none"/>
          </c:marker>
          <c:cat>
            <c:strRef>
              <c:f>'[Hedonic Indexes.xlsx]House Rental Hedonic Index'!$H$2:$H$71</c:f>
              <c:strCache>
                <c:ptCount val="70"/>
                <c:pt idx="0">
                  <c:v>2015-1</c:v>
                </c:pt>
                <c:pt idx="1">
                  <c:v>2015-2</c:v>
                </c:pt>
                <c:pt idx="2">
                  <c:v>2015-3</c:v>
                </c:pt>
                <c:pt idx="3">
                  <c:v>2015-4</c:v>
                </c:pt>
                <c:pt idx="4">
                  <c:v>2015-5</c:v>
                </c:pt>
                <c:pt idx="5">
                  <c:v>2015-6</c:v>
                </c:pt>
                <c:pt idx="6">
                  <c:v>2015-7</c:v>
                </c:pt>
                <c:pt idx="7">
                  <c:v>2015-8</c:v>
                </c:pt>
                <c:pt idx="8">
                  <c:v>2015-9</c:v>
                </c:pt>
                <c:pt idx="9">
                  <c:v>2015-10</c:v>
                </c:pt>
                <c:pt idx="10">
                  <c:v>2015-11</c:v>
                </c:pt>
                <c:pt idx="11">
                  <c:v>2015-12</c:v>
                </c:pt>
                <c:pt idx="12">
                  <c:v>2016-1</c:v>
                </c:pt>
                <c:pt idx="13">
                  <c:v>2016-2</c:v>
                </c:pt>
                <c:pt idx="14">
                  <c:v>2016-3</c:v>
                </c:pt>
                <c:pt idx="15">
                  <c:v>2016-4</c:v>
                </c:pt>
                <c:pt idx="16">
                  <c:v>2016-5</c:v>
                </c:pt>
                <c:pt idx="17">
                  <c:v>2016-6</c:v>
                </c:pt>
                <c:pt idx="18">
                  <c:v>2016-7</c:v>
                </c:pt>
                <c:pt idx="19">
                  <c:v>2016-8</c:v>
                </c:pt>
                <c:pt idx="20">
                  <c:v>2016-9</c:v>
                </c:pt>
                <c:pt idx="21">
                  <c:v>2016-10</c:v>
                </c:pt>
                <c:pt idx="22">
                  <c:v>2016-11</c:v>
                </c:pt>
                <c:pt idx="23">
                  <c:v>2016-12</c:v>
                </c:pt>
                <c:pt idx="24">
                  <c:v>2017-1</c:v>
                </c:pt>
                <c:pt idx="25">
                  <c:v>2017-2</c:v>
                </c:pt>
                <c:pt idx="26">
                  <c:v>2017-3</c:v>
                </c:pt>
                <c:pt idx="27">
                  <c:v>2017-4</c:v>
                </c:pt>
                <c:pt idx="28">
                  <c:v>2017-5</c:v>
                </c:pt>
                <c:pt idx="29">
                  <c:v>2017-6</c:v>
                </c:pt>
                <c:pt idx="30">
                  <c:v>2017-7</c:v>
                </c:pt>
                <c:pt idx="31">
                  <c:v>2017-8</c:v>
                </c:pt>
                <c:pt idx="32">
                  <c:v>2017-9</c:v>
                </c:pt>
                <c:pt idx="33">
                  <c:v>2017-10</c:v>
                </c:pt>
                <c:pt idx="34">
                  <c:v>2017-11</c:v>
                </c:pt>
                <c:pt idx="35">
                  <c:v>2017-12</c:v>
                </c:pt>
                <c:pt idx="36">
                  <c:v>2018-1</c:v>
                </c:pt>
                <c:pt idx="37">
                  <c:v>2018-2</c:v>
                </c:pt>
                <c:pt idx="38">
                  <c:v>2018-3</c:v>
                </c:pt>
                <c:pt idx="39">
                  <c:v>2018-4</c:v>
                </c:pt>
                <c:pt idx="40">
                  <c:v>2018-5</c:v>
                </c:pt>
                <c:pt idx="41">
                  <c:v>2018-6</c:v>
                </c:pt>
                <c:pt idx="42">
                  <c:v>2018-7</c:v>
                </c:pt>
                <c:pt idx="43">
                  <c:v>2018-8</c:v>
                </c:pt>
                <c:pt idx="44">
                  <c:v>2018-9</c:v>
                </c:pt>
                <c:pt idx="45">
                  <c:v>2018-10</c:v>
                </c:pt>
                <c:pt idx="46">
                  <c:v>2018-11</c:v>
                </c:pt>
                <c:pt idx="47">
                  <c:v>2018-12</c:v>
                </c:pt>
                <c:pt idx="48">
                  <c:v>2019-1</c:v>
                </c:pt>
                <c:pt idx="49">
                  <c:v>2019-2</c:v>
                </c:pt>
                <c:pt idx="50">
                  <c:v>2019-3</c:v>
                </c:pt>
                <c:pt idx="51">
                  <c:v>2019-4</c:v>
                </c:pt>
                <c:pt idx="52">
                  <c:v>2019-5</c:v>
                </c:pt>
                <c:pt idx="53">
                  <c:v>2019-6</c:v>
                </c:pt>
                <c:pt idx="54">
                  <c:v>2019-7</c:v>
                </c:pt>
                <c:pt idx="55">
                  <c:v>2019-8</c:v>
                </c:pt>
                <c:pt idx="56">
                  <c:v>2019-9</c:v>
                </c:pt>
                <c:pt idx="57">
                  <c:v>2019-10</c:v>
                </c:pt>
                <c:pt idx="58">
                  <c:v>2019-11</c:v>
                </c:pt>
                <c:pt idx="59">
                  <c:v>2019-12</c:v>
                </c:pt>
                <c:pt idx="60">
                  <c:v>2020-1</c:v>
                </c:pt>
                <c:pt idx="61">
                  <c:v>2020-2</c:v>
                </c:pt>
                <c:pt idx="62">
                  <c:v>2020-3</c:v>
                </c:pt>
                <c:pt idx="63">
                  <c:v>2020-4</c:v>
                </c:pt>
                <c:pt idx="64">
                  <c:v>2020-5</c:v>
                </c:pt>
                <c:pt idx="65">
                  <c:v>2020-6</c:v>
                </c:pt>
                <c:pt idx="66">
                  <c:v>2020-7</c:v>
                </c:pt>
                <c:pt idx="67">
                  <c:v>2020-8</c:v>
                </c:pt>
                <c:pt idx="68">
                  <c:v>2020-9</c:v>
                </c:pt>
                <c:pt idx="69">
                  <c:v>2020-10</c:v>
                </c:pt>
              </c:strCache>
            </c:strRef>
          </c:cat>
          <c:val>
            <c:numRef>
              <c:f>'[Hedonic Indexes.xlsx]House Rental Hedonic Index'!$J$2:$J$71</c:f>
              <c:numCache>
                <c:formatCode>General</c:formatCode>
                <c:ptCount val="70"/>
                <c:pt idx="0">
                  <c:v>100</c:v>
                </c:pt>
                <c:pt idx="1">
                  <c:v>100.5454</c:v>
                </c:pt>
                <c:pt idx="2">
                  <c:v>100.6628</c:v>
                </c:pt>
                <c:pt idx="3">
                  <c:v>100.7396</c:v>
                </c:pt>
                <c:pt idx="4">
                  <c:v>100.89530000000001</c:v>
                </c:pt>
                <c:pt idx="5">
                  <c:v>100.5694</c:v>
                </c:pt>
                <c:pt idx="6">
                  <c:v>100.6709</c:v>
                </c:pt>
                <c:pt idx="7">
                  <c:v>100.8614</c:v>
                </c:pt>
                <c:pt idx="8">
                  <c:v>101.0014</c:v>
                </c:pt>
                <c:pt idx="9">
                  <c:v>101.2343</c:v>
                </c:pt>
                <c:pt idx="10">
                  <c:v>101.5057</c:v>
                </c:pt>
                <c:pt idx="11">
                  <c:v>102.8357</c:v>
                </c:pt>
                <c:pt idx="12">
                  <c:v>103.5971</c:v>
                </c:pt>
                <c:pt idx="13">
                  <c:v>103.9271</c:v>
                </c:pt>
                <c:pt idx="14">
                  <c:v>104.0986</c:v>
                </c:pt>
                <c:pt idx="15">
                  <c:v>104.3229</c:v>
                </c:pt>
                <c:pt idx="16">
                  <c:v>104.4271</c:v>
                </c:pt>
                <c:pt idx="17">
                  <c:v>104.4871</c:v>
                </c:pt>
                <c:pt idx="18">
                  <c:v>103.62</c:v>
                </c:pt>
                <c:pt idx="19">
                  <c:v>103.7257</c:v>
                </c:pt>
                <c:pt idx="20">
                  <c:v>103.93429999999999</c:v>
                </c:pt>
                <c:pt idx="21">
                  <c:v>104.2557</c:v>
                </c:pt>
                <c:pt idx="22">
                  <c:v>104.6614</c:v>
                </c:pt>
                <c:pt idx="23">
                  <c:v>105.1386</c:v>
                </c:pt>
                <c:pt idx="24">
                  <c:v>105.70140000000001</c:v>
                </c:pt>
                <c:pt idx="25">
                  <c:v>106.12139999999999</c:v>
                </c:pt>
                <c:pt idx="26">
                  <c:v>106.5429</c:v>
                </c:pt>
                <c:pt idx="27">
                  <c:v>106.8386</c:v>
                </c:pt>
                <c:pt idx="28">
                  <c:v>107.0971</c:v>
                </c:pt>
                <c:pt idx="29">
                  <c:v>107.1386</c:v>
                </c:pt>
                <c:pt idx="30">
                  <c:v>107.17</c:v>
                </c:pt>
                <c:pt idx="31">
                  <c:v>107.25</c:v>
                </c:pt>
                <c:pt idx="32">
                  <c:v>107.39</c:v>
                </c:pt>
                <c:pt idx="33">
                  <c:v>107.65430000000001</c:v>
                </c:pt>
                <c:pt idx="34">
                  <c:v>108.0386</c:v>
                </c:pt>
                <c:pt idx="35">
                  <c:v>108.4014</c:v>
                </c:pt>
                <c:pt idx="36">
                  <c:v>108.83710000000001</c:v>
                </c:pt>
                <c:pt idx="37">
                  <c:v>109.2329</c:v>
                </c:pt>
                <c:pt idx="38">
                  <c:v>109.4671</c:v>
                </c:pt>
                <c:pt idx="39">
                  <c:v>109.73139999999999</c:v>
                </c:pt>
                <c:pt idx="40">
                  <c:v>109.91289999999999</c:v>
                </c:pt>
                <c:pt idx="41">
                  <c:v>110.06</c:v>
                </c:pt>
                <c:pt idx="42">
                  <c:v>110.2129</c:v>
                </c:pt>
                <c:pt idx="43">
                  <c:v>110.3857</c:v>
                </c:pt>
                <c:pt idx="44">
                  <c:v>110.58</c:v>
                </c:pt>
                <c:pt idx="45">
                  <c:v>111.0714</c:v>
                </c:pt>
                <c:pt idx="46">
                  <c:v>111.3429</c:v>
                </c:pt>
                <c:pt idx="47">
                  <c:v>111.5286</c:v>
                </c:pt>
                <c:pt idx="48">
                  <c:v>111.6</c:v>
                </c:pt>
                <c:pt idx="49">
                  <c:v>111.6857</c:v>
                </c:pt>
                <c:pt idx="50">
                  <c:v>112.21429999999999</c:v>
                </c:pt>
                <c:pt idx="51">
                  <c:v>112.1</c:v>
                </c:pt>
                <c:pt idx="52">
                  <c:v>111.75709999999999</c:v>
                </c:pt>
                <c:pt idx="53">
                  <c:v>111.55710000000001</c:v>
                </c:pt>
                <c:pt idx="54">
                  <c:v>111.3857</c:v>
                </c:pt>
                <c:pt idx="55">
                  <c:v>111.3571</c:v>
                </c:pt>
                <c:pt idx="56">
                  <c:v>111.2714</c:v>
                </c:pt>
                <c:pt idx="57">
                  <c:v>110.9</c:v>
                </c:pt>
                <c:pt idx="58">
                  <c:v>111.17140000000001</c:v>
                </c:pt>
                <c:pt idx="59">
                  <c:v>111.3571</c:v>
                </c:pt>
                <c:pt idx="60">
                  <c:v>111.32859999999999</c:v>
                </c:pt>
                <c:pt idx="61">
                  <c:v>111.1743</c:v>
                </c:pt>
                <c:pt idx="62">
                  <c:v>110.96</c:v>
                </c:pt>
                <c:pt idx="63">
                  <c:v>110.7814</c:v>
                </c:pt>
                <c:pt idx="64">
                  <c:v>110.3471</c:v>
                </c:pt>
                <c:pt idx="65">
                  <c:v>109.77</c:v>
                </c:pt>
                <c:pt idx="66">
                  <c:v>109.2243</c:v>
                </c:pt>
                <c:pt idx="67">
                  <c:v>109.0283</c:v>
                </c:pt>
                <c:pt idx="68">
                  <c:v>108.95</c:v>
                </c:pt>
                <c:pt idx="69">
                  <c:v>108.78749999999999</c:v>
                </c:pt>
              </c:numCache>
            </c:numRef>
          </c:val>
          <c:smooth val="0"/>
          <c:extLst>
            <c:ext xmlns:c16="http://schemas.microsoft.com/office/drawing/2014/chart" uri="{C3380CC4-5D6E-409C-BE32-E72D297353CC}">
              <c16:uniqueId val="{00000001-0B82-4440-AA5F-9929761DA936}"/>
            </c:ext>
          </c:extLst>
        </c:ser>
        <c:ser>
          <c:idx val="2"/>
          <c:order val="2"/>
          <c:tx>
            <c:strRef>
              <c:f>'[Hedonic Indexes.xlsx]House Rental Hedonic Index'!$K$1</c:f>
              <c:strCache>
                <c:ptCount val="1"/>
                <c:pt idx="0">
                  <c:v>RegionalVIC</c:v>
                </c:pt>
              </c:strCache>
            </c:strRef>
          </c:tx>
          <c:spPr>
            <a:ln w="28575" cap="rnd">
              <a:solidFill>
                <a:schemeClr val="accent3"/>
              </a:solidFill>
              <a:round/>
            </a:ln>
            <a:effectLst/>
          </c:spPr>
          <c:marker>
            <c:symbol val="none"/>
          </c:marker>
          <c:cat>
            <c:strRef>
              <c:f>'[Hedonic Indexes.xlsx]House Rental Hedonic Index'!$H$2:$H$71</c:f>
              <c:strCache>
                <c:ptCount val="70"/>
                <c:pt idx="0">
                  <c:v>2015-1</c:v>
                </c:pt>
                <c:pt idx="1">
                  <c:v>2015-2</c:v>
                </c:pt>
                <c:pt idx="2">
                  <c:v>2015-3</c:v>
                </c:pt>
                <c:pt idx="3">
                  <c:v>2015-4</c:v>
                </c:pt>
                <c:pt idx="4">
                  <c:v>2015-5</c:v>
                </c:pt>
                <c:pt idx="5">
                  <c:v>2015-6</c:v>
                </c:pt>
                <c:pt idx="6">
                  <c:v>2015-7</c:v>
                </c:pt>
                <c:pt idx="7">
                  <c:v>2015-8</c:v>
                </c:pt>
                <c:pt idx="8">
                  <c:v>2015-9</c:v>
                </c:pt>
                <c:pt idx="9">
                  <c:v>2015-10</c:v>
                </c:pt>
                <c:pt idx="10">
                  <c:v>2015-11</c:v>
                </c:pt>
                <c:pt idx="11">
                  <c:v>2015-12</c:v>
                </c:pt>
                <c:pt idx="12">
                  <c:v>2016-1</c:v>
                </c:pt>
                <c:pt idx="13">
                  <c:v>2016-2</c:v>
                </c:pt>
                <c:pt idx="14">
                  <c:v>2016-3</c:v>
                </c:pt>
                <c:pt idx="15">
                  <c:v>2016-4</c:v>
                </c:pt>
                <c:pt idx="16">
                  <c:v>2016-5</c:v>
                </c:pt>
                <c:pt idx="17">
                  <c:v>2016-6</c:v>
                </c:pt>
                <c:pt idx="18">
                  <c:v>2016-7</c:v>
                </c:pt>
                <c:pt idx="19">
                  <c:v>2016-8</c:v>
                </c:pt>
                <c:pt idx="20">
                  <c:v>2016-9</c:v>
                </c:pt>
                <c:pt idx="21">
                  <c:v>2016-10</c:v>
                </c:pt>
                <c:pt idx="22">
                  <c:v>2016-11</c:v>
                </c:pt>
                <c:pt idx="23">
                  <c:v>2016-12</c:v>
                </c:pt>
                <c:pt idx="24">
                  <c:v>2017-1</c:v>
                </c:pt>
                <c:pt idx="25">
                  <c:v>2017-2</c:v>
                </c:pt>
                <c:pt idx="26">
                  <c:v>2017-3</c:v>
                </c:pt>
                <c:pt idx="27">
                  <c:v>2017-4</c:v>
                </c:pt>
                <c:pt idx="28">
                  <c:v>2017-5</c:v>
                </c:pt>
                <c:pt idx="29">
                  <c:v>2017-6</c:v>
                </c:pt>
                <c:pt idx="30">
                  <c:v>2017-7</c:v>
                </c:pt>
                <c:pt idx="31">
                  <c:v>2017-8</c:v>
                </c:pt>
                <c:pt idx="32">
                  <c:v>2017-9</c:v>
                </c:pt>
                <c:pt idx="33">
                  <c:v>2017-10</c:v>
                </c:pt>
                <c:pt idx="34">
                  <c:v>2017-11</c:v>
                </c:pt>
                <c:pt idx="35">
                  <c:v>2017-12</c:v>
                </c:pt>
                <c:pt idx="36">
                  <c:v>2018-1</c:v>
                </c:pt>
                <c:pt idx="37">
                  <c:v>2018-2</c:v>
                </c:pt>
                <c:pt idx="38">
                  <c:v>2018-3</c:v>
                </c:pt>
                <c:pt idx="39">
                  <c:v>2018-4</c:v>
                </c:pt>
                <c:pt idx="40">
                  <c:v>2018-5</c:v>
                </c:pt>
                <c:pt idx="41">
                  <c:v>2018-6</c:v>
                </c:pt>
                <c:pt idx="42">
                  <c:v>2018-7</c:v>
                </c:pt>
                <c:pt idx="43">
                  <c:v>2018-8</c:v>
                </c:pt>
                <c:pt idx="44">
                  <c:v>2018-9</c:v>
                </c:pt>
                <c:pt idx="45">
                  <c:v>2018-10</c:v>
                </c:pt>
                <c:pt idx="46">
                  <c:v>2018-11</c:v>
                </c:pt>
                <c:pt idx="47">
                  <c:v>2018-12</c:v>
                </c:pt>
                <c:pt idx="48">
                  <c:v>2019-1</c:v>
                </c:pt>
                <c:pt idx="49">
                  <c:v>2019-2</c:v>
                </c:pt>
                <c:pt idx="50">
                  <c:v>2019-3</c:v>
                </c:pt>
                <c:pt idx="51">
                  <c:v>2019-4</c:v>
                </c:pt>
                <c:pt idx="52">
                  <c:v>2019-5</c:v>
                </c:pt>
                <c:pt idx="53">
                  <c:v>2019-6</c:v>
                </c:pt>
                <c:pt idx="54">
                  <c:v>2019-7</c:v>
                </c:pt>
                <c:pt idx="55">
                  <c:v>2019-8</c:v>
                </c:pt>
                <c:pt idx="56">
                  <c:v>2019-9</c:v>
                </c:pt>
                <c:pt idx="57">
                  <c:v>2019-10</c:v>
                </c:pt>
                <c:pt idx="58">
                  <c:v>2019-11</c:v>
                </c:pt>
                <c:pt idx="59">
                  <c:v>2019-12</c:v>
                </c:pt>
                <c:pt idx="60">
                  <c:v>2020-1</c:v>
                </c:pt>
                <c:pt idx="61">
                  <c:v>2020-2</c:v>
                </c:pt>
                <c:pt idx="62">
                  <c:v>2020-3</c:v>
                </c:pt>
                <c:pt idx="63">
                  <c:v>2020-4</c:v>
                </c:pt>
                <c:pt idx="64">
                  <c:v>2020-5</c:v>
                </c:pt>
                <c:pt idx="65">
                  <c:v>2020-6</c:v>
                </c:pt>
                <c:pt idx="66">
                  <c:v>2020-7</c:v>
                </c:pt>
                <c:pt idx="67">
                  <c:v>2020-8</c:v>
                </c:pt>
                <c:pt idx="68">
                  <c:v>2020-9</c:v>
                </c:pt>
                <c:pt idx="69">
                  <c:v>2020-10</c:v>
                </c:pt>
              </c:strCache>
            </c:strRef>
          </c:cat>
          <c:val>
            <c:numRef>
              <c:f>'[Hedonic Indexes.xlsx]House Rental Hedonic Index'!$K$2:$K$71</c:f>
              <c:numCache>
                <c:formatCode>General</c:formatCode>
                <c:ptCount val="70"/>
                <c:pt idx="0">
                  <c:v>100</c:v>
                </c:pt>
                <c:pt idx="1">
                  <c:v>99.928399999999996</c:v>
                </c:pt>
                <c:pt idx="2">
                  <c:v>99.708659999999995</c:v>
                </c:pt>
                <c:pt idx="3">
                  <c:v>99.661709999999999</c:v>
                </c:pt>
                <c:pt idx="4">
                  <c:v>99.610280000000003</c:v>
                </c:pt>
                <c:pt idx="5">
                  <c:v>99.507289999999998</c:v>
                </c:pt>
                <c:pt idx="6">
                  <c:v>99.488720000000001</c:v>
                </c:pt>
                <c:pt idx="7">
                  <c:v>99.760140000000007</c:v>
                </c:pt>
                <c:pt idx="8">
                  <c:v>99.895709999999994</c:v>
                </c:pt>
                <c:pt idx="9">
                  <c:v>100.36709999999999</c:v>
                </c:pt>
                <c:pt idx="10">
                  <c:v>100.63290000000001</c:v>
                </c:pt>
                <c:pt idx="11">
                  <c:v>100.8486</c:v>
                </c:pt>
                <c:pt idx="12">
                  <c:v>100.9936</c:v>
                </c:pt>
                <c:pt idx="13">
                  <c:v>101.0421</c:v>
                </c:pt>
                <c:pt idx="14">
                  <c:v>100.9939</c:v>
                </c:pt>
                <c:pt idx="15">
                  <c:v>101.03530000000001</c:v>
                </c:pt>
                <c:pt idx="16">
                  <c:v>100.9696</c:v>
                </c:pt>
                <c:pt idx="17">
                  <c:v>101.0067</c:v>
                </c:pt>
                <c:pt idx="18">
                  <c:v>101.1224</c:v>
                </c:pt>
                <c:pt idx="19">
                  <c:v>101.38890000000001</c:v>
                </c:pt>
                <c:pt idx="20">
                  <c:v>101.9517</c:v>
                </c:pt>
                <c:pt idx="21">
                  <c:v>102.48</c:v>
                </c:pt>
                <c:pt idx="22">
                  <c:v>102.85429999999999</c:v>
                </c:pt>
                <c:pt idx="23">
                  <c:v>103.34569999999999</c:v>
                </c:pt>
                <c:pt idx="24">
                  <c:v>103.8257</c:v>
                </c:pt>
                <c:pt idx="25">
                  <c:v>104.23860000000001</c:v>
                </c:pt>
                <c:pt idx="26">
                  <c:v>104.5771</c:v>
                </c:pt>
                <c:pt idx="27">
                  <c:v>104.74</c:v>
                </c:pt>
                <c:pt idx="28">
                  <c:v>104.7886</c:v>
                </c:pt>
                <c:pt idx="29">
                  <c:v>105.0543</c:v>
                </c:pt>
                <c:pt idx="30">
                  <c:v>105.1571</c:v>
                </c:pt>
                <c:pt idx="31">
                  <c:v>105.36</c:v>
                </c:pt>
                <c:pt idx="32">
                  <c:v>105.4943</c:v>
                </c:pt>
                <c:pt idx="33">
                  <c:v>106.6314</c:v>
                </c:pt>
                <c:pt idx="34">
                  <c:v>106.9486</c:v>
                </c:pt>
                <c:pt idx="35">
                  <c:v>107.35290000000001</c:v>
                </c:pt>
                <c:pt idx="36">
                  <c:v>107.75709999999999</c:v>
                </c:pt>
                <c:pt idx="37">
                  <c:v>108.18429999999999</c:v>
                </c:pt>
                <c:pt idx="38">
                  <c:v>108.48139999999999</c:v>
                </c:pt>
                <c:pt idx="39">
                  <c:v>108.8686</c:v>
                </c:pt>
                <c:pt idx="40">
                  <c:v>108.01860000000001</c:v>
                </c:pt>
                <c:pt idx="41">
                  <c:v>108.26</c:v>
                </c:pt>
                <c:pt idx="42">
                  <c:v>108.65860000000001</c:v>
                </c:pt>
                <c:pt idx="43">
                  <c:v>108.89709999999999</c:v>
                </c:pt>
                <c:pt idx="44">
                  <c:v>109.2971</c:v>
                </c:pt>
                <c:pt idx="45">
                  <c:v>109.76</c:v>
                </c:pt>
                <c:pt idx="46">
                  <c:v>110.16</c:v>
                </c:pt>
                <c:pt idx="47">
                  <c:v>111.05289999999999</c:v>
                </c:pt>
                <c:pt idx="48">
                  <c:v>111.6571</c:v>
                </c:pt>
                <c:pt idx="49">
                  <c:v>111.9</c:v>
                </c:pt>
                <c:pt idx="50">
                  <c:v>112.1571</c:v>
                </c:pt>
                <c:pt idx="51">
                  <c:v>112.28570000000001</c:v>
                </c:pt>
                <c:pt idx="52">
                  <c:v>112.25709999999999</c:v>
                </c:pt>
                <c:pt idx="53">
                  <c:v>112.3857</c:v>
                </c:pt>
                <c:pt idx="54">
                  <c:v>112.3143</c:v>
                </c:pt>
                <c:pt idx="55">
                  <c:v>112.24290000000001</c:v>
                </c:pt>
                <c:pt idx="56">
                  <c:v>112.51430000000001</c:v>
                </c:pt>
                <c:pt idx="57">
                  <c:v>112.7</c:v>
                </c:pt>
                <c:pt idx="58">
                  <c:v>112.94289999999999</c:v>
                </c:pt>
                <c:pt idx="59">
                  <c:v>113.3143</c:v>
                </c:pt>
                <c:pt idx="60">
                  <c:v>113.5</c:v>
                </c:pt>
                <c:pt idx="61">
                  <c:v>113.7</c:v>
                </c:pt>
                <c:pt idx="62">
                  <c:v>114</c:v>
                </c:pt>
                <c:pt idx="63">
                  <c:v>114.21429999999999</c:v>
                </c:pt>
                <c:pt idx="64">
                  <c:v>114.9571</c:v>
                </c:pt>
                <c:pt idx="65">
                  <c:v>115.3143</c:v>
                </c:pt>
                <c:pt idx="66">
                  <c:v>115.6571</c:v>
                </c:pt>
                <c:pt idx="67">
                  <c:v>116.0167</c:v>
                </c:pt>
                <c:pt idx="68">
                  <c:v>116.42</c:v>
                </c:pt>
                <c:pt idx="69">
                  <c:v>116.825</c:v>
                </c:pt>
              </c:numCache>
            </c:numRef>
          </c:val>
          <c:smooth val="0"/>
          <c:extLst>
            <c:ext xmlns:c16="http://schemas.microsoft.com/office/drawing/2014/chart" uri="{C3380CC4-5D6E-409C-BE32-E72D297353CC}">
              <c16:uniqueId val="{00000002-0B82-4440-AA5F-9929761DA936}"/>
            </c:ext>
          </c:extLst>
        </c:ser>
        <c:ser>
          <c:idx val="3"/>
          <c:order val="3"/>
          <c:tx>
            <c:strRef>
              <c:f>'[Hedonic Indexes.xlsx]House Rental Hedonic Index'!$L$1</c:f>
              <c:strCache>
                <c:ptCount val="1"/>
                <c:pt idx="0">
                  <c:v>GreaterGeelong</c:v>
                </c:pt>
              </c:strCache>
            </c:strRef>
          </c:tx>
          <c:spPr>
            <a:ln w="28575" cap="rnd">
              <a:solidFill>
                <a:schemeClr val="accent4"/>
              </a:solidFill>
              <a:round/>
            </a:ln>
            <a:effectLst/>
          </c:spPr>
          <c:marker>
            <c:symbol val="none"/>
          </c:marker>
          <c:cat>
            <c:strRef>
              <c:f>'[Hedonic Indexes.xlsx]House Rental Hedonic Index'!$H$2:$H$71</c:f>
              <c:strCache>
                <c:ptCount val="70"/>
                <c:pt idx="0">
                  <c:v>2015-1</c:v>
                </c:pt>
                <c:pt idx="1">
                  <c:v>2015-2</c:v>
                </c:pt>
                <c:pt idx="2">
                  <c:v>2015-3</c:v>
                </c:pt>
                <c:pt idx="3">
                  <c:v>2015-4</c:v>
                </c:pt>
                <c:pt idx="4">
                  <c:v>2015-5</c:v>
                </c:pt>
                <c:pt idx="5">
                  <c:v>2015-6</c:v>
                </c:pt>
                <c:pt idx="6">
                  <c:v>2015-7</c:v>
                </c:pt>
                <c:pt idx="7">
                  <c:v>2015-8</c:v>
                </c:pt>
                <c:pt idx="8">
                  <c:v>2015-9</c:v>
                </c:pt>
                <c:pt idx="9">
                  <c:v>2015-10</c:v>
                </c:pt>
                <c:pt idx="10">
                  <c:v>2015-11</c:v>
                </c:pt>
                <c:pt idx="11">
                  <c:v>2015-12</c:v>
                </c:pt>
                <c:pt idx="12">
                  <c:v>2016-1</c:v>
                </c:pt>
                <c:pt idx="13">
                  <c:v>2016-2</c:v>
                </c:pt>
                <c:pt idx="14">
                  <c:v>2016-3</c:v>
                </c:pt>
                <c:pt idx="15">
                  <c:v>2016-4</c:v>
                </c:pt>
                <c:pt idx="16">
                  <c:v>2016-5</c:v>
                </c:pt>
                <c:pt idx="17">
                  <c:v>2016-6</c:v>
                </c:pt>
                <c:pt idx="18">
                  <c:v>2016-7</c:v>
                </c:pt>
                <c:pt idx="19">
                  <c:v>2016-8</c:v>
                </c:pt>
                <c:pt idx="20">
                  <c:v>2016-9</c:v>
                </c:pt>
                <c:pt idx="21">
                  <c:v>2016-10</c:v>
                </c:pt>
                <c:pt idx="22">
                  <c:v>2016-11</c:v>
                </c:pt>
                <c:pt idx="23">
                  <c:v>2016-12</c:v>
                </c:pt>
                <c:pt idx="24">
                  <c:v>2017-1</c:v>
                </c:pt>
                <c:pt idx="25">
                  <c:v>2017-2</c:v>
                </c:pt>
                <c:pt idx="26">
                  <c:v>2017-3</c:v>
                </c:pt>
                <c:pt idx="27">
                  <c:v>2017-4</c:v>
                </c:pt>
                <c:pt idx="28">
                  <c:v>2017-5</c:v>
                </c:pt>
                <c:pt idx="29">
                  <c:v>2017-6</c:v>
                </c:pt>
                <c:pt idx="30">
                  <c:v>2017-7</c:v>
                </c:pt>
                <c:pt idx="31">
                  <c:v>2017-8</c:v>
                </c:pt>
                <c:pt idx="32">
                  <c:v>2017-9</c:v>
                </c:pt>
                <c:pt idx="33">
                  <c:v>2017-10</c:v>
                </c:pt>
                <c:pt idx="34">
                  <c:v>2017-11</c:v>
                </c:pt>
                <c:pt idx="35">
                  <c:v>2017-12</c:v>
                </c:pt>
                <c:pt idx="36">
                  <c:v>2018-1</c:v>
                </c:pt>
                <c:pt idx="37">
                  <c:v>2018-2</c:v>
                </c:pt>
                <c:pt idx="38">
                  <c:v>2018-3</c:v>
                </c:pt>
                <c:pt idx="39">
                  <c:v>2018-4</c:v>
                </c:pt>
                <c:pt idx="40">
                  <c:v>2018-5</c:v>
                </c:pt>
                <c:pt idx="41">
                  <c:v>2018-6</c:v>
                </c:pt>
                <c:pt idx="42">
                  <c:v>2018-7</c:v>
                </c:pt>
                <c:pt idx="43">
                  <c:v>2018-8</c:v>
                </c:pt>
                <c:pt idx="44">
                  <c:v>2018-9</c:v>
                </c:pt>
                <c:pt idx="45">
                  <c:v>2018-10</c:v>
                </c:pt>
                <c:pt idx="46">
                  <c:v>2018-11</c:v>
                </c:pt>
                <c:pt idx="47">
                  <c:v>2018-12</c:v>
                </c:pt>
                <c:pt idx="48">
                  <c:v>2019-1</c:v>
                </c:pt>
                <c:pt idx="49">
                  <c:v>2019-2</c:v>
                </c:pt>
                <c:pt idx="50">
                  <c:v>2019-3</c:v>
                </c:pt>
                <c:pt idx="51">
                  <c:v>2019-4</c:v>
                </c:pt>
                <c:pt idx="52">
                  <c:v>2019-5</c:v>
                </c:pt>
                <c:pt idx="53">
                  <c:v>2019-6</c:v>
                </c:pt>
                <c:pt idx="54">
                  <c:v>2019-7</c:v>
                </c:pt>
                <c:pt idx="55">
                  <c:v>2019-8</c:v>
                </c:pt>
                <c:pt idx="56">
                  <c:v>2019-9</c:v>
                </c:pt>
                <c:pt idx="57">
                  <c:v>2019-10</c:v>
                </c:pt>
                <c:pt idx="58">
                  <c:v>2019-11</c:v>
                </c:pt>
                <c:pt idx="59">
                  <c:v>2019-12</c:v>
                </c:pt>
                <c:pt idx="60">
                  <c:v>2020-1</c:v>
                </c:pt>
                <c:pt idx="61">
                  <c:v>2020-2</c:v>
                </c:pt>
                <c:pt idx="62">
                  <c:v>2020-3</c:v>
                </c:pt>
                <c:pt idx="63">
                  <c:v>2020-4</c:v>
                </c:pt>
                <c:pt idx="64">
                  <c:v>2020-5</c:v>
                </c:pt>
                <c:pt idx="65">
                  <c:v>2020-6</c:v>
                </c:pt>
                <c:pt idx="66">
                  <c:v>2020-7</c:v>
                </c:pt>
                <c:pt idx="67">
                  <c:v>2020-8</c:v>
                </c:pt>
                <c:pt idx="68">
                  <c:v>2020-9</c:v>
                </c:pt>
                <c:pt idx="69">
                  <c:v>2020-10</c:v>
                </c:pt>
              </c:strCache>
            </c:strRef>
          </c:cat>
          <c:val>
            <c:numRef>
              <c:f>'[Hedonic Indexes.xlsx]House Rental Hedonic Index'!$L$2:$L$71</c:f>
              <c:numCache>
                <c:formatCode>General</c:formatCode>
                <c:ptCount val="70"/>
                <c:pt idx="0">
                  <c:v>100</c:v>
                </c:pt>
                <c:pt idx="1">
                  <c:v>99.913200000000003</c:v>
                </c:pt>
                <c:pt idx="2">
                  <c:v>99.514330000000001</c:v>
                </c:pt>
                <c:pt idx="3">
                  <c:v>99.446569999999994</c:v>
                </c:pt>
                <c:pt idx="4">
                  <c:v>99.260859999999994</c:v>
                </c:pt>
                <c:pt idx="5">
                  <c:v>99.337569999999999</c:v>
                </c:pt>
                <c:pt idx="6">
                  <c:v>99.380420000000001</c:v>
                </c:pt>
                <c:pt idx="7">
                  <c:v>99.424710000000005</c:v>
                </c:pt>
                <c:pt idx="8">
                  <c:v>99.648139999999998</c:v>
                </c:pt>
                <c:pt idx="9">
                  <c:v>100.4439</c:v>
                </c:pt>
                <c:pt idx="10">
                  <c:v>100.89960000000001</c:v>
                </c:pt>
                <c:pt idx="11">
                  <c:v>101.3567</c:v>
                </c:pt>
                <c:pt idx="12">
                  <c:v>101.5829</c:v>
                </c:pt>
                <c:pt idx="13">
                  <c:v>101.6904</c:v>
                </c:pt>
                <c:pt idx="14">
                  <c:v>101.6661</c:v>
                </c:pt>
                <c:pt idx="15">
                  <c:v>101.6404</c:v>
                </c:pt>
                <c:pt idx="16">
                  <c:v>101.48609999999999</c:v>
                </c:pt>
                <c:pt idx="17">
                  <c:v>101.65900000000001</c:v>
                </c:pt>
                <c:pt idx="18">
                  <c:v>101.67189999999999</c:v>
                </c:pt>
                <c:pt idx="19">
                  <c:v>101.5804</c:v>
                </c:pt>
                <c:pt idx="20">
                  <c:v>102.07</c:v>
                </c:pt>
                <c:pt idx="21">
                  <c:v>102.8343</c:v>
                </c:pt>
                <c:pt idx="22">
                  <c:v>103.26860000000001</c:v>
                </c:pt>
                <c:pt idx="23">
                  <c:v>103.80289999999999</c:v>
                </c:pt>
                <c:pt idx="24">
                  <c:v>104.09</c:v>
                </c:pt>
                <c:pt idx="25">
                  <c:v>104.61</c:v>
                </c:pt>
                <c:pt idx="26">
                  <c:v>105.31140000000001</c:v>
                </c:pt>
                <c:pt idx="27">
                  <c:v>105.5386</c:v>
                </c:pt>
                <c:pt idx="28">
                  <c:v>105.6014</c:v>
                </c:pt>
                <c:pt idx="29">
                  <c:v>105.7871</c:v>
                </c:pt>
                <c:pt idx="30">
                  <c:v>106.01430000000001</c:v>
                </c:pt>
                <c:pt idx="31">
                  <c:v>106.0886</c:v>
                </c:pt>
                <c:pt idx="32">
                  <c:v>106.3429</c:v>
                </c:pt>
                <c:pt idx="33">
                  <c:v>106.5457</c:v>
                </c:pt>
                <c:pt idx="34">
                  <c:v>106.8486</c:v>
                </c:pt>
                <c:pt idx="35">
                  <c:v>107.6614</c:v>
                </c:pt>
                <c:pt idx="36">
                  <c:v>108.5257</c:v>
                </c:pt>
                <c:pt idx="37">
                  <c:v>109.04859999999999</c:v>
                </c:pt>
                <c:pt idx="38">
                  <c:v>109.62430000000001</c:v>
                </c:pt>
                <c:pt idx="39">
                  <c:v>109.94</c:v>
                </c:pt>
                <c:pt idx="40">
                  <c:v>110.18859999999999</c:v>
                </c:pt>
                <c:pt idx="41">
                  <c:v>110.51860000000001</c:v>
                </c:pt>
                <c:pt idx="42">
                  <c:v>110.32429999999999</c:v>
                </c:pt>
                <c:pt idx="43">
                  <c:v>110.2529</c:v>
                </c:pt>
                <c:pt idx="44">
                  <c:v>110.41</c:v>
                </c:pt>
                <c:pt idx="45">
                  <c:v>110.7529</c:v>
                </c:pt>
                <c:pt idx="46">
                  <c:v>110.8643</c:v>
                </c:pt>
                <c:pt idx="47">
                  <c:v>111.52</c:v>
                </c:pt>
                <c:pt idx="48">
                  <c:v>112.22</c:v>
                </c:pt>
                <c:pt idx="49">
                  <c:v>112.75709999999999</c:v>
                </c:pt>
                <c:pt idx="50">
                  <c:v>112.9143</c:v>
                </c:pt>
                <c:pt idx="51">
                  <c:v>113.3</c:v>
                </c:pt>
                <c:pt idx="52">
                  <c:v>113.3571</c:v>
                </c:pt>
                <c:pt idx="53">
                  <c:v>113.75709999999999</c:v>
                </c:pt>
                <c:pt idx="54">
                  <c:v>113.62860000000001</c:v>
                </c:pt>
                <c:pt idx="55">
                  <c:v>113.2714</c:v>
                </c:pt>
                <c:pt idx="56">
                  <c:v>113.2714</c:v>
                </c:pt>
                <c:pt idx="57">
                  <c:v>113.4286</c:v>
                </c:pt>
                <c:pt idx="58">
                  <c:v>113.3</c:v>
                </c:pt>
                <c:pt idx="59">
                  <c:v>113.6143</c:v>
                </c:pt>
                <c:pt idx="60">
                  <c:v>113.5</c:v>
                </c:pt>
                <c:pt idx="61">
                  <c:v>113.3143</c:v>
                </c:pt>
                <c:pt idx="62">
                  <c:v>113.4571</c:v>
                </c:pt>
                <c:pt idx="63">
                  <c:v>113.3429</c:v>
                </c:pt>
                <c:pt idx="64">
                  <c:v>113.5</c:v>
                </c:pt>
                <c:pt idx="65">
                  <c:v>113.9</c:v>
                </c:pt>
                <c:pt idx="66">
                  <c:v>113.71429999999999</c:v>
                </c:pt>
                <c:pt idx="67">
                  <c:v>113.9333</c:v>
                </c:pt>
                <c:pt idx="68">
                  <c:v>114.32</c:v>
                </c:pt>
                <c:pt idx="69">
                  <c:v>114.55</c:v>
                </c:pt>
              </c:numCache>
            </c:numRef>
          </c:val>
          <c:smooth val="0"/>
          <c:extLst>
            <c:ext xmlns:c16="http://schemas.microsoft.com/office/drawing/2014/chart" uri="{C3380CC4-5D6E-409C-BE32-E72D297353CC}">
              <c16:uniqueId val="{00000003-0B82-4440-AA5F-9929761DA936}"/>
            </c:ext>
          </c:extLst>
        </c:ser>
        <c:ser>
          <c:idx val="4"/>
          <c:order val="4"/>
          <c:tx>
            <c:strRef>
              <c:f>'[Hedonic Indexes.xlsx]House Rental Hedonic Index'!$M$1</c:f>
              <c:strCache>
                <c:ptCount val="1"/>
                <c:pt idx="0">
                  <c:v>FocalSuburbs</c:v>
                </c:pt>
              </c:strCache>
            </c:strRef>
          </c:tx>
          <c:spPr>
            <a:ln w="28575" cap="rnd">
              <a:solidFill>
                <a:schemeClr val="accent5"/>
              </a:solidFill>
              <a:round/>
            </a:ln>
            <a:effectLst/>
          </c:spPr>
          <c:marker>
            <c:symbol val="none"/>
          </c:marker>
          <c:cat>
            <c:strRef>
              <c:f>'[Hedonic Indexes.xlsx]House Rental Hedonic Index'!$H$2:$H$71</c:f>
              <c:strCache>
                <c:ptCount val="70"/>
                <c:pt idx="0">
                  <c:v>2015-1</c:v>
                </c:pt>
                <c:pt idx="1">
                  <c:v>2015-2</c:v>
                </c:pt>
                <c:pt idx="2">
                  <c:v>2015-3</c:v>
                </c:pt>
                <c:pt idx="3">
                  <c:v>2015-4</c:v>
                </c:pt>
                <c:pt idx="4">
                  <c:v>2015-5</c:v>
                </c:pt>
                <c:pt idx="5">
                  <c:v>2015-6</c:v>
                </c:pt>
                <c:pt idx="6">
                  <c:v>2015-7</c:v>
                </c:pt>
                <c:pt idx="7">
                  <c:v>2015-8</c:v>
                </c:pt>
                <c:pt idx="8">
                  <c:v>2015-9</c:v>
                </c:pt>
                <c:pt idx="9">
                  <c:v>2015-10</c:v>
                </c:pt>
                <c:pt idx="10">
                  <c:v>2015-11</c:v>
                </c:pt>
                <c:pt idx="11">
                  <c:v>2015-12</c:v>
                </c:pt>
                <c:pt idx="12">
                  <c:v>2016-1</c:v>
                </c:pt>
                <c:pt idx="13">
                  <c:v>2016-2</c:v>
                </c:pt>
                <c:pt idx="14">
                  <c:v>2016-3</c:v>
                </c:pt>
                <c:pt idx="15">
                  <c:v>2016-4</c:v>
                </c:pt>
                <c:pt idx="16">
                  <c:v>2016-5</c:v>
                </c:pt>
                <c:pt idx="17">
                  <c:v>2016-6</c:v>
                </c:pt>
                <c:pt idx="18">
                  <c:v>2016-7</c:v>
                </c:pt>
                <c:pt idx="19">
                  <c:v>2016-8</c:v>
                </c:pt>
                <c:pt idx="20">
                  <c:v>2016-9</c:v>
                </c:pt>
                <c:pt idx="21">
                  <c:v>2016-10</c:v>
                </c:pt>
                <c:pt idx="22">
                  <c:v>2016-11</c:v>
                </c:pt>
                <c:pt idx="23">
                  <c:v>2016-12</c:v>
                </c:pt>
                <c:pt idx="24">
                  <c:v>2017-1</c:v>
                </c:pt>
                <c:pt idx="25">
                  <c:v>2017-2</c:v>
                </c:pt>
                <c:pt idx="26">
                  <c:v>2017-3</c:v>
                </c:pt>
                <c:pt idx="27">
                  <c:v>2017-4</c:v>
                </c:pt>
                <c:pt idx="28">
                  <c:v>2017-5</c:v>
                </c:pt>
                <c:pt idx="29">
                  <c:v>2017-6</c:v>
                </c:pt>
                <c:pt idx="30">
                  <c:v>2017-7</c:v>
                </c:pt>
                <c:pt idx="31">
                  <c:v>2017-8</c:v>
                </c:pt>
                <c:pt idx="32">
                  <c:v>2017-9</c:v>
                </c:pt>
                <c:pt idx="33">
                  <c:v>2017-10</c:v>
                </c:pt>
                <c:pt idx="34">
                  <c:v>2017-11</c:v>
                </c:pt>
                <c:pt idx="35">
                  <c:v>2017-12</c:v>
                </c:pt>
                <c:pt idx="36">
                  <c:v>2018-1</c:v>
                </c:pt>
                <c:pt idx="37">
                  <c:v>2018-2</c:v>
                </c:pt>
                <c:pt idx="38">
                  <c:v>2018-3</c:v>
                </c:pt>
                <c:pt idx="39">
                  <c:v>2018-4</c:v>
                </c:pt>
                <c:pt idx="40">
                  <c:v>2018-5</c:v>
                </c:pt>
                <c:pt idx="41">
                  <c:v>2018-6</c:v>
                </c:pt>
                <c:pt idx="42">
                  <c:v>2018-7</c:v>
                </c:pt>
                <c:pt idx="43">
                  <c:v>2018-8</c:v>
                </c:pt>
                <c:pt idx="44">
                  <c:v>2018-9</c:v>
                </c:pt>
                <c:pt idx="45">
                  <c:v>2018-10</c:v>
                </c:pt>
                <c:pt idx="46">
                  <c:v>2018-11</c:v>
                </c:pt>
                <c:pt idx="47">
                  <c:v>2018-12</c:v>
                </c:pt>
                <c:pt idx="48">
                  <c:v>2019-1</c:v>
                </c:pt>
                <c:pt idx="49">
                  <c:v>2019-2</c:v>
                </c:pt>
                <c:pt idx="50">
                  <c:v>2019-3</c:v>
                </c:pt>
                <c:pt idx="51">
                  <c:v>2019-4</c:v>
                </c:pt>
                <c:pt idx="52">
                  <c:v>2019-5</c:v>
                </c:pt>
                <c:pt idx="53">
                  <c:v>2019-6</c:v>
                </c:pt>
                <c:pt idx="54">
                  <c:v>2019-7</c:v>
                </c:pt>
                <c:pt idx="55">
                  <c:v>2019-8</c:v>
                </c:pt>
                <c:pt idx="56">
                  <c:v>2019-9</c:v>
                </c:pt>
                <c:pt idx="57">
                  <c:v>2019-10</c:v>
                </c:pt>
                <c:pt idx="58">
                  <c:v>2019-11</c:v>
                </c:pt>
                <c:pt idx="59">
                  <c:v>2019-12</c:v>
                </c:pt>
                <c:pt idx="60">
                  <c:v>2020-1</c:v>
                </c:pt>
                <c:pt idx="61">
                  <c:v>2020-2</c:v>
                </c:pt>
                <c:pt idx="62">
                  <c:v>2020-3</c:v>
                </c:pt>
                <c:pt idx="63">
                  <c:v>2020-4</c:v>
                </c:pt>
                <c:pt idx="64">
                  <c:v>2020-5</c:v>
                </c:pt>
                <c:pt idx="65">
                  <c:v>2020-6</c:v>
                </c:pt>
                <c:pt idx="66">
                  <c:v>2020-7</c:v>
                </c:pt>
                <c:pt idx="67">
                  <c:v>2020-8</c:v>
                </c:pt>
                <c:pt idx="68">
                  <c:v>2020-9</c:v>
                </c:pt>
                <c:pt idx="69">
                  <c:v>2020-10</c:v>
                </c:pt>
              </c:strCache>
            </c:strRef>
          </c:cat>
          <c:val>
            <c:numRef>
              <c:f>'[Hedonic Indexes.xlsx]House Rental Hedonic Index'!$M$2:$M$71</c:f>
              <c:numCache>
                <c:formatCode>General</c:formatCode>
                <c:ptCount val="70"/>
                <c:pt idx="0">
                  <c:v>100</c:v>
                </c:pt>
                <c:pt idx="1">
                  <c:v>99.651200000000003</c:v>
                </c:pt>
                <c:pt idx="2">
                  <c:v>99.555999999999997</c:v>
                </c:pt>
                <c:pt idx="3">
                  <c:v>99.573719999999994</c:v>
                </c:pt>
                <c:pt idx="4">
                  <c:v>99.542289999999994</c:v>
                </c:pt>
                <c:pt idx="5">
                  <c:v>99.601429999999993</c:v>
                </c:pt>
                <c:pt idx="6">
                  <c:v>99.578569999999999</c:v>
                </c:pt>
                <c:pt idx="7">
                  <c:v>99.491420000000005</c:v>
                </c:pt>
                <c:pt idx="8">
                  <c:v>99.140569999999997</c:v>
                </c:pt>
                <c:pt idx="9">
                  <c:v>99.427710000000005</c:v>
                </c:pt>
                <c:pt idx="10">
                  <c:v>99.521429999999995</c:v>
                </c:pt>
                <c:pt idx="11">
                  <c:v>99.842860000000002</c:v>
                </c:pt>
                <c:pt idx="12">
                  <c:v>99.82629</c:v>
                </c:pt>
                <c:pt idx="13">
                  <c:v>100.03270000000001</c:v>
                </c:pt>
                <c:pt idx="14">
                  <c:v>100.12130000000001</c:v>
                </c:pt>
                <c:pt idx="15">
                  <c:v>100.57429999999999</c:v>
                </c:pt>
                <c:pt idx="16">
                  <c:v>100.59139999999999</c:v>
                </c:pt>
                <c:pt idx="17">
                  <c:v>101.07340000000001</c:v>
                </c:pt>
                <c:pt idx="18">
                  <c:v>101.05629999999999</c:v>
                </c:pt>
                <c:pt idx="19">
                  <c:v>100.9294</c:v>
                </c:pt>
                <c:pt idx="20">
                  <c:v>101.143</c:v>
                </c:pt>
                <c:pt idx="21">
                  <c:v>101.8287</c:v>
                </c:pt>
                <c:pt idx="22">
                  <c:v>102.4957</c:v>
                </c:pt>
                <c:pt idx="23">
                  <c:v>102.75709999999999</c:v>
                </c:pt>
                <c:pt idx="24">
                  <c:v>102.9629</c:v>
                </c:pt>
                <c:pt idx="25">
                  <c:v>103.2371</c:v>
                </c:pt>
                <c:pt idx="26">
                  <c:v>104.30710000000001</c:v>
                </c:pt>
                <c:pt idx="27">
                  <c:v>105.2457</c:v>
                </c:pt>
                <c:pt idx="28">
                  <c:v>105.5543</c:v>
                </c:pt>
                <c:pt idx="29">
                  <c:v>105.69710000000001</c:v>
                </c:pt>
                <c:pt idx="30">
                  <c:v>106.1657</c:v>
                </c:pt>
                <c:pt idx="31">
                  <c:v>106.48860000000001</c:v>
                </c:pt>
                <c:pt idx="32">
                  <c:v>106.9414</c:v>
                </c:pt>
                <c:pt idx="33">
                  <c:v>107.19</c:v>
                </c:pt>
                <c:pt idx="34">
                  <c:v>107.0929</c:v>
                </c:pt>
                <c:pt idx="35">
                  <c:v>108.2343</c:v>
                </c:pt>
                <c:pt idx="36">
                  <c:v>109.64</c:v>
                </c:pt>
                <c:pt idx="37">
                  <c:v>110.45140000000001</c:v>
                </c:pt>
                <c:pt idx="38">
                  <c:v>111.0643</c:v>
                </c:pt>
                <c:pt idx="39">
                  <c:v>111.53570000000001</c:v>
                </c:pt>
                <c:pt idx="40">
                  <c:v>111.98569999999999</c:v>
                </c:pt>
                <c:pt idx="41">
                  <c:v>112.3857</c:v>
                </c:pt>
                <c:pt idx="42">
                  <c:v>112.0714</c:v>
                </c:pt>
                <c:pt idx="43">
                  <c:v>111.6857</c:v>
                </c:pt>
                <c:pt idx="44">
                  <c:v>112.32859999999999</c:v>
                </c:pt>
                <c:pt idx="45">
                  <c:v>112.62860000000001</c:v>
                </c:pt>
                <c:pt idx="46">
                  <c:v>113.1</c:v>
                </c:pt>
                <c:pt idx="47">
                  <c:v>113.78570000000001</c:v>
                </c:pt>
                <c:pt idx="48">
                  <c:v>114.4</c:v>
                </c:pt>
                <c:pt idx="49">
                  <c:v>114.9714</c:v>
                </c:pt>
                <c:pt idx="50">
                  <c:v>115.1571</c:v>
                </c:pt>
                <c:pt idx="51">
                  <c:v>115.01430000000001</c:v>
                </c:pt>
                <c:pt idx="52">
                  <c:v>115.3571</c:v>
                </c:pt>
                <c:pt idx="53">
                  <c:v>115.4143</c:v>
                </c:pt>
                <c:pt idx="54">
                  <c:v>115.7</c:v>
                </c:pt>
                <c:pt idx="55">
                  <c:v>116.1143</c:v>
                </c:pt>
                <c:pt idx="56">
                  <c:v>116.3</c:v>
                </c:pt>
                <c:pt idx="57">
                  <c:v>116.78570000000001</c:v>
                </c:pt>
                <c:pt idx="58">
                  <c:v>117.32859999999999</c:v>
                </c:pt>
                <c:pt idx="59">
                  <c:v>117.75709999999999</c:v>
                </c:pt>
                <c:pt idx="60">
                  <c:v>118.2</c:v>
                </c:pt>
                <c:pt idx="61">
                  <c:v>117.74290000000001</c:v>
                </c:pt>
                <c:pt idx="62">
                  <c:v>117.5429</c:v>
                </c:pt>
                <c:pt idx="63">
                  <c:v>117.3857</c:v>
                </c:pt>
                <c:pt idx="64">
                  <c:v>117.1</c:v>
                </c:pt>
                <c:pt idx="65">
                  <c:v>117.6429</c:v>
                </c:pt>
                <c:pt idx="66">
                  <c:v>117.2286</c:v>
                </c:pt>
                <c:pt idx="67">
                  <c:v>117.25</c:v>
                </c:pt>
                <c:pt idx="68">
                  <c:v>117.64</c:v>
                </c:pt>
                <c:pt idx="69">
                  <c:v>118.05</c:v>
                </c:pt>
              </c:numCache>
            </c:numRef>
          </c:val>
          <c:smooth val="0"/>
          <c:extLst>
            <c:ext xmlns:c16="http://schemas.microsoft.com/office/drawing/2014/chart" uri="{C3380CC4-5D6E-409C-BE32-E72D297353CC}">
              <c16:uniqueId val="{00000004-0B82-4440-AA5F-9929761DA936}"/>
            </c:ext>
          </c:extLst>
        </c:ser>
        <c:dLbls>
          <c:showLegendKey val="0"/>
          <c:showVal val="0"/>
          <c:showCatName val="0"/>
          <c:showSerName val="0"/>
          <c:showPercent val="0"/>
          <c:showBubbleSize val="0"/>
        </c:dLbls>
        <c:smooth val="0"/>
        <c:axId val="476958488"/>
        <c:axId val="476956192"/>
      </c:lineChart>
      <c:catAx>
        <c:axId val="476958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6956192"/>
        <c:crosses val="autoZero"/>
        <c:auto val="1"/>
        <c:lblAlgn val="ctr"/>
        <c:lblOffset val="100"/>
        <c:noMultiLvlLbl val="0"/>
      </c:catAx>
      <c:valAx>
        <c:axId val="476956192"/>
        <c:scaling>
          <c:orientation val="minMax"/>
          <c:max val="120"/>
          <c:min val="9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6958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Unit</a:t>
            </a:r>
            <a:r>
              <a:rPr lang="en-AU" baseline="0"/>
              <a:t> Price Hedonic Index</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'[Hedonic Indexes.xlsx]Unit Price Hedonic Index'!$I$1</c:f>
              <c:strCache>
                <c:ptCount val="1"/>
                <c:pt idx="0">
                  <c:v>VIC</c:v>
                </c:pt>
              </c:strCache>
            </c:strRef>
          </c:tx>
          <c:spPr>
            <a:ln w="28575" cap="rnd">
              <a:solidFill>
                <a:schemeClr val="accent1"/>
              </a:solidFill>
              <a:round/>
            </a:ln>
            <a:effectLst/>
          </c:spPr>
          <c:marker>
            <c:symbol val="none"/>
          </c:marker>
          <c:cat>
            <c:strRef>
              <c:f>'[Hedonic Indexes.xlsx]Unit Price Hedonic Index'!$H$2:$H$71</c:f>
              <c:strCache>
                <c:ptCount val="70"/>
                <c:pt idx="0">
                  <c:v>2015-1</c:v>
                </c:pt>
                <c:pt idx="1">
                  <c:v>2015-2</c:v>
                </c:pt>
                <c:pt idx="2">
                  <c:v>2015-3</c:v>
                </c:pt>
                <c:pt idx="3">
                  <c:v>2015-4</c:v>
                </c:pt>
                <c:pt idx="4">
                  <c:v>2015-5</c:v>
                </c:pt>
                <c:pt idx="5">
                  <c:v>2015-6</c:v>
                </c:pt>
                <c:pt idx="6">
                  <c:v>2015-7</c:v>
                </c:pt>
                <c:pt idx="7">
                  <c:v>2015-8</c:v>
                </c:pt>
                <c:pt idx="8">
                  <c:v>2015-9</c:v>
                </c:pt>
                <c:pt idx="9">
                  <c:v>2015-10</c:v>
                </c:pt>
                <c:pt idx="10">
                  <c:v>2015-11</c:v>
                </c:pt>
                <c:pt idx="11">
                  <c:v>2015-12</c:v>
                </c:pt>
                <c:pt idx="12">
                  <c:v>2016-1</c:v>
                </c:pt>
                <c:pt idx="13">
                  <c:v>2016-2</c:v>
                </c:pt>
                <c:pt idx="14">
                  <c:v>2016-3</c:v>
                </c:pt>
                <c:pt idx="15">
                  <c:v>2016-4</c:v>
                </c:pt>
                <c:pt idx="16">
                  <c:v>2016-5</c:v>
                </c:pt>
                <c:pt idx="17">
                  <c:v>2016-6</c:v>
                </c:pt>
                <c:pt idx="18">
                  <c:v>2016-7</c:v>
                </c:pt>
                <c:pt idx="19">
                  <c:v>2016-8</c:v>
                </c:pt>
                <c:pt idx="20">
                  <c:v>2016-9</c:v>
                </c:pt>
                <c:pt idx="21">
                  <c:v>2016-10</c:v>
                </c:pt>
                <c:pt idx="22">
                  <c:v>2016-11</c:v>
                </c:pt>
                <c:pt idx="23">
                  <c:v>2016-12</c:v>
                </c:pt>
                <c:pt idx="24">
                  <c:v>2017-1</c:v>
                </c:pt>
                <c:pt idx="25">
                  <c:v>2017-2</c:v>
                </c:pt>
                <c:pt idx="26">
                  <c:v>2017-3</c:v>
                </c:pt>
                <c:pt idx="27">
                  <c:v>2017-4</c:v>
                </c:pt>
                <c:pt idx="28">
                  <c:v>2017-5</c:v>
                </c:pt>
                <c:pt idx="29">
                  <c:v>2017-6</c:v>
                </c:pt>
                <c:pt idx="30">
                  <c:v>2017-7</c:v>
                </c:pt>
                <c:pt idx="31">
                  <c:v>2017-8</c:v>
                </c:pt>
                <c:pt idx="32">
                  <c:v>2017-9</c:v>
                </c:pt>
                <c:pt idx="33">
                  <c:v>2017-10</c:v>
                </c:pt>
                <c:pt idx="34">
                  <c:v>2017-11</c:v>
                </c:pt>
                <c:pt idx="35">
                  <c:v>2017-12</c:v>
                </c:pt>
                <c:pt idx="36">
                  <c:v>2018-1</c:v>
                </c:pt>
                <c:pt idx="37">
                  <c:v>2018-2</c:v>
                </c:pt>
                <c:pt idx="38">
                  <c:v>2018-3</c:v>
                </c:pt>
                <c:pt idx="39">
                  <c:v>2018-4</c:v>
                </c:pt>
                <c:pt idx="40">
                  <c:v>2018-5</c:v>
                </c:pt>
                <c:pt idx="41">
                  <c:v>2018-6</c:v>
                </c:pt>
                <c:pt idx="42">
                  <c:v>2018-7</c:v>
                </c:pt>
                <c:pt idx="43">
                  <c:v>2018-8</c:v>
                </c:pt>
                <c:pt idx="44">
                  <c:v>2018-9</c:v>
                </c:pt>
                <c:pt idx="45">
                  <c:v>2018-10</c:v>
                </c:pt>
                <c:pt idx="46">
                  <c:v>2018-11</c:v>
                </c:pt>
                <c:pt idx="47">
                  <c:v>2018-12</c:v>
                </c:pt>
                <c:pt idx="48">
                  <c:v>2019-1</c:v>
                </c:pt>
                <c:pt idx="49">
                  <c:v>2019-2</c:v>
                </c:pt>
                <c:pt idx="50">
                  <c:v>2019-3</c:v>
                </c:pt>
                <c:pt idx="51">
                  <c:v>2019-4</c:v>
                </c:pt>
                <c:pt idx="52">
                  <c:v>2019-5</c:v>
                </c:pt>
                <c:pt idx="53">
                  <c:v>2019-6</c:v>
                </c:pt>
                <c:pt idx="54">
                  <c:v>2019-7</c:v>
                </c:pt>
                <c:pt idx="55">
                  <c:v>2019-8</c:v>
                </c:pt>
                <c:pt idx="56">
                  <c:v>2019-9</c:v>
                </c:pt>
                <c:pt idx="57">
                  <c:v>2019-10</c:v>
                </c:pt>
                <c:pt idx="58">
                  <c:v>2019-11</c:v>
                </c:pt>
                <c:pt idx="59">
                  <c:v>2019-12</c:v>
                </c:pt>
                <c:pt idx="60">
                  <c:v>2020-1</c:v>
                </c:pt>
                <c:pt idx="61">
                  <c:v>2020-2</c:v>
                </c:pt>
                <c:pt idx="62">
                  <c:v>2020-3</c:v>
                </c:pt>
                <c:pt idx="63">
                  <c:v>2020-4</c:v>
                </c:pt>
                <c:pt idx="64">
                  <c:v>2020-5</c:v>
                </c:pt>
                <c:pt idx="65">
                  <c:v>2020-6</c:v>
                </c:pt>
                <c:pt idx="66">
                  <c:v>2020-7</c:v>
                </c:pt>
                <c:pt idx="67">
                  <c:v>2020-8</c:v>
                </c:pt>
                <c:pt idx="68">
                  <c:v>2020-9</c:v>
                </c:pt>
                <c:pt idx="69">
                  <c:v>2020-10</c:v>
                </c:pt>
              </c:strCache>
            </c:strRef>
          </c:cat>
          <c:val>
            <c:numRef>
              <c:f>'[Hedonic Indexes.xlsx]Unit Price Hedonic Index'!$I$2:$I$71</c:f>
              <c:numCache>
                <c:formatCode>General</c:formatCode>
                <c:ptCount val="70"/>
                <c:pt idx="0">
                  <c:v>100</c:v>
                </c:pt>
                <c:pt idx="1">
                  <c:v>104.014</c:v>
                </c:pt>
                <c:pt idx="2">
                  <c:v>105.345</c:v>
                </c:pt>
                <c:pt idx="3">
                  <c:v>104.9671</c:v>
                </c:pt>
                <c:pt idx="4">
                  <c:v>105.7543</c:v>
                </c:pt>
                <c:pt idx="5">
                  <c:v>106.19289999999999</c:v>
                </c:pt>
                <c:pt idx="6">
                  <c:v>106.0157</c:v>
                </c:pt>
                <c:pt idx="7">
                  <c:v>105.7471</c:v>
                </c:pt>
                <c:pt idx="8">
                  <c:v>105.2671</c:v>
                </c:pt>
                <c:pt idx="9">
                  <c:v>103.76860000000001</c:v>
                </c:pt>
                <c:pt idx="10">
                  <c:v>103.5214</c:v>
                </c:pt>
                <c:pt idx="11">
                  <c:v>103.3314</c:v>
                </c:pt>
                <c:pt idx="12">
                  <c:v>103.2471</c:v>
                </c:pt>
                <c:pt idx="13">
                  <c:v>103.3629</c:v>
                </c:pt>
                <c:pt idx="14">
                  <c:v>103.51</c:v>
                </c:pt>
                <c:pt idx="15">
                  <c:v>103.288</c:v>
                </c:pt>
                <c:pt idx="16">
                  <c:v>103.5894</c:v>
                </c:pt>
                <c:pt idx="17">
                  <c:v>104.0594</c:v>
                </c:pt>
                <c:pt idx="18">
                  <c:v>104.1366</c:v>
                </c:pt>
                <c:pt idx="19">
                  <c:v>102.9023</c:v>
                </c:pt>
                <c:pt idx="20">
                  <c:v>102.7551</c:v>
                </c:pt>
                <c:pt idx="21">
                  <c:v>102.4666</c:v>
                </c:pt>
                <c:pt idx="22">
                  <c:v>103.1814</c:v>
                </c:pt>
                <c:pt idx="23">
                  <c:v>103.5671</c:v>
                </c:pt>
                <c:pt idx="24">
                  <c:v>104.0629</c:v>
                </c:pt>
                <c:pt idx="25">
                  <c:v>105.0171</c:v>
                </c:pt>
                <c:pt idx="26">
                  <c:v>107.4014</c:v>
                </c:pt>
                <c:pt idx="27">
                  <c:v>107.51</c:v>
                </c:pt>
                <c:pt idx="28">
                  <c:v>108.1771</c:v>
                </c:pt>
                <c:pt idx="29">
                  <c:v>108.6914</c:v>
                </c:pt>
                <c:pt idx="30">
                  <c:v>109.04</c:v>
                </c:pt>
                <c:pt idx="31">
                  <c:v>109.0157</c:v>
                </c:pt>
                <c:pt idx="32">
                  <c:v>108.8043</c:v>
                </c:pt>
                <c:pt idx="33">
                  <c:v>107.7771</c:v>
                </c:pt>
                <c:pt idx="34">
                  <c:v>108.0014</c:v>
                </c:pt>
                <c:pt idx="35">
                  <c:v>108.03</c:v>
                </c:pt>
                <c:pt idx="36">
                  <c:v>107.7129</c:v>
                </c:pt>
                <c:pt idx="37">
                  <c:v>107.19289999999999</c:v>
                </c:pt>
                <c:pt idx="38">
                  <c:v>106.7543</c:v>
                </c:pt>
                <c:pt idx="39">
                  <c:v>105.67</c:v>
                </c:pt>
                <c:pt idx="40">
                  <c:v>105.04</c:v>
                </c:pt>
                <c:pt idx="41">
                  <c:v>104.83710000000001</c:v>
                </c:pt>
                <c:pt idx="42">
                  <c:v>103.6943</c:v>
                </c:pt>
                <c:pt idx="43">
                  <c:v>102.2557</c:v>
                </c:pt>
                <c:pt idx="44">
                  <c:v>101.48569999999999</c:v>
                </c:pt>
                <c:pt idx="45">
                  <c:v>100.5514</c:v>
                </c:pt>
                <c:pt idx="46">
                  <c:v>100.3629</c:v>
                </c:pt>
                <c:pt idx="47">
                  <c:v>100.4314</c:v>
                </c:pt>
                <c:pt idx="48">
                  <c:v>100.1357</c:v>
                </c:pt>
                <c:pt idx="49">
                  <c:v>100.5243</c:v>
                </c:pt>
                <c:pt idx="50">
                  <c:v>101.6157</c:v>
                </c:pt>
                <c:pt idx="51">
                  <c:v>102.29</c:v>
                </c:pt>
                <c:pt idx="52">
                  <c:v>103.46429999999999</c:v>
                </c:pt>
                <c:pt idx="53">
                  <c:v>104.5214</c:v>
                </c:pt>
                <c:pt idx="54">
                  <c:v>105.45140000000001</c:v>
                </c:pt>
                <c:pt idx="55">
                  <c:v>106.6343</c:v>
                </c:pt>
                <c:pt idx="56">
                  <c:v>107.9414</c:v>
                </c:pt>
                <c:pt idx="57">
                  <c:v>108.6271</c:v>
                </c:pt>
                <c:pt idx="58">
                  <c:v>109.7771</c:v>
                </c:pt>
                <c:pt idx="59">
                  <c:v>110.55289999999999</c:v>
                </c:pt>
                <c:pt idx="60">
                  <c:v>110.6871</c:v>
                </c:pt>
                <c:pt idx="61">
                  <c:v>110.6357</c:v>
                </c:pt>
                <c:pt idx="62">
                  <c:v>110.31570000000001</c:v>
                </c:pt>
                <c:pt idx="63">
                  <c:v>110.20140000000001</c:v>
                </c:pt>
                <c:pt idx="64">
                  <c:v>110.1729</c:v>
                </c:pt>
                <c:pt idx="65">
                  <c:v>110.1157</c:v>
                </c:pt>
                <c:pt idx="66">
                  <c:v>110.03</c:v>
                </c:pt>
                <c:pt idx="67">
                  <c:v>110.1433</c:v>
                </c:pt>
                <c:pt idx="68">
                  <c:v>110.426</c:v>
                </c:pt>
                <c:pt idx="69">
                  <c:v>110.8175</c:v>
                </c:pt>
              </c:numCache>
            </c:numRef>
          </c:val>
          <c:smooth val="0"/>
          <c:extLst>
            <c:ext xmlns:c16="http://schemas.microsoft.com/office/drawing/2014/chart" uri="{C3380CC4-5D6E-409C-BE32-E72D297353CC}">
              <c16:uniqueId val="{00000000-B95C-4513-85C5-CFA9DBDE269B}"/>
            </c:ext>
          </c:extLst>
        </c:ser>
        <c:ser>
          <c:idx val="1"/>
          <c:order val="1"/>
          <c:tx>
            <c:strRef>
              <c:f>'[Hedonic Indexes.xlsx]Unit Price Hedonic Index'!$J$1</c:f>
              <c:strCache>
                <c:ptCount val="1"/>
                <c:pt idx="0">
                  <c:v>GreaterMelbourne</c:v>
                </c:pt>
              </c:strCache>
            </c:strRef>
          </c:tx>
          <c:spPr>
            <a:ln w="28575" cap="rnd">
              <a:solidFill>
                <a:schemeClr val="accent2"/>
              </a:solidFill>
              <a:round/>
            </a:ln>
            <a:effectLst/>
          </c:spPr>
          <c:marker>
            <c:symbol val="none"/>
          </c:marker>
          <c:cat>
            <c:strRef>
              <c:f>'[Hedonic Indexes.xlsx]Unit Price Hedonic Index'!$H$2:$H$71</c:f>
              <c:strCache>
                <c:ptCount val="70"/>
                <c:pt idx="0">
                  <c:v>2015-1</c:v>
                </c:pt>
                <c:pt idx="1">
                  <c:v>2015-2</c:v>
                </c:pt>
                <c:pt idx="2">
                  <c:v>2015-3</c:v>
                </c:pt>
                <c:pt idx="3">
                  <c:v>2015-4</c:v>
                </c:pt>
                <c:pt idx="4">
                  <c:v>2015-5</c:v>
                </c:pt>
                <c:pt idx="5">
                  <c:v>2015-6</c:v>
                </c:pt>
                <c:pt idx="6">
                  <c:v>2015-7</c:v>
                </c:pt>
                <c:pt idx="7">
                  <c:v>2015-8</c:v>
                </c:pt>
                <c:pt idx="8">
                  <c:v>2015-9</c:v>
                </c:pt>
                <c:pt idx="9">
                  <c:v>2015-10</c:v>
                </c:pt>
                <c:pt idx="10">
                  <c:v>2015-11</c:v>
                </c:pt>
                <c:pt idx="11">
                  <c:v>2015-12</c:v>
                </c:pt>
                <c:pt idx="12">
                  <c:v>2016-1</c:v>
                </c:pt>
                <c:pt idx="13">
                  <c:v>2016-2</c:v>
                </c:pt>
                <c:pt idx="14">
                  <c:v>2016-3</c:v>
                </c:pt>
                <c:pt idx="15">
                  <c:v>2016-4</c:v>
                </c:pt>
                <c:pt idx="16">
                  <c:v>2016-5</c:v>
                </c:pt>
                <c:pt idx="17">
                  <c:v>2016-6</c:v>
                </c:pt>
                <c:pt idx="18">
                  <c:v>2016-7</c:v>
                </c:pt>
                <c:pt idx="19">
                  <c:v>2016-8</c:v>
                </c:pt>
                <c:pt idx="20">
                  <c:v>2016-9</c:v>
                </c:pt>
                <c:pt idx="21">
                  <c:v>2016-10</c:v>
                </c:pt>
                <c:pt idx="22">
                  <c:v>2016-11</c:v>
                </c:pt>
                <c:pt idx="23">
                  <c:v>2016-12</c:v>
                </c:pt>
                <c:pt idx="24">
                  <c:v>2017-1</c:v>
                </c:pt>
                <c:pt idx="25">
                  <c:v>2017-2</c:v>
                </c:pt>
                <c:pt idx="26">
                  <c:v>2017-3</c:v>
                </c:pt>
                <c:pt idx="27">
                  <c:v>2017-4</c:v>
                </c:pt>
                <c:pt idx="28">
                  <c:v>2017-5</c:v>
                </c:pt>
                <c:pt idx="29">
                  <c:v>2017-6</c:v>
                </c:pt>
                <c:pt idx="30">
                  <c:v>2017-7</c:v>
                </c:pt>
                <c:pt idx="31">
                  <c:v>2017-8</c:v>
                </c:pt>
                <c:pt idx="32">
                  <c:v>2017-9</c:v>
                </c:pt>
                <c:pt idx="33">
                  <c:v>2017-10</c:v>
                </c:pt>
                <c:pt idx="34">
                  <c:v>2017-11</c:v>
                </c:pt>
                <c:pt idx="35">
                  <c:v>2017-12</c:v>
                </c:pt>
                <c:pt idx="36">
                  <c:v>2018-1</c:v>
                </c:pt>
                <c:pt idx="37">
                  <c:v>2018-2</c:v>
                </c:pt>
                <c:pt idx="38">
                  <c:v>2018-3</c:v>
                </c:pt>
                <c:pt idx="39">
                  <c:v>2018-4</c:v>
                </c:pt>
                <c:pt idx="40">
                  <c:v>2018-5</c:v>
                </c:pt>
                <c:pt idx="41">
                  <c:v>2018-6</c:v>
                </c:pt>
                <c:pt idx="42">
                  <c:v>2018-7</c:v>
                </c:pt>
                <c:pt idx="43">
                  <c:v>2018-8</c:v>
                </c:pt>
                <c:pt idx="44">
                  <c:v>2018-9</c:v>
                </c:pt>
                <c:pt idx="45">
                  <c:v>2018-10</c:v>
                </c:pt>
                <c:pt idx="46">
                  <c:v>2018-11</c:v>
                </c:pt>
                <c:pt idx="47">
                  <c:v>2018-12</c:v>
                </c:pt>
                <c:pt idx="48">
                  <c:v>2019-1</c:v>
                </c:pt>
                <c:pt idx="49">
                  <c:v>2019-2</c:v>
                </c:pt>
                <c:pt idx="50">
                  <c:v>2019-3</c:v>
                </c:pt>
                <c:pt idx="51">
                  <c:v>2019-4</c:v>
                </c:pt>
                <c:pt idx="52">
                  <c:v>2019-5</c:v>
                </c:pt>
                <c:pt idx="53">
                  <c:v>2019-6</c:v>
                </c:pt>
                <c:pt idx="54">
                  <c:v>2019-7</c:v>
                </c:pt>
                <c:pt idx="55">
                  <c:v>2019-8</c:v>
                </c:pt>
                <c:pt idx="56">
                  <c:v>2019-9</c:v>
                </c:pt>
                <c:pt idx="57">
                  <c:v>2019-10</c:v>
                </c:pt>
                <c:pt idx="58">
                  <c:v>2019-11</c:v>
                </c:pt>
                <c:pt idx="59">
                  <c:v>2019-12</c:v>
                </c:pt>
                <c:pt idx="60">
                  <c:v>2020-1</c:v>
                </c:pt>
                <c:pt idx="61">
                  <c:v>2020-2</c:v>
                </c:pt>
                <c:pt idx="62">
                  <c:v>2020-3</c:v>
                </c:pt>
                <c:pt idx="63">
                  <c:v>2020-4</c:v>
                </c:pt>
                <c:pt idx="64">
                  <c:v>2020-5</c:v>
                </c:pt>
                <c:pt idx="65">
                  <c:v>2020-6</c:v>
                </c:pt>
                <c:pt idx="66">
                  <c:v>2020-7</c:v>
                </c:pt>
                <c:pt idx="67">
                  <c:v>2020-8</c:v>
                </c:pt>
                <c:pt idx="68">
                  <c:v>2020-9</c:v>
                </c:pt>
                <c:pt idx="69">
                  <c:v>2020-10</c:v>
                </c:pt>
              </c:strCache>
            </c:strRef>
          </c:cat>
          <c:val>
            <c:numRef>
              <c:f>'[Hedonic Indexes.xlsx]Unit Price Hedonic Index'!$J$2:$J$71</c:f>
              <c:numCache>
                <c:formatCode>General</c:formatCode>
                <c:ptCount val="70"/>
                <c:pt idx="0">
                  <c:v>100</c:v>
                </c:pt>
                <c:pt idx="1">
                  <c:v>104.446</c:v>
                </c:pt>
                <c:pt idx="2">
                  <c:v>105.755</c:v>
                </c:pt>
                <c:pt idx="3">
                  <c:v>105.2771</c:v>
                </c:pt>
                <c:pt idx="4">
                  <c:v>106.0086</c:v>
                </c:pt>
                <c:pt idx="5">
                  <c:v>106.47709999999999</c:v>
                </c:pt>
                <c:pt idx="6">
                  <c:v>106.2957</c:v>
                </c:pt>
                <c:pt idx="7">
                  <c:v>105.9486</c:v>
                </c:pt>
                <c:pt idx="8">
                  <c:v>105.63290000000001</c:v>
                </c:pt>
                <c:pt idx="9">
                  <c:v>104.17140000000001</c:v>
                </c:pt>
                <c:pt idx="10">
                  <c:v>103.97709999999999</c:v>
                </c:pt>
                <c:pt idx="11">
                  <c:v>103.99</c:v>
                </c:pt>
                <c:pt idx="12">
                  <c:v>103.9543</c:v>
                </c:pt>
                <c:pt idx="13">
                  <c:v>104.06570000000001</c:v>
                </c:pt>
                <c:pt idx="14">
                  <c:v>104.2471</c:v>
                </c:pt>
                <c:pt idx="15">
                  <c:v>103.91930000000001</c:v>
                </c:pt>
                <c:pt idx="16">
                  <c:v>104.19929999999999</c:v>
                </c:pt>
                <c:pt idx="17">
                  <c:v>104.6593</c:v>
                </c:pt>
                <c:pt idx="18">
                  <c:v>104.605</c:v>
                </c:pt>
                <c:pt idx="19">
                  <c:v>102.965</c:v>
                </c:pt>
                <c:pt idx="20">
                  <c:v>102.755</c:v>
                </c:pt>
                <c:pt idx="21">
                  <c:v>102.495</c:v>
                </c:pt>
                <c:pt idx="22">
                  <c:v>103.19289999999999</c:v>
                </c:pt>
                <c:pt idx="23">
                  <c:v>103.6529</c:v>
                </c:pt>
                <c:pt idx="24">
                  <c:v>104.11709999999999</c:v>
                </c:pt>
                <c:pt idx="25">
                  <c:v>105.1986</c:v>
                </c:pt>
                <c:pt idx="26">
                  <c:v>107.8486</c:v>
                </c:pt>
                <c:pt idx="27">
                  <c:v>107.8943</c:v>
                </c:pt>
                <c:pt idx="28">
                  <c:v>108.42</c:v>
                </c:pt>
                <c:pt idx="29">
                  <c:v>109.04430000000001</c:v>
                </c:pt>
                <c:pt idx="30">
                  <c:v>109.3086</c:v>
                </c:pt>
                <c:pt idx="31">
                  <c:v>109.36709999999999</c:v>
                </c:pt>
                <c:pt idx="32">
                  <c:v>109.09569999999999</c:v>
                </c:pt>
                <c:pt idx="33">
                  <c:v>107.97</c:v>
                </c:pt>
                <c:pt idx="34">
                  <c:v>108.2257</c:v>
                </c:pt>
                <c:pt idx="35">
                  <c:v>108.3357</c:v>
                </c:pt>
                <c:pt idx="36">
                  <c:v>107.9457</c:v>
                </c:pt>
                <c:pt idx="37">
                  <c:v>107.3571</c:v>
                </c:pt>
                <c:pt idx="38">
                  <c:v>106.8686</c:v>
                </c:pt>
                <c:pt idx="39">
                  <c:v>105.5843</c:v>
                </c:pt>
                <c:pt idx="40">
                  <c:v>104.97709999999999</c:v>
                </c:pt>
                <c:pt idx="41">
                  <c:v>104.6657</c:v>
                </c:pt>
                <c:pt idx="42">
                  <c:v>103.33710000000001</c:v>
                </c:pt>
                <c:pt idx="43">
                  <c:v>101.7257</c:v>
                </c:pt>
                <c:pt idx="44">
                  <c:v>100.6814</c:v>
                </c:pt>
                <c:pt idx="45">
                  <c:v>99.565709999999996</c:v>
                </c:pt>
                <c:pt idx="46">
                  <c:v>99.392430000000004</c:v>
                </c:pt>
                <c:pt idx="47">
                  <c:v>99.382429999999999</c:v>
                </c:pt>
                <c:pt idx="48">
                  <c:v>99.069569999999999</c:v>
                </c:pt>
                <c:pt idx="49">
                  <c:v>99.429569999999998</c:v>
                </c:pt>
                <c:pt idx="50">
                  <c:v>100.50239999999999</c:v>
                </c:pt>
                <c:pt idx="51">
                  <c:v>101.3839</c:v>
                </c:pt>
                <c:pt idx="52">
                  <c:v>102.6324</c:v>
                </c:pt>
                <c:pt idx="53">
                  <c:v>103.7743</c:v>
                </c:pt>
                <c:pt idx="54">
                  <c:v>104.6657</c:v>
                </c:pt>
                <c:pt idx="55">
                  <c:v>105.91289999999999</c:v>
                </c:pt>
                <c:pt idx="56">
                  <c:v>107.2443</c:v>
                </c:pt>
                <c:pt idx="57">
                  <c:v>107.8886</c:v>
                </c:pt>
                <c:pt idx="58">
                  <c:v>108.9971</c:v>
                </c:pt>
                <c:pt idx="59">
                  <c:v>109.6914</c:v>
                </c:pt>
                <c:pt idx="60">
                  <c:v>109.66289999999999</c:v>
                </c:pt>
                <c:pt idx="61">
                  <c:v>109.51139999999999</c:v>
                </c:pt>
                <c:pt idx="62">
                  <c:v>108.94</c:v>
                </c:pt>
                <c:pt idx="63">
                  <c:v>108.81570000000001</c:v>
                </c:pt>
                <c:pt idx="64">
                  <c:v>108.6771</c:v>
                </c:pt>
                <c:pt idx="65">
                  <c:v>108.2371</c:v>
                </c:pt>
                <c:pt idx="66">
                  <c:v>108.08</c:v>
                </c:pt>
                <c:pt idx="67">
                  <c:v>108.0783</c:v>
                </c:pt>
                <c:pt idx="68">
                  <c:v>108.258</c:v>
                </c:pt>
                <c:pt idx="69">
                  <c:v>108.7225</c:v>
                </c:pt>
              </c:numCache>
            </c:numRef>
          </c:val>
          <c:smooth val="0"/>
          <c:extLst>
            <c:ext xmlns:c16="http://schemas.microsoft.com/office/drawing/2014/chart" uri="{C3380CC4-5D6E-409C-BE32-E72D297353CC}">
              <c16:uniqueId val="{00000001-B95C-4513-85C5-CFA9DBDE269B}"/>
            </c:ext>
          </c:extLst>
        </c:ser>
        <c:ser>
          <c:idx val="2"/>
          <c:order val="2"/>
          <c:tx>
            <c:strRef>
              <c:f>'[Hedonic Indexes.xlsx]Unit Price Hedonic Index'!$K$1</c:f>
              <c:strCache>
                <c:ptCount val="1"/>
                <c:pt idx="0">
                  <c:v>RegionalVIC</c:v>
                </c:pt>
              </c:strCache>
            </c:strRef>
          </c:tx>
          <c:spPr>
            <a:ln w="28575" cap="rnd">
              <a:solidFill>
                <a:schemeClr val="accent3"/>
              </a:solidFill>
              <a:round/>
            </a:ln>
            <a:effectLst/>
          </c:spPr>
          <c:marker>
            <c:symbol val="none"/>
          </c:marker>
          <c:cat>
            <c:strRef>
              <c:f>'[Hedonic Indexes.xlsx]Unit Price Hedonic Index'!$H$2:$H$71</c:f>
              <c:strCache>
                <c:ptCount val="70"/>
                <c:pt idx="0">
                  <c:v>2015-1</c:v>
                </c:pt>
                <c:pt idx="1">
                  <c:v>2015-2</c:v>
                </c:pt>
                <c:pt idx="2">
                  <c:v>2015-3</c:v>
                </c:pt>
                <c:pt idx="3">
                  <c:v>2015-4</c:v>
                </c:pt>
                <c:pt idx="4">
                  <c:v>2015-5</c:v>
                </c:pt>
                <c:pt idx="5">
                  <c:v>2015-6</c:v>
                </c:pt>
                <c:pt idx="6">
                  <c:v>2015-7</c:v>
                </c:pt>
                <c:pt idx="7">
                  <c:v>2015-8</c:v>
                </c:pt>
                <c:pt idx="8">
                  <c:v>2015-9</c:v>
                </c:pt>
                <c:pt idx="9">
                  <c:v>2015-10</c:v>
                </c:pt>
                <c:pt idx="10">
                  <c:v>2015-11</c:v>
                </c:pt>
                <c:pt idx="11">
                  <c:v>2015-12</c:v>
                </c:pt>
                <c:pt idx="12">
                  <c:v>2016-1</c:v>
                </c:pt>
                <c:pt idx="13">
                  <c:v>2016-2</c:v>
                </c:pt>
                <c:pt idx="14">
                  <c:v>2016-3</c:v>
                </c:pt>
                <c:pt idx="15">
                  <c:v>2016-4</c:v>
                </c:pt>
                <c:pt idx="16">
                  <c:v>2016-5</c:v>
                </c:pt>
                <c:pt idx="17">
                  <c:v>2016-6</c:v>
                </c:pt>
                <c:pt idx="18">
                  <c:v>2016-7</c:v>
                </c:pt>
                <c:pt idx="19">
                  <c:v>2016-8</c:v>
                </c:pt>
                <c:pt idx="20">
                  <c:v>2016-9</c:v>
                </c:pt>
                <c:pt idx="21">
                  <c:v>2016-10</c:v>
                </c:pt>
                <c:pt idx="22">
                  <c:v>2016-11</c:v>
                </c:pt>
                <c:pt idx="23">
                  <c:v>2016-12</c:v>
                </c:pt>
                <c:pt idx="24">
                  <c:v>2017-1</c:v>
                </c:pt>
                <c:pt idx="25">
                  <c:v>2017-2</c:v>
                </c:pt>
                <c:pt idx="26">
                  <c:v>2017-3</c:v>
                </c:pt>
                <c:pt idx="27">
                  <c:v>2017-4</c:v>
                </c:pt>
                <c:pt idx="28">
                  <c:v>2017-5</c:v>
                </c:pt>
                <c:pt idx="29">
                  <c:v>2017-6</c:v>
                </c:pt>
                <c:pt idx="30">
                  <c:v>2017-7</c:v>
                </c:pt>
                <c:pt idx="31">
                  <c:v>2017-8</c:v>
                </c:pt>
                <c:pt idx="32">
                  <c:v>2017-9</c:v>
                </c:pt>
                <c:pt idx="33">
                  <c:v>2017-10</c:v>
                </c:pt>
                <c:pt idx="34">
                  <c:v>2017-11</c:v>
                </c:pt>
                <c:pt idx="35">
                  <c:v>2017-12</c:v>
                </c:pt>
                <c:pt idx="36">
                  <c:v>2018-1</c:v>
                </c:pt>
                <c:pt idx="37">
                  <c:v>2018-2</c:v>
                </c:pt>
                <c:pt idx="38">
                  <c:v>2018-3</c:v>
                </c:pt>
                <c:pt idx="39">
                  <c:v>2018-4</c:v>
                </c:pt>
                <c:pt idx="40">
                  <c:v>2018-5</c:v>
                </c:pt>
                <c:pt idx="41">
                  <c:v>2018-6</c:v>
                </c:pt>
                <c:pt idx="42">
                  <c:v>2018-7</c:v>
                </c:pt>
                <c:pt idx="43">
                  <c:v>2018-8</c:v>
                </c:pt>
                <c:pt idx="44">
                  <c:v>2018-9</c:v>
                </c:pt>
                <c:pt idx="45">
                  <c:v>2018-10</c:v>
                </c:pt>
                <c:pt idx="46">
                  <c:v>2018-11</c:v>
                </c:pt>
                <c:pt idx="47">
                  <c:v>2018-12</c:v>
                </c:pt>
                <c:pt idx="48">
                  <c:v>2019-1</c:v>
                </c:pt>
                <c:pt idx="49">
                  <c:v>2019-2</c:v>
                </c:pt>
                <c:pt idx="50">
                  <c:v>2019-3</c:v>
                </c:pt>
                <c:pt idx="51">
                  <c:v>2019-4</c:v>
                </c:pt>
                <c:pt idx="52">
                  <c:v>2019-5</c:v>
                </c:pt>
                <c:pt idx="53">
                  <c:v>2019-6</c:v>
                </c:pt>
                <c:pt idx="54">
                  <c:v>2019-7</c:v>
                </c:pt>
                <c:pt idx="55">
                  <c:v>2019-8</c:v>
                </c:pt>
                <c:pt idx="56">
                  <c:v>2019-9</c:v>
                </c:pt>
                <c:pt idx="57">
                  <c:v>2019-10</c:v>
                </c:pt>
                <c:pt idx="58">
                  <c:v>2019-11</c:v>
                </c:pt>
                <c:pt idx="59">
                  <c:v>2019-12</c:v>
                </c:pt>
                <c:pt idx="60">
                  <c:v>2020-1</c:v>
                </c:pt>
                <c:pt idx="61">
                  <c:v>2020-2</c:v>
                </c:pt>
                <c:pt idx="62">
                  <c:v>2020-3</c:v>
                </c:pt>
                <c:pt idx="63">
                  <c:v>2020-4</c:v>
                </c:pt>
                <c:pt idx="64">
                  <c:v>2020-5</c:v>
                </c:pt>
                <c:pt idx="65">
                  <c:v>2020-6</c:v>
                </c:pt>
                <c:pt idx="66">
                  <c:v>2020-7</c:v>
                </c:pt>
                <c:pt idx="67">
                  <c:v>2020-8</c:v>
                </c:pt>
                <c:pt idx="68">
                  <c:v>2020-9</c:v>
                </c:pt>
                <c:pt idx="69">
                  <c:v>2020-10</c:v>
                </c:pt>
              </c:strCache>
            </c:strRef>
          </c:cat>
          <c:val>
            <c:numRef>
              <c:f>'[Hedonic Indexes.xlsx]Unit Price Hedonic Index'!$K$2:$K$71</c:f>
              <c:numCache>
                <c:formatCode>General</c:formatCode>
                <c:ptCount val="70"/>
                <c:pt idx="0">
                  <c:v>100</c:v>
                </c:pt>
                <c:pt idx="1">
                  <c:v>101.488</c:v>
                </c:pt>
                <c:pt idx="2">
                  <c:v>102.7617</c:v>
                </c:pt>
                <c:pt idx="3">
                  <c:v>102.9329</c:v>
                </c:pt>
                <c:pt idx="4">
                  <c:v>103.9414</c:v>
                </c:pt>
                <c:pt idx="5">
                  <c:v>104.39709999999999</c:v>
                </c:pt>
                <c:pt idx="6">
                  <c:v>104.1529</c:v>
                </c:pt>
                <c:pt idx="7">
                  <c:v>104.4729</c:v>
                </c:pt>
                <c:pt idx="8">
                  <c:v>103.52630000000001</c:v>
                </c:pt>
                <c:pt idx="9">
                  <c:v>102.1377</c:v>
                </c:pt>
                <c:pt idx="10">
                  <c:v>101.74339999999999</c:v>
                </c:pt>
                <c:pt idx="11">
                  <c:v>100.8806</c:v>
                </c:pt>
                <c:pt idx="12">
                  <c:v>100.6206</c:v>
                </c:pt>
                <c:pt idx="13">
                  <c:v>100.9391</c:v>
                </c:pt>
                <c:pt idx="14">
                  <c:v>100.97490000000001</c:v>
                </c:pt>
                <c:pt idx="15">
                  <c:v>101.0879</c:v>
                </c:pt>
                <c:pt idx="16">
                  <c:v>101.47790000000001</c:v>
                </c:pt>
                <c:pt idx="17">
                  <c:v>101.94929999999999</c:v>
                </c:pt>
                <c:pt idx="18">
                  <c:v>102.47069999999999</c:v>
                </c:pt>
                <c:pt idx="19">
                  <c:v>103.1979</c:v>
                </c:pt>
                <c:pt idx="20">
                  <c:v>103.32210000000001</c:v>
                </c:pt>
                <c:pt idx="21">
                  <c:v>103.0496</c:v>
                </c:pt>
                <c:pt idx="22">
                  <c:v>103.7974</c:v>
                </c:pt>
                <c:pt idx="23">
                  <c:v>104.0274</c:v>
                </c:pt>
                <c:pt idx="24">
                  <c:v>104.7389</c:v>
                </c:pt>
                <c:pt idx="25">
                  <c:v>105.2303</c:v>
                </c:pt>
                <c:pt idx="26">
                  <c:v>106.3289</c:v>
                </c:pt>
                <c:pt idx="27">
                  <c:v>106.676</c:v>
                </c:pt>
                <c:pt idx="28">
                  <c:v>107.8229</c:v>
                </c:pt>
                <c:pt idx="29">
                  <c:v>108.0243</c:v>
                </c:pt>
                <c:pt idx="30">
                  <c:v>108.6414</c:v>
                </c:pt>
                <c:pt idx="31">
                  <c:v>108.3343</c:v>
                </c:pt>
                <c:pt idx="32">
                  <c:v>108.3943</c:v>
                </c:pt>
                <c:pt idx="33">
                  <c:v>107.77290000000001</c:v>
                </c:pt>
                <c:pt idx="34">
                  <c:v>107.8686</c:v>
                </c:pt>
                <c:pt idx="35">
                  <c:v>107.5671</c:v>
                </c:pt>
                <c:pt idx="36">
                  <c:v>107.4014</c:v>
                </c:pt>
                <c:pt idx="37">
                  <c:v>107.12860000000001</c:v>
                </c:pt>
                <c:pt idx="38">
                  <c:v>106.7586</c:v>
                </c:pt>
                <c:pt idx="39">
                  <c:v>106.4057</c:v>
                </c:pt>
                <c:pt idx="40">
                  <c:v>105.6871</c:v>
                </c:pt>
                <c:pt idx="41">
                  <c:v>105.9186</c:v>
                </c:pt>
                <c:pt idx="42">
                  <c:v>105.4543</c:v>
                </c:pt>
                <c:pt idx="43">
                  <c:v>104.72</c:v>
                </c:pt>
                <c:pt idx="44">
                  <c:v>104.81570000000001</c:v>
                </c:pt>
                <c:pt idx="45">
                  <c:v>104.5471</c:v>
                </c:pt>
                <c:pt idx="46">
                  <c:v>104.3343</c:v>
                </c:pt>
                <c:pt idx="47">
                  <c:v>104.6771</c:v>
                </c:pt>
                <c:pt idx="48">
                  <c:v>104.42570000000001</c:v>
                </c:pt>
                <c:pt idx="49">
                  <c:v>104.9843</c:v>
                </c:pt>
                <c:pt idx="50">
                  <c:v>106.0286</c:v>
                </c:pt>
                <c:pt idx="51">
                  <c:v>106.0386</c:v>
                </c:pt>
                <c:pt idx="52">
                  <c:v>106.9143</c:v>
                </c:pt>
                <c:pt idx="53">
                  <c:v>107.5671</c:v>
                </c:pt>
                <c:pt idx="54">
                  <c:v>108.65</c:v>
                </c:pt>
                <c:pt idx="55">
                  <c:v>109.57</c:v>
                </c:pt>
                <c:pt idx="56">
                  <c:v>110.60429999999999</c:v>
                </c:pt>
                <c:pt idx="57">
                  <c:v>111.4757</c:v>
                </c:pt>
                <c:pt idx="58">
                  <c:v>112.7043</c:v>
                </c:pt>
                <c:pt idx="59">
                  <c:v>113.72</c:v>
                </c:pt>
                <c:pt idx="60">
                  <c:v>114.3857</c:v>
                </c:pt>
                <c:pt idx="61">
                  <c:v>114.51430000000001</c:v>
                </c:pt>
                <c:pt idx="62">
                  <c:v>114.94289999999999</c:v>
                </c:pt>
                <c:pt idx="63">
                  <c:v>114.8571</c:v>
                </c:pt>
                <c:pt idx="64">
                  <c:v>114.74290000000001</c:v>
                </c:pt>
                <c:pt idx="65">
                  <c:v>115</c:v>
                </c:pt>
                <c:pt idx="66">
                  <c:v>115.0286</c:v>
                </c:pt>
                <c:pt idx="67">
                  <c:v>115.2333</c:v>
                </c:pt>
                <c:pt idx="68">
                  <c:v>115.58</c:v>
                </c:pt>
                <c:pt idx="69">
                  <c:v>115.25</c:v>
                </c:pt>
              </c:numCache>
            </c:numRef>
          </c:val>
          <c:smooth val="0"/>
          <c:extLst>
            <c:ext xmlns:c16="http://schemas.microsoft.com/office/drawing/2014/chart" uri="{C3380CC4-5D6E-409C-BE32-E72D297353CC}">
              <c16:uniqueId val="{00000002-B95C-4513-85C5-CFA9DBDE269B}"/>
            </c:ext>
          </c:extLst>
        </c:ser>
        <c:ser>
          <c:idx val="3"/>
          <c:order val="3"/>
          <c:tx>
            <c:strRef>
              <c:f>'[Hedonic Indexes.xlsx]Unit Price Hedonic Index'!$L$1</c:f>
              <c:strCache>
                <c:ptCount val="1"/>
                <c:pt idx="0">
                  <c:v>GreaterGeelong</c:v>
                </c:pt>
              </c:strCache>
            </c:strRef>
          </c:tx>
          <c:spPr>
            <a:ln w="28575" cap="rnd">
              <a:solidFill>
                <a:schemeClr val="accent4"/>
              </a:solidFill>
              <a:round/>
            </a:ln>
            <a:effectLst/>
          </c:spPr>
          <c:marker>
            <c:symbol val="none"/>
          </c:marker>
          <c:cat>
            <c:strRef>
              <c:f>'[Hedonic Indexes.xlsx]Unit Price Hedonic Index'!$H$2:$H$71</c:f>
              <c:strCache>
                <c:ptCount val="70"/>
                <c:pt idx="0">
                  <c:v>2015-1</c:v>
                </c:pt>
                <c:pt idx="1">
                  <c:v>2015-2</c:v>
                </c:pt>
                <c:pt idx="2">
                  <c:v>2015-3</c:v>
                </c:pt>
                <c:pt idx="3">
                  <c:v>2015-4</c:v>
                </c:pt>
                <c:pt idx="4">
                  <c:v>2015-5</c:v>
                </c:pt>
                <c:pt idx="5">
                  <c:v>2015-6</c:v>
                </c:pt>
                <c:pt idx="6">
                  <c:v>2015-7</c:v>
                </c:pt>
                <c:pt idx="7">
                  <c:v>2015-8</c:v>
                </c:pt>
                <c:pt idx="8">
                  <c:v>2015-9</c:v>
                </c:pt>
                <c:pt idx="9">
                  <c:v>2015-10</c:v>
                </c:pt>
                <c:pt idx="10">
                  <c:v>2015-11</c:v>
                </c:pt>
                <c:pt idx="11">
                  <c:v>2015-12</c:v>
                </c:pt>
                <c:pt idx="12">
                  <c:v>2016-1</c:v>
                </c:pt>
                <c:pt idx="13">
                  <c:v>2016-2</c:v>
                </c:pt>
                <c:pt idx="14">
                  <c:v>2016-3</c:v>
                </c:pt>
                <c:pt idx="15">
                  <c:v>2016-4</c:v>
                </c:pt>
                <c:pt idx="16">
                  <c:v>2016-5</c:v>
                </c:pt>
                <c:pt idx="17">
                  <c:v>2016-6</c:v>
                </c:pt>
                <c:pt idx="18">
                  <c:v>2016-7</c:v>
                </c:pt>
                <c:pt idx="19">
                  <c:v>2016-8</c:v>
                </c:pt>
                <c:pt idx="20">
                  <c:v>2016-9</c:v>
                </c:pt>
                <c:pt idx="21">
                  <c:v>2016-10</c:v>
                </c:pt>
                <c:pt idx="22">
                  <c:v>2016-11</c:v>
                </c:pt>
                <c:pt idx="23">
                  <c:v>2016-12</c:v>
                </c:pt>
                <c:pt idx="24">
                  <c:v>2017-1</c:v>
                </c:pt>
                <c:pt idx="25">
                  <c:v>2017-2</c:v>
                </c:pt>
                <c:pt idx="26">
                  <c:v>2017-3</c:v>
                </c:pt>
                <c:pt idx="27">
                  <c:v>2017-4</c:v>
                </c:pt>
                <c:pt idx="28">
                  <c:v>2017-5</c:v>
                </c:pt>
                <c:pt idx="29">
                  <c:v>2017-6</c:v>
                </c:pt>
                <c:pt idx="30">
                  <c:v>2017-7</c:v>
                </c:pt>
                <c:pt idx="31">
                  <c:v>2017-8</c:v>
                </c:pt>
                <c:pt idx="32">
                  <c:v>2017-9</c:v>
                </c:pt>
                <c:pt idx="33">
                  <c:v>2017-10</c:v>
                </c:pt>
                <c:pt idx="34">
                  <c:v>2017-11</c:v>
                </c:pt>
                <c:pt idx="35">
                  <c:v>2017-12</c:v>
                </c:pt>
                <c:pt idx="36">
                  <c:v>2018-1</c:v>
                </c:pt>
                <c:pt idx="37">
                  <c:v>2018-2</c:v>
                </c:pt>
                <c:pt idx="38">
                  <c:v>2018-3</c:v>
                </c:pt>
                <c:pt idx="39">
                  <c:v>2018-4</c:v>
                </c:pt>
                <c:pt idx="40">
                  <c:v>2018-5</c:v>
                </c:pt>
                <c:pt idx="41">
                  <c:v>2018-6</c:v>
                </c:pt>
                <c:pt idx="42">
                  <c:v>2018-7</c:v>
                </c:pt>
                <c:pt idx="43">
                  <c:v>2018-8</c:v>
                </c:pt>
                <c:pt idx="44">
                  <c:v>2018-9</c:v>
                </c:pt>
                <c:pt idx="45">
                  <c:v>2018-10</c:v>
                </c:pt>
                <c:pt idx="46">
                  <c:v>2018-11</c:v>
                </c:pt>
                <c:pt idx="47">
                  <c:v>2018-12</c:v>
                </c:pt>
                <c:pt idx="48">
                  <c:v>2019-1</c:v>
                </c:pt>
                <c:pt idx="49">
                  <c:v>2019-2</c:v>
                </c:pt>
                <c:pt idx="50">
                  <c:v>2019-3</c:v>
                </c:pt>
                <c:pt idx="51">
                  <c:v>2019-4</c:v>
                </c:pt>
                <c:pt idx="52">
                  <c:v>2019-5</c:v>
                </c:pt>
                <c:pt idx="53">
                  <c:v>2019-6</c:v>
                </c:pt>
                <c:pt idx="54">
                  <c:v>2019-7</c:v>
                </c:pt>
                <c:pt idx="55">
                  <c:v>2019-8</c:v>
                </c:pt>
                <c:pt idx="56">
                  <c:v>2019-9</c:v>
                </c:pt>
                <c:pt idx="57">
                  <c:v>2019-10</c:v>
                </c:pt>
                <c:pt idx="58">
                  <c:v>2019-11</c:v>
                </c:pt>
                <c:pt idx="59">
                  <c:v>2019-12</c:v>
                </c:pt>
                <c:pt idx="60">
                  <c:v>2020-1</c:v>
                </c:pt>
                <c:pt idx="61">
                  <c:v>2020-2</c:v>
                </c:pt>
                <c:pt idx="62">
                  <c:v>2020-3</c:v>
                </c:pt>
                <c:pt idx="63">
                  <c:v>2020-4</c:v>
                </c:pt>
                <c:pt idx="64">
                  <c:v>2020-5</c:v>
                </c:pt>
                <c:pt idx="65">
                  <c:v>2020-6</c:v>
                </c:pt>
                <c:pt idx="66">
                  <c:v>2020-7</c:v>
                </c:pt>
                <c:pt idx="67">
                  <c:v>2020-8</c:v>
                </c:pt>
                <c:pt idx="68">
                  <c:v>2020-9</c:v>
                </c:pt>
                <c:pt idx="69">
                  <c:v>2020-10</c:v>
                </c:pt>
              </c:strCache>
            </c:strRef>
          </c:cat>
          <c:val>
            <c:numRef>
              <c:f>'[Hedonic Indexes.xlsx]Unit Price Hedonic Index'!$L$2:$L$71</c:f>
              <c:numCache>
                <c:formatCode>General</c:formatCode>
                <c:ptCount val="70"/>
                <c:pt idx="0">
                  <c:v>100</c:v>
                </c:pt>
                <c:pt idx="1">
                  <c:v>101.364</c:v>
                </c:pt>
                <c:pt idx="2">
                  <c:v>104.4867</c:v>
                </c:pt>
                <c:pt idx="3">
                  <c:v>103.8597</c:v>
                </c:pt>
                <c:pt idx="4">
                  <c:v>103.52970000000001</c:v>
                </c:pt>
                <c:pt idx="5">
                  <c:v>102.65260000000001</c:v>
                </c:pt>
                <c:pt idx="6">
                  <c:v>101.8883</c:v>
                </c:pt>
                <c:pt idx="7">
                  <c:v>103.2311</c:v>
                </c:pt>
                <c:pt idx="8">
                  <c:v>104.52970000000001</c:v>
                </c:pt>
                <c:pt idx="9">
                  <c:v>102.23690000000001</c:v>
                </c:pt>
                <c:pt idx="10">
                  <c:v>102.4057</c:v>
                </c:pt>
                <c:pt idx="11">
                  <c:v>104.6357</c:v>
                </c:pt>
                <c:pt idx="12">
                  <c:v>106.12569999999999</c:v>
                </c:pt>
                <c:pt idx="13">
                  <c:v>107.48860000000001</c:v>
                </c:pt>
                <c:pt idx="14">
                  <c:v>105.6814</c:v>
                </c:pt>
                <c:pt idx="15">
                  <c:v>105.0429</c:v>
                </c:pt>
                <c:pt idx="16">
                  <c:v>104.8557</c:v>
                </c:pt>
                <c:pt idx="17">
                  <c:v>104.19289999999999</c:v>
                </c:pt>
                <c:pt idx="18">
                  <c:v>102.8271</c:v>
                </c:pt>
                <c:pt idx="19">
                  <c:v>101.6643</c:v>
                </c:pt>
                <c:pt idx="20">
                  <c:v>101.65860000000001</c:v>
                </c:pt>
                <c:pt idx="21">
                  <c:v>102.4957</c:v>
                </c:pt>
                <c:pt idx="22">
                  <c:v>102.7929</c:v>
                </c:pt>
                <c:pt idx="23">
                  <c:v>103.10290000000001</c:v>
                </c:pt>
                <c:pt idx="24">
                  <c:v>106.62569999999999</c:v>
                </c:pt>
                <c:pt idx="25">
                  <c:v>107.3814</c:v>
                </c:pt>
                <c:pt idx="26">
                  <c:v>109.74290000000001</c:v>
                </c:pt>
                <c:pt idx="27">
                  <c:v>110.2971</c:v>
                </c:pt>
                <c:pt idx="28">
                  <c:v>111.39570000000001</c:v>
                </c:pt>
                <c:pt idx="29">
                  <c:v>112.47709999999999</c:v>
                </c:pt>
                <c:pt idx="30">
                  <c:v>113.49</c:v>
                </c:pt>
                <c:pt idx="31">
                  <c:v>112.5329</c:v>
                </c:pt>
                <c:pt idx="32">
                  <c:v>114.12860000000001</c:v>
                </c:pt>
                <c:pt idx="33">
                  <c:v>113.3</c:v>
                </c:pt>
                <c:pt idx="34">
                  <c:v>114.37139999999999</c:v>
                </c:pt>
                <c:pt idx="35">
                  <c:v>114.9</c:v>
                </c:pt>
                <c:pt idx="36">
                  <c:v>116.05710000000001</c:v>
                </c:pt>
                <c:pt idx="37">
                  <c:v>117.2286</c:v>
                </c:pt>
                <c:pt idx="38">
                  <c:v>118.55710000000001</c:v>
                </c:pt>
                <c:pt idx="39">
                  <c:v>118.1857</c:v>
                </c:pt>
                <c:pt idx="40">
                  <c:v>120.2714</c:v>
                </c:pt>
                <c:pt idx="41">
                  <c:v>121.1857</c:v>
                </c:pt>
                <c:pt idx="42">
                  <c:v>122.2</c:v>
                </c:pt>
                <c:pt idx="43">
                  <c:v>121.5857</c:v>
                </c:pt>
                <c:pt idx="44">
                  <c:v>121.32859999999999</c:v>
                </c:pt>
                <c:pt idx="45">
                  <c:v>120.71429999999999</c:v>
                </c:pt>
                <c:pt idx="46">
                  <c:v>121</c:v>
                </c:pt>
                <c:pt idx="47">
                  <c:v>120.67140000000001</c:v>
                </c:pt>
                <c:pt idx="48">
                  <c:v>122.0857</c:v>
                </c:pt>
                <c:pt idx="49">
                  <c:v>121.4286</c:v>
                </c:pt>
                <c:pt idx="50">
                  <c:v>123</c:v>
                </c:pt>
                <c:pt idx="51">
                  <c:v>123.9</c:v>
                </c:pt>
                <c:pt idx="52">
                  <c:v>123.98569999999999</c:v>
                </c:pt>
                <c:pt idx="53">
                  <c:v>124.6857</c:v>
                </c:pt>
                <c:pt idx="54">
                  <c:v>125.0286</c:v>
                </c:pt>
                <c:pt idx="55">
                  <c:v>123.5857</c:v>
                </c:pt>
                <c:pt idx="56">
                  <c:v>125.1</c:v>
                </c:pt>
                <c:pt idx="57">
                  <c:v>126.67140000000001</c:v>
                </c:pt>
                <c:pt idx="58">
                  <c:v>127.1857</c:v>
                </c:pt>
                <c:pt idx="59">
                  <c:v>129.71430000000001</c:v>
                </c:pt>
                <c:pt idx="60">
                  <c:v>131.01429999999999</c:v>
                </c:pt>
                <c:pt idx="61">
                  <c:v>131.28569999999999</c:v>
                </c:pt>
                <c:pt idx="62">
                  <c:v>132.38570000000001</c:v>
                </c:pt>
                <c:pt idx="63">
                  <c:v>133.25710000000001</c:v>
                </c:pt>
                <c:pt idx="64">
                  <c:v>132.11429999999999</c:v>
                </c:pt>
                <c:pt idx="65">
                  <c:v>132.6429</c:v>
                </c:pt>
                <c:pt idx="66">
                  <c:v>132.05709999999999</c:v>
                </c:pt>
                <c:pt idx="67">
                  <c:v>131.80000000000001</c:v>
                </c:pt>
                <c:pt idx="68">
                  <c:v>132.56</c:v>
                </c:pt>
                <c:pt idx="69">
                  <c:v>132.72499999999999</c:v>
                </c:pt>
              </c:numCache>
            </c:numRef>
          </c:val>
          <c:smooth val="0"/>
          <c:extLst>
            <c:ext xmlns:c16="http://schemas.microsoft.com/office/drawing/2014/chart" uri="{C3380CC4-5D6E-409C-BE32-E72D297353CC}">
              <c16:uniqueId val="{00000003-B95C-4513-85C5-CFA9DBDE269B}"/>
            </c:ext>
          </c:extLst>
        </c:ser>
        <c:ser>
          <c:idx val="4"/>
          <c:order val="4"/>
          <c:tx>
            <c:strRef>
              <c:f>'[Hedonic Indexes.xlsx]Unit Price Hedonic Index'!$M$1</c:f>
              <c:strCache>
                <c:ptCount val="1"/>
                <c:pt idx="0">
                  <c:v>FocalSuburbs</c:v>
                </c:pt>
              </c:strCache>
            </c:strRef>
          </c:tx>
          <c:spPr>
            <a:ln w="28575" cap="rnd">
              <a:solidFill>
                <a:schemeClr val="accent5"/>
              </a:solidFill>
              <a:round/>
            </a:ln>
            <a:effectLst/>
          </c:spPr>
          <c:marker>
            <c:symbol val="none"/>
          </c:marker>
          <c:cat>
            <c:strRef>
              <c:f>'[Hedonic Indexes.xlsx]Unit Price Hedonic Index'!$H$2:$H$71</c:f>
              <c:strCache>
                <c:ptCount val="70"/>
                <c:pt idx="0">
                  <c:v>2015-1</c:v>
                </c:pt>
                <c:pt idx="1">
                  <c:v>2015-2</c:v>
                </c:pt>
                <c:pt idx="2">
                  <c:v>2015-3</c:v>
                </c:pt>
                <c:pt idx="3">
                  <c:v>2015-4</c:v>
                </c:pt>
                <c:pt idx="4">
                  <c:v>2015-5</c:v>
                </c:pt>
                <c:pt idx="5">
                  <c:v>2015-6</c:v>
                </c:pt>
                <c:pt idx="6">
                  <c:v>2015-7</c:v>
                </c:pt>
                <c:pt idx="7">
                  <c:v>2015-8</c:v>
                </c:pt>
                <c:pt idx="8">
                  <c:v>2015-9</c:v>
                </c:pt>
                <c:pt idx="9">
                  <c:v>2015-10</c:v>
                </c:pt>
                <c:pt idx="10">
                  <c:v>2015-11</c:v>
                </c:pt>
                <c:pt idx="11">
                  <c:v>2015-12</c:v>
                </c:pt>
                <c:pt idx="12">
                  <c:v>2016-1</c:v>
                </c:pt>
                <c:pt idx="13">
                  <c:v>2016-2</c:v>
                </c:pt>
                <c:pt idx="14">
                  <c:v>2016-3</c:v>
                </c:pt>
                <c:pt idx="15">
                  <c:v>2016-4</c:v>
                </c:pt>
                <c:pt idx="16">
                  <c:v>2016-5</c:v>
                </c:pt>
                <c:pt idx="17">
                  <c:v>2016-6</c:v>
                </c:pt>
                <c:pt idx="18">
                  <c:v>2016-7</c:v>
                </c:pt>
                <c:pt idx="19">
                  <c:v>2016-8</c:v>
                </c:pt>
                <c:pt idx="20">
                  <c:v>2016-9</c:v>
                </c:pt>
                <c:pt idx="21">
                  <c:v>2016-10</c:v>
                </c:pt>
                <c:pt idx="22">
                  <c:v>2016-11</c:v>
                </c:pt>
                <c:pt idx="23">
                  <c:v>2016-12</c:v>
                </c:pt>
                <c:pt idx="24">
                  <c:v>2017-1</c:v>
                </c:pt>
                <c:pt idx="25">
                  <c:v>2017-2</c:v>
                </c:pt>
                <c:pt idx="26">
                  <c:v>2017-3</c:v>
                </c:pt>
                <c:pt idx="27">
                  <c:v>2017-4</c:v>
                </c:pt>
                <c:pt idx="28">
                  <c:v>2017-5</c:v>
                </c:pt>
                <c:pt idx="29">
                  <c:v>2017-6</c:v>
                </c:pt>
                <c:pt idx="30">
                  <c:v>2017-7</c:v>
                </c:pt>
                <c:pt idx="31">
                  <c:v>2017-8</c:v>
                </c:pt>
                <c:pt idx="32">
                  <c:v>2017-9</c:v>
                </c:pt>
                <c:pt idx="33">
                  <c:v>2017-10</c:v>
                </c:pt>
                <c:pt idx="34">
                  <c:v>2017-11</c:v>
                </c:pt>
                <c:pt idx="35">
                  <c:v>2017-12</c:v>
                </c:pt>
                <c:pt idx="36">
                  <c:v>2018-1</c:v>
                </c:pt>
                <c:pt idx="37">
                  <c:v>2018-2</c:v>
                </c:pt>
                <c:pt idx="38">
                  <c:v>2018-3</c:v>
                </c:pt>
                <c:pt idx="39">
                  <c:v>2018-4</c:v>
                </c:pt>
                <c:pt idx="40">
                  <c:v>2018-5</c:v>
                </c:pt>
                <c:pt idx="41">
                  <c:v>2018-6</c:v>
                </c:pt>
                <c:pt idx="42">
                  <c:v>2018-7</c:v>
                </c:pt>
                <c:pt idx="43">
                  <c:v>2018-8</c:v>
                </c:pt>
                <c:pt idx="44">
                  <c:v>2018-9</c:v>
                </c:pt>
                <c:pt idx="45">
                  <c:v>2018-10</c:v>
                </c:pt>
                <c:pt idx="46">
                  <c:v>2018-11</c:v>
                </c:pt>
                <c:pt idx="47">
                  <c:v>2018-12</c:v>
                </c:pt>
                <c:pt idx="48">
                  <c:v>2019-1</c:v>
                </c:pt>
                <c:pt idx="49">
                  <c:v>2019-2</c:v>
                </c:pt>
                <c:pt idx="50">
                  <c:v>2019-3</c:v>
                </c:pt>
                <c:pt idx="51">
                  <c:v>2019-4</c:v>
                </c:pt>
                <c:pt idx="52">
                  <c:v>2019-5</c:v>
                </c:pt>
                <c:pt idx="53">
                  <c:v>2019-6</c:v>
                </c:pt>
                <c:pt idx="54">
                  <c:v>2019-7</c:v>
                </c:pt>
                <c:pt idx="55">
                  <c:v>2019-8</c:v>
                </c:pt>
                <c:pt idx="56">
                  <c:v>2019-9</c:v>
                </c:pt>
                <c:pt idx="57">
                  <c:v>2019-10</c:v>
                </c:pt>
                <c:pt idx="58">
                  <c:v>2019-11</c:v>
                </c:pt>
                <c:pt idx="59">
                  <c:v>2019-12</c:v>
                </c:pt>
                <c:pt idx="60">
                  <c:v>2020-1</c:v>
                </c:pt>
                <c:pt idx="61">
                  <c:v>2020-2</c:v>
                </c:pt>
                <c:pt idx="62">
                  <c:v>2020-3</c:v>
                </c:pt>
                <c:pt idx="63">
                  <c:v>2020-4</c:v>
                </c:pt>
                <c:pt idx="64">
                  <c:v>2020-5</c:v>
                </c:pt>
                <c:pt idx="65">
                  <c:v>2020-6</c:v>
                </c:pt>
                <c:pt idx="66">
                  <c:v>2020-7</c:v>
                </c:pt>
                <c:pt idx="67">
                  <c:v>2020-8</c:v>
                </c:pt>
                <c:pt idx="68">
                  <c:v>2020-9</c:v>
                </c:pt>
                <c:pt idx="69">
                  <c:v>2020-10</c:v>
                </c:pt>
              </c:strCache>
            </c:strRef>
          </c:cat>
          <c:val>
            <c:numRef>
              <c:f>'[Hedonic Indexes.xlsx]Unit Price Hedonic Index'!$M$2:$M$71</c:f>
              <c:numCache>
                <c:formatCode>General</c:formatCode>
                <c:ptCount val="70"/>
                <c:pt idx="0">
                  <c:v>100</c:v>
                </c:pt>
                <c:pt idx="1">
                  <c:v>102.8982</c:v>
                </c:pt>
                <c:pt idx="2">
                  <c:v>102.4928</c:v>
                </c:pt>
                <c:pt idx="3">
                  <c:v>102.2033</c:v>
                </c:pt>
                <c:pt idx="4">
                  <c:v>102.26990000000001</c:v>
                </c:pt>
                <c:pt idx="5">
                  <c:v>102.3364</c:v>
                </c:pt>
                <c:pt idx="6">
                  <c:v>100.62569999999999</c:v>
                </c:pt>
                <c:pt idx="7">
                  <c:v>99.191280000000006</c:v>
                </c:pt>
                <c:pt idx="8">
                  <c:v>99.013289999999998</c:v>
                </c:pt>
                <c:pt idx="9">
                  <c:v>96.903850000000006</c:v>
                </c:pt>
                <c:pt idx="10">
                  <c:v>95.664429999999996</c:v>
                </c:pt>
                <c:pt idx="11">
                  <c:v>94.424999999999997</c:v>
                </c:pt>
                <c:pt idx="12">
                  <c:v>96.044139999999999</c:v>
                </c:pt>
                <c:pt idx="13">
                  <c:v>97.807000000000002</c:v>
                </c:pt>
                <c:pt idx="14">
                  <c:v>97.721429999999998</c:v>
                </c:pt>
                <c:pt idx="15">
                  <c:v>96.744290000000007</c:v>
                </c:pt>
                <c:pt idx="16">
                  <c:v>99.475719999999995</c:v>
                </c:pt>
                <c:pt idx="17">
                  <c:v>100.68170000000001</c:v>
                </c:pt>
                <c:pt idx="18">
                  <c:v>101.3031</c:v>
                </c:pt>
                <c:pt idx="19">
                  <c:v>99.151709999999994</c:v>
                </c:pt>
                <c:pt idx="20">
                  <c:v>99.700289999999995</c:v>
                </c:pt>
                <c:pt idx="21">
                  <c:v>100.3946</c:v>
                </c:pt>
                <c:pt idx="22">
                  <c:v>102.336</c:v>
                </c:pt>
                <c:pt idx="23">
                  <c:v>102.9431</c:v>
                </c:pt>
                <c:pt idx="24">
                  <c:v>102.3</c:v>
                </c:pt>
                <c:pt idx="25">
                  <c:v>101.995</c:v>
                </c:pt>
                <c:pt idx="26">
                  <c:v>101.3579</c:v>
                </c:pt>
                <c:pt idx="27">
                  <c:v>99.402150000000006</c:v>
                </c:pt>
                <c:pt idx="28">
                  <c:v>99.143569999999997</c:v>
                </c:pt>
                <c:pt idx="29">
                  <c:v>98.896429999999995</c:v>
                </c:pt>
                <c:pt idx="30">
                  <c:v>100.215</c:v>
                </c:pt>
                <c:pt idx="31">
                  <c:v>103.4679</c:v>
                </c:pt>
                <c:pt idx="32">
                  <c:v>105.48</c:v>
                </c:pt>
                <c:pt idx="33">
                  <c:v>110.4829</c:v>
                </c:pt>
                <c:pt idx="34">
                  <c:v>111.84569999999999</c:v>
                </c:pt>
                <c:pt idx="35">
                  <c:v>113.2229</c:v>
                </c:pt>
                <c:pt idx="36">
                  <c:v>117.4314</c:v>
                </c:pt>
                <c:pt idx="37">
                  <c:v>116.2329</c:v>
                </c:pt>
                <c:pt idx="38">
                  <c:v>113.8171</c:v>
                </c:pt>
                <c:pt idx="39">
                  <c:v>113.8214</c:v>
                </c:pt>
                <c:pt idx="40">
                  <c:v>115.3643</c:v>
                </c:pt>
                <c:pt idx="41">
                  <c:v>118.56</c:v>
                </c:pt>
                <c:pt idx="42">
                  <c:v>119.4171</c:v>
                </c:pt>
                <c:pt idx="43">
                  <c:v>117.9171</c:v>
                </c:pt>
                <c:pt idx="44">
                  <c:v>119.9157</c:v>
                </c:pt>
                <c:pt idx="45">
                  <c:v>123.87430000000001</c:v>
                </c:pt>
                <c:pt idx="46">
                  <c:v>127.48569999999999</c:v>
                </c:pt>
                <c:pt idx="47">
                  <c:v>125.1429</c:v>
                </c:pt>
                <c:pt idx="48">
                  <c:v>126.2</c:v>
                </c:pt>
                <c:pt idx="49">
                  <c:v>128.37139999999999</c:v>
                </c:pt>
                <c:pt idx="50">
                  <c:v>128.75710000000001</c:v>
                </c:pt>
                <c:pt idx="51">
                  <c:v>128.9143</c:v>
                </c:pt>
                <c:pt idx="52">
                  <c:v>127.0671</c:v>
                </c:pt>
                <c:pt idx="53">
                  <c:v>123.4014</c:v>
                </c:pt>
                <c:pt idx="54">
                  <c:v>123.8586</c:v>
                </c:pt>
                <c:pt idx="55">
                  <c:v>121.43</c:v>
                </c:pt>
                <c:pt idx="56">
                  <c:v>121.15860000000001</c:v>
                </c:pt>
                <c:pt idx="57">
                  <c:v>121.8443</c:v>
                </c:pt>
                <c:pt idx="58">
                  <c:v>122.6871</c:v>
                </c:pt>
                <c:pt idx="59">
                  <c:v>122.62</c:v>
                </c:pt>
                <c:pt idx="60">
                  <c:v>125.21429999999999</c:v>
                </c:pt>
                <c:pt idx="61">
                  <c:v>124.1429</c:v>
                </c:pt>
                <c:pt idx="62">
                  <c:v>126.4571</c:v>
                </c:pt>
                <c:pt idx="63">
                  <c:v>126.94289999999999</c:v>
                </c:pt>
                <c:pt idx="64">
                  <c:v>125.6571</c:v>
                </c:pt>
                <c:pt idx="65">
                  <c:v>125.1857</c:v>
                </c:pt>
                <c:pt idx="66">
                  <c:v>127.7714</c:v>
                </c:pt>
                <c:pt idx="67">
                  <c:v>128.08330000000001</c:v>
                </c:pt>
                <c:pt idx="68">
                  <c:v>130.22</c:v>
                </c:pt>
                <c:pt idx="69">
                  <c:v>129.35</c:v>
                </c:pt>
              </c:numCache>
            </c:numRef>
          </c:val>
          <c:smooth val="0"/>
          <c:extLst>
            <c:ext xmlns:c16="http://schemas.microsoft.com/office/drawing/2014/chart" uri="{C3380CC4-5D6E-409C-BE32-E72D297353CC}">
              <c16:uniqueId val="{00000004-B95C-4513-85C5-CFA9DBDE269B}"/>
            </c:ext>
          </c:extLst>
        </c:ser>
        <c:dLbls>
          <c:showLegendKey val="0"/>
          <c:showVal val="0"/>
          <c:showCatName val="0"/>
          <c:showSerName val="0"/>
          <c:showPercent val="0"/>
          <c:showBubbleSize val="0"/>
        </c:dLbls>
        <c:smooth val="0"/>
        <c:axId val="616981952"/>
        <c:axId val="616978344"/>
      </c:lineChart>
      <c:catAx>
        <c:axId val="616981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978344"/>
        <c:crosses val="autoZero"/>
        <c:auto val="1"/>
        <c:lblAlgn val="ctr"/>
        <c:lblOffset val="100"/>
        <c:noMultiLvlLbl val="0"/>
      </c:catAx>
      <c:valAx>
        <c:axId val="616978344"/>
        <c:scaling>
          <c:orientation val="minMax"/>
          <c:max val="135"/>
          <c:min val="9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981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Unit Rental Hedonic</a:t>
            </a:r>
            <a:r>
              <a:rPr lang="en-AU" baseline="0"/>
              <a:t> Index</a:t>
            </a:r>
            <a:endParaRPr lang="en-AU"/>
          </a:p>
        </c:rich>
      </c:tx>
      <c:layout>
        <c:manualLayout>
          <c:xMode val="edge"/>
          <c:yMode val="edge"/>
          <c:x val="0.33138229361483401"/>
          <c:y val="2.120141342756183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'[Hedonic Indexes.xlsx]Unit Rental Hedonic Index'!$I$1</c:f>
              <c:strCache>
                <c:ptCount val="1"/>
                <c:pt idx="0">
                  <c:v>VIC</c:v>
                </c:pt>
              </c:strCache>
            </c:strRef>
          </c:tx>
          <c:spPr>
            <a:ln w="28575" cap="rnd">
              <a:solidFill>
                <a:schemeClr val="accent1"/>
              </a:solidFill>
              <a:round/>
            </a:ln>
            <a:effectLst/>
          </c:spPr>
          <c:marker>
            <c:symbol val="none"/>
          </c:marker>
          <c:cat>
            <c:strRef>
              <c:f>'[Hedonic Indexes.xlsx]Unit Rental Hedonic Index'!$H$2:$H$71</c:f>
              <c:strCache>
                <c:ptCount val="70"/>
                <c:pt idx="0">
                  <c:v>2015-1</c:v>
                </c:pt>
                <c:pt idx="1">
                  <c:v>2015-2</c:v>
                </c:pt>
                <c:pt idx="2">
                  <c:v>2015-3</c:v>
                </c:pt>
                <c:pt idx="3">
                  <c:v>2015-4</c:v>
                </c:pt>
                <c:pt idx="4">
                  <c:v>2015-5</c:v>
                </c:pt>
                <c:pt idx="5">
                  <c:v>2015-6</c:v>
                </c:pt>
                <c:pt idx="6">
                  <c:v>2015-7</c:v>
                </c:pt>
                <c:pt idx="7">
                  <c:v>2015-8</c:v>
                </c:pt>
                <c:pt idx="8">
                  <c:v>2015-9</c:v>
                </c:pt>
                <c:pt idx="9">
                  <c:v>2015-10</c:v>
                </c:pt>
                <c:pt idx="10">
                  <c:v>2015-11</c:v>
                </c:pt>
                <c:pt idx="11">
                  <c:v>2015-12</c:v>
                </c:pt>
                <c:pt idx="12">
                  <c:v>2016-1</c:v>
                </c:pt>
                <c:pt idx="13">
                  <c:v>2016-2</c:v>
                </c:pt>
                <c:pt idx="14">
                  <c:v>2016-3</c:v>
                </c:pt>
                <c:pt idx="15">
                  <c:v>2016-4</c:v>
                </c:pt>
                <c:pt idx="16">
                  <c:v>2016-5</c:v>
                </c:pt>
                <c:pt idx="17">
                  <c:v>2016-6</c:v>
                </c:pt>
                <c:pt idx="18">
                  <c:v>2016-7</c:v>
                </c:pt>
                <c:pt idx="19">
                  <c:v>2016-8</c:v>
                </c:pt>
                <c:pt idx="20">
                  <c:v>2016-9</c:v>
                </c:pt>
                <c:pt idx="21">
                  <c:v>2016-10</c:v>
                </c:pt>
                <c:pt idx="22">
                  <c:v>2016-11</c:v>
                </c:pt>
                <c:pt idx="23">
                  <c:v>2016-12</c:v>
                </c:pt>
                <c:pt idx="24">
                  <c:v>2017-1</c:v>
                </c:pt>
                <c:pt idx="25">
                  <c:v>2017-2</c:v>
                </c:pt>
                <c:pt idx="26">
                  <c:v>2017-3</c:v>
                </c:pt>
                <c:pt idx="27">
                  <c:v>2017-4</c:v>
                </c:pt>
                <c:pt idx="28">
                  <c:v>2017-5</c:v>
                </c:pt>
                <c:pt idx="29">
                  <c:v>2017-6</c:v>
                </c:pt>
                <c:pt idx="30">
                  <c:v>2017-7</c:v>
                </c:pt>
                <c:pt idx="31">
                  <c:v>2017-8</c:v>
                </c:pt>
                <c:pt idx="32">
                  <c:v>2017-9</c:v>
                </c:pt>
                <c:pt idx="33">
                  <c:v>2017-10</c:v>
                </c:pt>
                <c:pt idx="34">
                  <c:v>2017-11</c:v>
                </c:pt>
                <c:pt idx="35">
                  <c:v>2017-12</c:v>
                </c:pt>
                <c:pt idx="36">
                  <c:v>2018-1</c:v>
                </c:pt>
                <c:pt idx="37">
                  <c:v>2018-2</c:v>
                </c:pt>
                <c:pt idx="38">
                  <c:v>2018-3</c:v>
                </c:pt>
                <c:pt idx="39">
                  <c:v>2018-4</c:v>
                </c:pt>
                <c:pt idx="40">
                  <c:v>2018-5</c:v>
                </c:pt>
                <c:pt idx="41">
                  <c:v>2018-6</c:v>
                </c:pt>
                <c:pt idx="42">
                  <c:v>2018-7</c:v>
                </c:pt>
                <c:pt idx="43">
                  <c:v>2018-8</c:v>
                </c:pt>
                <c:pt idx="44">
                  <c:v>2018-9</c:v>
                </c:pt>
                <c:pt idx="45">
                  <c:v>2018-10</c:v>
                </c:pt>
                <c:pt idx="46">
                  <c:v>2018-11</c:v>
                </c:pt>
                <c:pt idx="47">
                  <c:v>2018-12</c:v>
                </c:pt>
                <c:pt idx="48">
                  <c:v>2019-1</c:v>
                </c:pt>
                <c:pt idx="49">
                  <c:v>2019-2</c:v>
                </c:pt>
                <c:pt idx="50">
                  <c:v>2019-3</c:v>
                </c:pt>
                <c:pt idx="51">
                  <c:v>2019-4</c:v>
                </c:pt>
                <c:pt idx="52">
                  <c:v>2019-5</c:v>
                </c:pt>
                <c:pt idx="53">
                  <c:v>2019-6</c:v>
                </c:pt>
                <c:pt idx="54">
                  <c:v>2019-7</c:v>
                </c:pt>
                <c:pt idx="55">
                  <c:v>2019-8</c:v>
                </c:pt>
                <c:pt idx="56">
                  <c:v>2019-9</c:v>
                </c:pt>
                <c:pt idx="57">
                  <c:v>2019-10</c:v>
                </c:pt>
                <c:pt idx="58">
                  <c:v>2019-11</c:v>
                </c:pt>
                <c:pt idx="59">
                  <c:v>2019-12</c:v>
                </c:pt>
                <c:pt idx="60">
                  <c:v>2020-1</c:v>
                </c:pt>
                <c:pt idx="61">
                  <c:v>2020-2</c:v>
                </c:pt>
                <c:pt idx="62">
                  <c:v>2020-3</c:v>
                </c:pt>
                <c:pt idx="63">
                  <c:v>2020-4</c:v>
                </c:pt>
                <c:pt idx="64">
                  <c:v>2020-5</c:v>
                </c:pt>
                <c:pt idx="65">
                  <c:v>2020-6</c:v>
                </c:pt>
                <c:pt idx="66">
                  <c:v>2020-7</c:v>
                </c:pt>
                <c:pt idx="67">
                  <c:v>2020-8</c:v>
                </c:pt>
                <c:pt idx="68">
                  <c:v>2020-9</c:v>
                </c:pt>
                <c:pt idx="69">
                  <c:v>2020-10</c:v>
                </c:pt>
              </c:strCache>
            </c:strRef>
          </c:cat>
          <c:val>
            <c:numRef>
              <c:f>'[Hedonic Indexes.xlsx]Unit Rental Hedonic Index'!$I$2:$I$71</c:f>
              <c:numCache>
                <c:formatCode>General</c:formatCode>
                <c:ptCount val="70"/>
                <c:pt idx="0">
                  <c:v>100</c:v>
                </c:pt>
                <c:pt idx="1">
                  <c:v>98.766400000000004</c:v>
                </c:pt>
                <c:pt idx="2">
                  <c:v>99.182000000000002</c:v>
                </c:pt>
                <c:pt idx="3">
                  <c:v>99.497429999999994</c:v>
                </c:pt>
                <c:pt idx="4">
                  <c:v>99.703140000000005</c:v>
                </c:pt>
                <c:pt idx="5">
                  <c:v>99.827430000000007</c:v>
                </c:pt>
                <c:pt idx="6">
                  <c:v>99.822999999999993</c:v>
                </c:pt>
                <c:pt idx="7">
                  <c:v>99.734279999999998</c:v>
                </c:pt>
                <c:pt idx="8">
                  <c:v>100.85339999999999</c:v>
                </c:pt>
                <c:pt idx="9">
                  <c:v>100.88630000000001</c:v>
                </c:pt>
                <c:pt idx="10">
                  <c:v>101.06489999999999</c:v>
                </c:pt>
                <c:pt idx="11">
                  <c:v>101.30629999999999</c:v>
                </c:pt>
                <c:pt idx="12">
                  <c:v>101.7591</c:v>
                </c:pt>
                <c:pt idx="13">
                  <c:v>102.18470000000001</c:v>
                </c:pt>
                <c:pt idx="14">
                  <c:v>102.512</c:v>
                </c:pt>
                <c:pt idx="15">
                  <c:v>102.9414</c:v>
                </c:pt>
                <c:pt idx="16">
                  <c:v>103.20569999999999</c:v>
                </c:pt>
                <c:pt idx="17">
                  <c:v>103.39</c:v>
                </c:pt>
                <c:pt idx="18">
                  <c:v>103.5</c:v>
                </c:pt>
                <c:pt idx="19">
                  <c:v>103.4743</c:v>
                </c:pt>
                <c:pt idx="20">
                  <c:v>103.5043</c:v>
                </c:pt>
                <c:pt idx="21">
                  <c:v>103.7814</c:v>
                </c:pt>
                <c:pt idx="22">
                  <c:v>104.0829</c:v>
                </c:pt>
                <c:pt idx="23">
                  <c:v>104.58710000000001</c:v>
                </c:pt>
                <c:pt idx="24">
                  <c:v>105.15</c:v>
                </c:pt>
                <c:pt idx="25">
                  <c:v>105.5543</c:v>
                </c:pt>
                <c:pt idx="26">
                  <c:v>106.1871</c:v>
                </c:pt>
                <c:pt idx="27">
                  <c:v>106.7871</c:v>
                </c:pt>
                <c:pt idx="28">
                  <c:v>107.18</c:v>
                </c:pt>
                <c:pt idx="29">
                  <c:v>107.48139999999999</c:v>
                </c:pt>
                <c:pt idx="30">
                  <c:v>107.42570000000001</c:v>
                </c:pt>
                <c:pt idx="31">
                  <c:v>107.32859999999999</c:v>
                </c:pt>
                <c:pt idx="32">
                  <c:v>107.44</c:v>
                </c:pt>
                <c:pt idx="33">
                  <c:v>107.4957</c:v>
                </c:pt>
                <c:pt idx="34">
                  <c:v>107.71</c:v>
                </c:pt>
                <c:pt idx="35">
                  <c:v>107.9957</c:v>
                </c:pt>
                <c:pt idx="36">
                  <c:v>108.3043</c:v>
                </c:pt>
                <c:pt idx="37">
                  <c:v>108.8929</c:v>
                </c:pt>
                <c:pt idx="38">
                  <c:v>109.38</c:v>
                </c:pt>
                <c:pt idx="39">
                  <c:v>109.75</c:v>
                </c:pt>
                <c:pt idx="40">
                  <c:v>110.07859999999999</c:v>
                </c:pt>
                <c:pt idx="41">
                  <c:v>110.28570000000001</c:v>
                </c:pt>
                <c:pt idx="42">
                  <c:v>110.3214</c:v>
                </c:pt>
                <c:pt idx="43">
                  <c:v>110.3486</c:v>
                </c:pt>
                <c:pt idx="44">
                  <c:v>110.23860000000001</c:v>
                </c:pt>
                <c:pt idx="45">
                  <c:v>110.2957</c:v>
                </c:pt>
                <c:pt idx="46">
                  <c:v>110.55289999999999</c:v>
                </c:pt>
                <c:pt idx="47">
                  <c:v>110.9529</c:v>
                </c:pt>
                <c:pt idx="48">
                  <c:v>111.31</c:v>
                </c:pt>
                <c:pt idx="49">
                  <c:v>111.7329</c:v>
                </c:pt>
                <c:pt idx="50">
                  <c:v>112.13290000000001</c:v>
                </c:pt>
                <c:pt idx="51">
                  <c:v>112.5</c:v>
                </c:pt>
                <c:pt idx="52">
                  <c:v>112.67140000000001</c:v>
                </c:pt>
                <c:pt idx="53">
                  <c:v>112.67140000000001</c:v>
                </c:pt>
                <c:pt idx="54">
                  <c:v>111.79430000000001</c:v>
                </c:pt>
                <c:pt idx="55">
                  <c:v>111.68</c:v>
                </c:pt>
                <c:pt idx="56">
                  <c:v>111.6229</c:v>
                </c:pt>
                <c:pt idx="57">
                  <c:v>111.7657</c:v>
                </c:pt>
                <c:pt idx="58">
                  <c:v>112.02290000000001</c:v>
                </c:pt>
                <c:pt idx="59">
                  <c:v>112.6657</c:v>
                </c:pt>
                <c:pt idx="60">
                  <c:v>112.38</c:v>
                </c:pt>
                <c:pt idx="61">
                  <c:v>112.4414</c:v>
                </c:pt>
                <c:pt idx="62">
                  <c:v>111.89570000000001</c:v>
                </c:pt>
                <c:pt idx="63">
                  <c:v>110.6986</c:v>
                </c:pt>
                <c:pt idx="64">
                  <c:v>109.1357</c:v>
                </c:pt>
                <c:pt idx="65">
                  <c:v>107.29</c:v>
                </c:pt>
                <c:pt idx="66">
                  <c:v>104.87</c:v>
                </c:pt>
                <c:pt idx="67">
                  <c:v>104.0317</c:v>
                </c:pt>
                <c:pt idx="68">
                  <c:v>103.32</c:v>
                </c:pt>
                <c:pt idx="69">
                  <c:v>101.98</c:v>
                </c:pt>
              </c:numCache>
            </c:numRef>
          </c:val>
          <c:smooth val="0"/>
          <c:extLst>
            <c:ext xmlns:c16="http://schemas.microsoft.com/office/drawing/2014/chart" uri="{C3380CC4-5D6E-409C-BE32-E72D297353CC}">
              <c16:uniqueId val="{00000000-721F-4C8F-8D08-717218819650}"/>
            </c:ext>
          </c:extLst>
        </c:ser>
        <c:ser>
          <c:idx val="1"/>
          <c:order val="1"/>
          <c:tx>
            <c:strRef>
              <c:f>'[Hedonic Indexes.xlsx]Unit Rental Hedonic Index'!$J$1</c:f>
              <c:strCache>
                <c:ptCount val="1"/>
                <c:pt idx="0">
                  <c:v>GreaterMelbourne</c:v>
                </c:pt>
              </c:strCache>
            </c:strRef>
          </c:tx>
          <c:spPr>
            <a:ln w="28575" cap="rnd">
              <a:solidFill>
                <a:schemeClr val="accent2"/>
              </a:solidFill>
              <a:round/>
            </a:ln>
            <a:effectLst/>
          </c:spPr>
          <c:marker>
            <c:symbol val="none"/>
          </c:marker>
          <c:cat>
            <c:strRef>
              <c:f>'[Hedonic Indexes.xlsx]Unit Rental Hedonic Index'!$H$2:$H$71</c:f>
              <c:strCache>
                <c:ptCount val="70"/>
                <c:pt idx="0">
                  <c:v>2015-1</c:v>
                </c:pt>
                <c:pt idx="1">
                  <c:v>2015-2</c:v>
                </c:pt>
                <c:pt idx="2">
                  <c:v>2015-3</c:v>
                </c:pt>
                <c:pt idx="3">
                  <c:v>2015-4</c:v>
                </c:pt>
                <c:pt idx="4">
                  <c:v>2015-5</c:v>
                </c:pt>
                <c:pt idx="5">
                  <c:v>2015-6</c:v>
                </c:pt>
                <c:pt idx="6">
                  <c:v>2015-7</c:v>
                </c:pt>
                <c:pt idx="7">
                  <c:v>2015-8</c:v>
                </c:pt>
                <c:pt idx="8">
                  <c:v>2015-9</c:v>
                </c:pt>
                <c:pt idx="9">
                  <c:v>2015-10</c:v>
                </c:pt>
                <c:pt idx="10">
                  <c:v>2015-11</c:v>
                </c:pt>
                <c:pt idx="11">
                  <c:v>2015-12</c:v>
                </c:pt>
                <c:pt idx="12">
                  <c:v>2016-1</c:v>
                </c:pt>
                <c:pt idx="13">
                  <c:v>2016-2</c:v>
                </c:pt>
                <c:pt idx="14">
                  <c:v>2016-3</c:v>
                </c:pt>
                <c:pt idx="15">
                  <c:v>2016-4</c:v>
                </c:pt>
                <c:pt idx="16">
                  <c:v>2016-5</c:v>
                </c:pt>
                <c:pt idx="17">
                  <c:v>2016-6</c:v>
                </c:pt>
                <c:pt idx="18">
                  <c:v>2016-7</c:v>
                </c:pt>
                <c:pt idx="19">
                  <c:v>2016-8</c:v>
                </c:pt>
                <c:pt idx="20">
                  <c:v>2016-9</c:v>
                </c:pt>
                <c:pt idx="21">
                  <c:v>2016-10</c:v>
                </c:pt>
                <c:pt idx="22">
                  <c:v>2016-11</c:v>
                </c:pt>
                <c:pt idx="23">
                  <c:v>2016-12</c:v>
                </c:pt>
                <c:pt idx="24">
                  <c:v>2017-1</c:v>
                </c:pt>
                <c:pt idx="25">
                  <c:v>2017-2</c:v>
                </c:pt>
                <c:pt idx="26">
                  <c:v>2017-3</c:v>
                </c:pt>
                <c:pt idx="27">
                  <c:v>2017-4</c:v>
                </c:pt>
                <c:pt idx="28">
                  <c:v>2017-5</c:v>
                </c:pt>
                <c:pt idx="29">
                  <c:v>2017-6</c:v>
                </c:pt>
                <c:pt idx="30">
                  <c:v>2017-7</c:v>
                </c:pt>
                <c:pt idx="31">
                  <c:v>2017-8</c:v>
                </c:pt>
                <c:pt idx="32">
                  <c:v>2017-9</c:v>
                </c:pt>
                <c:pt idx="33">
                  <c:v>2017-10</c:v>
                </c:pt>
                <c:pt idx="34">
                  <c:v>2017-11</c:v>
                </c:pt>
                <c:pt idx="35">
                  <c:v>2017-12</c:v>
                </c:pt>
                <c:pt idx="36">
                  <c:v>2018-1</c:v>
                </c:pt>
                <c:pt idx="37">
                  <c:v>2018-2</c:v>
                </c:pt>
                <c:pt idx="38">
                  <c:v>2018-3</c:v>
                </c:pt>
                <c:pt idx="39">
                  <c:v>2018-4</c:v>
                </c:pt>
                <c:pt idx="40">
                  <c:v>2018-5</c:v>
                </c:pt>
                <c:pt idx="41">
                  <c:v>2018-6</c:v>
                </c:pt>
                <c:pt idx="42">
                  <c:v>2018-7</c:v>
                </c:pt>
                <c:pt idx="43">
                  <c:v>2018-8</c:v>
                </c:pt>
                <c:pt idx="44">
                  <c:v>2018-9</c:v>
                </c:pt>
                <c:pt idx="45">
                  <c:v>2018-10</c:v>
                </c:pt>
                <c:pt idx="46">
                  <c:v>2018-11</c:v>
                </c:pt>
                <c:pt idx="47">
                  <c:v>2018-12</c:v>
                </c:pt>
                <c:pt idx="48">
                  <c:v>2019-1</c:v>
                </c:pt>
                <c:pt idx="49">
                  <c:v>2019-2</c:v>
                </c:pt>
                <c:pt idx="50">
                  <c:v>2019-3</c:v>
                </c:pt>
                <c:pt idx="51">
                  <c:v>2019-4</c:v>
                </c:pt>
                <c:pt idx="52">
                  <c:v>2019-5</c:v>
                </c:pt>
                <c:pt idx="53">
                  <c:v>2019-6</c:v>
                </c:pt>
                <c:pt idx="54">
                  <c:v>2019-7</c:v>
                </c:pt>
                <c:pt idx="55">
                  <c:v>2019-8</c:v>
                </c:pt>
                <c:pt idx="56">
                  <c:v>2019-9</c:v>
                </c:pt>
                <c:pt idx="57">
                  <c:v>2019-10</c:v>
                </c:pt>
                <c:pt idx="58">
                  <c:v>2019-11</c:v>
                </c:pt>
                <c:pt idx="59">
                  <c:v>2019-12</c:v>
                </c:pt>
                <c:pt idx="60">
                  <c:v>2020-1</c:v>
                </c:pt>
                <c:pt idx="61">
                  <c:v>2020-2</c:v>
                </c:pt>
                <c:pt idx="62">
                  <c:v>2020-3</c:v>
                </c:pt>
                <c:pt idx="63">
                  <c:v>2020-4</c:v>
                </c:pt>
                <c:pt idx="64">
                  <c:v>2020-5</c:v>
                </c:pt>
                <c:pt idx="65">
                  <c:v>2020-6</c:v>
                </c:pt>
                <c:pt idx="66">
                  <c:v>2020-7</c:v>
                </c:pt>
                <c:pt idx="67">
                  <c:v>2020-8</c:v>
                </c:pt>
                <c:pt idx="68">
                  <c:v>2020-9</c:v>
                </c:pt>
                <c:pt idx="69">
                  <c:v>2020-10</c:v>
                </c:pt>
              </c:strCache>
            </c:strRef>
          </c:cat>
          <c:val>
            <c:numRef>
              <c:f>'[Hedonic Indexes.xlsx]Unit Rental Hedonic Index'!$J$2:$J$71</c:f>
              <c:numCache>
                <c:formatCode>General</c:formatCode>
                <c:ptCount val="70"/>
                <c:pt idx="0">
                  <c:v>100</c:v>
                </c:pt>
                <c:pt idx="1">
                  <c:v>98.630600000000001</c:v>
                </c:pt>
                <c:pt idx="2">
                  <c:v>99.082170000000005</c:v>
                </c:pt>
                <c:pt idx="3">
                  <c:v>99.430430000000001</c:v>
                </c:pt>
                <c:pt idx="4">
                  <c:v>99.661860000000004</c:v>
                </c:pt>
                <c:pt idx="5">
                  <c:v>99.815569999999994</c:v>
                </c:pt>
                <c:pt idx="6">
                  <c:v>99.786429999999996</c:v>
                </c:pt>
                <c:pt idx="7">
                  <c:v>99.680999999999997</c:v>
                </c:pt>
                <c:pt idx="8">
                  <c:v>100.8766</c:v>
                </c:pt>
                <c:pt idx="9">
                  <c:v>100.8837</c:v>
                </c:pt>
                <c:pt idx="10">
                  <c:v>101.0266</c:v>
                </c:pt>
                <c:pt idx="11">
                  <c:v>101.2551</c:v>
                </c:pt>
                <c:pt idx="12">
                  <c:v>101.73</c:v>
                </c:pt>
                <c:pt idx="13">
                  <c:v>102.133</c:v>
                </c:pt>
                <c:pt idx="14">
                  <c:v>102.4813</c:v>
                </c:pt>
                <c:pt idx="15">
                  <c:v>102.9657</c:v>
                </c:pt>
                <c:pt idx="16">
                  <c:v>103.2443</c:v>
                </c:pt>
                <c:pt idx="17">
                  <c:v>103.4571</c:v>
                </c:pt>
                <c:pt idx="18">
                  <c:v>103.58710000000001</c:v>
                </c:pt>
                <c:pt idx="19">
                  <c:v>103.4957</c:v>
                </c:pt>
                <c:pt idx="20">
                  <c:v>103.5543</c:v>
                </c:pt>
                <c:pt idx="21">
                  <c:v>103.80710000000001</c:v>
                </c:pt>
                <c:pt idx="22">
                  <c:v>104.0714</c:v>
                </c:pt>
                <c:pt idx="23">
                  <c:v>104.6157</c:v>
                </c:pt>
                <c:pt idx="24">
                  <c:v>105.2214</c:v>
                </c:pt>
                <c:pt idx="25">
                  <c:v>105.7257</c:v>
                </c:pt>
                <c:pt idx="26">
                  <c:v>106.43429999999999</c:v>
                </c:pt>
                <c:pt idx="27">
                  <c:v>107.04859999999999</c:v>
                </c:pt>
                <c:pt idx="28">
                  <c:v>107.43</c:v>
                </c:pt>
                <c:pt idx="29">
                  <c:v>107.7671</c:v>
                </c:pt>
                <c:pt idx="30">
                  <c:v>107.68</c:v>
                </c:pt>
                <c:pt idx="31">
                  <c:v>107.5429</c:v>
                </c:pt>
                <c:pt idx="32">
                  <c:v>107.5514</c:v>
                </c:pt>
                <c:pt idx="33">
                  <c:v>107.56140000000001</c:v>
                </c:pt>
                <c:pt idx="34">
                  <c:v>107.7829</c:v>
                </c:pt>
                <c:pt idx="35">
                  <c:v>108.09139999999999</c:v>
                </c:pt>
                <c:pt idx="36">
                  <c:v>108.42570000000001</c:v>
                </c:pt>
                <c:pt idx="37">
                  <c:v>109.0343</c:v>
                </c:pt>
                <c:pt idx="38">
                  <c:v>109.53570000000001</c:v>
                </c:pt>
                <c:pt idx="39">
                  <c:v>109.85429999999999</c:v>
                </c:pt>
                <c:pt idx="40">
                  <c:v>110.19710000000001</c:v>
                </c:pt>
                <c:pt idx="41">
                  <c:v>110.3986</c:v>
                </c:pt>
                <c:pt idx="42">
                  <c:v>110.36</c:v>
                </c:pt>
                <c:pt idx="43">
                  <c:v>110.32859999999999</c:v>
                </c:pt>
                <c:pt idx="44">
                  <c:v>110.14709999999999</c:v>
                </c:pt>
                <c:pt idx="45">
                  <c:v>110.1614</c:v>
                </c:pt>
                <c:pt idx="46">
                  <c:v>110.4114</c:v>
                </c:pt>
                <c:pt idx="47">
                  <c:v>110.81140000000001</c:v>
                </c:pt>
                <c:pt idx="48">
                  <c:v>111.15430000000001</c:v>
                </c:pt>
                <c:pt idx="49">
                  <c:v>111.6157</c:v>
                </c:pt>
                <c:pt idx="50">
                  <c:v>112.01860000000001</c:v>
                </c:pt>
                <c:pt idx="51">
                  <c:v>112.4143</c:v>
                </c:pt>
                <c:pt idx="52">
                  <c:v>112.6</c:v>
                </c:pt>
                <c:pt idx="53">
                  <c:v>112.6</c:v>
                </c:pt>
                <c:pt idx="54">
                  <c:v>111.5943</c:v>
                </c:pt>
                <c:pt idx="55">
                  <c:v>111.48</c:v>
                </c:pt>
                <c:pt idx="56">
                  <c:v>111.40860000000001</c:v>
                </c:pt>
                <c:pt idx="57">
                  <c:v>111.52290000000001</c:v>
                </c:pt>
                <c:pt idx="58">
                  <c:v>111.79430000000001</c:v>
                </c:pt>
                <c:pt idx="59">
                  <c:v>112.38</c:v>
                </c:pt>
                <c:pt idx="60">
                  <c:v>112.0214</c:v>
                </c:pt>
                <c:pt idx="61">
                  <c:v>112.07859999999999</c:v>
                </c:pt>
                <c:pt idx="62">
                  <c:v>111.4657</c:v>
                </c:pt>
                <c:pt idx="63">
                  <c:v>110.11</c:v>
                </c:pt>
                <c:pt idx="64">
                  <c:v>108.3429</c:v>
                </c:pt>
                <c:pt idx="65">
                  <c:v>106.2457</c:v>
                </c:pt>
                <c:pt idx="66">
                  <c:v>103.63</c:v>
                </c:pt>
                <c:pt idx="67">
                  <c:v>102.7033</c:v>
                </c:pt>
                <c:pt idx="68">
                  <c:v>101.91200000000001</c:v>
                </c:pt>
                <c:pt idx="69">
                  <c:v>100.3625</c:v>
                </c:pt>
              </c:numCache>
            </c:numRef>
          </c:val>
          <c:smooth val="0"/>
          <c:extLst>
            <c:ext xmlns:c16="http://schemas.microsoft.com/office/drawing/2014/chart" uri="{C3380CC4-5D6E-409C-BE32-E72D297353CC}">
              <c16:uniqueId val="{00000001-721F-4C8F-8D08-717218819650}"/>
            </c:ext>
          </c:extLst>
        </c:ser>
        <c:ser>
          <c:idx val="2"/>
          <c:order val="2"/>
          <c:tx>
            <c:strRef>
              <c:f>'[Hedonic Indexes.xlsx]Unit Rental Hedonic Index'!$K$1</c:f>
              <c:strCache>
                <c:ptCount val="1"/>
                <c:pt idx="0">
                  <c:v>RegionalVIC</c:v>
                </c:pt>
              </c:strCache>
            </c:strRef>
          </c:tx>
          <c:spPr>
            <a:ln w="28575" cap="rnd">
              <a:solidFill>
                <a:schemeClr val="accent3"/>
              </a:solidFill>
              <a:round/>
            </a:ln>
            <a:effectLst/>
          </c:spPr>
          <c:marker>
            <c:symbol val="none"/>
          </c:marker>
          <c:cat>
            <c:strRef>
              <c:f>'[Hedonic Indexes.xlsx]Unit Rental Hedonic Index'!$H$2:$H$71</c:f>
              <c:strCache>
                <c:ptCount val="70"/>
                <c:pt idx="0">
                  <c:v>2015-1</c:v>
                </c:pt>
                <c:pt idx="1">
                  <c:v>2015-2</c:v>
                </c:pt>
                <c:pt idx="2">
                  <c:v>2015-3</c:v>
                </c:pt>
                <c:pt idx="3">
                  <c:v>2015-4</c:v>
                </c:pt>
                <c:pt idx="4">
                  <c:v>2015-5</c:v>
                </c:pt>
                <c:pt idx="5">
                  <c:v>2015-6</c:v>
                </c:pt>
                <c:pt idx="6">
                  <c:v>2015-7</c:v>
                </c:pt>
                <c:pt idx="7">
                  <c:v>2015-8</c:v>
                </c:pt>
                <c:pt idx="8">
                  <c:v>2015-9</c:v>
                </c:pt>
                <c:pt idx="9">
                  <c:v>2015-10</c:v>
                </c:pt>
                <c:pt idx="10">
                  <c:v>2015-11</c:v>
                </c:pt>
                <c:pt idx="11">
                  <c:v>2015-12</c:v>
                </c:pt>
                <c:pt idx="12">
                  <c:v>2016-1</c:v>
                </c:pt>
                <c:pt idx="13">
                  <c:v>2016-2</c:v>
                </c:pt>
                <c:pt idx="14">
                  <c:v>2016-3</c:v>
                </c:pt>
                <c:pt idx="15">
                  <c:v>2016-4</c:v>
                </c:pt>
                <c:pt idx="16">
                  <c:v>2016-5</c:v>
                </c:pt>
                <c:pt idx="17">
                  <c:v>2016-6</c:v>
                </c:pt>
                <c:pt idx="18">
                  <c:v>2016-7</c:v>
                </c:pt>
                <c:pt idx="19">
                  <c:v>2016-8</c:v>
                </c:pt>
                <c:pt idx="20">
                  <c:v>2016-9</c:v>
                </c:pt>
                <c:pt idx="21">
                  <c:v>2016-10</c:v>
                </c:pt>
                <c:pt idx="22">
                  <c:v>2016-11</c:v>
                </c:pt>
                <c:pt idx="23">
                  <c:v>2016-12</c:v>
                </c:pt>
                <c:pt idx="24">
                  <c:v>2017-1</c:v>
                </c:pt>
                <c:pt idx="25">
                  <c:v>2017-2</c:v>
                </c:pt>
                <c:pt idx="26">
                  <c:v>2017-3</c:v>
                </c:pt>
                <c:pt idx="27">
                  <c:v>2017-4</c:v>
                </c:pt>
                <c:pt idx="28">
                  <c:v>2017-5</c:v>
                </c:pt>
                <c:pt idx="29">
                  <c:v>2017-6</c:v>
                </c:pt>
                <c:pt idx="30">
                  <c:v>2017-7</c:v>
                </c:pt>
                <c:pt idx="31">
                  <c:v>2017-8</c:v>
                </c:pt>
                <c:pt idx="32">
                  <c:v>2017-9</c:v>
                </c:pt>
                <c:pt idx="33">
                  <c:v>2017-10</c:v>
                </c:pt>
                <c:pt idx="34">
                  <c:v>2017-11</c:v>
                </c:pt>
                <c:pt idx="35">
                  <c:v>2017-12</c:v>
                </c:pt>
                <c:pt idx="36">
                  <c:v>2018-1</c:v>
                </c:pt>
                <c:pt idx="37">
                  <c:v>2018-2</c:v>
                </c:pt>
                <c:pt idx="38">
                  <c:v>2018-3</c:v>
                </c:pt>
                <c:pt idx="39">
                  <c:v>2018-4</c:v>
                </c:pt>
                <c:pt idx="40">
                  <c:v>2018-5</c:v>
                </c:pt>
                <c:pt idx="41">
                  <c:v>2018-6</c:v>
                </c:pt>
                <c:pt idx="42">
                  <c:v>2018-7</c:v>
                </c:pt>
                <c:pt idx="43">
                  <c:v>2018-8</c:v>
                </c:pt>
                <c:pt idx="44">
                  <c:v>2018-9</c:v>
                </c:pt>
                <c:pt idx="45">
                  <c:v>2018-10</c:v>
                </c:pt>
                <c:pt idx="46">
                  <c:v>2018-11</c:v>
                </c:pt>
                <c:pt idx="47">
                  <c:v>2018-12</c:v>
                </c:pt>
                <c:pt idx="48">
                  <c:v>2019-1</c:v>
                </c:pt>
                <c:pt idx="49">
                  <c:v>2019-2</c:v>
                </c:pt>
                <c:pt idx="50">
                  <c:v>2019-3</c:v>
                </c:pt>
                <c:pt idx="51">
                  <c:v>2019-4</c:v>
                </c:pt>
                <c:pt idx="52">
                  <c:v>2019-5</c:v>
                </c:pt>
                <c:pt idx="53">
                  <c:v>2019-6</c:v>
                </c:pt>
                <c:pt idx="54">
                  <c:v>2019-7</c:v>
                </c:pt>
                <c:pt idx="55">
                  <c:v>2019-8</c:v>
                </c:pt>
                <c:pt idx="56">
                  <c:v>2019-9</c:v>
                </c:pt>
                <c:pt idx="57">
                  <c:v>2019-10</c:v>
                </c:pt>
                <c:pt idx="58">
                  <c:v>2019-11</c:v>
                </c:pt>
                <c:pt idx="59">
                  <c:v>2019-12</c:v>
                </c:pt>
                <c:pt idx="60">
                  <c:v>2020-1</c:v>
                </c:pt>
                <c:pt idx="61">
                  <c:v>2020-2</c:v>
                </c:pt>
                <c:pt idx="62">
                  <c:v>2020-3</c:v>
                </c:pt>
                <c:pt idx="63">
                  <c:v>2020-4</c:v>
                </c:pt>
                <c:pt idx="64">
                  <c:v>2020-5</c:v>
                </c:pt>
                <c:pt idx="65">
                  <c:v>2020-6</c:v>
                </c:pt>
                <c:pt idx="66">
                  <c:v>2020-7</c:v>
                </c:pt>
                <c:pt idx="67">
                  <c:v>2020-8</c:v>
                </c:pt>
                <c:pt idx="68">
                  <c:v>2020-9</c:v>
                </c:pt>
                <c:pt idx="69">
                  <c:v>2020-10</c:v>
                </c:pt>
              </c:strCache>
            </c:strRef>
          </c:cat>
          <c:val>
            <c:numRef>
              <c:f>'[Hedonic Indexes.xlsx]Unit Rental Hedonic Index'!$K$2:$K$71</c:f>
              <c:numCache>
                <c:formatCode>General</c:formatCode>
                <c:ptCount val="70"/>
                <c:pt idx="0">
                  <c:v>100</c:v>
                </c:pt>
                <c:pt idx="1">
                  <c:v>100.6258</c:v>
                </c:pt>
                <c:pt idx="2">
                  <c:v>100.67100000000001</c:v>
                </c:pt>
                <c:pt idx="3">
                  <c:v>100.69410000000001</c:v>
                </c:pt>
                <c:pt idx="4">
                  <c:v>100.7821</c:v>
                </c:pt>
                <c:pt idx="5">
                  <c:v>100.807</c:v>
                </c:pt>
                <c:pt idx="6">
                  <c:v>100.895</c:v>
                </c:pt>
                <c:pt idx="7">
                  <c:v>100.9359</c:v>
                </c:pt>
                <c:pt idx="8">
                  <c:v>100.9344</c:v>
                </c:pt>
                <c:pt idx="9">
                  <c:v>101.0949</c:v>
                </c:pt>
                <c:pt idx="10">
                  <c:v>101.4216</c:v>
                </c:pt>
                <c:pt idx="11">
                  <c:v>101.72929999999999</c:v>
                </c:pt>
                <c:pt idx="12">
                  <c:v>102.0881</c:v>
                </c:pt>
                <c:pt idx="13">
                  <c:v>102.55670000000001</c:v>
                </c:pt>
                <c:pt idx="14">
                  <c:v>102.7914</c:v>
                </c:pt>
                <c:pt idx="15">
                  <c:v>102.93859999999999</c:v>
                </c:pt>
                <c:pt idx="16">
                  <c:v>103.16</c:v>
                </c:pt>
                <c:pt idx="17">
                  <c:v>103.26139999999999</c:v>
                </c:pt>
                <c:pt idx="18">
                  <c:v>103.32429999999999</c:v>
                </c:pt>
                <c:pt idx="19">
                  <c:v>103.5829</c:v>
                </c:pt>
                <c:pt idx="20">
                  <c:v>103.6</c:v>
                </c:pt>
                <c:pt idx="21">
                  <c:v>103.9614</c:v>
                </c:pt>
                <c:pt idx="22">
                  <c:v>104.4329</c:v>
                </c:pt>
                <c:pt idx="23">
                  <c:v>104.7843</c:v>
                </c:pt>
                <c:pt idx="24">
                  <c:v>105.1771</c:v>
                </c:pt>
                <c:pt idx="25">
                  <c:v>105.4314</c:v>
                </c:pt>
                <c:pt idx="26">
                  <c:v>105.7114</c:v>
                </c:pt>
                <c:pt idx="27">
                  <c:v>106.1871</c:v>
                </c:pt>
                <c:pt idx="28">
                  <c:v>106.64</c:v>
                </c:pt>
                <c:pt idx="29">
                  <c:v>106.79859999999999</c:v>
                </c:pt>
                <c:pt idx="30">
                  <c:v>106.9114</c:v>
                </c:pt>
                <c:pt idx="31">
                  <c:v>106.99</c:v>
                </c:pt>
                <c:pt idx="32">
                  <c:v>107.29859999999999</c:v>
                </c:pt>
                <c:pt idx="33">
                  <c:v>107.5686</c:v>
                </c:pt>
                <c:pt idx="34">
                  <c:v>107.76430000000001</c:v>
                </c:pt>
                <c:pt idx="35">
                  <c:v>107.9443</c:v>
                </c:pt>
                <c:pt idx="36">
                  <c:v>108.1957</c:v>
                </c:pt>
                <c:pt idx="37">
                  <c:v>108.6186</c:v>
                </c:pt>
                <c:pt idx="38">
                  <c:v>109.0271</c:v>
                </c:pt>
                <c:pt idx="39">
                  <c:v>109.52</c:v>
                </c:pt>
                <c:pt idx="40">
                  <c:v>109.7929</c:v>
                </c:pt>
                <c:pt idx="41">
                  <c:v>110.05</c:v>
                </c:pt>
                <c:pt idx="42">
                  <c:v>110.3857</c:v>
                </c:pt>
                <c:pt idx="43">
                  <c:v>110.62430000000001</c:v>
                </c:pt>
                <c:pt idx="44">
                  <c:v>110.8843</c:v>
                </c:pt>
                <c:pt idx="45">
                  <c:v>111.1429</c:v>
                </c:pt>
                <c:pt idx="46">
                  <c:v>111.4571</c:v>
                </c:pt>
                <c:pt idx="47">
                  <c:v>111.8</c:v>
                </c:pt>
                <c:pt idx="48">
                  <c:v>112.1571</c:v>
                </c:pt>
                <c:pt idx="49">
                  <c:v>112.4</c:v>
                </c:pt>
                <c:pt idx="50">
                  <c:v>112.7714</c:v>
                </c:pt>
                <c:pt idx="51">
                  <c:v>112.9714</c:v>
                </c:pt>
                <c:pt idx="52">
                  <c:v>113.1</c:v>
                </c:pt>
                <c:pt idx="53">
                  <c:v>113.17140000000001</c:v>
                </c:pt>
                <c:pt idx="54">
                  <c:v>113.17140000000001</c:v>
                </c:pt>
                <c:pt idx="55">
                  <c:v>113.12860000000001</c:v>
                </c:pt>
                <c:pt idx="56">
                  <c:v>113.1429</c:v>
                </c:pt>
                <c:pt idx="57">
                  <c:v>113.3857</c:v>
                </c:pt>
                <c:pt idx="58">
                  <c:v>113.5714</c:v>
                </c:pt>
                <c:pt idx="59">
                  <c:v>113.8</c:v>
                </c:pt>
                <c:pt idx="60">
                  <c:v>113.8857</c:v>
                </c:pt>
                <c:pt idx="61">
                  <c:v>113.94289999999999</c:v>
                </c:pt>
                <c:pt idx="62">
                  <c:v>113.75709999999999</c:v>
                </c:pt>
                <c:pt idx="63">
                  <c:v>113.62860000000001</c:v>
                </c:pt>
                <c:pt idx="64">
                  <c:v>113.21429999999999</c:v>
                </c:pt>
                <c:pt idx="65">
                  <c:v>112.94289999999999</c:v>
                </c:pt>
                <c:pt idx="66">
                  <c:v>112.4714</c:v>
                </c:pt>
                <c:pt idx="67">
                  <c:v>112.2333</c:v>
                </c:pt>
                <c:pt idx="68">
                  <c:v>111.96</c:v>
                </c:pt>
                <c:pt idx="69">
                  <c:v>111.95</c:v>
                </c:pt>
              </c:numCache>
            </c:numRef>
          </c:val>
          <c:smooth val="0"/>
          <c:extLst>
            <c:ext xmlns:c16="http://schemas.microsoft.com/office/drawing/2014/chart" uri="{C3380CC4-5D6E-409C-BE32-E72D297353CC}">
              <c16:uniqueId val="{00000002-721F-4C8F-8D08-717218819650}"/>
            </c:ext>
          </c:extLst>
        </c:ser>
        <c:ser>
          <c:idx val="3"/>
          <c:order val="3"/>
          <c:tx>
            <c:strRef>
              <c:f>'[Hedonic Indexes.xlsx]Unit Rental Hedonic Index'!$L$1</c:f>
              <c:strCache>
                <c:ptCount val="1"/>
                <c:pt idx="0">
                  <c:v>GreaterGeelong</c:v>
                </c:pt>
              </c:strCache>
            </c:strRef>
          </c:tx>
          <c:spPr>
            <a:ln w="28575" cap="rnd">
              <a:solidFill>
                <a:schemeClr val="accent4"/>
              </a:solidFill>
              <a:round/>
            </a:ln>
            <a:effectLst/>
          </c:spPr>
          <c:marker>
            <c:symbol val="none"/>
          </c:marker>
          <c:cat>
            <c:strRef>
              <c:f>'[Hedonic Indexes.xlsx]Unit Rental Hedonic Index'!$H$2:$H$71</c:f>
              <c:strCache>
                <c:ptCount val="70"/>
                <c:pt idx="0">
                  <c:v>2015-1</c:v>
                </c:pt>
                <c:pt idx="1">
                  <c:v>2015-2</c:v>
                </c:pt>
                <c:pt idx="2">
                  <c:v>2015-3</c:v>
                </c:pt>
                <c:pt idx="3">
                  <c:v>2015-4</c:v>
                </c:pt>
                <c:pt idx="4">
                  <c:v>2015-5</c:v>
                </c:pt>
                <c:pt idx="5">
                  <c:v>2015-6</c:v>
                </c:pt>
                <c:pt idx="6">
                  <c:v>2015-7</c:v>
                </c:pt>
                <c:pt idx="7">
                  <c:v>2015-8</c:v>
                </c:pt>
                <c:pt idx="8">
                  <c:v>2015-9</c:v>
                </c:pt>
                <c:pt idx="9">
                  <c:v>2015-10</c:v>
                </c:pt>
                <c:pt idx="10">
                  <c:v>2015-11</c:v>
                </c:pt>
                <c:pt idx="11">
                  <c:v>2015-12</c:v>
                </c:pt>
                <c:pt idx="12">
                  <c:v>2016-1</c:v>
                </c:pt>
                <c:pt idx="13">
                  <c:v>2016-2</c:v>
                </c:pt>
                <c:pt idx="14">
                  <c:v>2016-3</c:v>
                </c:pt>
                <c:pt idx="15">
                  <c:v>2016-4</c:v>
                </c:pt>
                <c:pt idx="16">
                  <c:v>2016-5</c:v>
                </c:pt>
                <c:pt idx="17">
                  <c:v>2016-6</c:v>
                </c:pt>
                <c:pt idx="18">
                  <c:v>2016-7</c:v>
                </c:pt>
                <c:pt idx="19">
                  <c:v>2016-8</c:v>
                </c:pt>
                <c:pt idx="20">
                  <c:v>2016-9</c:v>
                </c:pt>
                <c:pt idx="21">
                  <c:v>2016-10</c:v>
                </c:pt>
                <c:pt idx="22">
                  <c:v>2016-11</c:v>
                </c:pt>
                <c:pt idx="23">
                  <c:v>2016-12</c:v>
                </c:pt>
                <c:pt idx="24">
                  <c:v>2017-1</c:v>
                </c:pt>
                <c:pt idx="25">
                  <c:v>2017-2</c:v>
                </c:pt>
                <c:pt idx="26">
                  <c:v>2017-3</c:v>
                </c:pt>
                <c:pt idx="27">
                  <c:v>2017-4</c:v>
                </c:pt>
                <c:pt idx="28">
                  <c:v>2017-5</c:v>
                </c:pt>
                <c:pt idx="29">
                  <c:v>2017-6</c:v>
                </c:pt>
                <c:pt idx="30">
                  <c:v>2017-7</c:v>
                </c:pt>
                <c:pt idx="31">
                  <c:v>2017-8</c:v>
                </c:pt>
                <c:pt idx="32">
                  <c:v>2017-9</c:v>
                </c:pt>
                <c:pt idx="33">
                  <c:v>2017-10</c:v>
                </c:pt>
                <c:pt idx="34">
                  <c:v>2017-11</c:v>
                </c:pt>
                <c:pt idx="35">
                  <c:v>2017-12</c:v>
                </c:pt>
                <c:pt idx="36">
                  <c:v>2018-1</c:v>
                </c:pt>
                <c:pt idx="37">
                  <c:v>2018-2</c:v>
                </c:pt>
                <c:pt idx="38">
                  <c:v>2018-3</c:v>
                </c:pt>
                <c:pt idx="39">
                  <c:v>2018-4</c:v>
                </c:pt>
                <c:pt idx="40">
                  <c:v>2018-5</c:v>
                </c:pt>
                <c:pt idx="41">
                  <c:v>2018-6</c:v>
                </c:pt>
                <c:pt idx="42">
                  <c:v>2018-7</c:v>
                </c:pt>
                <c:pt idx="43">
                  <c:v>2018-8</c:v>
                </c:pt>
                <c:pt idx="44">
                  <c:v>2018-9</c:v>
                </c:pt>
                <c:pt idx="45">
                  <c:v>2018-10</c:v>
                </c:pt>
                <c:pt idx="46">
                  <c:v>2018-11</c:v>
                </c:pt>
                <c:pt idx="47">
                  <c:v>2018-12</c:v>
                </c:pt>
                <c:pt idx="48">
                  <c:v>2019-1</c:v>
                </c:pt>
                <c:pt idx="49">
                  <c:v>2019-2</c:v>
                </c:pt>
                <c:pt idx="50">
                  <c:v>2019-3</c:v>
                </c:pt>
                <c:pt idx="51">
                  <c:v>2019-4</c:v>
                </c:pt>
                <c:pt idx="52">
                  <c:v>2019-5</c:v>
                </c:pt>
                <c:pt idx="53">
                  <c:v>2019-6</c:v>
                </c:pt>
                <c:pt idx="54">
                  <c:v>2019-7</c:v>
                </c:pt>
                <c:pt idx="55">
                  <c:v>2019-8</c:v>
                </c:pt>
                <c:pt idx="56">
                  <c:v>2019-9</c:v>
                </c:pt>
                <c:pt idx="57">
                  <c:v>2019-10</c:v>
                </c:pt>
                <c:pt idx="58">
                  <c:v>2019-11</c:v>
                </c:pt>
                <c:pt idx="59">
                  <c:v>2019-12</c:v>
                </c:pt>
                <c:pt idx="60">
                  <c:v>2020-1</c:v>
                </c:pt>
                <c:pt idx="61">
                  <c:v>2020-2</c:v>
                </c:pt>
                <c:pt idx="62">
                  <c:v>2020-3</c:v>
                </c:pt>
                <c:pt idx="63">
                  <c:v>2020-4</c:v>
                </c:pt>
                <c:pt idx="64">
                  <c:v>2020-5</c:v>
                </c:pt>
                <c:pt idx="65">
                  <c:v>2020-6</c:v>
                </c:pt>
                <c:pt idx="66">
                  <c:v>2020-7</c:v>
                </c:pt>
                <c:pt idx="67">
                  <c:v>2020-8</c:v>
                </c:pt>
                <c:pt idx="68">
                  <c:v>2020-9</c:v>
                </c:pt>
                <c:pt idx="69">
                  <c:v>2020-10</c:v>
                </c:pt>
              </c:strCache>
            </c:strRef>
          </c:cat>
          <c:val>
            <c:numRef>
              <c:f>'[Hedonic Indexes.xlsx]Unit Rental Hedonic Index'!$L$2:$L$71</c:f>
              <c:numCache>
                <c:formatCode>General</c:formatCode>
                <c:ptCount val="70"/>
                <c:pt idx="0">
                  <c:v>100</c:v>
                </c:pt>
                <c:pt idx="1">
                  <c:v>100.706</c:v>
                </c:pt>
                <c:pt idx="2">
                  <c:v>100.51</c:v>
                </c:pt>
                <c:pt idx="3">
                  <c:v>100.6143</c:v>
                </c:pt>
                <c:pt idx="4">
                  <c:v>100.05</c:v>
                </c:pt>
                <c:pt idx="5">
                  <c:v>99.872860000000003</c:v>
                </c:pt>
                <c:pt idx="6">
                  <c:v>99.684290000000004</c:v>
                </c:pt>
                <c:pt idx="7">
                  <c:v>99.812860000000001</c:v>
                </c:pt>
                <c:pt idx="8">
                  <c:v>100.2657</c:v>
                </c:pt>
                <c:pt idx="9">
                  <c:v>100.55289999999999</c:v>
                </c:pt>
                <c:pt idx="10">
                  <c:v>100.6357</c:v>
                </c:pt>
                <c:pt idx="11">
                  <c:v>101.5671</c:v>
                </c:pt>
                <c:pt idx="12">
                  <c:v>102.00709999999999</c:v>
                </c:pt>
                <c:pt idx="13">
                  <c:v>101.9927</c:v>
                </c:pt>
                <c:pt idx="14">
                  <c:v>102.01560000000001</c:v>
                </c:pt>
                <c:pt idx="15">
                  <c:v>101.9041</c:v>
                </c:pt>
                <c:pt idx="16">
                  <c:v>102.0941</c:v>
                </c:pt>
                <c:pt idx="17">
                  <c:v>102.14700000000001</c:v>
                </c:pt>
                <c:pt idx="18">
                  <c:v>102.1099</c:v>
                </c:pt>
                <c:pt idx="19">
                  <c:v>102.0241</c:v>
                </c:pt>
                <c:pt idx="20">
                  <c:v>102.5243</c:v>
                </c:pt>
                <c:pt idx="21">
                  <c:v>102.5157</c:v>
                </c:pt>
                <c:pt idx="22">
                  <c:v>102.94</c:v>
                </c:pt>
                <c:pt idx="23">
                  <c:v>103.08</c:v>
                </c:pt>
                <c:pt idx="24">
                  <c:v>103.1743</c:v>
                </c:pt>
                <c:pt idx="25">
                  <c:v>103.7243</c:v>
                </c:pt>
                <c:pt idx="26">
                  <c:v>104.5029</c:v>
                </c:pt>
                <c:pt idx="27">
                  <c:v>104.91</c:v>
                </c:pt>
                <c:pt idx="28">
                  <c:v>105.5429</c:v>
                </c:pt>
                <c:pt idx="29">
                  <c:v>106.1443</c:v>
                </c:pt>
                <c:pt idx="30">
                  <c:v>106.4543</c:v>
                </c:pt>
                <c:pt idx="31">
                  <c:v>106.8343</c:v>
                </c:pt>
                <c:pt idx="32">
                  <c:v>106.9686</c:v>
                </c:pt>
                <c:pt idx="33">
                  <c:v>106.9186</c:v>
                </c:pt>
                <c:pt idx="34">
                  <c:v>107.21</c:v>
                </c:pt>
                <c:pt idx="35">
                  <c:v>107.2171</c:v>
                </c:pt>
                <c:pt idx="36">
                  <c:v>107.02</c:v>
                </c:pt>
                <c:pt idx="37">
                  <c:v>107.60290000000001</c:v>
                </c:pt>
                <c:pt idx="38">
                  <c:v>108.31570000000001</c:v>
                </c:pt>
                <c:pt idx="39">
                  <c:v>108.6343</c:v>
                </c:pt>
                <c:pt idx="40">
                  <c:v>108.6486</c:v>
                </c:pt>
                <c:pt idx="41">
                  <c:v>108.6314</c:v>
                </c:pt>
                <c:pt idx="42">
                  <c:v>109.3257</c:v>
                </c:pt>
                <c:pt idx="43">
                  <c:v>110.4371</c:v>
                </c:pt>
                <c:pt idx="44">
                  <c:v>110.4943</c:v>
                </c:pt>
                <c:pt idx="45">
                  <c:v>110.5086</c:v>
                </c:pt>
                <c:pt idx="46">
                  <c:v>110.6186</c:v>
                </c:pt>
                <c:pt idx="47">
                  <c:v>111.4371</c:v>
                </c:pt>
                <c:pt idx="48">
                  <c:v>111.98569999999999</c:v>
                </c:pt>
                <c:pt idx="49">
                  <c:v>112.1143</c:v>
                </c:pt>
                <c:pt idx="50">
                  <c:v>112.0714</c:v>
                </c:pt>
                <c:pt idx="51">
                  <c:v>112.44289999999999</c:v>
                </c:pt>
                <c:pt idx="52">
                  <c:v>113.0429</c:v>
                </c:pt>
                <c:pt idx="53">
                  <c:v>113.6857</c:v>
                </c:pt>
                <c:pt idx="54">
                  <c:v>114.01430000000001</c:v>
                </c:pt>
                <c:pt idx="55">
                  <c:v>114.5429</c:v>
                </c:pt>
                <c:pt idx="56">
                  <c:v>115.3571</c:v>
                </c:pt>
                <c:pt idx="57">
                  <c:v>115.8571</c:v>
                </c:pt>
                <c:pt idx="58">
                  <c:v>116.4714</c:v>
                </c:pt>
                <c:pt idx="59">
                  <c:v>116.8143</c:v>
                </c:pt>
                <c:pt idx="60">
                  <c:v>117.48569999999999</c:v>
                </c:pt>
                <c:pt idx="61">
                  <c:v>118.0714</c:v>
                </c:pt>
                <c:pt idx="62">
                  <c:v>118.17140000000001</c:v>
                </c:pt>
                <c:pt idx="63">
                  <c:v>118.01430000000001</c:v>
                </c:pt>
                <c:pt idx="64">
                  <c:v>117.51430000000001</c:v>
                </c:pt>
                <c:pt idx="65">
                  <c:v>117.0429</c:v>
                </c:pt>
                <c:pt idx="66">
                  <c:v>117.44289999999999</c:v>
                </c:pt>
                <c:pt idx="67">
                  <c:v>117.13330000000001</c:v>
                </c:pt>
                <c:pt idx="68">
                  <c:v>116.64</c:v>
                </c:pt>
                <c:pt idx="69">
                  <c:v>116.425</c:v>
                </c:pt>
              </c:numCache>
            </c:numRef>
          </c:val>
          <c:smooth val="0"/>
          <c:extLst>
            <c:ext xmlns:c16="http://schemas.microsoft.com/office/drawing/2014/chart" uri="{C3380CC4-5D6E-409C-BE32-E72D297353CC}">
              <c16:uniqueId val="{00000003-721F-4C8F-8D08-717218819650}"/>
            </c:ext>
          </c:extLst>
        </c:ser>
        <c:ser>
          <c:idx val="4"/>
          <c:order val="4"/>
          <c:tx>
            <c:strRef>
              <c:f>'[Hedonic Indexes.xlsx]Unit Rental Hedonic Index'!$M$1</c:f>
              <c:strCache>
                <c:ptCount val="1"/>
                <c:pt idx="0">
                  <c:v>FocalSuburbs</c:v>
                </c:pt>
              </c:strCache>
            </c:strRef>
          </c:tx>
          <c:spPr>
            <a:ln w="28575" cap="rnd">
              <a:solidFill>
                <a:schemeClr val="accent5"/>
              </a:solidFill>
              <a:round/>
            </a:ln>
            <a:effectLst/>
          </c:spPr>
          <c:marker>
            <c:symbol val="none"/>
          </c:marker>
          <c:cat>
            <c:strRef>
              <c:f>'[Hedonic Indexes.xlsx]Unit Rental Hedonic Index'!$H$2:$H$71</c:f>
              <c:strCache>
                <c:ptCount val="70"/>
                <c:pt idx="0">
                  <c:v>2015-1</c:v>
                </c:pt>
                <c:pt idx="1">
                  <c:v>2015-2</c:v>
                </c:pt>
                <c:pt idx="2">
                  <c:v>2015-3</c:v>
                </c:pt>
                <c:pt idx="3">
                  <c:v>2015-4</c:v>
                </c:pt>
                <c:pt idx="4">
                  <c:v>2015-5</c:v>
                </c:pt>
                <c:pt idx="5">
                  <c:v>2015-6</c:v>
                </c:pt>
                <c:pt idx="6">
                  <c:v>2015-7</c:v>
                </c:pt>
                <c:pt idx="7">
                  <c:v>2015-8</c:v>
                </c:pt>
                <c:pt idx="8">
                  <c:v>2015-9</c:v>
                </c:pt>
                <c:pt idx="9">
                  <c:v>2015-10</c:v>
                </c:pt>
                <c:pt idx="10">
                  <c:v>2015-11</c:v>
                </c:pt>
                <c:pt idx="11">
                  <c:v>2015-12</c:v>
                </c:pt>
                <c:pt idx="12">
                  <c:v>2016-1</c:v>
                </c:pt>
                <c:pt idx="13">
                  <c:v>2016-2</c:v>
                </c:pt>
                <c:pt idx="14">
                  <c:v>2016-3</c:v>
                </c:pt>
                <c:pt idx="15">
                  <c:v>2016-4</c:v>
                </c:pt>
                <c:pt idx="16">
                  <c:v>2016-5</c:v>
                </c:pt>
                <c:pt idx="17">
                  <c:v>2016-6</c:v>
                </c:pt>
                <c:pt idx="18">
                  <c:v>2016-7</c:v>
                </c:pt>
                <c:pt idx="19">
                  <c:v>2016-8</c:v>
                </c:pt>
                <c:pt idx="20">
                  <c:v>2016-9</c:v>
                </c:pt>
                <c:pt idx="21">
                  <c:v>2016-10</c:v>
                </c:pt>
                <c:pt idx="22">
                  <c:v>2016-11</c:v>
                </c:pt>
                <c:pt idx="23">
                  <c:v>2016-12</c:v>
                </c:pt>
                <c:pt idx="24">
                  <c:v>2017-1</c:v>
                </c:pt>
                <c:pt idx="25">
                  <c:v>2017-2</c:v>
                </c:pt>
                <c:pt idx="26">
                  <c:v>2017-3</c:v>
                </c:pt>
                <c:pt idx="27">
                  <c:v>2017-4</c:v>
                </c:pt>
                <c:pt idx="28">
                  <c:v>2017-5</c:v>
                </c:pt>
                <c:pt idx="29">
                  <c:v>2017-6</c:v>
                </c:pt>
                <c:pt idx="30">
                  <c:v>2017-7</c:v>
                </c:pt>
                <c:pt idx="31">
                  <c:v>2017-8</c:v>
                </c:pt>
                <c:pt idx="32">
                  <c:v>2017-9</c:v>
                </c:pt>
                <c:pt idx="33">
                  <c:v>2017-10</c:v>
                </c:pt>
                <c:pt idx="34">
                  <c:v>2017-11</c:v>
                </c:pt>
                <c:pt idx="35">
                  <c:v>2017-12</c:v>
                </c:pt>
                <c:pt idx="36">
                  <c:v>2018-1</c:v>
                </c:pt>
                <c:pt idx="37">
                  <c:v>2018-2</c:v>
                </c:pt>
                <c:pt idx="38">
                  <c:v>2018-3</c:v>
                </c:pt>
                <c:pt idx="39">
                  <c:v>2018-4</c:v>
                </c:pt>
                <c:pt idx="40">
                  <c:v>2018-5</c:v>
                </c:pt>
                <c:pt idx="41">
                  <c:v>2018-6</c:v>
                </c:pt>
                <c:pt idx="42">
                  <c:v>2018-7</c:v>
                </c:pt>
                <c:pt idx="43">
                  <c:v>2018-8</c:v>
                </c:pt>
                <c:pt idx="44">
                  <c:v>2018-9</c:v>
                </c:pt>
                <c:pt idx="45">
                  <c:v>2018-10</c:v>
                </c:pt>
                <c:pt idx="46">
                  <c:v>2018-11</c:v>
                </c:pt>
                <c:pt idx="47">
                  <c:v>2018-12</c:v>
                </c:pt>
                <c:pt idx="48">
                  <c:v>2019-1</c:v>
                </c:pt>
                <c:pt idx="49">
                  <c:v>2019-2</c:v>
                </c:pt>
                <c:pt idx="50">
                  <c:v>2019-3</c:v>
                </c:pt>
                <c:pt idx="51">
                  <c:v>2019-4</c:v>
                </c:pt>
                <c:pt idx="52">
                  <c:v>2019-5</c:v>
                </c:pt>
                <c:pt idx="53">
                  <c:v>2019-6</c:v>
                </c:pt>
                <c:pt idx="54">
                  <c:v>2019-7</c:v>
                </c:pt>
                <c:pt idx="55">
                  <c:v>2019-8</c:v>
                </c:pt>
                <c:pt idx="56">
                  <c:v>2019-9</c:v>
                </c:pt>
                <c:pt idx="57">
                  <c:v>2019-10</c:v>
                </c:pt>
                <c:pt idx="58">
                  <c:v>2019-11</c:v>
                </c:pt>
                <c:pt idx="59">
                  <c:v>2019-12</c:v>
                </c:pt>
                <c:pt idx="60">
                  <c:v>2020-1</c:v>
                </c:pt>
                <c:pt idx="61">
                  <c:v>2020-2</c:v>
                </c:pt>
                <c:pt idx="62">
                  <c:v>2020-3</c:v>
                </c:pt>
                <c:pt idx="63">
                  <c:v>2020-4</c:v>
                </c:pt>
                <c:pt idx="64">
                  <c:v>2020-5</c:v>
                </c:pt>
                <c:pt idx="65">
                  <c:v>2020-6</c:v>
                </c:pt>
                <c:pt idx="66">
                  <c:v>2020-7</c:v>
                </c:pt>
                <c:pt idx="67">
                  <c:v>2020-8</c:v>
                </c:pt>
                <c:pt idx="68">
                  <c:v>2020-9</c:v>
                </c:pt>
                <c:pt idx="69">
                  <c:v>2020-10</c:v>
                </c:pt>
              </c:strCache>
            </c:strRef>
          </c:cat>
          <c:val>
            <c:numRef>
              <c:f>'[Hedonic Indexes.xlsx]Unit Rental Hedonic Index'!$M$2:$M$71</c:f>
              <c:numCache>
                <c:formatCode>General</c:formatCode>
                <c:ptCount val="70"/>
                <c:pt idx="0">
                  <c:v>100</c:v>
                </c:pt>
                <c:pt idx="1">
                  <c:v>102.29430000000001</c:v>
                </c:pt>
                <c:pt idx="2">
                  <c:v>102.7423</c:v>
                </c:pt>
                <c:pt idx="3">
                  <c:v>103.3826</c:v>
                </c:pt>
                <c:pt idx="4">
                  <c:v>103.7835</c:v>
                </c:pt>
                <c:pt idx="5">
                  <c:v>104.4693</c:v>
                </c:pt>
                <c:pt idx="6">
                  <c:v>105.3267</c:v>
                </c:pt>
                <c:pt idx="7">
                  <c:v>106.05629999999999</c:v>
                </c:pt>
                <c:pt idx="8">
                  <c:v>106.4798</c:v>
                </c:pt>
                <c:pt idx="9">
                  <c:v>106.608</c:v>
                </c:pt>
                <c:pt idx="10">
                  <c:v>106.3488</c:v>
                </c:pt>
                <c:pt idx="11">
                  <c:v>106.1759</c:v>
                </c:pt>
                <c:pt idx="12">
                  <c:v>105.941</c:v>
                </c:pt>
                <c:pt idx="13">
                  <c:v>105.64709999999999</c:v>
                </c:pt>
                <c:pt idx="14">
                  <c:v>105.3729</c:v>
                </c:pt>
                <c:pt idx="15">
                  <c:v>105.37860000000001</c:v>
                </c:pt>
                <c:pt idx="16">
                  <c:v>105.4455</c:v>
                </c:pt>
                <c:pt idx="17">
                  <c:v>105.6163</c:v>
                </c:pt>
                <c:pt idx="18">
                  <c:v>105.61839999999999</c:v>
                </c:pt>
                <c:pt idx="19">
                  <c:v>105.462</c:v>
                </c:pt>
                <c:pt idx="20">
                  <c:v>105.258</c:v>
                </c:pt>
                <c:pt idx="21">
                  <c:v>105.0273</c:v>
                </c:pt>
                <c:pt idx="22">
                  <c:v>104.77290000000001</c:v>
                </c:pt>
                <c:pt idx="23">
                  <c:v>104.69450000000001</c:v>
                </c:pt>
                <c:pt idx="24">
                  <c:v>104.6459</c:v>
                </c:pt>
                <c:pt idx="25">
                  <c:v>104.8549</c:v>
                </c:pt>
                <c:pt idx="26">
                  <c:v>105.3284</c:v>
                </c:pt>
                <c:pt idx="27">
                  <c:v>105.8078</c:v>
                </c:pt>
                <c:pt idx="28">
                  <c:v>106.312</c:v>
                </c:pt>
                <c:pt idx="29">
                  <c:v>106.782</c:v>
                </c:pt>
                <c:pt idx="30">
                  <c:v>107.0031</c:v>
                </c:pt>
                <c:pt idx="31">
                  <c:v>107.29349999999999</c:v>
                </c:pt>
                <c:pt idx="32">
                  <c:v>107.4751</c:v>
                </c:pt>
                <c:pt idx="33">
                  <c:v>107.5184</c:v>
                </c:pt>
                <c:pt idx="34">
                  <c:v>107.5796</c:v>
                </c:pt>
                <c:pt idx="35">
                  <c:v>107.7278</c:v>
                </c:pt>
                <c:pt idx="36">
                  <c:v>107.7971</c:v>
                </c:pt>
                <c:pt idx="37">
                  <c:v>108.01390000000001</c:v>
                </c:pt>
                <c:pt idx="38">
                  <c:v>108.0598</c:v>
                </c:pt>
                <c:pt idx="39">
                  <c:v>108.1463</c:v>
                </c:pt>
                <c:pt idx="40">
                  <c:v>108.3635</c:v>
                </c:pt>
                <c:pt idx="41">
                  <c:v>108.65389999999999</c:v>
                </c:pt>
                <c:pt idx="42">
                  <c:v>108.89879999999999</c:v>
                </c:pt>
                <c:pt idx="43">
                  <c:v>109.44199999999999</c:v>
                </c:pt>
                <c:pt idx="44">
                  <c:v>110.2384</c:v>
                </c:pt>
                <c:pt idx="45">
                  <c:v>111.251</c:v>
                </c:pt>
                <c:pt idx="46">
                  <c:v>112.279</c:v>
                </c:pt>
                <c:pt idx="47">
                  <c:v>113.3355</c:v>
                </c:pt>
                <c:pt idx="48">
                  <c:v>114.47880000000001</c:v>
                </c:pt>
                <c:pt idx="49">
                  <c:v>115.7547</c:v>
                </c:pt>
                <c:pt idx="50">
                  <c:v>116.8288</c:v>
                </c:pt>
                <c:pt idx="51">
                  <c:v>117.6302</c:v>
                </c:pt>
                <c:pt idx="52">
                  <c:v>118.3163</c:v>
                </c:pt>
                <c:pt idx="53">
                  <c:v>119.0245</c:v>
                </c:pt>
                <c:pt idx="54">
                  <c:v>119.4327</c:v>
                </c:pt>
                <c:pt idx="55">
                  <c:v>119.66119999999999</c:v>
                </c:pt>
                <c:pt idx="56">
                  <c:v>119.6857</c:v>
                </c:pt>
                <c:pt idx="57">
                  <c:v>119.64490000000001</c:v>
                </c:pt>
                <c:pt idx="58">
                  <c:v>119.71429999999999</c:v>
                </c:pt>
                <c:pt idx="59">
                  <c:v>119.8143</c:v>
                </c:pt>
                <c:pt idx="60">
                  <c:v>120.0347</c:v>
                </c:pt>
                <c:pt idx="61">
                  <c:v>120.53060000000001</c:v>
                </c:pt>
                <c:pt idx="62">
                  <c:v>120.8837</c:v>
                </c:pt>
                <c:pt idx="63">
                  <c:v>121.2367</c:v>
                </c:pt>
                <c:pt idx="64">
                  <c:v>121.7612</c:v>
                </c:pt>
                <c:pt idx="65">
                  <c:v>122.10850000000001</c:v>
                </c:pt>
                <c:pt idx="66">
                  <c:v>122.4269</c:v>
                </c:pt>
                <c:pt idx="67">
                  <c:v>122.3656</c:v>
                </c:pt>
                <c:pt idx="68">
                  <c:v>122.2718</c:v>
                </c:pt>
                <c:pt idx="69">
                  <c:v>122.32899999999999</c:v>
                </c:pt>
              </c:numCache>
            </c:numRef>
          </c:val>
          <c:smooth val="0"/>
          <c:extLst>
            <c:ext xmlns:c16="http://schemas.microsoft.com/office/drawing/2014/chart" uri="{C3380CC4-5D6E-409C-BE32-E72D297353CC}">
              <c16:uniqueId val="{00000004-721F-4C8F-8D08-717218819650}"/>
            </c:ext>
          </c:extLst>
        </c:ser>
        <c:dLbls>
          <c:showLegendKey val="0"/>
          <c:showVal val="0"/>
          <c:showCatName val="0"/>
          <c:showSerName val="0"/>
          <c:showPercent val="0"/>
          <c:showBubbleSize val="0"/>
        </c:dLbls>
        <c:smooth val="0"/>
        <c:axId val="478533344"/>
        <c:axId val="478528096"/>
      </c:lineChart>
      <c:catAx>
        <c:axId val="478533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528096"/>
        <c:crosses val="autoZero"/>
        <c:auto val="1"/>
        <c:lblAlgn val="ctr"/>
        <c:lblOffset val="100"/>
        <c:noMultiLvlLbl val="0"/>
      </c:catAx>
      <c:valAx>
        <c:axId val="478528096"/>
        <c:scaling>
          <c:orientation val="minMax"/>
          <c:max val="125"/>
          <c:min val="9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533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96087-C0E7-4E85-8A54-50A600E48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16</Pages>
  <Words>5371</Words>
  <Characters>30620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Tanner</dc:creator>
  <cp:keywords/>
  <dc:description/>
  <cp:lastModifiedBy>Jane Wager</cp:lastModifiedBy>
  <cp:revision>11</cp:revision>
  <dcterms:created xsi:type="dcterms:W3CDTF">2022-06-20T05:26:00Z</dcterms:created>
  <dcterms:modified xsi:type="dcterms:W3CDTF">2022-08-01T07:37:00Z</dcterms:modified>
</cp:coreProperties>
</file>