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FBB3" w14:textId="6EE4C30E" w:rsidR="00A96A68" w:rsidRPr="006206B3" w:rsidRDefault="00FC3BE0" w:rsidP="00FC3BE0">
      <w:pPr>
        <w:pStyle w:val="Heading1"/>
        <w:spacing w:after="240"/>
        <w:rPr>
          <w:b/>
          <w:bCs/>
        </w:rPr>
      </w:pPr>
      <w:bookmarkStart w:id="0" w:name="_Toc108183146"/>
      <w:r w:rsidRPr="006206B3">
        <w:rPr>
          <w:b/>
          <w:bCs/>
        </w:rPr>
        <w:t>Vital Communities – c</w:t>
      </w:r>
      <w:r w:rsidR="005B1E6D" w:rsidRPr="006206B3">
        <w:rPr>
          <w:b/>
          <w:bCs/>
        </w:rPr>
        <w:t>ase</w:t>
      </w:r>
      <w:r w:rsidRPr="006206B3">
        <w:rPr>
          <w:b/>
          <w:bCs/>
        </w:rPr>
        <w:t xml:space="preserve"> </w:t>
      </w:r>
      <w:r w:rsidR="005B1E6D" w:rsidRPr="006206B3">
        <w:rPr>
          <w:b/>
          <w:bCs/>
        </w:rPr>
        <w:t xml:space="preserve">studies with </w:t>
      </w:r>
      <w:r w:rsidRPr="006206B3">
        <w:rPr>
          <w:b/>
          <w:bCs/>
        </w:rPr>
        <w:t>h</w:t>
      </w:r>
      <w:r w:rsidR="005B1E6D" w:rsidRPr="006206B3">
        <w:rPr>
          <w:b/>
          <w:bCs/>
        </w:rPr>
        <w:t xml:space="preserve">ealth and </w:t>
      </w:r>
      <w:r w:rsidRPr="006206B3">
        <w:rPr>
          <w:b/>
          <w:bCs/>
        </w:rPr>
        <w:t>w</w:t>
      </w:r>
      <w:r w:rsidR="005B1E6D" w:rsidRPr="006206B3">
        <w:rPr>
          <w:b/>
          <w:bCs/>
        </w:rPr>
        <w:t xml:space="preserve">ellbeing </w:t>
      </w:r>
      <w:r w:rsidRPr="006206B3">
        <w:rPr>
          <w:b/>
          <w:bCs/>
        </w:rPr>
        <w:t>o</w:t>
      </w:r>
      <w:r w:rsidR="005B1E6D" w:rsidRPr="006206B3">
        <w:rPr>
          <w:b/>
          <w:bCs/>
        </w:rPr>
        <w:t>utcomes</w:t>
      </w:r>
      <w:bookmarkEnd w:id="0"/>
    </w:p>
    <w:sdt>
      <w:sdtPr>
        <w:rPr>
          <w:rFonts w:asciiTheme="minorHAnsi" w:eastAsiaTheme="minorHAnsi" w:hAnsiTheme="minorHAnsi" w:cstheme="minorBidi"/>
          <w:color w:val="auto"/>
          <w:sz w:val="22"/>
          <w:szCs w:val="22"/>
          <w:lang w:val="en-AU"/>
        </w:rPr>
        <w:id w:val="2139449982"/>
        <w:docPartObj>
          <w:docPartGallery w:val="Table of Contents"/>
          <w:docPartUnique/>
        </w:docPartObj>
      </w:sdtPr>
      <w:sdtEndPr>
        <w:rPr>
          <w:b/>
          <w:bCs/>
          <w:noProof/>
        </w:rPr>
      </w:sdtEndPr>
      <w:sdtContent>
        <w:p w14:paraId="1C681E8A" w14:textId="46F4FE0C" w:rsidR="00FC3BE0" w:rsidRDefault="00FC3BE0">
          <w:pPr>
            <w:pStyle w:val="TOCHeading"/>
          </w:pPr>
          <w:r>
            <w:t>Contents</w:t>
          </w:r>
        </w:p>
        <w:p w14:paraId="58677D58" w14:textId="342E1D5A" w:rsidR="00FC3BE0" w:rsidRDefault="00FC3BE0">
          <w:pPr>
            <w:pStyle w:val="TOC1"/>
            <w:tabs>
              <w:tab w:val="right" w:leader="dot" w:pos="9016"/>
            </w:tabs>
            <w:rPr>
              <w:noProof/>
            </w:rPr>
          </w:pPr>
          <w:r>
            <w:fldChar w:fldCharType="begin"/>
          </w:r>
          <w:r>
            <w:instrText xml:space="preserve"> TOC \o "1-3" \h \z \u </w:instrText>
          </w:r>
          <w:r>
            <w:fldChar w:fldCharType="separate"/>
          </w:r>
          <w:hyperlink w:anchor="_Toc108183147" w:history="1">
            <w:r w:rsidRPr="00A83742">
              <w:rPr>
                <w:rStyle w:val="Hyperlink"/>
                <w:rFonts w:asciiTheme="majorHAnsi" w:eastAsiaTheme="majorEastAsia" w:hAnsiTheme="majorHAnsi" w:cstheme="majorBidi"/>
                <w:noProof/>
              </w:rPr>
              <w:t>Greater Geelong Focus</w:t>
            </w:r>
            <w:r>
              <w:rPr>
                <w:noProof/>
                <w:webHidden/>
              </w:rPr>
              <w:tab/>
            </w:r>
            <w:r>
              <w:rPr>
                <w:noProof/>
                <w:webHidden/>
              </w:rPr>
              <w:fldChar w:fldCharType="begin"/>
            </w:r>
            <w:r>
              <w:rPr>
                <w:noProof/>
                <w:webHidden/>
              </w:rPr>
              <w:instrText xml:space="preserve"> PAGEREF _Toc108183147 \h </w:instrText>
            </w:r>
            <w:r>
              <w:rPr>
                <w:noProof/>
                <w:webHidden/>
              </w:rPr>
            </w:r>
            <w:r>
              <w:rPr>
                <w:noProof/>
                <w:webHidden/>
              </w:rPr>
              <w:fldChar w:fldCharType="separate"/>
            </w:r>
            <w:r>
              <w:rPr>
                <w:noProof/>
                <w:webHidden/>
              </w:rPr>
              <w:t>2</w:t>
            </w:r>
            <w:r>
              <w:rPr>
                <w:noProof/>
                <w:webHidden/>
              </w:rPr>
              <w:fldChar w:fldCharType="end"/>
            </w:r>
          </w:hyperlink>
        </w:p>
        <w:p w14:paraId="154087B7" w14:textId="7EDE6CEF" w:rsidR="00FC3BE0" w:rsidRDefault="0097332B">
          <w:pPr>
            <w:pStyle w:val="TOC2"/>
            <w:tabs>
              <w:tab w:val="right" w:leader="dot" w:pos="9016"/>
            </w:tabs>
            <w:rPr>
              <w:noProof/>
            </w:rPr>
          </w:pPr>
          <w:hyperlink w:anchor="_Toc108183148" w:history="1">
            <w:r w:rsidR="00FC3BE0" w:rsidRPr="00A83742">
              <w:rPr>
                <w:rStyle w:val="Hyperlink"/>
                <w:noProof/>
              </w:rPr>
              <w:t>TBA North:  Arts-Based Early Childhood Learning Program</w:t>
            </w:r>
            <w:r w:rsidR="00FC3BE0">
              <w:rPr>
                <w:noProof/>
                <w:webHidden/>
              </w:rPr>
              <w:tab/>
            </w:r>
            <w:r w:rsidR="00FC3BE0">
              <w:rPr>
                <w:noProof/>
                <w:webHidden/>
              </w:rPr>
              <w:fldChar w:fldCharType="begin"/>
            </w:r>
            <w:r w:rsidR="00FC3BE0">
              <w:rPr>
                <w:noProof/>
                <w:webHidden/>
              </w:rPr>
              <w:instrText xml:space="preserve"> PAGEREF _Toc108183148 \h </w:instrText>
            </w:r>
            <w:r w:rsidR="00FC3BE0">
              <w:rPr>
                <w:noProof/>
                <w:webHidden/>
              </w:rPr>
            </w:r>
            <w:r w:rsidR="00FC3BE0">
              <w:rPr>
                <w:noProof/>
                <w:webHidden/>
              </w:rPr>
              <w:fldChar w:fldCharType="separate"/>
            </w:r>
            <w:r w:rsidR="00FC3BE0">
              <w:rPr>
                <w:noProof/>
                <w:webHidden/>
              </w:rPr>
              <w:t>2</w:t>
            </w:r>
            <w:r w:rsidR="00FC3BE0">
              <w:rPr>
                <w:noProof/>
                <w:webHidden/>
              </w:rPr>
              <w:fldChar w:fldCharType="end"/>
            </w:r>
          </w:hyperlink>
        </w:p>
        <w:p w14:paraId="67A33CC9" w14:textId="22BE2564" w:rsidR="00FC3BE0" w:rsidRDefault="0097332B">
          <w:pPr>
            <w:pStyle w:val="TOC2"/>
            <w:tabs>
              <w:tab w:val="right" w:leader="dot" w:pos="9016"/>
            </w:tabs>
            <w:rPr>
              <w:noProof/>
            </w:rPr>
          </w:pPr>
          <w:hyperlink w:anchor="_Toc108183149" w:history="1">
            <w:r w:rsidR="00FC3BE0" w:rsidRPr="00A83742">
              <w:rPr>
                <w:rStyle w:val="Hyperlink"/>
                <w:noProof/>
              </w:rPr>
              <w:t>Whittington Works Alliance: Local Jobs, Education and Training Program</w:t>
            </w:r>
            <w:r w:rsidR="00FC3BE0">
              <w:rPr>
                <w:noProof/>
                <w:webHidden/>
              </w:rPr>
              <w:tab/>
            </w:r>
            <w:r w:rsidR="00FC3BE0">
              <w:rPr>
                <w:noProof/>
                <w:webHidden/>
              </w:rPr>
              <w:fldChar w:fldCharType="begin"/>
            </w:r>
            <w:r w:rsidR="00FC3BE0">
              <w:rPr>
                <w:noProof/>
                <w:webHidden/>
              </w:rPr>
              <w:instrText xml:space="preserve"> PAGEREF _Toc108183149 \h </w:instrText>
            </w:r>
            <w:r w:rsidR="00FC3BE0">
              <w:rPr>
                <w:noProof/>
                <w:webHidden/>
              </w:rPr>
            </w:r>
            <w:r w:rsidR="00FC3BE0">
              <w:rPr>
                <w:noProof/>
                <w:webHidden/>
              </w:rPr>
              <w:fldChar w:fldCharType="separate"/>
            </w:r>
            <w:r w:rsidR="00FC3BE0">
              <w:rPr>
                <w:noProof/>
                <w:webHidden/>
              </w:rPr>
              <w:t>3</w:t>
            </w:r>
            <w:r w:rsidR="00FC3BE0">
              <w:rPr>
                <w:noProof/>
                <w:webHidden/>
              </w:rPr>
              <w:fldChar w:fldCharType="end"/>
            </w:r>
          </w:hyperlink>
        </w:p>
        <w:p w14:paraId="7C5FEBE5" w14:textId="563A54B4" w:rsidR="00FC3BE0" w:rsidRDefault="0097332B">
          <w:pPr>
            <w:pStyle w:val="TOC2"/>
            <w:tabs>
              <w:tab w:val="right" w:leader="dot" w:pos="9016"/>
            </w:tabs>
            <w:rPr>
              <w:noProof/>
            </w:rPr>
          </w:pPr>
          <w:hyperlink w:anchor="_Toc108183150" w:history="1">
            <w:r w:rsidR="00FC3BE0" w:rsidRPr="00A83742">
              <w:rPr>
                <w:rStyle w:val="Hyperlink"/>
                <w:noProof/>
              </w:rPr>
              <w:t>Towards Home Plus: Homelessness Outreach, Housing, and Support</w:t>
            </w:r>
            <w:r w:rsidR="00FC3BE0">
              <w:rPr>
                <w:noProof/>
                <w:webHidden/>
              </w:rPr>
              <w:tab/>
            </w:r>
            <w:r w:rsidR="00FC3BE0">
              <w:rPr>
                <w:noProof/>
                <w:webHidden/>
              </w:rPr>
              <w:fldChar w:fldCharType="begin"/>
            </w:r>
            <w:r w:rsidR="00FC3BE0">
              <w:rPr>
                <w:noProof/>
                <w:webHidden/>
              </w:rPr>
              <w:instrText xml:space="preserve"> PAGEREF _Toc108183150 \h </w:instrText>
            </w:r>
            <w:r w:rsidR="00FC3BE0">
              <w:rPr>
                <w:noProof/>
                <w:webHidden/>
              </w:rPr>
            </w:r>
            <w:r w:rsidR="00FC3BE0">
              <w:rPr>
                <w:noProof/>
                <w:webHidden/>
              </w:rPr>
              <w:fldChar w:fldCharType="separate"/>
            </w:r>
            <w:r w:rsidR="00FC3BE0">
              <w:rPr>
                <w:noProof/>
                <w:webHidden/>
              </w:rPr>
              <w:t>4</w:t>
            </w:r>
            <w:r w:rsidR="00FC3BE0">
              <w:rPr>
                <w:noProof/>
                <w:webHidden/>
              </w:rPr>
              <w:fldChar w:fldCharType="end"/>
            </w:r>
          </w:hyperlink>
        </w:p>
        <w:p w14:paraId="06E99A38" w14:textId="51140B17" w:rsidR="00FC3BE0" w:rsidRDefault="0097332B">
          <w:pPr>
            <w:pStyle w:val="TOC1"/>
            <w:tabs>
              <w:tab w:val="right" w:leader="dot" w:pos="9016"/>
            </w:tabs>
            <w:rPr>
              <w:noProof/>
            </w:rPr>
          </w:pPr>
          <w:hyperlink w:anchor="_Toc108183151" w:history="1">
            <w:r w:rsidR="00FC3BE0" w:rsidRPr="00A83742">
              <w:rPr>
                <w:rStyle w:val="Hyperlink"/>
                <w:noProof/>
              </w:rPr>
              <w:t>Victoria (Local Focus)</w:t>
            </w:r>
            <w:r w:rsidR="00FC3BE0">
              <w:rPr>
                <w:noProof/>
                <w:webHidden/>
              </w:rPr>
              <w:tab/>
            </w:r>
            <w:r w:rsidR="00FC3BE0">
              <w:rPr>
                <w:noProof/>
                <w:webHidden/>
              </w:rPr>
              <w:fldChar w:fldCharType="begin"/>
            </w:r>
            <w:r w:rsidR="00FC3BE0">
              <w:rPr>
                <w:noProof/>
                <w:webHidden/>
              </w:rPr>
              <w:instrText xml:space="preserve"> PAGEREF _Toc108183151 \h </w:instrText>
            </w:r>
            <w:r w:rsidR="00FC3BE0">
              <w:rPr>
                <w:noProof/>
                <w:webHidden/>
              </w:rPr>
            </w:r>
            <w:r w:rsidR="00FC3BE0">
              <w:rPr>
                <w:noProof/>
                <w:webHidden/>
              </w:rPr>
              <w:fldChar w:fldCharType="separate"/>
            </w:r>
            <w:r w:rsidR="00FC3BE0">
              <w:rPr>
                <w:noProof/>
                <w:webHidden/>
              </w:rPr>
              <w:t>5</w:t>
            </w:r>
            <w:r w:rsidR="00FC3BE0">
              <w:rPr>
                <w:noProof/>
                <w:webHidden/>
              </w:rPr>
              <w:fldChar w:fldCharType="end"/>
            </w:r>
          </w:hyperlink>
        </w:p>
        <w:p w14:paraId="4ACE0AB8" w14:textId="03ED1CCF" w:rsidR="00FC3BE0" w:rsidRDefault="0097332B">
          <w:pPr>
            <w:pStyle w:val="TOC2"/>
            <w:tabs>
              <w:tab w:val="right" w:leader="dot" w:pos="9016"/>
            </w:tabs>
            <w:rPr>
              <w:noProof/>
            </w:rPr>
          </w:pPr>
          <w:hyperlink w:anchor="_Toc108183152" w:history="1">
            <w:r w:rsidR="00FC3BE0" w:rsidRPr="00A83742">
              <w:rPr>
                <w:rStyle w:val="Hyperlink"/>
                <w:noProof/>
              </w:rPr>
              <w:t>Afghan Youth Girls Bike Skills Workshops: Building Social Inclusion Via Sport</w:t>
            </w:r>
            <w:r w:rsidR="00FC3BE0">
              <w:rPr>
                <w:noProof/>
                <w:webHidden/>
              </w:rPr>
              <w:tab/>
            </w:r>
            <w:r w:rsidR="00FC3BE0">
              <w:rPr>
                <w:noProof/>
                <w:webHidden/>
              </w:rPr>
              <w:fldChar w:fldCharType="begin"/>
            </w:r>
            <w:r w:rsidR="00FC3BE0">
              <w:rPr>
                <w:noProof/>
                <w:webHidden/>
              </w:rPr>
              <w:instrText xml:space="preserve"> PAGEREF _Toc108183152 \h </w:instrText>
            </w:r>
            <w:r w:rsidR="00FC3BE0">
              <w:rPr>
                <w:noProof/>
                <w:webHidden/>
              </w:rPr>
            </w:r>
            <w:r w:rsidR="00FC3BE0">
              <w:rPr>
                <w:noProof/>
                <w:webHidden/>
              </w:rPr>
              <w:fldChar w:fldCharType="separate"/>
            </w:r>
            <w:r w:rsidR="00FC3BE0">
              <w:rPr>
                <w:noProof/>
                <w:webHidden/>
              </w:rPr>
              <w:t>5</w:t>
            </w:r>
            <w:r w:rsidR="00FC3BE0">
              <w:rPr>
                <w:noProof/>
                <w:webHidden/>
              </w:rPr>
              <w:fldChar w:fldCharType="end"/>
            </w:r>
          </w:hyperlink>
        </w:p>
        <w:p w14:paraId="5D7E0D68" w14:textId="7BD3EDAD" w:rsidR="00FC3BE0" w:rsidRDefault="0097332B">
          <w:pPr>
            <w:pStyle w:val="TOC2"/>
            <w:tabs>
              <w:tab w:val="right" w:leader="dot" w:pos="9016"/>
            </w:tabs>
            <w:rPr>
              <w:noProof/>
            </w:rPr>
          </w:pPr>
          <w:hyperlink w:anchor="_Toc108183153" w:history="1">
            <w:r w:rsidR="00FC3BE0" w:rsidRPr="00A83742">
              <w:rPr>
                <w:rStyle w:val="Hyperlink"/>
                <w:noProof/>
              </w:rPr>
              <w:t>Fawkner Commons (Fair Share Fare): Food Security and Creative Community-Building</w:t>
            </w:r>
            <w:r w:rsidR="00FC3BE0">
              <w:rPr>
                <w:noProof/>
                <w:webHidden/>
              </w:rPr>
              <w:tab/>
            </w:r>
            <w:r w:rsidR="00FC3BE0">
              <w:rPr>
                <w:noProof/>
                <w:webHidden/>
              </w:rPr>
              <w:fldChar w:fldCharType="begin"/>
            </w:r>
            <w:r w:rsidR="00FC3BE0">
              <w:rPr>
                <w:noProof/>
                <w:webHidden/>
              </w:rPr>
              <w:instrText xml:space="preserve"> PAGEREF _Toc108183153 \h </w:instrText>
            </w:r>
            <w:r w:rsidR="00FC3BE0">
              <w:rPr>
                <w:noProof/>
                <w:webHidden/>
              </w:rPr>
            </w:r>
            <w:r w:rsidR="00FC3BE0">
              <w:rPr>
                <w:noProof/>
                <w:webHidden/>
              </w:rPr>
              <w:fldChar w:fldCharType="separate"/>
            </w:r>
            <w:r w:rsidR="00FC3BE0">
              <w:rPr>
                <w:noProof/>
                <w:webHidden/>
              </w:rPr>
              <w:t>6</w:t>
            </w:r>
            <w:r w:rsidR="00FC3BE0">
              <w:rPr>
                <w:noProof/>
                <w:webHidden/>
              </w:rPr>
              <w:fldChar w:fldCharType="end"/>
            </w:r>
          </w:hyperlink>
        </w:p>
        <w:p w14:paraId="47D54372" w14:textId="3F241079" w:rsidR="00FC3BE0" w:rsidRDefault="0097332B">
          <w:pPr>
            <w:pStyle w:val="TOC2"/>
            <w:tabs>
              <w:tab w:val="right" w:leader="dot" w:pos="9016"/>
            </w:tabs>
            <w:rPr>
              <w:noProof/>
            </w:rPr>
          </w:pPr>
          <w:hyperlink w:anchor="_Toc108183154" w:history="1">
            <w:r w:rsidR="00FC3BE0" w:rsidRPr="00A83742">
              <w:rPr>
                <w:rStyle w:val="Hyperlink"/>
                <w:noProof/>
              </w:rPr>
              <w:t>Streets Ahead: Active Travel and Mobility for Primary School Kids</w:t>
            </w:r>
            <w:r w:rsidR="00FC3BE0">
              <w:rPr>
                <w:noProof/>
                <w:webHidden/>
              </w:rPr>
              <w:tab/>
            </w:r>
            <w:r w:rsidR="00FC3BE0">
              <w:rPr>
                <w:noProof/>
                <w:webHidden/>
              </w:rPr>
              <w:fldChar w:fldCharType="begin"/>
            </w:r>
            <w:r w:rsidR="00FC3BE0">
              <w:rPr>
                <w:noProof/>
                <w:webHidden/>
              </w:rPr>
              <w:instrText xml:space="preserve"> PAGEREF _Toc108183154 \h </w:instrText>
            </w:r>
            <w:r w:rsidR="00FC3BE0">
              <w:rPr>
                <w:noProof/>
                <w:webHidden/>
              </w:rPr>
            </w:r>
            <w:r w:rsidR="00FC3BE0">
              <w:rPr>
                <w:noProof/>
                <w:webHidden/>
              </w:rPr>
              <w:fldChar w:fldCharType="separate"/>
            </w:r>
            <w:r w:rsidR="00FC3BE0">
              <w:rPr>
                <w:noProof/>
                <w:webHidden/>
              </w:rPr>
              <w:t>7</w:t>
            </w:r>
            <w:r w:rsidR="00FC3BE0">
              <w:rPr>
                <w:noProof/>
                <w:webHidden/>
              </w:rPr>
              <w:fldChar w:fldCharType="end"/>
            </w:r>
          </w:hyperlink>
        </w:p>
        <w:p w14:paraId="5B893F22" w14:textId="32563CB4" w:rsidR="00FC3BE0" w:rsidRDefault="0097332B">
          <w:pPr>
            <w:pStyle w:val="TOC2"/>
            <w:tabs>
              <w:tab w:val="right" w:leader="dot" w:pos="9016"/>
            </w:tabs>
            <w:rPr>
              <w:noProof/>
            </w:rPr>
          </w:pPr>
          <w:hyperlink w:anchor="_Toc108183155" w:history="1">
            <w:r w:rsidR="00FC3BE0" w:rsidRPr="00A83742">
              <w:rPr>
                <w:rStyle w:val="Hyperlink"/>
                <w:noProof/>
              </w:rPr>
              <w:t>Ten Ideas, Three Ventures: Improving Mental Health for Young South Sudanese Australians</w:t>
            </w:r>
            <w:r w:rsidR="00FC3BE0">
              <w:rPr>
                <w:noProof/>
                <w:webHidden/>
              </w:rPr>
              <w:tab/>
            </w:r>
            <w:r w:rsidR="00FC3BE0">
              <w:rPr>
                <w:noProof/>
                <w:webHidden/>
              </w:rPr>
              <w:fldChar w:fldCharType="begin"/>
            </w:r>
            <w:r w:rsidR="00FC3BE0">
              <w:rPr>
                <w:noProof/>
                <w:webHidden/>
              </w:rPr>
              <w:instrText xml:space="preserve"> PAGEREF _Toc108183155 \h </w:instrText>
            </w:r>
            <w:r w:rsidR="00FC3BE0">
              <w:rPr>
                <w:noProof/>
                <w:webHidden/>
              </w:rPr>
            </w:r>
            <w:r w:rsidR="00FC3BE0">
              <w:rPr>
                <w:noProof/>
                <w:webHidden/>
              </w:rPr>
              <w:fldChar w:fldCharType="separate"/>
            </w:r>
            <w:r w:rsidR="00FC3BE0">
              <w:rPr>
                <w:noProof/>
                <w:webHidden/>
              </w:rPr>
              <w:t>8</w:t>
            </w:r>
            <w:r w:rsidR="00FC3BE0">
              <w:rPr>
                <w:noProof/>
                <w:webHidden/>
              </w:rPr>
              <w:fldChar w:fldCharType="end"/>
            </w:r>
          </w:hyperlink>
        </w:p>
        <w:p w14:paraId="3B47E992" w14:textId="5587501D" w:rsidR="00FC3BE0" w:rsidRDefault="0097332B">
          <w:pPr>
            <w:pStyle w:val="TOC2"/>
            <w:tabs>
              <w:tab w:val="right" w:leader="dot" w:pos="9016"/>
            </w:tabs>
            <w:rPr>
              <w:noProof/>
            </w:rPr>
          </w:pPr>
          <w:hyperlink w:anchor="_Toc108183156" w:history="1">
            <w:r w:rsidR="00FC3BE0" w:rsidRPr="00A83742">
              <w:rPr>
                <w:rStyle w:val="Hyperlink"/>
                <w:noProof/>
              </w:rPr>
              <w:t>Neighbourhood Renewal Program: Place-Based Initiative to Tackle Locational Disadvantage</w:t>
            </w:r>
            <w:r w:rsidR="00FC3BE0">
              <w:rPr>
                <w:noProof/>
                <w:webHidden/>
              </w:rPr>
              <w:tab/>
            </w:r>
            <w:r w:rsidR="00FC3BE0">
              <w:rPr>
                <w:noProof/>
                <w:webHidden/>
              </w:rPr>
              <w:fldChar w:fldCharType="begin"/>
            </w:r>
            <w:r w:rsidR="00FC3BE0">
              <w:rPr>
                <w:noProof/>
                <w:webHidden/>
              </w:rPr>
              <w:instrText xml:space="preserve"> PAGEREF _Toc108183156 \h </w:instrText>
            </w:r>
            <w:r w:rsidR="00FC3BE0">
              <w:rPr>
                <w:noProof/>
                <w:webHidden/>
              </w:rPr>
            </w:r>
            <w:r w:rsidR="00FC3BE0">
              <w:rPr>
                <w:noProof/>
                <w:webHidden/>
              </w:rPr>
              <w:fldChar w:fldCharType="separate"/>
            </w:r>
            <w:r w:rsidR="00FC3BE0">
              <w:rPr>
                <w:noProof/>
                <w:webHidden/>
              </w:rPr>
              <w:t>9</w:t>
            </w:r>
            <w:r w:rsidR="00FC3BE0">
              <w:rPr>
                <w:noProof/>
                <w:webHidden/>
              </w:rPr>
              <w:fldChar w:fldCharType="end"/>
            </w:r>
          </w:hyperlink>
        </w:p>
        <w:p w14:paraId="50D8674C" w14:textId="3CE8B978" w:rsidR="00FC3BE0" w:rsidRDefault="0097332B">
          <w:pPr>
            <w:pStyle w:val="TOC2"/>
            <w:tabs>
              <w:tab w:val="right" w:leader="dot" w:pos="9016"/>
            </w:tabs>
            <w:rPr>
              <w:noProof/>
            </w:rPr>
          </w:pPr>
          <w:hyperlink w:anchor="_Toc108183157" w:history="1">
            <w:r w:rsidR="00FC3BE0" w:rsidRPr="00A83742">
              <w:rPr>
                <w:rStyle w:val="Hyperlink"/>
                <w:noProof/>
              </w:rPr>
              <w:t>Shutterbugs + I Heart Maryborough: Community Photography Projects</w:t>
            </w:r>
            <w:r w:rsidR="00FC3BE0">
              <w:rPr>
                <w:noProof/>
                <w:webHidden/>
              </w:rPr>
              <w:tab/>
            </w:r>
            <w:r w:rsidR="00FC3BE0">
              <w:rPr>
                <w:noProof/>
                <w:webHidden/>
              </w:rPr>
              <w:fldChar w:fldCharType="begin"/>
            </w:r>
            <w:r w:rsidR="00FC3BE0">
              <w:rPr>
                <w:noProof/>
                <w:webHidden/>
              </w:rPr>
              <w:instrText xml:space="preserve"> PAGEREF _Toc108183157 \h </w:instrText>
            </w:r>
            <w:r w:rsidR="00FC3BE0">
              <w:rPr>
                <w:noProof/>
                <w:webHidden/>
              </w:rPr>
            </w:r>
            <w:r w:rsidR="00FC3BE0">
              <w:rPr>
                <w:noProof/>
                <w:webHidden/>
              </w:rPr>
              <w:fldChar w:fldCharType="separate"/>
            </w:r>
            <w:r w:rsidR="00FC3BE0">
              <w:rPr>
                <w:noProof/>
                <w:webHidden/>
              </w:rPr>
              <w:t>10</w:t>
            </w:r>
            <w:r w:rsidR="00FC3BE0">
              <w:rPr>
                <w:noProof/>
                <w:webHidden/>
              </w:rPr>
              <w:fldChar w:fldCharType="end"/>
            </w:r>
          </w:hyperlink>
        </w:p>
        <w:p w14:paraId="18FF9F9C" w14:textId="303D9887" w:rsidR="00FC3BE0" w:rsidRDefault="0097332B">
          <w:pPr>
            <w:pStyle w:val="TOC1"/>
            <w:tabs>
              <w:tab w:val="right" w:leader="dot" w:pos="9016"/>
            </w:tabs>
            <w:rPr>
              <w:noProof/>
            </w:rPr>
          </w:pPr>
          <w:hyperlink w:anchor="_Toc108183158" w:history="1">
            <w:r w:rsidR="00FC3BE0" w:rsidRPr="00A83742">
              <w:rPr>
                <w:rStyle w:val="Hyperlink"/>
                <w:noProof/>
              </w:rPr>
              <w:t>New South Wales</w:t>
            </w:r>
            <w:r w:rsidR="00FC3BE0">
              <w:rPr>
                <w:noProof/>
                <w:webHidden/>
              </w:rPr>
              <w:tab/>
            </w:r>
            <w:r w:rsidR="00FC3BE0">
              <w:rPr>
                <w:noProof/>
                <w:webHidden/>
              </w:rPr>
              <w:fldChar w:fldCharType="begin"/>
            </w:r>
            <w:r w:rsidR="00FC3BE0">
              <w:rPr>
                <w:noProof/>
                <w:webHidden/>
              </w:rPr>
              <w:instrText xml:space="preserve"> PAGEREF _Toc108183158 \h </w:instrText>
            </w:r>
            <w:r w:rsidR="00FC3BE0">
              <w:rPr>
                <w:noProof/>
                <w:webHidden/>
              </w:rPr>
            </w:r>
            <w:r w:rsidR="00FC3BE0">
              <w:rPr>
                <w:noProof/>
                <w:webHidden/>
              </w:rPr>
              <w:fldChar w:fldCharType="separate"/>
            </w:r>
            <w:r w:rsidR="00FC3BE0">
              <w:rPr>
                <w:noProof/>
                <w:webHidden/>
              </w:rPr>
              <w:t>11</w:t>
            </w:r>
            <w:r w:rsidR="00FC3BE0">
              <w:rPr>
                <w:noProof/>
                <w:webHidden/>
              </w:rPr>
              <w:fldChar w:fldCharType="end"/>
            </w:r>
          </w:hyperlink>
        </w:p>
        <w:p w14:paraId="219AE4B6" w14:textId="1ED981A2" w:rsidR="00FC3BE0" w:rsidRDefault="0097332B">
          <w:pPr>
            <w:pStyle w:val="TOC2"/>
            <w:tabs>
              <w:tab w:val="right" w:leader="dot" w:pos="9016"/>
            </w:tabs>
            <w:rPr>
              <w:noProof/>
            </w:rPr>
          </w:pPr>
          <w:hyperlink w:anchor="_Toc108183159" w:history="1">
            <w:r w:rsidR="00FC3BE0" w:rsidRPr="00A83742">
              <w:rPr>
                <w:rStyle w:val="Hyperlink"/>
                <w:noProof/>
              </w:rPr>
              <w:t>The Digital Age Project: Digital Inclusion for Older Social Housing Residents</w:t>
            </w:r>
            <w:r w:rsidR="00FC3BE0">
              <w:rPr>
                <w:noProof/>
                <w:webHidden/>
              </w:rPr>
              <w:tab/>
            </w:r>
            <w:r w:rsidR="00FC3BE0">
              <w:rPr>
                <w:noProof/>
                <w:webHidden/>
              </w:rPr>
              <w:fldChar w:fldCharType="begin"/>
            </w:r>
            <w:r w:rsidR="00FC3BE0">
              <w:rPr>
                <w:noProof/>
                <w:webHidden/>
              </w:rPr>
              <w:instrText xml:space="preserve"> PAGEREF _Toc108183159 \h </w:instrText>
            </w:r>
            <w:r w:rsidR="00FC3BE0">
              <w:rPr>
                <w:noProof/>
                <w:webHidden/>
              </w:rPr>
            </w:r>
            <w:r w:rsidR="00FC3BE0">
              <w:rPr>
                <w:noProof/>
                <w:webHidden/>
              </w:rPr>
              <w:fldChar w:fldCharType="separate"/>
            </w:r>
            <w:r w:rsidR="00FC3BE0">
              <w:rPr>
                <w:noProof/>
                <w:webHidden/>
              </w:rPr>
              <w:t>11</w:t>
            </w:r>
            <w:r w:rsidR="00FC3BE0">
              <w:rPr>
                <w:noProof/>
                <w:webHidden/>
              </w:rPr>
              <w:fldChar w:fldCharType="end"/>
            </w:r>
          </w:hyperlink>
        </w:p>
        <w:p w14:paraId="4E44E711" w14:textId="017959C0" w:rsidR="00FC3BE0" w:rsidRDefault="0097332B">
          <w:pPr>
            <w:pStyle w:val="TOC1"/>
            <w:tabs>
              <w:tab w:val="right" w:leader="dot" w:pos="9016"/>
            </w:tabs>
            <w:rPr>
              <w:noProof/>
            </w:rPr>
          </w:pPr>
          <w:hyperlink w:anchor="_Toc108183160" w:history="1">
            <w:r w:rsidR="00FC3BE0" w:rsidRPr="00A83742">
              <w:rPr>
                <w:rStyle w:val="Hyperlink"/>
                <w:noProof/>
              </w:rPr>
              <w:t>South Australia</w:t>
            </w:r>
            <w:r w:rsidR="00FC3BE0">
              <w:rPr>
                <w:noProof/>
                <w:webHidden/>
              </w:rPr>
              <w:tab/>
            </w:r>
            <w:r w:rsidR="00FC3BE0">
              <w:rPr>
                <w:noProof/>
                <w:webHidden/>
              </w:rPr>
              <w:fldChar w:fldCharType="begin"/>
            </w:r>
            <w:r w:rsidR="00FC3BE0">
              <w:rPr>
                <w:noProof/>
                <w:webHidden/>
              </w:rPr>
              <w:instrText xml:space="preserve"> PAGEREF _Toc108183160 \h </w:instrText>
            </w:r>
            <w:r w:rsidR="00FC3BE0">
              <w:rPr>
                <w:noProof/>
                <w:webHidden/>
              </w:rPr>
            </w:r>
            <w:r w:rsidR="00FC3BE0">
              <w:rPr>
                <w:noProof/>
                <w:webHidden/>
              </w:rPr>
              <w:fldChar w:fldCharType="separate"/>
            </w:r>
            <w:r w:rsidR="00FC3BE0">
              <w:rPr>
                <w:noProof/>
                <w:webHidden/>
              </w:rPr>
              <w:t>12</w:t>
            </w:r>
            <w:r w:rsidR="00FC3BE0">
              <w:rPr>
                <w:noProof/>
                <w:webHidden/>
              </w:rPr>
              <w:fldChar w:fldCharType="end"/>
            </w:r>
          </w:hyperlink>
        </w:p>
        <w:p w14:paraId="446165EB" w14:textId="47EFEF0B" w:rsidR="00FC3BE0" w:rsidRDefault="0097332B">
          <w:pPr>
            <w:pStyle w:val="TOC2"/>
            <w:tabs>
              <w:tab w:val="right" w:leader="dot" w:pos="9016"/>
            </w:tabs>
            <w:rPr>
              <w:noProof/>
            </w:rPr>
          </w:pPr>
          <w:hyperlink w:anchor="_Toc108183161" w:history="1">
            <w:r w:rsidR="00FC3BE0" w:rsidRPr="00A83742">
              <w:rPr>
                <w:rStyle w:val="Hyperlink"/>
                <w:noProof/>
              </w:rPr>
              <w:t>Perpetrator Intervention Pilot: Tackling Domestic Violence, Preventing Homelessness</w:t>
            </w:r>
            <w:r w:rsidR="00FC3BE0">
              <w:rPr>
                <w:noProof/>
                <w:webHidden/>
              </w:rPr>
              <w:tab/>
            </w:r>
            <w:r w:rsidR="00FC3BE0">
              <w:rPr>
                <w:noProof/>
                <w:webHidden/>
              </w:rPr>
              <w:fldChar w:fldCharType="begin"/>
            </w:r>
            <w:r w:rsidR="00FC3BE0">
              <w:rPr>
                <w:noProof/>
                <w:webHidden/>
              </w:rPr>
              <w:instrText xml:space="preserve"> PAGEREF _Toc108183161 \h </w:instrText>
            </w:r>
            <w:r w:rsidR="00FC3BE0">
              <w:rPr>
                <w:noProof/>
                <w:webHidden/>
              </w:rPr>
            </w:r>
            <w:r w:rsidR="00FC3BE0">
              <w:rPr>
                <w:noProof/>
                <w:webHidden/>
              </w:rPr>
              <w:fldChar w:fldCharType="separate"/>
            </w:r>
            <w:r w:rsidR="00FC3BE0">
              <w:rPr>
                <w:noProof/>
                <w:webHidden/>
              </w:rPr>
              <w:t>12</w:t>
            </w:r>
            <w:r w:rsidR="00FC3BE0">
              <w:rPr>
                <w:noProof/>
                <w:webHidden/>
              </w:rPr>
              <w:fldChar w:fldCharType="end"/>
            </w:r>
          </w:hyperlink>
        </w:p>
        <w:p w14:paraId="678FD40A" w14:textId="07754E0E" w:rsidR="00FC3BE0" w:rsidRDefault="0097332B">
          <w:pPr>
            <w:pStyle w:val="TOC1"/>
            <w:tabs>
              <w:tab w:val="right" w:leader="dot" w:pos="9016"/>
            </w:tabs>
            <w:rPr>
              <w:noProof/>
            </w:rPr>
          </w:pPr>
          <w:hyperlink w:anchor="_Toc108183162" w:history="1">
            <w:r w:rsidR="00FC3BE0" w:rsidRPr="00A83742">
              <w:rPr>
                <w:rStyle w:val="Hyperlink"/>
                <w:noProof/>
              </w:rPr>
              <w:t>National Programs</w:t>
            </w:r>
            <w:r w:rsidR="00FC3BE0">
              <w:rPr>
                <w:noProof/>
                <w:webHidden/>
              </w:rPr>
              <w:tab/>
            </w:r>
            <w:r w:rsidR="00FC3BE0">
              <w:rPr>
                <w:noProof/>
                <w:webHidden/>
              </w:rPr>
              <w:fldChar w:fldCharType="begin"/>
            </w:r>
            <w:r w:rsidR="00FC3BE0">
              <w:rPr>
                <w:noProof/>
                <w:webHidden/>
              </w:rPr>
              <w:instrText xml:space="preserve"> PAGEREF _Toc108183162 \h </w:instrText>
            </w:r>
            <w:r w:rsidR="00FC3BE0">
              <w:rPr>
                <w:noProof/>
                <w:webHidden/>
              </w:rPr>
            </w:r>
            <w:r w:rsidR="00FC3BE0">
              <w:rPr>
                <w:noProof/>
                <w:webHidden/>
              </w:rPr>
              <w:fldChar w:fldCharType="separate"/>
            </w:r>
            <w:r w:rsidR="00FC3BE0">
              <w:rPr>
                <w:noProof/>
                <w:webHidden/>
              </w:rPr>
              <w:t>13</w:t>
            </w:r>
            <w:r w:rsidR="00FC3BE0">
              <w:rPr>
                <w:noProof/>
                <w:webHidden/>
              </w:rPr>
              <w:fldChar w:fldCharType="end"/>
            </w:r>
          </w:hyperlink>
        </w:p>
        <w:p w14:paraId="13C68483" w14:textId="4A71F4DD" w:rsidR="00FC3BE0" w:rsidRDefault="0097332B">
          <w:pPr>
            <w:pStyle w:val="TOC2"/>
            <w:tabs>
              <w:tab w:val="right" w:leader="dot" w:pos="9016"/>
            </w:tabs>
            <w:rPr>
              <w:noProof/>
            </w:rPr>
          </w:pPr>
          <w:hyperlink w:anchor="_Toc108183163" w:history="1">
            <w:r w:rsidR="00FC3BE0" w:rsidRPr="00A83742">
              <w:rPr>
                <w:rStyle w:val="Hyperlink"/>
                <w:noProof/>
              </w:rPr>
              <w:t>Angel Next Door: Digital Crowdsourcing App to Connect Neighbours in Need</w:t>
            </w:r>
            <w:r w:rsidR="00FC3BE0">
              <w:rPr>
                <w:noProof/>
                <w:webHidden/>
              </w:rPr>
              <w:tab/>
            </w:r>
            <w:r w:rsidR="00FC3BE0">
              <w:rPr>
                <w:noProof/>
                <w:webHidden/>
              </w:rPr>
              <w:fldChar w:fldCharType="begin"/>
            </w:r>
            <w:r w:rsidR="00FC3BE0">
              <w:rPr>
                <w:noProof/>
                <w:webHidden/>
              </w:rPr>
              <w:instrText xml:space="preserve"> PAGEREF _Toc108183163 \h </w:instrText>
            </w:r>
            <w:r w:rsidR="00FC3BE0">
              <w:rPr>
                <w:noProof/>
                <w:webHidden/>
              </w:rPr>
            </w:r>
            <w:r w:rsidR="00FC3BE0">
              <w:rPr>
                <w:noProof/>
                <w:webHidden/>
              </w:rPr>
              <w:fldChar w:fldCharType="separate"/>
            </w:r>
            <w:r w:rsidR="00FC3BE0">
              <w:rPr>
                <w:noProof/>
                <w:webHidden/>
              </w:rPr>
              <w:t>13</w:t>
            </w:r>
            <w:r w:rsidR="00FC3BE0">
              <w:rPr>
                <w:noProof/>
                <w:webHidden/>
              </w:rPr>
              <w:fldChar w:fldCharType="end"/>
            </w:r>
          </w:hyperlink>
        </w:p>
        <w:p w14:paraId="41D65940" w14:textId="6CC159D9" w:rsidR="00FC3BE0" w:rsidRDefault="0097332B">
          <w:pPr>
            <w:pStyle w:val="TOC2"/>
            <w:tabs>
              <w:tab w:val="right" w:leader="dot" w:pos="9016"/>
            </w:tabs>
            <w:rPr>
              <w:noProof/>
            </w:rPr>
          </w:pPr>
          <w:hyperlink w:anchor="_Toc108183164" w:history="1">
            <w:r w:rsidR="00FC3BE0" w:rsidRPr="00A83742">
              <w:rPr>
                <w:rStyle w:val="Hyperlink"/>
                <w:noProof/>
              </w:rPr>
              <w:t>Australian Indigenous Mentoring Experience (AIME)</w:t>
            </w:r>
            <w:r w:rsidR="00FC3BE0">
              <w:rPr>
                <w:noProof/>
                <w:webHidden/>
              </w:rPr>
              <w:tab/>
            </w:r>
            <w:r w:rsidR="00FC3BE0">
              <w:rPr>
                <w:noProof/>
                <w:webHidden/>
              </w:rPr>
              <w:fldChar w:fldCharType="begin"/>
            </w:r>
            <w:r w:rsidR="00FC3BE0">
              <w:rPr>
                <w:noProof/>
                <w:webHidden/>
              </w:rPr>
              <w:instrText xml:space="preserve"> PAGEREF _Toc108183164 \h </w:instrText>
            </w:r>
            <w:r w:rsidR="00FC3BE0">
              <w:rPr>
                <w:noProof/>
                <w:webHidden/>
              </w:rPr>
            </w:r>
            <w:r w:rsidR="00FC3BE0">
              <w:rPr>
                <w:noProof/>
                <w:webHidden/>
              </w:rPr>
              <w:fldChar w:fldCharType="separate"/>
            </w:r>
            <w:r w:rsidR="00FC3BE0">
              <w:rPr>
                <w:noProof/>
                <w:webHidden/>
              </w:rPr>
              <w:t>13</w:t>
            </w:r>
            <w:r w:rsidR="00FC3BE0">
              <w:rPr>
                <w:noProof/>
                <w:webHidden/>
              </w:rPr>
              <w:fldChar w:fldCharType="end"/>
            </w:r>
          </w:hyperlink>
        </w:p>
        <w:p w14:paraId="572AC6EA" w14:textId="44582E59" w:rsidR="00FC3BE0" w:rsidRDefault="0097332B">
          <w:pPr>
            <w:pStyle w:val="TOC1"/>
            <w:tabs>
              <w:tab w:val="right" w:leader="dot" w:pos="9016"/>
            </w:tabs>
            <w:rPr>
              <w:noProof/>
            </w:rPr>
          </w:pPr>
          <w:hyperlink w:anchor="_Toc108183165" w:history="1">
            <w:r w:rsidR="00FC3BE0" w:rsidRPr="00A83742">
              <w:rPr>
                <w:rStyle w:val="Hyperlink"/>
                <w:noProof/>
              </w:rPr>
              <w:t>International Case Studies</w:t>
            </w:r>
            <w:r w:rsidR="00FC3BE0">
              <w:rPr>
                <w:noProof/>
                <w:webHidden/>
              </w:rPr>
              <w:tab/>
            </w:r>
            <w:r w:rsidR="00FC3BE0">
              <w:rPr>
                <w:noProof/>
                <w:webHidden/>
              </w:rPr>
              <w:fldChar w:fldCharType="begin"/>
            </w:r>
            <w:r w:rsidR="00FC3BE0">
              <w:rPr>
                <w:noProof/>
                <w:webHidden/>
              </w:rPr>
              <w:instrText xml:space="preserve"> PAGEREF _Toc108183165 \h </w:instrText>
            </w:r>
            <w:r w:rsidR="00FC3BE0">
              <w:rPr>
                <w:noProof/>
                <w:webHidden/>
              </w:rPr>
            </w:r>
            <w:r w:rsidR="00FC3BE0">
              <w:rPr>
                <w:noProof/>
                <w:webHidden/>
              </w:rPr>
              <w:fldChar w:fldCharType="separate"/>
            </w:r>
            <w:r w:rsidR="00FC3BE0">
              <w:rPr>
                <w:noProof/>
                <w:webHidden/>
              </w:rPr>
              <w:t>14</w:t>
            </w:r>
            <w:r w:rsidR="00FC3BE0">
              <w:rPr>
                <w:noProof/>
                <w:webHidden/>
              </w:rPr>
              <w:fldChar w:fldCharType="end"/>
            </w:r>
          </w:hyperlink>
        </w:p>
        <w:p w14:paraId="1F1DD09B" w14:textId="6967F47E" w:rsidR="00FC3BE0" w:rsidRDefault="0097332B">
          <w:pPr>
            <w:pStyle w:val="TOC2"/>
            <w:tabs>
              <w:tab w:val="right" w:leader="dot" w:pos="9016"/>
            </w:tabs>
            <w:rPr>
              <w:noProof/>
            </w:rPr>
          </w:pPr>
          <w:hyperlink w:anchor="_Toc108183166" w:history="1">
            <w:r w:rsidR="00FC3BE0" w:rsidRPr="00A83742">
              <w:rPr>
                <w:rStyle w:val="Hyperlink"/>
                <w:noProof/>
              </w:rPr>
              <w:t>Best Babies Zone: Place-based Multisector Program to Reduce Health Inequalities</w:t>
            </w:r>
            <w:r w:rsidR="00FC3BE0">
              <w:rPr>
                <w:noProof/>
                <w:webHidden/>
              </w:rPr>
              <w:tab/>
            </w:r>
            <w:r w:rsidR="00FC3BE0">
              <w:rPr>
                <w:noProof/>
                <w:webHidden/>
              </w:rPr>
              <w:fldChar w:fldCharType="begin"/>
            </w:r>
            <w:r w:rsidR="00FC3BE0">
              <w:rPr>
                <w:noProof/>
                <w:webHidden/>
              </w:rPr>
              <w:instrText xml:space="preserve"> PAGEREF _Toc108183166 \h </w:instrText>
            </w:r>
            <w:r w:rsidR="00FC3BE0">
              <w:rPr>
                <w:noProof/>
                <w:webHidden/>
              </w:rPr>
            </w:r>
            <w:r w:rsidR="00FC3BE0">
              <w:rPr>
                <w:noProof/>
                <w:webHidden/>
              </w:rPr>
              <w:fldChar w:fldCharType="separate"/>
            </w:r>
            <w:r w:rsidR="00FC3BE0">
              <w:rPr>
                <w:noProof/>
                <w:webHidden/>
              </w:rPr>
              <w:t>14</w:t>
            </w:r>
            <w:r w:rsidR="00FC3BE0">
              <w:rPr>
                <w:noProof/>
                <w:webHidden/>
              </w:rPr>
              <w:fldChar w:fldCharType="end"/>
            </w:r>
          </w:hyperlink>
        </w:p>
        <w:p w14:paraId="55D89CBB" w14:textId="3E9C3D3E" w:rsidR="00FC3BE0" w:rsidRDefault="0097332B">
          <w:pPr>
            <w:pStyle w:val="TOC2"/>
            <w:tabs>
              <w:tab w:val="right" w:leader="dot" w:pos="9016"/>
            </w:tabs>
            <w:rPr>
              <w:noProof/>
            </w:rPr>
          </w:pPr>
          <w:hyperlink w:anchor="_Toc108183167" w:history="1">
            <w:r w:rsidR="00FC3BE0" w:rsidRPr="00A83742">
              <w:rPr>
                <w:rStyle w:val="Hyperlink"/>
                <w:noProof/>
              </w:rPr>
              <w:t>Sustainable South Bronx Project: Urban Greening, Training, and Local Job Creation</w:t>
            </w:r>
            <w:r w:rsidR="00FC3BE0">
              <w:rPr>
                <w:noProof/>
                <w:webHidden/>
              </w:rPr>
              <w:tab/>
            </w:r>
            <w:r w:rsidR="00FC3BE0">
              <w:rPr>
                <w:noProof/>
                <w:webHidden/>
              </w:rPr>
              <w:fldChar w:fldCharType="begin"/>
            </w:r>
            <w:r w:rsidR="00FC3BE0">
              <w:rPr>
                <w:noProof/>
                <w:webHidden/>
              </w:rPr>
              <w:instrText xml:space="preserve"> PAGEREF _Toc108183167 \h </w:instrText>
            </w:r>
            <w:r w:rsidR="00FC3BE0">
              <w:rPr>
                <w:noProof/>
                <w:webHidden/>
              </w:rPr>
            </w:r>
            <w:r w:rsidR="00FC3BE0">
              <w:rPr>
                <w:noProof/>
                <w:webHidden/>
              </w:rPr>
              <w:fldChar w:fldCharType="separate"/>
            </w:r>
            <w:r w:rsidR="00FC3BE0">
              <w:rPr>
                <w:noProof/>
                <w:webHidden/>
              </w:rPr>
              <w:t>15</w:t>
            </w:r>
            <w:r w:rsidR="00FC3BE0">
              <w:rPr>
                <w:noProof/>
                <w:webHidden/>
              </w:rPr>
              <w:fldChar w:fldCharType="end"/>
            </w:r>
          </w:hyperlink>
        </w:p>
        <w:p w14:paraId="72018447" w14:textId="40CB139A" w:rsidR="00FC3BE0" w:rsidRDefault="0097332B">
          <w:pPr>
            <w:pStyle w:val="TOC2"/>
            <w:tabs>
              <w:tab w:val="right" w:leader="dot" w:pos="9016"/>
            </w:tabs>
            <w:rPr>
              <w:noProof/>
            </w:rPr>
          </w:pPr>
          <w:hyperlink w:anchor="_Toc108183168" w:history="1">
            <w:r w:rsidR="00FC3BE0" w:rsidRPr="00A83742">
              <w:rPr>
                <w:rStyle w:val="Hyperlink"/>
                <w:noProof/>
              </w:rPr>
              <w:t>Detroit City of Design Competition: Design Prototypes for Safe, Walkable</w:t>
            </w:r>
            <w:r w:rsidR="00FC3BE0" w:rsidRPr="00A83742">
              <w:rPr>
                <w:rStyle w:val="Hyperlink"/>
                <w:rFonts w:cstheme="minorHAnsi"/>
                <w:noProof/>
              </w:rPr>
              <w:t xml:space="preserve"> </w:t>
            </w:r>
            <w:r w:rsidR="00FC3BE0" w:rsidRPr="00A83742">
              <w:rPr>
                <w:rStyle w:val="Hyperlink"/>
                <w:noProof/>
              </w:rPr>
              <w:t>Neighbourhoods</w:t>
            </w:r>
            <w:r w:rsidR="00FC3BE0">
              <w:rPr>
                <w:noProof/>
                <w:webHidden/>
              </w:rPr>
              <w:tab/>
            </w:r>
            <w:r w:rsidR="00FC3BE0">
              <w:rPr>
                <w:noProof/>
                <w:webHidden/>
              </w:rPr>
              <w:fldChar w:fldCharType="begin"/>
            </w:r>
            <w:r w:rsidR="00FC3BE0">
              <w:rPr>
                <w:noProof/>
                <w:webHidden/>
              </w:rPr>
              <w:instrText xml:space="preserve"> PAGEREF _Toc108183168 \h </w:instrText>
            </w:r>
            <w:r w:rsidR="00FC3BE0">
              <w:rPr>
                <w:noProof/>
                <w:webHidden/>
              </w:rPr>
            </w:r>
            <w:r w:rsidR="00FC3BE0">
              <w:rPr>
                <w:noProof/>
                <w:webHidden/>
              </w:rPr>
              <w:fldChar w:fldCharType="separate"/>
            </w:r>
            <w:r w:rsidR="00FC3BE0">
              <w:rPr>
                <w:noProof/>
                <w:webHidden/>
              </w:rPr>
              <w:t>16</w:t>
            </w:r>
            <w:r w:rsidR="00FC3BE0">
              <w:rPr>
                <w:noProof/>
                <w:webHidden/>
              </w:rPr>
              <w:fldChar w:fldCharType="end"/>
            </w:r>
          </w:hyperlink>
        </w:p>
        <w:p w14:paraId="3F3C8989" w14:textId="4791012A" w:rsidR="00FC3BE0" w:rsidRDefault="0097332B">
          <w:pPr>
            <w:pStyle w:val="TOC2"/>
            <w:tabs>
              <w:tab w:val="right" w:leader="dot" w:pos="9016"/>
            </w:tabs>
            <w:rPr>
              <w:noProof/>
            </w:rPr>
          </w:pPr>
          <w:hyperlink w:anchor="_Toc108183169" w:history="1">
            <w:r w:rsidR="00FC3BE0" w:rsidRPr="00A83742">
              <w:rPr>
                <w:rStyle w:val="Hyperlink"/>
                <w:noProof/>
              </w:rPr>
              <w:t>Festival of Neighbourhoods: Urban Regeneration Through Neighbourhood Collaboration</w:t>
            </w:r>
            <w:r w:rsidR="00FC3BE0">
              <w:rPr>
                <w:noProof/>
                <w:webHidden/>
              </w:rPr>
              <w:tab/>
            </w:r>
            <w:r w:rsidR="00FC3BE0">
              <w:rPr>
                <w:noProof/>
                <w:webHidden/>
              </w:rPr>
              <w:fldChar w:fldCharType="begin"/>
            </w:r>
            <w:r w:rsidR="00FC3BE0">
              <w:rPr>
                <w:noProof/>
                <w:webHidden/>
              </w:rPr>
              <w:instrText xml:space="preserve"> PAGEREF _Toc108183169 \h </w:instrText>
            </w:r>
            <w:r w:rsidR="00FC3BE0">
              <w:rPr>
                <w:noProof/>
                <w:webHidden/>
              </w:rPr>
            </w:r>
            <w:r w:rsidR="00FC3BE0">
              <w:rPr>
                <w:noProof/>
                <w:webHidden/>
              </w:rPr>
              <w:fldChar w:fldCharType="separate"/>
            </w:r>
            <w:r w:rsidR="00FC3BE0">
              <w:rPr>
                <w:noProof/>
                <w:webHidden/>
              </w:rPr>
              <w:t>18</w:t>
            </w:r>
            <w:r w:rsidR="00FC3BE0">
              <w:rPr>
                <w:noProof/>
                <w:webHidden/>
              </w:rPr>
              <w:fldChar w:fldCharType="end"/>
            </w:r>
          </w:hyperlink>
        </w:p>
        <w:p w14:paraId="10751C6C" w14:textId="44C3BA25" w:rsidR="00FC3BE0" w:rsidRDefault="0097332B">
          <w:pPr>
            <w:pStyle w:val="TOC2"/>
            <w:tabs>
              <w:tab w:val="right" w:leader="dot" w:pos="9016"/>
            </w:tabs>
            <w:rPr>
              <w:noProof/>
            </w:rPr>
          </w:pPr>
          <w:hyperlink w:anchor="_Toc108183170" w:history="1">
            <w:r w:rsidR="00FC3BE0" w:rsidRPr="00A83742">
              <w:rPr>
                <w:rStyle w:val="Hyperlink"/>
                <w:noProof/>
              </w:rPr>
              <w:t>The Broomhill Project: Arts-led Community Regeneration and Public Housing Upgrade</w:t>
            </w:r>
            <w:r w:rsidR="00FC3BE0">
              <w:rPr>
                <w:noProof/>
                <w:webHidden/>
              </w:rPr>
              <w:tab/>
            </w:r>
            <w:r w:rsidR="00FC3BE0">
              <w:rPr>
                <w:noProof/>
                <w:webHidden/>
              </w:rPr>
              <w:fldChar w:fldCharType="begin"/>
            </w:r>
            <w:r w:rsidR="00FC3BE0">
              <w:rPr>
                <w:noProof/>
                <w:webHidden/>
              </w:rPr>
              <w:instrText xml:space="preserve"> PAGEREF _Toc108183170 \h </w:instrText>
            </w:r>
            <w:r w:rsidR="00FC3BE0">
              <w:rPr>
                <w:noProof/>
                <w:webHidden/>
              </w:rPr>
            </w:r>
            <w:r w:rsidR="00FC3BE0">
              <w:rPr>
                <w:noProof/>
                <w:webHidden/>
              </w:rPr>
              <w:fldChar w:fldCharType="separate"/>
            </w:r>
            <w:r w:rsidR="00FC3BE0">
              <w:rPr>
                <w:noProof/>
                <w:webHidden/>
              </w:rPr>
              <w:t>19</w:t>
            </w:r>
            <w:r w:rsidR="00FC3BE0">
              <w:rPr>
                <w:noProof/>
                <w:webHidden/>
              </w:rPr>
              <w:fldChar w:fldCharType="end"/>
            </w:r>
          </w:hyperlink>
        </w:p>
        <w:p w14:paraId="77D011EE" w14:textId="6E7305F5" w:rsidR="00FC3BE0" w:rsidRDefault="0097332B">
          <w:pPr>
            <w:pStyle w:val="TOC2"/>
            <w:tabs>
              <w:tab w:val="right" w:leader="dot" w:pos="9016"/>
            </w:tabs>
            <w:rPr>
              <w:noProof/>
            </w:rPr>
          </w:pPr>
          <w:hyperlink w:anchor="_Toc108183171" w:history="1">
            <w:r w:rsidR="00FC3BE0" w:rsidRPr="00A83742">
              <w:rPr>
                <w:rStyle w:val="Hyperlink"/>
                <w:noProof/>
              </w:rPr>
              <w:t>My Community Matters: Asset-based Community Development Tackling Health Inequalities</w:t>
            </w:r>
            <w:r w:rsidR="00FC3BE0">
              <w:rPr>
                <w:noProof/>
                <w:webHidden/>
              </w:rPr>
              <w:tab/>
            </w:r>
            <w:r w:rsidR="00FC3BE0">
              <w:rPr>
                <w:noProof/>
                <w:webHidden/>
              </w:rPr>
              <w:fldChar w:fldCharType="begin"/>
            </w:r>
            <w:r w:rsidR="00FC3BE0">
              <w:rPr>
                <w:noProof/>
                <w:webHidden/>
              </w:rPr>
              <w:instrText xml:space="preserve"> PAGEREF _Toc108183171 \h </w:instrText>
            </w:r>
            <w:r w:rsidR="00FC3BE0">
              <w:rPr>
                <w:noProof/>
                <w:webHidden/>
              </w:rPr>
            </w:r>
            <w:r w:rsidR="00FC3BE0">
              <w:rPr>
                <w:noProof/>
                <w:webHidden/>
              </w:rPr>
              <w:fldChar w:fldCharType="separate"/>
            </w:r>
            <w:r w:rsidR="00FC3BE0">
              <w:rPr>
                <w:noProof/>
                <w:webHidden/>
              </w:rPr>
              <w:t>20</w:t>
            </w:r>
            <w:r w:rsidR="00FC3BE0">
              <w:rPr>
                <w:noProof/>
                <w:webHidden/>
              </w:rPr>
              <w:fldChar w:fldCharType="end"/>
            </w:r>
          </w:hyperlink>
        </w:p>
        <w:p w14:paraId="044CC83B" w14:textId="38C1A849" w:rsidR="00FC3BE0" w:rsidRDefault="0097332B">
          <w:pPr>
            <w:pStyle w:val="TOC2"/>
            <w:tabs>
              <w:tab w:val="right" w:leader="dot" w:pos="9016"/>
            </w:tabs>
            <w:rPr>
              <w:noProof/>
            </w:rPr>
          </w:pPr>
          <w:hyperlink w:anchor="_Toc108183172" w:history="1">
            <w:r w:rsidR="00FC3BE0" w:rsidRPr="00A83742">
              <w:rPr>
                <w:rStyle w:val="Hyperlink"/>
                <w:noProof/>
              </w:rPr>
              <w:t>The Skip Garden and Kitchen, Story Garden, Paper Garden:</w:t>
            </w:r>
            <w:r w:rsidR="00FC3BE0">
              <w:rPr>
                <w:noProof/>
                <w:webHidden/>
              </w:rPr>
              <w:tab/>
            </w:r>
            <w:r w:rsidR="00FC3BE0">
              <w:rPr>
                <w:noProof/>
                <w:webHidden/>
              </w:rPr>
              <w:fldChar w:fldCharType="begin"/>
            </w:r>
            <w:r w:rsidR="00FC3BE0">
              <w:rPr>
                <w:noProof/>
                <w:webHidden/>
              </w:rPr>
              <w:instrText xml:space="preserve"> PAGEREF _Toc108183172 \h </w:instrText>
            </w:r>
            <w:r w:rsidR="00FC3BE0">
              <w:rPr>
                <w:noProof/>
                <w:webHidden/>
              </w:rPr>
            </w:r>
            <w:r w:rsidR="00FC3BE0">
              <w:rPr>
                <w:noProof/>
                <w:webHidden/>
              </w:rPr>
              <w:fldChar w:fldCharType="separate"/>
            </w:r>
            <w:r w:rsidR="00FC3BE0">
              <w:rPr>
                <w:noProof/>
                <w:webHidden/>
              </w:rPr>
              <w:t>21</w:t>
            </w:r>
            <w:r w:rsidR="00FC3BE0">
              <w:rPr>
                <w:noProof/>
                <w:webHidden/>
              </w:rPr>
              <w:fldChar w:fldCharType="end"/>
            </w:r>
          </w:hyperlink>
        </w:p>
        <w:p w14:paraId="10AA4126" w14:textId="58352E9B" w:rsidR="00FC3BE0" w:rsidRDefault="0097332B">
          <w:pPr>
            <w:pStyle w:val="TOC2"/>
            <w:tabs>
              <w:tab w:val="right" w:leader="dot" w:pos="9016"/>
            </w:tabs>
            <w:rPr>
              <w:noProof/>
            </w:rPr>
          </w:pPr>
          <w:hyperlink w:anchor="_Toc108183173" w:history="1">
            <w:r w:rsidR="00FC3BE0" w:rsidRPr="00A83742">
              <w:rPr>
                <w:rStyle w:val="Hyperlink"/>
                <w:noProof/>
              </w:rPr>
              <w:t>Community Gardens for Learning, Health, and Social Inclusion</w:t>
            </w:r>
            <w:r w:rsidR="00FC3BE0">
              <w:rPr>
                <w:noProof/>
                <w:webHidden/>
              </w:rPr>
              <w:tab/>
            </w:r>
            <w:r w:rsidR="00FC3BE0">
              <w:rPr>
                <w:noProof/>
                <w:webHidden/>
              </w:rPr>
              <w:fldChar w:fldCharType="begin"/>
            </w:r>
            <w:r w:rsidR="00FC3BE0">
              <w:rPr>
                <w:noProof/>
                <w:webHidden/>
              </w:rPr>
              <w:instrText xml:space="preserve"> PAGEREF _Toc108183173 \h </w:instrText>
            </w:r>
            <w:r w:rsidR="00FC3BE0">
              <w:rPr>
                <w:noProof/>
                <w:webHidden/>
              </w:rPr>
            </w:r>
            <w:r w:rsidR="00FC3BE0">
              <w:rPr>
                <w:noProof/>
                <w:webHidden/>
              </w:rPr>
              <w:fldChar w:fldCharType="separate"/>
            </w:r>
            <w:r w:rsidR="00FC3BE0">
              <w:rPr>
                <w:noProof/>
                <w:webHidden/>
              </w:rPr>
              <w:t>21</w:t>
            </w:r>
            <w:r w:rsidR="00FC3BE0">
              <w:rPr>
                <w:noProof/>
                <w:webHidden/>
              </w:rPr>
              <w:fldChar w:fldCharType="end"/>
            </w:r>
          </w:hyperlink>
        </w:p>
        <w:p w14:paraId="6E920DBE" w14:textId="2B94862E" w:rsidR="00FC3BE0" w:rsidRDefault="0097332B">
          <w:pPr>
            <w:pStyle w:val="TOC2"/>
            <w:tabs>
              <w:tab w:val="right" w:leader="dot" w:pos="9016"/>
            </w:tabs>
            <w:rPr>
              <w:noProof/>
            </w:rPr>
          </w:pPr>
          <w:hyperlink w:anchor="_Toc108183174" w:history="1">
            <w:r w:rsidR="00FC3BE0" w:rsidRPr="00A83742">
              <w:rPr>
                <w:rStyle w:val="Hyperlink"/>
                <w:noProof/>
              </w:rPr>
              <w:t>Nourishing Landscapes: Urban Gardens for Food Security</w:t>
            </w:r>
            <w:r w:rsidR="00FC3BE0">
              <w:rPr>
                <w:noProof/>
                <w:webHidden/>
              </w:rPr>
              <w:tab/>
            </w:r>
            <w:r w:rsidR="00FC3BE0">
              <w:rPr>
                <w:noProof/>
                <w:webHidden/>
              </w:rPr>
              <w:fldChar w:fldCharType="begin"/>
            </w:r>
            <w:r w:rsidR="00FC3BE0">
              <w:rPr>
                <w:noProof/>
                <w:webHidden/>
              </w:rPr>
              <w:instrText xml:space="preserve"> PAGEREF _Toc108183174 \h </w:instrText>
            </w:r>
            <w:r w:rsidR="00FC3BE0">
              <w:rPr>
                <w:noProof/>
                <w:webHidden/>
              </w:rPr>
            </w:r>
            <w:r w:rsidR="00FC3BE0">
              <w:rPr>
                <w:noProof/>
                <w:webHidden/>
              </w:rPr>
              <w:fldChar w:fldCharType="separate"/>
            </w:r>
            <w:r w:rsidR="00FC3BE0">
              <w:rPr>
                <w:noProof/>
                <w:webHidden/>
              </w:rPr>
              <w:t>23</w:t>
            </w:r>
            <w:r w:rsidR="00FC3BE0">
              <w:rPr>
                <w:noProof/>
                <w:webHidden/>
              </w:rPr>
              <w:fldChar w:fldCharType="end"/>
            </w:r>
          </w:hyperlink>
        </w:p>
        <w:p w14:paraId="7426220A" w14:textId="3801AF6A" w:rsidR="00FC3BE0" w:rsidRDefault="0097332B">
          <w:pPr>
            <w:pStyle w:val="TOC2"/>
            <w:tabs>
              <w:tab w:val="right" w:leader="dot" w:pos="9016"/>
            </w:tabs>
            <w:rPr>
              <w:noProof/>
            </w:rPr>
          </w:pPr>
          <w:hyperlink w:anchor="_Toc108183175" w:history="1">
            <w:r w:rsidR="00FC3BE0" w:rsidRPr="00A83742">
              <w:rPr>
                <w:rStyle w:val="Hyperlink"/>
                <w:noProof/>
              </w:rPr>
              <w:t>Oslo Living Lab: Green Jobs Training and Placemaking For At-Risk Youth</w:t>
            </w:r>
            <w:r w:rsidR="00FC3BE0">
              <w:rPr>
                <w:noProof/>
                <w:webHidden/>
              </w:rPr>
              <w:tab/>
            </w:r>
            <w:r w:rsidR="00FC3BE0">
              <w:rPr>
                <w:noProof/>
                <w:webHidden/>
              </w:rPr>
              <w:fldChar w:fldCharType="begin"/>
            </w:r>
            <w:r w:rsidR="00FC3BE0">
              <w:rPr>
                <w:noProof/>
                <w:webHidden/>
              </w:rPr>
              <w:instrText xml:space="preserve"> PAGEREF _Toc108183175 \h </w:instrText>
            </w:r>
            <w:r w:rsidR="00FC3BE0">
              <w:rPr>
                <w:noProof/>
                <w:webHidden/>
              </w:rPr>
            </w:r>
            <w:r w:rsidR="00FC3BE0">
              <w:rPr>
                <w:noProof/>
                <w:webHidden/>
              </w:rPr>
              <w:fldChar w:fldCharType="separate"/>
            </w:r>
            <w:r w:rsidR="00FC3BE0">
              <w:rPr>
                <w:noProof/>
                <w:webHidden/>
              </w:rPr>
              <w:t>24</w:t>
            </w:r>
            <w:r w:rsidR="00FC3BE0">
              <w:rPr>
                <w:noProof/>
                <w:webHidden/>
              </w:rPr>
              <w:fldChar w:fldCharType="end"/>
            </w:r>
          </w:hyperlink>
        </w:p>
        <w:p w14:paraId="75F4C8C0" w14:textId="7DA50148" w:rsidR="00FC3BE0" w:rsidRDefault="0097332B">
          <w:pPr>
            <w:pStyle w:val="TOC2"/>
            <w:tabs>
              <w:tab w:val="right" w:leader="dot" w:pos="9016"/>
            </w:tabs>
            <w:rPr>
              <w:noProof/>
            </w:rPr>
          </w:pPr>
          <w:hyperlink w:anchor="_Toc108183176" w:history="1">
            <w:r w:rsidR="00FC3BE0" w:rsidRPr="00A83742">
              <w:rPr>
                <w:rStyle w:val="Hyperlink"/>
                <w:noProof/>
              </w:rPr>
              <w:t>We Design for Life: Design-Led Policy Development and Participatory Urban Regeneration</w:t>
            </w:r>
            <w:r w:rsidR="00FC3BE0">
              <w:rPr>
                <w:noProof/>
                <w:webHidden/>
              </w:rPr>
              <w:tab/>
            </w:r>
            <w:r w:rsidR="00FC3BE0">
              <w:rPr>
                <w:noProof/>
                <w:webHidden/>
              </w:rPr>
              <w:fldChar w:fldCharType="begin"/>
            </w:r>
            <w:r w:rsidR="00FC3BE0">
              <w:rPr>
                <w:noProof/>
                <w:webHidden/>
              </w:rPr>
              <w:instrText xml:space="preserve"> PAGEREF _Toc108183176 \h </w:instrText>
            </w:r>
            <w:r w:rsidR="00FC3BE0">
              <w:rPr>
                <w:noProof/>
                <w:webHidden/>
              </w:rPr>
            </w:r>
            <w:r w:rsidR="00FC3BE0">
              <w:rPr>
                <w:noProof/>
                <w:webHidden/>
              </w:rPr>
              <w:fldChar w:fldCharType="separate"/>
            </w:r>
            <w:r w:rsidR="00FC3BE0">
              <w:rPr>
                <w:noProof/>
                <w:webHidden/>
              </w:rPr>
              <w:t>25</w:t>
            </w:r>
            <w:r w:rsidR="00FC3BE0">
              <w:rPr>
                <w:noProof/>
                <w:webHidden/>
              </w:rPr>
              <w:fldChar w:fldCharType="end"/>
            </w:r>
          </w:hyperlink>
        </w:p>
        <w:p w14:paraId="4AC655FA" w14:textId="30C99465" w:rsidR="00FC3BE0" w:rsidRDefault="0097332B">
          <w:pPr>
            <w:pStyle w:val="TOC2"/>
            <w:tabs>
              <w:tab w:val="right" w:leader="dot" w:pos="9016"/>
            </w:tabs>
            <w:rPr>
              <w:noProof/>
            </w:rPr>
          </w:pPr>
          <w:hyperlink w:anchor="_Toc108183177" w:history="1">
            <w:r w:rsidR="00FC3BE0" w:rsidRPr="00A83742">
              <w:rPr>
                <w:rStyle w:val="Hyperlink"/>
                <w:noProof/>
              </w:rPr>
              <w:t>All Right? Community-Led Mental Health Initiative For Disaster Recovery</w:t>
            </w:r>
            <w:r w:rsidR="00FC3BE0">
              <w:rPr>
                <w:noProof/>
                <w:webHidden/>
              </w:rPr>
              <w:tab/>
            </w:r>
            <w:r w:rsidR="00FC3BE0">
              <w:rPr>
                <w:noProof/>
                <w:webHidden/>
              </w:rPr>
              <w:fldChar w:fldCharType="begin"/>
            </w:r>
            <w:r w:rsidR="00FC3BE0">
              <w:rPr>
                <w:noProof/>
                <w:webHidden/>
              </w:rPr>
              <w:instrText xml:space="preserve"> PAGEREF _Toc108183177 \h </w:instrText>
            </w:r>
            <w:r w:rsidR="00FC3BE0">
              <w:rPr>
                <w:noProof/>
                <w:webHidden/>
              </w:rPr>
            </w:r>
            <w:r w:rsidR="00FC3BE0">
              <w:rPr>
                <w:noProof/>
                <w:webHidden/>
              </w:rPr>
              <w:fldChar w:fldCharType="separate"/>
            </w:r>
            <w:r w:rsidR="00FC3BE0">
              <w:rPr>
                <w:noProof/>
                <w:webHidden/>
              </w:rPr>
              <w:t>27</w:t>
            </w:r>
            <w:r w:rsidR="00FC3BE0">
              <w:rPr>
                <w:noProof/>
                <w:webHidden/>
              </w:rPr>
              <w:fldChar w:fldCharType="end"/>
            </w:r>
          </w:hyperlink>
        </w:p>
        <w:p w14:paraId="61685266" w14:textId="1C320BA2" w:rsidR="00FC3BE0" w:rsidRDefault="00FC3BE0">
          <w:r>
            <w:rPr>
              <w:b/>
              <w:bCs/>
              <w:noProof/>
            </w:rPr>
            <w:fldChar w:fldCharType="end"/>
          </w:r>
        </w:p>
      </w:sdtContent>
    </w:sdt>
    <w:p w14:paraId="591BF562" w14:textId="77777777" w:rsidR="00FC3BE0" w:rsidRPr="00FC3BE0" w:rsidRDefault="00FC3BE0" w:rsidP="00FC3BE0">
      <w:pPr>
        <w:rPr>
          <w:lang w:eastAsia="en-GB"/>
        </w:rPr>
      </w:pPr>
    </w:p>
    <w:p w14:paraId="2CA2D500" w14:textId="34F203D9" w:rsidR="00380B47" w:rsidRPr="006206B3" w:rsidRDefault="00380B47" w:rsidP="00FC3BE0">
      <w:pPr>
        <w:pStyle w:val="Heading1"/>
        <w:rPr>
          <w:b/>
          <w:bCs/>
        </w:rPr>
      </w:pPr>
      <w:bookmarkStart w:id="1" w:name="_Toc108180691"/>
      <w:bookmarkStart w:id="2" w:name="_Toc108183147"/>
      <w:r w:rsidRPr="006206B3">
        <w:rPr>
          <w:b/>
          <w:bCs/>
        </w:rPr>
        <w:lastRenderedPageBreak/>
        <w:t>Greater Geelong Focus</w:t>
      </w:r>
      <w:bookmarkEnd w:id="1"/>
      <w:bookmarkEnd w:id="2"/>
    </w:p>
    <w:p w14:paraId="478C2C82" w14:textId="77777777" w:rsidR="00380B47" w:rsidRPr="00380B47" w:rsidRDefault="00380B47" w:rsidP="00731C05">
      <w:pPr>
        <w:pStyle w:val="Heading2"/>
      </w:pPr>
      <w:bookmarkStart w:id="3" w:name="_Toc108183148"/>
      <w:bookmarkStart w:id="4" w:name="_Hlk70863263"/>
      <w:r w:rsidRPr="00380B47">
        <w:t>TBA North:  Arts-Based Early Childhood Learning Program</w:t>
      </w:r>
      <w:bookmarkEnd w:id="3"/>
    </w:p>
    <w:p w14:paraId="679445E6" w14:textId="77777777" w:rsidR="00380B47" w:rsidRPr="00783B43" w:rsidRDefault="00380B47" w:rsidP="00A5216B">
      <w:pPr>
        <w:spacing w:line="276" w:lineRule="auto"/>
        <w:rPr>
          <w:b/>
          <w:bCs/>
          <w:sz w:val="23"/>
          <w:szCs w:val="23"/>
        </w:rPr>
      </w:pPr>
      <w:r w:rsidRPr="27ED1008">
        <w:rPr>
          <w:sz w:val="23"/>
          <w:szCs w:val="23"/>
        </w:rPr>
        <w:t xml:space="preserve">Corio and Norlane, Geelong </w:t>
      </w:r>
      <w:bookmarkStart w:id="5" w:name="_Hlk70862814"/>
      <w:r w:rsidRPr="27ED1008">
        <w:rPr>
          <w:sz w:val="23"/>
          <w:szCs w:val="23"/>
        </w:rPr>
        <w:t>(2010</w:t>
      </w:r>
      <w:r>
        <w:rPr>
          <w:sz w:val="23"/>
          <w:szCs w:val="23"/>
        </w:rPr>
        <w:t>–present</w:t>
      </w:r>
      <w:r w:rsidRPr="27ED1008">
        <w:rPr>
          <w:sz w:val="23"/>
          <w:szCs w:val="23"/>
        </w:rPr>
        <w:t>)</w:t>
      </w:r>
    </w:p>
    <w:bookmarkEnd w:id="4"/>
    <w:bookmarkEnd w:id="5"/>
    <w:p w14:paraId="4AD51E83" w14:textId="77777777" w:rsidR="00380B47" w:rsidRPr="00380B47" w:rsidRDefault="00380B47" w:rsidP="00380B47">
      <w:pPr>
        <w:spacing w:after="0"/>
        <w:rPr>
          <w:rFonts w:eastAsiaTheme="minorEastAsia"/>
          <w:b/>
          <w:bCs/>
          <w:color w:val="595959" w:themeColor="text1" w:themeTint="A6"/>
          <w:sz w:val="23"/>
          <w:szCs w:val="23"/>
          <w:lang w:val="en-US"/>
        </w:rPr>
      </w:pPr>
      <w:r w:rsidRPr="00380B47">
        <w:rPr>
          <w:rFonts w:eastAsiaTheme="minorEastAsia"/>
          <w:b/>
          <w:bCs/>
          <w:color w:val="595959" w:themeColor="text1" w:themeTint="A6"/>
          <w:sz w:val="23"/>
          <w:szCs w:val="23"/>
        </w:rPr>
        <w:t xml:space="preserve">Main Practice Domain(s):          </w:t>
      </w:r>
      <w:r w:rsidRPr="00380B47">
        <w:rPr>
          <w:rFonts w:eastAsiaTheme="minorEastAsia"/>
          <w:b/>
          <w:bCs/>
          <w:color w:val="595959" w:themeColor="text1" w:themeTint="A6"/>
          <w:sz w:val="23"/>
          <w:szCs w:val="23"/>
        </w:rPr>
        <w:tab/>
        <w:t>Education</w:t>
      </w:r>
      <w:r w:rsidRPr="00380B47">
        <w:rPr>
          <w:rFonts w:eastAsiaTheme="minorEastAsia"/>
          <w:b/>
          <w:bCs/>
          <w:color w:val="595959" w:themeColor="text1" w:themeTint="A6"/>
          <w:sz w:val="23"/>
          <w:szCs w:val="23"/>
          <w:lang w:val="en-US"/>
        </w:rPr>
        <w:t xml:space="preserve"> </w:t>
      </w:r>
    </w:p>
    <w:p w14:paraId="440AFA99" w14:textId="1B9724FF" w:rsidR="00380B47" w:rsidRPr="00380B47" w:rsidRDefault="00380B47" w:rsidP="00380B47">
      <w:pPr>
        <w:rPr>
          <w:rFonts w:eastAsiaTheme="minorEastAsia"/>
          <w:b/>
          <w:bCs/>
          <w:color w:val="595959" w:themeColor="text1" w:themeTint="A6"/>
          <w:sz w:val="23"/>
          <w:szCs w:val="23"/>
        </w:rPr>
      </w:pPr>
      <w:r w:rsidRPr="00380B47">
        <w:rPr>
          <w:rFonts w:eastAsiaTheme="minorEastAsia"/>
          <w:b/>
          <w:bCs/>
          <w:color w:val="595959" w:themeColor="text1" w:themeTint="A6"/>
          <w:sz w:val="23"/>
          <w:szCs w:val="23"/>
        </w:rPr>
        <w:t xml:space="preserve">Secondary Practice Domain(s): </w:t>
      </w:r>
      <w:r w:rsidRPr="00380B47">
        <w:rPr>
          <w:rFonts w:eastAsiaTheme="minorEastAsia"/>
          <w:b/>
          <w:bCs/>
          <w:color w:val="595959" w:themeColor="text1" w:themeTint="A6"/>
          <w:sz w:val="23"/>
          <w:szCs w:val="23"/>
        </w:rPr>
        <w:tab/>
        <w:t>Health and Wellbeing</w:t>
      </w:r>
    </w:p>
    <w:p w14:paraId="51F3ABA2" w14:textId="7078D87E" w:rsidR="00380B47" w:rsidRPr="00380B47"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TBA is an arts-based education program designed for primary schools, with a particular focus on students in disadvantaged areas. The program aims to improve outcomes for children and families, strengthen family connections, support mental and physical health and wellbeing, promote learning, and increase access to the arts.</w:t>
      </w:r>
      <w:r w:rsidRPr="00865BEB">
        <w:rPr>
          <w:rFonts w:ascii="Calibri Light" w:eastAsia="Calibri Light" w:hAnsi="Calibri Light" w:cs="Calibri Light"/>
          <w:sz w:val="23"/>
          <w:szCs w:val="23"/>
        </w:rPr>
        <w:t xml:space="preserve"> </w:t>
      </w:r>
      <w:r w:rsidRPr="00865BEB">
        <w:rPr>
          <w:rFonts w:ascii="Calibri Light" w:eastAsia="Calibri Light" w:hAnsi="Calibri Light" w:cs="Calibri Light"/>
          <w:color w:val="000000" w:themeColor="text1"/>
          <w:sz w:val="23"/>
          <w:szCs w:val="23"/>
        </w:rPr>
        <w:t>It is coordinated by the Bluebird Foundation Inc., a Geelong-based community arts organisation established in 2009.</w:t>
      </w:r>
    </w:p>
    <w:p w14:paraId="4D2DB863" w14:textId="6716582D" w:rsidR="00380B47" w:rsidRPr="00380B47"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acronym TBA stands for “Tuneful, Beautiful, Artful”, a phrase coined by Dr John Feierabend, a US-based expert on music and movement development in childhood. The TBA program is founded on Feierabend’s ethos and approach. His research places particular emphasis on music’s potential to enhance neurodevelopment (FAME, 2019).</w:t>
      </w:r>
    </w:p>
    <w:p w14:paraId="6E0781A8" w14:textId="77777777" w:rsidR="00380B47" w:rsidRPr="00865BE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Targeted at disadvantaged families with young children in North Geelong, TBA North runs at St Thomas Aquinas Primary School (Norlane), and St Francis Xavier Primary School (Corio). The TBA program has also run in two other Geelong primary schools: Newcomb Park Primary School (Newcomb), and Tate Street Primary School (East Geelong). Under the TBA program umbrella, several multidisciplinary sub-programs have been developed to cater for different age levels and needs. These include:</w:t>
      </w:r>
    </w:p>
    <w:p w14:paraId="3106061D" w14:textId="77777777" w:rsidR="00380B47" w:rsidRPr="00865BEB" w:rsidRDefault="00380B47" w:rsidP="006206B3">
      <w:pPr>
        <w:pStyle w:val="ListParagraph"/>
        <w:numPr>
          <w:ilvl w:val="0"/>
          <w:numId w:val="11"/>
        </w:numPr>
        <w:spacing w:after="12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PlayLinks: weekly facilitated art and music program for children aged 0–5 and parents/carers.</w:t>
      </w:r>
    </w:p>
    <w:p w14:paraId="4F255895" w14:textId="77777777" w:rsidR="00380B47" w:rsidRPr="00865BEB" w:rsidRDefault="00380B47" w:rsidP="006206B3">
      <w:pPr>
        <w:pStyle w:val="ListParagraph"/>
        <w:numPr>
          <w:ilvl w:val="0"/>
          <w:numId w:val="11"/>
        </w:numPr>
        <w:spacing w:after="12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SingingLinks: daily singing program for Prep to Grade 4 students, using music to promote literacy, numeracy, learning, and social outcomes.</w:t>
      </w:r>
    </w:p>
    <w:p w14:paraId="66C421FF" w14:textId="77777777" w:rsidR="00380B47" w:rsidRPr="00865BEB" w:rsidRDefault="00380B47" w:rsidP="006206B3">
      <w:pPr>
        <w:pStyle w:val="ListParagraph"/>
        <w:numPr>
          <w:ilvl w:val="0"/>
          <w:numId w:val="11"/>
        </w:numPr>
        <w:spacing w:after="12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MusicLinks: weekly music program for pre-Prep students and parents/carers to introduce the school environment and foster social relationships between parents and school staff.</w:t>
      </w:r>
    </w:p>
    <w:p w14:paraId="0D5913A0" w14:textId="77777777" w:rsidR="00380B47" w:rsidRPr="00865BEB" w:rsidRDefault="00380B47" w:rsidP="006206B3">
      <w:pPr>
        <w:pStyle w:val="ListParagraph"/>
        <w:numPr>
          <w:ilvl w:val="0"/>
          <w:numId w:val="11"/>
        </w:numPr>
        <w:spacing w:after="12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ClassLinks: transition program for prep students and parents/carers to provide a bridge between MusicLinks to SingingLinks.</w:t>
      </w:r>
    </w:p>
    <w:p w14:paraId="2D528864" w14:textId="77777777" w:rsidR="00380B47" w:rsidRPr="00865BEB" w:rsidRDefault="00380B47" w:rsidP="006206B3">
      <w:pPr>
        <w:pStyle w:val="ListParagraph"/>
        <w:numPr>
          <w:ilvl w:val="0"/>
          <w:numId w:val="11"/>
        </w:numPr>
        <w:spacing w:after="12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NatureLinks: outdoor learning program for Prep to Grade 1 students to introduce outdoor learning through 15–30 minute facilitated sessions (introduced in 2019).</w:t>
      </w:r>
    </w:p>
    <w:p w14:paraId="0D717F9D" w14:textId="7245AAF8" w:rsidR="00380B47" w:rsidRPr="00380B47" w:rsidRDefault="00380B47" w:rsidP="006206B3">
      <w:pPr>
        <w:pStyle w:val="ListParagraph"/>
        <w:numPr>
          <w:ilvl w:val="0"/>
          <w:numId w:val="11"/>
        </w:numPr>
        <w:spacing w:after="240" w:line="276" w:lineRule="auto"/>
        <w:ind w:left="714"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North </w:t>
      </w:r>
      <w:r w:rsidR="00D24715" w:rsidRPr="00865BEB">
        <w:rPr>
          <w:rFonts w:ascii="Calibri Light" w:eastAsia="Calibri Light" w:hAnsi="Calibri Light" w:cs="Calibri Light"/>
          <w:color w:val="000000" w:themeColor="text1"/>
          <w:sz w:val="23"/>
          <w:szCs w:val="23"/>
        </w:rPr>
        <w:t>Children’s</w:t>
      </w:r>
      <w:r w:rsidRPr="00865BEB">
        <w:rPr>
          <w:rFonts w:ascii="Calibri Light" w:eastAsia="Calibri Light" w:hAnsi="Calibri Light" w:cs="Calibri Light"/>
          <w:color w:val="000000" w:themeColor="text1"/>
          <w:sz w:val="23"/>
          <w:szCs w:val="23"/>
        </w:rPr>
        <w:t xml:space="preserve"> Choir: new choral program offered to select students using age-appropriate choral music. The group gave their first performance at St Thomas Aquinas Primary School NAIDOC Week closing ceremony in June 2019. </w:t>
      </w:r>
    </w:p>
    <w:p w14:paraId="5639618E" w14:textId="77777777" w:rsidR="00380B47" w:rsidRPr="00865BE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TBA program is supported through grants, donations, and the work of volunteers. It won a $30K transformational grant from the Geelong Community Foundation in 2018, and a $30K grant from the Give Where You Live Foundation in 2020 (Geelong Community Foundation, 2021; Give Where You Live, 2020).</w:t>
      </w:r>
    </w:p>
    <w:p w14:paraId="798005D2" w14:textId="30728F1E" w:rsidR="00380B47" w:rsidRPr="00380B47"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lastRenderedPageBreak/>
        <w:t xml:space="preserve">Currently the program is managed by a group of five volunteer committee members and 15 artists. The Bluebird Foundation website notes that it has “employed over 50 artists”, but evidently there are also artists engaged in the TBA program on a volunteer basis. Through collaborative relationships built between the schools and families, participating artists can tailor the TBA program to participants’ needs. The program has built momentum over time, with more teachers becoming involved, learning new skills while integrating the program into the school curriculum (Geelong Region </w:t>
      </w:r>
      <w:r w:rsidRPr="00865BEB">
        <w:rPr>
          <w:rFonts w:ascii="Calibri Light" w:eastAsia="Calibri Light" w:hAnsi="Calibri Light" w:cs="Calibri Light"/>
          <w:sz w:val="23"/>
          <w:szCs w:val="23"/>
        </w:rPr>
        <w:t>ArtsAtlas, 2015)</w:t>
      </w:r>
      <w:r w:rsidRPr="00865BEB">
        <w:rPr>
          <w:rFonts w:ascii="Calibri Light" w:eastAsia="Calibri Light" w:hAnsi="Calibri Light" w:cs="Calibri Light"/>
          <w:color w:val="000000" w:themeColor="text1"/>
          <w:sz w:val="23"/>
          <w:szCs w:val="23"/>
        </w:rPr>
        <w:t>.</w:t>
      </w:r>
    </w:p>
    <w:p w14:paraId="3999A985" w14:textId="35E943CC" w:rsidR="00380B47" w:rsidRPr="00380B47" w:rsidRDefault="00380B47" w:rsidP="00A96A68">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Components of the TBA program have been evaluated through research published in an </w:t>
      </w:r>
      <w:hyperlink r:id="rId9" w:history="1">
        <w:r w:rsidRPr="00865BEB">
          <w:rPr>
            <w:rStyle w:val="Hyperlink"/>
            <w:rFonts w:ascii="Calibri Light" w:eastAsia="Calibri Light" w:hAnsi="Calibri Light" w:cs="Calibri Light"/>
            <w:sz w:val="23"/>
            <w:szCs w:val="23"/>
          </w:rPr>
          <w:t>Honours thesis</w:t>
        </w:r>
      </w:hyperlink>
      <w:r w:rsidRPr="00865BEB">
        <w:rPr>
          <w:rFonts w:ascii="Calibri Light" w:eastAsia="Calibri Light" w:hAnsi="Calibri Light" w:cs="Calibri Light"/>
          <w:color w:val="000000" w:themeColor="text1"/>
          <w:sz w:val="23"/>
          <w:szCs w:val="23"/>
        </w:rPr>
        <w:t xml:space="preserve"> (Baudinette, 2011) and an </w:t>
      </w:r>
      <w:hyperlink r:id="rId10" w:history="1">
        <w:r w:rsidRPr="00865BEB">
          <w:rPr>
            <w:rStyle w:val="Hyperlink"/>
            <w:rFonts w:ascii="Calibri Light" w:eastAsia="Calibri Light" w:hAnsi="Calibri Light" w:cs="Calibri Light"/>
            <w:sz w:val="23"/>
            <w:szCs w:val="23"/>
          </w:rPr>
          <w:t>academic journal article</w:t>
        </w:r>
      </w:hyperlink>
      <w:r w:rsidRPr="00865BEB">
        <w:rPr>
          <w:rFonts w:ascii="Calibri Light" w:eastAsia="Calibri Light" w:hAnsi="Calibri Light" w:cs="Calibri Light"/>
          <w:color w:val="000000" w:themeColor="text1"/>
          <w:sz w:val="23"/>
          <w:szCs w:val="23"/>
        </w:rPr>
        <w:t xml:space="preserve"> (Ward et al., 2017). These studies found that music and art therapy programs resulted in benefits when parents and children participated together. Parents reported that participation had social, relational, and cognitive benefits for both themselves and their child (Baudinette, 2011). The nature play program enabled environmental and social connections and created opportunities to enhance children’s development and wellbeing (Ward, 2017).</w:t>
      </w:r>
    </w:p>
    <w:p w14:paraId="570921FD" w14:textId="77777777" w:rsidR="00380B47" w:rsidRPr="00380B47" w:rsidRDefault="00380B47" w:rsidP="00731C05">
      <w:pPr>
        <w:pStyle w:val="Heading2"/>
      </w:pPr>
      <w:bookmarkStart w:id="6" w:name="_Toc108183149"/>
      <w:bookmarkStart w:id="7" w:name="_Hlk70863274"/>
      <w:r w:rsidRPr="00380B47">
        <w:t>Whittington Works Alliance: Local Jobs, Education and Training Program</w:t>
      </w:r>
      <w:bookmarkEnd w:id="6"/>
    </w:p>
    <w:p w14:paraId="3C3BE792" w14:textId="50DAB10A" w:rsidR="00380B47" w:rsidRPr="00380B47" w:rsidRDefault="00380B47" w:rsidP="00A5216B">
      <w:pPr>
        <w:spacing w:line="276" w:lineRule="auto"/>
      </w:pPr>
      <w:r>
        <w:rPr>
          <w:rFonts w:ascii="Calibri" w:eastAsia="Calibri" w:hAnsi="Calibri" w:cs="Calibri"/>
          <w:sz w:val="23"/>
          <w:szCs w:val="23"/>
        </w:rPr>
        <w:t xml:space="preserve">Whittington and </w:t>
      </w:r>
      <w:r w:rsidRPr="359636AC">
        <w:rPr>
          <w:rFonts w:ascii="Calibri" w:eastAsia="Calibri" w:hAnsi="Calibri" w:cs="Calibri"/>
          <w:sz w:val="23"/>
          <w:szCs w:val="23"/>
        </w:rPr>
        <w:t xml:space="preserve">Eastern Suburbs, Geelong </w:t>
      </w:r>
      <w:bookmarkStart w:id="8" w:name="_Hlk70863243"/>
      <w:r w:rsidRPr="359636AC">
        <w:rPr>
          <w:rFonts w:ascii="Calibri" w:eastAsia="Calibri" w:hAnsi="Calibri" w:cs="Calibri"/>
          <w:sz w:val="23"/>
          <w:szCs w:val="23"/>
        </w:rPr>
        <w:t>(2013–</w:t>
      </w:r>
      <w:r>
        <w:rPr>
          <w:rFonts w:ascii="Calibri" w:eastAsia="Calibri" w:hAnsi="Calibri" w:cs="Calibri"/>
          <w:sz w:val="23"/>
          <w:szCs w:val="23"/>
        </w:rPr>
        <w:t>2020</w:t>
      </w:r>
      <w:r w:rsidRPr="359636AC">
        <w:rPr>
          <w:rFonts w:ascii="Calibri" w:eastAsia="Calibri" w:hAnsi="Calibri" w:cs="Calibri"/>
          <w:sz w:val="23"/>
          <w:szCs w:val="23"/>
        </w:rPr>
        <w:t>)</w:t>
      </w:r>
      <w:bookmarkEnd w:id="7"/>
      <w:bookmarkEnd w:id="8"/>
    </w:p>
    <w:p w14:paraId="612FAF2B" w14:textId="77777777" w:rsidR="00380B47" w:rsidRPr="00380B47" w:rsidRDefault="00380B47" w:rsidP="00380B47">
      <w:pPr>
        <w:spacing w:after="0"/>
        <w:rPr>
          <w:rFonts w:eastAsiaTheme="minorEastAsia"/>
          <w:b/>
          <w:bCs/>
          <w:color w:val="595959" w:themeColor="text1" w:themeTint="A6"/>
          <w:sz w:val="23"/>
          <w:szCs w:val="23"/>
        </w:rPr>
      </w:pPr>
      <w:r w:rsidRPr="00380B47">
        <w:rPr>
          <w:rFonts w:eastAsiaTheme="minorEastAsia"/>
          <w:b/>
          <w:bCs/>
          <w:color w:val="595959" w:themeColor="text1" w:themeTint="A6"/>
          <w:sz w:val="23"/>
          <w:szCs w:val="23"/>
        </w:rPr>
        <w:t xml:space="preserve">Main Practice Domain(s):          </w:t>
      </w:r>
      <w:r w:rsidRPr="00380B47">
        <w:rPr>
          <w:rFonts w:eastAsiaTheme="minorEastAsia"/>
          <w:b/>
          <w:bCs/>
          <w:color w:val="595959" w:themeColor="text1" w:themeTint="A6"/>
          <w:sz w:val="23"/>
          <w:szCs w:val="23"/>
        </w:rPr>
        <w:tab/>
        <w:t>Employment, Education</w:t>
      </w:r>
    </w:p>
    <w:p w14:paraId="63AF31F9" w14:textId="5A0DBD77" w:rsidR="00380B47" w:rsidRPr="00380B47" w:rsidRDefault="00380B47" w:rsidP="00380B47">
      <w:pPr>
        <w:rPr>
          <w:rFonts w:eastAsiaTheme="minorEastAsia"/>
          <w:b/>
          <w:bCs/>
          <w:color w:val="595959" w:themeColor="text1" w:themeTint="A6"/>
          <w:sz w:val="23"/>
          <w:szCs w:val="23"/>
        </w:rPr>
      </w:pPr>
      <w:r w:rsidRPr="00380B47">
        <w:rPr>
          <w:rFonts w:eastAsiaTheme="minorEastAsia"/>
          <w:b/>
          <w:bCs/>
          <w:color w:val="595959" w:themeColor="text1" w:themeTint="A6"/>
          <w:sz w:val="23"/>
          <w:szCs w:val="23"/>
        </w:rPr>
        <w:t xml:space="preserve">Secondary Practice Domain(s): </w:t>
      </w:r>
      <w:r w:rsidRPr="00380B47">
        <w:rPr>
          <w:rFonts w:eastAsiaTheme="minorEastAsia"/>
          <w:b/>
          <w:bCs/>
          <w:color w:val="595959" w:themeColor="text1" w:themeTint="A6"/>
          <w:sz w:val="23"/>
          <w:szCs w:val="23"/>
        </w:rPr>
        <w:tab/>
        <w:t>Health and Wellbeing</w:t>
      </w:r>
    </w:p>
    <w:p w14:paraId="1E837405" w14:textId="121BCEFE" w:rsidR="00380B47" w:rsidRPr="00380B47" w:rsidRDefault="00380B47" w:rsidP="00A5216B">
      <w:pPr>
        <w:spacing w:line="276" w:lineRule="auto"/>
        <w:rPr>
          <w:b/>
          <w:bCs/>
        </w:rPr>
      </w:pPr>
      <w:r w:rsidRPr="00865BEB">
        <w:rPr>
          <w:rFonts w:ascii="Calibri Light" w:eastAsia="Calibri Light" w:hAnsi="Calibri Light" w:cs="Calibri Light"/>
          <w:color w:val="000000" w:themeColor="text1"/>
          <w:sz w:val="23"/>
          <w:szCs w:val="23"/>
        </w:rPr>
        <w:t>Focused on the Geelong’s eastern suburbs, the Whittington Works Alliance (WWA) was a multi-organisation partnership that support</w:t>
      </w:r>
      <w:r w:rsidR="006206B3">
        <w:rPr>
          <w:rFonts w:ascii="Calibri Light" w:eastAsia="Calibri Light" w:hAnsi="Calibri Light" w:cs="Calibri Light"/>
          <w:color w:val="000000" w:themeColor="text1"/>
          <w:sz w:val="23"/>
          <w:szCs w:val="23"/>
        </w:rPr>
        <w:t>ed</w:t>
      </w:r>
      <w:r w:rsidRPr="00865BEB">
        <w:rPr>
          <w:rFonts w:ascii="Calibri Light" w:eastAsia="Calibri Light" w:hAnsi="Calibri Light" w:cs="Calibri Light"/>
          <w:color w:val="000000" w:themeColor="text1"/>
          <w:sz w:val="23"/>
          <w:szCs w:val="23"/>
        </w:rPr>
        <w:t xml:space="preserve"> long-term unemployed residents through a pathway to employment program</w:t>
      </w:r>
      <w:r w:rsidR="00A071F6">
        <w:rPr>
          <w:rFonts w:asciiTheme="majorHAnsi" w:hAnsiTheme="majorHAnsi" w:cstheme="majorHAnsi"/>
          <w:sz w:val="23"/>
          <w:szCs w:val="23"/>
        </w:rPr>
        <w:t>, delivered in Whittington</w:t>
      </w:r>
      <w:r w:rsidRPr="00865BEB">
        <w:rPr>
          <w:rFonts w:ascii="Calibri Light" w:eastAsia="Calibri Light" w:hAnsi="Calibri Light" w:cs="Calibri Light"/>
          <w:color w:val="000000" w:themeColor="text1"/>
          <w:sz w:val="23"/>
          <w:szCs w:val="23"/>
        </w:rPr>
        <w:t>. WWA supported residents from Whittington and surrounding areas to reskill, retrain, and build confidence for work. Jobseekers engaged in the program could undertake courses and qualifications, and “work mentors” helped them to find jobs through connections with local employers. Facilitated by The Gordon TAFE and Deakin University, the training courses include Certificate II in Cleaning Operations and General Automotive; Certificate III in Aged and Community Care and Early Childhood Education; and short courses in Food Processing Skill Set and Bricklaying Skill Set.</w:t>
      </w:r>
    </w:p>
    <w:p w14:paraId="7B7F6E92" w14:textId="042AE3B6" w:rsidR="00380B47" w:rsidRPr="00380B47"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The WWA program sought to address disadvantage and the subsequent health risks. Participants often presented with psycho-social challenges (mental health, alcohol and drug, and personal relationship issues). Through their work mentors, they received support and referral to community service organisations to help address these challenges. </w:t>
      </w:r>
      <w:r w:rsidRPr="00865BEB">
        <w:rPr>
          <w:rFonts w:asciiTheme="majorHAnsi" w:eastAsia="Calibri Light" w:hAnsiTheme="majorHAnsi" w:cstheme="majorHAnsi"/>
          <w:color w:val="000000" w:themeColor="text1"/>
          <w:sz w:val="23"/>
          <w:szCs w:val="23"/>
        </w:rPr>
        <w:t xml:space="preserve">As a result of the program, the Eastern Geelong Business Network was formed to connect small to medium enterprises via monthly meetings, where members network and learn new skills (What is Whittington Works? 2013). </w:t>
      </w:r>
      <w:r w:rsidRPr="00865BEB">
        <w:rPr>
          <w:rFonts w:ascii="Calibri Light" w:eastAsia="Calibri Light" w:hAnsi="Calibri Light" w:cs="Calibri Light"/>
          <w:color w:val="000000" w:themeColor="text1"/>
          <w:sz w:val="23"/>
          <w:szCs w:val="23"/>
        </w:rPr>
        <w:t xml:space="preserve">In 2016 the </w:t>
      </w:r>
      <w:r w:rsidRPr="00865BEB">
        <w:rPr>
          <w:rFonts w:asciiTheme="majorHAnsi" w:eastAsia="Calibri Light" w:hAnsiTheme="majorHAnsi" w:cstheme="majorHAnsi"/>
          <w:color w:val="000000" w:themeColor="text1"/>
          <w:sz w:val="23"/>
          <w:szCs w:val="23"/>
        </w:rPr>
        <w:t>program received $755,000 from the Victorian Government’s Department of Economic Development, Jobs Transport and Resources (G21, 2016). Partners include The Gordon TAFE, Brotherhood of St Laurence, and Encompass Community Services (Skilling the Bay, 2016, 2017).</w:t>
      </w:r>
    </w:p>
    <w:p w14:paraId="409680D7" w14:textId="7C6E5FA8" w:rsidR="00380B47" w:rsidRPr="00380B47" w:rsidRDefault="00380B47" w:rsidP="00A5216B">
      <w:pPr>
        <w:spacing w:line="276" w:lineRule="auto"/>
        <w:rPr>
          <w:rFonts w:asciiTheme="majorHAnsi" w:eastAsia="Calibri Light" w:hAnsiTheme="majorHAnsi" w:cstheme="majorHAnsi"/>
          <w:b/>
          <w:bCs/>
          <w:color w:val="000000" w:themeColor="text1"/>
          <w:sz w:val="23"/>
          <w:szCs w:val="23"/>
        </w:rPr>
      </w:pPr>
      <w:r w:rsidRPr="00865BEB">
        <w:rPr>
          <w:rFonts w:asciiTheme="majorHAnsi" w:hAnsiTheme="majorHAnsi" w:cstheme="majorHAnsi"/>
          <w:sz w:val="23"/>
          <w:szCs w:val="23"/>
        </w:rPr>
        <w:t xml:space="preserve">As of 2019, </w:t>
      </w:r>
      <w:r w:rsidRPr="00865BEB">
        <w:rPr>
          <w:rFonts w:asciiTheme="majorHAnsi" w:eastAsia="Calibri Light" w:hAnsiTheme="majorHAnsi" w:cstheme="majorHAnsi"/>
          <w:color w:val="000000" w:themeColor="text1"/>
          <w:sz w:val="23"/>
          <w:szCs w:val="23"/>
        </w:rPr>
        <w:t>Whittington Works consisted of two State Government funded initiatives: Jobs Victoria Employment Network (JVEN) and</w:t>
      </w:r>
      <w:r w:rsidRPr="00865BEB">
        <w:rPr>
          <w:rFonts w:asciiTheme="majorHAnsi" w:hAnsiTheme="majorHAnsi" w:cstheme="majorHAnsi"/>
        </w:rPr>
        <w:t xml:space="preserve"> </w:t>
      </w:r>
      <w:r w:rsidRPr="00865BEB">
        <w:rPr>
          <w:rFonts w:asciiTheme="majorHAnsi" w:eastAsia="Calibri Light" w:hAnsiTheme="majorHAnsi" w:cstheme="majorHAnsi"/>
          <w:color w:val="000000" w:themeColor="text1"/>
          <w:sz w:val="23"/>
          <w:szCs w:val="23"/>
        </w:rPr>
        <w:t>Skilling the Bay. Based on an Education to Employment (E2E) model of service delivery, Whittington Works focuses on</w:t>
      </w:r>
      <w:r w:rsidRPr="00865BEB">
        <w:rPr>
          <w:rFonts w:asciiTheme="majorHAnsi" w:hAnsiTheme="majorHAnsi" w:cstheme="majorHAnsi"/>
        </w:rPr>
        <w:t xml:space="preserve"> c</w:t>
      </w:r>
      <w:r w:rsidRPr="00865BEB">
        <w:rPr>
          <w:rFonts w:asciiTheme="majorHAnsi" w:eastAsia="Calibri Light" w:hAnsiTheme="majorHAnsi" w:cstheme="majorHAnsi"/>
          <w:color w:val="000000" w:themeColor="text1"/>
          <w:sz w:val="23"/>
          <w:szCs w:val="23"/>
        </w:rPr>
        <w:t xml:space="preserve">ommunity engagement, job </w:t>
      </w:r>
      <w:r w:rsidRPr="00865BEB">
        <w:rPr>
          <w:rFonts w:asciiTheme="majorHAnsi" w:eastAsia="Calibri Light" w:hAnsiTheme="majorHAnsi" w:cstheme="majorHAnsi"/>
          <w:color w:val="000000" w:themeColor="text1"/>
          <w:sz w:val="23"/>
          <w:szCs w:val="23"/>
        </w:rPr>
        <w:lastRenderedPageBreak/>
        <w:t>coaching, and employer engagement. Concern that the program might lose</w:t>
      </w:r>
      <w:r w:rsidRPr="00652994">
        <w:rPr>
          <w:rFonts w:asciiTheme="majorHAnsi" w:eastAsia="Calibri Light" w:hAnsiTheme="majorHAnsi" w:cstheme="majorHAnsi"/>
          <w:color w:val="000000" w:themeColor="text1"/>
          <w:sz w:val="23"/>
          <w:szCs w:val="23"/>
        </w:rPr>
        <w:t xml:space="preserve"> </w:t>
      </w:r>
      <w:r w:rsidRPr="00865BEB">
        <w:rPr>
          <w:rFonts w:asciiTheme="majorHAnsi" w:eastAsia="Calibri Light" w:hAnsiTheme="majorHAnsi" w:cstheme="majorHAnsi"/>
          <w:color w:val="000000" w:themeColor="text1"/>
          <w:sz w:val="23"/>
          <w:szCs w:val="23"/>
        </w:rPr>
        <w:t xml:space="preserve">funding arose in 2019 (McDonald et al, 2019), and the state government extended support to June 2020. </w:t>
      </w:r>
    </w:p>
    <w:p w14:paraId="7E701AB2" w14:textId="103560BF" w:rsidR="00380B47" w:rsidRPr="00380B47" w:rsidRDefault="00380B47" w:rsidP="00A96A68">
      <w:pPr>
        <w:spacing w:line="276" w:lineRule="auto"/>
        <w:rPr>
          <w:rFonts w:cstheme="minorHAnsi"/>
          <w:b/>
          <w:bCs/>
          <w:sz w:val="16"/>
          <w:szCs w:val="16"/>
        </w:rPr>
      </w:pPr>
      <w:r w:rsidRPr="00865BEB">
        <w:rPr>
          <w:rFonts w:asciiTheme="majorHAnsi" w:eastAsia="Calibri Light" w:hAnsiTheme="majorHAnsi" w:cstheme="majorHAnsi"/>
          <w:color w:val="000000" w:themeColor="text1"/>
          <w:sz w:val="23"/>
          <w:szCs w:val="23"/>
        </w:rPr>
        <w:t>From 2014–2017, over 70 percent of participants completed courses, with 46 percent securing employment. One ongoing program challenge was helping jobseekers and employers sustain employment beyond the six-month mark. In response, additional investment was allocated to re</w:t>
      </w:r>
      <w:r>
        <w:rPr>
          <w:rFonts w:asciiTheme="majorHAnsi" w:eastAsia="Calibri Light" w:hAnsiTheme="majorHAnsi" w:cstheme="majorHAnsi"/>
          <w:color w:val="000000" w:themeColor="text1"/>
          <w:sz w:val="23"/>
          <w:szCs w:val="23"/>
        </w:rPr>
        <w:t>s</w:t>
      </w:r>
      <w:r w:rsidRPr="00865BEB">
        <w:rPr>
          <w:rFonts w:asciiTheme="majorHAnsi" w:eastAsia="Calibri Light" w:hAnsiTheme="majorHAnsi" w:cstheme="majorHAnsi"/>
          <w:color w:val="000000" w:themeColor="text1"/>
          <w:sz w:val="23"/>
          <w:szCs w:val="23"/>
        </w:rPr>
        <w:t xml:space="preserve">ource and evaluate the program (City of Greater Geelong, 2019). </w:t>
      </w:r>
    </w:p>
    <w:p w14:paraId="2DBD0937" w14:textId="77777777" w:rsidR="00380B47" w:rsidRPr="00380B47" w:rsidRDefault="00380B47" w:rsidP="00731C05">
      <w:pPr>
        <w:pStyle w:val="Heading2"/>
      </w:pPr>
      <w:bookmarkStart w:id="9" w:name="_Toc108183150"/>
      <w:bookmarkStart w:id="10" w:name="_Hlk70863302"/>
      <w:r w:rsidRPr="00380B47">
        <w:t>Towards Home Plus: Homelessness Outreach, Housing, and Support</w:t>
      </w:r>
      <w:bookmarkEnd w:id="9"/>
    </w:p>
    <w:p w14:paraId="3F45E485" w14:textId="6ACD4165" w:rsidR="00380B47" w:rsidRPr="00380B47" w:rsidRDefault="00380B47" w:rsidP="00A5216B">
      <w:pPr>
        <w:spacing w:line="276" w:lineRule="auto"/>
        <w:rPr>
          <w:rFonts w:ascii="Calibri" w:eastAsia="Calibri" w:hAnsi="Calibri" w:cs="Calibri"/>
          <w:b/>
          <w:bCs/>
          <w:sz w:val="23"/>
          <w:szCs w:val="23"/>
        </w:rPr>
      </w:pPr>
      <w:r w:rsidRPr="359636AC">
        <w:rPr>
          <w:rFonts w:ascii="Calibri" w:eastAsia="Calibri" w:hAnsi="Calibri" w:cs="Calibri"/>
          <w:sz w:val="23"/>
          <w:szCs w:val="23"/>
        </w:rPr>
        <w:t>Geelong (</w:t>
      </w:r>
      <w:bookmarkStart w:id="11" w:name="_Hlk70863253"/>
      <w:r w:rsidRPr="359636AC">
        <w:rPr>
          <w:rFonts w:ascii="Calibri" w:eastAsia="Calibri" w:hAnsi="Calibri" w:cs="Calibri"/>
          <w:sz w:val="23"/>
          <w:szCs w:val="23"/>
        </w:rPr>
        <w:t>April 2019–present)</w:t>
      </w:r>
      <w:bookmarkEnd w:id="10"/>
      <w:bookmarkEnd w:id="11"/>
    </w:p>
    <w:p w14:paraId="775C8F1D" w14:textId="77777777" w:rsidR="00380B47" w:rsidRPr="00380B47" w:rsidRDefault="00380B47" w:rsidP="00380B47">
      <w:pPr>
        <w:spacing w:after="0"/>
        <w:rPr>
          <w:rFonts w:eastAsiaTheme="minorEastAsia"/>
          <w:b/>
          <w:bCs/>
          <w:color w:val="595959" w:themeColor="text1" w:themeTint="A6"/>
          <w:sz w:val="23"/>
          <w:szCs w:val="23"/>
        </w:rPr>
      </w:pPr>
      <w:r w:rsidRPr="00380B47">
        <w:rPr>
          <w:rFonts w:eastAsiaTheme="minorEastAsia"/>
          <w:b/>
          <w:bCs/>
          <w:color w:val="595959" w:themeColor="text1" w:themeTint="A6"/>
          <w:sz w:val="23"/>
          <w:szCs w:val="23"/>
        </w:rPr>
        <w:t xml:space="preserve">Main Practice Domain(s):          </w:t>
      </w:r>
      <w:r w:rsidRPr="00380B47">
        <w:rPr>
          <w:rFonts w:eastAsiaTheme="minorEastAsia"/>
          <w:b/>
          <w:bCs/>
          <w:color w:val="595959" w:themeColor="text1" w:themeTint="A6"/>
          <w:sz w:val="23"/>
          <w:szCs w:val="23"/>
        </w:rPr>
        <w:tab/>
        <w:t xml:space="preserve">Housing, Health and Wellbeing </w:t>
      </w:r>
    </w:p>
    <w:p w14:paraId="42D0B74E" w14:textId="1E58A562" w:rsidR="00380B47" w:rsidRPr="00C95B9B" w:rsidRDefault="00380B47" w:rsidP="00C95B9B">
      <w:pPr>
        <w:rPr>
          <w:rFonts w:eastAsiaTheme="minorEastAsia"/>
          <w:b/>
          <w:bCs/>
          <w:color w:val="595959" w:themeColor="text1" w:themeTint="A6"/>
          <w:sz w:val="23"/>
          <w:szCs w:val="23"/>
        </w:rPr>
      </w:pPr>
      <w:r w:rsidRPr="00380B47">
        <w:rPr>
          <w:rFonts w:eastAsiaTheme="minorEastAsia"/>
          <w:b/>
          <w:bCs/>
          <w:color w:val="595959" w:themeColor="text1" w:themeTint="A6"/>
          <w:sz w:val="23"/>
          <w:szCs w:val="23"/>
        </w:rPr>
        <w:t>Secondary Practice Domain(s):</w:t>
      </w:r>
      <w:r w:rsidRPr="00380B47">
        <w:rPr>
          <w:rFonts w:eastAsiaTheme="minorEastAsia"/>
          <w:b/>
          <w:bCs/>
          <w:color w:val="595959" w:themeColor="text1" w:themeTint="A6"/>
          <w:sz w:val="23"/>
          <w:szCs w:val="23"/>
        </w:rPr>
        <w:tab/>
        <w:t xml:space="preserve">Liveability </w:t>
      </w:r>
    </w:p>
    <w:p w14:paraId="2D718126" w14:textId="799BB1C0"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Towards Home Plus is a holistic support and service program for people experiencing homelessness in the Geelong area. It also runs in Frankston. Supported by the Victorian Government, it is delivered by Neami National, with partners Launch Housing, Wathaurong Aboriginal Co-op, Uniting Care ReGen, Bolton Clarke, and Melbourne City Mission. Neami National is a community-based organisation providing services to improve mental health and wellbeing in localities across Australia (Neami, n.d.).</w:t>
      </w:r>
    </w:p>
    <w:p w14:paraId="6B6C2D46" w14:textId="06B2A33A"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Based on the highly regarded Housing First Model and the Collaborative Recovery Model, the Towards Home Plus program uses person-centred coaching and a shared care approach to support people sleeping rough to obtain and maintain secure housing. The program provides intensive, flexible, and responsive client-focused support to assist people to sustain housing, improve their mental and physical health, and develop social connections within the local</w:t>
      </w:r>
      <w:r w:rsidR="00C95B9B">
        <w:rPr>
          <w:rFonts w:ascii="Calibri Light" w:eastAsia="Calibri Light" w:hAnsi="Calibri Light" w:cs="Calibri Light"/>
          <w:color w:val="000000" w:themeColor="text1"/>
          <w:sz w:val="23"/>
          <w:szCs w:val="23"/>
        </w:rPr>
        <w:t xml:space="preserve"> </w:t>
      </w:r>
      <w:r w:rsidRPr="00865BEB">
        <w:rPr>
          <w:rFonts w:ascii="Calibri Light" w:eastAsia="Calibri Light" w:hAnsi="Calibri Light" w:cs="Calibri Light"/>
          <w:color w:val="000000" w:themeColor="text1"/>
          <w:sz w:val="23"/>
          <w:szCs w:val="23"/>
        </w:rPr>
        <w:t>community.</w:t>
      </w:r>
    </w:p>
    <w:p w14:paraId="3011CC25" w14:textId="77777777" w:rsidR="00380B47" w:rsidRPr="00865BEB" w:rsidRDefault="00380B47" w:rsidP="00A5216B">
      <w:pPr>
        <w:spacing w:line="276" w:lineRule="auto"/>
        <w:rPr>
          <w:b/>
          <w:bCs/>
        </w:rPr>
      </w:pPr>
      <w:r w:rsidRPr="00865BEB">
        <w:rPr>
          <w:rFonts w:ascii="Calibri Light" w:eastAsia="Calibri Light" w:hAnsi="Calibri Light" w:cs="Calibri Light"/>
          <w:color w:val="000000" w:themeColor="text1"/>
          <w:sz w:val="23"/>
          <w:szCs w:val="23"/>
        </w:rPr>
        <w:t>Teams are multi-disciplinary, with outreach workers, peer support workers, youth workers, Aboriginal and Torres Strait Islander health practitioners, and alcohol and other drug workers all involved in delivering support. As of August 2020, the program had helped house 112 rough sleepers over the previous 18-month period.</w:t>
      </w:r>
      <w:r w:rsidRPr="00865BEB">
        <w:t xml:space="preserve"> </w:t>
      </w:r>
      <w:r w:rsidRPr="00865BEB">
        <w:rPr>
          <w:rFonts w:ascii="Calibri Light" w:eastAsia="Calibri Light" w:hAnsi="Calibri Light" w:cs="Calibri Light"/>
          <w:color w:val="000000" w:themeColor="text1"/>
          <w:sz w:val="23"/>
          <w:szCs w:val="23"/>
        </w:rPr>
        <w:t>Three key teams deliver the Towards Home Plus program:</w:t>
      </w:r>
    </w:p>
    <w:p w14:paraId="35D168B4" w14:textId="77777777" w:rsidR="00380B47" w:rsidRPr="00865BEB" w:rsidRDefault="00380B47" w:rsidP="00F75A96">
      <w:pPr>
        <w:pStyle w:val="ListParagraph"/>
        <w:numPr>
          <w:ilvl w:val="0"/>
          <w:numId w:val="2"/>
        </w:numPr>
        <w:spacing w:after="120" w:line="276" w:lineRule="auto"/>
        <w:ind w:left="714" w:hanging="357"/>
        <w:contextualSpacing w:val="0"/>
        <w:rPr>
          <w:rFonts w:eastAsiaTheme="minorEastAsia"/>
          <w:b/>
          <w:bCs/>
          <w:color w:val="000000" w:themeColor="text1"/>
          <w:sz w:val="23"/>
          <w:szCs w:val="23"/>
        </w:rPr>
      </w:pPr>
      <w:r w:rsidRPr="00865BEB">
        <w:rPr>
          <w:rFonts w:ascii="Calibri Light" w:eastAsia="Calibri Light" w:hAnsi="Calibri Light" w:cs="Calibri Light"/>
          <w:color w:val="000000" w:themeColor="text1"/>
          <w:sz w:val="23"/>
          <w:szCs w:val="23"/>
        </w:rPr>
        <w:t xml:space="preserve">Assertive Outreach Team works closely with City of Greater Geelong and local police as part of the street outreach component to identify rough sleepers. Interventions are used to provide access to emergency accommodation, health services and accommodation. </w:t>
      </w:r>
    </w:p>
    <w:p w14:paraId="3DAAA33F" w14:textId="77777777" w:rsidR="00380B47" w:rsidRPr="00865BEB" w:rsidRDefault="00380B47" w:rsidP="00F75A96">
      <w:pPr>
        <w:pStyle w:val="ListParagraph"/>
        <w:numPr>
          <w:ilvl w:val="0"/>
          <w:numId w:val="2"/>
        </w:numPr>
        <w:spacing w:after="120" w:line="276" w:lineRule="auto"/>
        <w:ind w:left="714" w:hanging="357"/>
        <w:contextualSpacing w:val="0"/>
        <w:rPr>
          <w:rFonts w:eastAsiaTheme="minorEastAsia"/>
          <w:b/>
          <w:bCs/>
          <w:color w:val="000000" w:themeColor="text1"/>
          <w:sz w:val="23"/>
          <w:szCs w:val="23"/>
        </w:rPr>
      </w:pPr>
      <w:r w:rsidRPr="00865BEB">
        <w:rPr>
          <w:rFonts w:ascii="Calibri Light" w:eastAsia="Calibri Light" w:hAnsi="Calibri Light" w:cs="Calibri Light"/>
          <w:color w:val="000000" w:themeColor="text1"/>
          <w:sz w:val="23"/>
          <w:szCs w:val="23"/>
        </w:rPr>
        <w:t xml:space="preserve">Supportive Housing Team works with clients to provide wrap-around support such as daily living skills, social activity participation, and case management. </w:t>
      </w:r>
    </w:p>
    <w:p w14:paraId="44D63F80" w14:textId="5D8550A8" w:rsidR="00380B47" w:rsidRPr="00C95B9B" w:rsidRDefault="00380B47" w:rsidP="00F75A96">
      <w:pPr>
        <w:pStyle w:val="ListParagraph"/>
        <w:numPr>
          <w:ilvl w:val="0"/>
          <w:numId w:val="2"/>
        </w:numPr>
        <w:spacing w:after="120" w:line="276" w:lineRule="auto"/>
        <w:ind w:left="714" w:hanging="357"/>
        <w:contextualSpacing w:val="0"/>
        <w:rPr>
          <w:rFonts w:eastAsiaTheme="minorEastAsia"/>
          <w:b/>
          <w:bCs/>
          <w:color w:val="000000" w:themeColor="text1"/>
          <w:sz w:val="23"/>
          <w:szCs w:val="23"/>
        </w:rPr>
      </w:pPr>
      <w:r w:rsidRPr="00865BEB">
        <w:rPr>
          <w:rFonts w:ascii="Calibri Light" w:eastAsia="Calibri Light" w:hAnsi="Calibri Light" w:cs="Calibri Light"/>
          <w:color w:val="000000" w:themeColor="text1"/>
          <w:sz w:val="23"/>
          <w:szCs w:val="23"/>
        </w:rPr>
        <w:t>Modular Units Team works with residents to support transition into sustainable long-term housing. Seven modular units are available in Norlane, providing accommodation for up to two years (Heagney, 2019).</w:t>
      </w:r>
    </w:p>
    <w:p w14:paraId="6A4EE172" w14:textId="11EC43BE" w:rsidR="00380B47"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Neami National also provides support via its Services and Treatment for Enduring and Persistent Mental Illness (STEPMI) program, running in Geelong and other regional Victorian locations (STEPMI, 2021).</w:t>
      </w:r>
    </w:p>
    <w:p w14:paraId="6F2BCB59" w14:textId="5E741B84" w:rsidR="00380B47" w:rsidRPr="00F75A96" w:rsidRDefault="00380B47" w:rsidP="00C95B9B">
      <w:pPr>
        <w:pStyle w:val="Heading1"/>
        <w:rPr>
          <w:b/>
          <w:bCs/>
        </w:rPr>
      </w:pPr>
      <w:bookmarkStart w:id="12" w:name="_Toc108180695"/>
      <w:bookmarkStart w:id="13" w:name="_Toc108183151"/>
      <w:r w:rsidRPr="00F75A96">
        <w:rPr>
          <w:b/>
          <w:bCs/>
        </w:rPr>
        <w:lastRenderedPageBreak/>
        <w:t>Victoria (Local Focus)</w:t>
      </w:r>
      <w:bookmarkEnd w:id="12"/>
      <w:bookmarkEnd w:id="13"/>
    </w:p>
    <w:p w14:paraId="7E24F59D" w14:textId="77777777" w:rsidR="00380B47" w:rsidRPr="00380B47" w:rsidRDefault="00380B47" w:rsidP="00731C05">
      <w:pPr>
        <w:pStyle w:val="Heading2"/>
      </w:pPr>
      <w:bookmarkStart w:id="14" w:name="_Toc108183152"/>
      <w:bookmarkStart w:id="15" w:name="_Hlk70863435"/>
      <w:r w:rsidRPr="00380B47">
        <w:t>Afghan Youth Girls Bike Skills Workshops: Building Social Inclusion Via Sport</w:t>
      </w:r>
      <w:bookmarkEnd w:id="14"/>
    </w:p>
    <w:p w14:paraId="7EE644F6" w14:textId="275072AB" w:rsidR="00380B47" w:rsidRPr="00C95B9B" w:rsidRDefault="00380B47" w:rsidP="00A5216B">
      <w:pPr>
        <w:spacing w:line="276" w:lineRule="auto"/>
        <w:rPr>
          <w:rFonts w:cstheme="minorHAnsi"/>
          <w:sz w:val="25"/>
          <w:szCs w:val="25"/>
        </w:rPr>
      </w:pPr>
      <w:r w:rsidRPr="00865BEB">
        <w:rPr>
          <w:rFonts w:cstheme="minorHAnsi"/>
          <w:sz w:val="25"/>
          <w:szCs w:val="25"/>
        </w:rPr>
        <w:t>Bendigo (2018)</w:t>
      </w:r>
      <w:bookmarkEnd w:id="15"/>
    </w:p>
    <w:p w14:paraId="62F082BB"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 xml:space="preserve">Health and Wellbeing </w:t>
      </w:r>
    </w:p>
    <w:p w14:paraId="4BAA9C07" w14:textId="2F1729D3"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Education, Liveability</w:t>
      </w:r>
    </w:p>
    <w:p w14:paraId="3F72A209" w14:textId="690899D2" w:rsidR="00380B47" w:rsidRPr="00C95B9B" w:rsidRDefault="00380B47" w:rsidP="00A5216B">
      <w:pPr>
        <w:spacing w:line="276" w:lineRule="auto"/>
        <w:rPr>
          <w:b/>
          <w:bCs/>
          <w:color w:val="000000" w:themeColor="text1"/>
        </w:rPr>
      </w:pPr>
      <w:r w:rsidRPr="00865BEB">
        <w:rPr>
          <w:rFonts w:ascii="Calibri Light" w:eastAsia="Calibri Light" w:hAnsi="Calibri Light" w:cs="Calibri Light"/>
          <w:color w:val="000000" w:themeColor="text1"/>
          <w:sz w:val="23"/>
          <w:szCs w:val="23"/>
        </w:rPr>
        <w:t>Greater Bendigo (pop 110,000) is a designated Refugee Welcome Zone, with Karen and Afghani refugees being two key groups who call the city home; 15 percent of Bendigo residents were born overseas, and 5.6 percent of households speak a language other than English (Refugee Council, 2019).</w:t>
      </w:r>
    </w:p>
    <w:p w14:paraId="5AD14391" w14:textId="0A020182" w:rsidR="00380B47" w:rsidRPr="00C95B9B" w:rsidRDefault="00380B47" w:rsidP="00A5216B">
      <w:pPr>
        <w:spacing w:line="276" w:lineRule="auto"/>
        <w:rPr>
          <w:b/>
          <w:bCs/>
          <w:color w:val="000000" w:themeColor="text1"/>
        </w:rPr>
      </w:pPr>
      <w:r w:rsidRPr="00865BEB">
        <w:rPr>
          <w:rFonts w:ascii="Calibri Light" w:eastAsia="Calibri Light" w:hAnsi="Calibri Light" w:cs="Calibri Light"/>
          <w:color w:val="000000" w:themeColor="text1"/>
          <w:sz w:val="23"/>
          <w:szCs w:val="23"/>
        </w:rPr>
        <w:t>The Afghan Youth Girls Bike Skills Workshops ran in 2018. Nine girls aged 12 to 18 took part, all recent arrivals to Bendigo. The three-week program was founded to encourage participants to spend time outdoors, increase activity levels, get to their schools or the shops, spend time together, and explore their new city safely. Activities included group outings; workshops covering road rules, bike checks, and replacing a flat tyre; and discussions on staying safe when riding (Bendigo Community Health Services, 2018; Goode, 2018).</w:t>
      </w:r>
    </w:p>
    <w:p w14:paraId="65BA129A" w14:textId="0A008124" w:rsidR="00380B47" w:rsidRPr="00C95B9B" w:rsidRDefault="00380B47" w:rsidP="00A5216B">
      <w:pPr>
        <w:spacing w:line="276" w:lineRule="auto"/>
        <w:rPr>
          <w:b/>
          <w:bCs/>
          <w:color w:val="000000" w:themeColor="text1"/>
        </w:rPr>
      </w:pPr>
      <w:r w:rsidRPr="00865BEB">
        <w:rPr>
          <w:rFonts w:ascii="Calibri Light" w:eastAsia="Calibri Light" w:hAnsi="Calibri Light" w:cs="Calibri Light"/>
          <w:color w:val="000000" w:themeColor="text1"/>
          <w:sz w:val="23"/>
          <w:szCs w:val="23"/>
        </w:rPr>
        <w:t xml:space="preserve">Project partners were Bike Bendigo, Bendigo Community Health Services, and the City of Greater Bendigo. Bikes and helmets were donated for participants to keep by the Department of Justice and Community Safety’s Wheels in Motion program. The Wheels in Motion initiative engages young offenders to repair unwanted and discarded bikes for re-use by communities. </w:t>
      </w:r>
    </w:p>
    <w:p w14:paraId="7B1E10CA" w14:textId="5066FC4C"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Bendigo is also home to several other programs that foster cultural diversity and inclusion through sport. With support from the City of Greater Bendigo, local sporting clubs and community organisations run clubs and events for people from the local refugee, asylum seeker, migrant, and international student communities. Rather than following a specific model, these programs take a broad range of approaches to promoting social inclusion, health, and wellbeing through physical activity.</w:t>
      </w:r>
    </w:p>
    <w:p w14:paraId="3078C4C7" w14:textId="19E9CE9F" w:rsidR="00380B47" w:rsidRPr="00C95B9B" w:rsidRDefault="00380B47" w:rsidP="00A5216B">
      <w:pPr>
        <w:spacing w:line="276" w:lineRule="auto"/>
        <w:rPr>
          <w:b/>
          <w:bCs/>
          <w:color w:val="000000" w:themeColor="text1"/>
        </w:rPr>
      </w:pPr>
      <w:r w:rsidRPr="00865BEB">
        <w:rPr>
          <w:rFonts w:ascii="Calibri Light" w:eastAsia="Calibri Light" w:hAnsi="Calibri Light" w:cs="Calibri Light"/>
          <w:color w:val="000000" w:themeColor="text1"/>
          <w:sz w:val="23"/>
          <w:szCs w:val="23"/>
        </w:rPr>
        <w:t>Examples include the Multicultural Soccer Program, Cane Ball Club, Axe Creek Multicultural Men’s Cricket Tournament, Multicultural Youth Futsal, and Women’s Learn to Swim Classes. Related initiatives include the Mini Roos Canteen Program, Community Boot Drive initiative, and refereeing and coaching programs. The Cultural Diversity and Inclusion Plan (CDIP) Sports Action Group provides input and guidance.</w:t>
      </w:r>
    </w:p>
    <w:p w14:paraId="41053C84" w14:textId="4E0C1235" w:rsidR="00380B47" w:rsidRDefault="00380B47" w:rsidP="00A96A68">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While no formal evaluations are available, participant feedback suggests benefits for many who take part: “It felt like I was a part of the community. The games were much more than just about kicking a soccer ball, it went beyond the language </w:t>
      </w:r>
      <w:r w:rsidR="00D24715" w:rsidRPr="00865BEB">
        <w:rPr>
          <w:rFonts w:ascii="Calibri Light" w:eastAsia="Calibri Light" w:hAnsi="Calibri Light" w:cs="Calibri Light"/>
          <w:color w:val="000000" w:themeColor="text1"/>
          <w:sz w:val="23"/>
          <w:szCs w:val="23"/>
        </w:rPr>
        <w:t>boundaries,</w:t>
      </w:r>
      <w:r w:rsidRPr="00865BEB">
        <w:rPr>
          <w:rFonts w:ascii="Calibri Light" w:eastAsia="Calibri Light" w:hAnsi="Calibri Light" w:cs="Calibri Light"/>
          <w:color w:val="000000" w:themeColor="text1"/>
          <w:sz w:val="23"/>
          <w:szCs w:val="23"/>
        </w:rPr>
        <w:t xml:space="preserve"> and you didn’t need to speak the same language to connect and have fun” (City of Greater Bendigo, 2020).</w:t>
      </w:r>
    </w:p>
    <w:p w14:paraId="3F76A837" w14:textId="3713E8DA" w:rsidR="00FC3BE0" w:rsidRDefault="00FC3BE0" w:rsidP="00A96A68">
      <w:pPr>
        <w:spacing w:line="276" w:lineRule="auto"/>
        <w:rPr>
          <w:rFonts w:ascii="Calibri Light" w:eastAsia="Calibri Light" w:hAnsi="Calibri Light" w:cs="Calibri Light"/>
          <w:color w:val="000000" w:themeColor="text1"/>
          <w:sz w:val="23"/>
          <w:szCs w:val="23"/>
        </w:rPr>
      </w:pPr>
    </w:p>
    <w:p w14:paraId="11D8D5A7" w14:textId="754B4C17" w:rsidR="00FC3BE0" w:rsidRDefault="00FC3BE0" w:rsidP="00A96A68">
      <w:pPr>
        <w:spacing w:line="276" w:lineRule="auto"/>
        <w:rPr>
          <w:rFonts w:ascii="Calibri Light" w:eastAsia="Calibri Light" w:hAnsi="Calibri Light" w:cs="Calibri Light"/>
          <w:color w:val="000000" w:themeColor="text1"/>
          <w:sz w:val="23"/>
          <w:szCs w:val="23"/>
        </w:rPr>
      </w:pPr>
    </w:p>
    <w:p w14:paraId="64B3117A" w14:textId="77777777" w:rsidR="00FC3BE0" w:rsidRDefault="00FC3BE0" w:rsidP="00A96A68">
      <w:pPr>
        <w:spacing w:line="276" w:lineRule="auto"/>
        <w:rPr>
          <w:rFonts w:ascii="Calibri Light" w:eastAsia="Calibri Light" w:hAnsi="Calibri Light" w:cs="Calibri Light"/>
          <w:color w:val="000000" w:themeColor="text1"/>
          <w:sz w:val="23"/>
          <w:szCs w:val="23"/>
        </w:rPr>
      </w:pPr>
    </w:p>
    <w:p w14:paraId="00EF7B35" w14:textId="77777777" w:rsidR="00380B47" w:rsidRPr="00380B47" w:rsidRDefault="00380B47" w:rsidP="00731C05">
      <w:pPr>
        <w:pStyle w:val="Heading2"/>
      </w:pPr>
      <w:bookmarkStart w:id="16" w:name="_Toc108183153"/>
      <w:bookmarkStart w:id="17" w:name="_Hlk70863612"/>
      <w:r w:rsidRPr="00380B47">
        <w:lastRenderedPageBreak/>
        <w:t>Fawkner Commons (Fair Share Fare): Food Security and Creative Community-Building</w:t>
      </w:r>
      <w:bookmarkEnd w:id="16"/>
    </w:p>
    <w:p w14:paraId="674F8BDD" w14:textId="72F3DA49" w:rsidR="00C95B9B" w:rsidRPr="00C95B9B" w:rsidRDefault="00380B47" w:rsidP="00A5216B">
      <w:pPr>
        <w:spacing w:line="276" w:lineRule="auto"/>
      </w:pPr>
      <w:r w:rsidRPr="359636AC">
        <w:rPr>
          <w:rFonts w:ascii="Calibri" w:eastAsia="Calibri" w:hAnsi="Calibri" w:cs="Calibri"/>
          <w:sz w:val="23"/>
          <w:szCs w:val="23"/>
        </w:rPr>
        <w:t xml:space="preserve">Fawkner and surrounding suburbs, </w:t>
      </w:r>
      <w:r>
        <w:rPr>
          <w:rFonts w:ascii="Calibri" w:eastAsia="Calibri" w:hAnsi="Calibri" w:cs="Calibri"/>
          <w:sz w:val="23"/>
          <w:szCs w:val="23"/>
        </w:rPr>
        <w:t xml:space="preserve">Melbourne, </w:t>
      </w:r>
      <w:r w:rsidRPr="359636AC">
        <w:rPr>
          <w:rFonts w:ascii="Calibri" w:eastAsia="Calibri" w:hAnsi="Calibri" w:cs="Calibri"/>
          <w:sz w:val="23"/>
          <w:szCs w:val="23"/>
        </w:rPr>
        <w:t>Victoria (2020–2021)</w:t>
      </w:r>
      <w:bookmarkEnd w:id="17"/>
    </w:p>
    <w:p w14:paraId="394E1866"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Main Practice Domain(s):         </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Health and Wellbeing, Liveability</w:t>
      </w:r>
    </w:p>
    <w:p w14:paraId="307C295B" w14:textId="06059348"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Secondary Practice Domain(s): </w:t>
      </w:r>
      <w:r w:rsidRPr="00C95B9B">
        <w:rPr>
          <w:rFonts w:eastAsiaTheme="minorEastAsia"/>
          <w:b/>
          <w:bCs/>
          <w:color w:val="595959" w:themeColor="text1" w:themeTint="A6"/>
          <w:sz w:val="23"/>
          <w:szCs w:val="23"/>
        </w:rPr>
        <w:tab/>
        <w:t>Education</w:t>
      </w:r>
    </w:p>
    <w:p w14:paraId="31AD4C1F" w14:textId="4BDD085C" w:rsidR="00380B47" w:rsidRPr="00C95B9B" w:rsidRDefault="00380B47" w:rsidP="00A5216B">
      <w:pPr>
        <w:spacing w:line="276" w:lineRule="auto"/>
        <w:rPr>
          <w:b/>
          <w:bCs/>
        </w:rPr>
      </w:pPr>
      <w:r w:rsidRPr="00865BEB">
        <w:rPr>
          <w:rFonts w:ascii="Calibri Light" w:eastAsia="Calibri Light" w:hAnsi="Calibri Light" w:cs="Calibri Light"/>
          <w:color w:val="000000" w:themeColor="text1"/>
          <w:sz w:val="23"/>
          <w:szCs w:val="23"/>
        </w:rPr>
        <w:t>Fawkner is one of the Moreland municipality’s most food-insecure suburbs. Fawkner Commons is a non-for-profit, community-led food distribution hub. As well as providing food relief, it aims to foster social inclusion, social cohesion, and community resilience. The program services low-income residents in Fawkner, and nearby Glenroy, Hadfield, and Merlynston.</w:t>
      </w:r>
    </w:p>
    <w:p w14:paraId="2C5C09AF" w14:textId="7996948C" w:rsidR="00380B47" w:rsidRPr="00C95B9B" w:rsidRDefault="00380B47" w:rsidP="00A5216B">
      <w:pPr>
        <w:spacing w:line="276" w:lineRule="auto"/>
        <w:rPr>
          <w:b/>
          <w:bCs/>
        </w:rPr>
      </w:pPr>
      <w:r w:rsidRPr="00865BEB">
        <w:rPr>
          <w:rFonts w:ascii="Calibri Light" w:eastAsia="Calibri Light" w:hAnsi="Calibri Light" w:cs="Calibri Light"/>
          <w:color w:val="000000" w:themeColor="text1"/>
          <w:sz w:val="23"/>
          <w:szCs w:val="23"/>
        </w:rPr>
        <w:t>Arising from the northern suburbs’ lockdown during the COVID-19 pandemic, Fawkner Commons was launched in May 2020 in partnership with The Community Grocer and Fawkner Bowling Club. Other partners include the Open Food Network, Moreland Council, and the Victorian State Government (Fawkner Commons, n.d.).</w:t>
      </w:r>
    </w:p>
    <w:p w14:paraId="4053EB59" w14:textId="20CDCAFA"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founders work with local and small-scale food producers to provide fresh food from local sources. Workers and volunteers provide contactless healthy and affordable food box distribution to households with reduced income. A range of other locally sourced produce is also available through the Open Food Network, an open-source platform fostering ethical supply chains (Open Food Network, n.d.).</w:t>
      </w:r>
    </w:p>
    <w:p w14:paraId="216444CE" w14:textId="11F0A613" w:rsidR="00380B47" w:rsidRPr="00C95B9B" w:rsidRDefault="00380B47" w:rsidP="00A5216B">
      <w:pPr>
        <w:spacing w:line="276" w:lineRule="auto"/>
        <w:rPr>
          <w:b/>
          <w:bCs/>
        </w:rPr>
      </w:pPr>
      <w:r w:rsidRPr="00865BEB">
        <w:rPr>
          <w:rFonts w:ascii="Calibri Light" w:eastAsia="Calibri Light" w:hAnsi="Calibri Light" w:cs="Calibri Light"/>
          <w:color w:val="000000" w:themeColor="text1"/>
          <w:sz w:val="23"/>
          <w:szCs w:val="23"/>
        </w:rPr>
        <w:t xml:space="preserve">In May–December 2020, Fawkner Commons distributed $110,000 of fresh produce and essentials through its food box distribution service, provided 2400 prepared meals and 1525 no-cost food hampers, and raised $10,000 through pay-it-forward initiatives (Fair Share Fare, 2020b). It also spawned the </w:t>
      </w:r>
      <w:r w:rsidRPr="00865BEB">
        <w:rPr>
          <w:rFonts w:ascii="Calibri Light" w:eastAsia="Calibri Light" w:hAnsi="Calibri Light" w:cs="Calibri Light"/>
          <w:color w:val="0563C1"/>
          <w:sz w:val="23"/>
          <w:szCs w:val="23"/>
          <w:u w:val="single"/>
        </w:rPr>
        <w:t>Morefood for Moreland</w:t>
      </w:r>
      <w:r w:rsidRPr="00865BEB">
        <w:rPr>
          <w:rFonts w:ascii="Calibri Light" w:eastAsia="Calibri Light" w:hAnsi="Calibri Light" w:cs="Calibri Light"/>
          <w:color w:val="000000" w:themeColor="text1"/>
          <w:sz w:val="23"/>
          <w:szCs w:val="23"/>
        </w:rPr>
        <w:t xml:space="preserve"> crowd-funding campaign (on the Raisely platform) to provide fresh fruit and vegetables to community members. Launched in September 2020, this campaign has raised over $7000 to date (Morefood for Moreland, n.d.).</w:t>
      </w:r>
    </w:p>
    <w:p w14:paraId="6FE18A8E" w14:textId="581FE4CB" w:rsidR="00380B47" w:rsidRPr="00C95B9B" w:rsidRDefault="00380B47" w:rsidP="00A5216B">
      <w:pPr>
        <w:spacing w:line="276" w:lineRule="auto"/>
        <w:rPr>
          <w:b/>
          <w:bCs/>
        </w:rPr>
      </w:pPr>
      <w:r w:rsidRPr="00865BEB">
        <w:rPr>
          <w:rFonts w:ascii="Calibri Light" w:eastAsia="Calibri Light" w:hAnsi="Calibri Light" w:cs="Calibri Light"/>
          <w:color w:val="000000" w:themeColor="text1"/>
          <w:sz w:val="23"/>
          <w:szCs w:val="23"/>
        </w:rPr>
        <w:t>Founded by artist, academic, and activist Dr Jen Rae and partner Sally Beattie, the Fawkner Commons initiative is part of Rae’s umbrella venture, Fair Share Fare. This multi-platform, participatory arts project explores food security in the time of climate change (Fare Share Fair, 2020a). Rae’s practice is based on participatory and community-led approaches. Other Fair Share Fare sub-projects she has developed in collaboration with local communities include:</w:t>
      </w:r>
    </w:p>
    <w:p w14:paraId="3A8D4F44" w14:textId="77777777" w:rsidR="00380B47" w:rsidRPr="00865BEB" w:rsidRDefault="00380B47" w:rsidP="00F75A96">
      <w:pPr>
        <w:pStyle w:val="ListParagraph"/>
        <w:numPr>
          <w:ilvl w:val="0"/>
          <w:numId w:val="5"/>
        </w:numPr>
        <w:spacing w:after="120" w:line="276" w:lineRule="auto"/>
        <w:ind w:left="714" w:hanging="357"/>
        <w:contextualSpacing w:val="0"/>
        <w:rPr>
          <w:rFonts w:eastAsiaTheme="minorEastAsia"/>
          <w:b/>
          <w:bCs/>
          <w:color w:val="000000" w:themeColor="text1"/>
          <w:sz w:val="23"/>
          <w:szCs w:val="23"/>
        </w:rPr>
      </w:pPr>
      <w:r w:rsidRPr="00865BEB">
        <w:rPr>
          <w:rFonts w:eastAsia="Calibri Light" w:cstheme="minorHAnsi"/>
          <w:color w:val="000000" w:themeColor="text1"/>
          <w:sz w:val="23"/>
          <w:szCs w:val="23"/>
        </w:rPr>
        <w:t>Refuge series:</w:t>
      </w:r>
      <w:r w:rsidRPr="00865BEB">
        <w:rPr>
          <w:rFonts w:ascii="Calibri Light" w:eastAsia="Calibri Light" w:hAnsi="Calibri Light" w:cs="Calibri Light"/>
          <w:color w:val="000000" w:themeColor="text1"/>
          <w:sz w:val="23"/>
          <w:szCs w:val="23"/>
        </w:rPr>
        <w:t xml:space="preserve"> multi-year transdisciplinary program (2016–2019) investigating art and culture’s role in building community resilience for climate-related disasters (Dow, 2016).</w:t>
      </w:r>
    </w:p>
    <w:p w14:paraId="5A26A9E9" w14:textId="77777777" w:rsidR="00380B47" w:rsidRPr="00865BEB" w:rsidRDefault="00380B47" w:rsidP="00F75A96">
      <w:pPr>
        <w:pStyle w:val="ListParagraph"/>
        <w:numPr>
          <w:ilvl w:val="0"/>
          <w:numId w:val="5"/>
        </w:numPr>
        <w:spacing w:after="120" w:line="276" w:lineRule="auto"/>
        <w:ind w:left="714" w:hanging="357"/>
        <w:contextualSpacing w:val="0"/>
        <w:rPr>
          <w:rFonts w:eastAsiaTheme="minorEastAsia"/>
          <w:b/>
          <w:bCs/>
          <w:color w:val="000000" w:themeColor="text1"/>
          <w:sz w:val="23"/>
          <w:szCs w:val="23"/>
        </w:rPr>
      </w:pPr>
      <w:r w:rsidRPr="00865BEB">
        <w:rPr>
          <w:rFonts w:eastAsia="Calibri Light" w:cstheme="minorHAnsi"/>
          <w:color w:val="000000" w:themeColor="text1"/>
          <w:sz w:val="23"/>
          <w:szCs w:val="23"/>
        </w:rPr>
        <w:t>Recipe for Disaster:</w:t>
      </w:r>
      <w:r w:rsidRPr="00865BEB">
        <w:rPr>
          <w:rFonts w:ascii="Calibri Light" w:eastAsia="Calibri Light" w:hAnsi="Calibri Light" w:cs="Calibri Light"/>
          <w:color w:val="000000" w:themeColor="text1"/>
          <w:sz w:val="23"/>
          <w:szCs w:val="23"/>
        </w:rPr>
        <w:t xml:space="preserve"> interactive performative dinner experiment presented by Science Gallery Melbourne as part of the 2019 Disposable series.</w:t>
      </w:r>
    </w:p>
    <w:p w14:paraId="1851310E" w14:textId="77777777" w:rsidR="00380B47" w:rsidRPr="00865BEB" w:rsidRDefault="00380B47" w:rsidP="00F75A96">
      <w:pPr>
        <w:pStyle w:val="ListParagraph"/>
        <w:numPr>
          <w:ilvl w:val="0"/>
          <w:numId w:val="5"/>
        </w:numPr>
        <w:spacing w:after="120" w:line="276" w:lineRule="auto"/>
        <w:ind w:left="714" w:hanging="357"/>
        <w:contextualSpacing w:val="0"/>
        <w:rPr>
          <w:rFonts w:eastAsiaTheme="minorEastAsia"/>
          <w:b/>
          <w:bCs/>
          <w:color w:val="000000" w:themeColor="text1"/>
          <w:sz w:val="23"/>
          <w:szCs w:val="23"/>
        </w:rPr>
      </w:pPr>
      <w:r w:rsidRPr="00865BEB">
        <w:rPr>
          <w:rFonts w:eastAsia="Calibri Light" w:cstheme="minorHAnsi"/>
          <w:color w:val="000000" w:themeColor="text1"/>
          <w:sz w:val="23"/>
          <w:szCs w:val="23"/>
        </w:rPr>
        <w:t>Future Proof Survival Guide:</w:t>
      </w:r>
      <w:r w:rsidRPr="00865BEB">
        <w:rPr>
          <w:rFonts w:ascii="Calibri Light" w:eastAsia="Calibri Light" w:hAnsi="Calibri Light" w:cs="Calibri Light"/>
          <w:color w:val="000000" w:themeColor="text1"/>
          <w:sz w:val="23"/>
          <w:szCs w:val="23"/>
        </w:rPr>
        <w:t xml:space="preserve"> uncovering and sharing collective community knowledge around food to support disaster preparedness. </w:t>
      </w:r>
    </w:p>
    <w:p w14:paraId="3A7A7231" w14:textId="42164815" w:rsidR="00380B47" w:rsidRPr="00FC3BE0" w:rsidRDefault="00380B47" w:rsidP="00F75A96">
      <w:pPr>
        <w:pStyle w:val="ListParagraph"/>
        <w:numPr>
          <w:ilvl w:val="0"/>
          <w:numId w:val="5"/>
        </w:numPr>
        <w:spacing w:after="120" w:line="276" w:lineRule="auto"/>
        <w:ind w:left="714" w:hanging="357"/>
        <w:contextualSpacing w:val="0"/>
        <w:rPr>
          <w:rFonts w:eastAsiaTheme="minorEastAsia"/>
          <w:b/>
          <w:bCs/>
          <w:color w:val="000000" w:themeColor="text1"/>
          <w:sz w:val="23"/>
          <w:szCs w:val="23"/>
        </w:rPr>
      </w:pPr>
      <w:r w:rsidRPr="00865BEB">
        <w:rPr>
          <w:rFonts w:eastAsia="Calibri Light" w:cstheme="minorHAnsi"/>
          <w:color w:val="000000" w:themeColor="text1"/>
          <w:sz w:val="23"/>
          <w:szCs w:val="23"/>
        </w:rPr>
        <w:t>DIY Knowledge Share:</w:t>
      </w:r>
      <w:r w:rsidRPr="00865BEB">
        <w:rPr>
          <w:rFonts w:ascii="Calibri Light" w:eastAsia="Calibri Light" w:hAnsi="Calibri Light" w:cs="Calibri Light"/>
          <w:color w:val="000000" w:themeColor="text1"/>
          <w:sz w:val="23"/>
          <w:szCs w:val="23"/>
        </w:rPr>
        <w:t xml:space="preserve"> workshops to share recipes, and the culture and stories behind them. </w:t>
      </w:r>
    </w:p>
    <w:p w14:paraId="6BD82A3D" w14:textId="551587A9" w:rsidR="00FC3BE0" w:rsidRDefault="00FC3BE0" w:rsidP="00FC3BE0">
      <w:pPr>
        <w:spacing w:line="276" w:lineRule="auto"/>
        <w:ind w:left="360"/>
        <w:rPr>
          <w:rFonts w:eastAsiaTheme="minorEastAsia"/>
          <w:b/>
          <w:bCs/>
          <w:color w:val="000000" w:themeColor="text1"/>
          <w:sz w:val="23"/>
          <w:szCs w:val="23"/>
        </w:rPr>
      </w:pPr>
    </w:p>
    <w:p w14:paraId="36023C6E" w14:textId="77777777" w:rsidR="00FC3BE0" w:rsidRPr="00FC3BE0" w:rsidRDefault="00FC3BE0" w:rsidP="00FC3BE0">
      <w:pPr>
        <w:spacing w:line="276" w:lineRule="auto"/>
        <w:ind w:left="360"/>
        <w:rPr>
          <w:rFonts w:eastAsiaTheme="minorEastAsia"/>
          <w:b/>
          <w:bCs/>
          <w:color w:val="000000" w:themeColor="text1"/>
          <w:sz w:val="23"/>
          <w:szCs w:val="23"/>
        </w:rPr>
      </w:pPr>
    </w:p>
    <w:p w14:paraId="067B8FA8" w14:textId="77777777" w:rsidR="00380B47" w:rsidRPr="00380B47" w:rsidRDefault="00380B47" w:rsidP="00731C05">
      <w:pPr>
        <w:pStyle w:val="Heading2"/>
      </w:pPr>
      <w:bookmarkStart w:id="18" w:name="_Toc108183154"/>
      <w:r w:rsidRPr="00380B47">
        <w:t>Streets Ahead: Active Travel and Mobility for Primary School Kids</w:t>
      </w:r>
      <w:bookmarkEnd w:id="18"/>
    </w:p>
    <w:p w14:paraId="1623A623" w14:textId="5A991AEF" w:rsidR="00380B47" w:rsidRPr="00C95B9B" w:rsidRDefault="00380B47" w:rsidP="00A5216B">
      <w:pPr>
        <w:spacing w:line="276" w:lineRule="auto"/>
        <w:rPr>
          <w:rFonts w:ascii="Calibri" w:eastAsia="Calibri" w:hAnsi="Calibri" w:cs="Calibri"/>
          <w:b/>
          <w:bCs/>
          <w:sz w:val="23"/>
          <w:szCs w:val="23"/>
        </w:rPr>
      </w:pPr>
      <w:r w:rsidRPr="27ED1008">
        <w:rPr>
          <w:rFonts w:ascii="Calibri" w:eastAsia="Calibri" w:hAnsi="Calibri" w:cs="Calibri"/>
          <w:sz w:val="23"/>
          <w:szCs w:val="23"/>
        </w:rPr>
        <w:t>Six local council areas, Victoria (2008–2011)</w:t>
      </w:r>
    </w:p>
    <w:p w14:paraId="70A9455C"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 xml:space="preserve">Health and Wellbeing </w:t>
      </w:r>
    </w:p>
    <w:p w14:paraId="51A5AAE0" w14:textId="11278F2F"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Education, Liveability</w:t>
      </w:r>
    </w:p>
    <w:p w14:paraId="2195E40E" w14:textId="5B98941F"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Streets Ahead was a three-year program funded by VicHealth from July 2008 to June 2011. It aimed to create supportive environments to increase children’s active travel and independent mobility in their local community, with a focus on travelling to and from school by walking or cycling.</w:t>
      </w:r>
      <w:r w:rsidRPr="00865BEB">
        <w:rPr>
          <w:color w:val="000000" w:themeColor="text1"/>
        </w:rPr>
        <w:t xml:space="preserve"> </w:t>
      </w:r>
      <w:r w:rsidRPr="00865BEB">
        <w:rPr>
          <w:rFonts w:ascii="Calibri Light" w:eastAsia="Calibri Light" w:hAnsi="Calibri Light" w:cs="Calibri Light"/>
          <w:color w:val="000000" w:themeColor="text1"/>
          <w:sz w:val="23"/>
          <w:szCs w:val="23"/>
        </w:rPr>
        <w:t>The target group was children aged four to 12 years.</w:t>
      </w:r>
    </w:p>
    <w:p w14:paraId="492FBF0F" w14:textId="0777437B"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Six local government areas (LGAs) across Victoria were selected to take part, based on their higher local levels of social disadvantage and health inequalities. The target LGAs were Bendigo, Brimbank, Cardinia, Darebin, Wodonga, and Geelong. Three or four primary schools in each area were then selected to take part. After place-based groundwork by local project officers, a diverse range of locally tailored projects and approaches were rolled out in each area. Events were also run to raise awareness of the initiative, including Ride2School Day, Walk Safely to School Day, Walktober, and the Walk on Wednesday Awards. </w:t>
      </w:r>
    </w:p>
    <w:p w14:paraId="62CD2B72" w14:textId="05646D79"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One target municipality, Brimbank (pop 209,000), scored the second lowest in metropolitan Melbourne on the Index of Relative Social-Economic Disadvantage (IRSD) at the outset of the project. Brimbank participants were introduced to the project through a community-building workshop for local parents and children. As a result of that event, interested participants formed an “action committee” to implement the program (VicHealth, 2011).</w:t>
      </w:r>
    </w:p>
    <w:p w14:paraId="07490529" w14:textId="25117C13" w:rsidR="00380B47" w:rsidRPr="00C95B9B" w:rsidRDefault="00380B47" w:rsidP="00A5216B">
      <w:pPr>
        <w:spacing w:line="276" w:lineRule="auto"/>
        <w:rPr>
          <w:b/>
          <w:bCs/>
          <w:color w:val="000000" w:themeColor="text1"/>
        </w:rPr>
      </w:pPr>
      <w:r w:rsidRPr="00865BEB">
        <w:rPr>
          <w:rFonts w:ascii="Calibri Light" w:eastAsia="Calibri Light" w:hAnsi="Calibri Light" w:cs="Calibri Light"/>
          <w:color w:val="000000" w:themeColor="text1"/>
          <w:sz w:val="23"/>
          <w:szCs w:val="23"/>
        </w:rPr>
        <w:t xml:space="preserve">Giving participants a driving role in the project was evidently a successful </w:t>
      </w:r>
      <w:r w:rsidR="00D24715" w:rsidRPr="00865BEB">
        <w:rPr>
          <w:rFonts w:ascii="Calibri Light" w:eastAsia="Calibri Light" w:hAnsi="Calibri Light" w:cs="Calibri Light"/>
          <w:color w:val="000000" w:themeColor="text1"/>
          <w:sz w:val="23"/>
          <w:szCs w:val="23"/>
        </w:rPr>
        <w:t>strategy and</w:t>
      </w:r>
      <w:r w:rsidRPr="00865BEB">
        <w:rPr>
          <w:rFonts w:ascii="Calibri Light" w:eastAsia="Calibri Light" w:hAnsi="Calibri Light" w:cs="Calibri Light"/>
          <w:color w:val="000000" w:themeColor="text1"/>
          <w:sz w:val="23"/>
          <w:szCs w:val="23"/>
        </w:rPr>
        <w:t xml:space="preserve"> yielded longer-term benefits that surpassed the lifespan of the project. The initial action committee grew into an independent community organisation known as the Albion and Ardeer Community Club (AACC). Together, Streets Ahead and the AACC developed a community garden, and planned and delivered an Albion and Ardeer Neighbourhood Festival in 2019, which attracted 500 community members. A decade after the Streets Ahead program concluded, the AACC remains active in the area, indicating that the initiative was successful in building local community capacity and connection.</w:t>
      </w:r>
    </w:p>
    <w:p w14:paraId="185CFAF2" w14:textId="3ED96C1F"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Geelong-based project ran in East Geelong, Breakwater, and Thompson. The local iteration included neighbourhood events to increase social connection and sense of safety, including a play-based treasure hunt for parents and kids; professional development for teachers on children’s outdoor education; presentations for Council staff on child-friendly cities, and seminars for parents to challenge perceptions of “stranger danger” and the practice of “bubble-wrapping” children (VicHealth 2014).</w:t>
      </w:r>
    </w:p>
    <w:p w14:paraId="4213DA06" w14:textId="77777777" w:rsidR="00380B47" w:rsidRPr="00865BE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An </w:t>
      </w:r>
      <w:hyperlink r:id="rId11" w:history="1">
        <w:r w:rsidRPr="00731C05">
          <w:rPr>
            <w:rStyle w:val="Hyperlink"/>
            <w:rFonts w:cstheme="majorHAnsi"/>
          </w:rPr>
          <w:t>evaluation</w:t>
        </w:r>
      </w:hyperlink>
      <w:r w:rsidRPr="00865BEB">
        <w:rPr>
          <w:rFonts w:ascii="Calibri Light" w:eastAsia="Calibri Light" w:hAnsi="Calibri Light" w:cs="Calibri Light"/>
          <w:color w:val="000000" w:themeColor="text1"/>
          <w:sz w:val="23"/>
          <w:szCs w:val="23"/>
        </w:rPr>
        <w:t xml:space="preserve"> of the overall program found that</w:t>
      </w:r>
      <w:r w:rsidRPr="00865BEB">
        <w:rPr>
          <w:color w:val="000000" w:themeColor="text1"/>
        </w:rPr>
        <w:t xml:space="preserve"> </w:t>
      </w:r>
      <w:r w:rsidRPr="00865BEB">
        <w:rPr>
          <w:rFonts w:ascii="Calibri Light" w:eastAsia="Calibri Light" w:hAnsi="Calibri Light" w:cs="Calibri Light"/>
          <w:color w:val="000000" w:themeColor="text1"/>
          <w:sz w:val="23"/>
          <w:szCs w:val="23"/>
        </w:rPr>
        <w:t xml:space="preserve">encouraging or supporting children to walk to and from school appeared to help them build a more connected and detailed understanding of their neighbourhood. For the Geelong-based project, school-related active travel rose from </w:t>
      </w:r>
      <w:r w:rsidRPr="00865BEB">
        <w:rPr>
          <w:rFonts w:ascii="Calibri Light" w:eastAsia="Calibri Light" w:hAnsi="Calibri Light" w:cs="Calibri Light"/>
          <w:color w:val="000000" w:themeColor="text1"/>
          <w:sz w:val="23"/>
          <w:szCs w:val="23"/>
        </w:rPr>
        <w:lastRenderedPageBreak/>
        <w:t>around 25 percent at the start of the project, to around 40 percent routinely, and as high as 90 percent during some special events (VicHealth, 2014: 17).</w:t>
      </w:r>
    </w:p>
    <w:p w14:paraId="29B8541E" w14:textId="77777777" w:rsidR="00380B47" w:rsidRPr="00E05D57" w:rsidRDefault="00380B47" w:rsidP="00731C05">
      <w:pPr>
        <w:pStyle w:val="Heading2"/>
        <w:rPr>
          <w:rFonts w:cstheme="minorHAnsi"/>
          <w:b/>
          <w:bCs/>
          <w:sz w:val="25"/>
          <w:szCs w:val="25"/>
        </w:rPr>
      </w:pPr>
      <w:bookmarkStart w:id="19" w:name="_Toc108183155"/>
      <w:bookmarkStart w:id="20" w:name="_Hlk70863642"/>
      <w:r w:rsidRPr="00380B47">
        <w:t>Ten Ideas, Three Ventures: Improving Mental Health for Young South Sudanese Australians</w:t>
      </w:r>
      <w:bookmarkEnd w:id="19"/>
    </w:p>
    <w:p w14:paraId="1F7FD792" w14:textId="77777777" w:rsidR="00380B47" w:rsidRPr="00E05D57" w:rsidRDefault="00380B47" w:rsidP="00A5216B">
      <w:pPr>
        <w:spacing w:line="276" w:lineRule="auto"/>
        <w:rPr>
          <w:rFonts w:cstheme="minorHAnsi"/>
          <w:b/>
          <w:bCs/>
          <w:sz w:val="23"/>
          <w:szCs w:val="23"/>
        </w:rPr>
      </w:pPr>
      <w:r w:rsidRPr="00E05D57">
        <w:rPr>
          <w:rFonts w:cstheme="minorHAnsi"/>
          <w:sz w:val="23"/>
          <w:szCs w:val="23"/>
        </w:rPr>
        <w:t>Western Metropolitan Melbourne, TACSI (2018–2020)</w:t>
      </w:r>
    </w:p>
    <w:bookmarkEnd w:id="20"/>
    <w:p w14:paraId="2038DBD1"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 (s):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Health and Wellbeing</w:t>
      </w:r>
    </w:p>
    <w:p w14:paraId="2E4D838A" w14:textId="59450CE4"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Education, Liveability</w:t>
      </w:r>
    </w:p>
    <w:p w14:paraId="40425C0C" w14:textId="32FA14C8" w:rsidR="00380B47" w:rsidRPr="00C95B9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Most of Melbourne’s South Sudanese community (pop. 11,000) lives in working-class suburbs in the city’s west and south-east. Many are Australian born, while others arrived as refugees. In 2018, the community was experiencing negative public scrutiny, media stereotyping, and racism (Henriques-Gomes, 2018). Alongside this hostility came a tragic string of youth suicides, and growing concern over mental health issues in the community.</w:t>
      </w:r>
    </w:p>
    <w:p w14:paraId="2F5F1F3D" w14:textId="3EFC1380" w:rsidR="00380B47" w:rsidRPr="00C95B9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In response, The Australian Centre for Social Innovation (TACSI) began collaborating with local young people to develop projects to address social exclusion and help the community thrive (TACSI, 2018). Formed in 2009, TACSI is an independent social enterprise focused on building equitable social and economic prosperity. Its approach is based on co-design and community-led models of engagement.</w:t>
      </w:r>
    </w:p>
    <w:p w14:paraId="40FD3DEF" w14:textId="6784DCFB" w:rsidR="00380B47" w:rsidRPr="00C95B9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That initial project ran over 18 months. Building on the relationships it fostered, TACSI developed an offshoot project to improve local young people’s mental health and wellbeing. There is a strong social stigma around mental illness in traditional South Sudanese culture, and few people have used mental health services prior to arrival in Australia (Migrant Information Centre, 2012: 4). Taking a co-designed, community-led approach, TACSI worked with groups of young people over six months in 2020. Project partners were the Victorian State government (DHHS) and local service provider Co-Health.</w:t>
      </w:r>
    </w:p>
    <w:p w14:paraId="32FF88AD" w14:textId="6F1E6DF6" w:rsidR="00380B47" w:rsidRPr="00C95B9B" w:rsidRDefault="00380B47" w:rsidP="00A5216B">
      <w:pPr>
        <w:spacing w:line="276" w:lineRule="auto"/>
        <w:rPr>
          <w:rFonts w:asciiTheme="majorHAnsi" w:hAnsiTheme="majorHAnsi" w:cstheme="majorHAnsi"/>
          <w:b/>
          <w:bCs/>
          <w:color w:val="000000" w:themeColor="text1"/>
          <w:sz w:val="23"/>
          <w:szCs w:val="23"/>
        </w:rPr>
      </w:pPr>
      <w:r w:rsidRPr="00865BEB">
        <w:rPr>
          <w:rFonts w:asciiTheme="majorHAnsi" w:hAnsiTheme="majorHAnsi" w:cstheme="majorHAnsi"/>
          <w:color w:val="000000" w:themeColor="text1"/>
          <w:sz w:val="23"/>
          <w:szCs w:val="23"/>
        </w:rPr>
        <w:t>TACSI staff supported the young people to conduct research within their communities; created “peer mental health roles” to encourage them to share their lived experiences; and coached them to develop, plan, test, and refine creative project ideas to bring the community together. From ten resulting ideas, three “ventures” were delivered and evaluated with community members. All three projects took shape during the pandemic and were swiftly adapted for Melbourne’s COVID-19 lockdowns. Projects were:</w:t>
      </w:r>
    </w:p>
    <w:p w14:paraId="102B1A29" w14:textId="77777777" w:rsidR="00380B47" w:rsidRPr="00865BEB" w:rsidRDefault="00380B47" w:rsidP="00F75A96">
      <w:pPr>
        <w:pStyle w:val="ListParagraph"/>
        <w:numPr>
          <w:ilvl w:val="0"/>
          <w:numId w:val="1"/>
        </w:numPr>
        <w:spacing w:after="120" w:line="276" w:lineRule="auto"/>
        <w:ind w:left="714" w:hanging="357"/>
        <w:contextualSpacing w:val="0"/>
        <w:rPr>
          <w:rFonts w:asciiTheme="majorHAnsi" w:hAnsiTheme="majorHAnsi" w:cstheme="majorBidi"/>
          <w:b/>
          <w:bCs/>
          <w:color w:val="000000" w:themeColor="text1"/>
          <w:sz w:val="23"/>
          <w:szCs w:val="23"/>
        </w:rPr>
      </w:pPr>
      <w:r w:rsidRPr="00865BEB">
        <w:rPr>
          <w:rFonts w:cstheme="minorHAnsi"/>
          <w:color w:val="000000" w:themeColor="text1"/>
          <w:sz w:val="23"/>
          <w:szCs w:val="23"/>
        </w:rPr>
        <w:t>The Culture Party:</w:t>
      </w:r>
      <w:r w:rsidRPr="00865BEB">
        <w:rPr>
          <w:rFonts w:asciiTheme="majorHAnsi" w:hAnsiTheme="majorHAnsi" w:cstheme="majorBidi"/>
          <w:color w:val="000000" w:themeColor="text1"/>
          <w:sz w:val="23"/>
          <w:szCs w:val="23"/>
        </w:rPr>
        <w:t xml:space="preserve"> an Instagram Live (online) event showcasing South Sudanese Australian creative talent, including live interviews with singers, dancers and artists talking about wellbeing and mental health. More than 600 young South Sudanese Australians took part in the first online Culture Party.</w:t>
      </w:r>
    </w:p>
    <w:p w14:paraId="60974B0B" w14:textId="77777777" w:rsidR="00380B47" w:rsidRPr="00865BEB" w:rsidRDefault="00380B47" w:rsidP="00F75A96">
      <w:pPr>
        <w:pStyle w:val="ListParagraph"/>
        <w:numPr>
          <w:ilvl w:val="0"/>
          <w:numId w:val="1"/>
        </w:numPr>
        <w:spacing w:after="120" w:line="276" w:lineRule="auto"/>
        <w:ind w:left="714" w:hanging="357"/>
        <w:contextualSpacing w:val="0"/>
        <w:rPr>
          <w:rFonts w:asciiTheme="majorHAnsi" w:hAnsiTheme="majorHAnsi" w:cstheme="majorBidi"/>
          <w:b/>
          <w:bCs/>
          <w:color w:val="000000" w:themeColor="text1"/>
          <w:sz w:val="23"/>
          <w:szCs w:val="23"/>
        </w:rPr>
      </w:pPr>
      <w:r w:rsidRPr="00865BEB">
        <w:rPr>
          <w:rFonts w:cstheme="minorHAnsi"/>
          <w:color w:val="000000" w:themeColor="text1"/>
          <w:sz w:val="23"/>
          <w:szCs w:val="23"/>
        </w:rPr>
        <w:t>Mental Health Training:</w:t>
      </w:r>
      <w:r w:rsidRPr="00865BEB">
        <w:rPr>
          <w:rFonts w:asciiTheme="majorHAnsi" w:hAnsiTheme="majorHAnsi" w:cstheme="majorBidi"/>
          <w:color w:val="000000" w:themeColor="text1"/>
          <w:sz w:val="23"/>
          <w:szCs w:val="23"/>
        </w:rPr>
        <w:t xml:space="preserve"> a range of events, services and activities designed to provide informal, culturally appropriate, professional mental health support for young people and their parents. This included free individual counselling sessions, and Mindfulness Monday, a regular video check-in enabling young people to debrief and reflect on their wellbeing, supported by peers and a counsellor.</w:t>
      </w:r>
    </w:p>
    <w:p w14:paraId="16E0CD7C" w14:textId="257F7A96" w:rsidR="00380B47" w:rsidRPr="00C95B9B" w:rsidRDefault="00380B47" w:rsidP="00F75A96">
      <w:pPr>
        <w:pStyle w:val="ListParagraph"/>
        <w:numPr>
          <w:ilvl w:val="0"/>
          <w:numId w:val="1"/>
        </w:numPr>
        <w:spacing w:after="120" w:line="276" w:lineRule="auto"/>
        <w:ind w:left="714" w:hanging="357"/>
        <w:contextualSpacing w:val="0"/>
        <w:rPr>
          <w:rFonts w:asciiTheme="majorHAnsi" w:hAnsiTheme="majorHAnsi" w:cstheme="majorHAnsi"/>
          <w:b/>
          <w:bCs/>
          <w:color w:val="000000" w:themeColor="text1"/>
          <w:sz w:val="23"/>
          <w:szCs w:val="23"/>
        </w:rPr>
      </w:pPr>
      <w:r w:rsidRPr="00865BEB">
        <w:rPr>
          <w:rFonts w:cstheme="minorHAnsi"/>
          <w:color w:val="000000" w:themeColor="text1"/>
          <w:sz w:val="23"/>
          <w:szCs w:val="23"/>
        </w:rPr>
        <w:lastRenderedPageBreak/>
        <w:t>Conversations Between Generations:</w:t>
      </w:r>
      <w:r w:rsidRPr="00865BEB">
        <w:rPr>
          <w:rFonts w:asciiTheme="majorHAnsi" w:hAnsiTheme="majorHAnsi" w:cstheme="majorHAnsi"/>
          <w:color w:val="000000" w:themeColor="text1"/>
          <w:sz w:val="23"/>
          <w:szCs w:val="23"/>
        </w:rPr>
        <w:t xml:space="preserve"> young people hosted fortnightly conversations with older South Sudanese Australians about mental health and wellbeing. A spin-off of a previous successful program, ‘Talk with Me’, the project sought to foster understanding and empathy of diverse experiences across generations. Livestreamed to Facebook, seven conversations attracted 7800 total views.</w:t>
      </w:r>
    </w:p>
    <w:p w14:paraId="79CBD193" w14:textId="268E9D0B" w:rsidR="00380B47" w:rsidRPr="00C95B9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Social justice consultancy Clear Horizons is currently evaluating the program, but community testimonies point to several beneficial outcomes (TACSI, 2020): building social capital and community capacity, reducing stigma and isolation, increasing belonging and community pride, fostering creative expression, building leadership skills, showcasing youth culture, strengthening intergenerational communication, and connecting young people with mental health services.</w:t>
      </w:r>
    </w:p>
    <w:p w14:paraId="321C3CFD" w14:textId="482B6C96" w:rsidR="00380B47" w:rsidRPr="00C95B9B" w:rsidRDefault="00380B47" w:rsidP="00A96A68">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Success factors include effective partnership-building, leveraging of online platforms, adequate timeframes to build relationships of trust, and TACSI’s collaborative, community-led approach to tackling place-based disadvantage, including the use of co-design strategies. A finalist in the 2020 Premier’s Design Awards for Service Design, the DHHS-funded program is described as low cost, and adaptable to offline settings.</w:t>
      </w:r>
    </w:p>
    <w:p w14:paraId="005C8C62" w14:textId="77777777" w:rsidR="00380B47" w:rsidRPr="00380B47" w:rsidRDefault="00380B47" w:rsidP="00731C05">
      <w:pPr>
        <w:pStyle w:val="Heading2"/>
      </w:pPr>
      <w:bookmarkStart w:id="21" w:name="_Toc108183156"/>
      <w:bookmarkStart w:id="22" w:name="_Hlk70863653"/>
      <w:r w:rsidRPr="00380B47">
        <w:t>Neighbourhood Renewal Program: Place-Based Initiative to Tackle Locational Disadvantage</w:t>
      </w:r>
      <w:bookmarkEnd w:id="21"/>
    </w:p>
    <w:p w14:paraId="12818D8C" w14:textId="44F19C2B" w:rsidR="00380B47" w:rsidRPr="00C95B9B" w:rsidRDefault="00380B47" w:rsidP="00A5216B">
      <w:pPr>
        <w:spacing w:line="276" w:lineRule="auto"/>
        <w:rPr>
          <w:rFonts w:cstheme="majorBidi"/>
          <w:b/>
          <w:bCs/>
          <w:sz w:val="23"/>
          <w:szCs w:val="23"/>
        </w:rPr>
      </w:pPr>
      <w:r w:rsidRPr="359636AC">
        <w:rPr>
          <w:rFonts w:cstheme="majorBidi"/>
          <w:sz w:val="23"/>
          <w:szCs w:val="23"/>
        </w:rPr>
        <w:t xml:space="preserve">Corio-Norlane (2003–2010); </w:t>
      </w:r>
      <w:r>
        <w:rPr>
          <w:rFonts w:cstheme="majorBidi"/>
          <w:sz w:val="23"/>
          <w:szCs w:val="23"/>
        </w:rPr>
        <w:t>20</w:t>
      </w:r>
      <w:r w:rsidRPr="359636AC">
        <w:rPr>
          <w:rFonts w:cstheme="majorBidi"/>
          <w:sz w:val="23"/>
          <w:szCs w:val="23"/>
        </w:rPr>
        <w:t xml:space="preserve"> other sites across Victoria (2002–2010)</w:t>
      </w:r>
      <w:bookmarkEnd w:id="22"/>
    </w:p>
    <w:p w14:paraId="599DF603" w14:textId="1DA3F5D0"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All Practice Domains: Employment, Education, Housing, Liveability, Health and Wellbeing</w:t>
      </w:r>
    </w:p>
    <w:p w14:paraId="6EFF71F9" w14:textId="5B903622" w:rsidR="00380B47" w:rsidRPr="00865BE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The Neighbourhood Renewal Program (NRP) was a Victorian State Government initiative that sought to narrow the gap between communities affected by disadvantage and the rest of Victoria (Victorian Government, 2007). Its broad goals were socioeconomic inclusion, social cohesion, and urban renewal. The program ran in 21 areas with concentrations of poverty, unemployment and public housing. As we have noted, Corio–Norlane was one target site (see Section 2, p. 21, and Section 3, p. 49).</w:t>
      </w:r>
    </w:p>
    <w:p w14:paraId="7FA8F561" w14:textId="46799450" w:rsidR="00380B47" w:rsidRPr="00865BE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The NRP sought to target the drivers of inequality (Klein &amp; Knowles, 2005: 3). Its primary goal was to increase local employment, learning and economic activity, but it also aimed to improve service delivery and access, enhance public housing and local amenities, boost community pride and participation, reduce crime, and promote health and wellbeing. Key priorities were early intervention and tackling intergenerational poverty. Comparable overseas initiatives include the New Deal for Communities program (UK), established in 1998 by Tony Blair.</w:t>
      </w:r>
    </w:p>
    <w:p w14:paraId="4F0EF696" w14:textId="22C5BCFB" w:rsidR="00380B47" w:rsidRPr="00865BE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 xml:space="preserve">Built around “place-based partnerships” between government, the community sector, business and local communities, the NRP took a whole-of-government approach. While state-funded, the program was tailored closely to the needs of local communities. Small teams oversaw a range of sub-projects designed to manifest at neighbourhood level. Key initiatives included targeted employment programs (skills registers, “one-stop” job shops for public housing tenants), learning and capacity-building projects (disengaged youth initiative, homework clubs, community IT hubs), social enterprises (catering companies, cafes), new community infrastructure and safety </w:t>
      </w:r>
      <w:r w:rsidRPr="00865BEB">
        <w:rPr>
          <w:rFonts w:asciiTheme="majorHAnsi" w:hAnsiTheme="majorHAnsi" w:cstheme="majorBidi"/>
          <w:color w:val="000000" w:themeColor="text1"/>
          <w:sz w:val="23"/>
          <w:szCs w:val="23"/>
        </w:rPr>
        <w:lastRenderedPageBreak/>
        <w:t>improvements (basketball courts, community gardens, local park and social housing upgrades, bus route variations, demolition of “unsafe” public spaces).</w:t>
      </w:r>
    </w:p>
    <w:p w14:paraId="5E9BCEDA" w14:textId="4AAC3AE9" w:rsidR="00380B47" w:rsidRPr="00865BE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 xml:space="preserve">As discussed in Section 3, benefits of the NRP varied by area, but overall outcomes were positive (Wood &amp; Cigdem, 2012: 6). The program was found to reduce disadvantage, social exclusion, unemployment, crime, and school absenteeism, and increased further education qualifications, community participation, and housing conditions (Neighbourhood Renewal Unit 2008: 1). </w:t>
      </w:r>
      <w:hyperlink r:id="rId12" w:history="1">
        <w:r w:rsidRPr="00731C05">
          <w:rPr>
            <w:rStyle w:val="Hyperlink"/>
            <w:rFonts w:cstheme="majorHAnsi"/>
          </w:rPr>
          <w:t>One evaluation</w:t>
        </w:r>
      </w:hyperlink>
      <w:r w:rsidRPr="00865BEB">
        <w:rPr>
          <w:rFonts w:asciiTheme="majorHAnsi" w:hAnsiTheme="majorHAnsi" w:cstheme="majorBidi"/>
          <w:color w:val="000000" w:themeColor="text1"/>
          <w:sz w:val="23"/>
          <w:szCs w:val="23"/>
        </w:rPr>
        <w:t xml:space="preserve"> found no area-wide health </w:t>
      </w:r>
      <w:r w:rsidR="00D24715" w:rsidRPr="00865BEB">
        <w:rPr>
          <w:rFonts w:asciiTheme="majorHAnsi" w:hAnsiTheme="majorHAnsi" w:cstheme="majorBidi"/>
          <w:color w:val="000000" w:themeColor="text1"/>
          <w:sz w:val="23"/>
          <w:szCs w:val="23"/>
        </w:rPr>
        <w:t>effects but</w:t>
      </w:r>
      <w:r w:rsidRPr="00865BEB">
        <w:rPr>
          <w:rFonts w:asciiTheme="majorHAnsi" w:hAnsiTheme="majorHAnsi" w:cstheme="majorBidi"/>
          <w:color w:val="000000" w:themeColor="text1"/>
          <w:sz w:val="23"/>
          <w:szCs w:val="23"/>
        </w:rPr>
        <w:t xml:space="preserve"> noted improved health and life satisfaction amongst program participants (Kelaher et al, 2010). </w:t>
      </w:r>
    </w:p>
    <w:p w14:paraId="3D5B9E78" w14:textId="4A97BCAC" w:rsidR="00380B47" w:rsidRPr="00865BEB" w:rsidRDefault="00380B47" w:rsidP="00A5216B">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 xml:space="preserve">In one study Corio Norlane residents </w:t>
      </w:r>
      <w:hyperlink r:id="rId13">
        <w:r w:rsidRPr="00731C05">
          <w:rPr>
            <w:rStyle w:val="Hyperlink"/>
            <w:rFonts w:cstheme="majorHAnsi"/>
          </w:rPr>
          <w:t>reported</w:t>
        </w:r>
      </w:hyperlink>
      <w:r w:rsidRPr="00865BEB">
        <w:rPr>
          <w:rFonts w:asciiTheme="majorHAnsi" w:hAnsiTheme="majorHAnsi" w:cstheme="majorBidi"/>
          <w:color w:val="000000" w:themeColor="text1"/>
          <w:sz w:val="23"/>
          <w:szCs w:val="23"/>
        </w:rPr>
        <w:t xml:space="preserve"> greater trust in government, increased feelings of influence over decisions affecting the community, and improved community participation (Shield et al, 2011). The NRP generated an average return of $2.20 in non-housing benefits for every $1 spent on renewal. However, it also raised house prices in some areas (Wood, 2014). As noted in Section 3, the gentrification effect of NR programs may </w:t>
      </w:r>
      <w:r w:rsidR="00D24715">
        <w:rPr>
          <w:rFonts w:asciiTheme="majorHAnsi" w:hAnsiTheme="majorHAnsi" w:cstheme="majorBidi"/>
          <w:color w:val="000000" w:themeColor="text1"/>
          <w:sz w:val="23"/>
          <w:szCs w:val="23"/>
        </w:rPr>
        <w:t xml:space="preserve">have </w:t>
      </w:r>
      <w:r w:rsidRPr="00865BEB">
        <w:rPr>
          <w:rFonts w:asciiTheme="majorHAnsi" w:hAnsiTheme="majorHAnsi" w:cstheme="majorBidi"/>
          <w:color w:val="000000" w:themeColor="text1"/>
          <w:sz w:val="23"/>
          <w:szCs w:val="23"/>
        </w:rPr>
        <w:t>decreased housing affordability and exacerbate disadvantage amongst local communities.</w:t>
      </w:r>
    </w:p>
    <w:p w14:paraId="3A1113AE" w14:textId="08FB8FB7" w:rsidR="00380B47" w:rsidRPr="00C95B9B" w:rsidRDefault="00380B47" w:rsidP="00A96A68">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Over eight years the NRP spawned numerous local projects. Not all were documented, but two small-scale arts initiatives run in one target site are profiled below.</w:t>
      </w:r>
    </w:p>
    <w:p w14:paraId="3C2CCE35" w14:textId="77777777" w:rsidR="00380B47" w:rsidRPr="00380B47" w:rsidRDefault="00380B47" w:rsidP="00731C05">
      <w:pPr>
        <w:pStyle w:val="Heading2"/>
      </w:pPr>
      <w:bookmarkStart w:id="23" w:name="_Toc108183157"/>
      <w:r w:rsidRPr="00380B47">
        <w:t>Shutterbugs + I Heart Maryborough: Community Photography Projects</w:t>
      </w:r>
      <w:bookmarkEnd w:id="23"/>
    </w:p>
    <w:p w14:paraId="0AD3609D" w14:textId="39C43587" w:rsidR="00380B47" w:rsidRPr="00C95B9B" w:rsidRDefault="00380B47" w:rsidP="00A5216B">
      <w:pPr>
        <w:rPr>
          <w:rFonts w:ascii="Calibri" w:eastAsia="Calibri" w:hAnsi="Calibri" w:cs="Calibri"/>
          <w:b/>
          <w:bCs/>
          <w:sz w:val="23"/>
          <w:szCs w:val="23"/>
        </w:rPr>
      </w:pPr>
      <w:r>
        <w:rPr>
          <w:rFonts w:ascii="Calibri" w:eastAsia="Calibri" w:hAnsi="Calibri" w:cs="Calibri"/>
          <w:sz w:val="23"/>
          <w:szCs w:val="23"/>
        </w:rPr>
        <w:t>Maryborough, Victoria (2011–2014)</w:t>
      </w:r>
    </w:p>
    <w:p w14:paraId="6A2E1809"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Main Practice Domain(s):          </w:t>
      </w:r>
      <w:r w:rsidRPr="00C95B9B">
        <w:rPr>
          <w:rFonts w:eastAsiaTheme="minorEastAsia"/>
          <w:b/>
          <w:bCs/>
          <w:color w:val="595959" w:themeColor="text1" w:themeTint="A6"/>
          <w:sz w:val="23"/>
          <w:szCs w:val="23"/>
        </w:rPr>
        <w:tab/>
        <w:t>Liveability, Education</w:t>
      </w:r>
    </w:p>
    <w:p w14:paraId="31FFED0B" w14:textId="42359204" w:rsidR="00C95B9B"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Employment, Health and Wellbeing</w:t>
      </w:r>
    </w:p>
    <w:p w14:paraId="5BC6E578" w14:textId="1C2F872F"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Victorian Goldfields town of Maryborough (pop. 8000) was a Neighbourhood Renewal site from 2010–2015. The local NRP team ran several community arts projects, including two focused on photography: the Maryborough Photography Project, and the I Heart Maryborough photo competition.</w:t>
      </w:r>
    </w:p>
    <w:p w14:paraId="4C4609AF" w14:textId="6661E6D8"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Maryborough Photography Project (2011) was funded through the NRP and Castanet, a Victorian network of community arts development providers. The project involved a series of workshops led by a professional photographer, and a group exhibition in 2011. The participant group of 10 locals, who named themselves the Shutterbugs, gained skills in exhibition setup, confidence in their work, and positive exposure in the community.</w:t>
      </w:r>
    </w:p>
    <w:p w14:paraId="1297B9A2" w14:textId="54E1E554"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As a result of the program two members joined the local Neighbourhood Renewal Steering, and one member won a state-wide photography competition. Other members began selling their photographic work and providing paid services through wedding photography (Castanet, 2014).</w:t>
      </w:r>
    </w:p>
    <w:p w14:paraId="0051D2A4" w14:textId="024CC022" w:rsid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The I Heart Maryborough competition (2014) invited residents to send in a captioned photo that showed their pride for being part of the area and local community. Captions followed the format: “I Heart Maryborough…” The competition was run online, and 30 entries were </w:t>
      </w:r>
      <w:r w:rsidRPr="359636AC">
        <w:rPr>
          <w:rFonts w:ascii="Calibri Light" w:eastAsia="Calibri Light" w:hAnsi="Calibri Light" w:cs="Calibri Light"/>
          <w:sz w:val="23"/>
          <w:szCs w:val="23"/>
        </w:rPr>
        <w:t xml:space="preserve">selected </w:t>
      </w:r>
      <w:r w:rsidRPr="00865BEB">
        <w:rPr>
          <w:rFonts w:ascii="Calibri Light" w:eastAsia="Calibri Light" w:hAnsi="Calibri Light" w:cs="Calibri Light"/>
          <w:color w:val="000000" w:themeColor="text1"/>
          <w:sz w:val="23"/>
          <w:szCs w:val="23"/>
        </w:rPr>
        <w:t xml:space="preserve">for inclusion in an online exhibition. Prizes were awarded based on content quality and caption, rather than photographic skills. The three winning photos were published in the local newspaper, the </w:t>
      </w:r>
      <w:r w:rsidRPr="00865BEB">
        <w:rPr>
          <w:rFonts w:ascii="Calibri Light" w:eastAsia="Calibri Light" w:hAnsi="Calibri Light" w:cs="Calibri Light"/>
          <w:i/>
          <w:iCs/>
          <w:color w:val="000000" w:themeColor="text1"/>
          <w:sz w:val="23"/>
          <w:szCs w:val="23"/>
        </w:rPr>
        <w:t xml:space="preserve">Maryborough Advertiser </w:t>
      </w:r>
      <w:r w:rsidRPr="00865BEB">
        <w:rPr>
          <w:rFonts w:ascii="Calibri Light" w:eastAsia="Calibri Light" w:hAnsi="Calibri Light" w:cs="Calibri Light"/>
          <w:color w:val="000000" w:themeColor="text1"/>
          <w:sz w:val="23"/>
          <w:szCs w:val="23"/>
        </w:rPr>
        <w:t>(Maryborough CAG, 2015).</w:t>
      </w:r>
    </w:p>
    <w:p w14:paraId="19453096" w14:textId="0A4FBE00" w:rsidR="00380B47" w:rsidRPr="00F75A96" w:rsidRDefault="00380B47" w:rsidP="00380B47">
      <w:pPr>
        <w:pStyle w:val="Heading1"/>
        <w:rPr>
          <w:b/>
          <w:bCs/>
        </w:rPr>
      </w:pPr>
      <w:bookmarkStart w:id="24" w:name="_Toc108183158"/>
      <w:r w:rsidRPr="00F75A96">
        <w:rPr>
          <w:b/>
          <w:bCs/>
        </w:rPr>
        <w:lastRenderedPageBreak/>
        <w:t>New South Wales</w:t>
      </w:r>
      <w:bookmarkEnd w:id="24"/>
    </w:p>
    <w:p w14:paraId="0E65A4DD" w14:textId="77777777" w:rsidR="00380B47" w:rsidRPr="00380B47" w:rsidRDefault="00380B47" w:rsidP="00731C05">
      <w:pPr>
        <w:pStyle w:val="Heading2"/>
      </w:pPr>
      <w:bookmarkStart w:id="25" w:name="_Toc108183159"/>
      <w:bookmarkStart w:id="26" w:name="_Hlk70863784"/>
      <w:r w:rsidRPr="00380B47">
        <w:t>The Digital Age Project: Digital Inclusion for Older Social Housing Residents</w:t>
      </w:r>
      <w:bookmarkEnd w:id="25"/>
    </w:p>
    <w:p w14:paraId="7E93BA88" w14:textId="69F1BB6D" w:rsidR="00380B47" w:rsidRPr="00C95B9B" w:rsidRDefault="00380B47" w:rsidP="00A5216B">
      <w:pPr>
        <w:spacing w:line="276" w:lineRule="auto"/>
        <w:rPr>
          <w:rFonts w:ascii="Calibri" w:eastAsia="Calibri" w:hAnsi="Calibri" w:cs="Calibri"/>
          <w:b/>
          <w:bCs/>
          <w:sz w:val="23"/>
          <w:szCs w:val="23"/>
        </w:rPr>
      </w:pPr>
      <w:r w:rsidRPr="27ED1008">
        <w:rPr>
          <w:rFonts w:ascii="Calibri" w:eastAsia="Calibri" w:hAnsi="Calibri" w:cs="Calibri"/>
          <w:sz w:val="23"/>
          <w:szCs w:val="23"/>
        </w:rPr>
        <w:t>Coffs Harbour, regional NSW (2014–2015)</w:t>
      </w:r>
      <w:bookmarkEnd w:id="26"/>
    </w:p>
    <w:p w14:paraId="0467E42D"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 xml:space="preserve"> Education, Health and Wellbeing</w:t>
      </w:r>
    </w:p>
    <w:p w14:paraId="1B0AA8C1" w14:textId="172FCD7A"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Housing, Liveability</w:t>
      </w:r>
    </w:p>
    <w:p w14:paraId="1B94F740" w14:textId="1FEA7938"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Coffs Harbour (pop. 71,000), a coastal town in regional New South Wales, became one of 14 designated National Broadband Network (NBN) release sites in July 2010. The broader Coffs Harbour LGA is not an area of significant socioeconomic disadvantage, but it does include smaller areas that rank among the most disadvantaged 10 percent in Australia (PHN North Coast, 2019).</w:t>
      </w:r>
    </w:p>
    <w:p w14:paraId="2DA84C93" w14:textId="01392028"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Digital Age project was a research and engagement intervention focused on digital inclusion. It explored the issue of low technology uptake and online engagement amongst disadvantaged Australians aged over 60. Researchers at Southern Cross University staged a tailored, place-based digital intervention with older social housing tenants in Coffs Harbour. Participants generally had lower educational levels than the Australian average (Thomas et al, 2016).</w:t>
      </w:r>
    </w:p>
    <w:p w14:paraId="6CF25889" w14:textId="07934499"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researchers sought to better understand internet use amongst older Australians living in social housing, and to devise strategies to increase their digital awareness and ability to use online health services, government news, and shopping. The project also explored how information technology skills might contribute to perceptions of social connectedness, self-efficacy, resilience, health, and wellbeing.</w:t>
      </w:r>
    </w:p>
    <w:p w14:paraId="0B8FBD51" w14:textId="37BB5F8D"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Three communities of older social housing tenants in Coffs Harbour took part in the program over an 18-month period. In the first eight months a five-phase intervention was used to encourage and assist participants to gain skills in technology use. Data was collected during each phase, with a participant survey completed 14 months after the program launch. Engagement strategies included a simplified portal, 24-hour access, on-site training, and building a regular social event into training activities.</w:t>
      </w:r>
    </w:p>
    <w:p w14:paraId="58CDAD8B" w14:textId="2A4D6B85"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project drew on Cognitive Load Theory principles to develop training materials and activities that minimised cognitive load and facilitated learning. Researchers developed a set of guidelines and recommendations for delivering effective digital education interventions (Seton et al, 2015: 3–4).</w:t>
      </w:r>
    </w:p>
    <w:p w14:paraId="6587A5FB" w14:textId="77777777" w:rsidR="00380B47" w:rsidRDefault="00380B47" w:rsidP="00A5216B">
      <w:pPr>
        <w:spacing w:line="276" w:lineRule="auto"/>
        <w:rPr>
          <w:rFonts w:ascii="Calibri Light" w:eastAsia="Calibri Light" w:hAnsi="Calibri Light" w:cs="Calibri Light"/>
          <w:sz w:val="23"/>
          <w:szCs w:val="23"/>
        </w:rPr>
      </w:pPr>
      <w:r w:rsidRPr="00865BEB">
        <w:rPr>
          <w:rFonts w:ascii="Calibri Light" w:eastAsia="Calibri Light" w:hAnsi="Calibri Light" w:cs="Calibri Light"/>
          <w:color w:val="000000" w:themeColor="text1"/>
          <w:sz w:val="23"/>
          <w:szCs w:val="23"/>
        </w:rPr>
        <w:t xml:space="preserve">In a </w:t>
      </w:r>
      <w:hyperlink r:id="rId14" w:history="1">
        <w:r w:rsidRPr="00731C05">
          <w:rPr>
            <w:rStyle w:val="Hyperlink"/>
            <w:rFonts w:cstheme="majorHAnsi"/>
          </w:rPr>
          <w:t>program evaluation</w:t>
        </w:r>
      </w:hyperlink>
      <w:r w:rsidRPr="00865BEB">
        <w:rPr>
          <w:rFonts w:ascii="Calibri Light" w:eastAsia="Calibri Light" w:hAnsi="Calibri Light" w:cs="Calibri Light"/>
          <w:color w:val="000000" w:themeColor="text1"/>
          <w:sz w:val="23"/>
          <w:szCs w:val="23"/>
        </w:rPr>
        <w:t xml:space="preserve"> undertaken by the research team, participants reported strong improvements in their experiences of new technology. More than half of the participants who completed the tailored training intervention reported improved social engagement and personal confidence. Some participants renewed contact with lost family members as a result of the program. Overall, there was a significant increase in optimism and a decrease in pessimism. There were also initial indications of improved social connectedness amongst the participant groups (Seton et al, 2015). Project partners included the CSIRO and the Australian Communications Consumer Action Network (ACCAN).</w:t>
      </w:r>
    </w:p>
    <w:p w14:paraId="1FF76B06" w14:textId="494FD776" w:rsidR="00380B47" w:rsidRPr="00F75A96" w:rsidRDefault="00380B47" w:rsidP="00380B47">
      <w:pPr>
        <w:pStyle w:val="Heading1"/>
        <w:rPr>
          <w:b/>
          <w:bCs/>
          <w:color w:val="auto"/>
        </w:rPr>
      </w:pPr>
      <w:bookmarkStart w:id="27" w:name="_Toc108183160"/>
      <w:r w:rsidRPr="00F75A96">
        <w:rPr>
          <w:b/>
          <w:bCs/>
        </w:rPr>
        <w:lastRenderedPageBreak/>
        <w:t>South Australia</w:t>
      </w:r>
      <w:bookmarkEnd w:id="27"/>
    </w:p>
    <w:p w14:paraId="71D17AAD" w14:textId="77777777" w:rsidR="00380B47" w:rsidRPr="00380B47" w:rsidRDefault="00380B47" w:rsidP="00731C05">
      <w:pPr>
        <w:pStyle w:val="Heading2"/>
      </w:pPr>
      <w:bookmarkStart w:id="28" w:name="_Toc108183161"/>
      <w:bookmarkStart w:id="29" w:name="_Hlk70863800"/>
      <w:r w:rsidRPr="00380B47">
        <w:t>Perpetrator Intervention Pilot: Tackling Domestic Violence, Preventing Homelessness</w:t>
      </w:r>
      <w:bookmarkEnd w:id="28"/>
    </w:p>
    <w:p w14:paraId="48257BE7" w14:textId="4BA41D6A" w:rsidR="00380B47" w:rsidRPr="00C95B9B" w:rsidRDefault="00380B47" w:rsidP="00A5216B">
      <w:pPr>
        <w:spacing w:line="276" w:lineRule="auto"/>
        <w:rPr>
          <w:rFonts w:ascii="Calibri" w:eastAsia="Calibri" w:hAnsi="Calibri" w:cs="Calibri"/>
          <w:b/>
          <w:bCs/>
          <w:color w:val="000000" w:themeColor="text1"/>
          <w:sz w:val="23"/>
          <w:szCs w:val="23"/>
        </w:rPr>
      </w:pPr>
      <w:r w:rsidRPr="359636AC">
        <w:rPr>
          <w:rFonts w:ascii="Calibri" w:eastAsia="Calibri" w:hAnsi="Calibri" w:cs="Calibri"/>
          <w:color w:val="000000" w:themeColor="text1"/>
          <w:sz w:val="23"/>
          <w:szCs w:val="23"/>
        </w:rPr>
        <w:t>South Australia (2020–present)</w:t>
      </w:r>
      <w:bookmarkEnd w:id="29"/>
    </w:p>
    <w:p w14:paraId="610F2C3A"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Health and Wellbeing, Housing</w:t>
      </w:r>
    </w:p>
    <w:p w14:paraId="61296736" w14:textId="4071500F"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Liveability</w:t>
      </w:r>
    </w:p>
    <w:p w14:paraId="43686B04" w14:textId="56191475"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Family and domestic violence is the leading cause of homelessness for Australian women (FaHCSIA, 2008; Homelessness Australia, 2016). During the COVID-19 pandemic, domestic violence case numbers rose dramatically across Australia.</w:t>
      </w:r>
    </w:p>
    <w:p w14:paraId="49803C77" w14:textId="1B32B183"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In 2020 the South Australian Government launched a new 12-month pilot program to tackle domestic violence. Developed with input from the family violence sector and the community, the program takes an innovative line by targeting perpetrators of domestic violence. It provides support services and a small number of dedicated beds for male perpetrators.</w:t>
      </w:r>
    </w:p>
    <w:p w14:paraId="2B355BAD" w14:textId="108D89C8" w:rsidR="00380B47" w:rsidRPr="00C95B9B"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The pilot program is based on the premise that removing perpetrators from the home leads to more stability and less disruption for victims, enabling them to stay connected with their local communities and support networks (Lensink &amp; Power, 2020). Housing advocates and domestic violence experts have welcomed the </w:t>
      </w:r>
      <w:r w:rsidR="00D24715" w:rsidRPr="00865BEB">
        <w:rPr>
          <w:rFonts w:ascii="Calibri Light" w:eastAsia="Calibri Light" w:hAnsi="Calibri Light" w:cs="Calibri Light"/>
          <w:color w:val="000000" w:themeColor="text1"/>
          <w:sz w:val="23"/>
          <w:szCs w:val="23"/>
        </w:rPr>
        <w:t>initiative but</w:t>
      </w:r>
      <w:r w:rsidRPr="00865BEB">
        <w:rPr>
          <w:rFonts w:ascii="Calibri Light" w:eastAsia="Calibri Light" w:hAnsi="Calibri Light" w:cs="Calibri Light"/>
          <w:color w:val="000000" w:themeColor="text1"/>
          <w:sz w:val="23"/>
          <w:szCs w:val="23"/>
        </w:rPr>
        <w:t xml:space="preserve"> expressed concerns over potential increased housing stress if survivors are left to cover the full rent or mortgage on their own (Burke, 2019; Cosenza, 2020; Wendt et al, 2019).</w:t>
      </w:r>
    </w:p>
    <w:p w14:paraId="390AC01C" w14:textId="77777777" w:rsidR="00380B47" w:rsidRPr="00865BE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pilot is part of a $4 million state-funded program that will deliver 40 new domestic violence crisis beds in Northern and Southern Adelaide, and in regional towns including Berri, Ceduna, Murray Bridge, Port Lincoln, and Whyalla. Nine of these beds are allocated for perpetrators. Several concurrent initiatives are also being supported by $2.4 million in Federal funding for domestic violence initiatives in South Australia (DHHS South Australia, 2020; Hanife, 2019). The new initiatives include:</w:t>
      </w:r>
    </w:p>
    <w:p w14:paraId="6C78B7DA" w14:textId="77777777" w:rsidR="00380B47" w:rsidRPr="00865BEB" w:rsidRDefault="00380B47" w:rsidP="00F75A96">
      <w:pPr>
        <w:pStyle w:val="ListParagraph"/>
        <w:numPr>
          <w:ilvl w:val="0"/>
          <w:numId w:val="4"/>
        </w:numPr>
        <w:spacing w:after="120" w:line="276" w:lineRule="auto"/>
        <w:ind w:left="782"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Don’t Become That Man: aims to proactively change behaviour prior to offences through a self-assessment tool and availability of crisis accommodation. Services include phone counselling, in-person counselling, support networks, referral services, and rehabilitation programs (CityMag, 2020).</w:t>
      </w:r>
    </w:p>
    <w:p w14:paraId="6E32238C" w14:textId="77777777" w:rsidR="00380B47" w:rsidRPr="00865BEB" w:rsidRDefault="00380B47" w:rsidP="00F75A96">
      <w:pPr>
        <w:pStyle w:val="ListParagraph"/>
        <w:numPr>
          <w:ilvl w:val="0"/>
          <w:numId w:val="4"/>
        </w:numPr>
        <w:spacing w:after="120" w:line="276" w:lineRule="auto"/>
        <w:ind w:left="782"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24/7 Men’s Referral Line: Hotline and support service to help South Australian men address their violent or controlling behaviour.</w:t>
      </w:r>
    </w:p>
    <w:p w14:paraId="27372910" w14:textId="1F10CE6B" w:rsidR="00380B47" w:rsidRPr="00C95B9B" w:rsidRDefault="00380B47" w:rsidP="00F75A96">
      <w:pPr>
        <w:pStyle w:val="ListParagraph"/>
        <w:numPr>
          <w:ilvl w:val="0"/>
          <w:numId w:val="4"/>
        </w:numPr>
        <w:spacing w:after="120" w:line="276" w:lineRule="auto"/>
        <w:ind w:left="782" w:hanging="357"/>
        <w:contextualSpacing w:val="0"/>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Extra brokerage packages for people experiencing abuse and violence. Funds are for transport, safety upgrades to property, financial counselling, and support for children.</w:t>
      </w:r>
    </w:p>
    <w:p w14:paraId="0A2F0DA7" w14:textId="7947AE10" w:rsidR="00380B47" w:rsidRDefault="00380B47" w:rsidP="00A5216B">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South Australian Government has also made legislative changes to the Residential Tenancies Act 1995. These changes allow victims of domestic violence to stay in their rented home and have the perpetrator leave, or for the victim to leave the rented home and their name to be removed from the rental agreement without penalty (SA.gov.au, 2018).</w:t>
      </w:r>
    </w:p>
    <w:p w14:paraId="4DEDA0CF" w14:textId="77777777" w:rsidR="00FC3BE0" w:rsidRDefault="00FC3BE0" w:rsidP="00A5216B">
      <w:pPr>
        <w:spacing w:line="276" w:lineRule="auto"/>
        <w:rPr>
          <w:rFonts w:ascii="Calibri Light" w:eastAsia="Calibri Light" w:hAnsi="Calibri Light" w:cs="Calibri Light"/>
          <w:color w:val="000000" w:themeColor="text1"/>
          <w:sz w:val="23"/>
          <w:szCs w:val="23"/>
        </w:rPr>
      </w:pPr>
    </w:p>
    <w:p w14:paraId="4877DE48" w14:textId="77777777" w:rsidR="00380B47" w:rsidRPr="00F75A96" w:rsidRDefault="00380B47" w:rsidP="00380B47">
      <w:pPr>
        <w:pStyle w:val="Heading1"/>
        <w:rPr>
          <w:b/>
          <w:bCs/>
        </w:rPr>
      </w:pPr>
      <w:bookmarkStart w:id="30" w:name="_Toc108180698"/>
      <w:bookmarkStart w:id="31" w:name="_Toc108183162"/>
      <w:r w:rsidRPr="00F75A96">
        <w:rPr>
          <w:b/>
          <w:bCs/>
        </w:rPr>
        <w:lastRenderedPageBreak/>
        <w:t>National Programs</w:t>
      </w:r>
      <w:bookmarkEnd w:id="30"/>
      <w:bookmarkEnd w:id="31"/>
    </w:p>
    <w:p w14:paraId="000FA291" w14:textId="77777777" w:rsidR="00380B47" w:rsidRPr="00380B47" w:rsidRDefault="00380B47" w:rsidP="00731C05">
      <w:pPr>
        <w:pStyle w:val="Heading2"/>
      </w:pPr>
      <w:bookmarkStart w:id="32" w:name="_Toc108183163"/>
      <w:bookmarkStart w:id="33" w:name="_Hlk70863943"/>
      <w:r w:rsidRPr="00380B47">
        <w:t>Angel Next Door: Digital Crowdsourcing App to Connect Neighbours in Need</w:t>
      </w:r>
      <w:bookmarkEnd w:id="32"/>
    </w:p>
    <w:p w14:paraId="060E25C3" w14:textId="2431CF93" w:rsidR="00380B47" w:rsidRPr="00C95B9B" w:rsidRDefault="00380B47" w:rsidP="00C34CCC">
      <w:pPr>
        <w:spacing w:line="276" w:lineRule="auto"/>
        <w:rPr>
          <w:rFonts w:ascii="Calibri" w:eastAsia="Calibri" w:hAnsi="Calibri" w:cs="Calibri"/>
          <w:b/>
          <w:bCs/>
          <w:sz w:val="23"/>
          <w:szCs w:val="23"/>
        </w:rPr>
      </w:pPr>
      <w:r w:rsidRPr="359636AC">
        <w:rPr>
          <w:rFonts w:ascii="Calibri" w:eastAsia="Calibri" w:hAnsi="Calibri" w:cs="Calibri"/>
          <w:sz w:val="23"/>
          <w:szCs w:val="23"/>
        </w:rPr>
        <w:t>Australia-wide, Geelong-founded (March 2020–present)</w:t>
      </w:r>
      <w:bookmarkEnd w:id="33"/>
    </w:p>
    <w:p w14:paraId="67CB591E"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 xml:space="preserve">Liveability </w:t>
      </w:r>
    </w:p>
    <w:p w14:paraId="0D6D7499" w14:textId="181CD546"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Health and Wellbeing</w:t>
      </w:r>
    </w:p>
    <w:p w14:paraId="275AD809" w14:textId="252EAEFB"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In response to COVID-19 lockdowns and shortages, in April 2020 two Geelong entrepreneurs established a free online community platform enabling neighbours to help one another in a discreet and secure way. Angel Next Door is a web and mobile app designed to enable community members to offer and seek help from their neighbours. Launched in Geelong, the service is now Australia wide.</w:t>
      </w:r>
    </w:p>
    <w:p w14:paraId="28583CB6" w14:textId="0AFB90C7"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Founders Aamir Qutub (web developer and 2019 Geelong Young Entrepreneur of the Year) and Rory Costelloe (executive director of Villawood Properties) created the peer-to-peer platform to help connect local communities during the hardships of the pandemic. People register to assist or receive help via the app. When someone posts a request for help, alerts are sent to “angels” who live nearby. Requests have included help with grocery shopping and pick-up, cleaning and moving, acquiring technology such as webcams, laptops and phones, and errands such as dog-walking (Dick, 2021; Wood, 2020). </w:t>
      </w:r>
    </w:p>
    <w:p w14:paraId="7FE9CA97" w14:textId="6FEDE19B"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Early on, a partnership was established with Villawood Properties and Neighbourhood Watch Victoria to help increase the program’s reach. It has continued to grow, with over 9000 angels currently registered, providing nearly 2000 offers of support in response to 400 requests.</w:t>
      </w:r>
    </w:p>
    <w:p w14:paraId="7F8CA8B6" w14:textId="4B4CD07C" w:rsidR="00380B47" w:rsidRPr="00C95B9B" w:rsidRDefault="00380B47" w:rsidP="00A5216B">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Angel Next Door has been commended by Neighbourhood Watch chief executive Bambi Gordan, who said: “This is a great example of that Aussie tradition of stepping up to help during a crisis and watching out for each other” (Wood, 2020; Neighbourhood Watch Victoria, 2020). The initiative has also generated local media interest, with articles in The Senior, The New Daily, and Geelong Times, and a feature spot on Channel Ten’s “The Project” in June 2020 (Channel Ten, </w:t>
      </w:r>
      <w:r w:rsidR="00C95B9B">
        <w:rPr>
          <w:rFonts w:ascii="Calibri Light" w:eastAsia="Calibri Light" w:hAnsi="Calibri Light" w:cs="Calibri Light"/>
          <w:color w:val="000000" w:themeColor="text1"/>
          <w:sz w:val="23"/>
          <w:szCs w:val="23"/>
        </w:rPr>
        <w:t>2</w:t>
      </w:r>
      <w:r w:rsidRPr="00865BEB">
        <w:rPr>
          <w:rFonts w:ascii="Calibri Light" w:eastAsia="Calibri Light" w:hAnsi="Calibri Light" w:cs="Calibri Light"/>
          <w:color w:val="000000" w:themeColor="text1"/>
          <w:sz w:val="23"/>
          <w:szCs w:val="23"/>
        </w:rPr>
        <w:t>021).</w:t>
      </w:r>
    </w:p>
    <w:p w14:paraId="52313EF5" w14:textId="77777777" w:rsidR="00380B47" w:rsidRPr="00380B47" w:rsidRDefault="00380B47" w:rsidP="00731C05">
      <w:pPr>
        <w:pStyle w:val="Heading2"/>
      </w:pPr>
      <w:bookmarkStart w:id="34" w:name="_Toc108183164"/>
      <w:bookmarkStart w:id="35" w:name="_Hlk70863951"/>
      <w:r w:rsidRPr="00380B47">
        <w:t>Australian Indigenous Mentoring Experience (AIME)</w:t>
      </w:r>
      <w:bookmarkEnd w:id="34"/>
    </w:p>
    <w:p w14:paraId="002E896B" w14:textId="78C2E69B" w:rsidR="00380B47" w:rsidRPr="00C95B9B" w:rsidRDefault="00380B47" w:rsidP="00C34CCC">
      <w:pPr>
        <w:spacing w:line="276" w:lineRule="auto"/>
        <w:rPr>
          <w:rFonts w:ascii="Calibri" w:eastAsia="Calibri" w:hAnsi="Calibri" w:cs="Calibri"/>
          <w:b/>
          <w:bCs/>
          <w:sz w:val="23"/>
          <w:szCs w:val="23"/>
        </w:rPr>
      </w:pPr>
      <w:r w:rsidRPr="359636AC">
        <w:rPr>
          <w:rFonts w:ascii="Calibri" w:eastAsia="Calibri" w:hAnsi="Calibri" w:cs="Calibri"/>
          <w:sz w:val="23"/>
          <w:szCs w:val="23"/>
        </w:rPr>
        <w:t>Australia-wide, scaled to four other countries (2005–present)</w:t>
      </w:r>
      <w:bookmarkEnd w:id="35"/>
    </w:p>
    <w:p w14:paraId="145A6D6B"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Education</w:t>
      </w:r>
    </w:p>
    <w:p w14:paraId="4B9FD834" w14:textId="51CAB6B2"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Employment, Health and Wellbeing</w:t>
      </w:r>
    </w:p>
    <w:p w14:paraId="0E0177B6" w14:textId="5E12BB29"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The Australian Indigenous Mentoring Experience (AIME) is an educational mentoring program for high school students (aged 12–18) across Australia and beyond. The program aims to support Indigenous and marginalised students to complete their education and secure opportunities in further education and employment after completing Year 12.</w:t>
      </w:r>
    </w:p>
    <w:p w14:paraId="695A38A3" w14:textId="77777777"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One key aim is to close the gap between Indigenous and non-Indigenous educational outcomes by connecting Indigenous students with university student mentors (AIME Mentoring, n.d.; Social Ventures Australia, n.d.). Since its inception, the program has expanded</w:t>
      </w:r>
      <w:r w:rsidRPr="359636AC">
        <w:rPr>
          <w:rFonts w:ascii="Calibri Light" w:eastAsia="Calibri Light" w:hAnsi="Calibri Light" w:cs="Calibri Light"/>
          <w:sz w:val="23"/>
          <w:szCs w:val="23"/>
        </w:rPr>
        <w:t xml:space="preserve"> to include </w:t>
      </w:r>
      <w:r w:rsidRPr="00865BEB">
        <w:rPr>
          <w:rFonts w:ascii="Calibri Light" w:eastAsia="Calibri Light" w:hAnsi="Calibri Light" w:cs="Calibri Light"/>
          <w:color w:val="000000" w:themeColor="text1"/>
          <w:sz w:val="23"/>
          <w:szCs w:val="23"/>
        </w:rPr>
        <w:t>students from a range of cultural backgrounds, including young African Australians (Fulloon, 2019).</w:t>
      </w:r>
    </w:p>
    <w:p w14:paraId="0967ED86" w14:textId="0FA30E7B"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lastRenderedPageBreak/>
        <w:t>Primarily volunteer-based, the program was founded by Bundjalung man Jack Manning Bancroft when he was aged 19. Participants are provided with free academic tutoring (20–30 sessions annually), “Theatre of Education” sessions (45 x one-hour sessions), and one-to-one career transitions support for Year 12 participants. Between 2005 to 2018 the program grew from 25 to 10,000 students, and from 965 university mentors to over 3000. The scalable program has now expanded from Australia to four other countries: Uganda, South Africa, Nigeria, and the US (Fulloon, 2019).</w:t>
      </w:r>
    </w:p>
    <w:p w14:paraId="416062AC" w14:textId="7D6F3E73" w:rsidR="00380B47" w:rsidRPr="00865BE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 xml:space="preserve">A research partnership has been forged with the University of Wollongong (UOW) and the University of Technology, Sydney (UTS) to better understand the program’s impact. </w:t>
      </w:r>
      <w:hyperlink r:id="rId15" w:history="1">
        <w:r w:rsidRPr="00731C05">
          <w:rPr>
            <w:rStyle w:val="Hyperlink"/>
            <w:rFonts w:cstheme="majorHAnsi"/>
          </w:rPr>
          <w:t>An evaluation</w:t>
        </w:r>
      </w:hyperlink>
      <w:r w:rsidRPr="00865BEB">
        <w:rPr>
          <w:rFonts w:ascii="Calibri Light" w:eastAsia="Calibri Light" w:hAnsi="Calibri Light" w:cs="Calibri Light"/>
          <w:color w:val="000000" w:themeColor="text1"/>
          <w:sz w:val="23"/>
          <w:szCs w:val="23"/>
        </w:rPr>
        <w:t xml:space="preserve"> of its first five years found positive results. Around 88 percent of participants completed high school, with 36 percent gaining university entry in 2011 (Harwood et al, 2013).</w:t>
      </w:r>
    </w:p>
    <w:p w14:paraId="4DDFDFB9" w14:textId="4238056A" w:rsidR="00380B47" w:rsidRPr="00C95B9B" w:rsidRDefault="00380B47" w:rsidP="00C34CCC">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A 2014</w:t>
      </w:r>
      <w:hyperlink r:id="rId16" w:history="1">
        <w:r w:rsidRPr="00865BEB">
          <w:rPr>
            <w:color w:val="000000" w:themeColor="text1"/>
          </w:rPr>
          <w:t xml:space="preserve"> </w:t>
        </w:r>
        <w:r w:rsidRPr="00731C05">
          <w:rPr>
            <w:rStyle w:val="Hyperlink"/>
            <w:rFonts w:cstheme="majorHAnsi"/>
          </w:rPr>
          <w:t>evaluation</w:t>
        </w:r>
      </w:hyperlink>
      <w:r w:rsidRPr="00865BEB">
        <w:rPr>
          <w:rFonts w:ascii="Calibri Light" w:eastAsia="Calibri Light" w:hAnsi="Calibri Light" w:cs="Calibri Light"/>
          <w:color w:val="000000" w:themeColor="text1"/>
          <w:sz w:val="23"/>
          <w:szCs w:val="23"/>
        </w:rPr>
        <w:t xml:space="preserve"> found that the program’s junior-high Indigenous students were academically on parity with non-Indigenous students, while the senior-high students were close to parity, and the Year 12 cohort outperformed national non-Indigenous rates. Of the 2014 cohort, 76 percent transitioned into university, further education, training, or employment (Priestly et al., 2015). KMPG </w:t>
      </w:r>
      <w:hyperlink r:id="rId17" w:history="1">
        <w:r w:rsidRPr="00C95B9B">
          <w:rPr>
            <w:rStyle w:val="Hyperlink"/>
            <w:rFonts w:asciiTheme="majorHAnsi" w:hAnsiTheme="majorHAnsi" w:cstheme="majorHAnsi"/>
            <w:sz w:val="23"/>
            <w:szCs w:val="23"/>
          </w:rPr>
          <w:t>evaluations</w:t>
        </w:r>
      </w:hyperlink>
      <w:r w:rsidRPr="00865BEB">
        <w:rPr>
          <w:rFonts w:ascii="Calibri Light" w:eastAsia="Calibri Light" w:hAnsi="Calibri Light" w:cs="Calibri Light"/>
          <w:color w:val="000000" w:themeColor="text1"/>
          <w:sz w:val="23"/>
          <w:szCs w:val="23"/>
        </w:rPr>
        <w:t xml:space="preserve"> found that found that for every dollar invested in the program, $8.90 of direct benefits were generated to society (KPMG, 2018), and that an AIME mentee who attends university will earn up to $332,000 more over their lifetime than an Indigenous student who does not complete high school (KPMG, 2013). The program’s US rollout is the focus of a Harvard University Business School </w:t>
      </w:r>
      <w:hyperlink r:id="rId18" w:history="1">
        <w:r w:rsidRPr="00C95B9B">
          <w:rPr>
            <w:rStyle w:val="Hyperlink"/>
            <w:rFonts w:asciiTheme="majorHAnsi" w:hAnsiTheme="majorHAnsi" w:cstheme="majorHAnsi"/>
            <w:sz w:val="23"/>
            <w:szCs w:val="23"/>
          </w:rPr>
          <w:t>case study</w:t>
        </w:r>
      </w:hyperlink>
      <w:r w:rsidRPr="00865BEB">
        <w:rPr>
          <w:rFonts w:ascii="Calibri Light" w:eastAsia="Calibri Light" w:hAnsi="Calibri Light" w:cs="Calibri Light"/>
          <w:color w:val="000000" w:themeColor="text1"/>
          <w:sz w:val="23"/>
          <w:szCs w:val="23"/>
        </w:rPr>
        <w:t xml:space="preserve"> (Barlett, 2019).</w:t>
      </w:r>
      <w:r w:rsidR="00C95B9B">
        <w:rPr>
          <w:rFonts w:ascii="Calibri Light" w:eastAsia="Calibri Light" w:hAnsi="Calibri Light" w:cs="Calibri Light"/>
          <w:color w:val="000000" w:themeColor="text1"/>
          <w:sz w:val="23"/>
          <w:szCs w:val="23"/>
        </w:rPr>
        <w:t xml:space="preserve"> </w:t>
      </w:r>
    </w:p>
    <w:p w14:paraId="2096911A" w14:textId="514FA908" w:rsidR="00380B47" w:rsidRPr="00C95B9B" w:rsidRDefault="00380B47" w:rsidP="00C95B9B">
      <w:pPr>
        <w:pStyle w:val="Heading1"/>
      </w:pPr>
      <w:bookmarkStart w:id="36" w:name="_Toc108180700"/>
      <w:bookmarkStart w:id="37" w:name="_Toc108183165"/>
      <w:r w:rsidRPr="00BF12E4">
        <w:t>International Case Studies</w:t>
      </w:r>
      <w:bookmarkEnd w:id="36"/>
      <w:bookmarkEnd w:id="37"/>
    </w:p>
    <w:p w14:paraId="4B496491" w14:textId="77777777" w:rsidR="00380B47" w:rsidRPr="00380B47" w:rsidRDefault="00380B47" w:rsidP="00731C05">
      <w:pPr>
        <w:pStyle w:val="Heading2"/>
      </w:pPr>
      <w:bookmarkStart w:id="38" w:name="_Toc108183166"/>
      <w:bookmarkStart w:id="39" w:name="_Hlk70863965"/>
      <w:r w:rsidRPr="00380B47">
        <w:t>Best Babies Zone: Place-based Multisector Program to Reduce Health Inequalities</w:t>
      </w:r>
      <w:bookmarkEnd w:id="38"/>
    </w:p>
    <w:p w14:paraId="008EDC75" w14:textId="7A348EEB" w:rsidR="00380B47" w:rsidRPr="00C95B9B" w:rsidRDefault="00380B47" w:rsidP="00C34CCC">
      <w:pPr>
        <w:spacing w:line="276" w:lineRule="auto"/>
        <w:rPr>
          <w:rFonts w:eastAsia="Times New Roman" w:cstheme="minorHAnsi"/>
          <w:b/>
          <w:bCs/>
          <w:sz w:val="23"/>
          <w:szCs w:val="23"/>
          <w:lang w:eastAsia="en-AU"/>
        </w:rPr>
      </w:pPr>
      <w:r w:rsidRPr="00845F90">
        <w:rPr>
          <w:rFonts w:eastAsia="Times New Roman" w:cstheme="minorHAnsi"/>
          <w:sz w:val="23"/>
          <w:szCs w:val="23"/>
          <w:lang w:eastAsia="en-AU"/>
        </w:rPr>
        <w:t>Castlemont, East Oakland, California (2012–</w:t>
      </w:r>
      <w:r>
        <w:rPr>
          <w:rFonts w:eastAsia="Times New Roman" w:cstheme="minorHAnsi"/>
          <w:sz w:val="23"/>
          <w:szCs w:val="23"/>
          <w:lang w:eastAsia="en-AU"/>
        </w:rPr>
        <w:t>2015</w:t>
      </w:r>
      <w:r w:rsidRPr="00845F90">
        <w:rPr>
          <w:rFonts w:eastAsia="Times New Roman" w:cstheme="minorHAnsi"/>
          <w:sz w:val="23"/>
          <w:szCs w:val="23"/>
          <w:lang w:eastAsia="en-AU"/>
        </w:rPr>
        <w:t xml:space="preserve">); </w:t>
      </w:r>
      <w:r>
        <w:rPr>
          <w:rFonts w:eastAsia="Times New Roman" w:cstheme="minorHAnsi"/>
          <w:sz w:val="23"/>
          <w:szCs w:val="23"/>
          <w:lang w:eastAsia="en-AU"/>
        </w:rPr>
        <w:t>10 other</w:t>
      </w:r>
      <w:r w:rsidRPr="00845F90">
        <w:rPr>
          <w:rFonts w:eastAsia="Times New Roman" w:cstheme="minorHAnsi"/>
          <w:sz w:val="23"/>
          <w:szCs w:val="23"/>
          <w:lang w:eastAsia="en-AU"/>
        </w:rPr>
        <w:t xml:space="preserve"> US locations (2012–present)</w:t>
      </w:r>
      <w:bookmarkEnd w:id="39"/>
    </w:p>
    <w:p w14:paraId="03AC1C25"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Main Practice Domain(s): </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Health and Wellbeing, Liveability</w:t>
      </w:r>
    </w:p>
    <w:p w14:paraId="7D53F0B7" w14:textId="760DAEFF"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Secondary Practice Domain(s): </w:t>
      </w:r>
      <w:r w:rsidRPr="00C95B9B">
        <w:rPr>
          <w:rFonts w:eastAsiaTheme="minorEastAsia"/>
          <w:b/>
          <w:bCs/>
          <w:color w:val="595959" w:themeColor="text1" w:themeTint="A6"/>
          <w:sz w:val="23"/>
          <w:szCs w:val="23"/>
        </w:rPr>
        <w:tab/>
        <w:t>Employment, Education</w:t>
      </w:r>
    </w:p>
    <w:p w14:paraId="69E9E0D1" w14:textId="39CAD223"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Located on the San Francisco Bay, East Oakland is an urban area of concentrated disadvantage and historic disinvestment, with high unemployment, violent crime, and health inequalities. The population is culturally diverse and majority non-white. Almost 50 percent of residents live in poverty, and 40 percent of students drop out of high school (Chow et al, 2018 :3). East Oakland is a USDA-designated “food desert”, a low-income area with limited access to fresh, nutritious and affordable food.</w:t>
      </w:r>
    </w:p>
    <w:p w14:paraId="7E58F030" w14:textId="34EC6E3E" w:rsidR="00380B47" w:rsidRPr="00C95B9B" w:rsidRDefault="00380B47" w:rsidP="00C34CCC">
      <w:pPr>
        <w:spacing w:line="276" w:lineRule="auto"/>
        <w:rPr>
          <w:rFonts w:asciiTheme="majorHAnsi" w:eastAsia="Times New Roman" w:hAnsiTheme="majorHAnsi" w:cstheme="majorBidi"/>
          <w:b/>
          <w:bCs/>
          <w:color w:val="000000" w:themeColor="text1"/>
          <w:sz w:val="23"/>
          <w:szCs w:val="23"/>
          <w:shd w:val="clear" w:color="auto" w:fill="FFFFFF"/>
          <w:lang w:eastAsia="en-AU"/>
        </w:rPr>
      </w:pPr>
      <w:r w:rsidRPr="00865BEB">
        <w:rPr>
          <w:rFonts w:asciiTheme="majorHAnsi" w:eastAsia="Times New Roman" w:hAnsiTheme="majorHAnsi" w:cstheme="majorBidi"/>
          <w:color w:val="000000" w:themeColor="text1"/>
          <w:sz w:val="23"/>
          <w:szCs w:val="23"/>
          <w:lang w:eastAsia="en-AU"/>
        </w:rPr>
        <w:t>In 2012, East Oakland’s Castlemont neighbourhood (pop. 5000) was one of three US communities chosen for a three-year pilot program, the Best Babies Zone (BBZ) Initiative. BBZ is a national, multi-year, place-based program that seeks to reduce infant mortality rates in select urban neighbourhoods. More widely, it aims to mobilise and empower residents, change</w:t>
      </w:r>
      <w:r w:rsidRPr="359636AC">
        <w:rPr>
          <w:rFonts w:asciiTheme="majorHAnsi" w:eastAsia="Times New Roman" w:hAnsiTheme="majorHAnsi" w:cstheme="majorBidi"/>
          <w:color w:val="000000"/>
          <w:sz w:val="23"/>
          <w:szCs w:val="23"/>
          <w:shd w:val="clear" w:color="auto" w:fill="FFFFFF"/>
          <w:lang w:eastAsia="en-AU"/>
        </w:rPr>
        <w:t xml:space="preserve"> </w:t>
      </w:r>
      <w:r w:rsidRPr="00865BEB">
        <w:rPr>
          <w:rFonts w:asciiTheme="majorHAnsi" w:eastAsia="Times New Roman" w:hAnsiTheme="majorHAnsi" w:cstheme="majorBidi"/>
          <w:color w:val="000000" w:themeColor="text1"/>
          <w:sz w:val="23"/>
          <w:szCs w:val="23"/>
          <w:lang w:eastAsia="en-AU"/>
        </w:rPr>
        <w:t>children’s life trajectories, and improve conditions across target communities by addressing the social determinants of health.</w:t>
      </w:r>
    </w:p>
    <w:p w14:paraId="5BDFD841" w14:textId="528DE457" w:rsidR="00380B47" w:rsidRPr="00C95B9B" w:rsidRDefault="00380B47" w:rsidP="00C34CCC">
      <w:pPr>
        <w:spacing w:line="276" w:lineRule="auto"/>
        <w:rPr>
          <w:rFonts w:asciiTheme="majorHAnsi" w:eastAsia="Times New Roman" w:hAnsiTheme="majorHAnsi" w:cstheme="majorBidi"/>
          <w:b/>
          <w:bCs/>
          <w:color w:val="000000" w:themeColor="text1"/>
          <w:sz w:val="23"/>
          <w:szCs w:val="23"/>
          <w:shd w:val="clear" w:color="auto" w:fill="FFFFFF"/>
          <w:lang w:eastAsia="en-AU"/>
        </w:rPr>
      </w:pPr>
      <w:r w:rsidRPr="00865BEB">
        <w:rPr>
          <w:rFonts w:asciiTheme="majorHAnsi" w:eastAsia="Times New Roman" w:hAnsiTheme="majorHAnsi" w:cstheme="majorBidi"/>
          <w:color w:val="000000" w:themeColor="text1"/>
          <w:sz w:val="23"/>
          <w:szCs w:val="23"/>
          <w:lang w:eastAsia="en-AU"/>
        </w:rPr>
        <w:t xml:space="preserve">The BBZ program emphasises community-led and participatory approaches. Grounded in Life Course Theory (Deme, 2017), it was developed by public health experts at the University of </w:t>
      </w:r>
      <w:r w:rsidRPr="00865BEB">
        <w:rPr>
          <w:rFonts w:asciiTheme="majorHAnsi" w:eastAsia="Times New Roman" w:hAnsiTheme="majorHAnsi" w:cstheme="majorBidi"/>
          <w:color w:val="000000" w:themeColor="text1"/>
          <w:sz w:val="23"/>
          <w:szCs w:val="23"/>
          <w:lang w:eastAsia="en-AU"/>
        </w:rPr>
        <w:lastRenderedPageBreak/>
        <w:t xml:space="preserve">California, Berkley. Target localities have strong community pride, thriving local organisations, income inequality, limited economic opportunities, and poor birth outcomes linked to racial disparities. BBZ is run by local lead agencies, supported by a national Technical Assistance </w:t>
      </w:r>
      <w:r w:rsidR="00D24715" w:rsidRPr="00865BEB">
        <w:rPr>
          <w:rFonts w:asciiTheme="majorHAnsi" w:eastAsia="Times New Roman" w:hAnsiTheme="majorHAnsi" w:cstheme="majorBidi"/>
          <w:color w:val="000000" w:themeColor="text1"/>
          <w:sz w:val="23"/>
          <w:szCs w:val="23"/>
          <w:lang w:eastAsia="en-AU"/>
        </w:rPr>
        <w:t>Centre</w:t>
      </w:r>
      <w:r w:rsidRPr="00865BEB">
        <w:rPr>
          <w:rFonts w:asciiTheme="majorHAnsi" w:eastAsia="Times New Roman" w:hAnsiTheme="majorHAnsi" w:cstheme="majorBidi"/>
          <w:color w:val="000000" w:themeColor="text1"/>
          <w:sz w:val="23"/>
          <w:szCs w:val="23"/>
          <w:lang w:eastAsia="en-AU"/>
        </w:rPr>
        <w:t>. The Castlemont program was led by Building Blocks, a division of local government, in partnership with multiple local agencies.</w:t>
      </w:r>
    </w:p>
    <w:p w14:paraId="357822DC" w14:textId="77777777" w:rsidR="00380B47" w:rsidRPr="00865BEB" w:rsidRDefault="00380B47" w:rsidP="00731C05">
      <w:pPr>
        <w:spacing w:after="0" w:line="276" w:lineRule="auto"/>
        <w:rPr>
          <w:rFonts w:asciiTheme="majorHAnsi" w:eastAsia="Times New Roman" w:hAnsiTheme="majorHAnsi" w:cstheme="majorBidi"/>
          <w:b/>
          <w:bCs/>
          <w:color w:val="000000" w:themeColor="text1"/>
          <w:sz w:val="23"/>
          <w:szCs w:val="23"/>
          <w:shd w:val="clear" w:color="auto" w:fill="FFFFFF"/>
          <w:lang w:eastAsia="en-AU"/>
        </w:rPr>
      </w:pPr>
      <w:r w:rsidRPr="00865BEB">
        <w:rPr>
          <w:rFonts w:asciiTheme="majorHAnsi" w:eastAsia="Times New Roman" w:hAnsiTheme="majorHAnsi" w:cstheme="majorBidi"/>
          <w:color w:val="000000" w:themeColor="text1"/>
          <w:sz w:val="23"/>
          <w:szCs w:val="23"/>
          <w:lang w:eastAsia="en-AU"/>
        </w:rPr>
        <w:t>Activities in the Castlemont BBZ program included:</w:t>
      </w:r>
    </w:p>
    <w:p w14:paraId="5CDE2551" w14:textId="77777777" w:rsidR="00380B47" w:rsidRPr="00865BE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Summer Block Party where residents shared ideas for a thriving community</w:t>
      </w:r>
    </w:p>
    <w:p w14:paraId="514A74A2" w14:textId="77777777" w:rsidR="00380B47" w:rsidRPr="00865BE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Design Sprints: local agency staff met weekly, generating ideas via Design Thinking to stimulate the local economy (</w:t>
      </w:r>
      <w:hyperlink r:id="rId19">
        <w:r w:rsidRPr="00C95B9B">
          <w:rPr>
            <w:rStyle w:val="Hyperlink"/>
            <w:rFonts w:cstheme="majorHAnsi"/>
          </w:rPr>
          <w:t>evaluated here</w:t>
        </w:r>
      </w:hyperlink>
      <w:r w:rsidRPr="00865BEB">
        <w:rPr>
          <w:rFonts w:asciiTheme="majorHAnsi" w:eastAsia="Times New Roman" w:hAnsiTheme="majorHAnsi" w:cstheme="majorBidi"/>
          <w:color w:val="000000" w:themeColor="text1"/>
          <w:sz w:val="23"/>
          <w:szCs w:val="23"/>
          <w:lang w:eastAsia="en-AU"/>
        </w:rPr>
        <w:t>: Vechakul, 2014)</w:t>
      </w:r>
    </w:p>
    <w:p w14:paraId="30694D62" w14:textId="77777777" w:rsidR="00380B47" w:rsidRPr="00865BE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East Oakland Innovators: leadership program supporting residents to develop projects to meet identified community priorities (safety and violence, local economy, community-building, education), using Design Thinking strategies</w:t>
      </w:r>
    </w:p>
    <w:p w14:paraId="52CA7CF8" w14:textId="77777777" w:rsidR="00380B47" w:rsidRPr="00865BE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new childhood hub, playgroups, community cafes, fatherhood groups, MCH home visits, youth storefront murals</w:t>
      </w:r>
    </w:p>
    <w:p w14:paraId="3D29242A" w14:textId="77777777" w:rsidR="00380B47" w:rsidRPr="00865BE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resident-run mini-grant program, plus financial literacy classes, business development, and entrepreneurship training</w:t>
      </w:r>
    </w:p>
    <w:p w14:paraId="086A3102" w14:textId="34EA2F51" w:rsidR="00380B47" w:rsidRPr="00C95B9B" w:rsidRDefault="00380B47" w:rsidP="00D24715">
      <w:pPr>
        <w:numPr>
          <w:ilvl w:val="0"/>
          <w:numId w:val="3"/>
        </w:numPr>
        <w:spacing w:after="120" w:line="276" w:lineRule="auto"/>
        <w:ind w:left="28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monthly Community Market at Castlemont High School, in partnership with Youth UpRising, a local community development organisation (Iton et al, 2016).</w:t>
      </w:r>
    </w:p>
    <w:p w14:paraId="6F497F51" w14:textId="56F80FE8" w:rsidR="00380B47" w:rsidRPr="00C95B9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The community market provided a launchpad for small businesses, a regular all-ages gathering to foster community-building, and leadership opportunities through a vendors’ association. In 2014 the market hosted 20 vendors, generated US$3212 in profit, and attracted 585 attendees. Rising sales and attendance indicated community support (Vechakul et al., 2015: 2557). Specific o</w:t>
      </w:r>
      <w:r w:rsidR="00D24715" w:rsidRPr="00865BEB">
        <w:rPr>
          <w:rFonts w:asciiTheme="majorHAnsi" w:eastAsia="Times New Roman" w:hAnsiTheme="majorHAnsi" w:cstheme="majorBidi"/>
          <w:color w:val="000000" w:themeColor="text1"/>
          <w:sz w:val="23"/>
          <w:szCs w:val="23"/>
          <w:lang w:val="en-GB"/>
        </w:rPr>
        <w:t>utcome</w:t>
      </w:r>
      <w:r w:rsidRPr="00865BEB">
        <w:rPr>
          <w:rFonts w:asciiTheme="majorHAnsi" w:eastAsia="Times New Roman" w:hAnsiTheme="majorHAnsi" w:cstheme="majorBidi"/>
          <w:color w:val="000000" w:themeColor="text1"/>
          <w:sz w:val="23"/>
          <w:szCs w:val="23"/>
          <w:lang w:val="en-GB"/>
        </w:rPr>
        <w:t xml:space="preserve"> data for BBZ Castlemont is unavailable, but a </w:t>
      </w:r>
      <w:hyperlink r:id="rId20">
        <w:r w:rsidRPr="00C95B9B">
          <w:rPr>
            <w:rStyle w:val="Hyperlink"/>
            <w:rFonts w:asciiTheme="majorHAnsi" w:hAnsiTheme="majorHAnsi" w:cstheme="majorHAnsi"/>
            <w:sz w:val="23"/>
            <w:szCs w:val="23"/>
          </w:rPr>
          <w:t>national evaluation</w:t>
        </w:r>
      </w:hyperlink>
      <w:r w:rsidRPr="00865BEB">
        <w:rPr>
          <w:rFonts w:asciiTheme="majorHAnsi" w:eastAsia="Times New Roman" w:hAnsiTheme="majorHAnsi" w:cstheme="majorBidi"/>
          <w:color w:val="000000" w:themeColor="text1"/>
          <w:sz w:val="23"/>
          <w:szCs w:val="23"/>
          <w:lang w:val="en-GB"/>
        </w:rPr>
        <w:t xml:space="preserve"> (Harder+Company, 2018) noted key success factors: authentic engagement with residents, including “community champions”; effective staff support; and building strong local multi-sector partnerships.</w:t>
      </w:r>
    </w:p>
    <w:p w14:paraId="10278050" w14:textId="23039A09"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BBZ is guided by four strategies: zonal focus (place-based, small geographic areas); multi-sector collaboration (economic development, community services, health, and education); community-driven action (residents’ input drives the program); and social movement cultivation (advancing racial and social justice) (Pies et al, 2016: 5).</w:t>
      </w:r>
    </w:p>
    <w:p w14:paraId="74A8FC38" w14:textId="5C390FE7" w:rsidR="00380B47" w:rsidRPr="00C95B9B" w:rsidRDefault="00380B47" w:rsidP="00C34CCC">
      <w:pPr>
        <w:spacing w:line="276" w:lineRule="auto"/>
        <w:rPr>
          <w:rFonts w:asciiTheme="majorHAnsi" w:eastAsia="Times New Roman" w:hAnsiTheme="majorHAnsi" w:cstheme="majorBidi"/>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The W.K. Kellogg foundation is the program’s primary funder. In May 2019 program stewardship transferred from UC Berkeley to CityMatCH, a national Maternal and Child Health organisation (University of Nebraska Medical Centre). BBZ has run in 11 neighbourhoods across the US.</w:t>
      </w:r>
    </w:p>
    <w:p w14:paraId="29C84283" w14:textId="77777777" w:rsidR="00D24715" w:rsidRDefault="00D24715">
      <w:pPr>
        <w:rPr>
          <w:rFonts w:asciiTheme="majorHAnsi" w:eastAsiaTheme="majorEastAsia" w:hAnsiTheme="majorHAnsi" w:cstheme="majorBidi"/>
          <w:color w:val="2F5496" w:themeColor="accent1" w:themeShade="BF"/>
          <w:sz w:val="26"/>
          <w:szCs w:val="26"/>
        </w:rPr>
      </w:pPr>
      <w:bookmarkStart w:id="40" w:name="_Toc108183167"/>
      <w:bookmarkStart w:id="41" w:name="_Hlk70864159"/>
      <w:r>
        <w:br w:type="page"/>
      </w:r>
    </w:p>
    <w:p w14:paraId="11E0D5BA" w14:textId="058711F3" w:rsidR="00380B47" w:rsidRPr="00731C05" w:rsidRDefault="00380B47" w:rsidP="00731C05">
      <w:pPr>
        <w:pStyle w:val="Heading2"/>
      </w:pPr>
      <w:r w:rsidRPr="00731C05">
        <w:lastRenderedPageBreak/>
        <w:t>Sustainable South Bronx Project: Urban Greening, Training, and Local Job Creation</w:t>
      </w:r>
      <w:bookmarkEnd w:id="40"/>
    </w:p>
    <w:p w14:paraId="6F0791CE" w14:textId="017FE968" w:rsidR="00380B47" w:rsidRPr="00C95B9B" w:rsidRDefault="00380B47" w:rsidP="00C34CCC">
      <w:pPr>
        <w:spacing w:line="276" w:lineRule="auto"/>
        <w:rPr>
          <w:rFonts w:cstheme="minorHAnsi"/>
          <w:b/>
          <w:bCs/>
          <w:sz w:val="23"/>
          <w:szCs w:val="23"/>
        </w:rPr>
      </w:pPr>
      <w:r w:rsidRPr="003C5947">
        <w:rPr>
          <w:rFonts w:cstheme="minorHAnsi"/>
          <w:sz w:val="23"/>
          <w:szCs w:val="23"/>
        </w:rPr>
        <w:t>Sou</w:t>
      </w:r>
      <w:r w:rsidR="00C95B9B">
        <w:rPr>
          <w:rFonts w:cstheme="minorHAnsi"/>
          <w:sz w:val="23"/>
          <w:szCs w:val="23"/>
        </w:rPr>
        <w:t>t</w:t>
      </w:r>
      <w:r w:rsidRPr="003C5947">
        <w:rPr>
          <w:rFonts w:cstheme="minorHAnsi"/>
          <w:sz w:val="23"/>
          <w:szCs w:val="23"/>
        </w:rPr>
        <w:t>h Bronx, New York City, USA (2001–present)</w:t>
      </w:r>
      <w:bookmarkEnd w:id="41"/>
    </w:p>
    <w:p w14:paraId="10718FA3"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Main Practice Domain(s):</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Employment, Education, Liveability</w:t>
      </w:r>
    </w:p>
    <w:p w14:paraId="6FA0272B" w14:textId="77777777" w:rsidR="00380B47" w:rsidRPr="00C95B9B" w:rsidRDefault="00380B47" w:rsidP="00C95B9B">
      <w:pPr>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Secondary Practice Domain(s):</w:t>
      </w:r>
      <w:r w:rsidRPr="00C95B9B">
        <w:rPr>
          <w:rFonts w:eastAsiaTheme="minorEastAsia"/>
          <w:b/>
          <w:bCs/>
          <w:color w:val="595959" w:themeColor="text1" w:themeTint="A6"/>
          <w:sz w:val="23"/>
          <w:szCs w:val="23"/>
        </w:rPr>
        <w:tab/>
        <w:t>Health and Wellbeing</w:t>
      </w:r>
    </w:p>
    <w:p w14:paraId="741A1A97" w14:textId="08B4700D"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New York’s South Bronx area has long been a site of entrenched poverty, high unemployment, health inequality, youth disengagement, violent crime, and concentrated industrial zones. It also has a history of urban creativity and resourcefulness. Founded in 2001 by locally raised urban revitalization strategist Majora Cater, the Sustainable South Bronx project (SSBx) is a green jobs training program and environmental justice organisation working with communities affected by disadvantage, both locally and across greater New York City. SSBx has trained more than 500 low-income New York residents to work in the city’s growing green collar sector (Jennings et al, 2017).</w:t>
      </w:r>
    </w:p>
    <w:p w14:paraId="130D29FE" w14:textId="0D3B46EB"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SSBx spearheaded the creation of the Hunts Point Riverside Park, a US$3.2 million project that transformed a vacant lot and illegal dumping ground into an award-winning 1.4-acre public green space on the Harlem River. Constructed in 2004 on the former site of a Robert Moses bridge, it was the first riverside park built in the area in over 60 years, and is part of the ongoing South Bronx Greenway project, a planned 6.5-kilometre stretch of green spaces linked by a bikeway.</w:t>
      </w:r>
    </w:p>
    <w:p w14:paraId="498B3AE5" w14:textId="361C4E95"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These urban greening projects have had multiple benefits: they provided new open space and river access for the community, promoted physical activity by creating bicycle- and pedestrian-friendly infrastructure, beautified a degraded area, supported local economic development, upskilled the workforce, and created new jobs and social networks for communities affected by disadvantage.</w:t>
      </w:r>
    </w:p>
    <w:p w14:paraId="1B172F42" w14:textId="2D289410"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In 2003, SSBx founded the Bronx Environmental Stewardship (BEST) Academy, which trains</w:t>
      </w:r>
      <w:r w:rsidR="00C95B9B">
        <w:rPr>
          <w:rFonts w:asciiTheme="majorHAnsi" w:eastAsia="Times New Roman" w:hAnsiTheme="majorHAnsi" w:cstheme="majorBidi"/>
          <w:color w:val="000000" w:themeColor="text1"/>
          <w:sz w:val="23"/>
          <w:szCs w:val="23"/>
          <w:lang w:eastAsia="en-AU"/>
        </w:rPr>
        <w:t xml:space="preserve"> </w:t>
      </w:r>
      <w:r w:rsidRPr="00865BEB">
        <w:rPr>
          <w:rFonts w:asciiTheme="majorHAnsi" w:eastAsia="Times New Roman" w:hAnsiTheme="majorHAnsi" w:cstheme="majorBidi"/>
          <w:color w:val="000000" w:themeColor="text1"/>
          <w:sz w:val="23"/>
          <w:szCs w:val="23"/>
          <w:lang w:eastAsia="en-AU"/>
        </w:rPr>
        <w:t xml:space="preserve">low-income NYC residents for environmental jobs. In the intensive course, trainees take part in local greening programs, conduct tree surveys and plantings, test water quality, learn life skills, and help restore and maintain waterfronts. </w:t>
      </w:r>
      <w:hyperlink r:id="rId21">
        <w:r w:rsidRPr="00C95B9B">
          <w:rPr>
            <w:rStyle w:val="Hyperlink"/>
            <w:rFonts w:asciiTheme="majorHAnsi" w:hAnsiTheme="majorHAnsi" w:cstheme="majorHAnsi"/>
            <w:sz w:val="23"/>
            <w:szCs w:val="23"/>
          </w:rPr>
          <w:t>One evaluation</w:t>
        </w:r>
      </w:hyperlink>
      <w:r w:rsidRPr="00865BEB">
        <w:rPr>
          <w:rFonts w:asciiTheme="majorHAnsi" w:eastAsia="Times New Roman" w:hAnsiTheme="majorHAnsi" w:cstheme="majorBidi"/>
          <w:color w:val="000000" w:themeColor="text1"/>
          <w:sz w:val="23"/>
          <w:szCs w:val="23"/>
          <w:lang w:eastAsia="en-AU"/>
        </w:rPr>
        <w:t xml:space="preserve"> found that 85 percent of program graduates gained employment, with more than 90 percent working in green-collar jobs and nearly 10 percent engaging in college education (Pacific Institute, 2013; Quennell, 2011). In 2015 SSBx partnered with the HOPE Program, a workforce development organisation (SSBx, n.d.).</w:t>
      </w:r>
    </w:p>
    <w:p w14:paraId="3FC69FC5" w14:textId="02AC6E04" w:rsidR="00380B47" w:rsidRPr="00C95B9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BEST program graduates can also work in SSBx’s for-profit NYC CoolRoofs program, installing green roofs and energy-saving reflective rooftops across the city, a practice supported by New York City’s Green Roofs Act (2019); the New York City Department of Small Business Services is a program partner. SSBx also runs a social enterprise, Intervine, which trains and employs local workers to create and maintain sustainable green infrastructure, and the SSBxFab program, in partnership with the Massachusetts Institute of Technology, which offers fellowships for South Bronx-based eco-designers.</w:t>
      </w:r>
    </w:p>
    <w:p w14:paraId="1C6F1041" w14:textId="1A251A3B" w:rsidR="00380B47" w:rsidRPr="00C95B9B" w:rsidRDefault="00380B47" w:rsidP="00A5216B">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 xml:space="preserve">Director Majora Cater is a major factor in SSBx’s success: her expertise, activism, local connections and ongoing leadership continue to be a driving force. Other success factors include effective partnership-building, close alignment with policy initiatives (urban greening), access to public land, income generation through for-profit sub-projects, and a multi-pronged approach to </w:t>
      </w:r>
      <w:r w:rsidRPr="00865BEB">
        <w:rPr>
          <w:rFonts w:asciiTheme="majorHAnsi" w:eastAsia="Times New Roman" w:hAnsiTheme="majorHAnsi" w:cstheme="majorBidi"/>
          <w:color w:val="000000" w:themeColor="text1"/>
          <w:sz w:val="23"/>
          <w:szCs w:val="23"/>
          <w:lang w:eastAsia="en-AU"/>
        </w:rPr>
        <w:lastRenderedPageBreak/>
        <w:t>improving community outcomes (skills development, employment, place-making, social connections, open space access).</w:t>
      </w:r>
    </w:p>
    <w:p w14:paraId="4F9EC3A4" w14:textId="77777777" w:rsidR="00F75A96" w:rsidRDefault="00F75A96">
      <w:pPr>
        <w:rPr>
          <w:rFonts w:asciiTheme="majorHAnsi" w:eastAsiaTheme="majorEastAsia" w:hAnsiTheme="majorHAnsi" w:cstheme="majorBidi"/>
          <w:color w:val="2F5496" w:themeColor="accent1" w:themeShade="BF"/>
          <w:sz w:val="26"/>
          <w:szCs w:val="26"/>
        </w:rPr>
      </w:pPr>
      <w:bookmarkStart w:id="42" w:name="_Toc108183168"/>
      <w:r>
        <w:br w:type="page"/>
      </w:r>
    </w:p>
    <w:p w14:paraId="6BCF5BFC" w14:textId="3D751476" w:rsidR="00380B47" w:rsidRPr="006C7520" w:rsidRDefault="00380B47" w:rsidP="00731C05">
      <w:pPr>
        <w:pStyle w:val="Heading2"/>
        <w:rPr>
          <w:rFonts w:cstheme="minorHAnsi"/>
          <w:b/>
          <w:bCs/>
          <w:sz w:val="25"/>
          <w:szCs w:val="25"/>
        </w:rPr>
      </w:pPr>
      <w:r w:rsidRPr="00380B47">
        <w:lastRenderedPageBreak/>
        <w:t>Detroit City of Design Competition: Design Prototypes for Safe, Walkable</w:t>
      </w:r>
      <w:r w:rsidRPr="006C7520">
        <w:rPr>
          <w:rFonts w:cstheme="minorHAnsi"/>
          <w:sz w:val="25"/>
          <w:szCs w:val="25"/>
        </w:rPr>
        <w:t xml:space="preserve"> </w:t>
      </w:r>
      <w:r w:rsidRPr="00C95B9B">
        <w:t>Neighbourhoods</w:t>
      </w:r>
      <w:bookmarkEnd w:id="42"/>
    </w:p>
    <w:p w14:paraId="268421C2" w14:textId="7EEF8D0A" w:rsidR="00380B47" w:rsidRPr="00C95B9B" w:rsidRDefault="00380B47" w:rsidP="00C34CCC">
      <w:pPr>
        <w:spacing w:line="276" w:lineRule="auto"/>
        <w:rPr>
          <w:rFonts w:cstheme="minorHAnsi"/>
          <w:b/>
          <w:bCs/>
          <w:sz w:val="23"/>
          <w:szCs w:val="23"/>
        </w:rPr>
      </w:pPr>
      <w:r w:rsidRPr="006C7520">
        <w:rPr>
          <w:rFonts w:cstheme="minorHAnsi"/>
          <w:sz w:val="23"/>
          <w:szCs w:val="23"/>
        </w:rPr>
        <w:t>Grandmont Rosedale, Southwest Detroit &amp; Hope Village, Detroit, Michigan (2019)</w:t>
      </w:r>
    </w:p>
    <w:p w14:paraId="360FD1B7"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Main Practice Domain(s): </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Liveability</w:t>
      </w:r>
    </w:p>
    <w:p w14:paraId="7F5E3EE9" w14:textId="2A01B85F" w:rsidR="00380B47" w:rsidRPr="00C95B9B" w:rsidRDefault="00380B47" w:rsidP="00731C05">
      <w:pPr>
        <w:rPr>
          <w:rFonts w:cstheme="minorHAnsi"/>
          <w:b/>
          <w:bCs/>
          <w:color w:val="595959" w:themeColor="text1" w:themeTint="A6"/>
          <w:sz w:val="23"/>
          <w:szCs w:val="23"/>
        </w:rPr>
      </w:pPr>
      <w:r w:rsidRPr="00C95B9B">
        <w:rPr>
          <w:rFonts w:eastAsiaTheme="minorEastAsia"/>
          <w:b/>
          <w:bCs/>
          <w:color w:val="595959" w:themeColor="text1" w:themeTint="A6"/>
          <w:sz w:val="23"/>
          <w:szCs w:val="23"/>
        </w:rPr>
        <w:t xml:space="preserve">Secondary Practice Domain(s): </w:t>
      </w:r>
      <w:r w:rsidRPr="00C95B9B">
        <w:rPr>
          <w:rFonts w:eastAsiaTheme="minorEastAsia"/>
          <w:b/>
          <w:bCs/>
          <w:color w:val="595959" w:themeColor="text1" w:themeTint="A6"/>
          <w:sz w:val="23"/>
          <w:szCs w:val="23"/>
        </w:rPr>
        <w:tab/>
        <w:t>Health and</w:t>
      </w:r>
      <w:r w:rsidRPr="00CC521D">
        <w:rPr>
          <w:rFonts w:cstheme="minorHAnsi"/>
          <w:color w:val="595959" w:themeColor="text1" w:themeTint="A6"/>
          <w:sz w:val="23"/>
          <w:szCs w:val="23"/>
        </w:rPr>
        <w:t xml:space="preserve"> </w:t>
      </w:r>
      <w:r w:rsidRPr="00C95B9B">
        <w:rPr>
          <w:rFonts w:eastAsiaTheme="minorEastAsia"/>
          <w:b/>
          <w:bCs/>
          <w:color w:val="595959" w:themeColor="text1" w:themeTint="A6"/>
          <w:sz w:val="23"/>
          <w:szCs w:val="23"/>
        </w:rPr>
        <w:t>Wellbeing</w:t>
      </w:r>
    </w:p>
    <w:p w14:paraId="6CE85FAA" w14:textId="4CBCC70A" w:rsidR="00380B47" w:rsidRPr="00C95B9B" w:rsidRDefault="00380B47" w:rsidP="00C34CCC">
      <w:pPr>
        <w:spacing w:line="276" w:lineRule="auto"/>
        <w:rPr>
          <w:rFonts w:asciiTheme="majorHAnsi" w:hAnsiTheme="majorHAnsi"/>
          <w:color w:val="000000" w:themeColor="text1"/>
          <w:sz w:val="23"/>
          <w:szCs w:val="23"/>
        </w:rPr>
      </w:pPr>
      <w:r w:rsidRPr="00865BEB">
        <w:rPr>
          <w:rFonts w:asciiTheme="majorHAnsi" w:hAnsiTheme="majorHAnsi"/>
          <w:color w:val="000000" w:themeColor="text1"/>
          <w:sz w:val="23"/>
          <w:szCs w:val="23"/>
        </w:rPr>
        <w:t>The City of Detroit, Michigan (pop. 667,000) has been a UNESCO City of Design since 2015. A former auto industry boomtown, it has endured protracted economic decline in recent decades, but retains a vibrant arts and cultural scene. One in three Detroit residents lives in poverty (US Census, 2019)</w:t>
      </w:r>
    </w:p>
    <w:p w14:paraId="1FC59A65" w14:textId="012CAD51" w:rsidR="00380B47" w:rsidRPr="00C95B9B" w:rsidRDefault="00380B47" w:rsidP="00C34CCC">
      <w:pPr>
        <w:spacing w:line="276" w:lineRule="auto"/>
        <w:rPr>
          <w:rFonts w:asciiTheme="majorHAnsi" w:hAnsiTheme="majorHAnsi"/>
          <w:color w:val="000000" w:themeColor="text1"/>
          <w:sz w:val="23"/>
          <w:szCs w:val="23"/>
        </w:rPr>
      </w:pPr>
      <w:r w:rsidRPr="00865BEB">
        <w:rPr>
          <w:rFonts w:asciiTheme="majorHAnsi" w:hAnsiTheme="majorHAnsi"/>
          <w:color w:val="000000" w:themeColor="text1"/>
          <w:sz w:val="23"/>
          <w:szCs w:val="23"/>
        </w:rPr>
        <w:t xml:space="preserve">The 2019 Detroit City of Design Competition was an international contest seeking to address safety and walkability in three Detroit neighbourhoods. Design teams from UNESCO Cities of Design were invited to propose and test innovative solutions to help residents move around freely and safely. </w:t>
      </w:r>
    </w:p>
    <w:p w14:paraId="7AC0D979" w14:textId="77777777" w:rsidR="00380B47" w:rsidRPr="00865BEB" w:rsidRDefault="00380B47" w:rsidP="00C34CCC">
      <w:pPr>
        <w:spacing w:line="276" w:lineRule="auto"/>
        <w:rPr>
          <w:rFonts w:asciiTheme="majorHAnsi" w:hAnsiTheme="majorHAnsi"/>
          <w:b/>
          <w:bCs/>
          <w:color w:val="000000" w:themeColor="text1"/>
          <w:sz w:val="23"/>
          <w:szCs w:val="23"/>
        </w:rPr>
      </w:pPr>
      <w:r w:rsidRPr="00865BEB">
        <w:rPr>
          <w:rFonts w:asciiTheme="majorHAnsi" w:hAnsiTheme="majorHAnsi"/>
          <w:color w:val="000000" w:themeColor="text1"/>
          <w:sz w:val="23"/>
          <w:szCs w:val="23"/>
        </w:rPr>
        <w:t>From 26 submissions, three winners were selected (two Detroit teams, one Canadian). A jury of community members and design experts evaluated submissions on creative merit, appropriateness to location, and value for cost. The contest was run by Design Core Detroit, which leads the local UNESCO designation, supported by a philanthropic grant. The winning designs and their target localities were:</w:t>
      </w:r>
    </w:p>
    <w:p w14:paraId="5363ED6B" w14:textId="5FC60311" w:rsidR="00380B47" w:rsidRPr="00865BEB" w:rsidRDefault="00380B47" w:rsidP="00F75A96">
      <w:pPr>
        <w:numPr>
          <w:ilvl w:val="0"/>
          <w:numId w:val="9"/>
        </w:numPr>
        <w:spacing w:after="120" w:line="276" w:lineRule="auto"/>
        <w:ind w:left="714" w:hanging="357"/>
        <w:rPr>
          <w:rFonts w:asciiTheme="majorHAnsi" w:eastAsia="Times New Roman" w:hAnsiTheme="majorHAnsi" w:cs="Times New Roman"/>
          <w:b/>
          <w:bCs/>
          <w:color w:val="000000" w:themeColor="text1"/>
          <w:sz w:val="23"/>
          <w:szCs w:val="23"/>
          <w:lang w:eastAsia="en-AU"/>
        </w:rPr>
      </w:pPr>
      <w:r w:rsidRPr="00865BEB">
        <w:rPr>
          <w:rFonts w:eastAsiaTheme="minorEastAsia"/>
          <w:color w:val="000000" w:themeColor="text1"/>
          <w:sz w:val="23"/>
          <w:szCs w:val="23"/>
          <w:lang w:eastAsia="en-AU"/>
        </w:rPr>
        <w:t>Grandmont Rosedal</w:t>
      </w:r>
      <w:r w:rsidRPr="00865BEB">
        <w:rPr>
          <w:rFonts w:asciiTheme="majorHAnsi" w:eastAsia="Times New Roman" w:hAnsiTheme="majorHAnsi" w:cs="Times New Roman"/>
          <w:color w:val="000000" w:themeColor="text1"/>
          <w:sz w:val="23"/>
          <w:szCs w:val="23"/>
          <w:lang w:eastAsia="en-AU"/>
        </w:rPr>
        <w:t xml:space="preserve">e (pop. 15,000) is a relatively prosperous area with five distinct neighbourhoods. </w:t>
      </w:r>
      <w:r w:rsidRPr="00865BEB">
        <w:rPr>
          <w:rFonts w:eastAsiaTheme="minorEastAsia"/>
          <w:color w:val="000000" w:themeColor="text1"/>
          <w:sz w:val="23"/>
          <w:szCs w:val="23"/>
          <w:lang w:eastAsia="en-AU"/>
        </w:rPr>
        <w:t xml:space="preserve">3 Rooms </w:t>
      </w:r>
      <w:r w:rsidRPr="00865BEB">
        <w:rPr>
          <w:rFonts w:asciiTheme="majorHAnsi" w:eastAsia="Times New Roman" w:hAnsiTheme="majorHAnsi" w:cs="Times New Roman"/>
          <w:color w:val="000000" w:themeColor="text1"/>
          <w:sz w:val="23"/>
          <w:szCs w:val="23"/>
          <w:lang w:eastAsia="en-AU"/>
        </w:rPr>
        <w:t xml:space="preserve">(by Collectif Escargo) seeks to convey belonging and celebrate community unity. “The Jardin” room invites residents to participate in agriculture; ‘’Le Boudoir’’ is for napping, reading, and resting under fruit trees; “The Hut” is a playful space with a steep incline. The rooms glow softly at night, functioning as a colourful neighbourhood fireplace and </w:t>
      </w:r>
      <w:r w:rsidR="00D24715" w:rsidRPr="00865BEB">
        <w:rPr>
          <w:rFonts w:asciiTheme="majorHAnsi" w:eastAsia="Times New Roman" w:hAnsiTheme="majorHAnsi" w:cs="Times New Roman"/>
          <w:color w:val="000000" w:themeColor="text1"/>
          <w:sz w:val="23"/>
          <w:szCs w:val="23"/>
          <w:lang w:eastAsia="en-AU"/>
        </w:rPr>
        <w:t>a haven</w:t>
      </w:r>
      <w:r w:rsidRPr="00865BEB">
        <w:rPr>
          <w:rFonts w:asciiTheme="majorHAnsi" w:eastAsia="Times New Roman" w:hAnsiTheme="majorHAnsi" w:cs="Times New Roman"/>
          <w:color w:val="000000" w:themeColor="text1"/>
          <w:sz w:val="23"/>
          <w:szCs w:val="23"/>
          <w:lang w:eastAsia="en-AU"/>
        </w:rPr>
        <w:t xml:space="preserve"> for improvised gatherings.</w:t>
      </w:r>
    </w:p>
    <w:p w14:paraId="3B980274" w14:textId="77777777" w:rsidR="00380B47" w:rsidRPr="00865BEB" w:rsidRDefault="00380B47" w:rsidP="00F75A96">
      <w:pPr>
        <w:numPr>
          <w:ilvl w:val="0"/>
          <w:numId w:val="9"/>
        </w:numPr>
        <w:spacing w:after="120" w:line="276" w:lineRule="auto"/>
        <w:ind w:left="714" w:hanging="357"/>
        <w:rPr>
          <w:rFonts w:asciiTheme="majorHAnsi" w:eastAsia="Times New Roman" w:hAnsiTheme="majorHAnsi" w:cstheme="majorBidi"/>
          <w:b/>
          <w:bCs/>
          <w:color w:val="000000" w:themeColor="text1"/>
          <w:sz w:val="23"/>
          <w:szCs w:val="23"/>
          <w:lang w:eastAsia="en-AU"/>
        </w:rPr>
      </w:pPr>
      <w:r w:rsidRPr="00865BEB">
        <w:rPr>
          <w:rFonts w:eastAsiaTheme="minorEastAsia"/>
          <w:color w:val="000000" w:themeColor="text1"/>
          <w:sz w:val="23"/>
          <w:szCs w:val="23"/>
          <w:lang w:eastAsia="en-AU"/>
        </w:rPr>
        <w:t xml:space="preserve">Southwest Detroit </w:t>
      </w:r>
      <w:r w:rsidRPr="00865BEB">
        <w:rPr>
          <w:rFonts w:asciiTheme="majorHAnsi" w:eastAsia="Times New Roman" w:hAnsiTheme="majorHAnsi" w:cs="Times New Roman"/>
          <w:color w:val="000000" w:themeColor="text1"/>
          <w:sz w:val="23"/>
          <w:szCs w:val="23"/>
          <w:lang w:eastAsia="en-AU"/>
        </w:rPr>
        <w:t xml:space="preserve">(pop. 17,000) is one of the city’s most culturally and ethnically diverse areas. A hub for Hispanic and Latino communities, it also includes some of the city’s busiest business districts. </w:t>
      </w:r>
      <w:r w:rsidRPr="00865BEB">
        <w:rPr>
          <w:rFonts w:eastAsiaTheme="minorEastAsia"/>
          <w:color w:val="000000" w:themeColor="text1"/>
          <w:sz w:val="23"/>
          <w:szCs w:val="23"/>
          <w:lang w:eastAsia="en-AU"/>
        </w:rPr>
        <w:t>Garden Novella</w:t>
      </w:r>
      <w:r w:rsidRPr="00865BEB">
        <w:rPr>
          <w:rFonts w:asciiTheme="majorHAnsi" w:eastAsia="Times New Roman" w:hAnsiTheme="majorHAnsi" w:cs="Times New Roman"/>
          <w:color w:val="000000" w:themeColor="text1"/>
          <w:sz w:val="23"/>
          <w:szCs w:val="23"/>
          <w:lang w:eastAsia="en-AU"/>
        </w:rPr>
        <w:t xml:space="preserve"> (by Other Work) is an interactive platform to share cultural, collective, and personal identity. Residents’ recorded stories guide users through a series of welcoming vessels featuring sun-powered lanterns, hanging gardens, and seating. The audio stories aim to connect generations, repair the </w:t>
      </w:r>
      <w:r w:rsidRPr="00865BEB">
        <w:rPr>
          <w:rFonts w:asciiTheme="majorHAnsi" w:eastAsia="Times New Roman" w:hAnsiTheme="majorHAnsi" w:cstheme="majorBidi"/>
          <w:color w:val="000000" w:themeColor="text1"/>
          <w:sz w:val="23"/>
          <w:szCs w:val="23"/>
          <w:lang w:eastAsia="en-AU"/>
        </w:rPr>
        <w:t>damage of the 1930s repatriations, and explore translation within a bilingual community.</w:t>
      </w:r>
    </w:p>
    <w:p w14:paraId="7489C6EE" w14:textId="405D6ABD" w:rsidR="00380B47" w:rsidRPr="00C95B9B" w:rsidRDefault="00380B47" w:rsidP="00F75A96">
      <w:pPr>
        <w:numPr>
          <w:ilvl w:val="0"/>
          <w:numId w:val="9"/>
        </w:numPr>
        <w:spacing w:after="120" w:line="276" w:lineRule="auto"/>
        <w:ind w:left="714" w:hanging="357"/>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Hope Village (pop. 4100) has long been subject to “white flight” and economic decline. Residents are 95 percent African American; one-fifth are aged below 18, and three-quarters of children live in single-parent households. Cyclerate (by Smith Group) is an interactive installation that aims to enhance public safety via lighting, communication, unity, and play. Visitors use hand-powered cranks and stationary bikes to generate kinetic energy, lighting up the installation, and can compete to produce electricity, viewing real-time outputs. Featuring LED lighting, Bluetooth speakers, and USB charging stations, the installation can be scaled up.</w:t>
      </w:r>
    </w:p>
    <w:p w14:paraId="00DD9848" w14:textId="61E2433B" w:rsidR="00731C05" w:rsidRPr="00731C05" w:rsidRDefault="00380B47" w:rsidP="00731C05">
      <w:pPr>
        <w:spacing w:line="276" w:lineRule="auto"/>
        <w:rPr>
          <w:rFonts w:asciiTheme="majorHAnsi" w:eastAsia="Times New Roman" w:hAnsiTheme="majorHAnsi" w:cstheme="majorBidi"/>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lastRenderedPageBreak/>
        <w:t>Winning prototypes were revealed to an audience of 40,000 at Detroit’s Month of Design in</w:t>
      </w:r>
      <w:r w:rsidR="00F75A96">
        <w:rPr>
          <w:rFonts w:asciiTheme="majorHAnsi" w:eastAsia="Times New Roman" w:hAnsiTheme="majorHAnsi" w:cstheme="majorBidi"/>
          <w:color w:val="000000" w:themeColor="text1"/>
          <w:sz w:val="23"/>
          <w:szCs w:val="23"/>
          <w:lang w:eastAsia="en-AU"/>
        </w:rPr>
        <w:t xml:space="preserve"> </w:t>
      </w:r>
      <w:r w:rsidRPr="00865BEB">
        <w:rPr>
          <w:rFonts w:asciiTheme="majorHAnsi" w:eastAsia="Times New Roman" w:hAnsiTheme="majorHAnsi" w:cstheme="majorBidi"/>
          <w:color w:val="000000" w:themeColor="text1"/>
          <w:sz w:val="23"/>
          <w:szCs w:val="23"/>
          <w:lang w:eastAsia="en-AU"/>
        </w:rPr>
        <w:t>September 2019. The plan was to install them in target neighbourhoods in April–July 2020 and gather resident feedback. Community organisations were assigned as local partners, and teams were given $20,000 to design and implement the prototype. But in March 2020, COVID-19 hit Detroit. Schools and businesses closed, and stay-at-home orders issued (Haddad, 2020). The winning prototypes were not installed, and the 2020 competition did not run.</w:t>
      </w:r>
    </w:p>
    <w:p w14:paraId="23FABFA5" w14:textId="77777777" w:rsidR="00380B47" w:rsidRPr="00731C05" w:rsidRDefault="00380B47" w:rsidP="00731C05">
      <w:pPr>
        <w:pStyle w:val="Heading2"/>
      </w:pPr>
      <w:bookmarkStart w:id="43" w:name="_Toc108183169"/>
      <w:bookmarkStart w:id="44" w:name="_Hlk70864234"/>
      <w:r w:rsidRPr="00731C05">
        <w:t>Festival of Neighbourhoods: Urban Regeneration Through Neighbourhood Collaboration</w:t>
      </w:r>
      <w:bookmarkEnd w:id="43"/>
    </w:p>
    <w:p w14:paraId="6994DEB3" w14:textId="5608D3ED" w:rsidR="00380B47" w:rsidRPr="00731C05" w:rsidRDefault="00380B47" w:rsidP="00C34CCC">
      <w:pPr>
        <w:spacing w:line="276" w:lineRule="auto"/>
        <w:rPr>
          <w:b/>
          <w:bCs/>
          <w:sz w:val="23"/>
          <w:szCs w:val="23"/>
        </w:rPr>
      </w:pPr>
      <w:r w:rsidRPr="0080793A">
        <w:rPr>
          <w:sz w:val="23"/>
          <w:szCs w:val="23"/>
        </w:rPr>
        <w:t>Kitchener,</w:t>
      </w:r>
      <w:r>
        <w:rPr>
          <w:sz w:val="23"/>
          <w:szCs w:val="23"/>
        </w:rPr>
        <w:t xml:space="preserve"> Ontario,</w:t>
      </w:r>
      <w:r w:rsidRPr="0080793A">
        <w:rPr>
          <w:sz w:val="23"/>
          <w:szCs w:val="23"/>
        </w:rPr>
        <w:t xml:space="preserve"> Canada</w:t>
      </w:r>
      <w:r>
        <w:rPr>
          <w:sz w:val="23"/>
          <w:szCs w:val="23"/>
        </w:rPr>
        <w:t xml:space="preserve"> (1994</w:t>
      </w:r>
      <w:r w:rsidRPr="003C5947">
        <w:rPr>
          <w:sz w:val="23"/>
          <w:szCs w:val="23"/>
        </w:rPr>
        <w:t>–</w:t>
      </w:r>
      <w:r>
        <w:rPr>
          <w:sz w:val="23"/>
          <w:szCs w:val="23"/>
        </w:rPr>
        <w:t>present</w:t>
      </w:r>
      <w:r w:rsidRPr="003C5947">
        <w:rPr>
          <w:sz w:val="23"/>
          <w:szCs w:val="23"/>
        </w:rPr>
        <w:t>)</w:t>
      </w:r>
      <w:bookmarkEnd w:id="44"/>
    </w:p>
    <w:p w14:paraId="0F3068D3" w14:textId="77777777" w:rsidR="00380B47" w:rsidRPr="00C95B9B" w:rsidRDefault="00380B47" w:rsidP="00C95B9B">
      <w:pPr>
        <w:spacing w:after="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Main Practice Domain(s): </w:t>
      </w:r>
      <w:r w:rsidRPr="00C95B9B">
        <w:rPr>
          <w:rFonts w:eastAsiaTheme="minorEastAsia"/>
          <w:b/>
          <w:bCs/>
          <w:color w:val="595959" w:themeColor="text1" w:themeTint="A6"/>
          <w:sz w:val="23"/>
          <w:szCs w:val="23"/>
        </w:rPr>
        <w:tab/>
      </w:r>
      <w:r w:rsidRPr="00C95B9B">
        <w:rPr>
          <w:rFonts w:eastAsiaTheme="minorEastAsia"/>
          <w:b/>
          <w:bCs/>
          <w:color w:val="595959" w:themeColor="text1" w:themeTint="A6"/>
          <w:sz w:val="23"/>
          <w:szCs w:val="23"/>
        </w:rPr>
        <w:tab/>
        <w:t>Liveability</w:t>
      </w:r>
    </w:p>
    <w:p w14:paraId="502CB524" w14:textId="403A178F" w:rsidR="00380B47" w:rsidRPr="00F75A96" w:rsidRDefault="00380B47" w:rsidP="00F75A96">
      <w:pPr>
        <w:spacing w:after="120"/>
        <w:rPr>
          <w:rFonts w:eastAsiaTheme="minorEastAsia"/>
          <w:b/>
          <w:bCs/>
          <w:color w:val="595959" w:themeColor="text1" w:themeTint="A6"/>
          <w:sz w:val="23"/>
          <w:szCs w:val="23"/>
        </w:rPr>
      </w:pPr>
      <w:r w:rsidRPr="00C95B9B">
        <w:rPr>
          <w:rFonts w:eastAsiaTheme="minorEastAsia"/>
          <w:b/>
          <w:bCs/>
          <w:color w:val="595959" w:themeColor="text1" w:themeTint="A6"/>
          <w:sz w:val="23"/>
          <w:szCs w:val="23"/>
        </w:rPr>
        <w:t xml:space="preserve">Secondary Practice Domain(s): </w:t>
      </w:r>
      <w:r w:rsidRPr="00C95B9B">
        <w:rPr>
          <w:rFonts w:eastAsiaTheme="minorEastAsia"/>
          <w:b/>
          <w:bCs/>
          <w:color w:val="595959" w:themeColor="text1" w:themeTint="A6"/>
          <w:sz w:val="23"/>
          <w:szCs w:val="23"/>
        </w:rPr>
        <w:tab/>
        <w:t>Health and Wellbeing</w:t>
      </w:r>
    </w:p>
    <w:p w14:paraId="28F5C70F" w14:textId="210CC608" w:rsidR="00380B47" w:rsidRPr="00731C05"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Kitchener (pop. 260,000) is a culturally diverse city in Ontario, Canada. Located 100km from Toronto, the city has a strong manufacturing heritage and a healthy local arts scene. Around 37 percent of residents are immigrants, and most perceive their local neighbourhood as welcoming and inclusive (Love My Hood, 2017: 28, 32). Poverty levels are in line with the national average (Ontario Federation of Labour, 2017: 1).</w:t>
      </w:r>
    </w:p>
    <w:p w14:paraId="3EF56D2E" w14:textId="0215D5E2" w:rsidR="00380B47" w:rsidRPr="00731C05" w:rsidRDefault="00380B47" w:rsidP="00C34CCC">
      <w:pPr>
        <w:spacing w:line="276" w:lineRule="auto"/>
        <w:rPr>
          <w:rFonts w:asciiTheme="majorHAnsi" w:hAnsiTheme="majorHAnsi" w:cstheme="majorHAnsi"/>
          <w:color w:val="000000" w:themeColor="text1"/>
          <w:sz w:val="23"/>
          <w:szCs w:val="23"/>
          <w:shd w:val="clear" w:color="auto" w:fill="FFFFFF"/>
        </w:rPr>
      </w:pPr>
      <w:r w:rsidRPr="00865BEB">
        <w:rPr>
          <w:rFonts w:asciiTheme="majorHAnsi" w:hAnsiTheme="majorHAnsi" w:cstheme="majorHAnsi"/>
          <w:color w:val="000000" w:themeColor="text1"/>
          <w:sz w:val="23"/>
          <w:szCs w:val="23"/>
          <w:shd w:val="clear" w:color="auto" w:fill="FFFFFF"/>
        </w:rPr>
        <w:t>The Kitchener Festival of Neighbourhoods (FoN) is a city-wide celebration that seeks to actively build local communities and strengthen the city’s social fabric. Participants define their own neighbourhoods, made up of 50 or more adjacent households, and collaboratively run an inclusive local event or project. Groups can enter a draw for a $20,000 capital improvement prize.</w:t>
      </w:r>
    </w:p>
    <w:p w14:paraId="54E0F48C" w14:textId="1ABB02B1" w:rsidR="00380B47" w:rsidRPr="00731C05" w:rsidRDefault="00380B47" w:rsidP="00C34CCC">
      <w:pPr>
        <w:spacing w:line="276" w:lineRule="auto"/>
        <w:rPr>
          <w:rFonts w:asciiTheme="majorHAnsi" w:hAnsiTheme="majorHAnsi" w:cstheme="majorHAnsi"/>
          <w:color w:val="000000" w:themeColor="text1"/>
          <w:sz w:val="23"/>
          <w:szCs w:val="23"/>
          <w:shd w:val="clear" w:color="auto" w:fill="FFFFFF"/>
        </w:rPr>
      </w:pPr>
      <w:r w:rsidRPr="00865BEB">
        <w:rPr>
          <w:rFonts w:asciiTheme="majorHAnsi" w:hAnsiTheme="majorHAnsi" w:cstheme="majorHAnsi"/>
          <w:color w:val="000000" w:themeColor="text1"/>
          <w:sz w:val="23"/>
          <w:szCs w:val="23"/>
          <w:shd w:val="clear" w:color="auto" w:fill="FFFFFF"/>
        </w:rPr>
        <w:t xml:space="preserve">The FoN has been running for 27 years. Initially an annual celebration, it now extends across the entire year. In 2017, more than 17,000 residents from 49 neighbourhoods took part in 130 events. Gatherings ranged in size from four to 1000 participants. Events have included carnivals, community murals, street sales, fundraisers, barbeques, picnics, outdoor movies, porch parties, book exchanges, clean-up days, tug-o-wars, new community gardens, and walking, biking and running events. One neighbourhood decided to run a backyard music festival. When they realised their individual backyards were too small, they removed their fences to create more space. </w:t>
      </w:r>
    </w:p>
    <w:p w14:paraId="55127626" w14:textId="77777777" w:rsidR="00380B47" w:rsidRPr="00865BEB" w:rsidRDefault="00380B47" w:rsidP="00C34CCC">
      <w:pPr>
        <w:spacing w:line="276" w:lineRule="auto"/>
        <w:rPr>
          <w:rFonts w:asciiTheme="majorHAnsi" w:hAnsiTheme="majorHAnsi" w:cstheme="majorHAnsi"/>
          <w:b/>
          <w:bCs/>
          <w:color w:val="000000" w:themeColor="text1"/>
          <w:sz w:val="23"/>
          <w:szCs w:val="23"/>
          <w:shd w:val="clear" w:color="auto" w:fill="FFFFFF"/>
        </w:rPr>
      </w:pPr>
      <w:r w:rsidRPr="00865BEB">
        <w:rPr>
          <w:rFonts w:asciiTheme="majorHAnsi" w:hAnsiTheme="majorHAnsi" w:cstheme="majorHAnsi"/>
          <w:color w:val="000000" w:themeColor="text1"/>
          <w:sz w:val="23"/>
          <w:szCs w:val="23"/>
          <w:shd w:val="clear" w:color="auto" w:fill="FFFFFF"/>
        </w:rPr>
        <w:t xml:space="preserve">Capital works award recipients decide collectively on how to spend the prize money. Winning groups receive guidance from city planners and a local architecture firm. Outcomes have included a portable skatepark, a nature trail, and an interest-free loan program to upgrade homes in a run-down area. A range of awards are also given to individual projects. </w:t>
      </w:r>
    </w:p>
    <w:p w14:paraId="2BA46823" w14:textId="1362EDA3" w:rsidR="00380B47" w:rsidRPr="00731C05" w:rsidRDefault="00380B47" w:rsidP="00C34CCC">
      <w:pPr>
        <w:spacing w:line="276" w:lineRule="auto"/>
        <w:rPr>
          <w:rFonts w:asciiTheme="majorHAnsi" w:hAnsiTheme="majorHAnsi" w:cstheme="majorHAnsi"/>
          <w:color w:val="000000" w:themeColor="text1"/>
          <w:sz w:val="23"/>
          <w:szCs w:val="23"/>
          <w:shd w:val="clear" w:color="auto" w:fill="FFFFFF"/>
        </w:rPr>
      </w:pPr>
      <w:r w:rsidRPr="00865BEB">
        <w:rPr>
          <w:rFonts w:asciiTheme="majorHAnsi" w:hAnsiTheme="majorHAnsi" w:cstheme="majorHAnsi"/>
          <w:color w:val="000000" w:themeColor="text1"/>
          <w:sz w:val="23"/>
          <w:szCs w:val="23"/>
          <w:shd w:val="clear" w:color="auto" w:fill="FFFFFF"/>
        </w:rPr>
        <w:t>Genuinely community-driven, participatory, and collaborative, the Festival of Neighbourhoods helps to foster social cohesion, mutual support, meaningful social ties, capacity-building, and sense of place. The projects respond to local needs, offer local government insights into people’s priorities and concerns, and boost the city's volunteer base.</w:t>
      </w:r>
    </w:p>
    <w:p w14:paraId="5D3BC833" w14:textId="77777777" w:rsidR="00380B47" w:rsidRPr="00865BEB" w:rsidRDefault="00380B47" w:rsidP="00C34CCC">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 xml:space="preserve">A </w:t>
      </w:r>
      <w:hyperlink r:id="rId22" w:anchor="AN=35484324&amp;db=bth">
        <w:r w:rsidRPr="00731C05">
          <w:rPr>
            <w:rStyle w:val="Hyperlink"/>
            <w:rFonts w:cstheme="majorHAnsi"/>
          </w:rPr>
          <w:t>2009 study</w:t>
        </w:r>
      </w:hyperlink>
      <w:r w:rsidRPr="00865BEB">
        <w:rPr>
          <w:rFonts w:asciiTheme="majorHAnsi" w:hAnsiTheme="majorHAnsi" w:cstheme="majorBidi"/>
          <w:color w:val="000000" w:themeColor="text1"/>
          <w:sz w:val="23"/>
          <w:szCs w:val="23"/>
        </w:rPr>
        <w:t xml:space="preserve"> found the program was successful in building social capital and community participation. The capital works grant was effective in encouraging social interaction and building relationships between residents and the City. Success factors included strong relationships of trust between city officials and community representatives, and the City’s flexible approach in </w:t>
      </w:r>
      <w:r w:rsidRPr="00865BEB">
        <w:rPr>
          <w:rFonts w:asciiTheme="majorHAnsi" w:hAnsiTheme="majorHAnsi" w:cstheme="majorBidi"/>
          <w:color w:val="000000" w:themeColor="text1"/>
          <w:sz w:val="23"/>
          <w:szCs w:val="23"/>
        </w:rPr>
        <w:lastRenderedPageBreak/>
        <w:t>providing necessary resources while enabling communities to take responsibility and ownership for projects (Johnson et al., 2009).</w:t>
      </w:r>
    </w:p>
    <w:p w14:paraId="597C434A" w14:textId="77777777" w:rsidR="00380B47" w:rsidRDefault="00380B47" w:rsidP="00C34CCC">
      <w:pPr>
        <w:spacing w:line="276" w:lineRule="auto"/>
        <w:rPr>
          <w:rFonts w:asciiTheme="majorHAnsi" w:hAnsiTheme="majorHAnsi" w:cstheme="majorBidi"/>
          <w:color w:val="000000" w:themeColor="text1"/>
          <w:sz w:val="23"/>
          <w:szCs w:val="23"/>
          <w:shd w:val="clear" w:color="auto" w:fill="FFFFFF"/>
        </w:rPr>
      </w:pPr>
      <w:r w:rsidRPr="00865BEB">
        <w:rPr>
          <w:rFonts w:asciiTheme="majorHAnsi" w:hAnsiTheme="majorHAnsi" w:cstheme="majorBidi"/>
          <w:color w:val="000000" w:themeColor="text1"/>
          <w:sz w:val="23"/>
          <w:szCs w:val="23"/>
          <w:shd w:val="clear" w:color="auto" w:fill="FFFFFF"/>
        </w:rPr>
        <w:t>The FoN program is overseen by a steering committee of local government, business, and community representatives.</w:t>
      </w:r>
      <w:r w:rsidRPr="00865BEB">
        <w:rPr>
          <w:rFonts w:asciiTheme="majorHAnsi" w:hAnsiTheme="majorHAnsi" w:cstheme="majorBidi"/>
          <w:color w:val="000000" w:themeColor="text1"/>
          <w:sz w:val="23"/>
          <w:szCs w:val="23"/>
        </w:rPr>
        <w:t xml:space="preserve"> </w:t>
      </w:r>
      <w:r w:rsidRPr="00865BEB">
        <w:rPr>
          <w:rFonts w:asciiTheme="majorHAnsi" w:hAnsiTheme="majorHAnsi" w:cstheme="majorBidi"/>
          <w:color w:val="000000" w:themeColor="text1"/>
          <w:sz w:val="23"/>
          <w:szCs w:val="23"/>
          <w:shd w:val="clear" w:color="auto" w:fill="FFFFFF"/>
        </w:rPr>
        <w:t>The City provides an in-kind contribution of one key staff member, administrative services, a small operating budget, and the $20,000 capital improvement award. Multiple partner organisations are also involved. Additional support is provided by the Social Development Centre Waterloo region, a social planning and engagement organisation. Residents can also apply for a range of City grants to support their event.</w:t>
      </w:r>
    </w:p>
    <w:p w14:paraId="141E59B5" w14:textId="0471E44B" w:rsidR="00380B47" w:rsidRPr="00731C05" w:rsidRDefault="00380B47" w:rsidP="00C34CCC">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shd w:val="clear" w:color="auto" w:fill="FFFFFF"/>
        </w:rPr>
        <w:t>A dedicated project website provides toolkits, resources, and advice for residents to plan events. In 2020 the program was adapted for COVID-19 restrictions, with events held online, or staged sequentially to avoid large gatherings (CBC News, 2020).</w:t>
      </w:r>
    </w:p>
    <w:p w14:paraId="6B643005" w14:textId="77777777" w:rsidR="00380B47" w:rsidRPr="00380B47" w:rsidRDefault="00380B47" w:rsidP="00731C05">
      <w:pPr>
        <w:pStyle w:val="Heading2"/>
      </w:pPr>
      <w:bookmarkStart w:id="45" w:name="_Toc108183170"/>
      <w:bookmarkStart w:id="46" w:name="_Hlk70864243"/>
      <w:r w:rsidRPr="00380B47">
        <w:t>The Broomhill Project: Arts-led Community Regeneration and Public Housing Upgrade</w:t>
      </w:r>
      <w:bookmarkEnd w:id="45"/>
    </w:p>
    <w:p w14:paraId="10CBB6FB" w14:textId="204FC852" w:rsidR="00380B47" w:rsidRPr="00731C05" w:rsidRDefault="00380B47" w:rsidP="00C34CCC">
      <w:pPr>
        <w:spacing w:line="276" w:lineRule="auto"/>
        <w:rPr>
          <w:b/>
          <w:bCs/>
          <w:sz w:val="23"/>
          <w:szCs w:val="23"/>
        </w:rPr>
      </w:pPr>
      <w:r w:rsidRPr="003C5947">
        <w:rPr>
          <w:sz w:val="23"/>
          <w:szCs w:val="23"/>
        </w:rPr>
        <w:t xml:space="preserve">Greenock, </w:t>
      </w:r>
      <w:r>
        <w:rPr>
          <w:sz w:val="23"/>
          <w:szCs w:val="23"/>
        </w:rPr>
        <w:t xml:space="preserve">Glasgow, </w:t>
      </w:r>
      <w:r w:rsidRPr="003C5947">
        <w:rPr>
          <w:sz w:val="23"/>
          <w:szCs w:val="23"/>
        </w:rPr>
        <w:t>Scotland (2015–present)</w:t>
      </w:r>
      <w:bookmarkEnd w:id="46"/>
    </w:p>
    <w:p w14:paraId="723771A7" w14:textId="77777777" w:rsidR="00380B47" w:rsidRPr="00731C05" w:rsidRDefault="00380B47" w:rsidP="00731C05">
      <w:pPr>
        <w:spacing w:after="0"/>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Main Practice Domain(s): </w:t>
      </w:r>
      <w:r w:rsidRPr="00731C05">
        <w:rPr>
          <w:rFonts w:eastAsiaTheme="minorEastAsia"/>
          <w:b/>
          <w:bCs/>
          <w:color w:val="595959" w:themeColor="text1" w:themeTint="A6"/>
          <w:sz w:val="23"/>
          <w:szCs w:val="23"/>
        </w:rPr>
        <w:tab/>
      </w:r>
      <w:r w:rsidRPr="00731C05">
        <w:rPr>
          <w:rFonts w:eastAsiaTheme="minorEastAsia"/>
          <w:b/>
          <w:bCs/>
          <w:color w:val="595959" w:themeColor="text1" w:themeTint="A6"/>
          <w:sz w:val="23"/>
          <w:szCs w:val="23"/>
        </w:rPr>
        <w:tab/>
        <w:t>Liveability, Housing</w:t>
      </w:r>
    </w:p>
    <w:p w14:paraId="0824C058" w14:textId="577495BA" w:rsidR="00380B47" w:rsidRPr="00731C05" w:rsidRDefault="00380B47" w:rsidP="00731C05">
      <w:pPr>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Secondary Practice Domain(s): </w:t>
      </w:r>
      <w:r w:rsidRPr="00731C05">
        <w:rPr>
          <w:rFonts w:eastAsiaTheme="minorEastAsia"/>
          <w:b/>
          <w:bCs/>
          <w:color w:val="595959" w:themeColor="text1" w:themeTint="A6"/>
          <w:sz w:val="23"/>
          <w:szCs w:val="23"/>
        </w:rPr>
        <w:tab/>
        <w:t>Employment, Education, Health and Wellbeing</w:t>
      </w:r>
    </w:p>
    <w:p w14:paraId="146A2037" w14:textId="3AC891D4" w:rsidR="00380B47" w:rsidRPr="00731C05" w:rsidRDefault="00380B47" w:rsidP="00C34CCC">
      <w:pPr>
        <w:spacing w:line="276" w:lineRule="auto"/>
        <w:rPr>
          <w:rFonts w:asciiTheme="majorHAnsi" w:hAnsiTheme="majorHAnsi" w:cstheme="majorHAnsi"/>
          <w:color w:val="000000" w:themeColor="text1"/>
          <w:sz w:val="23"/>
          <w:szCs w:val="23"/>
        </w:rPr>
      </w:pPr>
      <w:r w:rsidRPr="00865BEB">
        <w:rPr>
          <w:rFonts w:asciiTheme="majorHAnsi" w:hAnsiTheme="majorHAnsi" w:cstheme="majorHAnsi"/>
          <w:color w:val="000000" w:themeColor="text1"/>
          <w:sz w:val="23"/>
          <w:szCs w:val="23"/>
        </w:rPr>
        <w:t>Broomhill is an area of high socioeconomic disadvantage located in Greenock, 40 kilometres from central Glasgow. In 2016 Broomhill (pop. 14,000) was listed in the top 10 percent of deprived areas in Scotland (Scottish Index of Multiple Deprivation, 2016).</w:t>
      </w:r>
    </w:p>
    <w:p w14:paraId="4F72DBAA" w14:textId="3B8F4629" w:rsidR="00380B47" w:rsidRPr="00731C05" w:rsidRDefault="00380B47" w:rsidP="00C34CCC">
      <w:pPr>
        <w:spacing w:line="276" w:lineRule="auto"/>
        <w:rPr>
          <w:rFonts w:asciiTheme="majorHAnsi" w:hAnsiTheme="majorHAnsi" w:cstheme="majorHAnsi"/>
          <w:color w:val="000000" w:themeColor="text1"/>
          <w:sz w:val="23"/>
          <w:szCs w:val="23"/>
        </w:rPr>
      </w:pPr>
      <w:r w:rsidRPr="00865BEB">
        <w:rPr>
          <w:rFonts w:asciiTheme="majorHAnsi" w:hAnsiTheme="majorHAnsi" w:cstheme="majorHAnsi"/>
          <w:color w:val="000000" w:themeColor="text1"/>
          <w:sz w:val="23"/>
          <w:szCs w:val="23"/>
        </w:rPr>
        <w:t>Launched in 2015, the Broomhill Project centres on community-led collaborations between local residents and experienced artists. Activities have included workshops, artist residencies, films, community events, murals, public gardens, heritage projects, and exhibitions.</w:t>
      </w:r>
    </w:p>
    <w:p w14:paraId="0461F303" w14:textId="77777777" w:rsidR="00380B47" w:rsidRPr="00865BEB" w:rsidRDefault="00380B47" w:rsidP="00C34CCC">
      <w:pPr>
        <w:spacing w:line="276" w:lineRule="auto"/>
        <w:rPr>
          <w:rFonts w:asciiTheme="majorHAnsi" w:hAnsiTheme="majorHAnsi" w:cstheme="majorHAnsi"/>
          <w:b/>
          <w:bCs/>
          <w:color w:val="000000" w:themeColor="text1"/>
          <w:sz w:val="23"/>
          <w:szCs w:val="23"/>
        </w:rPr>
      </w:pPr>
      <w:r w:rsidRPr="00865BEB">
        <w:rPr>
          <w:rFonts w:asciiTheme="majorHAnsi" w:hAnsiTheme="majorHAnsi" w:cstheme="majorHAnsi"/>
          <w:color w:val="000000" w:themeColor="text1"/>
          <w:sz w:val="23"/>
          <w:szCs w:val="23"/>
        </w:rPr>
        <w:t>The Broomhill Project was developed alongside a major local social housing project. In 2014 housing association River Clyde Homes began a £26m program to upgrade 600 Broomhill properties. Local arts charity RIG Arts was granted initial three-year funding to work creatively with disengaged community members. Additional funding was invested in a range of sub-projects:</w:t>
      </w:r>
    </w:p>
    <w:p w14:paraId="3CB45CEF" w14:textId="77777777" w:rsidR="00380B47" w:rsidRPr="00865BEB" w:rsidRDefault="00380B47" w:rsidP="00D24715">
      <w:pPr>
        <w:pStyle w:val="ListParagraph"/>
        <w:numPr>
          <w:ilvl w:val="0"/>
          <w:numId w:val="6"/>
        </w:numPr>
        <w:spacing w:after="120" w:line="276" w:lineRule="auto"/>
        <w:ind w:left="284" w:hanging="284"/>
        <w:contextualSpacing w:val="0"/>
        <w:rPr>
          <w:rFonts w:asciiTheme="majorHAnsi" w:hAnsiTheme="majorHAnsi" w:cstheme="majorBidi"/>
          <w:b/>
          <w:bCs/>
          <w:color w:val="000000" w:themeColor="text1"/>
          <w:sz w:val="23"/>
          <w:szCs w:val="23"/>
        </w:rPr>
      </w:pPr>
      <w:r w:rsidRPr="00865BEB">
        <w:rPr>
          <w:rFonts w:cstheme="minorHAnsi"/>
          <w:color w:val="000000" w:themeColor="text1"/>
          <w:sz w:val="23"/>
          <w:szCs w:val="23"/>
        </w:rPr>
        <w:t>Broomhill Art Flat (2015):</w:t>
      </w:r>
      <w:r w:rsidRPr="00865BEB">
        <w:rPr>
          <w:rFonts w:asciiTheme="majorHAnsi" w:hAnsiTheme="majorHAnsi" w:cstheme="majorBidi"/>
          <w:color w:val="000000" w:themeColor="text1"/>
          <w:sz w:val="23"/>
          <w:szCs w:val="23"/>
        </w:rPr>
        <w:t xml:space="preserve"> dedicated hub for free creative workshops: songwriting, photography, filmmaking, painting, stained glass, carving, ceramics, textiles, 3D drawing, mosaic, upcycling. Sited in a public housing tower, it became a popular cultural hub and meeting place.</w:t>
      </w:r>
    </w:p>
    <w:p w14:paraId="6E5E020E" w14:textId="77777777" w:rsidR="00380B47" w:rsidRPr="00865BEB" w:rsidRDefault="00380B47" w:rsidP="00D24715">
      <w:pPr>
        <w:pStyle w:val="ListParagraph"/>
        <w:numPr>
          <w:ilvl w:val="0"/>
          <w:numId w:val="6"/>
        </w:numPr>
        <w:spacing w:after="120" w:line="276" w:lineRule="auto"/>
        <w:ind w:left="284" w:hanging="284"/>
        <w:contextualSpacing w:val="0"/>
        <w:rPr>
          <w:rFonts w:asciiTheme="majorHAnsi" w:hAnsiTheme="majorHAnsi" w:cstheme="majorHAnsi"/>
          <w:b/>
          <w:bCs/>
          <w:color w:val="000000" w:themeColor="text1"/>
          <w:sz w:val="23"/>
          <w:szCs w:val="23"/>
        </w:rPr>
      </w:pPr>
      <w:r w:rsidRPr="00865BEB">
        <w:rPr>
          <w:rFonts w:cstheme="minorHAnsi"/>
          <w:color w:val="000000" w:themeColor="text1"/>
          <w:sz w:val="23"/>
          <w:szCs w:val="23"/>
        </w:rPr>
        <w:t>Heid O’ The Hill (2015–2016):</w:t>
      </w:r>
      <w:r w:rsidRPr="00865BEB">
        <w:rPr>
          <w:rFonts w:asciiTheme="majorHAnsi" w:hAnsiTheme="majorHAnsi" w:cstheme="majorHAnsi"/>
          <w:color w:val="000000" w:themeColor="text1"/>
          <w:sz w:val="23"/>
          <w:szCs w:val="23"/>
        </w:rPr>
        <w:t xml:space="preserve"> 12-month pilot arts scheme exploring Broomhill’s rich heritage. Participants created works celebrating the area’s history as a former metal foundry, its 1970s punk music scene, and childhood games fondly recalled by older residents.</w:t>
      </w:r>
    </w:p>
    <w:p w14:paraId="2781CCFF" w14:textId="77777777" w:rsidR="00380B47" w:rsidRPr="00865BEB" w:rsidRDefault="00380B47" w:rsidP="00D24715">
      <w:pPr>
        <w:pStyle w:val="ListParagraph"/>
        <w:numPr>
          <w:ilvl w:val="0"/>
          <w:numId w:val="6"/>
        </w:numPr>
        <w:spacing w:after="120" w:line="276" w:lineRule="auto"/>
        <w:ind w:left="284" w:hanging="284"/>
        <w:contextualSpacing w:val="0"/>
        <w:rPr>
          <w:rFonts w:asciiTheme="majorHAnsi" w:hAnsiTheme="majorHAnsi" w:cstheme="majorHAnsi"/>
          <w:b/>
          <w:bCs/>
          <w:color w:val="000000" w:themeColor="text1"/>
          <w:sz w:val="23"/>
          <w:szCs w:val="23"/>
        </w:rPr>
      </w:pPr>
      <w:r w:rsidRPr="00865BEB">
        <w:rPr>
          <w:rFonts w:cstheme="minorHAnsi"/>
          <w:color w:val="000000" w:themeColor="text1"/>
          <w:sz w:val="23"/>
          <w:szCs w:val="23"/>
        </w:rPr>
        <w:t>Up the Broomy (2017–2019):</w:t>
      </w:r>
      <w:r w:rsidRPr="00865BEB">
        <w:rPr>
          <w:rFonts w:asciiTheme="majorHAnsi" w:hAnsiTheme="majorHAnsi" w:cstheme="majorHAnsi"/>
          <w:color w:val="000000" w:themeColor="text1"/>
          <w:sz w:val="23"/>
          <w:szCs w:val="23"/>
        </w:rPr>
        <w:t xml:space="preserve"> a two-year sub-project focused on training, creativity, and capacity building. RIG Arts worked with local agencies to recruit “community champions” who could benefit from arts training. Participants created inspiring objects, events, and performances. Ongoing supports were embedded via partnerships with mental health organisations, schools, and youth services.</w:t>
      </w:r>
    </w:p>
    <w:p w14:paraId="1ADF3508" w14:textId="7DB87023" w:rsidR="00380B47" w:rsidRPr="00731C05" w:rsidRDefault="00380B47" w:rsidP="00D24715">
      <w:pPr>
        <w:pStyle w:val="ListParagraph"/>
        <w:numPr>
          <w:ilvl w:val="0"/>
          <w:numId w:val="6"/>
        </w:numPr>
        <w:spacing w:line="276" w:lineRule="auto"/>
        <w:ind w:left="284" w:hanging="284"/>
        <w:rPr>
          <w:rFonts w:asciiTheme="majorHAnsi" w:hAnsiTheme="majorHAnsi" w:cstheme="majorBidi"/>
          <w:b/>
          <w:bCs/>
          <w:color w:val="000000" w:themeColor="text1"/>
          <w:sz w:val="23"/>
          <w:szCs w:val="23"/>
        </w:rPr>
      </w:pPr>
      <w:r w:rsidRPr="00865BEB">
        <w:rPr>
          <w:rFonts w:cstheme="minorHAnsi"/>
          <w:color w:val="000000" w:themeColor="text1"/>
          <w:sz w:val="23"/>
          <w:szCs w:val="23"/>
        </w:rPr>
        <w:lastRenderedPageBreak/>
        <w:t>Broomy’s Bees (2018):</w:t>
      </w:r>
      <w:r w:rsidRPr="00865BEB">
        <w:rPr>
          <w:rFonts w:asciiTheme="majorHAnsi" w:hAnsiTheme="majorHAnsi" w:cstheme="majorBidi"/>
          <w:color w:val="000000" w:themeColor="text1"/>
          <w:sz w:val="23"/>
          <w:szCs w:val="23"/>
        </w:rPr>
        <w:t xml:space="preserve"> community co-designed pocket park and educational sensory garden, created on a derelict site opposite a public housing tower. Increases biodiversity, promotes eco-friendly behaviour, references local heritage, and provides welcoming green space. Has all-weather seating and interactive night-lighting. Children created tile artworks and bee habitats.</w:t>
      </w:r>
    </w:p>
    <w:p w14:paraId="721A3951" w14:textId="27B2E1BB" w:rsidR="00380B47" w:rsidRPr="00731C05" w:rsidRDefault="00380B47" w:rsidP="00C34CCC">
      <w:pPr>
        <w:spacing w:line="276" w:lineRule="auto"/>
        <w:rPr>
          <w:rFonts w:asciiTheme="majorHAnsi" w:hAnsiTheme="majorHAnsi" w:cstheme="majorBidi"/>
          <w:color w:val="000000" w:themeColor="text1"/>
          <w:sz w:val="23"/>
          <w:szCs w:val="23"/>
        </w:rPr>
      </w:pPr>
      <w:r w:rsidRPr="00865BEB">
        <w:rPr>
          <w:rFonts w:cstheme="minorHAnsi"/>
          <w:color w:val="000000" w:themeColor="text1"/>
          <w:sz w:val="23"/>
          <w:szCs w:val="23"/>
        </w:rPr>
        <w:t>Plastic Fantastic:</w:t>
      </w:r>
      <w:r w:rsidRPr="00865BEB">
        <w:rPr>
          <w:rFonts w:asciiTheme="majorHAnsi" w:hAnsiTheme="majorHAnsi" w:cstheme="majorBidi"/>
          <w:color w:val="000000" w:themeColor="text1"/>
          <w:sz w:val="23"/>
          <w:szCs w:val="23"/>
        </w:rPr>
        <w:t xml:space="preserve"> eco-focused project engaging local schools and residents to increase environmental literacy, promote recycling, and reduce landfill. Includes upcycling workshops (furniture, clothes mending), an innovative plastic recycling machine (converts discarded bottles into material for 3-D printing), and a public display of upcycled items.</w:t>
      </w:r>
    </w:p>
    <w:p w14:paraId="26360E45" w14:textId="148A95E2" w:rsidR="00380B47" w:rsidRPr="00731C05"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 xml:space="preserve">Over four years, around 3600 people participated directly in the Broomhill Project, and over 500 activities were delivered. </w:t>
      </w:r>
      <w:hyperlink r:id="rId23">
        <w:r w:rsidRPr="00731C05">
          <w:rPr>
            <w:rStyle w:val="Hyperlink"/>
            <w:rFonts w:cstheme="majorHAnsi"/>
          </w:rPr>
          <w:t>Evaluated</w:t>
        </w:r>
      </w:hyperlink>
      <w:r w:rsidRPr="00865BEB">
        <w:rPr>
          <w:rFonts w:asciiTheme="majorHAnsi" w:hAnsiTheme="majorHAnsi" w:cstheme="majorBidi"/>
          <w:color w:val="000000" w:themeColor="text1"/>
          <w:sz w:val="23"/>
          <w:szCs w:val="23"/>
        </w:rPr>
        <w:t xml:space="preserve"> as part of a broader assessment, the project was found to have improved social cohesion, raised community spirit, helped residents build transferable skills, given them a voice in the regeneration process, strengthened sense of place, attracted people to the area, and reduced place-based stigma. It also fostered economic development, created new community assets, improved wellbeing, and increased residents’ opportunities for work, education, and training (Anderson et al, 2019: 29–30; Orr, 2019). As of early 2021, elements of the project remain active.</w:t>
      </w:r>
    </w:p>
    <w:p w14:paraId="384E9D14" w14:textId="35CC010A" w:rsidR="00380B47" w:rsidRPr="00731C05" w:rsidRDefault="00380B47" w:rsidP="00C34CCC">
      <w:pPr>
        <w:spacing w:line="276" w:lineRule="auto"/>
        <w:rPr>
          <w:rFonts w:asciiTheme="majorHAnsi" w:hAnsiTheme="majorHAnsi" w:cstheme="majorHAnsi"/>
          <w:color w:val="000000" w:themeColor="text1"/>
          <w:sz w:val="23"/>
          <w:szCs w:val="23"/>
        </w:rPr>
      </w:pPr>
      <w:r w:rsidRPr="00865BEB">
        <w:rPr>
          <w:rFonts w:asciiTheme="majorHAnsi" w:hAnsiTheme="majorHAnsi" w:cstheme="majorHAnsi"/>
          <w:color w:val="000000" w:themeColor="text1"/>
          <w:sz w:val="23"/>
          <w:szCs w:val="23"/>
        </w:rPr>
        <w:t xml:space="preserve">The </w:t>
      </w:r>
      <w:r w:rsidRPr="00865BEB">
        <w:rPr>
          <w:rFonts w:asciiTheme="majorHAnsi" w:hAnsiTheme="majorHAnsi" w:cstheme="majorBidi"/>
          <w:color w:val="000000" w:themeColor="text1"/>
          <w:sz w:val="23"/>
          <w:szCs w:val="23"/>
        </w:rPr>
        <w:t>Broomhill Project</w:t>
      </w:r>
      <w:r w:rsidRPr="00865BEB">
        <w:rPr>
          <w:rFonts w:asciiTheme="majorHAnsi" w:hAnsiTheme="majorHAnsi" w:cstheme="majorHAnsi"/>
          <w:color w:val="000000" w:themeColor="text1"/>
          <w:sz w:val="23"/>
          <w:szCs w:val="23"/>
        </w:rPr>
        <w:t xml:space="preserve"> won a 2017 Scottish Urban Regeneration Forum best-practice award (SURF, 2017: 6). Success factors include robust collaborative partnerships, a strong focus on community-led and co-design approaches, alignment with a concurrent housing/revitalisation project, the creative hub being sited within a housing estate, the skills of individual artists, and the innovative approach of RIG Arts, which oversaw a steering group of participating artists and community members. Funding partners included Creative Scotland, Riverside Inverclyde, British Gas, Heritage Lottery Fund, Tesco, People’s Postcode Trust, Climate Challenge Fund, and the Scottish Government.</w:t>
      </w:r>
    </w:p>
    <w:p w14:paraId="3AECD49E" w14:textId="77777777" w:rsidR="00380B47" w:rsidRPr="00380B47" w:rsidRDefault="00380B47" w:rsidP="00731C05">
      <w:pPr>
        <w:pStyle w:val="Heading2"/>
      </w:pPr>
      <w:bookmarkStart w:id="47" w:name="_Toc108183171"/>
      <w:r w:rsidRPr="00380B47">
        <w:t>My Community Matters: Asset-based Community Development Tackling Health Inequalities</w:t>
      </w:r>
      <w:bookmarkEnd w:id="47"/>
    </w:p>
    <w:p w14:paraId="2C628EC1" w14:textId="572228D0" w:rsidR="00380B47" w:rsidRPr="00731C05" w:rsidRDefault="00380B47" w:rsidP="00C34CCC">
      <w:pPr>
        <w:spacing w:line="276" w:lineRule="auto"/>
        <w:rPr>
          <w:rFonts w:cstheme="majorBidi"/>
          <w:b/>
          <w:bCs/>
          <w:sz w:val="23"/>
          <w:szCs w:val="23"/>
        </w:rPr>
      </w:pPr>
      <w:r w:rsidRPr="2B116086">
        <w:rPr>
          <w:rFonts w:cstheme="majorBidi"/>
          <w:sz w:val="23"/>
          <w:szCs w:val="23"/>
        </w:rPr>
        <w:t>Stoke-on-Trent, Staffordshire, UK (2012–present)</w:t>
      </w:r>
    </w:p>
    <w:p w14:paraId="5C0B59A1" w14:textId="77777777" w:rsidR="00380B47" w:rsidRPr="00731C05" w:rsidRDefault="00380B47" w:rsidP="00731C05">
      <w:pPr>
        <w:spacing w:after="0"/>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Main Practice Domain(s): </w:t>
      </w:r>
      <w:r w:rsidRPr="00731C05">
        <w:rPr>
          <w:rFonts w:eastAsiaTheme="minorEastAsia"/>
          <w:b/>
          <w:bCs/>
          <w:color w:val="595959" w:themeColor="text1" w:themeTint="A6"/>
          <w:sz w:val="23"/>
          <w:szCs w:val="23"/>
        </w:rPr>
        <w:tab/>
      </w:r>
      <w:r w:rsidRPr="00731C05">
        <w:rPr>
          <w:rFonts w:eastAsiaTheme="minorEastAsia"/>
          <w:b/>
          <w:bCs/>
          <w:color w:val="595959" w:themeColor="text1" w:themeTint="A6"/>
          <w:sz w:val="23"/>
          <w:szCs w:val="23"/>
        </w:rPr>
        <w:tab/>
        <w:t>Health and Wellbeing, Liveability</w:t>
      </w:r>
    </w:p>
    <w:p w14:paraId="022810D8" w14:textId="7F93864F" w:rsidR="00380B47" w:rsidRPr="00731C05" w:rsidRDefault="00380B47" w:rsidP="00731C05">
      <w:pPr>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Secondary Practice Domain(s): </w:t>
      </w:r>
      <w:r w:rsidRPr="00731C05">
        <w:rPr>
          <w:rFonts w:eastAsiaTheme="minorEastAsia"/>
          <w:b/>
          <w:bCs/>
          <w:color w:val="595959" w:themeColor="text1" w:themeTint="A6"/>
          <w:sz w:val="23"/>
          <w:szCs w:val="23"/>
        </w:rPr>
        <w:tab/>
        <w:t>Education</w:t>
      </w:r>
    </w:p>
    <w:p w14:paraId="629F7876" w14:textId="09586D60" w:rsidR="00380B47" w:rsidRPr="00731C05" w:rsidRDefault="00380B47" w:rsidP="00C34CCC">
      <w:pPr>
        <w:spacing w:line="276" w:lineRule="auto"/>
        <w:rPr>
          <w:rFonts w:asciiTheme="majorHAnsi" w:hAnsiTheme="majorHAnsi"/>
          <w:b/>
          <w:bCs/>
          <w:color w:val="000000" w:themeColor="text1"/>
          <w:sz w:val="23"/>
          <w:szCs w:val="23"/>
        </w:rPr>
      </w:pPr>
      <w:r w:rsidRPr="00865BEB">
        <w:rPr>
          <w:rFonts w:asciiTheme="majorHAnsi" w:hAnsiTheme="majorHAnsi"/>
          <w:color w:val="000000" w:themeColor="text1"/>
          <w:sz w:val="23"/>
          <w:szCs w:val="23"/>
        </w:rPr>
        <w:t>Stoke-on-Trent (pop. 256,000) is one of England’s most disadvantaged cities, ranking 12th of 317 local government areas on the Indices of Multiple Deprivation scale (MHCLG, 2019: 14). Launched in 2012, the</w:t>
      </w:r>
      <w:r w:rsidRPr="00865BEB">
        <w:rPr>
          <w:color w:val="000000" w:themeColor="text1"/>
        </w:rPr>
        <w:t xml:space="preserve"> </w:t>
      </w:r>
      <w:r w:rsidRPr="00865BEB">
        <w:rPr>
          <w:rFonts w:asciiTheme="majorHAnsi" w:hAnsiTheme="majorHAnsi"/>
          <w:color w:val="000000" w:themeColor="text1"/>
          <w:sz w:val="23"/>
          <w:szCs w:val="23"/>
        </w:rPr>
        <w:t>My Community Matters (MCM) program seeks to address health inequalities and empower residents to help positively transform disadvantaged Stoke-on-Trent neighbourhoods. Isolation, apathy disempowerment, pessimism, distrust, and feeling forgotten were common in the target communities. Ethnic tensions, loss of community spirit, low social cohesion, lack of pride in place, community apathy, and degradation of the physical environment were also pervasive issues (Romeo-Velilla et al., 2016).</w:t>
      </w:r>
    </w:p>
    <w:p w14:paraId="35587695" w14:textId="065ADE8D" w:rsidR="00380B47" w:rsidRPr="00FC3BE0" w:rsidRDefault="00380B47" w:rsidP="00C34CCC">
      <w:pPr>
        <w:spacing w:line="276" w:lineRule="auto"/>
        <w:rPr>
          <w:rFonts w:asciiTheme="majorHAnsi" w:hAnsiTheme="majorHAnsi"/>
          <w:b/>
          <w:bCs/>
          <w:color w:val="000000" w:themeColor="text1"/>
          <w:sz w:val="23"/>
          <w:szCs w:val="23"/>
        </w:rPr>
      </w:pPr>
      <w:r w:rsidRPr="00865BEB">
        <w:rPr>
          <w:rFonts w:asciiTheme="majorHAnsi" w:hAnsiTheme="majorHAnsi"/>
          <w:color w:val="000000" w:themeColor="text1"/>
          <w:sz w:val="23"/>
          <w:szCs w:val="23"/>
        </w:rPr>
        <w:lastRenderedPageBreak/>
        <w:t>Trialled in three pilot neighbourhoods in 2012, the MCM program now extends to 10 locations. It offers “community development activities” (fun days, coffee mornings, sewing classes, craft workshops, sport/fitness sessions, gardening clubs, youth events), and “community empowerment activities”, focusing on hearing residents’ needs and working for positive change (listening events, feedback events, steering group meetings, partnership meetings). Residents can also undertake training opportunities, and “community walkabouts” to map local assets and identify problems (Romeo-Velilla et al., 2016; Community Ventures, n.d.).</w:t>
      </w:r>
    </w:p>
    <w:p w14:paraId="6BDDD364" w14:textId="2068A3AA" w:rsidR="00380B47" w:rsidRPr="00731C05" w:rsidRDefault="00380B47" w:rsidP="00C34CCC">
      <w:pPr>
        <w:spacing w:line="276" w:lineRule="auto"/>
        <w:rPr>
          <w:rFonts w:asciiTheme="majorHAnsi" w:hAnsiTheme="majorHAnsi"/>
          <w:b/>
          <w:bCs/>
          <w:color w:val="000000" w:themeColor="text1"/>
          <w:sz w:val="23"/>
          <w:szCs w:val="23"/>
        </w:rPr>
      </w:pPr>
      <w:r w:rsidRPr="00865BEB">
        <w:rPr>
          <w:rFonts w:asciiTheme="majorHAnsi" w:hAnsiTheme="majorHAnsi"/>
          <w:color w:val="000000" w:themeColor="text1"/>
          <w:sz w:val="23"/>
          <w:szCs w:val="23"/>
        </w:rPr>
        <w:t>MCM is anchored in a “Connecting Communities” (C2) approach (Stuteley &amp; Hughes, 2011), a community-led and asset-based model of neighbourhood transformation. C2 is a long-term, “bottom-up” model for improving health, wellbeing, and liveability in disadvantaged areas. The MCM program seeks to map local assets (social, physical, economic, services); encourage residents to take action, “learn by doing”, and lead decisions; and foster partnerships between residents and local service providers (Romeo-Velilla et al, 2016: 8). Tailored to each neighbourhood, it is funded by Stoke-on-Trent Council and delivered via community development workers. It builds on an earlier program, My Health Matters (2009–2012), which aimed to increase physical activity and healthy eating in disadvantaged communities. Partners include Staffordshire Police, Staffordshire fire service, Stoke City Football Club, and Engage Communities (a specialist service working with ethnic minorities and marginalised groups).</w:t>
      </w:r>
    </w:p>
    <w:p w14:paraId="7DDF1326" w14:textId="695B758A" w:rsidR="00380B47" w:rsidRPr="00731C05" w:rsidRDefault="00380B47" w:rsidP="00C34CCC">
      <w:pPr>
        <w:spacing w:line="276" w:lineRule="auto"/>
        <w:rPr>
          <w:rFonts w:asciiTheme="majorHAnsi" w:hAnsiTheme="majorHAnsi"/>
          <w:b/>
          <w:bCs/>
          <w:color w:val="000000" w:themeColor="text1"/>
          <w:sz w:val="23"/>
          <w:szCs w:val="23"/>
        </w:rPr>
      </w:pPr>
      <w:r w:rsidRPr="00865BEB">
        <w:rPr>
          <w:rFonts w:asciiTheme="majorHAnsi" w:hAnsiTheme="majorHAnsi"/>
          <w:color w:val="000000" w:themeColor="text1"/>
          <w:sz w:val="23"/>
          <w:szCs w:val="23"/>
        </w:rPr>
        <w:t>A 2016</w:t>
      </w:r>
      <w:hyperlink r:id="rId24">
        <w:r w:rsidRPr="00865BEB">
          <w:rPr>
            <w:rStyle w:val="Hyperlink"/>
            <w:rFonts w:asciiTheme="majorHAnsi" w:hAnsiTheme="majorHAnsi"/>
            <w:color w:val="000000" w:themeColor="text1"/>
            <w:sz w:val="23"/>
            <w:szCs w:val="23"/>
          </w:rPr>
          <w:t xml:space="preserve"> </w:t>
        </w:r>
        <w:r w:rsidRPr="00731C05">
          <w:rPr>
            <w:rStyle w:val="Hyperlink"/>
            <w:rFonts w:cstheme="majorHAnsi"/>
          </w:rPr>
          <w:t>evaluation</w:t>
        </w:r>
      </w:hyperlink>
      <w:r w:rsidRPr="00865BEB">
        <w:rPr>
          <w:rFonts w:asciiTheme="majorHAnsi" w:hAnsiTheme="majorHAnsi"/>
          <w:color w:val="000000" w:themeColor="text1"/>
          <w:sz w:val="23"/>
          <w:szCs w:val="23"/>
        </w:rPr>
        <w:t xml:space="preserve"> covered six target neighbourhoods (Romeo-Velilla et al, 2016). Outcomes included enhanced local environments and new assets (new community hubs, kerb crossings, park and community garden upgrades, clean-ups, new youth group funding); increased empowerment, social cohesion and positivity in some localities, particularly amongst highly engaged participants; and reduced isolation, littering and antisocial behaviour. Outcomes were limited for more disengaged residents/neighbourhoods, and resident-led partnerships did not develop. MCM was nominated for a 2014 NHS Alliance Innovation in Action Awards (Provider Collaboration).</w:t>
      </w:r>
    </w:p>
    <w:p w14:paraId="045CDC7F" w14:textId="7DE418B9" w:rsidR="00380B47" w:rsidRPr="00731C05" w:rsidRDefault="00380B47" w:rsidP="00C34CCC">
      <w:pPr>
        <w:spacing w:line="276" w:lineRule="auto"/>
        <w:rPr>
          <w:rFonts w:asciiTheme="majorHAnsi" w:hAnsiTheme="majorHAnsi" w:cstheme="majorBidi"/>
          <w:sz w:val="23"/>
          <w:szCs w:val="23"/>
        </w:rPr>
      </w:pPr>
      <w:r w:rsidRPr="00865BEB">
        <w:rPr>
          <w:rFonts w:asciiTheme="majorHAnsi" w:hAnsiTheme="majorHAnsi"/>
          <w:color w:val="000000" w:themeColor="text1"/>
          <w:sz w:val="23"/>
          <w:szCs w:val="23"/>
        </w:rPr>
        <w:t>Evaluators made some recommendations: development programs should engage entire communities, including disengaged residents and areas of high apathy; highly disengaged cohorts require longer program timelines; programs should form collaborations with existing local groups/projects; and resident perceptions of neutral, independent governance can improve engagement (Romeo-Velilla et al, 2016). The program is now delivered by Community Ventures, a community development agency. During the COVID-19 pandemic it offered a befriending service, emergency shopping and prescription collections, dog walking, and community service referral</w:t>
      </w:r>
      <w:r w:rsidRPr="00865BEB">
        <w:rPr>
          <w:color w:val="000000" w:themeColor="text1"/>
        </w:rPr>
        <w:t xml:space="preserve"> (</w:t>
      </w:r>
      <w:r w:rsidRPr="00865BEB">
        <w:rPr>
          <w:rFonts w:asciiTheme="majorHAnsi" w:hAnsiTheme="majorHAnsi"/>
          <w:color w:val="000000" w:themeColor="text1"/>
          <w:sz w:val="23"/>
          <w:szCs w:val="23"/>
        </w:rPr>
        <w:t>Community Ventures, n.d.).</w:t>
      </w:r>
    </w:p>
    <w:p w14:paraId="411DD6BE" w14:textId="77777777" w:rsidR="00F75A96" w:rsidRDefault="00F75A96">
      <w:pPr>
        <w:rPr>
          <w:rFonts w:asciiTheme="majorHAnsi" w:eastAsiaTheme="majorEastAsia" w:hAnsiTheme="majorHAnsi" w:cstheme="majorBidi"/>
          <w:color w:val="2F5496" w:themeColor="accent1" w:themeShade="BF"/>
          <w:sz w:val="26"/>
          <w:szCs w:val="26"/>
        </w:rPr>
      </w:pPr>
      <w:bookmarkStart w:id="48" w:name="_Toc108183172"/>
      <w:bookmarkStart w:id="49" w:name="_Hlk70864411"/>
      <w:r>
        <w:br w:type="page"/>
      </w:r>
    </w:p>
    <w:p w14:paraId="798393C1" w14:textId="083A56BA" w:rsidR="00380B47" w:rsidRPr="00380B47" w:rsidRDefault="00380B47" w:rsidP="00731C05">
      <w:pPr>
        <w:pStyle w:val="Heading2"/>
      </w:pPr>
      <w:r w:rsidRPr="00380B47">
        <w:lastRenderedPageBreak/>
        <w:t>The Skip Garden and Kitchen, Story Garden, Paper Garden:</w:t>
      </w:r>
      <w:bookmarkEnd w:id="48"/>
    </w:p>
    <w:p w14:paraId="47C845FA" w14:textId="77777777" w:rsidR="00380B47" w:rsidRPr="00380B47" w:rsidRDefault="00380B47" w:rsidP="00731C05">
      <w:pPr>
        <w:pStyle w:val="Heading2"/>
      </w:pPr>
      <w:bookmarkStart w:id="50" w:name="_Toc108183173"/>
      <w:r w:rsidRPr="00380B47">
        <w:t>Community Gardens for Learning, Health, and Social Inclusion</w:t>
      </w:r>
      <w:bookmarkEnd w:id="50"/>
    </w:p>
    <w:p w14:paraId="291D03CE" w14:textId="36FA0989" w:rsidR="00380B47" w:rsidRPr="00731C05" w:rsidRDefault="00380B47" w:rsidP="00731C05">
      <w:pPr>
        <w:spacing w:line="276" w:lineRule="auto"/>
        <w:rPr>
          <w:rFonts w:ascii="Calibri" w:eastAsia="Calibri" w:hAnsi="Calibri" w:cs="Calibri"/>
          <w:b/>
          <w:bCs/>
          <w:sz w:val="23"/>
          <w:szCs w:val="23"/>
        </w:rPr>
      </w:pPr>
      <w:r w:rsidRPr="359636AC">
        <w:rPr>
          <w:rFonts w:ascii="Calibri" w:eastAsia="Calibri" w:hAnsi="Calibri" w:cs="Calibri"/>
          <w:sz w:val="23"/>
          <w:szCs w:val="23"/>
        </w:rPr>
        <w:t>King’s Cross, London (2009 –</w:t>
      </w:r>
      <w:r>
        <w:rPr>
          <w:rFonts w:ascii="Calibri" w:eastAsia="Calibri" w:hAnsi="Calibri" w:cs="Calibri"/>
          <w:sz w:val="23"/>
          <w:szCs w:val="23"/>
        </w:rPr>
        <w:t>present</w:t>
      </w:r>
      <w:r w:rsidRPr="359636AC">
        <w:rPr>
          <w:rFonts w:ascii="Calibri" w:eastAsia="Calibri" w:hAnsi="Calibri" w:cs="Calibri"/>
          <w:sz w:val="23"/>
          <w:szCs w:val="23"/>
        </w:rPr>
        <w:t>)</w:t>
      </w:r>
      <w:bookmarkEnd w:id="49"/>
    </w:p>
    <w:p w14:paraId="5927C9FB" w14:textId="77777777" w:rsidR="00380B47" w:rsidRPr="00731C05" w:rsidRDefault="00380B47" w:rsidP="00731C05">
      <w:pPr>
        <w:spacing w:after="0"/>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Main Practice Domain(s):          </w:t>
      </w:r>
      <w:r w:rsidRPr="00731C05">
        <w:rPr>
          <w:rFonts w:eastAsiaTheme="minorEastAsia"/>
          <w:b/>
          <w:bCs/>
          <w:color w:val="595959" w:themeColor="text1" w:themeTint="A6"/>
          <w:sz w:val="23"/>
          <w:szCs w:val="23"/>
        </w:rPr>
        <w:tab/>
        <w:t>Health and Wellbeing, Liveability, Education</w:t>
      </w:r>
    </w:p>
    <w:p w14:paraId="5094E504" w14:textId="6C557D7D" w:rsidR="00380B47" w:rsidRPr="00731C05" w:rsidRDefault="00380B47" w:rsidP="00731C05">
      <w:pPr>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Secondary Practice Domain(s): </w:t>
      </w:r>
      <w:r w:rsidRPr="00731C05">
        <w:rPr>
          <w:rFonts w:eastAsiaTheme="minorEastAsia"/>
          <w:b/>
          <w:bCs/>
          <w:color w:val="595959" w:themeColor="text1" w:themeTint="A6"/>
          <w:sz w:val="23"/>
          <w:szCs w:val="23"/>
        </w:rPr>
        <w:tab/>
        <w:t>Employment, Housing</w:t>
      </w:r>
    </w:p>
    <w:p w14:paraId="7B22A291" w14:textId="77777777" w:rsidR="00380B47"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London is a city of high rents, spatial inequalities, overcrowded housing, and wealth disparity. Despite several policy initiatives targeting food security, it remains a major issue. Food banks struggle to meet demand and 9 percent of children sometimes or often go to bed hungry (Marovelli, 2019: 191; Sustain, 2016). In 2015 London was rated the loneliest region in the UK (ACEVO, 2015).</w:t>
      </w:r>
    </w:p>
    <w:p w14:paraId="702DB458" w14:textId="26BC249D" w:rsidR="00380B47" w:rsidRPr="00731C05"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Many of London’s low-income residents are clustered in council estates and social housing blocks, with minimal or non-existent access to communal spaces. This limits social interaction, community cohesion, and play opportunities for children. King’s Cross (pop. 13,400) is a multicultural neighbourhood in central London. In 2015 around 48 percent of local children lived in poverty, and 45 percent of older residents lived in deprivation (Kings Cross, 2015). Until recently it had limited green space and a longstanding reputation for crime and drugs.</w:t>
      </w:r>
    </w:p>
    <w:p w14:paraId="7371D9D5" w14:textId="1AD56CC9" w:rsidR="00380B47" w:rsidRPr="00731C05"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In 2007 Kings Cross became the site of a huge urban regeneration project, now nearing completion. In 2009 Global Generation, an education charity, established a community garden on the 67-acre construction site. The Skip Garden was set up as a temporary food growing space, under a “meanwhile lease” as part of the developer’s strategy for “sustainable innovation and community involvement”. The £200,000 project was funded by the Big Lottery, Islington and Camden Councils, and developers (Interim Spaces, n.d.). The installation became an epicentre for a range of community development and engagement activities.</w:t>
      </w:r>
    </w:p>
    <w:p w14:paraId="3A263189" w14:textId="08BB1505" w:rsidR="00380B47" w:rsidRPr="00731C05"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The Skip Garden was designed to be portable, moving to different locations as land was sold for construction. Built by young people and local volunteers, it was created from upcycled rubbish skips and polytunnels, with material donated by construction companies. Residents grew fruit trees, vegetables, herbs, and flowers, and maintained beehives. Based on organic practices (rotational planting, rainwater harvesting, aerobic composting), the garden was largely self-sustaining (Global Generation, n.d.).</w:t>
      </w:r>
    </w:p>
    <w:p w14:paraId="66471D86" w14:textId="77777777" w:rsidR="00380B47" w:rsidRPr="008E4D6D" w:rsidRDefault="00380B47" w:rsidP="00C34CCC">
      <w:pPr>
        <w:spacing w:line="276" w:lineRule="auto"/>
        <w:rPr>
          <w:b/>
          <w:bCs/>
          <w:color w:val="000000" w:themeColor="text1"/>
        </w:rPr>
      </w:pPr>
      <w:r w:rsidRPr="00865BEB">
        <w:rPr>
          <w:rFonts w:ascii="Calibri Light" w:eastAsia="Calibri Light" w:hAnsi="Calibri Light" w:cs="Calibri Light"/>
          <w:color w:val="000000" w:themeColor="text1"/>
          <w:sz w:val="23"/>
          <w:szCs w:val="23"/>
        </w:rPr>
        <w:t xml:space="preserve">The project combined food education for kids, healthy food-sharing activities, workshops, recreational programs, and the Skip Kitchen, a small but lively vegetarian cafe that generated independent income. Staff and volunteers were primarily women from different ethnic backgrounds. Young people with learning disabilities also helped prepare and serve meals. The food preparation area was open to the dining room, and staff, guests, and volunteers ate </w:t>
      </w:r>
      <w:r w:rsidRPr="008E4D6D">
        <w:rPr>
          <w:rFonts w:ascii="Calibri Light" w:eastAsia="Calibri Light" w:hAnsi="Calibri Light" w:cs="Calibri Light"/>
          <w:color w:val="000000" w:themeColor="text1"/>
          <w:sz w:val="23"/>
          <w:szCs w:val="23"/>
        </w:rPr>
        <w:t xml:space="preserve">together at shared tables (Marovelli, 2019: 196). </w:t>
      </w:r>
    </w:p>
    <w:p w14:paraId="6A6EFAFC" w14:textId="77777777" w:rsidR="00F75A96" w:rsidRDefault="00F75A96">
      <w:pPr>
        <w:rPr>
          <w:rFonts w:ascii="Calibri Light" w:eastAsia="Calibri Light" w:hAnsi="Calibri Light" w:cs="Calibri Light"/>
          <w:color w:val="000000" w:themeColor="text1"/>
          <w:sz w:val="23"/>
          <w:szCs w:val="23"/>
        </w:rPr>
      </w:pPr>
      <w:r>
        <w:rPr>
          <w:rFonts w:ascii="Calibri Light" w:eastAsia="Calibri Light" w:hAnsi="Calibri Light" w:cs="Calibri Light"/>
          <w:color w:val="000000" w:themeColor="text1"/>
          <w:sz w:val="23"/>
          <w:szCs w:val="23"/>
        </w:rPr>
        <w:br w:type="page"/>
      </w:r>
    </w:p>
    <w:p w14:paraId="514485D4" w14:textId="30C40134" w:rsidR="00380B47" w:rsidRPr="008E4D6D" w:rsidRDefault="00380B47" w:rsidP="00C34CCC">
      <w:pPr>
        <w:spacing w:line="276" w:lineRule="auto"/>
        <w:rPr>
          <w:b/>
          <w:bCs/>
          <w:color w:val="000000" w:themeColor="text1"/>
        </w:rPr>
      </w:pPr>
      <w:r w:rsidRPr="008E4D6D">
        <w:rPr>
          <w:rFonts w:ascii="Calibri Light" w:eastAsia="Calibri Light" w:hAnsi="Calibri Light" w:cs="Calibri Light"/>
          <w:color w:val="000000" w:themeColor="text1"/>
          <w:sz w:val="23"/>
          <w:szCs w:val="23"/>
        </w:rPr>
        <w:lastRenderedPageBreak/>
        <w:t>Sub-projects included:</w:t>
      </w:r>
    </w:p>
    <w:p w14:paraId="4CCF0249" w14:textId="77777777" w:rsidR="00380B47" w:rsidRPr="008E4D6D" w:rsidRDefault="00380B47" w:rsidP="00F75A96">
      <w:pPr>
        <w:pStyle w:val="ListParagraph"/>
        <w:numPr>
          <w:ilvl w:val="0"/>
          <w:numId w:val="8"/>
        </w:numPr>
        <w:spacing w:after="120" w:line="276" w:lineRule="auto"/>
        <w:ind w:left="714" w:hanging="357"/>
        <w:contextualSpacing w:val="0"/>
        <w:rPr>
          <w:rFonts w:eastAsiaTheme="minorEastAsia"/>
          <w:b/>
          <w:bCs/>
          <w:color w:val="000000" w:themeColor="text1"/>
          <w:sz w:val="23"/>
          <w:szCs w:val="23"/>
        </w:rPr>
      </w:pPr>
      <w:r w:rsidRPr="008E4D6D">
        <w:rPr>
          <w:rFonts w:eastAsia="Calibri Light" w:cstheme="minorHAnsi"/>
          <w:color w:val="000000" w:themeColor="text1"/>
          <w:sz w:val="23"/>
          <w:szCs w:val="23"/>
        </w:rPr>
        <w:t>Junior Chef Club:</w:t>
      </w:r>
      <w:r w:rsidRPr="008E4D6D">
        <w:rPr>
          <w:rFonts w:ascii="Calibri Light" w:eastAsia="Calibri Light" w:hAnsi="Calibri Light" w:cs="Calibri Light"/>
          <w:color w:val="000000" w:themeColor="text1"/>
          <w:sz w:val="23"/>
          <w:szCs w:val="23"/>
        </w:rPr>
        <w:t xml:space="preserve"> 10-session program teaching kids about seasonality and diverse culinary traditions</w:t>
      </w:r>
    </w:p>
    <w:p w14:paraId="3C97966B" w14:textId="77777777" w:rsidR="00380B47" w:rsidRPr="008E4D6D" w:rsidRDefault="00380B47" w:rsidP="00F75A96">
      <w:pPr>
        <w:pStyle w:val="ListParagraph"/>
        <w:numPr>
          <w:ilvl w:val="0"/>
          <w:numId w:val="8"/>
        </w:numPr>
        <w:spacing w:after="120" w:line="276" w:lineRule="auto"/>
        <w:ind w:left="714" w:hanging="357"/>
        <w:contextualSpacing w:val="0"/>
        <w:rPr>
          <w:rFonts w:eastAsiaTheme="minorEastAsia"/>
          <w:b/>
          <w:bCs/>
          <w:color w:val="000000" w:themeColor="text1"/>
          <w:sz w:val="23"/>
          <w:szCs w:val="23"/>
        </w:rPr>
      </w:pPr>
      <w:r w:rsidRPr="008E4D6D">
        <w:rPr>
          <w:rFonts w:eastAsia="Calibri Light" w:cstheme="minorHAnsi"/>
          <w:color w:val="000000" w:themeColor="text1"/>
          <w:sz w:val="23"/>
          <w:szCs w:val="23"/>
        </w:rPr>
        <w:t>Friday Night Out:</w:t>
      </w:r>
      <w:r w:rsidRPr="008E4D6D">
        <w:rPr>
          <w:rFonts w:ascii="Calibri Light" w:eastAsia="Calibri Light" w:hAnsi="Calibri Light" w:cs="Calibri Light"/>
          <w:color w:val="000000" w:themeColor="text1"/>
          <w:sz w:val="23"/>
          <w:szCs w:val="23"/>
        </w:rPr>
        <w:t xml:space="preserve"> fortnightly program for kids aged 8–14 to play football, cook and eat together (fostering healthy attitudes towards sports and food)</w:t>
      </w:r>
    </w:p>
    <w:p w14:paraId="227114C3" w14:textId="11E6F017" w:rsidR="00380B47" w:rsidRPr="00731C05" w:rsidRDefault="00380B47" w:rsidP="00F75A96">
      <w:pPr>
        <w:pStyle w:val="ListParagraph"/>
        <w:numPr>
          <w:ilvl w:val="0"/>
          <w:numId w:val="8"/>
        </w:numPr>
        <w:spacing w:after="120" w:line="276" w:lineRule="auto"/>
        <w:ind w:left="714" w:hanging="357"/>
        <w:contextualSpacing w:val="0"/>
        <w:rPr>
          <w:rFonts w:eastAsiaTheme="minorEastAsia"/>
          <w:b/>
          <w:bCs/>
          <w:color w:val="000000" w:themeColor="text1"/>
          <w:sz w:val="23"/>
          <w:szCs w:val="23"/>
        </w:rPr>
      </w:pPr>
      <w:r w:rsidRPr="008E4D6D">
        <w:rPr>
          <w:rFonts w:eastAsia="Calibri Light" w:cstheme="minorHAnsi"/>
          <w:color w:val="000000" w:themeColor="text1"/>
          <w:sz w:val="23"/>
          <w:szCs w:val="23"/>
        </w:rPr>
        <w:t>Lunch and Learning:</w:t>
      </w:r>
      <w:r w:rsidRPr="008E4D6D">
        <w:rPr>
          <w:rFonts w:ascii="Calibri Light" w:eastAsia="Calibri Light" w:hAnsi="Calibri Light" w:cs="Calibri Light"/>
          <w:color w:val="000000" w:themeColor="text1"/>
          <w:sz w:val="23"/>
          <w:szCs w:val="23"/>
        </w:rPr>
        <w:t xml:space="preserve"> kids meet local businesses owners and volunteers, do workshops together, co-design products and activities, then share lunch (Marovelli, 2019: 193).</w:t>
      </w:r>
    </w:p>
    <w:p w14:paraId="67363243" w14:textId="77777777" w:rsidR="00380B47" w:rsidRDefault="00380B47" w:rsidP="00C34CCC">
      <w:pPr>
        <w:spacing w:line="276" w:lineRule="auto"/>
        <w:rPr>
          <w:rFonts w:ascii="Calibri Light" w:eastAsia="Calibri Light" w:hAnsi="Calibri Light" w:cs="Calibri Light"/>
          <w:color w:val="000000" w:themeColor="text1"/>
          <w:sz w:val="23"/>
          <w:szCs w:val="23"/>
        </w:rPr>
      </w:pPr>
      <w:r w:rsidRPr="008E4D6D">
        <w:rPr>
          <w:rFonts w:ascii="Calibri Light" w:eastAsia="Calibri Light" w:hAnsi="Calibri Light" w:cs="Calibri Light"/>
          <w:color w:val="000000" w:themeColor="text1"/>
          <w:sz w:val="23"/>
          <w:szCs w:val="23"/>
        </w:rPr>
        <w:t xml:space="preserve">A recent </w:t>
      </w:r>
      <w:hyperlink r:id="rId25" w:history="1">
        <w:r w:rsidRPr="008E4D6D">
          <w:rPr>
            <w:rStyle w:val="Hyperlink"/>
            <w:rFonts w:ascii="Calibri Light" w:eastAsia="Calibri Light" w:hAnsi="Calibri Light" w:cs="Calibri Light"/>
            <w:color w:val="2E74B5" w:themeColor="accent5" w:themeShade="BF"/>
            <w:sz w:val="23"/>
            <w:szCs w:val="23"/>
          </w:rPr>
          <w:t>ethnographic study</w:t>
        </w:r>
      </w:hyperlink>
      <w:r w:rsidRPr="008E4D6D">
        <w:rPr>
          <w:rFonts w:ascii="Calibri Light" w:eastAsia="Calibri Light" w:hAnsi="Calibri Light" w:cs="Calibri Light"/>
          <w:color w:val="000000" w:themeColor="text1"/>
          <w:sz w:val="23"/>
          <w:szCs w:val="23"/>
        </w:rPr>
        <w:t xml:space="preserve"> found that the Skip Garden and Kitchen provided a safe, welcoming space for people to socialise, eat nourishing meals together, exchange knowledge, and share experiences. It fostered social cohesion, built community across difference, and eased loneliness for both participants and volunteers (Marovelli, 2019). The project also improved residents’ food security, access to communal space, and knowledge of healthy food. Parents said the garden was “the perfect antidote” to urban lifestyles, and that it encouraged kids to leave the house (Global Generation, 2016).</w:t>
      </w:r>
      <w:r w:rsidRPr="008E4D6D">
        <w:rPr>
          <w:color w:val="000000" w:themeColor="text1"/>
        </w:rPr>
        <w:t xml:space="preserve"> </w:t>
      </w:r>
      <w:r w:rsidRPr="008E4D6D">
        <w:rPr>
          <w:rFonts w:ascii="Calibri Light" w:eastAsia="Calibri Light" w:hAnsi="Calibri Light" w:cs="Calibri Light"/>
          <w:color w:val="000000" w:themeColor="text1"/>
          <w:sz w:val="23"/>
          <w:szCs w:val="23"/>
        </w:rPr>
        <w:t>The Skip Garden and Kitchen ran for 10 years, closing in October 2019. In early 2021, some of the skips were relocated to form “parklets” in Kentish Town.</w:t>
      </w:r>
    </w:p>
    <w:p w14:paraId="247E9A75" w14:textId="63955322" w:rsidR="00380B47" w:rsidRPr="00731C05" w:rsidRDefault="00380B47" w:rsidP="00C34CCC">
      <w:pPr>
        <w:spacing w:line="276" w:lineRule="auto"/>
        <w:rPr>
          <w:rFonts w:ascii="Calibri Light" w:eastAsia="Calibri Light" w:hAnsi="Calibri Light" w:cs="Calibri Light"/>
          <w:color w:val="000000" w:themeColor="text1"/>
          <w:sz w:val="23"/>
          <w:szCs w:val="23"/>
        </w:rPr>
      </w:pPr>
      <w:r w:rsidRPr="008E4D6D">
        <w:rPr>
          <w:rFonts w:eastAsia="Calibri Light" w:cstheme="minorHAnsi"/>
          <w:color w:val="000000" w:themeColor="text1"/>
          <w:sz w:val="23"/>
          <w:szCs w:val="23"/>
        </w:rPr>
        <w:t>Story Garden:</w:t>
      </w:r>
      <w:r w:rsidRPr="008E4D6D">
        <w:rPr>
          <w:rFonts w:ascii="Calibri Light" w:eastAsia="Calibri Light" w:hAnsi="Calibri Light" w:cs="Calibri Light"/>
          <w:color w:val="000000" w:themeColor="text1"/>
          <w:sz w:val="23"/>
          <w:szCs w:val="23"/>
        </w:rPr>
        <w:t xml:space="preserve"> In June 2019 work began on a new temporary garden in Somers Town, an adjacent suburb. The Story Garden is sited on a one-acre block behind the British Library. Around 650 adults and 300 young people co-designed and created the new garden, including residents, school students, local workers, and library staff. Strategies to foster collective ownership included kids’ design and build sessions, university collaborations, drop-in volunteer sessions, holiday clubs, and work experience placements.</w:t>
      </w:r>
    </w:p>
    <w:p w14:paraId="27F8376C" w14:textId="77777777" w:rsidR="00380B47" w:rsidRPr="008E4D6D" w:rsidRDefault="00380B47" w:rsidP="00C34CCC">
      <w:pPr>
        <w:spacing w:line="276" w:lineRule="auto"/>
        <w:rPr>
          <w:b/>
          <w:bCs/>
          <w:color w:val="000000" w:themeColor="text1"/>
        </w:rPr>
      </w:pPr>
      <w:r w:rsidRPr="008E4D6D">
        <w:rPr>
          <w:rFonts w:ascii="Calibri Light" w:eastAsia="Calibri Light" w:hAnsi="Calibri Light" w:cs="Calibri Light"/>
          <w:color w:val="000000" w:themeColor="text1"/>
          <w:sz w:val="23"/>
          <w:szCs w:val="23"/>
        </w:rPr>
        <w:t>The site includes garden beds, a kitchen, classroom, gathering space, and workshop. Run by Central Saint Martin’s (University of the Arts), the MAKE workshop provides space, guidance, and equipment to help young people co-create projects with community members. Activities include weaving, upcycling, carpentry, permaculture, cooking, and storytelling workshops.</w:t>
      </w:r>
    </w:p>
    <w:p w14:paraId="6D90142B" w14:textId="72A322B4" w:rsidR="00380B47" w:rsidRPr="00731C05" w:rsidRDefault="00380B47" w:rsidP="00C34CCC">
      <w:pPr>
        <w:spacing w:line="276" w:lineRule="auto"/>
        <w:rPr>
          <w:rFonts w:ascii="Calibri Light" w:eastAsia="Calibri Light" w:hAnsi="Calibri Light" w:cs="Calibri Light"/>
          <w:color w:val="000000" w:themeColor="text1"/>
          <w:sz w:val="23"/>
          <w:szCs w:val="23"/>
        </w:rPr>
      </w:pPr>
      <w:r w:rsidRPr="008E4D6D">
        <w:rPr>
          <w:rFonts w:eastAsia="Calibri Light" w:cstheme="minorHAnsi"/>
          <w:color w:val="000000" w:themeColor="text1"/>
          <w:sz w:val="23"/>
          <w:szCs w:val="23"/>
        </w:rPr>
        <w:t>Paper Garden + Floating Garden:</w:t>
      </w:r>
      <w:r w:rsidRPr="008E4D6D">
        <w:rPr>
          <w:rFonts w:ascii="Calibri Light" w:eastAsia="Calibri Light" w:hAnsi="Calibri Light" w:cs="Calibri Light"/>
          <w:color w:val="000000" w:themeColor="text1"/>
          <w:sz w:val="23"/>
          <w:szCs w:val="23"/>
        </w:rPr>
        <w:t xml:space="preserve"> As of April 2021, two new participatory projects are underway: the Paper Garden, a “collaborative seedbed” for intergenerational knowledge-sharing, creativity, and community-building, sited in an old print factory in Canada Water, a major new development site in London’s Docklands; and a project involving young people and architects co-designing a floating garden on a barge along a nearby canal.</w:t>
      </w:r>
    </w:p>
    <w:p w14:paraId="247EB60F" w14:textId="77774E0C" w:rsidR="00380B47" w:rsidRPr="00731C05" w:rsidRDefault="00380B47" w:rsidP="00C34CCC">
      <w:pPr>
        <w:spacing w:line="276" w:lineRule="auto"/>
        <w:rPr>
          <w:b/>
          <w:bCs/>
          <w:color w:val="000000" w:themeColor="text1"/>
        </w:rPr>
      </w:pPr>
      <w:r w:rsidRPr="008E4D6D">
        <w:rPr>
          <w:rFonts w:ascii="Calibri Light" w:eastAsia="Calibri Light" w:hAnsi="Calibri Light" w:cs="Calibri Light"/>
          <w:color w:val="000000" w:themeColor="text1"/>
          <w:sz w:val="23"/>
          <w:szCs w:val="23"/>
        </w:rPr>
        <w:t>Success factors include the lead agency’s expertise; its flexible, inclusive, and creative approach; effective community engagement strategies; a strong volunteer population; and robust partnerships with local councils, developers, businesses, schools, universities, and community organisations.</w:t>
      </w:r>
    </w:p>
    <w:p w14:paraId="66ED959B" w14:textId="77777777" w:rsidR="00F75A96" w:rsidRDefault="00F75A96">
      <w:pPr>
        <w:rPr>
          <w:rFonts w:asciiTheme="majorHAnsi" w:eastAsiaTheme="majorEastAsia" w:hAnsiTheme="majorHAnsi" w:cstheme="majorBidi"/>
          <w:color w:val="2F5496" w:themeColor="accent1" w:themeShade="BF"/>
          <w:sz w:val="26"/>
          <w:szCs w:val="26"/>
        </w:rPr>
      </w:pPr>
      <w:bookmarkStart w:id="51" w:name="_Toc108183174"/>
      <w:r>
        <w:br w:type="page"/>
      </w:r>
    </w:p>
    <w:p w14:paraId="2C1B125A" w14:textId="1F8C5D8C" w:rsidR="00380B47" w:rsidRPr="00380B47" w:rsidRDefault="00380B47" w:rsidP="00731C05">
      <w:pPr>
        <w:pStyle w:val="Heading2"/>
      </w:pPr>
      <w:r w:rsidRPr="00380B47">
        <w:lastRenderedPageBreak/>
        <w:t>Nourishing Landscapes: Urban Gardens for Food Security</w:t>
      </w:r>
      <w:bookmarkEnd w:id="51"/>
    </w:p>
    <w:p w14:paraId="63A0ABE0" w14:textId="2E78F7A1" w:rsidR="00380B47" w:rsidRPr="00731C05" w:rsidRDefault="00380B47" w:rsidP="00C34CCC">
      <w:pPr>
        <w:spacing w:line="276" w:lineRule="auto"/>
        <w:rPr>
          <w:rFonts w:cstheme="minorHAnsi"/>
          <w:b/>
          <w:bCs/>
          <w:sz w:val="23"/>
          <w:szCs w:val="23"/>
        </w:rPr>
      </w:pPr>
      <w:r w:rsidRPr="00086D33">
        <w:rPr>
          <w:rFonts w:cstheme="minorHAnsi"/>
          <w:sz w:val="23"/>
          <w:szCs w:val="23"/>
        </w:rPr>
        <w:t>Nantes, France (</w:t>
      </w:r>
      <w:r>
        <w:rPr>
          <w:rFonts w:cstheme="minorHAnsi"/>
          <w:sz w:val="23"/>
          <w:szCs w:val="23"/>
        </w:rPr>
        <w:t xml:space="preserve">June </w:t>
      </w:r>
      <w:r w:rsidRPr="00086D33">
        <w:rPr>
          <w:rFonts w:cstheme="minorHAnsi"/>
          <w:sz w:val="23"/>
          <w:szCs w:val="23"/>
        </w:rPr>
        <w:t>2020–present)</w:t>
      </w:r>
    </w:p>
    <w:p w14:paraId="25EEAC15" w14:textId="77777777" w:rsidR="00380B47" w:rsidRPr="00731C05" w:rsidRDefault="00380B47" w:rsidP="00731C05">
      <w:pPr>
        <w:spacing w:after="0"/>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Main Practice Domain(s): </w:t>
      </w:r>
      <w:r w:rsidRPr="00731C05">
        <w:rPr>
          <w:rFonts w:eastAsiaTheme="minorEastAsia"/>
          <w:b/>
          <w:bCs/>
          <w:color w:val="595959" w:themeColor="text1" w:themeTint="A6"/>
          <w:sz w:val="23"/>
          <w:szCs w:val="23"/>
        </w:rPr>
        <w:tab/>
      </w:r>
      <w:r w:rsidRPr="00731C05">
        <w:rPr>
          <w:rFonts w:eastAsiaTheme="minorEastAsia"/>
          <w:b/>
          <w:bCs/>
          <w:color w:val="595959" w:themeColor="text1" w:themeTint="A6"/>
          <w:sz w:val="23"/>
          <w:szCs w:val="23"/>
        </w:rPr>
        <w:tab/>
        <w:t>Health and Wellbeing, Liveability</w:t>
      </w:r>
    </w:p>
    <w:p w14:paraId="2085A3A4" w14:textId="3974DC47" w:rsidR="00380B47" w:rsidRPr="00FC3BE0" w:rsidRDefault="00380B47" w:rsidP="00FC3BE0">
      <w:pPr>
        <w:rPr>
          <w:rFonts w:eastAsiaTheme="minorEastAsia"/>
          <w:b/>
          <w:bCs/>
          <w:color w:val="595959" w:themeColor="text1" w:themeTint="A6"/>
          <w:sz w:val="23"/>
          <w:szCs w:val="23"/>
        </w:rPr>
      </w:pPr>
      <w:r w:rsidRPr="00731C05">
        <w:rPr>
          <w:rFonts w:eastAsiaTheme="minorEastAsia"/>
          <w:b/>
          <w:bCs/>
          <w:color w:val="595959" w:themeColor="text1" w:themeTint="A6"/>
          <w:sz w:val="23"/>
          <w:szCs w:val="23"/>
        </w:rPr>
        <w:t xml:space="preserve">Secondary Practice Domain(s): </w:t>
      </w:r>
      <w:r w:rsidRPr="00731C05">
        <w:rPr>
          <w:rFonts w:eastAsiaTheme="minorEastAsia"/>
          <w:b/>
          <w:bCs/>
          <w:color w:val="595959" w:themeColor="text1" w:themeTint="A6"/>
          <w:sz w:val="23"/>
          <w:szCs w:val="23"/>
        </w:rPr>
        <w:tab/>
        <w:t>Education</w:t>
      </w:r>
    </w:p>
    <w:p w14:paraId="500B8963" w14:textId="533366DC" w:rsidR="00380B47" w:rsidRPr="00FC3BE0" w:rsidRDefault="00380B47" w:rsidP="00C34CCC">
      <w:pPr>
        <w:spacing w:line="276" w:lineRule="auto"/>
        <w:rPr>
          <w:rFonts w:asciiTheme="majorHAnsi" w:hAnsiTheme="majorHAnsi" w:cstheme="minorHAnsi"/>
          <w:color w:val="000000" w:themeColor="text1"/>
          <w:sz w:val="23"/>
          <w:szCs w:val="23"/>
        </w:rPr>
      </w:pPr>
      <w:r w:rsidRPr="00865BEB">
        <w:rPr>
          <w:rFonts w:asciiTheme="majorHAnsi" w:hAnsiTheme="majorHAnsi" w:cstheme="minorHAnsi"/>
          <w:color w:val="000000" w:themeColor="text1"/>
          <w:sz w:val="23"/>
          <w:szCs w:val="23"/>
        </w:rPr>
        <w:t xml:space="preserve">In early 2020, food charities in Nantes saw a steep increase in demand as COVID-19 heightened poverty and food insecurity. Sited on the Loir River in north-west France, Nantes (pop. 303,000) </w:t>
      </w:r>
      <w:r w:rsidRPr="00865BEB">
        <w:rPr>
          <w:rFonts w:asciiTheme="majorHAnsi" w:hAnsiTheme="majorHAnsi"/>
          <w:color w:val="000000" w:themeColor="text1"/>
          <w:sz w:val="23"/>
          <w:szCs w:val="23"/>
        </w:rPr>
        <w:t xml:space="preserve">won the EU </w:t>
      </w:r>
      <w:r w:rsidRPr="00865BEB">
        <w:rPr>
          <w:rFonts w:asciiTheme="majorHAnsi" w:hAnsiTheme="majorHAnsi" w:cstheme="minorHAnsi"/>
          <w:color w:val="000000" w:themeColor="text1"/>
          <w:sz w:val="23"/>
          <w:szCs w:val="23"/>
        </w:rPr>
        <w:t xml:space="preserve">European Green Capital Award in 2013 and was named Europe’s most liveable city by </w:t>
      </w:r>
      <w:r w:rsidRPr="00865BEB">
        <w:rPr>
          <w:rFonts w:asciiTheme="majorHAnsi" w:hAnsiTheme="majorHAnsi" w:cstheme="minorHAnsi"/>
          <w:i/>
          <w:iCs/>
          <w:color w:val="000000" w:themeColor="text1"/>
          <w:sz w:val="23"/>
          <w:szCs w:val="23"/>
        </w:rPr>
        <w:t>Time</w:t>
      </w:r>
      <w:r w:rsidRPr="00865BEB">
        <w:rPr>
          <w:rFonts w:asciiTheme="majorHAnsi" w:hAnsiTheme="majorHAnsi" w:cstheme="minorHAnsi"/>
          <w:color w:val="000000" w:themeColor="text1"/>
          <w:sz w:val="23"/>
          <w:szCs w:val="23"/>
        </w:rPr>
        <w:t xml:space="preserve"> magazine in 2004. The city has a strong economy but retains concentrated pockets of disadvantage and poverty.</w:t>
      </w:r>
    </w:p>
    <w:p w14:paraId="23A17D6F" w14:textId="75FDE24E" w:rsidR="00380B47" w:rsidRPr="00FC3BE0" w:rsidRDefault="00380B47" w:rsidP="00C34CCC">
      <w:pPr>
        <w:spacing w:line="276" w:lineRule="auto"/>
        <w:rPr>
          <w:rFonts w:asciiTheme="majorHAnsi" w:hAnsiTheme="majorHAnsi"/>
          <w:color w:val="000000" w:themeColor="text1"/>
          <w:sz w:val="23"/>
          <w:szCs w:val="23"/>
        </w:rPr>
      </w:pPr>
      <w:r w:rsidRPr="00865BEB">
        <w:rPr>
          <w:rFonts w:asciiTheme="majorHAnsi" w:hAnsiTheme="majorHAnsi"/>
          <w:color w:val="000000" w:themeColor="text1"/>
          <w:sz w:val="23"/>
          <w:szCs w:val="23"/>
        </w:rPr>
        <w:t>In June 2020, the Mayor of Nantes launched Paysages Nourriciers (Nourishing Landscapes), an urban food project set up to provide fresh produce to vulnerable residents, many of whom became unemployed due to the pandemic. Council staff and volunteers transformed unused municipal land, green space, public parks and greenhouses into community vegetable gardens. More than 50 plots, totalling around 25,000 square metres, have been planted with seasonal crops including tomatoes, courgettes, beets, corn, potatoes, squash, and beans.</w:t>
      </w:r>
    </w:p>
    <w:p w14:paraId="47D2D5A2" w14:textId="27DFC91E" w:rsidR="00380B47" w:rsidRPr="00FC3BE0" w:rsidRDefault="00380B47" w:rsidP="00C34CCC">
      <w:pPr>
        <w:spacing w:line="276" w:lineRule="auto"/>
        <w:rPr>
          <w:rFonts w:asciiTheme="majorHAnsi" w:hAnsiTheme="majorHAnsi"/>
          <w:color w:val="000000" w:themeColor="text1"/>
          <w:sz w:val="23"/>
          <w:szCs w:val="23"/>
        </w:rPr>
      </w:pPr>
      <w:r w:rsidRPr="00865BEB">
        <w:rPr>
          <w:rFonts w:asciiTheme="majorHAnsi" w:hAnsiTheme="majorHAnsi"/>
          <w:color w:val="000000" w:themeColor="text1"/>
          <w:sz w:val="23"/>
          <w:szCs w:val="23"/>
        </w:rPr>
        <w:t>Production sites are scattered widely across 11 city districts, with 250 urban gardeners growing organic produce in raised beds with support from local specialists. The gardens are created and tended by resident volunteer and young farmers from around the district.</w:t>
      </w:r>
      <w:r w:rsidRPr="00865BEB">
        <w:rPr>
          <w:rFonts w:asciiTheme="majorHAnsi" w:hAnsiTheme="majorHAnsi"/>
          <w:color w:val="000000" w:themeColor="text1"/>
        </w:rPr>
        <w:t xml:space="preserve"> </w:t>
      </w:r>
      <w:r w:rsidRPr="00865BEB">
        <w:rPr>
          <w:rFonts w:asciiTheme="majorHAnsi" w:hAnsiTheme="majorHAnsi"/>
          <w:color w:val="000000" w:themeColor="text1"/>
          <w:sz w:val="23"/>
          <w:szCs w:val="23"/>
        </w:rPr>
        <w:t>From July–October 2020, around 25 tons of pesticide-free fruits and vegetables were grown, harvested and delivered to 1000 low-income households. Recipients were also given recipe suggestions. Distribution was supported by the local Food Bank, charities, volunteers, and more than 100 neighbourhood associations (Eurocities, 2020; TheMayor.eu, 2020b). Inspired by communal gardens run by the Communal Centre of Social Action (CCAS) in rural and regional towns, the Nourishing Landscapes project was a partnership between the City of Nantes, CCAS, and Service of Green Spaces and the Environment (SEVE).</w:t>
      </w:r>
    </w:p>
    <w:p w14:paraId="70FD572B" w14:textId="4F334443" w:rsidR="00380B47" w:rsidRPr="00FC3BE0" w:rsidRDefault="00380B47" w:rsidP="00C34CCC">
      <w:pPr>
        <w:spacing w:line="276" w:lineRule="auto"/>
        <w:rPr>
          <w:rFonts w:asciiTheme="majorHAnsi" w:hAnsiTheme="majorHAnsi"/>
          <w:color w:val="000000" w:themeColor="text1"/>
          <w:sz w:val="23"/>
          <w:szCs w:val="23"/>
        </w:rPr>
      </w:pPr>
      <w:r w:rsidRPr="00865BEB">
        <w:rPr>
          <w:rFonts w:asciiTheme="majorHAnsi" w:hAnsiTheme="majorHAnsi"/>
          <w:color w:val="000000" w:themeColor="text1"/>
          <w:sz w:val="23"/>
          <w:szCs w:val="23"/>
        </w:rPr>
        <w:t>The project increased the local supply of fresh produce, helped green the city, and improved food security for vulnerable Nantes residents. It also enabled participants to learn new skills, share cultural practices and knowledge, and gain new understandings of agriculture, organic practices, seasonal produce, nutrition, and healthy cooking (FOA 2020a; FOA 2020b). Success factors include the city’s ample green space, the involvement of local agricultural experts, coordinated partnerships with local agencies, and the efforts of numerous community volunteers. No formal evaluation is available, but the project will run again in summer and autumn of 2021.</w:t>
      </w:r>
    </w:p>
    <w:p w14:paraId="0E0FE464" w14:textId="77777777" w:rsidR="00F75A96" w:rsidRDefault="00F75A96">
      <w:pPr>
        <w:rPr>
          <w:rFonts w:asciiTheme="majorHAnsi" w:eastAsiaTheme="majorEastAsia" w:hAnsiTheme="majorHAnsi" w:cstheme="majorBidi"/>
          <w:color w:val="2F5496" w:themeColor="accent1" w:themeShade="BF"/>
          <w:sz w:val="26"/>
          <w:szCs w:val="26"/>
        </w:rPr>
      </w:pPr>
      <w:bookmarkStart w:id="52" w:name="_Toc108183175"/>
      <w:bookmarkStart w:id="53" w:name="_Hlk70864721"/>
      <w:r>
        <w:br w:type="page"/>
      </w:r>
    </w:p>
    <w:p w14:paraId="420605C8" w14:textId="3EAD0119" w:rsidR="00380B47" w:rsidRPr="00380B47" w:rsidRDefault="00380B47" w:rsidP="00731C05">
      <w:pPr>
        <w:pStyle w:val="Heading2"/>
      </w:pPr>
      <w:r w:rsidRPr="00380B47">
        <w:lastRenderedPageBreak/>
        <w:t>Oslo Living Lab: Green Jobs Training and Placemaking For At-Risk Youth</w:t>
      </w:r>
      <w:bookmarkEnd w:id="52"/>
    </w:p>
    <w:p w14:paraId="56A163B0" w14:textId="40D6336D" w:rsidR="00380B47" w:rsidRPr="00FC3BE0" w:rsidRDefault="00380B47" w:rsidP="00FC3BE0">
      <w:pPr>
        <w:spacing w:line="276" w:lineRule="auto"/>
        <w:rPr>
          <w:b/>
          <w:bCs/>
          <w:sz w:val="23"/>
          <w:szCs w:val="23"/>
        </w:rPr>
      </w:pPr>
      <w:bookmarkStart w:id="54" w:name="_Hlk61881185"/>
      <w:r w:rsidRPr="005F0B7E">
        <w:rPr>
          <w:sz w:val="23"/>
          <w:szCs w:val="23"/>
        </w:rPr>
        <w:t xml:space="preserve">Grønland, </w:t>
      </w:r>
      <w:bookmarkEnd w:id="54"/>
      <w:r w:rsidRPr="005F0B7E">
        <w:rPr>
          <w:sz w:val="23"/>
          <w:szCs w:val="23"/>
        </w:rPr>
        <w:t>Oslo, Norway (Feb 2019–</w:t>
      </w:r>
      <w:r>
        <w:rPr>
          <w:sz w:val="23"/>
          <w:szCs w:val="23"/>
        </w:rPr>
        <w:t>present</w:t>
      </w:r>
      <w:r w:rsidRPr="005F0B7E">
        <w:rPr>
          <w:sz w:val="23"/>
          <w:szCs w:val="23"/>
        </w:rPr>
        <w:t>)</w:t>
      </w:r>
      <w:bookmarkEnd w:id="53"/>
    </w:p>
    <w:p w14:paraId="087A4A8E" w14:textId="77777777" w:rsidR="00380B47" w:rsidRPr="00FC3BE0" w:rsidRDefault="00380B47" w:rsidP="00FC3BE0">
      <w:pPr>
        <w:spacing w:after="0"/>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Main Practice Domain(s): </w:t>
      </w:r>
      <w:r w:rsidRPr="00FC3BE0">
        <w:rPr>
          <w:rFonts w:eastAsiaTheme="minorEastAsia"/>
          <w:b/>
          <w:bCs/>
          <w:color w:val="595959" w:themeColor="text1" w:themeTint="A6"/>
          <w:sz w:val="23"/>
          <w:szCs w:val="23"/>
        </w:rPr>
        <w:tab/>
      </w:r>
      <w:r w:rsidRPr="00FC3BE0">
        <w:rPr>
          <w:rFonts w:eastAsiaTheme="minorEastAsia"/>
          <w:b/>
          <w:bCs/>
          <w:color w:val="595959" w:themeColor="text1" w:themeTint="A6"/>
          <w:sz w:val="23"/>
          <w:szCs w:val="23"/>
        </w:rPr>
        <w:tab/>
        <w:t>Education, Employment</w:t>
      </w:r>
    </w:p>
    <w:p w14:paraId="29DF0E82" w14:textId="18815FE9" w:rsidR="00380B47" w:rsidRPr="00FC3BE0" w:rsidRDefault="00380B47" w:rsidP="00FC3BE0">
      <w:pPr>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Secondary Practice Domain(s): </w:t>
      </w:r>
      <w:r w:rsidRPr="00FC3BE0">
        <w:rPr>
          <w:rFonts w:eastAsiaTheme="minorEastAsia"/>
          <w:b/>
          <w:bCs/>
          <w:color w:val="595959" w:themeColor="text1" w:themeTint="A6"/>
          <w:sz w:val="23"/>
          <w:szCs w:val="23"/>
        </w:rPr>
        <w:tab/>
        <w:t>Health and Wellbeing, Liveability</w:t>
      </w:r>
    </w:p>
    <w:p w14:paraId="6D3C6D3C" w14:textId="77777777"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 xml:space="preserve">Norway is a wealthy country, but in the capital city of Oslo (pop. 1,000,000) there is significant and growing spatial inequality (Finnvold, 2019). Urban regeneration projects devised to tackle this problem have in fact gentrified some areas, pushing out low-income residents </w:t>
      </w:r>
      <w:r w:rsidRPr="00865BEB">
        <w:rPr>
          <w:rFonts w:asciiTheme="majorHAnsi" w:hAnsiTheme="majorHAnsi" w:cstheme="majorBidi"/>
          <w:color w:val="000000" w:themeColor="text1"/>
          <w:sz w:val="23"/>
          <w:szCs w:val="23"/>
        </w:rPr>
        <w:t>(</w:t>
      </w:r>
      <w:r w:rsidRPr="00865BEB">
        <w:rPr>
          <w:rFonts w:asciiTheme="majorHAnsi" w:eastAsia="Times New Roman" w:hAnsiTheme="majorHAnsi" w:cstheme="majorBidi"/>
          <w:color w:val="000000" w:themeColor="text1"/>
          <w:sz w:val="23"/>
          <w:szCs w:val="23"/>
          <w:lang w:eastAsia="en-AU"/>
        </w:rPr>
        <w:t>Huse, 2014).</w:t>
      </w:r>
    </w:p>
    <w:p w14:paraId="69F92920" w14:textId="36491B20" w:rsidR="00380B47" w:rsidRPr="00FC3BE0"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Grønland (pop. 9000) is Oslo’s most culturally diverse neighbourhood. Almost half of local residents have an immigrant background (Vassenden &amp; Andersson, 2011); key ethic groups include Pakistani, Somali, and Iraqui. Bounded by major roads and railway lines, the suburb is spatially isolated from wider Oslo. A vibrant place characterised by strong social networks (Miller, 2016: 10, 50), Grønland also has high unemployment and concentrated public housing. Sixty percent of children live in poverty (Taylor, 2017); one-third of young people drop out of high school, and a quarter believe they will become unemployed</w:t>
      </w:r>
      <w:r w:rsidRPr="00865BEB">
        <w:rPr>
          <w:rFonts w:asciiTheme="majorHAnsi" w:hAnsiTheme="majorHAnsi" w:cstheme="majorBidi"/>
          <w:color w:val="000000" w:themeColor="text1"/>
          <w:sz w:val="23"/>
          <w:szCs w:val="23"/>
        </w:rPr>
        <w:t xml:space="preserve"> (</w:t>
      </w:r>
      <w:r w:rsidRPr="00865BEB">
        <w:rPr>
          <w:rFonts w:asciiTheme="majorHAnsi" w:eastAsia="Times New Roman" w:hAnsiTheme="majorHAnsi" w:cstheme="majorBidi"/>
          <w:color w:val="000000" w:themeColor="text1"/>
          <w:sz w:val="23"/>
          <w:szCs w:val="23"/>
          <w:lang w:eastAsia="en-AU"/>
        </w:rPr>
        <w:t xml:space="preserve">Placemaking Europe, 2019). There are few extra-curricular activities for youth, and limited access to high-quality public space (Miller, 2016). </w:t>
      </w:r>
    </w:p>
    <w:p w14:paraId="4EDA5E2B" w14:textId="2DA27E48" w:rsidR="00380B47" w:rsidRPr="00FC3BE0" w:rsidRDefault="00380B47" w:rsidP="00C34CCC">
      <w:pPr>
        <w:spacing w:line="276" w:lineRule="auto"/>
        <w:rPr>
          <w:rFonts w:asciiTheme="majorHAnsi" w:eastAsia="Times New Roman" w:hAnsiTheme="majorHAnsi" w:cstheme="majorBidi"/>
          <w:color w:val="000000" w:themeColor="text1"/>
          <w:sz w:val="23"/>
          <w:szCs w:val="23"/>
          <w:lang w:eastAsia="en-AU"/>
        </w:rPr>
      </w:pPr>
      <w:r w:rsidRPr="00865BEB">
        <w:rPr>
          <w:rFonts w:asciiTheme="majorHAnsi" w:hAnsiTheme="majorHAnsi" w:cstheme="majorBidi"/>
          <w:color w:val="000000" w:themeColor="text1"/>
          <w:sz w:val="23"/>
          <w:szCs w:val="23"/>
        </w:rPr>
        <w:t>Established in 2018</w:t>
      </w:r>
      <w:r w:rsidRPr="00865BEB">
        <w:rPr>
          <w:rFonts w:asciiTheme="majorHAnsi" w:eastAsia="Times New Roman" w:hAnsiTheme="majorHAnsi" w:cstheme="majorBidi"/>
          <w:color w:val="000000" w:themeColor="text1"/>
          <w:sz w:val="23"/>
          <w:szCs w:val="23"/>
          <w:lang w:eastAsia="en-AU"/>
        </w:rPr>
        <w:t xml:space="preserve">, the Oslo Living Lab (OLL) provides work experience and urban greening training to young people from the local Hersleb High School (H20). The program also empowers them to improve public spaces using tactical urbanism. Run by Nabolagshager (Neighbourhood Gardens), a local Grønland-based urban agriculture and place-making organisation, the program is founded in participatory design principles. Young people are encouraged to drive innovation, with guidance from professional mentors. </w:t>
      </w:r>
    </w:p>
    <w:p w14:paraId="2A5B743C" w14:textId="2A890537" w:rsidR="00380B47" w:rsidRPr="00865BEB" w:rsidRDefault="00380B47" w:rsidP="00C34CCC">
      <w:pPr>
        <w:spacing w:line="276" w:lineRule="auto"/>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 xml:space="preserve">The H20 school has struggled with a negative public reputation and </w:t>
      </w:r>
      <w:r w:rsidR="00D24715" w:rsidRPr="00865BEB">
        <w:rPr>
          <w:rFonts w:asciiTheme="majorHAnsi" w:eastAsia="Times New Roman" w:hAnsiTheme="majorHAnsi" w:cstheme="majorBidi"/>
          <w:color w:val="000000" w:themeColor="text1"/>
          <w:sz w:val="23"/>
          <w:szCs w:val="23"/>
          <w:lang w:eastAsia="en-AU"/>
        </w:rPr>
        <w:t>low-test</w:t>
      </w:r>
      <w:r w:rsidRPr="00865BEB">
        <w:rPr>
          <w:rFonts w:asciiTheme="majorHAnsi" w:eastAsia="Times New Roman" w:hAnsiTheme="majorHAnsi" w:cstheme="majorBidi"/>
          <w:color w:val="000000" w:themeColor="text1"/>
          <w:sz w:val="23"/>
          <w:szCs w:val="23"/>
          <w:lang w:eastAsia="en-AU"/>
        </w:rPr>
        <w:t xml:space="preserve"> scores, and students face a range of barriers</w:t>
      </w:r>
      <w:r w:rsidRPr="00865BEB">
        <w:rPr>
          <w:rFonts w:asciiTheme="majorHAnsi" w:hAnsiTheme="majorHAnsi" w:cstheme="majorBidi"/>
          <w:color w:val="000000" w:themeColor="text1"/>
          <w:sz w:val="23"/>
          <w:szCs w:val="23"/>
        </w:rPr>
        <w:t xml:space="preserve"> (</w:t>
      </w:r>
      <w:r w:rsidRPr="00865BEB">
        <w:rPr>
          <w:rFonts w:asciiTheme="majorHAnsi" w:eastAsia="Times New Roman" w:hAnsiTheme="majorHAnsi" w:cstheme="majorBidi"/>
          <w:color w:val="000000" w:themeColor="text1"/>
          <w:sz w:val="23"/>
          <w:szCs w:val="23"/>
          <w:lang w:eastAsia="en-AU"/>
        </w:rPr>
        <w:t xml:space="preserve">Placemaking Europe, 2019). The schoolyard, a large area of underused open space, presented an opportunity to improve the whole neighbourhood’s living environment. </w:t>
      </w:r>
      <w:r w:rsidRPr="00865BEB">
        <w:rPr>
          <w:rFonts w:asciiTheme="majorHAnsi" w:hAnsiTheme="majorHAnsi" w:cstheme="majorBidi"/>
          <w:color w:val="000000" w:themeColor="text1"/>
          <w:sz w:val="23"/>
          <w:szCs w:val="23"/>
        </w:rPr>
        <w:t>S</w:t>
      </w:r>
      <w:r w:rsidRPr="00865BEB">
        <w:rPr>
          <w:rFonts w:asciiTheme="majorHAnsi" w:eastAsia="Times New Roman" w:hAnsiTheme="majorHAnsi" w:cstheme="majorBidi"/>
          <w:color w:val="000000" w:themeColor="text1"/>
          <w:sz w:val="23"/>
          <w:szCs w:val="23"/>
          <w:lang w:eastAsia="en-AU"/>
        </w:rPr>
        <w:t>tudents researched community needs, then tested and implemented short-term actions designed to create inclusive neighbourhood meeting places.</w:t>
      </w:r>
    </w:p>
    <w:p w14:paraId="20E43A69" w14:textId="4DD359F6" w:rsidR="00380B47" w:rsidRPr="00FC3BE0" w:rsidRDefault="00380B47" w:rsidP="00C34CCC">
      <w:pPr>
        <w:spacing w:line="276" w:lineRule="auto"/>
        <w:rPr>
          <w:rFonts w:asciiTheme="majorHAnsi" w:hAnsiTheme="majorHAnsi" w:cstheme="majorBidi"/>
          <w:b/>
          <w:bCs/>
          <w:color w:val="000000" w:themeColor="text1"/>
          <w:sz w:val="23"/>
          <w:szCs w:val="23"/>
          <w:lang w:eastAsia="en-AU"/>
        </w:rPr>
      </w:pPr>
      <w:r w:rsidRPr="00865BEB">
        <w:rPr>
          <w:rFonts w:asciiTheme="majorHAnsi" w:hAnsiTheme="majorHAnsi" w:cstheme="majorBidi"/>
          <w:color w:val="000000" w:themeColor="text1"/>
          <w:sz w:val="23"/>
          <w:szCs w:val="23"/>
        </w:rPr>
        <w:t>Success factors include Nabolagshager’s local connections, significant expertise, and existing resources; its effective use of co-design, participatory, and mentoring approaches to engage young people; strong local partnerships; and diverse funding sources. Oslo Living Lab is also part of two key EU research projects, the Edible City Network and the PlaceCity project. While no formal evaluation is yet available, the program will be tracked through these initiatives.</w:t>
      </w:r>
    </w:p>
    <w:p w14:paraId="465532A8" w14:textId="402F08FC" w:rsidR="00380B47" w:rsidRPr="00FC3BE0" w:rsidRDefault="00380B47" w:rsidP="00FC3BE0">
      <w:pPr>
        <w:spacing w:after="0" w:line="276" w:lineRule="auto"/>
        <w:rPr>
          <w:rFonts w:cstheme="minorHAnsi"/>
          <w:b/>
          <w:bCs/>
          <w:color w:val="000000" w:themeColor="text1"/>
          <w:sz w:val="23"/>
          <w:szCs w:val="23"/>
        </w:rPr>
      </w:pPr>
      <w:r w:rsidRPr="00865BEB">
        <w:rPr>
          <w:rFonts w:eastAsia="Times New Roman" w:cstheme="minorHAnsi"/>
          <w:color w:val="000000" w:themeColor="text1"/>
          <w:sz w:val="23"/>
          <w:szCs w:val="23"/>
          <w:lang w:eastAsia="en-AU"/>
        </w:rPr>
        <w:t>Placemaking Sub-Projects (Tactical Urbanism):</w:t>
      </w:r>
    </w:p>
    <w:p w14:paraId="4D852C60" w14:textId="77777777" w:rsidR="00380B47" w:rsidRPr="00865BEB" w:rsidRDefault="00380B47" w:rsidP="00D24715">
      <w:pPr>
        <w:numPr>
          <w:ilvl w:val="0"/>
          <w:numId w:val="12"/>
        </w:numPr>
        <w:spacing w:after="120" w:line="276" w:lineRule="auto"/>
        <w:ind w:left="426" w:hanging="499"/>
        <w:rPr>
          <w:rFonts w:asciiTheme="majorHAnsi" w:eastAsiaTheme="majorEastAsia" w:hAnsiTheme="majorHAnsi" w:cstheme="majorBidi"/>
          <w:b/>
          <w:bCs/>
          <w:color w:val="000000" w:themeColor="text1"/>
          <w:sz w:val="23"/>
          <w:szCs w:val="23"/>
          <w:shd w:val="clear" w:color="auto" w:fill="FFFFFF"/>
        </w:rPr>
      </w:pPr>
      <w:r w:rsidRPr="00865BEB">
        <w:rPr>
          <w:rFonts w:asciiTheme="majorHAnsi" w:eastAsia="Times New Roman" w:hAnsiTheme="majorHAnsi" w:cstheme="majorBidi"/>
          <w:color w:val="000000" w:themeColor="text1"/>
          <w:sz w:val="23"/>
          <w:szCs w:val="23"/>
          <w:lang w:eastAsia="en-AU"/>
        </w:rPr>
        <w:t xml:space="preserve">Pop-up furniture: Oslo Living Lab employed local youth to co-create a colourful meeting place in their schoolyard for (and with) the local community. </w:t>
      </w:r>
      <w:r w:rsidRPr="00865BEB">
        <w:rPr>
          <w:rFonts w:asciiTheme="majorHAnsi" w:hAnsiTheme="majorHAnsi" w:cstheme="majorBidi"/>
          <w:color w:val="000000" w:themeColor="text1"/>
          <w:sz w:val="23"/>
          <w:szCs w:val="23"/>
        </w:rPr>
        <w:t>Working alongside volunteers from the local community,</w:t>
      </w:r>
      <w:r w:rsidRPr="00865BEB">
        <w:rPr>
          <w:rFonts w:asciiTheme="majorHAnsi" w:eastAsia="Times New Roman" w:hAnsiTheme="majorHAnsi" w:cstheme="majorBidi"/>
          <w:color w:val="000000" w:themeColor="text1"/>
          <w:sz w:val="23"/>
          <w:szCs w:val="23"/>
          <w:lang w:eastAsia="en-AU"/>
        </w:rPr>
        <w:t xml:space="preserve"> and guided by mentors</w:t>
      </w:r>
      <w:r w:rsidRPr="00865BEB">
        <w:rPr>
          <w:rFonts w:asciiTheme="majorHAnsi" w:hAnsiTheme="majorHAnsi" w:cstheme="majorBidi"/>
          <w:color w:val="000000" w:themeColor="text1"/>
          <w:sz w:val="23"/>
          <w:szCs w:val="23"/>
        </w:rPr>
        <w:t xml:space="preserve"> from </w:t>
      </w:r>
      <w:r w:rsidRPr="00865BEB">
        <w:rPr>
          <w:rFonts w:asciiTheme="majorHAnsi" w:eastAsia="Times New Roman" w:hAnsiTheme="majorHAnsi" w:cstheme="majorBidi"/>
          <w:color w:val="000000" w:themeColor="text1"/>
          <w:sz w:val="23"/>
          <w:szCs w:val="23"/>
          <w:lang w:eastAsia="en-AU"/>
        </w:rPr>
        <w:t>Makers’</w:t>
      </w:r>
      <w:r w:rsidRPr="00865BEB">
        <w:rPr>
          <w:rFonts w:asciiTheme="majorHAnsi" w:hAnsiTheme="majorHAnsi" w:cstheme="majorBidi"/>
          <w:color w:val="000000" w:themeColor="text1"/>
          <w:sz w:val="23"/>
          <w:szCs w:val="23"/>
        </w:rPr>
        <w:t xml:space="preserve"> </w:t>
      </w:r>
      <w:r w:rsidRPr="00865BEB">
        <w:rPr>
          <w:rFonts w:asciiTheme="majorHAnsi" w:eastAsia="Times New Roman" w:hAnsiTheme="majorHAnsi" w:cstheme="majorBidi"/>
          <w:color w:val="000000" w:themeColor="text1"/>
          <w:sz w:val="23"/>
          <w:szCs w:val="23"/>
          <w:lang w:eastAsia="en-AU"/>
        </w:rPr>
        <w:t xml:space="preserve">Hub, a group of </w:t>
      </w:r>
      <w:r w:rsidRPr="00865BEB">
        <w:rPr>
          <w:rFonts w:asciiTheme="majorHAnsi" w:hAnsiTheme="majorHAnsi" w:cstheme="majorBidi"/>
          <w:color w:val="000000" w:themeColor="text1"/>
          <w:sz w:val="23"/>
          <w:szCs w:val="23"/>
        </w:rPr>
        <w:t xml:space="preserve">participatory building experts, </w:t>
      </w:r>
      <w:r w:rsidRPr="00865BEB">
        <w:rPr>
          <w:rFonts w:asciiTheme="majorHAnsi" w:eastAsia="Times New Roman" w:hAnsiTheme="majorHAnsi" w:cstheme="majorBidi"/>
          <w:color w:val="000000" w:themeColor="text1"/>
          <w:sz w:val="23"/>
          <w:szCs w:val="23"/>
          <w:lang w:eastAsia="en-AU"/>
        </w:rPr>
        <w:t>the young people learned how to build pop-up furniture</w:t>
      </w:r>
      <w:r w:rsidRPr="00865BEB">
        <w:rPr>
          <w:rFonts w:asciiTheme="majorHAnsi" w:hAnsiTheme="majorHAnsi" w:cstheme="majorBidi"/>
          <w:color w:val="000000" w:themeColor="text1"/>
          <w:sz w:val="23"/>
          <w:szCs w:val="23"/>
        </w:rPr>
        <w:t xml:space="preserve">. </w:t>
      </w:r>
      <w:r w:rsidRPr="00865BEB">
        <w:rPr>
          <w:rFonts w:asciiTheme="majorHAnsi" w:eastAsia="Times New Roman" w:hAnsiTheme="majorHAnsi" w:cstheme="majorBidi"/>
          <w:color w:val="000000" w:themeColor="text1"/>
          <w:sz w:val="23"/>
          <w:szCs w:val="23"/>
          <w:lang w:eastAsia="en-AU"/>
        </w:rPr>
        <w:t xml:space="preserve">They chose paint colours, built and painted six movable seating modules, and planted fruit and flowers in integrated planters. Music and lunch were provided. Participants gained practical </w:t>
      </w:r>
      <w:r w:rsidRPr="00865BEB">
        <w:rPr>
          <w:rFonts w:asciiTheme="majorHAnsi" w:eastAsia="Times New Roman" w:hAnsiTheme="majorHAnsi" w:cstheme="majorBidi"/>
          <w:color w:val="000000" w:themeColor="text1"/>
          <w:sz w:val="23"/>
          <w:szCs w:val="23"/>
          <w:lang w:eastAsia="en-AU"/>
        </w:rPr>
        <w:lastRenderedPageBreak/>
        <w:t>skills and made new connections. Funding</w:t>
      </w:r>
      <w:r w:rsidRPr="00865BEB">
        <w:rPr>
          <w:rFonts w:asciiTheme="majorHAnsi" w:hAnsiTheme="majorHAnsi" w:cstheme="majorBidi"/>
          <w:color w:val="000000" w:themeColor="text1"/>
          <w:sz w:val="23"/>
          <w:szCs w:val="23"/>
        </w:rPr>
        <w:t xml:space="preserve"> sources included the JPI PlaceCity project (Placemaking Europe, n.d.).</w:t>
      </w:r>
    </w:p>
    <w:p w14:paraId="09043472" w14:textId="77777777" w:rsidR="00380B47" w:rsidRPr="00865BEB" w:rsidRDefault="00380B47" w:rsidP="00D24715">
      <w:pPr>
        <w:numPr>
          <w:ilvl w:val="0"/>
          <w:numId w:val="12"/>
        </w:numPr>
        <w:spacing w:after="120" w:line="276" w:lineRule="auto"/>
        <w:ind w:left="426" w:hanging="499"/>
        <w:rPr>
          <w:rFonts w:asciiTheme="majorHAnsi" w:eastAsia="Times New Roman" w:hAnsiTheme="majorHAnsi" w:cstheme="majorBidi"/>
          <w:b/>
          <w:bCs/>
          <w:color w:val="000000" w:themeColor="text1"/>
          <w:sz w:val="23"/>
          <w:szCs w:val="23"/>
          <w:lang w:eastAsia="en-AU"/>
        </w:rPr>
      </w:pPr>
      <w:r w:rsidRPr="00865BEB">
        <w:rPr>
          <w:rFonts w:eastAsia="Times New Roman" w:cstheme="minorHAnsi"/>
          <w:color w:val="000000" w:themeColor="text1"/>
          <w:sz w:val="23"/>
          <w:szCs w:val="23"/>
          <w:lang w:eastAsia="en-AU"/>
        </w:rPr>
        <w:t>Parking Day:</w:t>
      </w:r>
      <w:r w:rsidRPr="00865BEB">
        <w:rPr>
          <w:rFonts w:asciiTheme="majorHAnsi" w:eastAsia="Times New Roman" w:hAnsiTheme="majorHAnsi" w:cstheme="majorBidi"/>
          <w:color w:val="000000" w:themeColor="text1"/>
          <w:sz w:val="23"/>
          <w:szCs w:val="23"/>
          <w:lang w:eastAsia="en-AU"/>
        </w:rPr>
        <w:t xml:space="preserve"> 13 students transformed an underused street outside their school into a community space, staging a street party with music, workshops, fun activities, and food from local businesses. Young people offered snacks to passing residents.</w:t>
      </w:r>
    </w:p>
    <w:p w14:paraId="015CBD87" w14:textId="77777777" w:rsidR="00380B47" w:rsidRPr="00865BEB" w:rsidRDefault="00380B47" w:rsidP="00D24715">
      <w:pPr>
        <w:numPr>
          <w:ilvl w:val="0"/>
          <w:numId w:val="12"/>
        </w:numPr>
        <w:spacing w:after="120" w:line="276" w:lineRule="auto"/>
        <w:ind w:left="426" w:hanging="499"/>
        <w:outlineLvl w:val="5"/>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Pop-up Cafes: students created three temporary spaces for students and passers-by to sit and socialise, sharing free food and drinks.</w:t>
      </w:r>
    </w:p>
    <w:p w14:paraId="50285488" w14:textId="6778847C" w:rsidR="00380B47" w:rsidRPr="00FC3BE0" w:rsidRDefault="00380B47" w:rsidP="00FC3BE0">
      <w:pPr>
        <w:spacing w:line="276" w:lineRule="auto"/>
        <w:contextualSpacing/>
        <w:outlineLvl w:val="5"/>
        <w:rPr>
          <w:rFonts w:eastAsia="Times New Roman" w:cstheme="minorHAnsi"/>
          <w:b/>
          <w:bCs/>
          <w:color w:val="000000" w:themeColor="text1"/>
          <w:sz w:val="23"/>
          <w:szCs w:val="23"/>
          <w:lang w:eastAsia="en-AU"/>
        </w:rPr>
      </w:pPr>
      <w:r w:rsidRPr="00865BEB">
        <w:rPr>
          <w:rFonts w:eastAsia="Times New Roman" w:cstheme="minorHAnsi"/>
          <w:color w:val="000000" w:themeColor="text1"/>
          <w:sz w:val="23"/>
          <w:szCs w:val="23"/>
          <w:lang w:eastAsia="en-AU"/>
        </w:rPr>
        <w:t>Green Training and Employment Sub-Projects:</w:t>
      </w:r>
    </w:p>
    <w:p w14:paraId="363FC0F8" w14:textId="77777777" w:rsidR="00380B47" w:rsidRPr="00865BEB" w:rsidRDefault="00380B47" w:rsidP="00D24715">
      <w:pPr>
        <w:numPr>
          <w:ilvl w:val="0"/>
          <w:numId w:val="7"/>
        </w:numPr>
        <w:spacing w:after="120" w:line="276" w:lineRule="auto"/>
        <w:ind w:left="426" w:hanging="284"/>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 xml:space="preserve">Rooftop garden: 12 at-risk young people (aged 16–20) were paid a union wage to work part time in Nabolagshager’s rooftop garden in summer 2018. The garden has 30 raised beds, a greenhouse, beehives, fruit trees, and laying hens. Participants planted, grew, and harvested food, cared for animals, undertook construction projects, and did workplace skills training. The project is being evaluated, but </w:t>
      </w:r>
      <w:hyperlink r:id="rId26" w:history="1">
        <w:r w:rsidRPr="00FC3BE0">
          <w:rPr>
            <w:rStyle w:val="Hyperlink"/>
            <w:rFonts w:ascii="Calibri Light" w:eastAsia="Calibri Light" w:hAnsi="Calibri Light" w:cs="Calibri Light"/>
            <w:color w:val="2E74B5" w:themeColor="accent5" w:themeShade="BF"/>
          </w:rPr>
          <w:t>initial findings</w:t>
        </w:r>
      </w:hyperlink>
      <w:r w:rsidRPr="00865BEB">
        <w:rPr>
          <w:rFonts w:asciiTheme="majorHAnsi" w:eastAsia="Times New Roman" w:hAnsiTheme="majorHAnsi" w:cstheme="majorBidi"/>
          <w:color w:val="000000" w:themeColor="text1"/>
          <w:sz w:val="23"/>
          <w:szCs w:val="23"/>
          <w:lang w:eastAsia="en-AU"/>
        </w:rPr>
        <w:t xml:space="preserve"> suggest it fostered social inclusion. Participants received written references to use in job applications, and many expressed interest in further work. Program funding came from private and public grants. Future graduates will be trained to work as consultants and peer mentors (Curtis &amp; Gallis, 2018: 15–17). </w:t>
      </w:r>
    </w:p>
    <w:p w14:paraId="139D647F" w14:textId="0A1A5F61" w:rsidR="00380B47" w:rsidRPr="00FC3BE0" w:rsidRDefault="00380B47" w:rsidP="00D24715">
      <w:pPr>
        <w:numPr>
          <w:ilvl w:val="0"/>
          <w:numId w:val="12"/>
        </w:numPr>
        <w:spacing w:after="240" w:line="276" w:lineRule="auto"/>
        <w:ind w:left="426" w:hanging="284"/>
        <w:rPr>
          <w:rFonts w:asciiTheme="majorHAnsi" w:eastAsia="Times New Roman" w:hAnsiTheme="majorHAnsi" w:cstheme="majorBidi"/>
          <w:b/>
          <w:bCs/>
          <w:color w:val="000000" w:themeColor="text1"/>
          <w:sz w:val="23"/>
          <w:szCs w:val="23"/>
          <w:lang w:eastAsia="en-AU"/>
        </w:rPr>
      </w:pPr>
      <w:r w:rsidRPr="00865BEB">
        <w:rPr>
          <w:rFonts w:asciiTheme="majorHAnsi" w:eastAsia="Times New Roman" w:hAnsiTheme="majorHAnsi" w:cstheme="majorBidi"/>
          <w:color w:val="000000" w:themeColor="text1"/>
          <w:sz w:val="23"/>
          <w:szCs w:val="23"/>
          <w:lang w:eastAsia="en-AU"/>
        </w:rPr>
        <w:t>Circular business model: In 2018–2019, OLL ran an award-winning pilot program using waste from five local businesses to produce a new product. Using bokashi composting, young people made an organic fertiliser, along with a “growing kit” for urban farmers, selling them via pop-up stands at markets. Participants learned business planning, branding, social media, production, marketing, and sales. Project partners included local businesses and Oslo School of Architecture and Design (Sæstad, 2019).</w:t>
      </w:r>
    </w:p>
    <w:p w14:paraId="1825239F" w14:textId="77777777" w:rsidR="00380B47" w:rsidRPr="00380B47" w:rsidRDefault="00380B47" w:rsidP="00731C05">
      <w:pPr>
        <w:pStyle w:val="Heading2"/>
      </w:pPr>
      <w:bookmarkStart w:id="55" w:name="_Toc108183176"/>
      <w:bookmarkStart w:id="56" w:name="_Hlk70864745"/>
      <w:r w:rsidRPr="00380B47">
        <w:t>We Design for Life: Design-Led Policy Development and Participatory Urban Regeneration</w:t>
      </w:r>
      <w:bookmarkEnd w:id="55"/>
    </w:p>
    <w:p w14:paraId="620828F3" w14:textId="1FAEB463" w:rsidR="00380B47" w:rsidRPr="00FC3BE0" w:rsidRDefault="00380B47" w:rsidP="00C34CCC">
      <w:pPr>
        <w:rPr>
          <w:rFonts w:cstheme="minorHAnsi"/>
          <w:b/>
          <w:bCs/>
          <w:sz w:val="23"/>
          <w:szCs w:val="23"/>
        </w:rPr>
      </w:pPr>
      <w:r w:rsidRPr="00BE4FC0">
        <w:rPr>
          <w:rFonts w:cstheme="minorHAnsi"/>
          <w:sz w:val="23"/>
          <w:szCs w:val="23"/>
        </w:rPr>
        <w:t>Kolding, Denmark (2012–</w:t>
      </w:r>
      <w:r>
        <w:rPr>
          <w:rFonts w:cstheme="minorHAnsi"/>
          <w:sz w:val="23"/>
          <w:szCs w:val="23"/>
        </w:rPr>
        <w:t>present</w:t>
      </w:r>
      <w:r w:rsidRPr="00BE4FC0">
        <w:rPr>
          <w:rFonts w:cstheme="minorHAnsi"/>
          <w:sz w:val="23"/>
          <w:szCs w:val="23"/>
        </w:rPr>
        <w:t>)</w:t>
      </w:r>
      <w:bookmarkEnd w:id="56"/>
    </w:p>
    <w:p w14:paraId="6E17D7CD" w14:textId="77777777" w:rsidR="00380B47" w:rsidRPr="00FC3BE0" w:rsidRDefault="00380B47" w:rsidP="00FC3BE0">
      <w:pPr>
        <w:spacing w:after="0"/>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Main Practice Domain(s): </w:t>
      </w:r>
      <w:r w:rsidRPr="00FC3BE0">
        <w:rPr>
          <w:rFonts w:eastAsiaTheme="minorEastAsia"/>
          <w:b/>
          <w:bCs/>
          <w:color w:val="595959" w:themeColor="text1" w:themeTint="A6"/>
          <w:sz w:val="23"/>
          <w:szCs w:val="23"/>
        </w:rPr>
        <w:tab/>
      </w:r>
      <w:r w:rsidRPr="00FC3BE0">
        <w:rPr>
          <w:rFonts w:eastAsiaTheme="minorEastAsia"/>
          <w:b/>
          <w:bCs/>
          <w:color w:val="595959" w:themeColor="text1" w:themeTint="A6"/>
          <w:sz w:val="23"/>
          <w:szCs w:val="23"/>
        </w:rPr>
        <w:tab/>
        <w:t>Liveability</w:t>
      </w:r>
    </w:p>
    <w:p w14:paraId="6B807D85" w14:textId="7FB0881F" w:rsidR="00380B47" w:rsidRPr="00F75A96" w:rsidRDefault="00380B47" w:rsidP="00F75A96">
      <w:pPr>
        <w:spacing w:after="120"/>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Secondary Practice Domain(s): </w:t>
      </w:r>
      <w:r w:rsidRPr="00FC3BE0">
        <w:rPr>
          <w:rFonts w:eastAsiaTheme="minorEastAsia"/>
          <w:b/>
          <w:bCs/>
          <w:color w:val="595959" w:themeColor="text1" w:themeTint="A6"/>
          <w:sz w:val="23"/>
          <w:szCs w:val="23"/>
        </w:rPr>
        <w:tab/>
        <w:t>Education, Employment, Housing, Health and Wellbeing</w:t>
      </w:r>
    </w:p>
    <w:p w14:paraId="5E3216AF" w14:textId="75882BB5" w:rsidR="00380B47" w:rsidRPr="00FC3BE0"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Kolding (pop. 61,000) is a seaport city in Denmark. The city is now a high-tech manufacturing and transport hub, but its historic roots lie in textile manufacturing and silver production. A UNESCO City of Design since 2017, Kolding is part of Denmark’s Triangle Region, made up of seven Danish municipalities that cooperate economically and politically.</w:t>
      </w:r>
    </w:p>
    <w:p w14:paraId="2007F1CB" w14:textId="5C39D237" w:rsidR="00380B47" w:rsidRPr="00FC3BE0"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 xml:space="preserve">While English-language data on Kolding is scant, there is evidence of locational disadvantage. The suburb of Skovvejen/Skovparken, for example, is one of Denmark’s 15 legally designated “ghettos”, controversially defined as a neighbourhood of 1000-plus where 50 percent of residents have “non-Western” heritage, and where income, education, and employment levels are low. The area has a high concentration of social </w:t>
      </w:r>
      <w:r w:rsidR="00D24715" w:rsidRPr="00865BEB">
        <w:rPr>
          <w:rFonts w:asciiTheme="majorHAnsi" w:hAnsiTheme="majorHAnsi" w:cstheme="majorBidi"/>
          <w:color w:val="000000" w:themeColor="text1"/>
          <w:sz w:val="23"/>
          <w:szCs w:val="23"/>
        </w:rPr>
        <w:t>housing,</w:t>
      </w:r>
      <w:r w:rsidRPr="00865BEB">
        <w:rPr>
          <w:rFonts w:asciiTheme="majorHAnsi" w:hAnsiTheme="majorHAnsi" w:cstheme="majorBidi"/>
          <w:color w:val="000000" w:themeColor="text1"/>
          <w:sz w:val="23"/>
          <w:szCs w:val="23"/>
        </w:rPr>
        <w:t xml:space="preserve"> and many residents are from refugee backg</w:t>
      </w:r>
      <w:r w:rsidR="00FC3BE0">
        <w:rPr>
          <w:rFonts w:asciiTheme="majorHAnsi" w:hAnsiTheme="majorHAnsi" w:cstheme="majorBidi"/>
          <w:color w:val="000000" w:themeColor="text1"/>
          <w:sz w:val="23"/>
          <w:szCs w:val="23"/>
        </w:rPr>
        <w:t>r</w:t>
      </w:r>
      <w:r w:rsidRPr="00865BEB">
        <w:rPr>
          <w:rFonts w:asciiTheme="majorHAnsi" w:hAnsiTheme="majorHAnsi" w:cstheme="majorBidi"/>
          <w:color w:val="000000" w:themeColor="text1"/>
          <w:sz w:val="23"/>
          <w:szCs w:val="23"/>
        </w:rPr>
        <w:t>ounds (Overgaard, 2018; Barrett, 2020; Nord News, 2020).</w:t>
      </w:r>
    </w:p>
    <w:p w14:paraId="33B0AACD" w14:textId="1846E093" w:rsidR="00380B47" w:rsidRPr="00FC3BE0"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lastRenderedPageBreak/>
        <w:t>In 2010, the Kolding Municipal Council began exploring options to regenerate the city, which was being impacted by the GFC, an ageing population, and a lacklustre reputation. After conducting a survey on the city’s image, in 2012 Council engaged a consultant to run staff workshops and in-depth citizen interviews to pinpoint Kolding’s main strengths. Four “future scenarios” were then devised and tested in creative workshops with residents. Finally, 650 citizens attended a public meeting (“Vision Forum”) to explore scenarios in depth. SMS responses were streamed to a big screen, and attendees voted for their preferred scenario. Co-designed with 900 residents, the resulting Vision Statement positioned Kolding as a hub for entrepreneurship, social innovation, and education. In December 2012 it evolved into a municipal strategy called “We Design For Life”, which puts design at the centre of all civic processes.</w:t>
      </w:r>
    </w:p>
    <w:p w14:paraId="4926E5E0" w14:textId="72221FE5" w:rsidR="00380B47" w:rsidRPr="00FC3BE0"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Kolding’s approach went beyond the traditional formats for design-led regeneration: urban design (new/upgraded public facilities), creative industries approaches (attracting creative workers), cultural planning (devising events to attract investment), and place-branding. Criticisms of these approaches highlight their high cost, tendency to fragment into projects run by separate departments, and focus on material outcomes, rather than design-led processes (Julier &amp; Leerberg, 2014).</w:t>
      </w:r>
    </w:p>
    <w:p w14:paraId="5FC80327" w14:textId="222E92BF" w:rsidR="00380B47" w:rsidRPr="00FC3BE0" w:rsidRDefault="00380B47" w:rsidP="00C34CCC">
      <w:pPr>
        <w:spacing w:line="276" w:lineRule="auto"/>
        <w:rPr>
          <w:rFonts w:asciiTheme="majorHAnsi" w:hAnsiTheme="majorHAnsi" w:cstheme="majorBidi"/>
          <w:color w:val="000000" w:themeColor="text1"/>
          <w:sz w:val="23"/>
          <w:szCs w:val="23"/>
        </w:rPr>
      </w:pPr>
      <w:r w:rsidRPr="00865BEB">
        <w:rPr>
          <w:rFonts w:asciiTheme="majorHAnsi" w:hAnsiTheme="majorHAnsi" w:cstheme="majorBidi"/>
          <w:color w:val="000000" w:themeColor="text1"/>
          <w:sz w:val="23"/>
          <w:szCs w:val="23"/>
        </w:rPr>
        <w:t>Kolding’s strategy exemplifies the emergent use of “design thinking” as a policy development tool (Armstrong et al, 2014). Design thinking is an exploratory, iterative, collaborative process in which participants redefine problems and co-create solutions. It emphasises empathy, observation, visualisation, prototyping, and testing (Mintrom &amp; Luetjens, 2016). To support the new strategy the City created a Design Secretariat, established a new role of Chief Design Officer, trained 25 staff in design thinking, engaged 250 municipal managers to revise council systems, and recruited</w:t>
      </w:r>
      <w:r w:rsidRPr="00865BEB">
        <w:rPr>
          <w:color w:val="000000" w:themeColor="text1"/>
          <w:sz w:val="23"/>
          <w:szCs w:val="23"/>
        </w:rPr>
        <w:t xml:space="preserve"> </w:t>
      </w:r>
      <w:r w:rsidRPr="00865BEB">
        <w:rPr>
          <w:rFonts w:asciiTheme="majorHAnsi" w:hAnsiTheme="majorHAnsi" w:cstheme="majorBidi"/>
          <w:color w:val="000000" w:themeColor="text1"/>
          <w:sz w:val="23"/>
          <w:szCs w:val="23"/>
        </w:rPr>
        <w:t>50 local representatives as “vision ambassadors”</w:t>
      </w:r>
      <w:r w:rsidRPr="00865BEB">
        <w:rPr>
          <w:color w:val="000000" w:themeColor="text1"/>
          <w:sz w:val="23"/>
          <w:szCs w:val="23"/>
        </w:rPr>
        <w:t xml:space="preserve"> </w:t>
      </w:r>
      <w:r w:rsidRPr="00865BEB">
        <w:rPr>
          <w:rFonts w:asciiTheme="majorHAnsi" w:hAnsiTheme="majorHAnsi" w:cstheme="majorBidi"/>
          <w:color w:val="000000" w:themeColor="text1"/>
          <w:sz w:val="23"/>
          <w:szCs w:val="23"/>
        </w:rPr>
        <w:t>(Jungersen &amp; Hansen 2014).</w:t>
      </w:r>
    </w:p>
    <w:p w14:paraId="172DD167" w14:textId="77777777" w:rsidR="00380B47" w:rsidRPr="00865BEB" w:rsidRDefault="00380B47" w:rsidP="00C34CCC">
      <w:pPr>
        <w:spacing w:line="276" w:lineRule="auto"/>
        <w:rPr>
          <w:rFonts w:asciiTheme="majorHAnsi" w:hAnsiTheme="majorHAnsi" w:cstheme="majorBidi"/>
          <w:b/>
          <w:bCs/>
          <w:color w:val="000000" w:themeColor="text1"/>
          <w:sz w:val="23"/>
          <w:szCs w:val="23"/>
        </w:rPr>
      </w:pPr>
      <w:r w:rsidRPr="00865BEB">
        <w:rPr>
          <w:rFonts w:asciiTheme="majorHAnsi" w:hAnsiTheme="majorHAnsi" w:cstheme="majorBidi"/>
          <w:color w:val="000000" w:themeColor="text1"/>
          <w:sz w:val="23"/>
          <w:szCs w:val="23"/>
        </w:rPr>
        <w:t>One evaluation found Kolding’s shift to design-driven processes reduced the municipality’s expenses by 6.6 million Euros per year from 2013–2015 (UNESCO, n.d.). Success factors include effective citizen engagement; partnerships with local universities and business associations; and an existing Danish governance culture that emphasise co-creation, participation, and decentralised decision-making. Detailed English-language sources are scant, but many initiatives evidently seek to engage citizens in addressing social disadvantage and/or sustainability. Examples include:</w:t>
      </w:r>
    </w:p>
    <w:p w14:paraId="53C714EA" w14:textId="77777777" w:rsidR="00380B47" w:rsidRPr="00865BEB" w:rsidRDefault="00380B47" w:rsidP="00F75A96">
      <w:pPr>
        <w:numPr>
          <w:ilvl w:val="0"/>
          <w:numId w:val="10"/>
        </w:numPr>
        <w:spacing w:after="120" w:line="276" w:lineRule="auto"/>
        <w:ind w:left="426" w:hanging="357"/>
        <w:rPr>
          <w:rFonts w:asciiTheme="majorHAnsi" w:eastAsia="Times New Roman" w:hAnsiTheme="majorHAnsi" w:cstheme="majorBidi"/>
          <w:b/>
          <w:bCs/>
          <w:color w:val="000000" w:themeColor="text1"/>
          <w:sz w:val="23"/>
          <w:szCs w:val="23"/>
          <w:lang w:eastAsia="en-AU"/>
        </w:rPr>
      </w:pPr>
      <w:r w:rsidRPr="00865BEB">
        <w:rPr>
          <w:rFonts w:eastAsia="Times New Roman" w:cstheme="minorHAnsi"/>
          <w:color w:val="000000" w:themeColor="text1"/>
          <w:sz w:val="23"/>
          <w:szCs w:val="23"/>
          <w:lang w:eastAsia="en-AU"/>
        </w:rPr>
        <w:t>RE:USE</w:t>
      </w:r>
      <w:r w:rsidRPr="00865BEB">
        <w:rPr>
          <w:rFonts w:asciiTheme="majorHAnsi" w:eastAsia="Times New Roman" w:hAnsiTheme="majorHAnsi" w:cstheme="majorBidi"/>
          <w:color w:val="000000" w:themeColor="text1"/>
          <w:sz w:val="23"/>
          <w:szCs w:val="23"/>
          <w:lang w:eastAsia="en-AU"/>
        </w:rPr>
        <w:t xml:space="preserve"> circular economy project: unwanted household items are donated to the city’s recycling depot, upcycled by staff, and displayed in a showroom. Unemployed citizens can collect the items for free. In 2018, 36.5 tons of furniture and appliances were donated to vulnerable residents; 52 unemployed people worked in the project, 50 percent of whom subsequently took up employment, internships, or education opportunities (Kolding Municipality, 2019: 14–15).</w:t>
      </w:r>
    </w:p>
    <w:p w14:paraId="177A2D34" w14:textId="77777777" w:rsidR="00380B47" w:rsidRPr="00865BEB" w:rsidRDefault="00380B47" w:rsidP="00F75A96">
      <w:pPr>
        <w:numPr>
          <w:ilvl w:val="0"/>
          <w:numId w:val="10"/>
        </w:numPr>
        <w:spacing w:after="120" w:line="276" w:lineRule="auto"/>
        <w:ind w:left="426" w:hanging="357"/>
        <w:rPr>
          <w:rFonts w:asciiTheme="majorHAnsi" w:eastAsia="Times New Roman" w:hAnsiTheme="majorHAnsi" w:cstheme="majorBidi"/>
          <w:b/>
          <w:bCs/>
          <w:color w:val="000000" w:themeColor="text1"/>
          <w:sz w:val="23"/>
          <w:szCs w:val="23"/>
          <w:lang w:eastAsia="en-AU"/>
        </w:rPr>
      </w:pPr>
      <w:r w:rsidRPr="00865BEB">
        <w:rPr>
          <w:rFonts w:eastAsia="Times New Roman" w:cstheme="minorHAnsi"/>
          <w:color w:val="000000" w:themeColor="text1"/>
          <w:sz w:val="23"/>
          <w:szCs w:val="23"/>
          <w:lang w:eastAsia="en-AU"/>
        </w:rPr>
        <w:t>Sustainable City:</w:t>
      </w:r>
      <w:r w:rsidRPr="00865BEB">
        <w:rPr>
          <w:rFonts w:asciiTheme="majorHAnsi" w:eastAsia="Times New Roman" w:hAnsiTheme="majorHAnsi" w:cstheme="majorBidi"/>
          <w:color w:val="000000" w:themeColor="text1"/>
          <w:sz w:val="23"/>
          <w:szCs w:val="23"/>
          <w:lang w:eastAsia="en-AU"/>
        </w:rPr>
        <w:t xml:space="preserve"> retrofitted portable shipping container where citizens co-design sustainability projects (repair events, urban gardens, sustainable festivals) with municipal staff (ICLEI, n.d.).</w:t>
      </w:r>
    </w:p>
    <w:p w14:paraId="67056788" w14:textId="77777777" w:rsidR="00F75A96" w:rsidRDefault="00380B47" w:rsidP="00F75A96">
      <w:pPr>
        <w:numPr>
          <w:ilvl w:val="0"/>
          <w:numId w:val="10"/>
        </w:numPr>
        <w:spacing w:after="120" w:line="276" w:lineRule="auto"/>
        <w:ind w:left="426" w:hanging="357"/>
        <w:rPr>
          <w:rFonts w:asciiTheme="majorHAnsi" w:eastAsia="Times New Roman" w:hAnsiTheme="majorHAnsi" w:cstheme="majorBidi"/>
          <w:b/>
          <w:bCs/>
          <w:color w:val="000000" w:themeColor="text1"/>
          <w:sz w:val="23"/>
          <w:szCs w:val="23"/>
          <w:lang w:eastAsia="en-AU"/>
        </w:rPr>
      </w:pPr>
      <w:r w:rsidRPr="00865BEB">
        <w:rPr>
          <w:rFonts w:eastAsia="Times New Roman" w:cstheme="minorHAnsi"/>
          <w:color w:val="000000" w:themeColor="text1"/>
          <w:sz w:val="23"/>
          <w:szCs w:val="23"/>
          <w:lang w:eastAsia="en-AU"/>
        </w:rPr>
        <w:lastRenderedPageBreak/>
        <w:t>International Design Camp 2017:</w:t>
      </w:r>
      <w:r w:rsidRPr="00865BEB">
        <w:rPr>
          <w:rFonts w:asciiTheme="majorHAnsi" w:eastAsia="Times New Roman" w:hAnsiTheme="majorHAnsi" w:cstheme="majorBidi"/>
          <w:color w:val="000000" w:themeColor="text1"/>
          <w:sz w:val="23"/>
          <w:szCs w:val="23"/>
          <w:lang w:eastAsia="en-AU"/>
        </w:rPr>
        <w:t xml:space="preserve"> over two weeks, Danish and international students joined companies, designers and researchers to co-design “scalable design solutions to meet the world’s sustainability challenges” (partnership with Kolding Design School and Business Kolding)</w:t>
      </w:r>
    </w:p>
    <w:p w14:paraId="4075C961" w14:textId="6DB22A15" w:rsidR="00380B47" w:rsidRPr="00F75A96" w:rsidRDefault="00380B47" w:rsidP="00F75A96">
      <w:pPr>
        <w:numPr>
          <w:ilvl w:val="0"/>
          <w:numId w:val="10"/>
        </w:numPr>
        <w:spacing w:after="120" w:line="276" w:lineRule="auto"/>
        <w:ind w:left="426" w:hanging="357"/>
        <w:rPr>
          <w:rFonts w:asciiTheme="majorHAnsi" w:eastAsia="Times New Roman" w:hAnsiTheme="majorHAnsi" w:cstheme="majorBidi"/>
          <w:b/>
          <w:bCs/>
          <w:color w:val="000000" w:themeColor="text1"/>
          <w:sz w:val="23"/>
          <w:szCs w:val="23"/>
          <w:lang w:eastAsia="en-AU"/>
        </w:rPr>
      </w:pPr>
      <w:r w:rsidRPr="00F75A96">
        <w:rPr>
          <w:rFonts w:eastAsia="Times New Roman" w:cstheme="minorHAnsi"/>
          <w:color w:val="000000" w:themeColor="text1"/>
          <w:sz w:val="23"/>
          <w:szCs w:val="23"/>
          <w:lang w:eastAsia="en-AU"/>
        </w:rPr>
        <w:t>Sustainable Social Housing Project:</w:t>
      </w:r>
      <w:r w:rsidRPr="00F75A96">
        <w:rPr>
          <w:rFonts w:asciiTheme="majorHAnsi" w:eastAsia="Times New Roman" w:hAnsiTheme="majorHAnsi" w:cstheme="majorBidi"/>
          <w:color w:val="000000" w:themeColor="text1"/>
          <w:sz w:val="23"/>
          <w:szCs w:val="23"/>
          <w:lang w:eastAsia="en-AU"/>
        </w:rPr>
        <w:t xml:space="preserve"> university-City partnership that challenged PhD students to design strategies to upgrade Kolding’s social housing spaces (Jungersen &amp; Calleja, 2017: 5)</w:t>
      </w:r>
    </w:p>
    <w:p w14:paraId="0B94EFF6" w14:textId="33A7E4D8" w:rsidR="00380B47" w:rsidRPr="00FC3BE0" w:rsidRDefault="00380B47" w:rsidP="00F75A96">
      <w:pPr>
        <w:spacing w:before="120" w:line="276" w:lineRule="auto"/>
        <w:rPr>
          <w:rFonts w:asciiTheme="majorHAnsi" w:eastAsia="Times New Roman" w:hAnsiTheme="majorHAnsi" w:cstheme="majorBidi"/>
          <w:color w:val="000000" w:themeColor="text1"/>
          <w:sz w:val="23"/>
          <w:szCs w:val="23"/>
          <w:lang w:eastAsia="en-AU"/>
        </w:rPr>
      </w:pPr>
      <w:r w:rsidRPr="00865BEB">
        <w:rPr>
          <w:rFonts w:eastAsia="Times New Roman" w:cstheme="minorHAnsi"/>
          <w:color w:val="000000" w:themeColor="text1"/>
          <w:sz w:val="23"/>
          <w:szCs w:val="23"/>
          <w:lang w:eastAsia="en-AU"/>
        </w:rPr>
        <w:t>Warm Hearted Job Centre</w:t>
      </w:r>
      <w:r w:rsidRPr="00865BEB">
        <w:rPr>
          <w:rFonts w:asciiTheme="majorHAnsi" w:eastAsia="Times New Roman" w:hAnsiTheme="majorHAnsi" w:cstheme="majorBidi"/>
          <w:color w:val="000000" w:themeColor="text1"/>
          <w:sz w:val="23"/>
          <w:szCs w:val="23"/>
          <w:lang w:eastAsia="en-AU"/>
        </w:rPr>
        <w:t xml:space="preserve"> (2015): jobseekers found Kolding’s Job Centre unwelcoming and did not enjoy engaging with staff. This intervention sought to make the place more “warm hearted” for them. Workshops were run, and a script for a “warm hearted” phone conversation was developed; the user journey through the centre was mapped, décor upgraded, and architectural firms submitted proposals for a café in the foyer. An evaluation found improved user perceptions of interactions with staff (City of Kolding, 2017).</w:t>
      </w:r>
    </w:p>
    <w:p w14:paraId="6BC6680A" w14:textId="77777777" w:rsidR="00380B47" w:rsidRPr="00380B47" w:rsidRDefault="00380B47" w:rsidP="00731C05">
      <w:pPr>
        <w:pStyle w:val="Heading2"/>
      </w:pPr>
      <w:bookmarkStart w:id="57" w:name="_Toc108183177"/>
      <w:bookmarkStart w:id="58" w:name="_Hlk70864771"/>
      <w:r w:rsidRPr="00380B47">
        <w:t>All Right? Community-Led Mental Health Initiative For Disaster Recovery</w:t>
      </w:r>
      <w:bookmarkEnd w:id="57"/>
    </w:p>
    <w:p w14:paraId="4550AFB4" w14:textId="4B02FDC5" w:rsidR="00380B47" w:rsidRPr="00FC3BE0" w:rsidRDefault="00380B47" w:rsidP="00C34CCC">
      <w:pPr>
        <w:spacing w:line="276" w:lineRule="auto"/>
        <w:rPr>
          <w:rFonts w:ascii="Calibri" w:eastAsia="Calibri" w:hAnsi="Calibri" w:cs="Calibri"/>
          <w:b/>
          <w:bCs/>
          <w:sz w:val="23"/>
          <w:szCs w:val="23"/>
        </w:rPr>
      </w:pPr>
      <w:r w:rsidRPr="359636AC">
        <w:rPr>
          <w:rFonts w:ascii="Calibri" w:eastAsia="Calibri" w:hAnsi="Calibri" w:cs="Calibri"/>
          <w:sz w:val="23"/>
          <w:szCs w:val="23"/>
        </w:rPr>
        <w:t>Christchurch</w:t>
      </w:r>
      <w:r>
        <w:rPr>
          <w:rFonts w:ascii="Calibri" w:eastAsia="Calibri" w:hAnsi="Calibri" w:cs="Calibri"/>
          <w:sz w:val="23"/>
          <w:szCs w:val="23"/>
        </w:rPr>
        <w:t>, New Zealand</w:t>
      </w:r>
      <w:r w:rsidRPr="359636AC">
        <w:rPr>
          <w:rFonts w:ascii="Calibri" w:eastAsia="Calibri" w:hAnsi="Calibri" w:cs="Calibri"/>
          <w:sz w:val="23"/>
          <w:szCs w:val="23"/>
        </w:rPr>
        <w:t xml:space="preserve"> (2013–</w:t>
      </w:r>
      <w:r>
        <w:rPr>
          <w:rFonts w:ascii="Calibri" w:eastAsia="Calibri" w:hAnsi="Calibri" w:cs="Calibri"/>
          <w:sz w:val="23"/>
          <w:szCs w:val="23"/>
        </w:rPr>
        <w:t>present</w:t>
      </w:r>
      <w:r w:rsidRPr="359636AC">
        <w:rPr>
          <w:rFonts w:ascii="Calibri" w:eastAsia="Calibri" w:hAnsi="Calibri" w:cs="Calibri"/>
          <w:sz w:val="23"/>
          <w:szCs w:val="23"/>
        </w:rPr>
        <w:t>)</w:t>
      </w:r>
      <w:bookmarkEnd w:id="58"/>
    </w:p>
    <w:p w14:paraId="4371754A" w14:textId="77777777" w:rsidR="00380B47" w:rsidRPr="00FC3BE0" w:rsidRDefault="00380B47" w:rsidP="00FC3BE0">
      <w:pPr>
        <w:spacing w:after="0"/>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Main Practice Domain(s): </w:t>
      </w:r>
      <w:r w:rsidRPr="00FC3BE0">
        <w:rPr>
          <w:rFonts w:eastAsiaTheme="minorEastAsia"/>
          <w:b/>
          <w:bCs/>
          <w:color w:val="595959" w:themeColor="text1" w:themeTint="A6"/>
          <w:sz w:val="23"/>
          <w:szCs w:val="23"/>
        </w:rPr>
        <w:tab/>
      </w:r>
      <w:r w:rsidRPr="00FC3BE0">
        <w:rPr>
          <w:rFonts w:eastAsiaTheme="minorEastAsia"/>
          <w:b/>
          <w:bCs/>
          <w:color w:val="595959" w:themeColor="text1" w:themeTint="A6"/>
          <w:sz w:val="23"/>
          <w:szCs w:val="23"/>
        </w:rPr>
        <w:tab/>
        <w:t xml:space="preserve">Health and Wellbeing </w:t>
      </w:r>
    </w:p>
    <w:p w14:paraId="04A5843A" w14:textId="3BA90489" w:rsidR="00380B47" w:rsidRPr="00FC3BE0" w:rsidRDefault="00380B47" w:rsidP="00FC3BE0">
      <w:pPr>
        <w:rPr>
          <w:rFonts w:eastAsiaTheme="minorEastAsia"/>
          <w:b/>
          <w:bCs/>
          <w:color w:val="595959" w:themeColor="text1" w:themeTint="A6"/>
          <w:sz w:val="23"/>
          <w:szCs w:val="23"/>
        </w:rPr>
      </w:pPr>
      <w:r w:rsidRPr="00FC3BE0">
        <w:rPr>
          <w:rFonts w:eastAsiaTheme="minorEastAsia"/>
          <w:b/>
          <w:bCs/>
          <w:color w:val="595959" w:themeColor="text1" w:themeTint="A6"/>
          <w:sz w:val="23"/>
          <w:szCs w:val="23"/>
        </w:rPr>
        <w:t xml:space="preserve">Secondary Practice Domain(s): </w:t>
      </w:r>
      <w:r w:rsidRPr="00FC3BE0">
        <w:rPr>
          <w:rFonts w:eastAsiaTheme="minorEastAsia"/>
          <w:b/>
          <w:bCs/>
          <w:color w:val="595959" w:themeColor="text1" w:themeTint="A6"/>
          <w:sz w:val="23"/>
          <w:szCs w:val="23"/>
        </w:rPr>
        <w:tab/>
        <w:t>Education, Employment, Housing</w:t>
      </w:r>
    </w:p>
    <w:p w14:paraId="71395AC6" w14:textId="5E1FCD97" w:rsidR="00380B47" w:rsidRPr="00FC3BE0"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In 2010 and 2011, the city of Christchurch was rocked by a series of devastating earthquakes that killed 185 people, injured 6659 more, destroyed over 10,000 homes, and reduced much of the city to rubble. In the aftermath, safeguarding residents’ wellbeing became an urgent priority for local government. The disaster sparked trauma, anxiety, and chronic stress, and exacerbated hardship and disadvantage (Sullivan &amp; Wong, 2011; Thornley et al, 2015). In a survey of 800 residents in 2012, almost one-third of respondents said the earthquakes had caused them financial problems, over one third stated that their life was worse since the quakes, and one third said they were now experiencing more health issues (All Right? 2013).</w:t>
      </w:r>
    </w:p>
    <w:p w14:paraId="2F807389" w14:textId="0A5CC1F4" w:rsidR="00380B47" w:rsidRPr="00FC3BE0"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Launched in February 2013, All Right? began as a mental health promotion campaign designed to support the psychosocial recovery of Christchurch residents (pop. 390,000) and the wider Canterbury region (pop. 645,000) after the quakes. It was a community-led project, with the campaign designed by a cross-disciplinary project team made up of local residents. The initial rollout featured validating messages and gentle questions about mental health, self-care, and the importance of seeking support from family and friends. These conversation prompts were placed on hoardings, road cones, and banners around the city. The campaign was deliberately designed to resembl</w:t>
      </w:r>
      <w:r w:rsidR="00FC3BE0">
        <w:rPr>
          <w:rFonts w:ascii="Calibri Light" w:eastAsia="Calibri Light" w:hAnsi="Calibri Light" w:cs="Calibri Light"/>
          <w:color w:val="000000" w:themeColor="text1"/>
          <w:sz w:val="23"/>
          <w:szCs w:val="23"/>
        </w:rPr>
        <w:t>e</w:t>
      </w:r>
      <w:r w:rsidRPr="00865BEB">
        <w:rPr>
          <w:rFonts w:ascii="Calibri Light" w:eastAsia="Calibri Light" w:hAnsi="Calibri Light" w:cs="Calibri Light"/>
          <w:color w:val="000000" w:themeColor="text1"/>
          <w:sz w:val="23"/>
          <w:szCs w:val="23"/>
        </w:rPr>
        <w:t xml:space="preserve"> guerrilla street art, not a branded official government message (SRRG, 2019: 54–62).</w:t>
      </w:r>
    </w:p>
    <w:p w14:paraId="56243499" w14:textId="23897294" w:rsidR="00380B47" w:rsidRPr="00FC3BE0"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The All Right? program sought to normalise conversations around wellbeing, promote responsibility-sharing, and build community capacity and resilience. It was informed by the “social determinants of health” approach, local action research, and academic literature on disaster recovery. It drew on a briefing paper by NZ’s Chief Science Advisor about the likely psychosocial effects of the quakes, and strategies for mitigating harm (Gluckman, 2011). Post-disaster research posits four stages of recovery: the Heroic Phase, Honeymoon Phase, Disillusionment Phase, and Reconstruction Phase. All Right? was launched two years after the </w:t>
      </w:r>
      <w:r w:rsidRPr="00865BEB">
        <w:rPr>
          <w:rFonts w:ascii="Calibri Light" w:eastAsia="Calibri Light" w:hAnsi="Calibri Light" w:cs="Calibri Light"/>
          <w:color w:val="000000" w:themeColor="text1"/>
          <w:sz w:val="23"/>
          <w:szCs w:val="23"/>
        </w:rPr>
        <w:lastRenderedPageBreak/>
        <w:t>main quakes, during the “disillusionment phase”, when people begin to grasp how long recovery will take and start feeling frustrated, tired, overwhelmed, and a sense of grief (SRRG, 2019: 57).</w:t>
      </w:r>
    </w:p>
    <w:p w14:paraId="6E4C2D5B" w14:textId="6AFD4F6F" w:rsidR="00380B47" w:rsidRPr="00FC3BE0"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All Right? has evolved into an ongoing, national wellbeing and mental health program. It runs social media campaigns, publishes research, and provides free online and hard-copy resources for kids and adults, including apps, games, and parenting courses. Playful and creative elements have included singing telegrams, reassurance postcards, and tear-off complement posters. Project partners include the Canterbury District Health Board and the Mental Health Foundation of New Zealand (All Right? n.d.).</w:t>
      </w:r>
    </w:p>
    <w:p w14:paraId="4D2A5FB2" w14:textId="12DD53F5" w:rsidR="00380B47" w:rsidRPr="00FC3BE0" w:rsidRDefault="00380B47" w:rsidP="00C34CCC">
      <w:pPr>
        <w:spacing w:line="276" w:lineRule="auto"/>
        <w:rPr>
          <w:rFonts w:ascii="Calibri Light" w:eastAsia="Calibri Light" w:hAnsi="Calibri Light" w:cs="Calibri Light"/>
          <w:color w:val="000000" w:themeColor="text1"/>
          <w:sz w:val="23"/>
          <w:szCs w:val="23"/>
        </w:rPr>
      </w:pPr>
      <w:r w:rsidRPr="00865BEB">
        <w:rPr>
          <w:rFonts w:ascii="Calibri Light" w:eastAsia="Calibri Light" w:hAnsi="Calibri Light" w:cs="Calibri Light"/>
          <w:color w:val="000000" w:themeColor="text1"/>
          <w:sz w:val="23"/>
          <w:szCs w:val="23"/>
        </w:rPr>
        <w:t xml:space="preserve">A </w:t>
      </w:r>
      <w:hyperlink r:id="rId27" w:history="1">
        <w:r w:rsidRPr="00FC3BE0">
          <w:rPr>
            <w:rStyle w:val="Hyperlink"/>
            <w:rFonts w:ascii="Calibri Light" w:eastAsia="Calibri Light" w:hAnsi="Calibri Light" w:cs="Calibri Light"/>
            <w:color w:val="2E74B5" w:themeColor="accent5" w:themeShade="BF"/>
          </w:rPr>
          <w:t>2019 evaluation</w:t>
        </w:r>
      </w:hyperlink>
      <w:r w:rsidRPr="00865BEB">
        <w:rPr>
          <w:rFonts w:ascii="Calibri Light" w:eastAsia="Calibri Light" w:hAnsi="Calibri Light" w:cs="Calibri Light"/>
          <w:color w:val="000000" w:themeColor="text1"/>
          <w:sz w:val="23"/>
          <w:szCs w:val="23"/>
        </w:rPr>
        <w:t xml:space="preserve"> found that 98 percent of respondents said the All Right? campaign’s social media messages were helpful, and 96 percent said it gave them ideas about ways to help themselves (SRRG, 2019: 61). Success factors include a clear policy mandate, ongoing funding, sound research and evaluation, a basis in established practice models, effective engagement tools, and a diverse multidisciplinary team who built community trust (SRRG, 2019: 58–59).</w:t>
      </w:r>
      <w:r w:rsidRPr="00865BEB">
        <w:rPr>
          <w:color w:val="000000" w:themeColor="text1"/>
        </w:rPr>
        <w:t xml:space="preserve"> </w:t>
      </w:r>
      <w:r w:rsidRPr="00865BEB">
        <w:rPr>
          <w:rFonts w:ascii="Calibri Light" w:eastAsia="Calibri Light" w:hAnsi="Calibri Light" w:cs="Calibri Light"/>
          <w:color w:val="000000" w:themeColor="text1"/>
          <w:sz w:val="23"/>
          <w:szCs w:val="23"/>
        </w:rPr>
        <w:t>The program also helped foster several community-led recovery projects, including River of Flowers (annual memorial event), the participatory place-making project Gap Filler (tactical urbanism), and Greening the Rubble (urban greening). A “Champions Network” of residents who were recruited early in the campaign remains connected, with 60 members reuniting after the 2019 mosque attacks.</w:t>
      </w:r>
    </w:p>
    <w:p w14:paraId="1EED39E5" w14:textId="76AD2A0C" w:rsidR="00A96A68" w:rsidRPr="00F75A96" w:rsidRDefault="00380B47" w:rsidP="00F75A96">
      <w:pPr>
        <w:spacing w:line="276" w:lineRule="auto"/>
        <w:rPr>
          <w:rFonts w:ascii="Calibri Light" w:eastAsia="Calibri Light" w:hAnsi="Calibri Light" w:cs="Calibri Light"/>
          <w:b/>
          <w:bCs/>
          <w:color w:val="000000" w:themeColor="text1"/>
          <w:sz w:val="23"/>
          <w:szCs w:val="23"/>
        </w:rPr>
      </w:pPr>
      <w:r w:rsidRPr="00865BEB">
        <w:rPr>
          <w:rFonts w:ascii="Calibri Light" w:eastAsia="Calibri Light" w:hAnsi="Calibri Light" w:cs="Calibri Light"/>
          <w:color w:val="000000" w:themeColor="text1"/>
          <w:sz w:val="23"/>
          <w:szCs w:val="23"/>
        </w:rPr>
        <w:t>Despite schooling disruptions, a 2017 study found that overall, the quakes did not impact school completion rates for students who remained living in Christchurch after the quakes. The study suggests post-quake health-promotion initiatives likely served as a protective factor, increasing community cohesion and helping residents manage stress (Beaglehole et al., 2017: 73).</w:t>
      </w:r>
    </w:p>
    <w:sectPr w:rsidR="00A96A68" w:rsidRPr="00F75A96">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EB6C0" w14:textId="77777777" w:rsidR="0097332B" w:rsidRDefault="0097332B" w:rsidP="00A96A68">
      <w:pPr>
        <w:spacing w:after="0" w:line="240" w:lineRule="auto"/>
      </w:pPr>
      <w:r>
        <w:separator/>
      </w:r>
    </w:p>
  </w:endnote>
  <w:endnote w:type="continuationSeparator" w:id="0">
    <w:p w14:paraId="0102BC1F" w14:textId="77777777" w:rsidR="0097332B" w:rsidRDefault="0097332B" w:rsidP="00A9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EB19" w14:textId="77777777" w:rsidR="00A96A68" w:rsidRDefault="00A96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2992" w14:textId="77777777" w:rsidR="00A96A68" w:rsidRDefault="00A96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CE0A" w14:textId="77777777" w:rsidR="00A96A68" w:rsidRDefault="00A96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5D70" w14:textId="77777777" w:rsidR="0097332B" w:rsidRDefault="0097332B" w:rsidP="00A96A68">
      <w:pPr>
        <w:spacing w:after="0" w:line="240" w:lineRule="auto"/>
      </w:pPr>
      <w:r>
        <w:separator/>
      </w:r>
    </w:p>
  </w:footnote>
  <w:footnote w:type="continuationSeparator" w:id="0">
    <w:p w14:paraId="6CCC239C" w14:textId="77777777" w:rsidR="0097332B" w:rsidRDefault="0097332B" w:rsidP="00A96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77AF" w14:textId="77777777" w:rsidR="00A96A68" w:rsidRDefault="00A96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4552" w14:textId="77777777" w:rsidR="00A96A68" w:rsidRDefault="00A96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259" w14:textId="77777777" w:rsidR="00A96A68" w:rsidRDefault="00A96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3E9"/>
    <w:multiLevelType w:val="hybridMultilevel"/>
    <w:tmpl w:val="FFFFFFFF"/>
    <w:lvl w:ilvl="0" w:tplc="7E309018">
      <w:start w:val="1"/>
      <w:numFmt w:val="bullet"/>
      <w:lvlText w:val="·"/>
      <w:lvlJc w:val="left"/>
      <w:pPr>
        <w:ind w:left="720" w:hanging="360"/>
      </w:pPr>
      <w:rPr>
        <w:rFonts w:ascii="Symbol" w:hAnsi="Symbol" w:hint="default"/>
      </w:rPr>
    </w:lvl>
    <w:lvl w:ilvl="1" w:tplc="7780FAA8">
      <w:start w:val="1"/>
      <w:numFmt w:val="bullet"/>
      <w:lvlText w:val="o"/>
      <w:lvlJc w:val="left"/>
      <w:pPr>
        <w:ind w:left="1440" w:hanging="360"/>
      </w:pPr>
      <w:rPr>
        <w:rFonts w:ascii="Courier New" w:hAnsi="Courier New" w:hint="default"/>
      </w:rPr>
    </w:lvl>
    <w:lvl w:ilvl="2" w:tplc="A1CE009E">
      <w:start w:val="1"/>
      <w:numFmt w:val="bullet"/>
      <w:lvlText w:val=""/>
      <w:lvlJc w:val="left"/>
      <w:pPr>
        <w:ind w:left="2160" w:hanging="360"/>
      </w:pPr>
      <w:rPr>
        <w:rFonts w:ascii="Wingdings" w:hAnsi="Wingdings" w:hint="default"/>
      </w:rPr>
    </w:lvl>
    <w:lvl w:ilvl="3" w:tplc="28CA2086">
      <w:start w:val="1"/>
      <w:numFmt w:val="bullet"/>
      <w:lvlText w:val=""/>
      <w:lvlJc w:val="left"/>
      <w:pPr>
        <w:ind w:left="2880" w:hanging="360"/>
      </w:pPr>
      <w:rPr>
        <w:rFonts w:ascii="Symbol" w:hAnsi="Symbol" w:hint="default"/>
      </w:rPr>
    </w:lvl>
    <w:lvl w:ilvl="4" w:tplc="FC9688D4">
      <w:start w:val="1"/>
      <w:numFmt w:val="bullet"/>
      <w:lvlText w:val="o"/>
      <w:lvlJc w:val="left"/>
      <w:pPr>
        <w:ind w:left="3600" w:hanging="360"/>
      </w:pPr>
      <w:rPr>
        <w:rFonts w:ascii="Courier New" w:hAnsi="Courier New" w:hint="default"/>
      </w:rPr>
    </w:lvl>
    <w:lvl w:ilvl="5" w:tplc="D7042F98">
      <w:start w:val="1"/>
      <w:numFmt w:val="bullet"/>
      <w:lvlText w:val=""/>
      <w:lvlJc w:val="left"/>
      <w:pPr>
        <w:ind w:left="4320" w:hanging="360"/>
      </w:pPr>
      <w:rPr>
        <w:rFonts w:ascii="Wingdings" w:hAnsi="Wingdings" w:hint="default"/>
      </w:rPr>
    </w:lvl>
    <w:lvl w:ilvl="6" w:tplc="43A81724">
      <w:start w:val="1"/>
      <w:numFmt w:val="bullet"/>
      <w:lvlText w:val=""/>
      <w:lvlJc w:val="left"/>
      <w:pPr>
        <w:ind w:left="5040" w:hanging="360"/>
      </w:pPr>
      <w:rPr>
        <w:rFonts w:ascii="Symbol" w:hAnsi="Symbol" w:hint="default"/>
      </w:rPr>
    </w:lvl>
    <w:lvl w:ilvl="7" w:tplc="1CF2EA68">
      <w:start w:val="1"/>
      <w:numFmt w:val="bullet"/>
      <w:lvlText w:val="o"/>
      <w:lvlJc w:val="left"/>
      <w:pPr>
        <w:ind w:left="5760" w:hanging="360"/>
      </w:pPr>
      <w:rPr>
        <w:rFonts w:ascii="Courier New" w:hAnsi="Courier New" w:hint="default"/>
      </w:rPr>
    </w:lvl>
    <w:lvl w:ilvl="8" w:tplc="15A82B46">
      <w:start w:val="1"/>
      <w:numFmt w:val="bullet"/>
      <w:lvlText w:val=""/>
      <w:lvlJc w:val="left"/>
      <w:pPr>
        <w:ind w:left="6480" w:hanging="360"/>
      </w:pPr>
      <w:rPr>
        <w:rFonts w:ascii="Wingdings" w:hAnsi="Wingdings" w:hint="default"/>
      </w:rPr>
    </w:lvl>
  </w:abstractNum>
  <w:abstractNum w:abstractNumId="1" w15:restartNumberingAfterBreak="0">
    <w:nsid w:val="0E9772AA"/>
    <w:multiLevelType w:val="hybridMultilevel"/>
    <w:tmpl w:val="AA60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D1D3E"/>
    <w:multiLevelType w:val="hybridMultilevel"/>
    <w:tmpl w:val="0820239C"/>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 w15:restartNumberingAfterBreak="0">
    <w:nsid w:val="14D552AD"/>
    <w:multiLevelType w:val="hybridMultilevel"/>
    <w:tmpl w:val="F572C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8B7797"/>
    <w:multiLevelType w:val="hybridMultilevel"/>
    <w:tmpl w:val="6810862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CB27F91"/>
    <w:multiLevelType w:val="hybridMultilevel"/>
    <w:tmpl w:val="7AE8B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FA69AA"/>
    <w:multiLevelType w:val="hybridMultilevel"/>
    <w:tmpl w:val="B7F27424"/>
    <w:lvl w:ilvl="0" w:tplc="0C090001">
      <w:start w:val="1"/>
      <w:numFmt w:val="bullet"/>
      <w:lvlText w:val=""/>
      <w:lvlJc w:val="left"/>
      <w:pPr>
        <w:ind w:left="-708" w:hanging="360"/>
      </w:pPr>
      <w:rPr>
        <w:rFonts w:ascii="Symbol" w:hAnsi="Symbol" w:hint="default"/>
      </w:rPr>
    </w:lvl>
    <w:lvl w:ilvl="1" w:tplc="0C090003">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7" w15:restartNumberingAfterBreak="0">
    <w:nsid w:val="243A7279"/>
    <w:multiLevelType w:val="hybridMultilevel"/>
    <w:tmpl w:val="B5FC3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A611C"/>
    <w:multiLevelType w:val="hybridMultilevel"/>
    <w:tmpl w:val="4ED838B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153AC"/>
    <w:multiLevelType w:val="hybridMultilevel"/>
    <w:tmpl w:val="FFFFFFFF"/>
    <w:lvl w:ilvl="0" w:tplc="5358AFF0">
      <w:start w:val="1"/>
      <w:numFmt w:val="bullet"/>
      <w:lvlText w:val="·"/>
      <w:lvlJc w:val="left"/>
      <w:pPr>
        <w:ind w:left="720" w:hanging="360"/>
      </w:pPr>
      <w:rPr>
        <w:rFonts w:ascii="Symbol" w:hAnsi="Symbol" w:hint="default"/>
      </w:rPr>
    </w:lvl>
    <w:lvl w:ilvl="1" w:tplc="005C3D3C">
      <w:start w:val="1"/>
      <w:numFmt w:val="bullet"/>
      <w:lvlText w:val="o"/>
      <w:lvlJc w:val="left"/>
      <w:pPr>
        <w:ind w:left="1440" w:hanging="360"/>
      </w:pPr>
      <w:rPr>
        <w:rFonts w:ascii="Courier New" w:hAnsi="Courier New" w:hint="default"/>
      </w:rPr>
    </w:lvl>
    <w:lvl w:ilvl="2" w:tplc="9384C4BA">
      <w:start w:val="1"/>
      <w:numFmt w:val="bullet"/>
      <w:lvlText w:val=""/>
      <w:lvlJc w:val="left"/>
      <w:pPr>
        <w:ind w:left="2160" w:hanging="360"/>
      </w:pPr>
      <w:rPr>
        <w:rFonts w:ascii="Wingdings" w:hAnsi="Wingdings" w:hint="default"/>
      </w:rPr>
    </w:lvl>
    <w:lvl w:ilvl="3" w:tplc="A66292B8">
      <w:start w:val="1"/>
      <w:numFmt w:val="bullet"/>
      <w:lvlText w:val=""/>
      <w:lvlJc w:val="left"/>
      <w:pPr>
        <w:ind w:left="2880" w:hanging="360"/>
      </w:pPr>
      <w:rPr>
        <w:rFonts w:ascii="Symbol" w:hAnsi="Symbol" w:hint="default"/>
      </w:rPr>
    </w:lvl>
    <w:lvl w:ilvl="4" w:tplc="1CE6F7E4">
      <w:start w:val="1"/>
      <w:numFmt w:val="bullet"/>
      <w:lvlText w:val="o"/>
      <w:lvlJc w:val="left"/>
      <w:pPr>
        <w:ind w:left="3600" w:hanging="360"/>
      </w:pPr>
      <w:rPr>
        <w:rFonts w:ascii="Courier New" w:hAnsi="Courier New" w:hint="default"/>
      </w:rPr>
    </w:lvl>
    <w:lvl w:ilvl="5" w:tplc="7E96A024">
      <w:start w:val="1"/>
      <w:numFmt w:val="bullet"/>
      <w:lvlText w:val=""/>
      <w:lvlJc w:val="left"/>
      <w:pPr>
        <w:ind w:left="4320" w:hanging="360"/>
      </w:pPr>
      <w:rPr>
        <w:rFonts w:ascii="Wingdings" w:hAnsi="Wingdings" w:hint="default"/>
      </w:rPr>
    </w:lvl>
    <w:lvl w:ilvl="6" w:tplc="160AC50E">
      <w:start w:val="1"/>
      <w:numFmt w:val="bullet"/>
      <w:lvlText w:val=""/>
      <w:lvlJc w:val="left"/>
      <w:pPr>
        <w:ind w:left="5040" w:hanging="360"/>
      </w:pPr>
      <w:rPr>
        <w:rFonts w:ascii="Symbol" w:hAnsi="Symbol" w:hint="default"/>
      </w:rPr>
    </w:lvl>
    <w:lvl w:ilvl="7" w:tplc="2EA4AB20">
      <w:start w:val="1"/>
      <w:numFmt w:val="bullet"/>
      <w:lvlText w:val="o"/>
      <w:lvlJc w:val="left"/>
      <w:pPr>
        <w:ind w:left="5760" w:hanging="360"/>
      </w:pPr>
      <w:rPr>
        <w:rFonts w:ascii="Courier New" w:hAnsi="Courier New" w:hint="default"/>
      </w:rPr>
    </w:lvl>
    <w:lvl w:ilvl="8" w:tplc="7278C320">
      <w:start w:val="1"/>
      <w:numFmt w:val="bullet"/>
      <w:lvlText w:val=""/>
      <w:lvlJc w:val="left"/>
      <w:pPr>
        <w:ind w:left="6480" w:hanging="360"/>
      </w:pPr>
      <w:rPr>
        <w:rFonts w:ascii="Wingdings" w:hAnsi="Wingdings" w:hint="default"/>
      </w:rPr>
    </w:lvl>
  </w:abstractNum>
  <w:abstractNum w:abstractNumId="10" w15:restartNumberingAfterBreak="0">
    <w:nsid w:val="621462A0"/>
    <w:multiLevelType w:val="hybridMultilevel"/>
    <w:tmpl w:val="C038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85154"/>
    <w:multiLevelType w:val="hybridMultilevel"/>
    <w:tmpl w:val="82CC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10"/>
  </w:num>
  <w:num w:numId="6">
    <w:abstractNumId w:val="1"/>
  </w:num>
  <w:num w:numId="7">
    <w:abstractNumId w:val="3"/>
  </w:num>
  <w:num w:numId="8">
    <w:abstractNumId w:val="8"/>
  </w:num>
  <w:num w:numId="9">
    <w:abstractNumId w:val="7"/>
  </w:num>
  <w:num w:numId="10">
    <w:abstractNumId w:val="6"/>
  </w:num>
  <w:num w:numId="11">
    <w:abstractNumId w:val="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68"/>
    <w:rsid w:val="00220EFA"/>
    <w:rsid w:val="00380B47"/>
    <w:rsid w:val="005B1E6D"/>
    <w:rsid w:val="006206B3"/>
    <w:rsid w:val="00731C05"/>
    <w:rsid w:val="00865BEB"/>
    <w:rsid w:val="008E4D6D"/>
    <w:rsid w:val="0097332B"/>
    <w:rsid w:val="00A071F6"/>
    <w:rsid w:val="00A5216B"/>
    <w:rsid w:val="00A96A68"/>
    <w:rsid w:val="00AF254B"/>
    <w:rsid w:val="00C34CCC"/>
    <w:rsid w:val="00C95B9B"/>
    <w:rsid w:val="00D24715"/>
    <w:rsid w:val="00F75A96"/>
    <w:rsid w:val="00FC3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DD08C"/>
  <w15:chartTrackingRefBased/>
  <w15:docId w15:val="{C472E8F2-B4D4-4915-9EE2-A46776E0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BE0"/>
    <w:pPr>
      <w:keepNext/>
      <w:keepLines/>
      <w:spacing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link w:val="Heading2Char"/>
    <w:uiPriority w:val="9"/>
    <w:qFormat/>
    <w:rsid w:val="00731C05"/>
    <w:pPr>
      <w:spacing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6A68"/>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A68"/>
  </w:style>
  <w:style w:type="paragraph" w:styleId="Footer">
    <w:name w:val="footer"/>
    <w:basedOn w:val="Normal"/>
    <w:link w:val="FooterChar"/>
    <w:uiPriority w:val="99"/>
    <w:unhideWhenUsed/>
    <w:rsid w:val="00A96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A68"/>
  </w:style>
  <w:style w:type="character" w:customStyle="1" w:styleId="Heading1Char">
    <w:name w:val="Heading 1 Char"/>
    <w:basedOn w:val="DefaultParagraphFont"/>
    <w:link w:val="Heading1"/>
    <w:uiPriority w:val="9"/>
    <w:rsid w:val="00FC3BE0"/>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731C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6A68"/>
    <w:rPr>
      <w:rFonts w:asciiTheme="majorHAnsi" w:eastAsiaTheme="majorEastAsia" w:hAnsiTheme="majorHAnsi" w:cstheme="majorBidi"/>
      <w:color w:val="1F3763" w:themeColor="accent1" w:themeShade="7F"/>
      <w:sz w:val="24"/>
      <w:szCs w:val="24"/>
      <w:lang w:val="en-US" w:eastAsia="zh-CN"/>
    </w:rPr>
  </w:style>
  <w:style w:type="table" w:styleId="TableGrid">
    <w:name w:val="Table Grid"/>
    <w:basedOn w:val="TableNormal"/>
    <w:uiPriority w:val="39"/>
    <w:rsid w:val="00A9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A68"/>
    <w:pPr>
      <w:ind w:left="720"/>
      <w:contextualSpacing/>
    </w:pPr>
  </w:style>
  <w:style w:type="character" w:styleId="CommentReference">
    <w:name w:val="annotation reference"/>
    <w:basedOn w:val="DefaultParagraphFont"/>
    <w:uiPriority w:val="99"/>
    <w:semiHidden/>
    <w:unhideWhenUsed/>
    <w:rsid w:val="00A96A68"/>
    <w:rPr>
      <w:sz w:val="16"/>
      <w:szCs w:val="16"/>
    </w:rPr>
  </w:style>
  <w:style w:type="paragraph" w:styleId="CommentText">
    <w:name w:val="annotation text"/>
    <w:basedOn w:val="Normal"/>
    <w:link w:val="CommentTextChar"/>
    <w:uiPriority w:val="99"/>
    <w:unhideWhenUsed/>
    <w:rsid w:val="00A96A68"/>
    <w:pPr>
      <w:spacing w:line="240" w:lineRule="auto"/>
    </w:pPr>
    <w:rPr>
      <w:sz w:val="20"/>
      <w:szCs w:val="20"/>
    </w:rPr>
  </w:style>
  <w:style w:type="character" w:customStyle="1" w:styleId="CommentTextChar">
    <w:name w:val="Comment Text Char"/>
    <w:basedOn w:val="DefaultParagraphFont"/>
    <w:link w:val="CommentText"/>
    <w:uiPriority w:val="99"/>
    <w:rsid w:val="00A96A68"/>
    <w:rPr>
      <w:sz w:val="20"/>
      <w:szCs w:val="20"/>
    </w:rPr>
  </w:style>
  <w:style w:type="paragraph" w:styleId="CommentSubject">
    <w:name w:val="annotation subject"/>
    <w:basedOn w:val="CommentText"/>
    <w:next w:val="CommentText"/>
    <w:link w:val="CommentSubjectChar"/>
    <w:uiPriority w:val="99"/>
    <w:semiHidden/>
    <w:unhideWhenUsed/>
    <w:rsid w:val="00A96A68"/>
    <w:rPr>
      <w:b/>
      <w:bCs/>
    </w:rPr>
  </w:style>
  <w:style w:type="character" w:customStyle="1" w:styleId="CommentSubjectChar">
    <w:name w:val="Comment Subject Char"/>
    <w:basedOn w:val="CommentTextChar"/>
    <w:link w:val="CommentSubject"/>
    <w:uiPriority w:val="99"/>
    <w:semiHidden/>
    <w:rsid w:val="00A96A68"/>
    <w:rPr>
      <w:b/>
      <w:bCs/>
      <w:sz w:val="20"/>
      <w:szCs w:val="20"/>
    </w:rPr>
  </w:style>
  <w:style w:type="paragraph" w:styleId="BalloonText">
    <w:name w:val="Balloon Text"/>
    <w:basedOn w:val="Normal"/>
    <w:link w:val="BalloonTextChar"/>
    <w:uiPriority w:val="99"/>
    <w:semiHidden/>
    <w:unhideWhenUsed/>
    <w:rsid w:val="00A96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68"/>
    <w:rPr>
      <w:rFonts w:ascii="Segoe UI" w:hAnsi="Segoe UI" w:cs="Segoe UI"/>
      <w:sz w:val="18"/>
      <w:szCs w:val="18"/>
    </w:rPr>
  </w:style>
  <w:style w:type="character" w:styleId="Hyperlink">
    <w:name w:val="Hyperlink"/>
    <w:basedOn w:val="DefaultParagraphFont"/>
    <w:uiPriority w:val="99"/>
    <w:unhideWhenUsed/>
    <w:rsid w:val="00A96A68"/>
    <w:rPr>
      <w:color w:val="0563C1" w:themeColor="hyperlink"/>
      <w:u w:val="single"/>
    </w:rPr>
  </w:style>
  <w:style w:type="character" w:customStyle="1" w:styleId="UnresolvedMention1">
    <w:name w:val="Unresolved Mention1"/>
    <w:basedOn w:val="DefaultParagraphFont"/>
    <w:uiPriority w:val="99"/>
    <w:semiHidden/>
    <w:unhideWhenUsed/>
    <w:rsid w:val="00A96A68"/>
    <w:rPr>
      <w:color w:val="605E5C"/>
      <w:shd w:val="clear" w:color="auto" w:fill="E1DFDD"/>
    </w:rPr>
  </w:style>
  <w:style w:type="paragraph" w:styleId="NormalWeb">
    <w:name w:val="Normal (Web)"/>
    <w:basedOn w:val="Normal"/>
    <w:uiPriority w:val="99"/>
    <w:unhideWhenUsed/>
    <w:rsid w:val="00A96A6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96A68"/>
    <w:rPr>
      <w:b/>
      <w:bCs/>
    </w:rPr>
  </w:style>
  <w:style w:type="paragraph" w:customStyle="1" w:styleId="Default">
    <w:name w:val="Default"/>
    <w:rsid w:val="00A96A6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A96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A96A68"/>
    <w:rPr>
      <w:color w:val="605E5C"/>
      <w:shd w:val="clear" w:color="auto" w:fill="E1DFDD"/>
    </w:rPr>
  </w:style>
  <w:style w:type="numbering" w:customStyle="1" w:styleId="NoList1">
    <w:name w:val="No List1"/>
    <w:next w:val="NoList"/>
    <w:uiPriority w:val="99"/>
    <w:semiHidden/>
    <w:unhideWhenUsed/>
    <w:rsid w:val="00A96A68"/>
  </w:style>
  <w:style w:type="paragraph" w:customStyle="1" w:styleId="EndNoteBibliographyTitle">
    <w:name w:val="EndNote Bibliography Title"/>
    <w:basedOn w:val="Normal"/>
    <w:link w:val="EndNoteBibliographyTitleChar"/>
    <w:rsid w:val="00A96A68"/>
    <w:pPr>
      <w:spacing w:after="0" w:line="240" w:lineRule="auto"/>
      <w:jc w:val="center"/>
    </w:pPr>
    <w:rPr>
      <w:rFonts w:ascii="Calibri" w:eastAsia="Times New Roman" w:hAnsi="Calibri" w:cs="Calibri"/>
      <w:szCs w:val="24"/>
      <w:lang w:val="en-US" w:eastAsia="en-GB"/>
    </w:rPr>
  </w:style>
  <w:style w:type="character" w:customStyle="1" w:styleId="EndNoteBibliographyTitleChar">
    <w:name w:val="EndNote Bibliography Title Char"/>
    <w:basedOn w:val="DefaultParagraphFont"/>
    <w:link w:val="EndNoteBibliographyTitle"/>
    <w:rsid w:val="00A96A68"/>
    <w:rPr>
      <w:rFonts w:ascii="Calibri" w:eastAsia="Times New Roman" w:hAnsi="Calibri" w:cs="Calibri"/>
      <w:szCs w:val="24"/>
      <w:lang w:val="en-US" w:eastAsia="en-GB"/>
    </w:rPr>
  </w:style>
  <w:style w:type="paragraph" w:customStyle="1" w:styleId="EndNoteBibliography">
    <w:name w:val="EndNote Bibliography"/>
    <w:basedOn w:val="Normal"/>
    <w:link w:val="EndNoteBibliographyChar"/>
    <w:rsid w:val="00A96A68"/>
    <w:pPr>
      <w:spacing w:after="0" w:line="240" w:lineRule="auto"/>
    </w:pPr>
    <w:rPr>
      <w:rFonts w:ascii="Calibri" w:eastAsia="Times New Roman" w:hAnsi="Calibri" w:cs="Calibri"/>
      <w:szCs w:val="24"/>
      <w:lang w:val="en-US" w:eastAsia="en-GB"/>
    </w:rPr>
  </w:style>
  <w:style w:type="character" w:customStyle="1" w:styleId="EndNoteBibliographyChar">
    <w:name w:val="EndNote Bibliography Char"/>
    <w:basedOn w:val="DefaultParagraphFont"/>
    <w:link w:val="EndNoteBibliography"/>
    <w:rsid w:val="00A96A68"/>
    <w:rPr>
      <w:rFonts w:ascii="Calibri" w:eastAsia="Times New Roman" w:hAnsi="Calibri" w:cs="Calibri"/>
      <w:szCs w:val="24"/>
      <w:lang w:val="en-US" w:eastAsia="en-GB"/>
    </w:rPr>
  </w:style>
  <w:style w:type="character" w:customStyle="1" w:styleId="txt">
    <w:name w:val="txt"/>
    <w:basedOn w:val="DefaultParagraphFont"/>
    <w:rsid w:val="00A96A68"/>
  </w:style>
  <w:style w:type="character" w:customStyle="1" w:styleId="txtbold">
    <w:name w:val="txtbold"/>
    <w:basedOn w:val="DefaultParagraphFont"/>
    <w:rsid w:val="00A96A68"/>
  </w:style>
  <w:style w:type="character" w:styleId="Emphasis">
    <w:name w:val="Emphasis"/>
    <w:basedOn w:val="DefaultParagraphFont"/>
    <w:uiPriority w:val="20"/>
    <w:qFormat/>
    <w:rsid w:val="00A96A68"/>
    <w:rPr>
      <w:i/>
      <w:iCs/>
    </w:rPr>
  </w:style>
  <w:style w:type="character" w:customStyle="1" w:styleId="UnresolvedMention20">
    <w:name w:val="Unresolved Mention20"/>
    <w:basedOn w:val="DefaultParagraphFont"/>
    <w:uiPriority w:val="99"/>
    <w:semiHidden/>
    <w:unhideWhenUsed/>
    <w:rsid w:val="00A96A68"/>
    <w:rPr>
      <w:color w:val="605E5C"/>
      <w:shd w:val="clear" w:color="auto" w:fill="E1DFDD"/>
    </w:rPr>
  </w:style>
  <w:style w:type="character" w:styleId="FollowedHyperlink">
    <w:name w:val="FollowedHyperlink"/>
    <w:basedOn w:val="DefaultParagraphFont"/>
    <w:uiPriority w:val="99"/>
    <w:semiHidden/>
    <w:unhideWhenUsed/>
    <w:rsid w:val="00A96A68"/>
    <w:rPr>
      <w:color w:val="954F72" w:themeColor="followedHyperlink"/>
      <w:u w:val="single"/>
    </w:rPr>
  </w:style>
  <w:style w:type="character" w:customStyle="1" w:styleId="wysiwyg-color-black">
    <w:name w:val="wysiwyg-color-black"/>
    <w:basedOn w:val="DefaultParagraphFont"/>
    <w:rsid w:val="00A96A68"/>
  </w:style>
  <w:style w:type="character" w:customStyle="1" w:styleId="apple-converted-space">
    <w:name w:val="apple-converted-space"/>
    <w:basedOn w:val="DefaultParagraphFont"/>
    <w:rsid w:val="00A96A68"/>
  </w:style>
  <w:style w:type="character" w:customStyle="1" w:styleId="wysiwyg-color-blue90">
    <w:name w:val="wysiwyg-color-blue90"/>
    <w:basedOn w:val="DefaultParagraphFont"/>
    <w:rsid w:val="00A96A68"/>
  </w:style>
  <w:style w:type="paragraph" w:styleId="FootnoteText">
    <w:name w:val="footnote text"/>
    <w:basedOn w:val="Normal"/>
    <w:link w:val="FootnoteTextChar"/>
    <w:uiPriority w:val="99"/>
    <w:unhideWhenUsed/>
    <w:rsid w:val="00A96A6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A96A68"/>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96A68"/>
    <w:rPr>
      <w:vertAlign w:val="superscript"/>
    </w:rPr>
  </w:style>
  <w:style w:type="paragraph" w:styleId="Revision">
    <w:name w:val="Revision"/>
    <w:hidden/>
    <w:uiPriority w:val="99"/>
    <w:semiHidden/>
    <w:rsid w:val="00A96A68"/>
    <w:pPr>
      <w:spacing w:after="0" w:line="240" w:lineRule="auto"/>
    </w:pPr>
  </w:style>
  <w:style w:type="table" w:styleId="PlainTable2">
    <w:name w:val="Plain Table 2"/>
    <w:basedOn w:val="TableNormal"/>
    <w:uiPriority w:val="42"/>
    <w:rsid w:val="00A96A68"/>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link w:val="BodyText1Char"/>
    <w:qFormat/>
    <w:rsid w:val="00A96A68"/>
    <w:pPr>
      <w:spacing w:before="240" w:line="360" w:lineRule="auto"/>
    </w:pPr>
    <w:rPr>
      <w:rFonts w:ascii="Times New Roman" w:hAnsi="Times New Roman" w:cs="Times New Roman"/>
      <w:sz w:val="24"/>
    </w:rPr>
  </w:style>
  <w:style w:type="character" w:styleId="PageNumber">
    <w:name w:val="page number"/>
    <w:basedOn w:val="DefaultParagraphFont"/>
    <w:uiPriority w:val="99"/>
    <w:semiHidden/>
    <w:unhideWhenUsed/>
    <w:rsid w:val="00A96A68"/>
  </w:style>
  <w:style w:type="paragraph" w:styleId="Title">
    <w:name w:val="Title"/>
    <w:basedOn w:val="BodyText1"/>
    <w:next w:val="Normal"/>
    <w:link w:val="TitleChar"/>
    <w:uiPriority w:val="10"/>
    <w:qFormat/>
    <w:rsid w:val="00A96A68"/>
    <w:pPr>
      <w:pBdr>
        <w:bottom w:val="single" w:sz="4" w:space="1" w:color="auto"/>
      </w:pBdr>
    </w:pPr>
    <w:rPr>
      <w:rFonts w:asciiTheme="minorHAnsi" w:hAnsiTheme="minorHAnsi" w:cs="Arial"/>
      <w:b/>
      <w:bCs/>
      <w:color w:val="C64398"/>
      <w:sz w:val="36"/>
      <w:szCs w:val="36"/>
    </w:rPr>
  </w:style>
  <w:style w:type="character" w:customStyle="1" w:styleId="TitleChar">
    <w:name w:val="Title Char"/>
    <w:basedOn w:val="DefaultParagraphFont"/>
    <w:link w:val="Title"/>
    <w:uiPriority w:val="10"/>
    <w:rsid w:val="00A96A68"/>
    <w:rPr>
      <w:rFonts w:cs="Arial"/>
      <w:b/>
      <w:bCs/>
      <w:color w:val="C64398"/>
      <w:sz w:val="36"/>
      <w:szCs w:val="36"/>
    </w:rPr>
  </w:style>
  <w:style w:type="character" w:styleId="IntenseEmphasis">
    <w:name w:val="Intense Emphasis"/>
    <w:uiPriority w:val="21"/>
    <w:qFormat/>
    <w:rsid w:val="00A96A68"/>
    <w:rPr>
      <w:rFonts w:asciiTheme="minorHAnsi" w:hAnsiTheme="minorHAnsi" w:cs="Arial"/>
      <w:b/>
      <w:bCs/>
      <w:color w:val="C64398"/>
    </w:rPr>
  </w:style>
  <w:style w:type="character" w:customStyle="1" w:styleId="BodyText1Char">
    <w:name w:val="Body Text1 Char"/>
    <w:basedOn w:val="DefaultParagraphFont"/>
    <w:link w:val="BodyText1"/>
    <w:rsid w:val="00A96A68"/>
    <w:rPr>
      <w:rFonts w:ascii="Times New Roman" w:hAnsi="Times New Roman" w:cs="Times New Roman"/>
      <w:sz w:val="24"/>
    </w:rPr>
  </w:style>
  <w:style w:type="character" w:styleId="EndnoteReference">
    <w:name w:val="endnote reference"/>
    <w:basedOn w:val="DefaultParagraphFont"/>
    <w:uiPriority w:val="99"/>
    <w:semiHidden/>
    <w:unhideWhenUsed/>
    <w:rsid w:val="00A96A68"/>
    <w:rPr>
      <w:vertAlign w:val="superscript"/>
    </w:rPr>
  </w:style>
  <w:style w:type="character" w:customStyle="1" w:styleId="EndnoteTextChar">
    <w:name w:val="Endnote Text Char"/>
    <w:basedOn w:val="DefaultParagraphFont"/>
    <w:link w:val="EndnoteText"/>
    <w:uiPriority w:val="99"/>
    <w:semiHidden/>
    <w:rsid w:val="00A96A68"/>
    <w:rPr>
      <w:sz w:val="20"/>
      <w:szCs w:val="20"/>
    </w:rPr>
  </w:style>
  <w:style w:type="paragraph" w:styleId="EndnoteText">
    <w:name w:val="endnote text"/>
    <w:basedOn w:val="Normal"/>
    <w:link w:val="EndnoteTextChar"/>
    <w:uiPriority w:val="99"/>
    <w:semiHidden/>
    <w:unhideWhenUsed/>
    <w:rsid w:val="00A96A68"/>
    <w:pPr>
      <w:spacing w:after="0" w:line="240" w:lineRule="auto"/>
    </w:pPr>
    <w:rPr>
      <w:sz w:val="20"/>
      <w:szCs w:val="20"/>
    </w:rPr>
  </w:style>
  <w:style w:type="character" w:customStyle="1" w:styleId="EndnoteTextChar1">
    <w:name w:val="Endnote Text Char1"/>
    <w:basedOn w:val="DefaultParagraphFont"/>
    <w:uiPriority w:val="99"/>
    <w:semiHidden/>
    <w:rsid w:val="00A96A68"/>
    <w:rPr>
      <w:sz w:val="20"/>
      <w:szCs w:val="20"/>
    </w:rPr>
  </w:style>
  <w:style w:type="paragraph" w:styleId="BodyText">
    <w:name w:val="Body Text"/>
    <w:basedOn w:val="Normal"/>
    <w:link w:val="BodyTextChar"/>
    <w:qFormat/>
    <w:rsid w:val="00A96A68"/>
    <w:pPr>
      <w:spacing w:before="120" w:after="120" w:line="270" w:lineRule="atLeast"/>
    </w:pPr>
    <w:rPr>
      <w:rFonts w:eastAsia="Times New Roman" w:cs="Times New Roman"/>
      <w:spacing w:val="2"/>
      <w:sz w:val="19"/>
      <w:szCs w:val="19"/>
      <w:lang w:eastAsia="en-AU"/>
    </w:rPr>
  </w:style>
  <w:style w:type="character" w:customStyle="1" w:styleId="BodyTextChar">
    <w:name w:val="Body Text Char"/>
    <w:basedOn w:val="DefaultParagraphFont"/>
    <w:link w:val="BodyText"/>
    <w:rsid w:val="00A96A68"/>
    <w:rPr>
      <w:rFonts w:eastAsia="Times New Roman" w:cs="Times New Roman"/>
      <w:spacing w:val="2"/>
      <w:sz w:val="19"/>
      <w:szCs w:val="19"/>
      <w:lang w:eastAsia="en-AU"/>
    </w:rPr>
  </w:style>
  <w:style w:type="paragraph" w:customStyle="1" w:styleId="ExecSummHeading3">
    <w:name w:val="Exec Summ Heading 3"/>
    <w:basedOn w:val="BodyText"/>
    <w:next w:val="BodyText"/>
    <w:qFormat/>
    <w:rsid w:val="00A96A68"/>
    <w:pPr>
      <w:keepNext/>
      <w:spacing w:before="240" w:line="240" w:lineRule="auto"/>
    </w:pPr>
    <w:rPr>
      <w:rFonts w:asciiTheme="majorHAnsi" w:hAnsiTheme="majorHAnsi"/>
      <w:b/>
      <w:color w:val="44546A" w:themeColor="text2"/>
      <w:spacing w:val="0"/>
      <w:sz w:val="22"/>
      <w:szCs w:val="21"/>
    </w:rPr>
  </w:style>
  <w:style w:type="character" w:customStyle="1" w:styleId="UnresolvedMention2">
    <w:name w:val="Unresolved Mention2"/>
    <w:basedOn w:val="DefaultParagraphFont"/>
    <w:uiPriority w:val="99"/>
    <w:semiHidden/>
    <w:unhideWhenUsed/>
    <w:rsid w:val="00A96A68"/>
    <w:rPr>
      <w:color w:val="605E5C"/>
      <w:shd w:val="clear" w:color="auto" w:fill="E1DFDD"/>
    </w:rPr>
  </w:style>
  <w:style w:type="character" w:customStyle="1" w:styleId="UnresolvedMention3">
    <w:name w:val="Unresolved Mention3"/>
    <w:basedOn w:val="DefaultParagraphFont"/>
    <w:uiPriority w:val="99"/>
    <w:semiHidden/>
    <w:unhideWhenUsed/>
    <w:rsid w:val="00A96A68"/>
    <w:rPr>
      <w:color w:val="605E5C"/>
      <w:shd w:val="clear" w:color="auto" w:fill="E1DFDD"/>
    </w:rPr>
  </w:style>
  <w:style w:type="character" w:customStyle="1" w:styleId="UnresolvedMention4">
    <w:name w:val="Unresolved Mention4"/>
    <w:basedOn w:val="DefaultParagraphFont"/>
    <w:uiPriority w:val="99"/>
    <w:semiHidden/>
    <w:unhideWhenUsed/>
    <w:rsid w:val="00A96A68"/>
    <w:rPr>
      <w:color w:val="605E5C"/>
      <w:shd w:val="clear" w:color="auto" w:fill="E1DFDD"/>
    </w:rPr>
  </w:style>
  <w:style w:type="paragraph" w:customStyle="1" w:styleId="xxmsonormal">
    <w:name w:val="x_x_msonormal"/>
    <w:basedOn w:val="Normal"/>
    <w:rsid w:val="00A96A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A96A68"/>
    <w:rPr>
      <w:color w:val="2B579A"/>
      <w:shd w:val="clear" w:color="auto" w:fill="E6E6E6"/>
    </w:rPr>
  </w:style>
  <w:style w:type="character" w:customStyle="1" w:styleId="Mention2">
    <w:name w:val="Mention2"/>
    <w:basedOn w:val="DefaultParagraphFont"/>
    <w:uiPriority w:val="99"/>
    <w:unhideWhenUsed/>
    <w:rsid w:val="00A96A68"/>
    <w:rPr>
      <w:color w:val="2B579A"/>
      <w:shd w:val="clear" w:color="auto" w:fill="E6E6E6"/>
    </w:rPr>
  </w:style>
  <w:style w:type="character" w:customStyle="1" w:styleId="normaltextrun">
    <w:name w:val="normaltextrun"/>
    <w:basedOn w:val="DefaultParagraphFont"/>
    <w:rsid w:val="00A96A68"/>
  </w:style>
  <w:style w:type="character" w:customStyle="1" w:styleId="UnresolvedMention5">
    <w:name w:val="Unresolved Mention5"/>
    <w:basedOn w:val="DefaultParagraphFont"/>
    <w:uiPriority w:val="99"/>
    <w:semiHidden/>
    <w:unhideWhenUsed/>
    <w:rsid w:val="00A96A68"/>
    <w:rPr>
      <w:color w:val="605E5C"/>
      <w:shd w:val="clear" w:color="auto" w:fill="E1DFDD"/>
    </w:rPr>
  </w:style>
  <w:style w:type="character" w:styleId="UnresolvedMention">
    <w:name w:val="Unresolved Mention"/>
    <w:basedOn w:val="DefaultParagraphFont"/>
    <w:uiPriority w:val="99"/>
    <w:semiHidden/>
    <w:unhideWhenUsed/>
    <w:rsid w:val="00A96A68"/>
    <w:rPr>
      <w:color w:val="605E5C"/>
      <w:shd w:val="clear" w:color="auto" w:fill="E1DFDD"/>
    </w:rPr>
  </w:style>
  <w:style w:type="table" w:styleId="GridTable6Colorful-Accent5">
    <w:name w:val="Grid Table 6 Colorful Accent 5"/>
    <w:basedOn w:val="TableNormal"/>
    <w:uiPriority w:val="51"/>
    <w:rsid w:val="00865BE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tyle1">
    <w:name w:val="Style1"/>
    <w:basedOn w:val="Heading2"/>
    <w:link w:val="Style1Char"/>
    <w:qFormat/>
    <w:rsid w:val="00731C05"/>
    <w:rPr>
      <w:b/>
    </w:rPr>
  </w:style>
  <w:style w:type="paragraph" w:styleId="TOCHeading">
    <w:name w:val="TOC Heading"/>
    <w:basedOn w:val="Heading1"/>
    <w:next w:val="Normal"/>
    <w:uiPriority w:val="39"/>
    <w:unhideWhenUsed/>
    <w:qFormat/>
    <w:rsid w:val="00FC3BE0"/>
    <w:pPr>
      <w:spacing w:line="259" w:lineRule="auto"/>
      <w:outlineLvl w:val="9"/>
    </w:pPr>
    <w:rPr>
      <w:lang w:val="en-US" w:eastAsia="en-US"/>
    </w:rPr>
  </w:style>
  <w:style w:type="character" w:customStyle="1" w:styleId="Style1Char">
    <w:name w:val="Style1 Char"/>
    <w:basedOn w:val="Heading2Char"/>
    <w:link w:val="Style1"/>
    <w:rsid w:val="00731C05"/>
    <w:rPr>
      <w:rFonts w:asciiTheme="majorHAnsi" w:eastAsiaTheme="majorEastAsia" w:hAnsiTheme="majorHAnsi" w:cstheme="majorBidi"/>
      <w:b/>
      <w:color w:val="2F5496" w:themeColor="accent1" w:themeShade="BF"/>
      <w:sz w:val="26"/>
      <w:szCs w:val="26"/>
    </w:rPr>
  </w:style>
  <w:style w:type="paragraph" w:styleId="TOC1">
    <w:name w:val="toc 1"/>
    <w:basedOn w:val="Normal"/>
    <w:next w:val="Normal"/>
    <w:autoRedefine/>
    <w:uiPriority w:val="39"/>
    <w:unhideWhenUsed/>
    <w:rsid w:val="00FC3BE0"/>
    <w:pPr>
      <w:spacing w:after="100"/>
    </w:pPr>
  </w:style>
  <w:style w:type="paragraph" w:styleId="TOC2">
    <w:name w:val="toc 2"/>
    <w:basedOn w:val="Normal"/>
    <w:next w:val="Normal"/>
    <w:autoRedefine/>
    <w:uiPriority w:val="39"/>
    <w:unhideWhenUsed/>
    <w:rsid w:val="00FC3B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Users/megmu/Downloads/30-30-1-PB%20(2).pdf" TargetMode="External"/><Relationship Id="rId18" Type="http://schemas.openxmlformats.org/officeDocument/2006/relationships/hyperlink" Target="https://store.hbr.org/product/aime-high-a-social-entrepreneur-s-moon-shot/919411" TargetMode="External"/><Relationship Id="rId26" Type="http://schemas.openxmlformats.org/officeDocument/2006/relationships/hyperlink" Target="https://ruaf.org/assets/2019/11/UA-Magazine-no.-35-Youth-in-Food-Opportunities-for-education-and-employment.pdf" TargetMode="External"/><Relationship Id="rId3" Type="http://schemas.openxmlformats.org/officeDocument/2006/relationships/numbering" Target="numbering.xml"/><Relationship Id="rId21" Type="http://schemas.openxmlformats.org/officeDocument/2006/relationships/hyperlink" Target="https://www.google.com.au/url?sa=t&amp;rct=j&amp;q=&amp;esrc=s&amp;source=web&amp;cd=&amp;ved=2ahUKEwjq3P-j7YjuAhUzzTgGHd6yDY0QFjAEegQICBAC&amp;url=https%3A%2F%2Fwww.mcgill.ca%2Fihsp%2Ffiles%2Fihsp%2F2011posterpresentation_kara.pptx&amp;usg=AOvVaw1sQL8GiLxLyzbkdH32kjF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cademia.edu/19880769/Evaluating_health_impacts_Results_from_the_neighbourhood_renewal_stratgey_in_Victoria_Australia" TargetMode="External"/><Relationship Id="rId17" Type="http://schemas.openxmlformats.org/officeDocument/2006/relationships/hyperlink" Target="file:///C://Users/megmu/Downloads/kpmg_report_2013%20(2).pdf" TargetMode="External"/><Relationship Id="rId25" Type="http://schemas.openxmlformats.org/officeDocument/2006/relationships/hyperlink" Target="https://www.sciencedirect.com/science/article/pii/S0016718518302653?via%3Dihub"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du.edu.au/sites/default/files/the-northern-institute/10.18793-lcj215.17.04.pdf" TargetMode="External"/><Relationship Id="rId20" Type="http://schemas.openxmlformats.org/officeDocument/2006/relationships/hyperlink" Target="https://cfon.issuelab.org/resource/best-babies-zone-year-6-evaluation-report.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chealth.vic.gov.au/media-and-resources/publications/streets-ahead-evaluation-report-2008-2011" TargetMode="External"/><Relationship Id="rId24" Type="http://schemas.openxmlformats.org/officeDocument/2006/relationships/hyperlink" Target="https://www.communityventures.org.uk/wp-content/uploads/2017/04/My-Community-Matters-Final-Report.pd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ro.uow.edu.au/cgi/viewcontent.cgi?article=1223&amp;context=ahsri" TargetMode="External"/><Relationship Id="rId23" Type="http://schemas.openxmlformats.org/officeDocument/2006/relationships/hyperlink" Target="https://www.riverclydehomes.org.uk/uploaded/river-clyde-web/passthrough/broomhill_report_stirling_university.pdf" TargetMode="External"/><Relationship Id="rId28" Type="http://schemas.openxmlformats.org/officeDocument/2006/relationships/header" Target="header1.xml"/><Relationship Id="rId10" Type="http://schemas.openxmlformats.org/officeDocument/2006/relationships/hyperlink" Target="https://static1.squarespace.com/static/5760a8092fe131e4665fdf19/t/593a535337c5810286ebeabd/1496994669224/Evaluating+a+supported+nature+play+programme+parents+perspectives.pdf" TargetMode="External"/><Relationship Id="rId19" Type="http://schemas.openxmlformats.org/officeDocument/2006/relationships/hyperlink" Target="https://jessvech.files.wordpress.com/2014/05/bbz-design-sprint-evaluation-report.pdf"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tatic1.squarespace.com/static/5760a8092fe131e4665fdf19/t/593a549fe4fcb52e4850e953/1496995037154/Formative+evaluation+of+Dabble+%27n%27+Dance.pdf" TargetMode="External"/><Relationship Id="rId14" Type="http://schemas.openxmlformats.org/officeDocument/2006/relationships/hyperlink" Target="https://apo.org.au/sites/default/files/resource-files/2015-07/apo-nid57598.pdf" TargetMode="External"/><Relationship Id="rId22" Type="http://schemas.openxmlformats.org/officeDocument/2006/relationships/hyperlink" Target="https://eds.b.ebscohost.com/eds/detail/detail?vid=2&amp;sid=e60f4b1a-f124-46a9-8d67-14cdebe7ab56%40pdc-v-sessmgr05&amp;bdata=JmF1dGh0eXBlPXNzbyZjdXN0aWQ9ZGVha2luJnNpdGU9ZWRzLWxpdmUmc2NvcGU9c2l0ZQ%3d%3d" TargetMode="External"/><Relationship Id="rId27" Type="http://schemas.openxmlformats.org/officeDocument/2006/relationships/hyperlink" Target="https://knowledge.aidr.org.au/media/7351/case-studies-exploring-community-led-recovery-and-coordination-final.pd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81687CC-6CDD-4FDE-8AB6-D2DFA3AF677C}">
  <ds:schemaRefs>
    <ds:schemaRef ds:uri="http://schemas.openxmlformats.org/officeDocument/2006/bibliography"/>
  </ds:schemaRefs>
</ds:datastoreItem>
</file>

<file path=customXml/itemProps2.xml><?xml version="1.0" encoding="utf-8"?>
<ds:datastoreItem xmlns:ds="http://schemas.openxmlformats.org/officeDocument/2006/customXml" ds:itemID="{2C5AF616-7A23-4F3B-B66A-929582A6D57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30</Pages>
  <Words>13355</Words>
  <Characters>76126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Rhiannon Tanner</cp:lastModifiedBy>
  <cp:revision>8</cp:revision>
  <dcterms:created xsi:type="dcterms:W3CDTF">2022-06-30T02:22:00Z</dcterms:created>
  <dcterms:modified xsi:type="dcterms:W3CDTF">2022-08-02T00:35:00Z</dcterms:modified>
</cp:coreProperties>
</file>