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4F415" w14:textId="572E3822" w:rsidR="00AA476F" w:rsidRPr="00E96B6E" w:rsidRDefault="0081254F" w:rsidP="000E1707">
      <w:pPr>
        <w:pStyle w:val="Heading1"/>
        <w:spacing w:before="0"/>
        <w:rPr>
          <w:b/>
          <w:bCs/>
          <w:sz w:val="36"/>
          <w:szCs w:val="36"/>
        </w:rPr>
      </w:pPr>
      <w:bookmarkStart w:id="0" w:name="_Toc108421953"/>
      <w:r w:rsidRPr="00E96B6E">
        <w:rPr>
          <w:b/>
          <w:bCs/>
          <w:sz w:val="36"/>
          <w:szCs w:val="36"/>
        </w:rPr>
        <w:t>Case Studies with Liveability Outcomes</w:t>
      </w:r>
      <w:bookmarkEnd w:id="0"/>
    </w:p>
    <w:sdt>
      <w:sdtPr>
        <w:rPr>
          <w:rFonts w:asciiTheme="minorHAnsi" w:eastAsiaTheme="minorHAnsi" w:hAnsiTheme="minorHAnsi" w:cstheme="minorBidi"/>
          <w:color w:val="auto"/>
          <w:sz w:val="22"/>
          <w:szCs w:val="22"/>
          <w:lang w:val="en-AU"/>
        </w:rPr>
        <w:id w:val="1236289600"/>
        <w:docPartObj>
          <w:docPartGallery w:val="Table of Contents"/>
          <w:docPartUnique/>
        </w:docPartObj>
      </w:sdtPr>
      <w:sdtEndPr>
        <w:rPr>
          <w:b/>
          <w:bCs/>
          <w:noProof/>
        </w:rPr>
      </w:sdtEndPr>
      <w:sdtContent>
        <w:p w14:paraId="2D78D702" w14:textId="5A811391" w:rsidR="000E1707" w:rsidRDefault="000E1707">
          <w:pPr>
            <w:pStyle w:val="TOCHeading"/>
          </w:pPr>
          <w:r>
            <w:t>Contents</w:t>
          </w:r>
        </w:p>
        <w:p w14:paraId="2D2964A9" w14:textId="1E19E661" w:rsidR="00622FC2" w:rsidRDefault="000E1707">
          <w:pPr>
            <w:pStyle w:val="TOC1"/>
            <w:tabs>
              <w:tab w:val="right" w:leader="dot" w:pos="9016"/>
            </w:tabs>
            <w:rPr>
              <w:rFonts w:eastAsiaTheme="minorEastAsia"/>
              <w:noProof/>
              <w:lang w:eastAsia="en-AU"/>
            </w:rPr>
          </w:pPr>
          <w:r>
            <w:fldChar w:fldCharType="begin"/>
          </w:r>
          <w:r>
            <w:instrText xml:space="preserve"> TOC \o "1-3" \h \z \u </w:instrText>
          </w:r>
          <w:r>
            <w:fldChar w:fldCharType="separate"/>
          </w:r>
          <w:hyperlink w:anchor="_Toc108421954" w:history="1">
            <w:r w:rsidR="00622FC2" w:rsidRPr="00BE4EE6">
              <w:rPr>
                <w:rStyle w:val="Hyperlink"/>
                <w:noProof/>
              </w:rPr>
              <w:t>Greater Geelong Focus</w:t>
            </w:r>
            <w:r w:rsidR="00622FC2">
              <w:rPr>
                <w:noProof/>
                <w:webHidden/>
              </w:rPr>
              <w:tab/>
            </w:r>
            <w:r w:rsidR="00622FC2">
              <w:rPr>
                <w:noProof/>
                <w:webHidden/>
              </w:rPr>
              <w:fldChar w:fldCharType="begin"/>
            </w:r>
            <w:r w:rsidR="00622FC2">
              <w:rPr>
                <w:noProof/>
                <w:webHidden/>
              </w:rPr>
              <w:instrText xml:space="preserve"> PAGEREF _Toc108421954 \h </w:instrText>
            </w:r>
            <w:r w:rsidR="00622FC2">
              <w:rPr>
                <w:noProof/>
                <w:webHidden/>
              </w:rPr>
            </w:r>
            <w:r w:rsidR="00622FC2">
              <w:rPr>
                <w:noProof/>
                <w:webHidden/>
              </w:rPr>
              <w:fldChar w:fldCharType="separate"/>
            </w:r>
            <w:r w:rsidR="00622FC2">
              <w:rPr>
                <w:noProof/>
                <w:webHidden/>
              </w:rPr>
              <w:t>2</w:t>
            </w:r>
            <w:r w:rsidR="00622FC2">
              <w:rPr>
                <w:noProof/>
                <w:webHidden/>
              </w:rPr>
              <w:fldChar w:fldCharType="end"/>
            </w:r>
          </w:hyperlink>
        </w:p>
        <w:p w14:paraId="280776E5" w14:textId="7F9F0214" w:rsidR="00622FC2" w:rsidRDefault="0065270C">
          <w:pPr>
            <w:pStyle w:val="TOC2"/>
            <w:tabs>
              <w:tab w:val="right" w:leader="dot" w:pos="9016"/>
            </w:tabs>
            <w:rPr>
              <w:rFonts w:eastAsiaTheme="minorEastAsia"/>
              <w:noProof/>
              <w:lang w:eastAsia="en-AU"/>
            </w:rPr>
          </w:pPr>
          <w:hyperlink w:anchor="_Toc108421955" w:history="1">
            <w:r w:rsidR="00622FC2" w:rsidRPr="00BE4EE6">
              <w:rPr>
                <w:rStyle w:val="Hyperlink"/>
                <w:noProof/>
              </w:rPr>
              <w:t>Towards Home Plus: Homelessness Outreach, Housing, and Support</w:t>
            </w:r>
            <w:r w:rsidR="00622FC2">
              <w:rPr>
                <w:noProof/>
                <w:webHidden/>
              </w:rPr>
              <w:tab/>
            </w:r>
            <w:r w:rsidR="00622FC2">
              <w:rPr>
                <w:noProof/>
                <w:webHidden/>
              </w:rPr>
              <w:fldChar w:fldCharType="begin"/>
            </w:r>
            <w:r w:rsidR="00622FC2">
              <w:rPr>
                <w:noProof/>
                <w:webHidden/>
              </w:rPr>
              <w:instrText xml:space="preserve"> PAGEREF _Toc108421955 \h </w:instrText>
            </w:r>
            <w:r w:rsidR="00622FC2">
              <w:rPr>
                <w:noProof/>
                <w:webHidden/>
              </w:rPr>
            </w:r>
            <w:r w:rsidR="00622FC2">
              <w:rPr>
                <w:noProof/>
                <w:webHidden/>
              </w:rPr>
              <w:fldChar w:fldCharType="separate"/>
            </w:r>
            <w:r w:rsidR="00622FC2">
              <w:rPr>
                <w:noProof/>
                <w:webHidden/>
              </w:rPr>
              <w:t>2</w:t>
            </w:r>
            <w:r w:rsidR="00622FC2">
              <w:rPr>
                <w:noProof/>
                <w:webHidden/>
              </w:rPr>
              <w:fldChar w:fldCharType="end"/>
            </w:r>
          </w:hyperlink>
        </w:p>
        <w:p w14:paraId="4168FE51" w14:textId="10BA1C76" w:rsidR="00622FC2" w:rsidRDefault="0065270C">
          <w:pPr>
            <w:pStyle w:val="TOC1"/>
            <w:tabs>
              <w:tab w:val="right" w:leader="dot" w:pos="9016"/>
            </w:tabs>
            <w:rPr>
              <w:rFonts w:eastAsiaTheme="minorEastAsia"/>
              <w:noProof/>
              <w:lang w:eastAsia="en-AU"/>
            </w:rPr>
          </w:pPr>
          <w:hyperlink w:anchor="_Toc108421956" w:history="1">
            <w:r w:rsidR="00622FC2" w:rsidRPr="00BE4EE6">
              <w:rPr>
                <w:rStyle w:val="Hyperlink"/>
                <w:rFonts w:asciiTheme="majorHAnsi" w:eastAsiaTheme="majorEastAsia" w:hAnsiTheme="majorHAnsi" w:cstheme="majorBidi"/>
                <w:noProof/>
              </w:rPr>
              <w:t>Victoria (Regional Focus)</w:t>
            </w:r>
            <w:r w:rsidR="00622FC2">
              <w:rPr>
                <w:noProof/>
                <w:webHidden/>
              </w:rPr>
              <w:tab/>
            </w:r>
            <w:r w:rsidR="00622FC2">
              <w:rPr>
                <w:noProof/>
                <w:webHidden/>
              </w:rPr>
              <w:fldChar w:fldCharType="begin"/>
            </w:r>
            <w:r w:rsidR="00622FC2">
              <w:rPr>
                <w:noProof/>
                <w:webHidden/>
              </w:rPr>
              <w:instrText xml:space="preserve"> PAGEREF _Toc108421956 \h </w:instrText>
            </w:r>
            <w:r w:rsidR="00622FC2">
              <w:rPr>
                <w:noProof/>
                <w:webHidden/>
              </w:rPr>
            </w:r>
            <w:r w:rsidR="00622FC2">
              <w:rPr>
                <w:noProof/>
                <w:webHidden/>
              </w:rPr>
              <w:fldChar w:fldCharType="separate"/>
            </w:r>
            <w:r w:rsidR="00622FC2">
              <w:rPr>
                <w:noProof/>
                <w:webHidden/>
              </w:rPr>
              <w:t>3</w:t>
            </w:r>
            <w:r w:rsidR="00622FC2">
              <w:rPr>
                <w:noProof/>
                <w:webHidden/>
              </w:rPr>
              <w:fldChar w:fldCharType="end"/>
            </w:r>
          </w:hyperlink>
        </w:p>
        <w:p w14:paraId="73F13C12" w14:textId="13382E58" w:rsidR="00622FC2" w:rsidRDefault="0065270C">
          <w:pPr>
            <w:pStyle w:val="TOC2"/>
            <w:tabs>
              <w:tab w:val="right" w:leader="dot" w:pos="9016"/>
            </w:tabs>
            <w:rPr>
              <w:rFonts w:eastAsiaTheme="minorEastAsia"/>
              <w:noProof/>
              <w:lang w:eastAsia="en-AU"/>
            </w:rPr>
          </w:pPr>
          <w:hyperlink w:anchor="_Toc108421957" w:history="1">
            <w:r w:rsidR="00622FC2" w:rsidRPr="00BE4EE6">
              <w:rPr>
                <w:rStyle w:val="Hyperlink"/>
                <w:rFonts w:eastAsia="Calibri"/>
                <w:noProof/>
              </w:rPr>
              <w:t>GROW: Regional Job Creation Initiative</w:t>
            </w:r>
            <w:r w:rsidR="00622FC2">
              <w:rPr>
                <w:noProof/>
                <w:webHidden/>
              </w:rPr>
              <w:tab/>
            </w:r>
            <w:r w:rsidR="00622FC2">
              <w:rPr>
                <w:noProof/>
                <w:webHidden/>
              </w:rPr>
              <w:fldChar w:fldCharType="begin"/>
            </w:r>
            <w:r w:rsidR="00622FC2">
              <w:rPr>
                <w:noProof/>
                <w:webHidden/>
              </w:rPr>
              <w:instrText xml:space="preserve"> PAGEREF _Toc108421957 \h </w:instrText>
            </w:r>
            <w:r w:rsidR="00622FC2">
              <w:rPr>
                <w:noProof/>
                <w:webHidden/>
              </w:rPr>
            </w:r>
            <w:r w:rsidR="00622FC2">
              <w:rPr>
                <w:noProof/>
                <w:webHidden/>
              </w:rPr>
              <w:fldChar w:fldCharType="separate"/>
            </w:r>
            <w:r w:rsidR="00622FC2">
              <w:rPr>
                <w:noProof/>
                <w:webHidden/>
              </w:rPr>
              <w:t>3</w:t>
            </w:r>
            <w:r w:rsidR="00622FC2">
              <w:rPr>
                <w:noProof/>
                <w:webHidden/>
              </w:rPr>
              <w:fldChar w:fldCharType="end"/>
            </w:r>
          </w:hyperlink>
        </w:p>
        <w:p w14:paraId="089A65CB" w14:textId="21083E9F" w:rsidR="00622FC2" w:rsidRDefault="0065270C">
          <w:pPr>
            <w:pStyle w:val="TOC1"/>
            <w:tabs>
              <w:tab w:val="right" w:leader="dot" w:pos="9016"/>
            </w:tabs>
            <w:rPr>
              <w:rFonts w:eastAsiaTheme="minorEastAsia"/>
              <w:noProof/>
              <w:lang w:eastAsia="en-AU"/>
            </w:rPr>
          </w:pPr>
          <w:hyperlink w:anchor="_Toc108421958" w:history="1">
            <w:r w:rsidR="00622FC2" w:rsidRPr="00BE4EE6">
              <w:rPr>
                <w:rStyle w:val="Hyperlink"/>
                <w:noProof/>
              </w:rPr>
              <w:t>Victoria (Local Focus)</w:t>
            </w:r>
            <w:r w:rsidR="00622FC2">
              <w:rPr>
                <w:noProof/>
                <w:webHidden/>
              </w:rPr>
              <w:tab/>
            </w:r>
            <w:r w:rsidR="00622FC2">
              <w:rPr>
                <w:noProof/>
                <w:webHidden/>
              </w:rPr>
              <w:fldChar w:fldCharType="begin"/>
            </w:r>
            <w:r w:rsidR="00622FC2">
              <w:rPr>
                <w:noProof/>
                <w:webHidden/>
              </w:rPr>
              <w:instrText xml:space="preserve"> PAGEREF _Toc108421958 \h </w:instrText>
            </w:r>
            <w:r w:rsidR="00622FC2">
              <w:rPr>
                <w:noProof/>
                <w:webHidden/>
              </w:rPr>
            </w:r>
            <w:r w:rsidR="00622FC2">
              <w:rPr>
                <w:noProof/>
                <w:webHidden/>
              </w:rPr>
              <w:fldChar w:fldCharType="separate"/>
            </w:r>
            <w:r w:rsidR="00622FC2">
              <w:rPr>
                <w:noProof/>
                <w:webHidden/>
              </w:rPr>
              <w:t>4</w:t>
            </w:r>
            <w:r w:rsidR="00622FC2">
              <w:rPr>
                <w:noProof/>
                <w:webHidden/>
              </w:rPr>
              <w:fldChar w:fldCharType="end"/>
            </w:r>
          </w:hyperlink>
        </w:p>
        <w:p w14:paraId="263FDBEA" w14:textId="63464708" w:rsidR="00622FC2" w:rsidRDefault="0065270C">
          <w:pPr>
            <w:pStyle w:val="TOC2"/>
            <w:tabs>
              <w:tab w:val="right" w:leader="dot" w:pos="9016"/>
            </w:tabs>
            <w:rPr>
              <w:rFonts w:eastAsiaTheme="minorEastAsia"/>
              <w:noProof/>
              <w:lang w:eastAsia="en-AU"/>
            </w:rPr>
          </w:pPr>
          <w:hyperlink w:anchor="_Toc108421959" w:history="1">
            <w:r w:rsidR="00622FC2" w:rsidRPr="00BE4EE6">
              <w:rPr>
                <w:rStyle w:val="Hyperlink"/>
                <w:rFonts w:eastAsia="Calibri"/>
                <w:noProof/>
              </w:rPr>
              <w:t>Afghan Youth Girls Bike Skills Workshops: Building Social Inclusion Via Sport</w:t>
            </w:r>
            <w:r w:rsidR="00622FC2">
              <w:rPr>
                <w:noProof/>
                <w:webHidden/>
              </w:rPr>
              <w:tab/>
            </w:r>
            <w:r w:rsidR="00622FC2">
              <w:rPr>
                <w:noProof/>
                <w:webHidden/>
              </w:rPr>
              <w:fldChar w:fldCharType="begin"/>
            </w:r>
            <w:r w:rsidR="00622FC2">
              <w:rPr>
                <w:noProof/>
                <w:webHidden/>
              </w:rPr>
              <w:instrText xml:space="preserve"> PAGEREF _Toc108421959 \h </w:instrText>
            </w:r>
            <w:r w:rsidR="00622FC2">
              <w:rPr>
                <w:noProof/>
                <w:webHidden/>
              </w:rPr>
            </w:r>
            <w:r w:rsidR="00622FC2">
              <w:rPr>
                <w:noProof/>
                <w:webHidden/>
              </w:rPr>
              <w:fldChar w:fldCharType="separate"/>
            </w:r>
            <w:r w:rsidR="00622FC2">
              <w:rPr>
                <w:noProof/>
                <w:webHidden/>
              </w:rPr>
              <w:t>4</w:t>
            </w:r>
            <w:r w:rsidR="00622FC2">
              <w:rPr>
                <w:noProof/>
                <w:webHidden/>
              </w:rPr>
              <w:fldChar w:fldCharType="end"/>
            </w:r>
          </w:hyperlink>
        </w:p>
        <w:p w14:paraId="7AE45833" w14:textId="47FDAD54" w:rsidR="00622FC2" w:rsidRDefault="0065270C">
          <w:pPr>
            <w:pStyle w:val="TOC2"/>
            <w:tabs>
              <w:tab w:val="right" w:leader="dot" w:pos="9016"/>
            </w:tabs>
            <w:rPr>
              <w:rFonts w:eastAsiaTheme="minorEastAsia"/>
              <w:noProof/>
              <w:lang w:eastAsia="en-AU"/>
            </w:rPr>
          </w:pPr>
          <w:hyperlink w:anchor="_Toc108421960" w:history="1">
            <w:r w:rsidR="00622FC2" w:rsidRPr="00BE4EE6">
              <w:rPr>
                <w:rStyle w:val="Hyperlink"/>
                <w:noProof/>
              </w:rPr>
              <w:t>Fawkner Commons (Fair Share Fare): Food Security and Creative Community-Building</w:t>
            </w:r>
            <w:r w:rsidR="00622FC2">
              <w:rPr>
                <w:noProof/>
                <w:webHidden/>
              </w:rPr>
              <w:tab/>
            </w:r>
            <w:r w:rsidR="00622FC2">
              <w:rPr>
                <w:noProof/>
                <w:webHidden/>
              </w:rPr>
              <w:fldChar w:fldCharType="begin"/>
            </w:r>
            <w:r w:rsidR="00622FC2">
              <w:rPr>
                <w:noProof/>
                <w:webHidden/>
              </w:rPr>
              <w:instrText xml:space="preserve"> PAGEREF _Toc108421960 \h </w:instrText>
            </w:r>
            <w:r w:rsidR="00622FC2">
              <w:rPr>
                <w:noProof/>
                <w:webHidden/>
              </w:rPr>
            </w:r>
            <w:r w:rsidR="00622FC2">
              <w:rPr>
                <w:noProof/>
                <w:webHidden/>
              </w:rPr>
              <w:fldChar w:fldCharType="separate"/>
            </w:r>
            <w:r w:rsidR="00622FC2">
              <w:rPr>
                <w:noProof/>
                <w:webHidden/>
              </w:rPr>
              <w:t>5</w:t>
            </w:r>
            <w:r w:rsidR="00622FC2">
              <w:rPr>
                <w:noProof/>
                <w:webHidden/>
              </w:rPr>
              <w:fldChar w:fldCharType="end"/>
            </w:r>
          </w:hyperlink>
        </w:p>
        <w:p w14:paraId="2518A593" w14:textId="78CCB38F" w:rsidR="00622FC2" w:rsidRDefault="0065270C">
          <w:pPr>
            <w:pStyle w:val="TOC2"/>
            <w:tabs>
              <w:tab w:val="right" w:leader="dot" w:pos="9016"/>
            </w:tabs>
            <w:rPr>
              <w:rFonts w:eastAsiaTheme="minorEastAsia"/>
              <w:noProof/>
              <w:lang w:eastAsia="en-AU"/>
            </w:rPr>
          </w:pPr>
          <w:hyperlink w:anchor="_Toc108421961" w:history="1">
            <w:r w:rsidR="00622FC2" w:rsidRPr="00BE4EE6">
              <w:rPr>
                <w:rStyle w:val="Hyperlink"/>
                <w:rFonts w:eastAsia="Calibri"/>
                <w:noProof/>
              </w:rPr>
              <w:t>Streets Ahead: Active Travel and Mobility for Primary School Kids</w:t>
            </w:r>
            <w:r w:rsidR="00622FC2">
              <w:rPr>
                <w:noProof/>
                <w:webHidden/>
              </w:rPr>
              <w:tab/>
            </w:r>
            <w:r w:rsidR="00622FC2">
              <w:rPr>
                <w:noProof/>
                <w:webHidden/>
              </w:rPr>
              <w:fldChar w:fldCharType="begin"/>
            </w:r>
            <w:r w:rsidR="00622FC2">
              <w:rPr>
                <w:noProof/>
                <w:webHidden/>
              </w:rPr>
              <w:instrText xml:space="preserve"> PAGEREF _Toc108421961 \h </w:instrText>
            </w:r>
            <w:r w:rsidR="00622FC2">
              <w:rPr>
                <w:noProof/>
                <w:webHidden/>
              </w:rPr>
            </w:r>
            <w:r w:rsidR="00622FC2">
              <w:rPr>
                <w:noProof/>
                <w:webHidden/>
              </w:rPr>
              <w:fldChar w:fldCharType="separate"/>
            </w:r>
            <w:r w:rsidR="00622FC2">
              <w:rPr>
                <w:noProof/>
                <w:webHidden/>
              </w:rPr>
              <w:t>6</w:t>
            </w:r>
            <w:r w:rsidR="00622FC2">
              <w:rPr>
                <w:noProof/>
                <w:webHidden/>
              </w:rPr>
              <w:fldChar w:fldCharType="end"/>
            </w:r>
          </w:hyperlink>
        </w:p>
        <w:p w14:paraId="3D94B46C" w14:textId="34585D72" w:rsidR="00622FC2" w:rsidRDefault="0065270C">
          <w:pPr>
            <w:pStyle w:val="TOC2"/>
            <w:tabs>
              <w:tab w:val="right" w:leader="dot" w:pos="9016"/>
            </w:tabs>
            <w:rPr>
              <w:rFonts w:eastAsiaTheme="minorEastAsia"/>
              <w:noProof/>
              <w:lang w:eastAsia="en-AU"/>
            </w:rPr>
          </w:pPr>
          <w:hyperlink w:anchor="_Toc108421962" w:history="1">
            <w:r w:rsidR="00622FC2" w:rsidRPr="00BE4EE6">
              <w:rPr>
                <w:rStyle w:val="Hyperlink"/>
                <w:noProof/>
              </w:rPr>
              <w:t>Ten Ideas, Three Ventures: Improving Mental Health for Young South Sudanese Australians</w:t>
            </w:r>
            <w:r w:rsidR="00622FC2">
              <w:rPr>
                <w:noProof/>
                <w:webHidden/>
              </w:rPr>
              <w:tab/>
            </w:r>
            <w:r w:rsidR="00622FC2">
              <w:rPr>
                <w:noProof/>
                <w:webHidden/>
              </w:rPr>
              <w:fldChar w:fldCharType="begin"/>
            </w:r>
            <w:r w:rsidR="00622FC2">
              <w:rPr>
                <w:noProof/>
                <w:webHidden/>
              </w:rPr>
              <w:instrText xml:space="preserve"> PAGEREF _Toc108421962 \h </w:instrText>
            </w:r>
            <w:r w:rsidR="00622FC2">
              <w:rPr>
                <w:noProof/>
                <w:webHidden/>
              </w:rPr>
            </w:r>
            <w:r w:rsidR="00622FC2">
              <w:rPr>
                <w:noProof/>
                <w:webHidden/>
              </w:rPr>
              <w:fldChar w:fldCharType="separate"/>
            </w:r>
            <w:r w:rsidR="00622FC2">
              <w:rPr>
                <w:noProof/>
                <w:webHidden/>
              </w:rPr>
              <w:t>7</w:t>
            </w:r>
            <w:r w:rsidR="00622FC2">
              <w:rPr>
                <w:noProof/>
                <w:webHidden/>
              </w:rPr>
              <w:fldChar w:fldCharType="end"/>
            </w:r>
          </w:hyperlink>
        </w:p>
        <w:p w14:paraId="0CDA59AC" w14:textId="3BB64B9E" w:rsidR="00622FC2" w:rsidRDefault="0065270C">
          <w:pPr>
            <w:pStyle w:val="TOC2"/>
            <w:tabs>
              <w:tab w:val="right" w:leader="dot" w:pos="9016"/>
            </w:tabs>
            <w:rPr>
              <w:rFonts w:eastAsiaTheme="minorEastAsia"/>
              <w:noProof/>
              <w:lang w:eastAsia="en-AU"/>
            </w:rPr>
          </w:pPr>
          <w:hyperlink w:anchor="_Toc108421963" w:history="1">
            <w:r w:rsidR="00622FC2" w:rsidRPr="00BE4EE6">
              <w:rPr>
                <w:rStyle w:val="Hyperlink"/>
                <w:noProof/>
              </w:rPr>
              <w:t>Neighbourhood Renewal Program: Place-Based Initiative to Tackle Locational Disadvantage</w:t>
            </w:r>
            <w:r w:rsidR="00622FC2">
              <w:rPr>
                <w:noProof/>
                <w:webHidden/>
              </w:rPr>
              <w:tab/>
            </w:r>
            <w:r w:rsidR="00622FC2">
              <w:rPr>
                <w:noProof/>
                <w:webHidden/>
              </w:rPr>
              <w:fldChar w:fldCharType="begin"/>
            </w:r>
            <w:r w:rsidR="00622FC2">
              <w:rPr>
                <w:noProof/>
                <w:webHidden/>
              </w:rPr>
              <w:instrText xml:space="preserve"> PAGEREF _Toc108421963 \h </w:instrText>
            </w:r>
            <w:r w:rsidR="00622FC2">
              <w:rPr>
                <w:noProof/>
                <w:webHidden/>
              </w:rPr>
            </w:r>
            <w:r w:rsidR="00622FC2">
              <w:rPr>
                <w:noProof/>
                <w:webHidden/>
              </w:rPr>
              <w:fldChar w:fldCharType="separate"/>
            </w:r>
            <w:r w:rsidR="00622FC2">
              <w:rPr>
                <w:noProof/>
                <w:webHidden/>
              </w:rPr>
              <w:t>8</w:t>
            </w:r>
            <w:r w:rsidR="00622FC2">
              <w:rPr>
                <w:noProof/>
                <w:webHidden/>
              </w:rPr>
              <w:fldChar w:fldCharType="end"/>
            </w:r>
          </w:hyperlink>
        </w:p>
        <w:p w14:paraId="2FAEC512" w14:textId="1EE01F2E" w:rsidR="00622FC2" w:rsidRDefault="0065270C">
          <w:pPr>
            <w:pStyle w:val="TOC2"/>
            <w:tabs>
              <w:tab w:val="right" w:leader="dot" w:pos="9016"/>
            </w:tabs>
            <w:rPr>
              <w:rFonts w:eastAsiaTheme="minorEastAsia"/>
              <w:noProof/>
              <w:lang w:eastAsia="en-AU"/>
            </w:rPr>
          </w:pPr>
          <w:hyperlink w:anchor="_Toc108421964" w:history="1">
            <w:r w:rsidR="00622FC2" w:rsidRPr="00BE4EE6">
              <w:rPr>
                <w:rStyle w:val="Hyperlink"/>
                <w:rFonts w:eastAsia="Calibri"/>
                <w:noProof/>
              </w:rPr>
              <w:t>Shutterbugs + I Heart Maryborough: Community Photography Projects</w:t>
            </w:r>
            <w:r w:rsidR="00622FC2">
              <w:rPr>
                <w:noProof/>
                <w:webHidden/>
              </w:rPr>
              <w:tab/>
            </w:r>
            <w:r w:rsidR="00622FC2">
              <w:rPr>
                <w:noProof/>
                <w:webHidden/>
              </w:rPr>
              <w:fldChar w:fldCharType="begin"/>
            </w:r>
            <w:r w:rsidR="00622FC2">
              <w:rPr>
                <w:noProof/>
                <w:webHidden/>
              </w:rPr>
              <w:instrText xml:space="preserve"> PAGEREF _Toc108421964 \h </w:instrText>
            </w:r>
            <w:r w:rsidR="00622FC2">
              <w:rPr>
                <w:noProof/>
                <w:webHidden/>
              </w:rPr>
            </w:r>
            <w:r w:rsidR="00622FC2">
              <w:rPr>
                <w:noProof/>
                <w:webHidden/>
              </w:rPr>
              <w:fldChar w:fldCharType="separate"/>
            </w:r>
            <w:r w:rsidR="00622FC2">
              <w:rPr>
                <w:noProof/>
                <w:webHidden/>
              </w:rPr>
              <w:t>9</w:t>
            </w:r>
            <w:r w:rsidR="00622FC2">
              <w:rPr>
                <w:noProof/>
                <w:webHidden/>
              </w:rPr>
              <w:fldChar w:fldCharType="end"/>
            </w:r>
          </w:hyperlink>
        </w:p>
        <w:p w14:paraId="5ECB161C" w14:textId="3DDB282F" w:rsidR="00622FC2" w:rsidRDefault="0065270C">
          <w:pPr>
            <w:pStyle w:val="TOC1"/>
            <w:tabs>
              <w:tab w:val="right" w:leader="dot" w:pos="9016"/>
            </w:tabs>
            <w:rPr>
              <w:rFonts w:eastAsiaTheme="minorEastAsia"/>
              <w:noProof/>
              <w:lang w:eastAsia="en-AU"/>
            </w:rPr>
          </w:pPr>
          <w:hyperlink w:anchor="_Toc108421965" w:history="1">
            <w:r w:rsidR="00622FC2" w:rsidRPr="00BE4EE6">
              <w:rPr>
                <w:rStyle w:val="Hyperlink"/>
                <w:noProof/>
              </w:rPr>
              <w:t>New South Wales</w:t>
            </w:r>
            <w:r w:rsidR="00622FC2">
              <w:rPr>
                <w:noProof/>
                <w:webHidden/>
              </w:rPr>
              <w:tab/>
            </w:r>
            <w:r w:rsidR="00622FC2">
              <w:rPr>
                <w:noProof/>
                <w:webHidden/>
              </w:rPr>
              <w:fldChar w:fldCharType="begin"/>
            </w:r>
            <w:r w:rsidR="00622FC2">
              <w:rPr>
                <w:noProof/>
                <w:webHidden/>
              </w:rPr>
              <w:instrText xml:space="preserve"> PAGEREF _Toc108421965 \h </w:instrText>
            </w:r>
            <w:r w:rsidR="00622FC2">
              <w:rPr>
                <w:noProof/>
                <w:webHidden/>
              </w:rPr>
            </w:r>
            <w:r w:rsidR="00622FC2">
              <w:rPr>
                <w:noProof/>
                <w:webHidden/>
              </w:rPr>
              <w:fldChar w:fldCharType="separate"/>
            </w:r>
            <w:r w:rsidR="00622FC2">
              <w:rPr>
                <w:noProof/>
                <w:webHidden/>
              </w:rPr>
              <w:t>10</w:t>
            </w:r>
            <w:r w:rsidR="00622FC2">
              <w:rPr>
                <w:noProof/>
                <w:webHidden/>
              </w:rPr>
              <w:fldChar w:fldCharType="end"/>
            </w:r>
          </w:hyperlink>
        </w:p>
        <w:p w14:paraId="301C1075" w14:textId="1C3D262A" w:rsidR="00622FC2" w:rsidRDefault="0065270C">
          <w:pPr>
            <w:pStyle w:val="TOC2"/>
            <w:tabs>
              <w:tab w:val="right" w:leader="dot" w:pos="9016"/>
            </w:tabs>
            <w:rPr>
              <w:rFonts w:eastAsiaTheme="minorEastAsia"/>
              <w:noProof/>
              <w:lang w:eastAsia="en-AU"/>
            </w:rPr>
          </w:pPr>
          <w:hyperlink w:anchor="_Toc108421966" w:history="1">
            <w:r w:rsidR="00622FC2" w:rsidRPr="00BE4EE6">
              <w:rPr>
                <w:rStyle w:val="Hyperlink"/>
                <w:rFonts w:eastAsia="Calibri"/>
                <w:noProof/>
              </w:rPr>
              <w:t>The Digital Age Project: Digital Inclusion for Older Social Housing Residents</w:t>
            </w:r>
            <w:r w:rsidR="00622FC2">
              <w:rPr>
                <w:noProof/>
                <w:webHidden/>
              </w:rPr>
              <w:tab/>
            </w:r>
            <w:r w:rsidR="00622FC2">
              <w:rPr>
                <w:noProof/>
                <w:webHidden/>
              </w:rPr>
              <w:fldChar w:fldCharType="begin"/>
            </w:r>
            <w:r w:rsidR="00622FC2">
              <w:rPr>
                <w:noProof/>
                <w:webHidden/>
              </w:rPr>
              <w:instrText xml:space="preserve"> PAGEREF _Toc108421966 \h </w:instrText>
            </w:r>
            <w:r w:rsidR="00622FC2">
              <w:rPr>
                <w:noProof/>
                <w:webHidden/>
              </w:rPr>
            </w:r>
            <w:r w:rsidR="00622FC2">
              <w:rPr>
                <w:noProof/>
                <w:webHidden/>
              </w:rPr>
              <w:fldChar w:fldCharType="separate"/>
            </w:r>
            <w:r w:rsidR="00622FC2">
              <w:rPr>
                <w:noProof/>
                <w:webHidden/>
              </w:rPr>
              <w:t>10</w:t>
            </w:r>
            <w:r w:rsidR="00622FC2">
              <w:rPr>
                <w:noProof/>
                <w:webHidden/>
              </w:rPr>
              <w:fldChar w:fldCharType="end"/>
            </w:r>
          </w:hyperlink>
        </w:p>
        <w:p w14:paraId="3FB01BA4" w14:textId="55785F63" w:rsidR="00622FC2" w:rsidRDefault="0065270C">
          <w:pPr>
            <w:pStyle w:val="TOC1"/>
            <w:tabs>
              <w:tab w:val="right" w:leader="dot" w:pos="9016"/>
            </w:tabs>
            <w:rPr>
              <w:rFonts w:eastAsiaTheme="minorEastAsia"/>
              <w:noProof/>
              <w:lang w:eastAsia="en-AU"/>
            </w:rPr>
          </w:pPr>
          <w:hyperlink w:anchor="_Toc108421967" w:history="1">
            <w:r w:rsidR="00622FC2" w:rsidRPr="00BE4EE6">
              <w:rPr>
                <w:rStyle w:val="Hyperlink"/>
                <w:rFonts w:eastAsia="Calibri"/>
                <w:noProof/>
              </w:rPr>
              <w:t>South Australia</w:t>
            </w:r>
            <w:r w:rsidR="00622FC2">
              <w:rPr>
                <w:noProof/>
                <w:webHidden/>
              </w:rPr>
              <w:tab/>
            </w:r>
            <w:r w:rsidR="00622FC2">
              <w:rPr>
                <w:noProof/>
                <w:webHidden/>
              </w:rPr>
              <w:fldChar w:fldCharType="begin"/>
            </w:r>
            <w:r w:rsidR="00622FC2">
              <w:rPr>
                <w:noProof/>
                <w:webHidden/>
              </w:rPr>
              <w:instrText xml:space="preserve"> PAGEREF _Toc108421967 \h </w:instrText>
            </w:r>
            <w:r w:rsidR="00622FC2">
              <w:rPr>
                <w:noProof/>
                <w:webHidden/>
              </w:rPr>
            </w:r>
            <w:r w:rsidR="00622FC2">
              <w:rPr>
                <w:noProof/>
                <w:webHidden/>
              </w:rPr>
              <w:fldChar w:fldCharType="separate"/>
            </w:r>
            <w:r w:rsidR="00622FC2">
              <w:rPr>
                <w:noProof/>
                <w:webHidden/>
              </w:rPr>
              <w:t>11</w:t>
            </w:r>
            <w:r w:rsidR="00622FC2">
              <w:rPr>
                <w:noProof/>
                <w:webHidden/>
              </w:rPr>
              <w:fldChar w:fldCharType="end"/>
            </w:r>
          </w:hyperlink>
        </w:p>
        <w:p w14:paraId="622132D3" w14:textId="2C44B061" w:rsidR="00622FC2" w:rsidRDefault="0065270C">
          <w:pPr>
            <w:pStyle w:val="TOC2"/>
            <w:tabs>
              <w:tab w:val="right" w:leader="dot" w:pos="9016"/>
            </w:tabs>
            <w:rPr>
              <w:rFonts w:eastAsiaTheme="minorEastAsia"/>
              <w:noProof/>
              <w:lang w:eastAsia="en-AU"/>
            </w:rPr>
          </w:pPr>
          <w:hyperlink w:anchor="_Toc108421968" w:history="1">
            <w:r w:rsidR="00622FC2" w:rsidRPr="00BE4EE6">
              <w:rPr>
                <w:rStyle w:val="Hyperlink"/>
                <w:rFonts w:eastAsia="Times New Roman"/>
                <w:noProof/>
                <w:lang w:eastAsia="en-AU"/>
              </w:rPr>
              <w:t>Perpetrator Intervention Pilot: Tackling Domestic Violence, Preventing Homelessness</w:t>
            </w:r>
            <w:r w:rsidR="00622FC2">
              <w:rPr>
                <w:noProof/>
                <w:webHidden/>
              </w:rPr>
              <w:tab/>
            </w:r>
            <w:r w:rsidR="00622FC2">
              <w:rPr>
                <w:noProof/>
                <w:webHidden/>
              </w:rPr>
              <w:fldChar w:fldCharType="begin"/>
            </w:r>
            <w:r w:rsidR="00622FC2">
              <w:rPr>
                <w:noProof/>
                <w:webHidden/>
              </w:rPr>
              <w:instrText xml:space="preserve"> PAGEREF _Toc108421968 \h </w:instrText>
            </w:r>
            <w:r w:rsidR="00622FC2">
              <w:rPr>
                <w:noProof/>
                <w:webHidden/>
              </w:rPr>
            </w:r>
            <w:r w:rsidR="00622FC2">
              <w:rPr>
                <w:noProof/>
                <w:webHidden/>
              </w:rPr>
              <w:fldChar w:fldCharType="separate"/>
            </w:r>
            <w:r w:rsidR="00622FC2">
              <w:rPr>
                <w:noProof/>
                <w:webHidden/>
              </w:rPr>
              <w:t>11</w:t>
            </w:r>
            <w:r w:rsidR="00622FC2">
              <w:rPr>
                <w:noProof/>
                <w:webHidden/>
              </w:rPr>
              <w:fldChar w:fldCharType="end"/>
            </w:r>
          </w:hyperlink>
        </w:p>
        <w:p w14:paraId="2EA7B719" w14:textId="26D1DBC7" w:rsidR="00622FC2" w:rsidRDefault="0065270C">
          <w:pPr>
            <w:pStyle w:val="TOC1"/>
            <w:tabs>
              <w:tab w:val="right" w:leader="dot" w:pos="9016"/>
            </w:tabs>
            <w:rPr>
              <w:rFonts w:eastAsiaTheme="minorEastAsia"/>
              <w:noProof/>
              <w:lang w:eastAsia="en-AU"/>
            </w:rPr>
          </w:pPr>
          <w:hyperlink w:anchor="_Toc108421969" w:history="1">
            <w:r w:rsidR="00622FC2" w:rsidRPr="00BE4EE6">
              <w:rPr>
                <w:rStyle w:val="Hyperlink"/>
                <w:noProof/>
              </w:rPr>
              <w:t>National Programs</w:t>
            </w:r>
            <w:r w:rsidR="00622FC2">
              <w:rPr>
                <w:noProof/>
                <w:webHidden/>
              </w:rPr>
              <w:tab/>
            </w:r>
            <w:r w:rsidR="00622FC2">
              <w:rPr>
                <w:noProof/>
                <w:webHidden/>
              </w:rPr>
              <w:fldChar w:fldCharType="begin"/>
            </w:r>
            <w:r w:rsidR="00622FC2">
              <w:rPr>
                <w:noProof/>
                <w:webHidden/>
              </w:rPr>
              <w:instrText xml:space="preserve"> PAGEREF _Toc108421969 \h </w:instrText>
            </w:r>
            <w:r w:rsidR="00622FC2">
              <w:rPr>
                <w:noProof/>
                <w:webHidden/>
              </w:rPr>
            </w:r>
            <w:r w:rsidR="00622FC2">
              <w:rPr>
                <w:noProof/>
                <w:webHidden/>
              </w:rPr>
              <w:fldChar w:fldCharType="separate"/>
            </w:r>
            <w:r w:rsidR="00622FC2">
              <w:rPr>
                <w:noProof/>
                <w:webHidden/>
              </w:rPr>
              <w:t>12</w:t>
            </w:r>
            <w:r w:rsidR="00622FC2">
              <w:rPr>
                <w:noProof/>
                <w:webHidden/>
              </w:rPr>
              <w:fldChar w:fldCharType="end"/>
            </w:r>
          </w:hyperlink>
        </w:p>
        <w:p w14:paraId="732809E1" w14:textId="0F64EDF6" w:rsidR="00622FC2" w:rsidRDefault="0065270C">
          <w:pPr>
            <w:pStyle w:val="TOC2"/>
            <w:tabs>
              <w:tab w:val="right" w:leader="dot" w:pos="9016"/>
            </w:tabs>
            <w:rPr>
              <w:rFonts w:eastAsiaTheme="minorEastAsia"/>
              <w:noProof/>
              <w:lang w:eastAsia="en-AU"/>
            </w:rPr>
          </w:pPr>
          <w:hyperlink w:anchor="_Toc108421970" w:history="1">
            <w:r w:rsidR="00622FC2" w:rsidRPr="00BE4EE6">
              <w:rPr>
                <w:rStyle w:val="Hyperlink"/>
                <w:rFonts w:eastAsia="Calibri"/>
                <w:noProof/>
              </w:rPr>
              <w:t>Angel Next Door: Digital Crowdsourcing App to Connect Neighbours in Need</w:t>
            </w:r>
            <w:r w:rsidR="00622FC2">
              <w:rPr>
                <w:noProof/>
                <w:webHidden/>
              </w:rPr>
              <w:tab/>
            </w:r>
            <w:r w:rsidR="00622FC2">
              <w:rPr>
                <w:noProof/>
                <w:webHidden/>
              </w:rPr>
              <w:fldChar w:fldCharType="begin"/>
            </w:r>
            <w:r w:rsidR="00622FC2">
              <w:rPr>
                <w:noProof/>
                <w:webHidden/>
              </w:rPr>
              <w:instrText xml:space="preserve"> PAGEREF _Toc108421970 \h </w:instrText>
            </w:r>
            <w:r w:rsidR="00622FC2">
              <w:rPr>
                <w:noProof/>
                <w:webHidden/>
              </w:rPr>
            </w:r>
            <w:r w:rsidR="00622FC2">
              <w:rPr>
                <w:noProof/>
                <w:webHidden/>
              </w:rPr>
              <w:fldChar w:fldCharType="separate"/>
            </w:r>
            <w:r w:rsidR="00622FC2">
              <w:rPr>
                <w:noProof/>
                <w:webHidden/>
              </w:rPr>
              <w:t>12</w:t>
            </w:r>
            <w:r w:rsidR="00622FC2">
              <w:rPr>
                <w:noProof/>
                <w:webHidden/>
              </w:rPr>
              <w:fldChar w:fldCharType="end"/>
            </w:r>
          </w:hyperlink>
        </w:p>
        <w:p w14:paraId="620FE7BC" w14:textId="1E02D850" w:rsidR="00622FC2" w:rsidRDefault="0065270C">
          <w:pPr>
            <w:pStyle w:val="TOC1"/>
            <w:tabs>
              <w:tab w:val="right" w:leader="dot" w:pos="9016"/>
            </w:tabs>
            <w:rPr>
              <w:rFonts w:eastAsiaTheme="minorEastAsia"/>
              <w:noProof/>
              <w:lang w:eastAsia="en-AU"/>
            </w:rPr>
          </w:pPr>
          <w:hyperlink w:anchor="_Toc108421971" w:history="1">
            <w:r w:rsidR="00622FC2" w:rsidRPr="00BE4EE6">
              <w:rPr>
                <w:rStyle w:val="Hyperlink"/>
                <w:rFonts w:asciiTheme="majorHAnsi" w:eastAsiaTheme="majorEastAsia" w:hAnsiTheme="majorHAnsi" w:cstheme="majorBidi"/>
                <w:noProof/>
              </w:rPr>
              <w:t>International Case Studies</w:t>
            </w:r>
            <w:r w:rsidR="00622FC2">
              <w:rPr>
                <w:noProof/>
                <w:webHidden/>
              </w:rPr>
              <w:tab/>
            </w:r>
            <w:r w:rsidR="00622FC2">
              <w:rPr>
                <w:noProof/>
                <w:webHidden/>
              </w:rPr>
              <w:fldChar w:fldCharType="begin"/>
            </w:r>
            <w:r w:rsidR="00622FC2">
              <w:rPr>
                <w:noProof/>
                <w:webHidden/>
              </w:rPr>
              <w:instrText xml:space="preserve"> PAGEREF _Toc108421971 \h </w:instrText>
            </w:r>
            <w:r w:rsidR="00622FC2">
              <w:rPr>
                <w:noProof/>
                <w:webHidden/>
              </w:rPr>
            </w:r>
            <w:r w:rsidR="00622FC2">
              <w:rPr>
                <w:noProof/>
                <w:webHidden/>
              </w:rPr>
              <w:fldChar w:fldCharType="separate"/>
            </w:r>
            <w:r w:rsidR="00622FC2">
              <w:rPr>
                <w:noProof/>
                <w:webHidden/>
              </w:rPr>
              <w:t>12</w:t>
            </w:r>
            <w:r w:rsidR="00622FC2">
              <w:rPr>
                <w:noProof/>
                <w:webHidden/>
              </w:rPr>
              <w:fldChar w:fldCharType="end"/>
            </w:r>
          </w:hyperlink>
        </w:p>
        <w:p w14:paraId="1739FFD3" w14:textId="2E3DE2D0" w:rsidR="00622FC2" w:rsidRDefault="0065270C">
          <w:pPr>
            <w:pStyle w:val="TOC2"/>
            <w:tabs>
              <w:tab w:val="right" w:leader="dot" w:pos="9016"/>
            </w:tabs>
            <w:rPr>
              <w:rFonts w:eastAsiaTheme="minorEastAsia"/>
              <w:noProof/>
              <w:lang w:eastAsia="en-AU"/>
            </w:rPr>
          </w:pPr>
          <w:hyperlink w:anchor="_Toc108421972" w:history="1">
            <w:r w:rsidR="00622FC2" w:rsidRPr="00BE4EE6">
              <w:rPr>
                <w:rStyle w:val="Hyperlink"/>
                <w:rFonts w:eastAsia="Times New Roman"/>
                <w:noProof/>
                <w:lang w:eastAsia="en-AU"/>
              </w:rPr>
              <w:t>Best Babies Zone: Place-based Multisector Program to Reduce Health Inequalities</w:t>
            </w:r>
            <w:r w:rsidR="00622FC2">
              <w:rPr>
                <w:noProof/>
                <w:webHidden/>
              </w:rPr>
              <w:tab/>
            </w:r>
            <w:r w:rsidR="00622FC2">
              <w:rPr>
                <w:noProof/>
                <w:webHidden/>
              </w:rPr>
              <w:fldChar w:fldCharType="begin"/>
            </w:r>
            <w:r w:rsidR="00622FC2">
              <w:rPr>
                <w:noProof/>
                <w:webHidden/>
              </w:rPr>
              <w:instrText xml:space="preserve"> PAGEREF _Toc108421972 \h </w:instrText>
            </w:r>
            <w:r w:rsidR="00622FC2">
              <w:rPr>
                <w:noProof/>
                <w:webHidden/>
              </w:rPr>
            </w:r>
            <w:r w:rsidR="00622FC2">
              <w:rPr>
                <w:noProof/>
                <w:webHidden/>
              </w:rPr>
              <w:fldChar w:fldCharType="separate"/>
            </w:r>
            <w:r w:rsidR="00622FC2">
              <w:rPr>
                <w:noProof/>
                <w:webHidden/>
              </w:rPr>
              <w:t>12</w:t>
            </w:r>
            <w:r w:rsidR="00622FC2">
              <w:rPr>
                <w:noProof/>
                <w:webHidden/>
              </w:rPr>
              <w:fldChar w:fldCharType="end"/>
            </w:r>
          </w:hyperlink>
        </w:p>
        <w:p w14:paraId="2718040A" w14:textId="208AE925" w:rsidR="00622FC2" w:rsidRDefault="0065270C">
          <w:pPr>
            <w:pStyle w:val="TOC2"/>
            <w:tabs>
              <w:tab w:val="right" w:leader="dot" w:pos="9016"/>
            </w:tabs>
            <w:rPr>
              <w:rFonts w:eastAsiaTheme="minorEastAsia"/>
              <w:noProof/>
              <w:lang w:eastAsia="en-AU"/>
            </w:rPr>
          </w:pPr>
          <w:hyperlink w:anchor="_Toc108421973" w:history="1">
            <w:r w:rsidR="00622FC2" w:rsidRPr="00BE4EE6">
              <w:rPr>
                <w:rStyle w:val="Hyperlink"/>
                <w:noProof/>
              </w:rPr>
              <w:t>Sustainable South Bronx Project: Urban Greening, Training, and Local Job Creation</w:t>
            </w:r>
            <w:r w:rsidR="00622FC2">
              <w:rPr>
                <w:noProof/>
                <w:webHidden/>
              </w:rPr>
              <w:tab/>
            </w:r>
            <w:r w:rsidR="00622FC2">
              <w:rPr>
                <w:noProof/>
                <w:webHidden/>
              </w:rPr>
              <w:fldChar w:fldCharType="begin"/>
            </w:r>
            <w:r w:rsidR="00622FC2">
              <w:rPr>
                <w:noProof/>
                <w:webHidden/>
              </w:rPr>
              <w:instrText xml:space="preserve"> PAGEREF _Toc108421973 \h </w:instrText>
            </w:r>
            <w:r w:rsidR="00622FC2">
              <w:rPr>
                <w:noProof/>
                <w:webHidden/>
              </w:rPr>
            </w:r>
            <w:r w:rsidR="00622FC2">
              <w:rPr>
                <w:noProof/>
                <w:webHidden/>
              </w:rPr>
              <w:fldChar w:fldCharType="separate"/>
            </w:r>
            <w:r w:rsidR="00622FC2">
              <w:rPr>
                <w:noProof/>
                <w:webHidden/>
              </w:rPr>
              <w:t>14</w:t>
            </w:r>
            <w:r w:rsidR="00622FC2">
              <w:rPr>
                <w:noProof/>
                <w:webHidden/>
              </w:rPr>
              <w:fldChar w:fldCharType="end"/>
            </w:r>
          </w:hyperlink>
        </w:p>
        <w:p w14:paraId="5F5FCAEC" w14:textId="71118958" w:rsidR="00622FC2" w:rsidRDefault="0065270C">
          <w:pPr>
            <w:pStyle w:val="TOC2"/>
            <w:tabs>
              <w:tab w:val="right" w:leader="dot" w:pos="9016"/>
            </w:tabs>
            <w:rPr>
              <w:rFonts w:eastAsiaTheme="minorEastAsia"/>
              <w:noProof/>
              <w:lang w:eastAsia="en-AU"/>
            </w:rPr>
          </w:pPr>
          <w:hyperlink w:anchor="_Toc108421974" w:history="1">
            <w:r w:rsidR="00622FC2" w:rsidRPr="00BE4EE6">
              <w:rPr>
                <w:rStyle w:val="Hyperlink"/>
                <w:noProof/>
              </w:rPr>
              <w:t>Detroit City of Design Competition: Design Prototypes for Safe, Walkable Neighbourhoods</w:t>
            </w:r>
            <w:r w:rsidR="00622FC2">
              <w:rPr>
                <w:noProof/>
                <w:webHidden/>
              </w:rPr>
              <w:tab/>
            </w:r>
            <w:r w:rsidR="00622FC2">
              <w:rPr>
                <w:noProof/>
                <w:webHidden/>
              </w:rPr>
              <w:fldChar w:fldCharType="begin"/>
            </w:r>
            <w:r w:rsidR="00622FC2">
              <w:rPr>
                <w:noProof/>
                <w:webHidden/>
              </w:rPr>
              <w:instrText xml:space="preserve"> PAGEREF _Toc108421974 \h </w:instrText>
            </w:r>
            <w:r w:rsidR="00622FC2">
              <w:rPr>
                <w:noProof/>
                <w:webHidden/>
              </w:rPr>
            </w:r>
            <w:r w:rsidR="00622FC2">
              <w:rPr>
                <w:noProof/>
                <w:webHidden/>
              </w:rPr>
              <w:fldChar w:fldCharType="separate"/>
            </w:r>
            <w:r w:rsidR="00622FC2">
              <w:rPr>
                <w:noProof/>
                <w:webHidden/>
              </w:rPr>
              <w:t>15</w:t>
            </w:r>
            <w:r w:rsidR="00622FC2">
              <w:rPr>
                <w:noProof/>
                <w:webHidden/>
              </w:rPr>
              <w:fldChar w:fldCharType="end"/>
            </w:r>
          </w:hyperlink>
        </w:p>
        <w:p w14:paraId="78F8B106" w14:textId="1874F0BE" w:rsidR="00622FC2" w:rsidRDefault="0065270C">
          <w:pPr>
            <w:pStyle w:val="TOC2"/>
            <w:tabs>
              <w:tab w:val="right" w:leader="dot" w:pos="9016"/>
            </w:tabs>
            <w:rPr>
              <w:rFonts w:eastAsiaTheme="minorEastAsia"/>
              <w:noProof/>
              <w:lang w:eastAsia="en-AU"/>
            </w:rPr>
          </w:pPr>
          <w:hyperlink w:anchor="_Toc108421975" w:history="1">
            <w:r w:rsidR="00622FC2" w:rsidRPr="00BE4EE6">
              <w:rPr>
                <w:rStyle w:val="Hyperlink"/>
                <w:noProof/>
              </w:rPr>
              <w:t>Festival of Neighbourhoods: Urban Regeneration Through Neighbourhood Collaboration</w:t>
            </w:r>
            <w:r w:rsidR="00622FC2">
              <w:rPr>
                <w:noProof/>
                <w:webHidden/>
              </w:rPr>
              <w:tab/>
            </w:r>
            <w:r w:rsidR="00622FC2">
              <w:rPr>
                <w:noProof/>
                <w:webHidden/>
              </w:rPr>
              <w:fldChar w:fldCharType="begin"/>
            </w:r>
            <w:r w:rsidR="00622FC2">
              <w:rPr>
                <w:noProof/>
                <w:webHidden/>
              </w:rPr>
              <w:instrText xml:space="preserve"> PAGEREF _Toc108421975 \h </w:instrText>
            </w:r>
            <w:r w:rsidR="00622FC2">
              <w:rPr>
                <w:noProof/>
                <w:webHidden/>
              </w:rPr>
            </w:r>
            <w:r w:rsidR="00622FC2">
              <w:rPr>
                <w:noProof/>
                <w:webHidden/>
              </w:rPr>
              <w:fldChar w:fldCharType="separate"/>
            </w:r>
            <w:r w:rsidR="00622FC2">
              <w:rPr>
                <w:noProof/>
                <w:webHidden/>
              </w:rPr>
              <w:t>16</w:t>
            </w:r>
            <w:r w:rsidR="00622FC2">
              <w:rPr>
                <w:noProof/>
                <w:webHidden/>
              </w:rPr>
              <w:fldChar w:fldCharType="end"/>
            </w:r>
          </w:hyperlink>
        </w:p>
        <w:p w14:paraId="77AC2598" w14:textId="5C5E90C2" w:rsidR="00622FC2" w:rsidRDefault="0065270C">
          <w:pPr>
            <w:pStyle w:val="TOC2"/>
            <w:tabs>
              <w:tab w:val="right" w:leader="dot" w:pos="9016"/>
            </w:tabs>
            <w:rPr>
              <w:rFonts w:eastAsiaTheme="minorEastAsia"/>
              <w:noProof/>
              <w:lang w:eastAsia="en-AU"/>
            </w:rPr>
          </w:pPr>
          <w:hyperlink w:anchor="_Toc108421976" w:history="1">
            <w:r w:rsidR="00622FC2" w:rsidRPr="00BE4EE6">
              <w:rPr>
                <w:rStyle w:val="Hyperlink"/>
                <w:noProof/>
              </w:rPr>
              <w:t>The Broomhill Project: Arts-led Community Regeneration and Public Housing Upgrade</w:t>
            </w:r>
            <w:r w:rsidR="00622FC2">
              <w:rPr>
                <w:noProof/>
                <w:webHidden/>
              </w:rPr>
              <w:tab/>
            </w:r>
            <w:r w:rsidR="00622FC2">
              <w:rPr>
                <w:noProof/>
                <w:webHidden/>
              </w:rPr>
              <w:fldChar w:fldCharType="begin"/>
            </w:r>
            <w:r w:rsidR="00622FC2">
              <w:rPr>
                <w:noProof/>
                <w:webHidden/>
              </w:rPr>
              <w:instrText xml:space="preserve"> PAGEREF _Toc108421976 \h </w:instrText>
            </w:r>
            <w:r w:rsidR="00622FC2">
              <w:rPr>
                <w:noProof/>
                <w:webHidden/>
              </w:rPr>
            </w:r>
            <w:r w:rsidR="00622FC2">
              <w:rPr>
                <w:noProof/>
                <w:webHidden/>
              </w:rPr>
              <w:fldChar w:fldCharType="separate"/>
            </w:r>
            <w:r w:rsidR="00622FC2">
              <w:rPr>
                <w:noProof/>
                <w:webHidden/>
              </w:rPr>
              <w:t>17</w:t>
            </w:r>
            <w:r w:rsidR="00622FC2">
              <w:rPr>
                <w:noProof/>
                <w:webHidden/>
              </w:rPr>
              <w:fldChar w:fldCharType="end"/>
            </w:r>
          </w:hyperlink>
        </w:p>
        <w:p w14:paraId="222B2025" w14:textId="0EDC1958" w:rsidR="00622FC2" w:rsidRDefault="0065270C">
          <w:pPr>
            <w:pStyle w:val="TOC2"/>
            <w:tabs>
              <w:tab w:val="right" w:leader="dot" w:pos="9016"/>
            </w:tabs>
            <w:rPr>
              <w:rFonts w:eastAsiaTheme="minorEastAsia"/>
              <w:noProof/>
              <w:lang w:eastAsia="en-AU"/>
            </w:rPr>
          </w:pPr>
          <w:hyperlink w:anchor="_Toc108421977" w:history="1">
            <w:r w:rsidR="00622FC2" w:rsidRPr="00BE4EE6">
              <w:rPr>
                <w:rStyle w:val="Hyperlink"/>
                <w:noProof/>
              </w:rPr>
              <w:t>My Community Matters: Asset-based Community Development Tackling Health Inequalities</w:t>
            </w:r>
            <w:r w:rsidR="00622FC2">
              <w:rPr>
                <w:noProof/>
                <w:webHidden/>
              </w:rPr>
              <w:tab/>
            </w:r>
            <w:r w:rsidR="00622FC2">
              <w:rPr>
                <w:noProof/>
                <w:webHidden/>
              </w:rPr>
              <w:fldChar w:fldCharType="begin"/>
            </w:r>
            <w:r w:rsidR="00622FC2">
              <w:rPr>
                <w:noProof/>
                <w:webHidden/>
              </w:rPr>
              <w:instrText xml:space="preserve"> PAGEREF _Toc108421977 \h </w:instrText>
            </w:r>
            <w:r w:rsidR="00622FC2">
              <w:rPr>
                <w:noProof/>
                <w:webHidden/>
              </w:rPr>
            </w:r>
            <w:r w:rsidR="00622FC2">
              <w:rPr>
                <w:noProof/>
                <w:webHidden/>
              </w:rPr>
              <w:fldChar w:fldCharType="separate"/>
            </w:r>
            <w:r w:rsidR="00622FC2">
              <w:rPr>
                <w:noProof/>
                <w:webHidden/>
              </w:rPr>
              <w:t>18</w:t>
            </w:r>
            <w:r w:rsidR="00622FC2">
              <w:rPr>
                <w:noProof/>
                <w:webHidden/>
              </w:rPr>
              <w:fldChar w:fldCharType="end"/>
            </w:r>
          </w:hyperlink>
        </w:p>
        <w:p w14:paraId="6B7D02E1" w14:textId="57175307" w:rsidR="00622FC2" w:rsidRDefault="0065270C">
          <w:pPr>
            <w:pStyle w:val="TOC2"/>
            <w:tabs>
              <w:tab w:val="right" w:leader="dot" w:pos="9016"/>
            </w:tabs>
            <w:rPr>
              <w:rFonts w:eastAsiaTheme="minorEastAsia"/>
              <w:noProof/>
              <w:lang w:eastAsia="en-AU"/>
            </w:rPr>
          </w:pPr>
          <w:hyperlink w:anchor="_Toc108421978" w:history="1">
            <w:r w:rsidR="00622FC2" w:rsidRPr="00BE4EE6">
              <w:rPr>
                <w:rStyle w:val="Hyperlink"/>
                <w:rFonts w:eastAsia="Calibri"/>
                <w:noProof/>
              </w:rPr>
              <w:t>The Skip Garden and Kitchen, Story Garden, Paper Garden:</w:t>
            </w:r>
            <w:r w:rsidR="00622FC2">
              <w:rPr>
                <w:noProof/>
                <w:webHidden/>
              </w:rPr>
              <w:tab/>
            </w:r>
            <w:r w:rsidR="00622FC2">
              <w:rPr>
                <w:noProof/>
                <w:webHidden/>
              </w:rPr>
              <w:fldChar w:fldCharType="begin"/>
            </w:r>
            <w:r w:rsidR="00622FC2">
              <w:rPr>
                <w:noProof/>
                <w:webHidden/>
              </w:rPr>
              <w:instrText xml:space="preserve"> PAGEREF _Toc108421978 \h </w:instrText>
            </w:r>
            <w:r w:rsidR="00622FC2">
              <w:rPr>
                <w:noProof/>
                <w:webHidden/>
              </w:rPr>
            </w:r>
            <w:r w:rsidR="00622FC2">
              <w:rPr>
                <w:noProof/>
                <w:webHidden/>
              </w:rPr>
              <w:fldChar w:fldCharType="separate"/>
            </w:r>
            <w:r w:rsidR="00622FC2">
              <w:rPr>
                <w:noProof/>
                <w:webHidden/>
              </w:rPr>
              <w:t>20</w:t>
            </w:r>
            <w:r w:rsidR="00622FC2">
              <w:rPr>
                <w:noProof/>
                <w:webHidden/>
              </w:rPr>
              <w:fldChar w:fldCharType="end"/>
            </w:r>
          </w:hyperlink>
        </w:p>
        <w:p w14:paraId="35E470F8" w14:textId="1A7DBB64" w:rsidR="00622FC2" w:rsidRDefault="0065270C">
          <w:pPr>
            <w:pStyle w:val="TOC2"/>
            <w:tabs>
              <w:tab w:val="right" w:leader="dot" w:pos="9016"/>
            </w:tabs>
            <w:rPr>
              <w:rFonts w:eastAsiaTheme="minorEastAsia"/>
              <w:noProof/>
              <w:lang w:eastAsia="en-AU"/>
            </w:rPr>
          </w:pPr>
          <w:hyperlink w:anchor="_Toc108421979" w:history="1">
            <w:r w:rsidR="00622FC2" w:rsidRPr="00BE4EE6">
              <w:rPr>
                <w:rStyle w:val="Hyperlink"/>
                <w:rFonts w:eastAsia="Calibri"/>
                <w:noProof/>
              </w:rPr>
              <w:t>Community Gardens for Learning, Health, and Social Inclusion</w:t>
            </w:r>
            <w:r w:rsidR="00622FC2">
              <w:rPr>
                <w:noProof/>
                <w:webHidden/>
              </w:rPr>
              <w:tab/>
            </w:r>
            <w:r w:rsidR="00622FC2">
              <w:rPr>
                <w:noProof/>
                <w:webHidden/>
              </w:rPr>
              <w:fldChar w:fldCharType="begin"/>
            </w:r>
            <w:r w:rsidR="00622FC2">
              <w:rPr>
                <w:noProof/>
                <w:webHidden/>
              </w:rPr>
              <w:instrText xml:space="preserve"> PAGEREF _Toc108421979 \h </w:instrText>
            </w:r>
            <w:r w:rsidR="00622FC2">
              <w:rPr>
                <w:noProof/>
                <w:webHidden/>
              </w:rPr>
            </w:r>
            <w:r w:rsidR="00622FC2">
              <w:rPr>
                <w:noProof/>
                <w:webHidden/>
              </w:rPr>
              <w:fldChar w:fldCharType="separate"/>
            </w:r>
            <w:r w:rsidR="00622FC2">
              <w:rPr>
                <w:noProof/>
                <w:webHidden/>
              </w:rPr>
              <w:t>20</w:t>
            </w:r>
            <w:r w:rsidR="00622FC2">
              <w:rPr>
                <w:noProof/>
                <w:webHidden/>
              </w:rPr>
              <w:fldChar w:fldCharType="end"/>
            </w:r>
          </w:hyperlink>
        </w:p>
        <w:p w14:paraId="17CE9E0E" w14:textId="6B24970D" w:rsidR="00622FC2" w:rsidRDefault="0065270C">
          <w:pPr>
            <w:pStyle w:val="TOC2"/>
            <w:tabs>
              <w:tab w:val="right" w:leader="dot" w:pos="9016"/>
            </w:tabs>
            <w:rPr>
              <w:rFonts w:eastAsiaTheme="minorEastAsia"/>
              <w:noProof/>
              <w:lang w:eastAsia="en-AU"/>
            </w:rPr>
          </w:pPr>
          <w:hyperlink w:anchor="_Toc108421980" w:history="1">
            <w:r w:rsidR="00622FC2" w:rsidRPr="00BE4EE6">
              <w:rPr>
                <w:rStyle w:val="Hyperlink"/>
                <w:noProof/>
              </w:rPr>
              <w:t>We Dundee: Crowd-Sourcing Platform for Citizen Engagement</w:t>
            </w:r>
            <w:r w:rsidR="00622FC2">
              <w:rPr>
                <w:noProof/>
                <w:webHidden/>
              </w:rPr>
              <w:tab/>
            </w:r>
            <w:r w:rsidR="00622FC2">
              <w:rPr>
                <w:noProof/>
                <w:webHidden/>
              </w:rPr>
              <w:fldChar w:fldCharType="begin"/>
            </w:r>
            <w:r w:rsidR="00622FC2">
              <w:rPr>
                <w:noProof/>
                <w:webHidden/>
              </w:rPr>
              <w:instrText xml:space="preserve"> PAGEREF _Toc108421980 \h </w:instrText>
            </w:r>
            <w:r w:rsidR="00622FC2">
              <w:rPr>
                <w:noProof/>
                <w:webHidden/>
              </w:rPr>
            </w:r>
            <w:r w:rsidR="00622FC2">
              <w:rPr>
                <w:noProof/>
                <w:webHidden/>
              </w:rPr>
              <w:fldChar w:fldCharType="separate"/>
            </w:r>
            <w:r w:rsidR="00622FC2">
              <w:rPr>
                <w:noProof/>
                <w:webHidden/>
              </w:rPr>
              <w:t>21</w:t>
            </w:r>
            <w:r w:rsidR="00622FC2">
              <w:rPr>
                <w:noProof/>
                <w:webHidden/>
              </w:rPr>
              <w:fldChar w:fldCharType="end"/>
            </w:r>
          </w:hyperlink>
        </w:p>
        <w:p w14:paraId="6C924F42" w14:textId="6956E9F4" w:rsidR="00622FC2" w:rsidRDefault="0065270C">
          <w:pPr>
            <w:pStyle w:val="TOC2"/>
            <w:tabs>
              <w:tab w:val="right" w:leader="dot" w:pos="9016"/>
            </w:tabs>
            <w:rPr>
              <w:rFonts w:eastAsiaTheme="minorEastAsia"/>
              <w:noProof/>
              <w:lang w:eastAsia="en-AU"/>
            </w:rPr>
          </w:pPr>
          <w:hyperlink w:anchor="_Toc108421981" w:history="1">
            <w:r w:rsidR="00622FC2" w:rsidRPr="00BE4EE6">
              <w:rPr>
                <w:rStyle w:val="Hyperlink"/>
                <w:noProof/>
              </w:rPr>
              <w:t>Nourishing Landscapes: Urban Gardens for Food Security</w:t>
            </w:r>
            <w:r w:rsidR="00622FC2">
              <w:rPr>
                <w:noProof/>
                <w:webHidden/>
              </w:rPr>
              <w:tab/>
            </w:r>
            <w:r w:rsidR="00622FC2">
              <w:rPr>
                <w:noProof/>
                <w:webHidden/>
              </w:rPr>
              <w:fldChar w:fldCharType="begin"/>
            </w:r>
            <w:r w:rsidR="00622FC2">
              <w:rPr>
                <w:noProof/>
                <w:webHidden/>
              </w:rPr>
              <w:instrText xml:space="preserve"> PAGEREF _Toc108421981 \h </w:instrText>
            </w:r>
            <w:r w:rsidR="00622FC2">
              <w:rPr>
                <w:noProof/>
                <w:webHidden/>
              </w:rPr>
            </w:r>
            <w:r w:rsidR="00622FC2">
              <w:rPr>
                <w:noProof/>
                <w:webHidden/>
              </w:rPr>
              <w:fldChar w:fldCharType="separate"/>
            </w:r>
            <w:r w:rsidR="00622FC2">
              <w:rPr>
                <w:noProof/>
                <w:webHidden/>
              </w:rPr>
              <w:t>23</w:t>
            </w:r>
            <w:r w:rsidR="00622FC2">
              <w:rPr>
                <w:noProof/>
                <w:webHidden/>
              </w:rPr>
              <w:fldChar w:fldCharType="end"/>
            </w:r>
          </w:hyperlink>
        </w:p>
        <w:p w14:paraId="43F77E74" w14:textId="625209A9" w:rsidR="00622FC2" w:rsidRDefault="0065270C">
          <w:pPr>
            <w:pStyle w:val="TOC2"/>
            <w:tabs>
              <w:tab w:val="right" w:leader="dot" w:pos="9016"/>
            </w:tabs>
            <w:rPr>
              <w:rFonts w:eastAsiaTheme="minorEastAsia"/>
              <w:noProof/>
              <w:lang w:eastAsia="en-AU"/>
            </w:rPr>
          </w:pPr>
          <w:hyperlink w:anchor="_Toc108421982" w:history="1">
            <w:r w:rsidR="00622FC2" w:rsidRPr="00BE4EE6">
              <w:rPr>
                <w:rStyle w:val="Hyperlink"/>
                <w:noProof/>
              </w:rPr>
              <w:t>Oslo Living Lab: Green Jobs Training and Placemaking For At-Risk Youth</w:t>
            </w:r>
            <w:r w:rsidR="00622FC2">
              <w:rPr>
                <w:noProof/>
                <w:webHidden/>
              </w:rPr>
              <w:tab/>
            </w:r>
            <w:r w:rsidR="00622FC2">
              <w:rPr>
                <w:noProof/>
                <w:webHidden/>
              </w:rPr>
              <w:fldChar w:fldCharType="begin"/>
            </w:r>
            <w:r w:rsidR="00622FC2">
              <w:rPr>
                <w:noProof/>
                <w:webHidden/>
              </w:rPr>
              <w:instrText xml:space="preserve"> PAGEREF _Toc108421982 \h </w:instrText>
            </w:r>
            <w:r w:rsidR="00622FC2">
              <w:rPr>
                <w:noProof/>
                <w:webHidden/>
              </w:rPr>
            </w:r>
            <w:r w:rsidR="00622FC2">
              <w:rPr>
                <w:noProof/>
                <w:webHidden/>
              </w:rPr>
              <w:fldChar w:fldCharType="separate"/>
            </w:r>
            <w:r w:rsidR="00622FC2">
              <w:rPr>
                <w:noProof/>
                <w:webHidden/>
              </w:rPr>
              <w:t>23</w:t>
            </w:r>
            <w:r w:rsidR="00622FC2">
              <w:rPr>
                <w:noProof/>
                <w:webHidden/>
              </w:rPr>
              <w:fldChar w:fldCharType="end"/>
            </w:r>
          </w:hyperlink>
        </w:p>
        <w:p w14:paraId="08BAFC24" w14:textId="702AFB11" w:rsidR="00622FC2" w:rsidRDefault="0065270C">
          <w:pPr>
            <w:pStyle w:val="TOC2"/>
            <w:tabs>
              <w:tab w:val="right" w:leader="dot" w:pos="9016"/>
            </w:tabs>
            <w:rPr>
              <w:rFonts w:eastAsiaTheme="minorEastAsia"/>
              <w:noProof/>
              <w:lang w:eastAsia="en-AU"/>
            </w:rPr>
          </w:pPr>
          <w:hyperlink w:anchor="_Toc108421983" w:history="1">
            <w:r w:rsidR="00622FC2" w:rsidRPr="00BE4EE6">
              <w:rPr>
                <w:rStyle w:val="Hyperlink"/>
                <w:noProof/>
              </w:rPr>
              <w:t>We Design for Life: Design-Led Policy Development and Participatory Urban Regeneration</w:t>
            </w:r>
            <w:r w:rsidR="00622FC2">
              <w:rPr>
                <w:noProof/>
                <w:webHidden/>
              </w:rPr>
              <w:tab/>
            </w:r>
            <w:r w:rsidR="00622FC2">
              <w:rPr>
                <w:noProof/>
                <w:webHidden/>
              </w:rPr>
              <w:fldChar w:fldCharType="begin"/>
            </w:r>
            <w:r w:rsidR="00622FC2">
              <w:rPr>
                <w:noProof/>
                <w:webHidden/>
              </w:rPr>
              <w:instrText xml:space="preserve"> PAGEREF _Toc108421983 \h </w:instrText>
            </w:r>
            <w:r w:rsidR="00622FC2">
              <w:rPr>
                <w:noProof/>
                <w:webHidden/>
              </w:rPr>
            </w:r>
            <w:r w:rsidR="00622FC2">
              <w:rPr>
                <w:noProof/>
                <w:webHidden/>
              </w:rPr>
              <w:fldChar w:fldCharType="separate"/>
            </w:r>
            <w:r w:rsidR="00622FC2">
              <w:rPr>
                <w:noProof/>
                <w:webHidden/>
              </w:rPr>
              <w:t>25</w:t>
            </w:r>
            <w:r w:rsidR="00622FC2">
              <w:rPr>
                <w:noProof/>
                <w:webHidden/>
              </w:rPr>
              <w:fldChar w:fldCharType="end"/>
            </w:r>
          </w:hyperlink>
        </w:p>
        <w:p w14:paraId="0FDD2432" w14:textId="086795F2" w:rsidR="000E1707" w:rsidRDefault="000E1707">
          <w:r>
            <w:rPr>
              <w:b/>
              <w:bCs/>
              <w:noProof/>
            </w:rPr>
            <w:fldChar w:fldCharType="end"/>
          </w:r>
        </w:p>
      </w:sdtContent>
    </w:sdt>
    <w:p w14:paraId="50EA88BC" w14:textId="77777777" w:rsidR="00D97C0E" w:rsidRPr="00E96B6E" w:rsidRDefault="00D97C0E" w:rsidP="000E1707">
      <w:pPr>
        <w:pStyle w:val="Heading1"/>
        <w:spacing w:before="0"/>
        <w:rPr>
          <w:b/>
          <w:bCs/>
        </w:rPr>
      </w:pPr>
      <w:bookmarkStart w:id="1" w:name="_Toc108186434"/>
      <w:bookmarkStart w:id="2" w:name="_Toc108421954"/>
      <w:bookmarkStart w:id="3" w:name="_Hlk70863302"/>
      <w:r w:rsidRPr="00E96B6E">
        <w:rPr>
          <w:b/>
          <w:bCs/>
        </w:rPr>
        <w:lastRenderedPageBreak/>
        <w:t>Greater Geelong Focus</w:t>
      </w:r>
      <w:bookmarkEnd w:id="1"/>
      <w:bookmarkEnd w:id="2"/>
    </w:p>
    <w:p w14:paraId="16EF6D42" w14:textId="4AFA8DC4" w:rsidR="00D97C0E" w:rsidRPr="00D97C0E" w:rsidRDefault="00D97C0E" w:rsidP="00D97C0E">
      <w:pPr>
        <w:pStyle w:val="Heading2"/>
      </w:pPr>
      <w:bookmarkStart w:id="4" w:name="_Toc108186435"/>
      <w:bookmarkStart w:id="5" w:name="_Toc108421955"/>
      <w:r w:rsidRPr="00D97C0E">
        <w:t>Towards Home Plus: Homelessness Outreach, Housing, and Support</w:t>
      </w:r>
      <w:bookmarkEnd w:id="4"/>
      <w:bookmarkEnd w:id="5"/>
    </w:p>
    <w:p w14:paraId="3A89FCCD" w14:textId="77777777" w:rsidR="00D97C0E" w:rsidRDefault="00D97C0E" w:rsidP="00AA476F">
      <w:pPr>
        <w:spacing w:line="276" w:lineRule="auto"/>
        <w:rPr>
          <w:rFonts w:ascii="Calibri" w:eastAsia="Calibri" w:hAnsi="Calibri" w:cs="Calibri"/>
          <w:b/>
          <w:bCs/>
          <w:sz w:val="23"/>
          <w:szCs w:val="23"/>
        </w:rPr>
      </w:pPr>
      <w:r w:rsidRPr="359636AC">
        <w:rPr>
          <w:rFonts w:ascii="Calibri" w:eastAsia="Calibri" w:hAnsi="Calibri" w:cs="Calibri"/>
          <w:sz w:val="23"/>
          <w:szCs w:val="23"/>
        </w:rPr>
        <w:t>Geelong (</w:t>
      </w:r>
      <w:bookmarkStart w:id="6" w:name="_Hlk70863253"/>
      <w:r w:rsidRPr="359636AC">
        <w:rPr>
          <w:rFonts w:ascii="Calibri" w:eastAsia="Calibri" w:hAnsi="Calibri" w:cs="Calibri"/>
          <w:sz w:val="23"/>
          <w:szCs w:val="23"/>
        </w:rPr>
        <w:t>April 2019–present)</w:t>
      </w:r>
      <w:bookmarkEnd w:id="6"/>
    </w:p>
    <w:bookmarkEnd w:id="3"/>
    <w:p w14:paraId="50AAFE95" w14:textId="77777777" w:rsidR="00D97C0E" w:rsidRPr="00E268D6" w:rsidRDefault="00D97C0E" w:rsidP="00D97C0E">
      <w:pPr>
        <w:spacing w:after="0" w:line="276" w:lineRule="auto"/>
        <w:rPr>
          <w:rFonts w:cstheme="minorHAnsi"/>
          <w:b/>
          <w:bCs/>
          <w:color w:val="595959" w:themeColor="text1" w:themeTint="A6"/>
          <w:sz w:val="23"/>
          <w:szCs w:val="23"/>
        </w:rPr>
      </w:pPr>
      <w:r w:rsidRPr="00E268D6">
        <w:rPr>
          <w:rFonts w:cstheme="minorHAnsi"/>
          <w:b/>
          <w:bCs/>
          <w:color w:val="595959" w:themeColor="text1" w:themeTint="A6"/>
          <w:sz w:val="23"/>
          <w:szCs w:val="23"/>
        </w:rPr>
        <w:t xml:space="preserve">Main Practice Domain(s):          </w:t>
      </w:r>
      <w:r w:rsidRPr="00E268D6">
        <w:rPr>
          <w:rFonts w:cstheme="minorHAnsi"/>
          <w:b/>
          <w:bCs/>
          <w:color w:val="595959" w:themeColor="text1" w:themeTint="A6"/>
          <w:sz w:val="23"/>
          <w:szCs w:val="23"/>
        </w:rPr>
        <w:tab/>
        <w:t xml:space="preserve">Housing, Health and Wellbeing </w:t>
      </w:r>
    </w:p>
    <w:p w14:paraId="1E8D745D" w14:textId="63BE486B" w:rsidR="00D97C0E" w:rsidRPr="00D97C0E" w:rsidRDefault="00D97C0E" w:rsidP="00D97C0E">
      <w:pPr>
        <w:spacing w:line="276" w:lineRule="auto"/>
        <w:rPr>
          <w:rFonts w:cstheme="minorHAnsi"/>
          <w:b/>
          <w:bCs/>
          <w:color w:val="595959" w:themeColor="text1" w:themeTint="A6"/>
          <w:sz w:val="23"/>
          <w:szCs w:val="23"/>
        </w:rPr>
      </w:pPr>
      <w:r w:rsidRPr="00E268D6">
        <w:rPr>
          <w:rFonts w:cstheme="minorHAnsi"/>
          <w:b/>
          <w:bCs/>
          <w:color w:val="595959" w:themeColor="text1" w:themeTint="A6"/>
          <w:sz w:val="23"/>
          <w:szCs w:val="23"/>
        </w:rPr>
        <w:t>Secondary Practice Domain(s):</w:t>
      </w:r>
      <w:r w:rsidRPr="00E268D6">
        <w:rPr>
          <w:rFonts w:cstheme="minorHAnsi"/>
          <w:b/>
          <w:bCs/>
          <w:color w:val="595959" w:themeColor="text1" w:themeTint="A6"/>
          <w:sz w:val="23"/>
          <w:szCs w:val="23"/>
        </w:rPr>
        <w:tab/>
        <w:t xml:space="preserve">Liveability </w:t>
      </w:r>
    </w:p>
    <w:p w14:paraId="6195B0E5" w14:textId="15ED2ADB" w:rsidR="00D97C0E" w:rsidRPr="00D97C0E" w:rsidRDefault="00D97C0E" w:rsidP="00AA476F">
      <w:pPr>
        <w:spacing w:line="276" w:lineRule="auto"/>
        <w:rPr>
          <w:rFonts w:ascii="Calibri Light" w:eastAsia="Calibri Light" w:hAnsi="Calibri Light" w:cs="Calibri Light"/>
          <w:color w:val="000000" w:themeColor="text1"/>
          <w:sz w:val="23"/>
          <w:szCs w:val="23"/>
        </w:rPr>
      </w:pPr>
      <w:r w:rsidRPr="000541C7">
        <w:rPr>
          <w:rFonts w:ascii="Calibri Light" w:eastAsia="Calibri Light" w:hAnsi="Calibri Light" w:cs="Calibri Light"/>
          <w:color w:val="000000" w:themeColor="text1"/>
          <w:sz w:val="23"/>
          <w:szCs w:val="23"/>
        </w:rPr>
        <w:t>Towards Home Plus is a holistic support and service program for people experiencing homelessness in the Geelong area. It also runs in Frankston. Supported by the Victorian Government, it is delivered by Neami National, with partners Launch Housing, Wathaurong Aboriginal Co-op, Uniting Care ReGen, Bolton Clarke, and Melbourne City Mission. Neami National is a community-based organisation providing services to improve mental health and wellbeing in localities across Australia (Neami, n.d.).</w:t>
      </w:r>
    </w:p>
    <w:p w14:paraId="70990A94" w14:textId="4691E24F" w:rsidR="00D97C0E" w:rsidRPr="00D97C0E" w:rsidRDefault="00D97C0E" w:rsidP="00AA476F">
      <w:pPr>
        <w:spacing w:line="276" w:lineRule="auto"/>
        <w:rPr>
          <w:rFonts w:ascii="Calibri Light" w:eastAsia="Calibri Light" w:hAnsi="Calibri Light" w:cs="Calibri Light"/>
          <w:color w:val="000000" w:themeColor="text1"/>
          <w:sz w:val="23"/>
          <w:szCs w:val="23"/>
        </w:rPr>
      </w:pPr>
      <w:r w:rsidRPr="000541C7">
        <w:rPr>
          <w:rFonts w:ascii="Calibri Light" w:eastAsia="Calibri Light" w:hAnsi="Calibri Light" w:cs="Calibri Light"/>
          <w:color w:val="000000" w:themeColor="text1"/>
          <w:sz w:val="23"/>
          <w:szCs w:val="23"/>
        </w:rPr>
        <w:t>Based on the highly regarded Housing First Model and the Collaborative Recovery Model, the Towards Home Plus program uses person-centred coaching and a shared care approach to support people sleeping rough to obtain and maintain secure housing. The program provides intensive, flexible, and responsive client-focused support to assist people to sustain housing, improve their mental and physical health, and develop social connections within the local community.</w:t>
      </w:r>
    </w:p>
    <w:p w14:paraId="3A37CD7F" w14:textId="77777777" w:rsidR="00D97C0E" w:rsidRPr="000541C7" w:rsidRDefault="00D97C0E" w:rsidP="00AA476F">
      <w:pPr>
        <w:spacing w:line="276" w:lineRule="auto"/>
        <w:rPr>
          <w:b/>
          <w:bCs/>
        </w:rPr>
      </w:pPr>
      <w:r w:rsidRPr="000541C7">
        <w:rPr>
          <w:rFonts w:ascii="Calibri Light" w:eastAsia="Calibri Light" w:hAnsi="Calibri Light" w:cs="Calibri Light"/>
          <w:color w:val="000000" w:themeColor="text1"/>
          <w:sz w:val="23"/>
          <w:szCs w:val="23"/>
        </w:rPr>
        <w:t>Teams are multi-disciplinary, with outreach workers, peer support workers, youth workers, Aboriginal and Torres Strait Islander health practitioners, and alcohol and other drug workers all involved in delivering support. As of August 2020, the program had helped house 112 rough sleepers over the previous 18-month period.</w:t>
      </w:r>
      <w:r w:rsidRPr="000541C7">
        <w:t xml:space="preserve"> </w:t>
      </w:r>
      <w:r w:rsidRPr="000541C7">
        <w:rPr>
          <w:rFonts w:ascii="Calibri Light" w:eastAsia="Calibri Light" w:hAnsi="Calibri Light" w:cs="Calibri Light"/>
          <w:color w:val="000000" w:themeColor="text1"/>
          <w:sz w:val="23"/>
          <w:szCs w:val="23"/>
        </w:rPr>
        <w:t>Three key teams deliver the Towards Home Plus program:</w:t>
      </w:r>
    </w:p>
    <w:p w14:paraId="09D35330" w14:textId="77777777" w:rsidR="00D97C0E" w:rsidRPr="000541C7" w:rsidRDefault="00D97C0E" w:rsidP="00E96B6E">
      <w:pPr>
        <w:pStyle w:val="ListParagraph"/>
        <w:numPr>
          <w:ilvl w:val="0"/>
          <w:numId w:val="2"/>
        </w:numPr>
        <w:spacing w:after="120" w:line="276" w:lineRule="auto"/>
        <w:ind w:left="357" w:hanging="357"/>
        <w:contextualSpacing w:val="0"/>
        <w:rPr>
          <w:rFonts w:eastAsiaTheme="minorEastAsia"/>
          <w:b/>
          <w:bCs/>
          <w:color w:val="000000" w:themeColor="text1"/>
          <w:sz w:val="23"/>
          <w:szCs w:val="23"/>
        </w:rPr>
      </w:pPr>
      <w:r w:rsidRPr="000541C7">
        <w:rPr>
          <w:rFonts w:ascii="Calibri Light" w:eastAsia="Calibri Light" w:hAnsi="Calibri Light" w:cs="Calibri Light"/>
          <w:color w:val="000000" w:themeColor="text1"/>
          <w:sz w:val="23"/>
          <w:szCs w:val="23"/>
        </w:rPr>
        <w:t xml:space="preserve">Assertive Outreach Team works closely with City of Greater Geelong and local police as part of the street outreach component to identify rough sleepers. Interventions are used to provide access to emergency accommodation, health services and accommodation. </w:t>
      </w:r>
    </w:p>
    <w:p w14:paraId="0B2B07F2" w14:textId="77777777" w:rsidR="00D97C0E" w:rsidRPr="000541C7" w:rsidRDefault="00D97C0E" w:rsidP="00E96B6E">
      <w:pPr>
        <w:pStyle w:val="ListParagraph"/>
        <w:numPr>
          <w:ilvl w:val="0"/>
          <w:numId w:val="2"/>
        </w:numPr>
        <w:spacing w:after="120" w:line="276" w:lineRule="auto"/>
        <w:ind w:left="357" w:hanging="357"/>
        <w:contextualSpacing w:val="0"/>
        <w:rPr>
          <w:rFonts w:eastAsiaTheme="minorEastAsia"/>
          <w:b/>
          <w:bCs/>
          <w:color w:val="000000" w:themeColor="text1"/>
          <w:sz w:val="23"/>
          <w:szCs w:val="23"/>
        </w:rPr>
      </w:pPr>
      <w:r w:rsidRPr="000541C7">
        <w:rPr>
          <w:rFonts w:ascii="Calibri Light" w:eastAsia="Calibri Light" w:hAnsi="Calibri Light" w:cs="Calibri Light"/>
          <w:color w:val="000000" w:themeColor="text1"/>
          <w:sz w:val="23"/>
          <w:szCs w:val="23"/>
        </w:rPr>
        <w:t xml:space="preserve">Supportive Housing Team works with clients to provide wrap-around support such as daily living skills, social activity participation, and case management. </w:t>
      </w:r>
    </w:p>
    <w:p w14:paraId="036EBD66" w14:textId="16F5005A" w:rsidR="00D97C0E" w:rsidRPr="00D97C0E" w:rsidRDefault="00D97C0E" w:rsidP="00E96B6E">
      <w:pPr>
        <w:pStyle w:val="ListParagraph"/>
        <w:numPr>
          <w:ilvl w:val="0"/>
          <w:numId w:val="2"/>
        </w:numPr>
        <w:spacing w:after="120" w:line="276" w:lineRule="auto"/>
        <w:ind w:left="357" w:hanging="357"/>
        <w:contextualSpacing w:val="0"/>
        <w:rPr>
          <w:rFonts w:eastAsiaTheme="minorEastAsia"/>
          <w:b/>
          <w:bCs/>
          <w:color w:val="000000" w:themeColor="text1"/>
          <w:sz w:val="23"/>
          <w:szCs w:val="23"/>
        </w:rPr>
      </w:pPr>
      <w:r w:rsidRPr="000541C7">
        <w:rPr>
          <w:rFonts w:ascii="Calibri Light" w:eastAsia="Calibri Light" w:hAnsi="Calibri Light" w:cs="Calibri Light"/>
          <w:color w:val="000000" w:themeColor="text1"/>
          <w:sz w:val="23"/>
          <w:szCs w:val="23"/>
        </w:rPr>
        <w:t>Modular Units Team works with residents to support transition into sustainable long-term housing. Seven modular units are available in Norlane, providing accommodation for up to two years (Heagney, 2019).</w:t>
      </w:r>
    </w:p>
    <w:p w14:paraId="4A64AC6C" w14:textId="50309C9C" w:rsidR="00D97C0E" w:rsidRDefault="00D97C0E" w:rsidP="00AA476F">
      <w:pPr>
        <w:spacing w:line="276" w:lineRule="auto"/>
        <w:rPr>
          <w:rFonts w:ascii="Calibri Light" w:eastAsia="Calibri Light" w:hAnsi="Calibri Light" w:cs="Calibri Light"/>
          <w:color w:val="000000" w:themeColor="text1"/>
          <w:sz w:val="23"/>
          <w:szCs w:val="23"/>
        </w:rPr>
      </w:pPr>
      <w:r w:rsidRPr="000541C7">
        <w:rPr>
          <w:rFonts w:ascii="Calibri Light" w:eastAsia="Calibri Light" w:hAnsi="Calibri Light" w:cs="Calibri Light"/>
          <w:color w:val="000000" w:themeColor="text1"/>
          <w:sz w:val="23"/>
          <w:szCs w:val="23"/>
        </w:rPr>
        <w:t>Neami National also provides support via its Services and Treatment for Enduring and Persistent Mental Illness (STEPMI) program, running in Geelong and other regional Victorian locations (STEPMI, 2021).</w:t>
      </w:r>
    </w:p>
    <w:p w14:paraId="73F4F33F" w14:textId="40B256A1" w:rsidR="000E1707" w:rsidRDefault="000E1707" w:rsidP="00AA476F">
      <w:pPr>
        <w:spacing w:line="276" w:lineRule="auto"/>
        <w:rPr>
          <w:rFonts w:ascii="Calibri Light" w:eastAsia="Calibri Light" w:hAnsi="Calibri Light" w:cs="Calibri Light"/>
          <w:color w:val="000000" w:themeColor="text1"/>
          <w:sz w:val="23"/>
          <w:szCs w:val="23"/>
        </w:rPr>
      </w:pPr>
    </w:p>
    <w:p w14:paraId="14B23987" w14:textId="77777777" w:rsidR="000E1707" w:rsidRPr="0081254F" w:rsidRDefault="000E1707" w:rsidP="00AA476F">
      <w:pPr>
        <w:spacing w:line="276" w:lineRule="auto"/>
        <w:rPr>
          <w:b/>
          <w:bCs/>
        </w:rPr>
      </w:pPr>
    </w:p>
    <w:p w14:paraId="1337982F" w14:textId="1FF758D3" w:rsidR="00D97C0E" w:rsidRPr="00E96B6E" w:rsidRDefault="00D97C0E" w:rsidP="000E1707">
      <w:pPr>
        <w:keepNext/>
        <w:keepLines/>
        <w:spacing w:after="0"/>
        <w:outlineLvl w:val="0"/>
        <w:rPr>
          <w:rFonts w:asciiTheme="majorHAnsi" w:eastAsiaTheme="majorEastAsia" w:hAnsiTheme="majorHAnsi" w:cstheme="majorBidi"/>
          <w:b/>
          <w:bCs/>
          <w:color w:val="2F5496" w:themeColor="accent1" w:themeShade="BF"/>
          <w:sz w:val="32"/>
          <w:szCs w:val="32"/>
        </w:rPr>
      </w:pPr>
      <w:bookmarkStart w:id="7" w:name="_Toc108180693"/>
      <w:bookmarkStart w:id="8" w:name="_Toc108421956"/>
      <w:r w:rsidRPr="00E96B6E">
        <w:rPr>
          <w:rFonts w:asciiTheme="majorHAnsi" w:eastAsiaTheme="majorEastAsia" w:hAnsiTheme="majorHAnsi" w:cstheme="majorBidi"/>
          <w:b/>
          <w:bCs/>
          <w:color w:val="2F5496" w:themeColor="accent1" w:themeShade="BF"/>
          <w:sz w:val="32"/>
          <w:szCs w:val="32"/>
        </w:rPr>
        <w:lastRenderedPageBreak/>
        <w:t>Victoria (Regional Focus)</w:t>
      </w:r>
      <w:bookmarkEnd w:id="7"/>
      <w:bookmarkEnd w:id="8"/>
    </w:p>
    <w:p w14:paraId="56D5FA98" w14:textId="77777777" w:rsidR="00D97C0E" w:rsidRDefault="00D97C0E" w:rsidP="00D97C0E">
      <w:pPr>
        <w:pStyle w:val="Heading2"/>
      </w:pPr>
      <w:bookmarkStart w:id="9" w:name="_Toc108421957"/>
      <w:bookmarkStart w:id="10" w:name="_Hlk70863328"/>
      <w:r w:rsidRPr="27ED1008">
        <w:rPr>
          <w:rFonts w:eastAsia="Calibri"/>
        </w:rPr>
        <w:t>GROW: Regional Job Creation Initiative</w:t>
      </w:r>
      <w:bookmarkEnd w:id="9"/>
    </w:p>
    <w:p w14:paraId="71E690AD" w14:textId="0CDEF59C" w:rsidR="00D97C0E" w:rsidRPr="000E1707" w:rsidRDefault="00D97C0E" w:rsidP="00AA476F">
      <w:pPr>
        <w:spacing w:line="276" w:lineRule="auto"/>
        <w:rPr>
          <w:rFonts w:ascii="Calibri" w:eastAsia="Calibri" w:hAnsi="Calibri" w:cs="Calibri"/>
          <w:b/>
          <w:bCs/>
          <w:sz w:val="23"/>
          <w:szCs w:val="23"/>
        </w:rPr>
      </w:pPr>
      <w:r w:rsidRPr="27ED1008">
        <w:rPr>
          <w:rFonts w:ascii="Calibri" w:eastAsia="Calibri" w:hAnsi="Calibri" w:cs="Calibri"/>
          <w:sz w:val="23"/>
          <w:szCs w:val="23"/>
        </w:rPr>
        <w:t>South-Western Victoria (2014–present)</w:t>
      </w:r>
      <w:bookmarkEnd w:id="10"/>
    </w:p>
    <w:p w14:paraId="35491F4E" w14:textId="77777777" w:rsidR="00D97C0E" w:rsidRPr="00D97C0E" w:rsidRDefault="00D97C0E" w:rsidP="00D97C0E">
      <w:pPr>
        <w:spacing w:after="0" w:line="276" w:lineRule="auto"/>
        <w:rPr>
          <w:rFonts w:cstheme="minorHAnsi"/>
          <w:b/>
          <w:bCs/>
          <w:color w:val="595959" w:themeColor="text1" w:themeTint="A6"/>
          <w:sz w:val="23"/>
          <w:szCs w:val="23"/>
        </w:rPr>
      </w:pPr>
      <w:r w:rsidRPr="00D97C0E">
        <w:rPr>
          <w:rFonts w:cstheme="minorHAnsi"/>
          <w:b/>
          <w:bCs/>
          <w:color w:val="595959" w:themeColor="text1" w:themeTint="A6"/>
          <w:sz w:val="23"/>
          <w:szCs w:val="23"/>
        </w:rPr>
        <w:t>Main Practice Domain(s):</w:t>
      </w:r>
      <w:r w:rsidRPr="00D97C0E">
        <w:rPr>
          <w:rFonts w:cstheme="minorHAnsi"/>
          <w:b/>
          <w:bCs/>
          <w:color w:val="595959" w:themeColor="text1" w:themeTint="A6"/>
          <w:sz w:val="23"/>
          <w:szCs w:val="23"/>
        </w:rPr>
        <w:tab/>
      </w:r>
      <w:r w:rsidRPr="00D97C0E">
        <w:rPr>
          <w:rFonts w:cstheme="minorHAnsi"/>
          <w:b/>
          <w:bCs/>
          <w:color w:val="595959" w:themeColor="text1" w:themeTint="A6"/>
          <w:sz w:val="23"/>
          <w:szCs w:val="23"/>
        </w:rPr>
        <w:tab/>
        <w:t>Employment</w:t>
      </w:r>
    </w:p>
    <w:p w14:paraId="08EE9E3C" w14:textId="0BAAF87D" w:rsidR="00D97C0E" w:rsidRPr="000E1707" w:rsidRDefault="00D97C0E" w:rsidP="000E1707">
      <w:pPr>
        <w:spacing w:line="276" w:lineRule="auto"/>
        <w:rPr>
          <w:rFonts w:cstheme="minorHAnsi"/>
          <w:b/>
          <w:bCs/>
          <w:color w:val="595959" w:themeColor="text1" w:themeTint="A6"/>
          <w:sz w:val="23"/>
          <w:szCs w:val="23"/>
        </w:rPr>
      </w:pPr>
      <w:r w:rsidRPr="00D97C0E">
        <w:rPr>
          <w:rFonts w:cstheme="minorHAnsi"/>
          <w:b/>
          <w:bCs/>
          <w:color w:val="595959" w:themeColor="text1" w:themeTint="A6"/>
          <w:sz w:val="23"/>
          <w:szCs w:val="23"/>
        </w:rPr>
        <w:t>Secondary Practice Domain(s):</w:t>
      </w:r>
      <w:r w:rsidRPr="00D97C0E">
        <w:rPr>
          <w:rFonts w:cstheme="minorHAnsi"/>
          <w:b/>
          <w:bCs/>
          <w:color w:val="595959" w:themeColor="text1" w:themeTint="A6"/>
          <w:sz w:val="23"/>
          <w:szCs w:val="23"/>
        </w:rPr>
        <w:tab/>
        <w:t>Liveability</w:t>
      </w:r>
    </w:p>
    <w:p w14:paraId="37FA043A" w14:textId="0C0955CF" w:rsidR="00D97C0E" w:rsidRPr="00D97C0E" w:rsidRDefault="00D97C0E" w:rsidP="00AA476F">
      <w:pPr>
        <w:spacing w:line="276" w:lineRule="auto"/>
        <w:rPr>
          <w:rFonts w:ascii="Calibri Light" w:eastAsia="Calibri Light" w:hAnsi="Calibri Light" w:cs="Calibri Light"/>
          <w:sz w:val="23"/>
          <w:szCs w:val="23"/>
        </w:rPr>
      </w:pPr>
      <w:r w:rsidRPr="000541C7">
        <w:rPr>
          <w:rFonts w:ascii="Calibri Light" w:eastAsia="Calibri Light" w:hAnsi="Calibri Light" w:cs="Calibri Light"/>
          <w:sz w:val="23"/>
          <w:szCs w:val="23"/>
        </w:rPr>
        <w:t>The G21 Region Opportunities for Work (GROW) initiative aims to address place-based disadvantage by focusing on job creation for vulnerable communities. The initiative was developed from a G21 Addressing Disadvantage Taskforce Report in 2014, and the “Vision to Address Disadvantage” created by the Give Where You Live Foundation.</w:t>
      </w:r>
    </w:p>
    <w:p w14:paraId="0D80F2ED" w14:textId="77777777" w:rsidR="00D97C0E" w:rsidRPr="000541C7" w:rsidRDefault="00D97C0E" w:rsidP="00AA476F">
      <w:pPr>
        <w:spacing w:line="276" w:lineRule="auto"/>
        <w:rPr>
          <w:b/>
          <w:bCs/>
          <w:sz w:val="23"/>
          <w:szCs w:val="23"/>
        </w:rPr>
      </w:pPr>
      <w:r w:rsidRPr="000541C7">
        <w:rPr>
          <w:rFonts w:ascii="Calibri Light" w:eastAsia="Calibri Light" w:hAnsi="Calibri Light" w:cs="Calibri Light"/>
          <w:sz w:val="23"/>
          <w:szCs w:val="23"/>
        </w:rPr>
        <w:t>GROW has received State Government funding ($1 million) and is jointly funded through Regional Development Victoria, Give Where You Live, and five local governments that make up the G21 Geelong Region Alliance (the City of Greater Geelong, Colac Otway Shire, Surfcoast Shire, Golden Plains Shire, and the Borough of Queenscliffe). The GROW program runs in seven target localities across the G21 area: Corio, Norlane, Thomson, Colac (central and east), Whittington, Bell Park, and St Leonards. GROW works closely with key local organisations, including Northern Futures.</w:t>
      </w:r>
    </w:p>
    <w:p w14:paraId="26F41703" w14:textId="77777777" w:rsidR="00D97C0E" w:rsidRPr="000541C7" w:rsidRDefault="00D97C0E" w:rsidP="000E1707">
      <w:pPr>
        <w:spacing w:after="0" w:line="276" w:lineRule="auto"/>
        <w:rPr>
          <w:b/>
          <w:bCs/>
          <w:sz w:val="23"/>
          <w:szCs w:val="23"/>
        </w:rPr>
      </w:pPr>
      <w:r w:rsidRPr="000541C7">
        <w:rPr>
          <w:rFonts w:ascii="Calibri Light" w:eastAsia="Calibri Light" w:hAnsi="Calibri Light" w:cs="Calibri Light"/>
          <w:sz w:val="23"/>
          <w:szCs w:val="23"/>
        </w:rPr>
        <w:t>Several key strategies underpin GROW’s work:</w:t>
      </w:r>
    </w:p>
    <w:p w14:paraId="7D23884E" w14:textId="77777777" w:rsidR="00D97C0E" w:rsidRPr="000541C7" w:rsidRDefault="00D97C0E" w:rsidP="00E96B6E">
      <w:pPr>
        <w:pStyle w:val="ListParagraph"/>
        <w:numPr>
          <w:ilvl w:val="0"/>
          <w:numId w:val="11"/>
        </w:numPr>
        <w:spacing w:after="120" w:line="276" w:lineRule="auto"/>
        <w:ind w:left="357" w:hanging="357"/>
        <w:contextualSpacing w:val="0"/>
        <w:rPr>
          <w:rFonts w:eastAsiaTheme="minorEastAsia"/>
          <w:b/>
          <w:bCs/>
          <w:color w:val="000000" w:themeColor="text1"/>
          <w:sz w:val="23"/>
          <w:szCs w:val="23"/>
        </w:rPr>
      </w:pPr>
      <w:r w:rsidRPr="000541C7">
        <w:rPr>
          <w:rFonts w:ascii="Calibri Light" w:eastAsia="Calibri Light" w:hAnsi="Calibri Light" w:cs="Calibri Light"/>
          <w:color w:val="000000" w:themeColor="text1"/>
          <w:sz w:val="23"/>
          <w:szCs w:val="23"/>
        </w:rPr>
        <w:t xml:space="preserve">Social procurement: encouraging people to buy locally and working with local businesses and suppliers who support vulnerable communities. </w:t>
      </w:r>
    </w:p>
    <w:p w14:paraId="57311DB5" w14:textId="77777777" w:rsidR="00D97C0E" w:rsidRPr="000541C7" w:rsidRDefault="00D97C0E" w:rsidP="00E96B6E">
      <w:pPr>
        <w:pStyle w:val="ListParagraph"/>
        <w:numPr>
          <w:ilvl w:val="0"/>
          <w:numId w:val="11"/>
        </w:numPr>
        <w:spacing w:after="120" w:line="276" w:lineRule="auto"/>
        <w:ind w:left="357" w:hanging="357"/>
        <w:contextualSpacing w:val="0"/>
        <w:rPr>
          <w:rFonts w:eastAsiaTheme="minorEastAsia"/>
          <w:b/>
          <w:bCs/>
          <w:color w:val="000000" w:themeColor="text1"/>
          <w:sz w:val="23"/>
          <w:szCs w:val="23"/>
        </w:rPr>
      </w:pPr>
      <w:r w:rsidRPr="000541C7">
        <w:rPr>
          <w:rFonts w:ascii="Calibri Light" w:eastAsia="Calibri Light" w:hAnsi="Calibri Light" w:cs="Calibri Light"/>
          <w:color w:val="000000" w:themeColor="text1"/>
          <w:sz w:val="23"/>
          <w:szCs w:val="23"/>
        </w:rPr>
        <w:t>Place-based investment: encouraging and attracting investment opportunities and fostering entrepreneurship.</w:t>
      </w:r>
    </w:p>
    <w:p w14:paraId="124D8EE2" w14:textId="5E4C1BE3" w:rsidR="00D97C0E" w:rsidRPr="000541C7" w:rsidRDefault="00D97C0E" w:rsidP="00E96B6E">
      <w:pPr>
        <w:pStyle w:val="ListParagraph"/>
        <w:numPr>
          <w:ilvl w:val="0"/>
          <w:numId w:val="11"/>
        </w:numPr>
        <w:spacing w:after="120" w:line="276" w:lineRule="auto"/>
        <w:ind w:left="357" w:hanging="357"/>
        <w:contextualSpacing w:val="0"/>
        <w:rPr>
          <w:rFonts w:eastAsiaTheme="minorEastAsia"/>
          <w:b/>
          <w:bCs/>
          <w:color w:val="000000" w:themeColor="text1"/>
          <w:sz w:val="23"/>
          <w:szCs w:val="23"/>
        </w:rPr>
      </w:pPr>
      <w:r w:rsidRPr="000541C7">
        <w:rPr>
          <w:rFonts w:ascii="Calibri Light" w:eastAsia="Calibri Light" w:hAnsi="Calibri Light" w:cs="Calibri Light"/>
          <w:color w:val="000000" w:themeColor="text1"/>
          <w:sz w:val="23"/>
          <w:szCs w:val="23"/>
        </w:rPr>
        <w:t xml:space="preserve">Demand-led employment brokerage: identifying and addressing workforce needs through providing required education, training and support for </w:t>
      </w:r>
      <w:r w:rsidR="00E96B6E" w:rsidRPr="000541C7">
        <w:rPr>
          <w:rFonts w:ascii="Calibri Light" w:eastAsia="Calibri Light" w:hAnsi="Calibri Light" w:cs="Calibri Light"/>
          <w:color w:val="000000" w:themeColor="text1"/>
          <w:sz w:val="23"/>
          <w:szCs w:val="23"/>
        </w:rPr>
        <w:t>jobseekers</w:t>
      </w:r>
      <w:r w:rsidRPr="000541C7">
        <w:rPr>
          <w:rFonts w:ascii="Calibri Light" w:eastAsia="Calibri Light" w:hAnsi="Calibri Light" w:cs="Calibri Light"/>
          <w:color w:val="000000" w:themeColor="text1"/>
          <w:sz w:val="23"/>
          <w:szCs w:val="23"/>
        </w:rPr>
        <w:t xml:space="preserve">. </w:t>
      </w:r>
    </w:p>
    <w:p w14:paraId="446F3DAE" w14:textId="77777777" w:rsidR="00D97C0E" w:rsidRPr="000541C7" w:rsidRDefault="00D97C0E" w:rsidP="00E96B6E">
      <w:pPr>
        <w:pStyle w:val="ListParagraph"/>
        <w:numPr>
          <w:ilvl w:val="0"/>
          <w:numId w:val="11"/>
        </w:numPr>
        <w:spacing w:after="120" w:line="276" w:lineRule="auto"/>
        <w:ind w:left="357" w:hanging="357"/>
        <w:contextualSpacing w:val="0"/>
        <w:rPr>
          <w:rFonts w:eastAsiaTheme="minorEastAsia"/>
          <w:b/>
          <w:bCs/>
          <w:color w:val="000000" w:themeColor="text1"/>
          <w:sz w:val="23"/>
          <w:szCs w:val="23"/>
        </w:rPr>
      </w:pPr>
      <w:r w:rsidRPr="000541C7">
        <w:rPr>
          <w:rFonts w:ascii="Calibri Light" w:eastAsia="Calibri Light" w:hAnsi="Calibri Light" w:cs="Calibri Light"/>
          <w:color w:val="000000" w:themeColor="text1"/>
          <w:sz w:val="23"/>
          <w:szCs w:val="23"/>
        </w:rPr>
        <w:t xml:space="preserve">Tracking and measuring job outcomes: GROW tracks and shares progress through a </w:t>
      </w:r>
      <w:r w:rsidRPr="000541C7">
        <w:rPr>
          <w:rFonts w:ascii="Calibri Light" w:eastAsia="Calibri Light" w:hAnsi="Calibri Light" w:cs="Calibri Light"/>
          <w:color w:val="0563C1"/>
          <w:sz w:val="23"/>
          <w:szCs w:val="23"/>
          <w:u w:val="single"/>
        </w:rPr>
        <w:t>‘Regional Dashboard’</w:t>
      </w:r>
      <w:r w:rsidRPr="000541C7">
        <w:rPr>
          <w:rFonts w:ascii="Calibri Light" w:eastAsia="Calibri Light" w:hAnsi="Calibri Light" w:cs="Calibri Light"/>
          <w:color w:val="000000" w:themeColor="text1"/>
          <w:sz w:val="23"/>
          <w:szCs w:val="23"/>
        </w:rPr>
        <w:t xml:space="preserve">, annual </w:t>
      </w:r>
      <w:r w:rsidRPr="000541C7">
        <w:rPr>
          <w:rFonts w:ascii="Calibri Light" w:eastAsia="Calibri Light" w:hAnsi="Calibri Light" w:cs="Calibri Light"/>
          <w:color w:val="0563C1"/>
          <w:sz w:val="23"/>
          <w:szCs w:val="23"/>
          <w:u w:val="single"/>
        </w:rPr>
        <w:t>‘Report Card’,</w:t>
      </w:r>
      <w:r w:rsidRPr="000541C7">
        <w:rPr>
          <w:rFonts w:ascii="Calibri Light" w:eastAsia="Calibri Light" w:hAnsi="Calibri Light" w:cs="Calibri Light"/>
          <w:color w:val="000000" w:themeColor="text1"/>
          <w:sz w:val="23"/>
          <w:szCs w:val="23"/>
        </w:rPr>
        <w:t xml:space="preserve"> and short films and Case Studies known as </w:t>
      </w:r>
      <w:r w:rsidRPr="000541C7">
        <w:rPr>
          <w:rFonts w:ascii="Calibri Light" w:eastAsia="Calibri Light" w:hAnsi="Calibri Light" w:cs="Calibri Light"/>
          <w:color w:val="0563C1"/>
          <w:sz w:val="23"/>
          <w:szCs w:val="23"/>
          <w:u w:val="single"/>
        </w:rPr>
        <w:t>‘Voices of GROW’</w:t>
      </w:r>
      <w:r w:rsidRPr="000541C7">
        <w:rPr>
          <w:rFonts w:ascii="Calibri Light" w:eastAsia="Calibri Light" w:hAnsi="Calibri Light" w:cs="Calibri Light"/>
          <w:color w:val="000000" w:themeColor="text1"/>
          <w:sz w:val="23"/>
          <w:szCs w:val="23"/>
        </w:rPr>
        <w:t>.</w:t>
      </w:r>
    </w:p>
    <w:p w14:paraId="7A9E2448" w14:textId="77777777" w:rsidR="00D97C0E" w:rsidRPr="000541C7" w:rsidRDefault="00D97C0E" w:rsidP="00AA476F">
      <w:pPr>
        <w:spacing w:line="276" w:lineRule="auto"/>
        <w:rPr>
          <w:b/>
          <w:bCs/>
        </w:rPr>
      </w:pPr>
      <w:r w:rsidRPr="000541C7">
        <w:rPr>
          <w:rFonts w:ascii="Calibri Light" w:eastAsia="Calibri Light" w:hAnsi="Calibri Light" w:cs="Calibri Light"/>
          <w:sz w:val="23"/>
          <w:szCs w:val="23"/>
        </w:rPr>
        <w:t xml:space="preserve">In 2019, </w:t>
      </w:r>
      <w:r w:rsidRPr="000541C7">
        <w:rPr>
          <w:rFonts w:ascii="Calibri Light" w:eastAsia="Calibri Light" w:hAnsi="Calibri Light" w:cs="Calibri Light"/>
          <w:color w:val="0563C1"/>
          <w:sz w:val="23"/>
          <w:szCs w:val="23"/>
          <w:u w:val="single"/>
        </w:rPr>
        <w:t>GROW reported</w:t>
      </w:r>
      <w:r w:rsidRPr="000541C7">
        <w:rPr>
          <w:rFonts w:ascii="Calibri Light" w:eastAsia="Calibri Light" w:hAnsi="Calibri Light" w:cs="Calibri Light"/>
          <w:sz w:val="23"/>
          <w:szCs w:val="23"/>
        </w:rPr>
        <w:t xml:space="preserve"> the creation of 247 jobs and 39 employment pathways from the target areas since 2016, and 110 signatory organisations have committed to addressing place-based disadvantage through GROW strategies (GROW G21 Region, 2019). The GROW Compact Action Network meets six times yearly to support and guide strategies for social procurement. </w:t>
      </w:r>
    </w:p>
    <w:p w14:paraId="5F310D4E" w14:textId="5D2DAAC2" w:rsidR="00D97C0E" w:rsidRPr="00D97C0E" w:rsidRDefault="00D97C0E" w:rsidP="00AA476F">
      <w:pPr>
        <w:spacing w:line="276" w:lineRule="auto"/>
        <w:rPr>
          <w:rFonts w:ascii="Calibri Light" w:eastAsia="Calibri Light" w:hAnsi="Calibri Light" w:cs="Calibri Light"/>
          <w:sz w:val="23"/>
          <w:szCs w:val="23"/>
        </w:rPr>
      </w:pPr>
      <w:r w:rsidRPr="000541C7">
        <w:rPr>
          <w:rFonts w:ascii="Calibri Light" w:eastAsia="Calibri Light" w:hAnsi="Calibri Light" w:cs="Calibri Light"/>
          <w:sz w:val="23"/>
          <w:szCs w:val="23"/>
        </w:rPr>
        <w:t>GROW is governed through a Strategic Directions Group, who meet quarterly. This includes an executive, a small operations team (Director, Engagement Officer, and Evaluation and Data Analyst) and two patrons. Several “champions” have also been appointed from businesses and local organisations to support implementation (GROW, n.d.).</w:t>
      </w:r>
    </w:p>
    <w:p w14:paraId="77D85860" w14:textId="77777777" w:rsidR="00D97C0E" w:rsidRPr="000541C7" w:rsidRDefault="0065270C" w:rsidP="00AA476F">
      <w:pPr>
        <w:spacing w:line="276" w:lineRule="auto"/>
        <w:rPr>
          <w:b/>
          <w:bCs/>
        </w:rPr>
      </w:pPr>
      <w:hyperlink r:id="rId9" w:history="1">
        <w:r w:rsidR="00D97C0E" w:rsidRPr="000541C7">
          <w:rPr>
            <w:rStyle w:val="Hyperlink"/>
            <w:rFonts w:ascii="Calibri Light" w:eastAsia="Calibri Light" w:hAnsi="Calibri Light" w:cs="Calibri Light"/>
            <w:sz w:val="23"/>
            <w:szCs w:val="23"/>
          </w:rPr>
          <w:t>An evaluation of GROW</w:t>
        </w:r>
      </w:hyperlink>
      <w:r w:rsidR="00D97C0E" w:rsidRPr="000541C7">
        <w:rPr>
          <w:rFonts w:ascii="Calibri Light" w:eastAsia="Calibri Light" w:hAnsi="Calibri Light" w:cs="Calibri Light"/>
          <w:sz w:val="23"/>
          <w:szCs w:val="23"/>
        </w:rPr>
        <w:t>, conducted for the Give Where You Live Foundation, found significant learning and change occurring in business, government, and non-government mindsets, which would likely not have occurred without the initiative (Clear Horizon, 2019). The evaluation made several recommendations to help GROW gain momentum and increase impact.</w:t>
      </w:r>
    </w:p>
    <w:p w14:paraId="41C3626C" w14:textId="2721794A" w:rsidR="00D97C0E" w:rsidRPr="00E96B6E" w:rsidRDefault="00D97C0E" w:rsidP="000E1707">
      <w:pPr>
        <w:pStyle w:val="Heading1"/>
        <w:spacing w:before="0"/>
        <w:rPr>
          <w:b/>
          <w:bCs/>
        </w:rPr>
      </w:pPr>
      <w:bookmarkStart w:id="11" w:name="_Toc108180695"/>
      <w:bookmarkStart w:id="12" w:name="_Toc108421958"/>
      <w:r w:rsidRPr="00E96B6E">
        <w:rPr>
          <w:b/>
          <w:bCs/>
        </w:rPr>
        <w:lastRenderedPageBreak/>
        <w:t>Victoria (Local Focus)</w:t>
      </w:r>
      <w:bookmarkEnd w:id="11"/>
      <w:bookmarkEnd w:id="12"/>
    </w:p>
    <w:p w14:paraId="7FA39356" w14:textId="77777777" w:rsidR="00D97C0E" w:rsidRPr="000541C7" w:rsidRDefault="00D97C0E" w:rsidP="00D97C0E">
      <w:pPr>
        <w:pStyle w:val="Heading2"/>
        <w:rPr>
          <w:rFonts w:eastAsia="Calibri"/>
        </w:rPr>
      </w:pPr>
      <w:bookmarkStart w:id="13" w:name="_Toc108421959"/>
      <w:bookmarkStart w:id="14" w:name="_Hlk70863435"/>
      <w:r w:rsidRPr="000541C7">
        <w:rPr>
          <w:rFonts w:eastAsia="Calibri"/>
        </w:rPr>
        <w:t>Afghan Youth Girls Bike Skills Workshops: Building Social Inclusion Via Sport</w:t>
      </w:r>
      <w:bookmarkEnd w:id="13"/>
    </w:p>
    <w:p w14:paraId="711EC0C0" w14:textId="017C5084" w:rsidR="00D97C0E" w:rsidRPr="000E1707" w:rsidRDefault="00D97C0E" w:rsidP="00AA476F">
      <w:pPr>
        <w:spacing w:line="276" w:lineRule="auto"/>
        <w:rPr>
          <w:rFonts w:ascii="Calibri" w:eastAsia="Calibri" w:hAnsi="Calibri" w:cs="Calibri"/>
          <w:sz w:val="23"/>
          <w:szCs w:val="23"/>
        </w:rPr>
      </w:pPr>
      <w:r w:rsidRPr="000541C7">
        <w:rPr>
          <w:rFonts w:ascii="Calibri" w:eastAsia="Calibri" w:hAnsi="Calibri" w:cs="Calibri"/>
          <w:sz w:val="23"/>
          <w:szCs w:val="23"/>
        </w:rPr>
        <w:t>Bendigo (2018)</w:t>
      </w:r>
      <w:bookmarkEnd w:id="14"/>
    </w:p>
    <w:p w14:paraId="43D57864" w14:textId="77777777" w:rsidR="00D97C0E" w:rsidRPr="00D97C0E" w:rsidRDefault="00D97C0E" w:rsidP="00D97C0E">
      <w:pPr>
        <w:spacing w:after="0" w:line="276" w:lineRule="auto"/>
        <w:rPr>
          <w:rFonts w:cstheme="minorHAnsi"/>
          <w:b/>
          <w:bCs/>
          <w:color w:val="595959" w:themeColor="text1" w:themeTint="A6"/>
          <w:sz w:val="23"/>
          <w:szCs w:val="23"/>
        </w:rPr>
      </w:pPr>
      <w:r w:rsidRPr="00D97C0E">
        <w:rPr>
          <w:rFonts w:cstheme="minorHAnsi"/>
          <w:b/>
          <w:bCs/>
          <w:color w:val="595959" w:themeColor="text1" w:themeTint="A6"/>
          <w:sz w:val="23"/>
          <w:szCs w:val="23"/>
        </w:rPr>
        <w:t>Main Practice Domain(s):</w:t>
      </w:r>
      <w:r w:rsidRPr="00D97C0E">
        <w:rPr>
          <w:rFonts w:cstheme="minorHAnsi"/>
          <w:b/>
          <w:bCs/>
          <w:color w:val="595959" w:themeColor="text1" w:themeTint="A6"/>
          <w:sz w:val="23"/>
          <w:szCs w:val="23"/>
        </w:rPr>
        <w:tab/>
      </w:r>
      <w:r w:rsidRPr="00D97C0E">
        <w:rPr>
          <w:rFonts w:cstheme="minorHAnsi"/>
          <w:b/>
          <w:bCs/>
          <w:color w:val="595959" w:themeColor="text1" w:themeTint="A6"/>
          <w:sz w:val="23"/>
          <w:szCs w:val="23"/>
        </w:rPr>
        <w:tab/>
        <w:t xml:space="preserve">Health and Wellbeing </w:t>
      </w:r>
    </w:p>
    <w:p w14:paraId="79A8BEFB" w14:textId="18A96E05" w:rsidR="00D97C0E" w:rsidRPr="000E1707" w:rsidRDefault="00D97C0E" w:rsidP="000E1707">
      <w:pPr>
        <w:spacing w:line="276" w:lineRule="auto"/>
        <w:rPr>
          <w:rFonts w:cstheme="minorHAnsi"/>
          <w:b/>
          <w:bCs/>
          <w:color w:val="595959" w:themeColor="text1" w:themeTint="A6"/>
          <w:sz w:val="23"/>
          <w:szCs w:val="23"/>
        </w:rPr>
      </w:pPr>
      <w:r w:rsidRPr="00D97C0E">
        <w:rPr>
          <w:rFonts w:cstheme="minorHAnsi"/>
          <w:b/>
          <w:bCs/>
          <w:color w:val="595959" w:themeColor="text1" w:themeTint="A6"/>
          <w:sz w:val="23"/>
          <w:szCs w:val="23"/>
        </w:rPr>
        <w:t>Secondary Practice Domain(s):</w:t>
      </w:r>
      <w:r w:rsidRPr="00D97C0E">
        <w:rPr>
          <w:rFonts w:cstheme="minorHAnsi"/>
          <w:b/>
          <w:bCs/>
          <w:color w:val="595959" w:themeColor="text1" w:themeTint="A6"/>
          <w:sz w:val="23"/>
          <w:szCs w:val="23"/>
        </w:rPr>
        <w:tab/>
        <w:t>Education, Liveability</w:t>
      </w:r>
    </w:p>
    <w:p w14:paraId="59F1F155" w14:textId="0EFB637C" w:rsidR="00D97C0E" w:rsidRPr="000E1707" w:rsidRDefault="00D97C0E" w:rsidP="00AA476F">
      <w:pPr>
        <w:spacing w:line="276" w:lineRule="auto"/>
        <w:rPr>
          <w:b/>
          <w:bCs/>
        </w:rPr>
      </w:pPr>
      <w:r w:rsidRPr="000541C7">
        <w:rPr>
          <w:rFonts w:ascii="Calibri Light" w:eastAsia="Calibri Light" w:hAnsi="Calibri Light" w:cs="Calibri Light"/>
          <w:sz w:val="23"/>
          <w:szCs w:val="23"/>
        </w:rPr>
        <w:t>Greater Bendigo (pop 110,000) is a designated Refugee Welcome Zone, with Karen and Afghani refugees being two key groups who call the city home; 15 percent of Bendigo residents were born overseas, and 5.6 percent of households speak a language other than English (Refugee Council, 2019).</w:t>
      </w:r>
    </w:p>
    <w:p w14:paraId="5047113A" w14:textId="5D243841" w:rsidR="00D97C0E" w:rsidRPr="000E1707" w:rsidRDefault="00D97C0E" w:rsidP="00AA476F">
      <w:pPr>
        <w:spacing w:line="276" w:lineRule="auto"/>
        <w:rPr>
          <w:b/>
          <w:bCs/>
        </w:rPr>
      </w:pPr>
      <w:r w:rsidRPr="000541C7">
        <w:rPr>
          <w:rFonts w:ascii="Calibri Light" w:eastAsia="Calibri Light" w:hAnsi="Calibri Light" w:cs="Calibri Light"/>
          <w:sz w:val="23"/>
          <w:szCs w:val="23"/>
        </w:rPr>
        <w:t>The Afghan Youth Girls Bike Skills Workshops ran in 2018. Nine girls aged 12 to 18 took part, all recent arrivals to Bendigo. The three-week program was founded to encourage participants to spend time outdoors, increase activity levels, get to their schools or the shops, spend time together, and explore their new city safely. Activities included group outings; workshops covering road rules, bike checks, and replacing a flat tyre; and discussions on staying safe when riding (Bendigo Community Health Services, 2018; Goode, 2018).</w:t>
      </w:r>
    </w:p>
    <w:p w14:paraId="520C207F" w14:textId="518EF5E5" w:rsidR="00D97C0E" w:rsidRPr="000E1707" w:rsidRDefault="00D97C0E" w:rsidP="00AA476F">
      <w:pPr>
        <w:spacing w:line="276" w:lineRule="auto"/>
        <w:rPr>
          <w:b/>
          <w:bCs/>
        </w:rPr>
      </w:pPr>
      <w:r w:rsidRPr="000541C7">
        <w:rPr>
          <w:rFonts w:ascii="Calibri Light" w:eastAsia="Calibri Light" w:hAnsi="Calibri Light" w:cs="Calibri Light"/>
          <w:sz w:val="23"/>
          <w:szCs w:val="23"/>
        </w:rPr>
        <w:t xml:space="preserve">Project partners were Bike Bendigo, Bendigo Community Health Services, and the City of Greater Bendigo. Bikes and helmets were donated for participants to keep by the Department of Justice and Community Safety’s Wheels in Motion program. The Wheels in Motion initiative engages young offenders to repair unwanted and discarded bikes for re-use by communities. </w:t>
      </w:r>
    </w:p>
    <w:p w14:paraId="73DB9CC0" w14:textId="747C3BB0" w:rsidR="00D97C0E" w:rsidRPr="000E1707" w:rsidRDefault="00D97C0E" w:rsidP="00AA476F">
      <w:pPr>
        <w:spacing w:line="276" w:lineRule="auto"/>
        <w:rPr>
          <w:rFonts w:ascii="Calibri Light" w:eastAsia="Calibri Light" w:hAnsi="Calibri Light" w:cs="Calibri Light"/>
          <w:b/>
          <w:bCs/>
          <w:sz w:val="23"/>
          <w:szCs w:val="23"/>
        </w:rPr>
      </w:pPr>
      <w:r w:rsidRPr="000541C7">
        <w:rPr>
          <w:rFonts w:ascii="Calibri Light" w:eastAsia="Calibri Light" w:hAnsi="Calibri Light" w:cs="Calibri Light"/>
          <w:sz w:val="23"/>
          <w:szCs w:val="23"/>
        </w:rPr>
        <w:t>Bendigo is also home to several other programs that foster cultural diversity and inclusion through sport. With support from the City of Greater Bendigo, local sporting clubs and community organisations run clubs and events for people from the local refugee, asylum seeker, migrant, and international student communities. Rather than following a specific model, these programs take a broad range of approaches to promoting social inclusion, health, and wellbeing through physical activity.</w:t>
      </w:r>
    </w:p>
    <w:p w14:paraId="2B12C55B" w14:textId="5D0AC58C" w:rsidR="00D97C0E" w:rsidRPr="000E1707" w:rsidRDefault="00D97C0E" w:rsidP="00AA476F">
      <w:pPr>
        <w:spacing w:line="276" w:lineRule="auto"/>
        <w:rPr>
          <w:b/>
          <w:bCs/>
        </w:rPr>
      </w:pPr>
      <w:r w:rsidRPr="000541C7">
        <w:rPr>
          <w:rFonts w:ascii="Calibri Light" w:eastAsia="Calibri Light" w:hAnsi="Calibri Light" w:cs="Calibri Light"/>
          <w:sz w:val="23"/>
          <w:szCs w:val="23"/>
        </w:rPr>
        <w:t>Examples include the Multicultural Soccer Program, Cane Ball Club, Axe Creek Multicultural Men’s Cricket Tournament, Multicultural Youth Futsal, and Women’s Learn to Swim Classes. Related initiatives include the Mini Roos Canteen Program, Community Boot Drive initiative, and refereeing and coaching programs. The Cultural Diversity and Inclusion Plan (CDIP) Sports Action Group provides input and guidance.</w:t>
      </w:r>
    </w:p>
    <w:p w14:paraId="08C334FC" w14:textId="15403E53" w:rsidR="00D97C0E" w:rsidRDefault="00D97C0E" w:rsidP="000E1707">
      <w:pPr>
        <w:spacing w:line="276" w:lineRule="auto"/>
        <w:rPr>
          <w:rFonts w:ascii="Calibri Light" w:eastAsia="Calibri Light" w:hAnsi="Calibri Light" w:cs="Calibri Light"/>
          <w:sz w:val="23"/>
          <w:szCs w:val="23"/>
        </w:rPr>
      </w:pPr>
      <w:r w:rsidRPr="000541C7">
        <w:rPr>
          <w:rFonts w:ascii="Calibri Light" w:eastAsia="Calibri Light" w:hAnsi="Calibri Light" w:cs="Calibri Light"/>
          <w:sz w:val="23"/>
          <w:szCs w:val="23"/>
        </w:rPr>
        <w:t xml:space="preserve">While no formal evaluations are available, participant feedback suggests benefits for many who take part: “It felt like I was a part of the community. The games were much more than just about kicking a soccer ball, it went beyond the language </w:t>
      </w:r>
      <w:r w:rsidR="00E96B6E" w:rsidRPr="000541C7">
        <w:rPr>
          <w:rFonts w:ascii="Calibri Light" w:eastAsia="Calibri Light" w:hAnsi="Calibri Light" w:cs="Calibri Light"/>
          <w:sz w:val="23"/>
          <w:szCs w:val="23"/>
        </w:rPr>
        <w:t>boundaries,</w:t>
      </w:r>
      <w:r w:rsidRPr="000541C7">
        <w:rPr>
          <w:rFonts w:ascii="Calibri Light" w:eastAsia="Calibri Light" w:hAnsi="Calibri Light" w:cs="Calibri Light"/>
          <w:sz w:val="23"/>
          <w:szCs w:val="23"/>
        </w:rPr>
        <w:t xml:space="preserve"> and you didn’t need to speak the same language to connect and have fun” (City of Greater Bendigo, 2020).</w:t>
      </w:r>
    </w:p>
    <w:p w14:paraId="1F0725A1" w14:textId="703B4962" w:rsidR="000E1707" w:rsidRDefault="000E1707" w:rsidP="000E1707">
      <w:pPr>
        <w:spacing w:line="276" w:lineRule="auto"/>
        <w:rPr>
          <w:rFonts w:ascii="Calibri Light" w:eastAsia="Calibri Light" w:hAnsi="Calibri Light" w:cs="Calibri Light"/>
          <w:sz w:val="23"/>
          <w:szCs w:val="23"/>
        </w:rPr>
      </w:pPr>
    </w:p>
    <w:p w14:paraId="2D7B21C6" w14:textId="77777777" w:rsidR="000E1707" w:rsidRPr="000E1707" w:rsidRDefault="000E1707" w:rsidP="000E1707">
      <w:pPr>
        <w:spacing w:line="276" w:lineRule="auto"/>
        <w:rPr>
          <w:rFonts w:ascii="Calibri" w:eastAsia="Calibri" w:hAnsi="Calibri" w:cs="Calibri"/>
          <w:b/>
          <w:bCs/>
          <w:sz w:val="25"/>
          <w:szCs w:val="25"/>
        </w:rPr>
      </w:pPr>
    </w:p>
    <w:p w14:paraId="43D44A50" w14:textId="77777777" w:rsidR="00D97C0E" w:rsidRPr="00D97C0E" w:rsidRDefault="00D97C0E" w:rsidP="00D97C0E">
      <w:pPr>
        <w:pStyle w:val="Heading2"/>
      </w:pPr>
      <w:bookmarkStart w:id="15" w:name="_Toc108421960"/>
      <w:bookmarkStart w:id="16" w:name="_Hlk70863612"/>
      <w:r w:rsidRPr="00D97C0E">
        <w:rPr>
          <w:rFonts w:eastAsiaTheme="minorHAnsi"/>
        </w:rPr>
        <w:lastRenderedPageBreak/>
        <w:t>Fawkner Commons (Fair Share Fare): Food Security and Creative Community-Building</w:t>
      </w:r>
      <w:bookmarkEnd w:id="15"/>
    </w:p>
    <w:p w14:paraId="56E734F7" w14:textId="7AE8B201" w:rsidR="00D97C0E" w:rsidRPr="000E1707" w:rsidRDefault="00D97C0E" w:rsidP="00AA476F">
      <w:pPr>
        <w:spacing w:line="276" w:lineRule="auto"/>
      </w:pPr>
      <w:r w:rsidRPr="359636AC">
        <w:rPr>
          <w:rFonts w:ascii="Calibri" w:eastAsia="Calibri" w:hAnsi="Calibri" w:cs="Calibri"/>
          <w:sz w:val="23"/>
          <w:szCs w:val="23"/>
        </w:rPr>
        <w:t xml:space="preserve">Fawkner and surrounding suburbs, </w:t>
      </w:r>
      <w:r>
        <w:rPr>
          <w:rFonts w:ascii="Calibri" w:eastAsia="Calibri" w:hAnsi="Calibri" w:cs="Calibri"/>
          <w:sz w:val="23"/>
          <w:szCs w:val="23"/>
        </w:rPr>
        <w:t xml:space="preserve">Melbourne, </w:t>
      </w:r>
      <w:r w:rsidRPr="359636AC">
        <w:rPr>
          <w:rFonts w:ascii="Calibri" w:eastAsia="Calibri" w:hAnsi="Calibri" w:cs="Calibri"/>
          <w:sz w:val="23"/>
          <w:szCs w:val="23"/>
        </w:rPr>
        <w:t>Victoria (2020–2021)</w:t>
      </w:r>
      <w:bookmarkEnd w:id="16"/>
    </w:p>
    <w:p w14:paraId="7EE7D57F" w14:textId="77777777" w:rsidR="00D97C0E" w:rsidRPr="00D97C0E" w:rsidRDefault="00D97C0E" w:rsidP="00D97C0E">
      <w:pPr>
        <w:spacing w:after="0" w:line="276" w:lineRule="auto"/>
        <w:rPr>
          <w:rFonts w:cstheme="minorHAnsi"/>
          <w:b/>
          <w:bCs/>
          <w:color w:val="595959" w:themeColor="text1" w:themeTint="A6"/>
          <w:sz w:val="23"/>
          <w:szCs w:val="23"/>
        </w:rPr>
      </w:pPr>
      <w:r w:rsidRPr="00D97C0E">
        <w:rPr>
          <w:rFonts w:cstheme="minorHAnsi"/>
          <w:b/>
          <w:bCs/>
          <w:color w:val="595959" w:themeColor="text1" w:themeTint="A6"/>
          <w:sz w:val="23"/>
          <w:szCs w:val="23"/>
        </w:rPr>
        <w:t xml:space="preserve">Main Practice Domain(s):         </w:t>
      </w:r>
      <w:r w:rsidRPr="00D97C0E">
        <w:rPr>
          <w:rFonts w:cstheme="minorHAnsi"/>
          <w:b/>
          <w:bCs/>
          <w:color w:val="595959" w:themeColor="text1" w:themeTint="A6"/>
          <w:sz w:val="23"/>
          <w:szCs w:val="23"/>
        </w:rPr>
        <w:tab/>
      </w:r>
      <w:r w:rsidRPr="00D97C0E">
        <w:rPr>
          <w:rFonts w:cstheme="minorHAnsi"/>
          <w:b/>
          <w:bCs/>
          <w:color w:val="595959" w:themeColor="text1" w:themeTint="A6"/>
          <w:sz w:val="23"/>
          <w:szCs w:val="23"/>
        </w:rPr>
        <w:tab/>
        <w:t>Health and Wellbeing, Liveability</w:t>
      </w:r>
    </w:p>
    <w:p w14:paraId="6ECC596C" w14:textId="5A8ACF19" w:rsidR="00D97C0E" w:rsidRPr="000E1707" w:rsidRDefault="00D97C0E" w:rsidP="000E1707">
      <w:pPr>
        <w:spacing w:line="276" w:lineRule="auto"/>
        <w:rPr>
          <w:rFonts w:cstheme="minorHAnsi"/>
          <w:b/>
          <w:bCs/>
          <w:color w:val="595959" w:themeColor="text1" w:themeTint="A6"/>
          <w:sz w:val="23"/>
          <w:szCs w:val="23"/>
        </w:rPr>
      </w:pPr>
      <w:r w:rsidRPr="00D97C0E">
        <w:rPr>
          <w:rFonts w:cstheme="minorHAnsi"/>
          <w:b/>
          <w:bCs/>
          <w:color w:val="595959" w:themeColor="text1" w:themeTint="A6"/>
          <w:sz w:val="23"/>
          <w:szCs w:val="23"/>
        </w:rPr>
        <w:t xml:space="preserve">Secondary Practice Domain(s): </w:t>
      </w:r>
      <w:r w:rsidRPr="00D97C0E">
        <w:rPr>
          <w:rFonts w:cstheme="minorHAnsi"/>
          <w:b/>
          <w:bCs/>
          <w:color w:val="595959" w:themeColor="text1" w:themeTint="A6"/>
          <w:sz w:val="23"/>
          <w:szCs w:val="23"/>
        </w:rPr>
        <w:tab/>
        <w:t>Education</w:t>
      </w:r>
    </w:p>
    <w:p w14:paraId="308F6964" w14:textId="77777777" w:rsidR="00D97C0E" w:rsidRPr="000541C7" w:rsidRDefault="00D97C0E" w:rsidP="00AA476F">
      <w:pPr>
        <w:spacing w:line="276" w:lineRule="auto"/>
        <w:rPr>
          <w:b/>
          <w:bCs/>
        </w:rPr>
      </w:pPr>
      <w:r w:rsidRPr="000541C7">
        <w:rPr>
          <w:rFonts w:ascii="Calibri Light" w:eastAsia="Calibri Light" w:hAnsi="Calibri Light" w:cs="Calibri Light"/>
          <w:color w:val="000000" w:themeColor="text1"/>
          <w:sz w:val="23"/>
          <w:szCs w:val="23"/>
        </w:rPr>
        <w:t>Fawkner is one of the Moreland municipality’s most food-insecure suburbs. Fawkner Commons is a non-for-profit, community-led food distribution hub. As well as providing food</w:t>
      </w:r>
      <w:r w:rsidRPr="359636AC">
        <w:rPr>
          <w:rFonts w:ascii="Calibri Light" w:eastAsia="Calibri Light" w:hAnsi="Calibri Light" w:cs="Calibri Light"/>
          <w:color w:val="000000" w:themeColor="text1"/>
          <w:sz w:val="23"/>
          <w:szCs w:val="23"/>
        </w:rPr>
        <w:t xml:space="preserve"> </w:t>
      </w:r>
      <w:r w:rsidRPr="000541C7">
        <w:rPr>
          <w:rFonts w:ascii="Calibri Light" w:eastAsia="Calibri Light" w:hAnsi="Calibri Light" w:cs="Calibri Light"/>
          <w:color w:val="000000" w:themeColor="text1"/>
          <w:sz w:val="23"/>
          <w:szCs w:val="23"/>
        </w:rPr>
        <w:t>relief, it aims to foster social inclusion, social cohesion, and community resilience. The program services low-income residents in Fawkner, and nearby Glenroy, Hadfield, and Merlynston.</w:t>
      </w:r>
    </w:p>
    <w:p w14:paraId="06B20C60" w14:textId="33838F3C" w:rsidR="00D97C0E" w:rsidRPr="000E1707" w:rsidRDefault="00D97C0E" w:rsidP="00AA476F">
      <w:pPr>
        <w:spacing w:line="276" w:lineRule="auto"/>
        <w:rPr>
          <w:b/>
          <w:bCs/>
        </w:rPr>
      </w:pPr>
      <w:r w:rsidRPr="000541C7">
        <w:rPr>
          <w:rFonts w:ascii="Calibri Light" w:eastAsia="Calibri Light" w:hAnsi="Calibri Light" w:cs="Calibri Light"/>
          <w:color w:val="000000" w:themeColor="text1"/>
          <w:sz w:val="23"/>
          <w:szCs w:val="23"/>
        </w:rPr>
        <w:t>Arising from the northern suburbs’ lockdown during the COVID-19 pandemic, Fawkner Commons was launched in May 2020 in partnership with The Community Grocer and Fawkner Bowling Club. Other partners include the Open Food Network, Moreland Council, and the Victorian State Government (Fawkner Commons, n.d.).</w:t>
      </w:r>
    </w:p>
    <w:p w14:paraId="20A92635" w14:textId="591AB6EE" w:rsidR="00D97C0E" w:rsidRPr="000E1707" w:rsidRDefault="00D97C0E" w:rsidP="00AA476F">
      <w:pPr>
        <w:spacing w:line="276" w:lineRule="auto"/>
        <w:rPr>
          <w:rFonts w:ascii="Calibri Light" w:eastAsia="Calibri Light" w:hAnsi="Calibri Light" w:cs="Calibri Light"/>
          <w:b/>
          <w:bCs/>
          <w:color w:val="000000" w:themeColor="text1"/>
          <w:sz w:val="23"/>
          <w:szCs w:val="23"/>
        </w:rPr>
      </w:pPr>
      <w:r w:rsidRPr="000541C7">
        <w:rPr>
          <w:rFonts w:ascii="Calibri Light" w:eastAsia="Calibri Light" w:hAnsi="Calibri Light" w:cs="Calibri Light"/>
          <w:color w:val="000000" w:themeColor="text1"/>
          <w:sz w:val="23"/>
          <w:szCs w:val="23"/>
        </w:rPr>
        <w:t>The founders work with local and small-scale food producers to provide fresh food from local sources. Workers and volunteers provide contactless healthy and affordable food box distribution to households with reduced income. A range of other locally sourced produce is also available through the Open Food Network, an open-source platform fostering ethical supply chains (Open Food Network, n.d.).</w:t>
      </w:r>
    </w:p>
    <w:p w14:paraId="64A62188" w14:textId="70E8A2E6" w:rsidR="00D97C0E" w:rsidRPr="000E1707" w:rsidRDefault="00D97C0E" w:rsidP="00AA476F">
      <w:pPr>
        <w:spacing w:line="276" w:lineRule="auto"/>
        <w:rPr>
          <w:b/>
          <w:bCs/>
        </w:rPr>
      </w:pPr>
      <w:r w:rsidRPr="000541C7">
        <w:rPr>
          <w:rFonts w:ascii="Calibri Light" w:eastAsia="Calibri Light" w:hAnsi="Calibri Light" w:cs="Calibri Light"/>
          <w:color w:val="000000" w:themeColor="text1"/>
          <w:sz w:val="23"/>
          <w:szCs w:val="23"/>
        </w:rPr>
        <w:t xml:space="preserve">In May–December 2020, Fawkner Commons distributed $110,000 of fresh produce and essentials through its food box distribution service, provided 2400 prepared meals and 1525 no-cost food hampers, and raised $10,000 through pay-it-forward initiatives (Fair Share Fare, 2020b). It also spawned the </w:t>
      </w:r>
      <w:r w:rsidRPr="000541C7">
        <w:rPr>
          <w:rFonts w:ascii="Calibri Light" w:eastAsia="Calibri Light" w:hAnsi="Calibri Light" w:cs="Calibri Light"/>
          <w:color w:val="0563C1"/>
          <w:sz w:val="23"/>
          <w:szCs w:val="23"/>
          <w:u w:val="single"/>
        </w:rPr>
        <w:t>Morefood for Moreland</w:t>
      </w:r>
      <w:r w:rsidRPr="000541C7">
        <w:rPr>
          <w:rFonts w:ascii="Calibri Light" w:eastAsia="Calibri Light" w:hAnsi="Calibri Light" w:cs="Calibri Light"/>
          <w:color w:val="000000" w:themeColor="text1"/>
          <w:sz w:val="23"/>
          <w:szCs w:val="23"/>
        </w:rPr>
        <w:t xml:space="preserve"> crowd-funding campaign (on the Raisely platform) to provide fresh fruit and vegetables to community members. Launched in September 2020, this campaign has raised over $7000 to date (Morefood for Moreland, n.d.).</w:t>
      </w:r>
    </w:p>
    <w:p w14:paraId="32B7438A" w14:textId="4563D078" w:rsidR="00D97C0E" w:rsidRPr="000E1707" w:rsidRDefault="00D97C0E" w:rsidP="00AA476F">
      <w:pPr>
        <w:spacing w:line="276" w:lineRule="auto"/>
        <w:rPr>
          <w:b/>
          <w:bCs/>
        </w:rPr>
      </w:pPr>
      <w:r w:rsidRPr="000541C7">
        <w:rPr>
          <w:rFonts w:ascii="Calibri Light" w:eastAsia="Calibri Light" w:hAnsi="Calibri Light" w:cs="Calibri Light"/>
          <w:color w:val="000000" w:themeColor="text1"/>
          <w:sz w:val="23"/>
          <w:szCs w:val="23"/>
        </w:rPr>
        <w:t xml:space="preserve">Founded by artist, academic, and activist Dr Jen Rae and partner Sally Beattie, the Fawkner Commons initiative is part of Rae’s umbrella venture, Fair Share Fare. This multi-platform, participatory arts project explores food security in the time of climate change (Fare Share Fair, 2020a). Rae’s practice is based on participatory and community-led approaches. Other Fair Share </w:t>
      </w:r>
      <w:r w:rsidR="000E1707">
        <w:rPr>
          <w:rFonts w:ascii="Calibri Light" w:eastAsia="Calibri Light" w:hAnsi="Calibri Light" w:cs="Calibri Light"/>
          <w:color w:val="000000" w:themeColor="text1"/>
          <w:sz w:val="23"/>
          <w:szCs w:val="23"/>
        </w:rPr>
        <w:t>F</w:t>
      </w:r>
      <w:r w:rsidRPr="000541C7">
        <w:rPr>
          <w:rFonts w:ascii="Calibri Light" w:eastAsia="Calibri Light" w:hAnsi="Calibri Light" w:cs="Calibri Light"/>
          <w:color w:val="000000" w:themeColor="text1"/>
          <w:sz w:val="23"/>
          <w:szCs w:val="23"/>
        </w:rPr>
        <w:t>are sub-projects she has developed in collaboration with local communities include:</w:t>
      </w:r>
    </w:p>
    <w:p w14:paraId="3BA6D9E1" w14:textId="77777777" w:rsidR="00D97C0E" w:rsidRPr="000541C7" w:rsidRDefault="00D97C0E" w:rsidP="00E96B6E">
      <w:pPr>
        <w:pStyle w:val="ListParagraph"/>
        <w:numPr>
          <w:ilvl w:val="0"/>
          <w:numId w:val="5"/>
        </w:numPr>
        <w:spacing w:after="120" w:line="276" w:lineRule="auto"/>
        <w:ind w:left="357" w:hanging="357"/>
        <w:contextualSpacing w:val="0"/>
        <w:rPr>
          <w:rFonts w:eastAsiaTheme="minorEastAsia"/>
          <w:b/>
          <w:bCs/>
          <w:color w:val="000000" w:themeColor="text1"/>
          <w:sz w:val="23"/>
          <w:szCs w:val="23"/>
        </w:rPr>
      </w:pPr>
      <w:r w:rsidRPr="000541C7">
        <w:rPr>
          <w:rFonts w:eastAsia="Calibri Light" w:cstheme="minorHAnsi"/>
          <w:color w:val="000000" w:themeColor="text1"/>
          <w:sz w:val="23"/>
          <w:szCs w:val="23"/>
        </w:rPr>
        <w:t>Refuge series:</w:t>
      </w:r>
      <w:r w:rsidRPr="000541C7">
        <w:rPr>
          <w:rFonts w:ascii="Calibri Light" w:eastAsia="Calibri Light" w:hAnsi="Calibri Light" w:cs="Calibri Light"/>
          <w:color w:val="000000" w:themeColor="text1"/>
          <w:sz w:val="23"/>
          <w:szCs w:val="23"/>
        </w:rPr>
        <w:t xml:space="preserve"> multi-year transdisciplinary program (2016–2019) investigating art and culture’s role in building community resilience for climate-related disasters (Dow, 2016).</w:t>
      </w:r>
    </w:p>
    <w:p w14:paraId="0B0150ED" w14:textId="77777777" w:rsidR="00D97C0E" w:rsidRPr="000541C7" w:rsidRDefault="00D97C0E" w:rsidP="00E96B6E">
      <w:pPr>
        <w:pStyle w:val="ListParagraph"/>
        <w:numPr>
          <w:ilvl w:val="0"/>
          <w:numId w:val="5"/>
        </w:numPr>
        <w:spacing w:after="120" w:line="276" w:lineRule="auto"/>
        <w:ind w:left="357" w:hanging="357"/>
        <w:contextualSpacing w:val="0"/>
        <w:rPr>
          <w:rFonts w:eastAsiaTheme="minorEastAsia"/>
          <w:b/>
          <w:bCs/>
          <w:color w:val="000000" w:themeColor="text1"/>
          <w:sz w:val="23"/>
          <w:szCs w:val="23"/>
        </w:rPr>
      </w:pPr>
      <w:r w:rsidRPr="000541C7">
        <w:rPr>
          <w:rFonts w:eastAsia="Calibri Light" w:cstheme="minorHAnsi"/>
          <w:color w:val="000000" w:themeColor="text1"/>
          <w:sz w:val="23"/>
          <w:szCs w:val="23"/>
        </w:rPr>
        <w:t>Recipe for Disaster:</w:t>
      </w:r>
      <w:r w:rsidRPr="000541C7">
        <w:rPr>
          <w:rFonts w:ascii="Calibri Light" w:eastAsia="Calibri Light" w:hAnsi="Calibri Light" w:cs="Calibri Light"/>
          <w:color w:val="000000" w:themeColor="text1"/>
          <w:sz w:val="23"/>
          <w:szCs w:val="23"/>
        </w:rPr>
        <w:t xml:space="preserve"> interactive performative dinner experiment presented by Science Gallery Melbourne as part of the 2019 Disposable series.</w:t>
      </w:r>
    </w:p>
    <w:p w14:paraId="4C8A52D0" w14:textId="77777777" w:rsidR="00D97C0E" w:rsidRPr="000541C7" w:rsidRDefault="00D97C0E" w:rsidP="00E96B6E">
      <w:pPr>
        <w:pStyle w:val="ListParagraph"/>
        <w:numPr>
          <w:ilvl w:val="0"/>
          <w:numId w:val="5"/>
        </w:numPr>
        <w:spacing w:after="120" w:line="276" w:lineRule="auto"/>
        <w:ind w:left="357" w:hanging="357"/>
        <w:contextualSpacing w:val="0"/>
        <w:rPr>
          <w:rFonts w:eastAsiaTheme="minorEastAsia"/>
          <w:b/>
          <w:bCs/>
          <w:color w:val="000000" w:themeColor="text1"/>
          <w:sz w:val="23"/>
          <w:szCs w:val="23"/>
        </w:rPr>
      </w:pPr>
      <w:r w:rsidRPr="000541C7">
        <w:rPr>
          <w:rFonts w:eastAsia="Calibri Light" w:cstheme="minorHAnsi"/>
          <w:color w:val="000000" w:themeColor="text1"/>
          <w:sz w:val="23"/>
          <w:szCs w:val="23"/>
        </w:rPr>
        <w:t>Future Proof Survival Guide:</w:t>
      </w:r>
      <w:r w:rsidRPr="000541C7">
        <w:rPr>
          <w:rFonts w:ascii="Calibri Light" w:eastAsia="Calibri Light" w:hAnsi="Calibri Light" w:cs="Calibri Light"/>
          <w:color w:val="000000" w:themeColor="text1"/>
          <w:sz w:val="23"/>
          <w:szCs w:val="23"/>
        </w:rPr>
        <w:t xml:space="preserve"> uncovering and sharing collective community knowledge around food to support disaster preparedness. </w:t>
      </w:r>
    </w:p>
    <w:p w14:paraId="682D51E4" w14:textId="512F0A03" w:rsidR="00D97C0E" w:rsidRPr="000E1707" w:rsidRDefault="00D97C0E" w:rsidP="00E96B6E">
      <w:pPr>
        <w:pStyle w:val="ListParagraph"/>
        <w:numPr>
          <w:ilvl w:val="0"/>
          <w:numId w:val="5"/>
        </w:numPr>
        <w:spacing w:after="120" w:line="276" w:lineRule="auto"/>
        <w:ind w:left="357" w:hanging="357"/>
        <w:contextualSpacing w:val="0"/>
        <w:rPr>
          <w:rFonts w:eastAsiaTheme="minorEastAsia"/>
          <w:b/>
          <w:bCs/>
          <w:color w:val="000000" w:themeColor="text1"/>
          <w:sz w:val="23"/>
          <w:szCs w:val="23"/>
        </w:rPr>
      </w:pPr>
      <w:r w:rsidRPr="000541C7">
        <w:rPr>
          <w:rFonts w:eastAsia="Calibri Light" w:cstheme="minorHAnsi"/>
          <w:color w:val="000000" w:themeColor="text1"/>
          <w:sz w:val="23"/>
          <w:szCs w:val="23"/>
        </w:rPr>
        <w:t>DIY Knowledge Share:</w:t>
      </w:r>
      <w:r w:rsidRPr="000541C7">
        <w:rPr>
          <w:rFonts w:ascii="Calibri Light" w:eastAsia="Calibri Light" w:hAnsi="Calibri Light" w:cs="Calibri Light"/>
          <w:color w:val="000000" w:themeColor="text1"/>
          <w:sz w:val="23"/>
          <w:szCs w:val="23"/>
        </w:rPr>
        <w:t xml:space="preserve"> workshops to share recipes, and the culture and stories behind them. </w:t>
      </w:r>
    </w:p>
    <w:p w14:paraId="149FED5C" w14:textId="2A0E1EFE" w:rsidR="000E1707" w:rsidRDefault="000E1707" w:rsidP="000E1707">
      <w:pPr>
        <w:spacing w:line="276" w:lineRule="auto"/>
        <w:ind w:left="360"/>
        <w:rPr>
          <w:rFonts w:eastAsiaTheme="minorEastAsia"/>
          <w:b/>
          <w:bCs/>
          <w:color w:val="000000" w:themeColor="text1"/>
          <w:sz w:val="23"/>
          <w:szCs w:val="23"/>
        </w:rPr>
      </w:pPr>
    </w:p>
    <w:p w14:paraId="7AC7BAD4" w14:textId="77777777" w:rsidR="000E1707" w:rsidRPr="000E1707" w:rsidRDefault="000E1707" w:rsidP="000E1707">
      <w:pPr>
        <w:spacing w:line="276" w:lineRule="auto"/>
        <w:ind w:left="360"/>
        <w:rPr>
          <w:rFonts w:eastAsiaTheme="minorEastAsia"/>
          <w:b/>
          <w:bCs/>
          <w:color w:val="000000" w:themeColor="text1"/>
          <w:sz w:val="23"/>
          <w:szCs w:val="23"/>
        </w:rPr>
      </w:pPr>
    </w:p>
    <w:p w14:paraId="2DAB77F6" w14:textId="77777777" w:rsidR="00D97C0E" w:rsidRDefault="00D97C0E" w:rsidP="00D97C0E">
      <w:pPr>
        <w:pStyle w:val="Heading2"/>
      </w:pPr>
      <w:bookmarkStart w:id="17" w:name="_Toc108421961"/>
      <w:r w:rsidRPr="27ED1008">
        <w:rPr>
          <w:rFonts w:eastAsia="Calibri"/>
        </w:rPr>
        <w:lastRenderedPageBreak/>
        <w:t xml:space="preserve">Streets Ahead: </w:t>
      </w:r>
      <w:r>
        <w:rPr>
          <w:rFonts w:eastAsia="Calibri"/>
        </w:rPr>
        <w:t>A</w:t>
      </w:r>
      <w:r w:rsidRPr="27ED1008">
        <w:rPr>
          <w:rFonts w:eastAsia="Calibri"/>
        </w:rPr>
        <w:t xml:space="preserve">ctive </w:t>
      </w:r>
      <w:r>
        <w:rPr>
          <w:rFonts w:eastAsia="Calibri"/>
        </w:rPr>
        <w:t>T</w:t>
      </w:r>
      <w:r w:rsidRPr="27ED1008">
        <w:rPr>
          <w:rFonts w:eastAsia="Calibri"/>
        </w:rPr>
        <w:t xml:space="preserve">ravel </w:t>
      </w:r>
      <w:r>
        <w:rPr>
          <w:rFonts w:eastAsia="Calibri"/>
        </w:rPr>
        <w:t>a</w:t>
      </w:r>
      <w:r w:rsidRPr="27ED1008">
        <w:rPr>
          <w:rFonts w:eastAsia="Calibri"/>
        </w:rPr>
        <w:t xml:space="preserve">nd Mobility </w:t>
      </w:r>
      <w:r>
        <w:rPr>
          <w:rFonts w:eastAsia="Calibri"/>
        </w:rPr>
        <w:t>f</w:t>
      </w:r>
      <w:r w:rsidRPr="27ED1008">
        <w:rPr>
          <w:rFonts w:eastAsia="Calibri"/>
        </w:rPr>
        <w:t xml:space="preserve">or </w:t>
      </w:r>
      <w:r>
        <w:rPr>
          <w:rFonts w:eastAsia="Calibri"/>
        </w:rPr>
        <w:t>Primary School Kids</w:t>
      </w:r>
      <w:bookmarkEnd w:id="17"/>
    </w:p>
    <w:p w14:paraId="190BC9F4" w14:textId="51298710" w:rsidR="00D97C0E" w:rsidRPr="000E1707" w:rsidRDefault="00D97C0E" w:rsidP="00AA476F">
      <w:pPr>
        <w:spacing w:line="276" w:lineRule="auto"/>
        <w:rPr>
          <w:rFonts w:ascii="Calibri" w:eastAsia="Calibri" w:hAnsi="Calibri" w:cs="Calibri"/>
          <w:b/>
          <w:bCs/>
          <w:sz w:val="23"/>
          <w:szCs w:val="23"/>
        </w:rPr>
      </w:pPr>
      <w:r w:rsidRPr="27ED1008">
        <w:rPr>
          <w:rFonts w:ascii="Calibri" w:eastAsia="Calibri" w:hAnsi="Calibri" w:cs="Calibri"/>
          <w:sz w:val="23"/>
          <w:szCs w:val="23"/>
        </w:rPr>
        <w:t>Six local council areas, Victoria (2008–2011)</w:t>
      </w:r>
    </w:p>
    <w:p w14:paraId="744F5CF8" w14:textId="77777777" w:rsidR="00D97C0E" w:rsidRPr="00D97C0E" w:rsidRDefault="00D97C0E" w:rsidP="00D97C0E">
      <w:pPr>
        <w:spacing w:after="0" w:line="276" w:lineRule="auto"/>
        <w:rPr>
          <w:rFonts w:cstheme="minorHAnsi"/>
          <w:b/>
          <w:bCs/>
          <w:color w:val="595959" w:themeColor="text1" w:themeTint="A6"/>
          <w:sz w:val="23"/>
          <w:szCs w:val="23"/>
        </w:rPr>
      </w:pPr>
      <w:r w:rsidRPr="00D97C0E">
        <w:rPr>
          <w:rFonts w:cstheme="minorHAnsi"/>
          <w:b/>
          <w:bCs/>
          <w:color w:val="595959" w:themeColor="text1" w:themeTint="A6"/>
          <w:sz w:val="23"/>
          <w:szCs w:val="23"/>
        </w:rPr>
        <w:t>Main Practice Domain(s):</w:t>
      </w:r>
      <w:r w:rsidRPr="00D97C0E">
        <w:rPr>
          <w:rFonts w:cstheme="minorHAnsi"/>
          <w:b/>
          <w:bCs/>
          <w:color w:val="595959" w:themeColor="text1" w:themeTint="A6"/>
          <w:sz w:val="23"/>
          <w:szCs w:val="23"/>
        </w:rPr>
        <w:tab/>
      </w:r>
      <w:r w:rsidRPr="00D97C0E">
        <w:rPr>
          <w:rFonts w:cstheme="minorHAnsi"/>
          <w:b/>
          <w:bCs/>
          <w:color w:val="595959" w:themeColor="text1" w:themeTint="A6"/>
          <w:sz w:val="23"/>
          <w:szCs w:val="23"/>
        </w:rPr>
        <w:tab/>
        <w:t xml:space="preserve">Health and Wellbeing </w:t>
      </w:r>
    </w:p>
    <w:p w14:paraId="7B55B887" w14:textId="412F530B" w:rsidR="00D97C0E" w:rsidRPr="000E1707" w:rsidRDefault="00D97C0E" w:rsidP="000E1707">
      <w:pPr>
        <w:spacing w:line="276" w:lineRule="auto"/>
        <w:rPr>
          <w:rFonts w:cstheme="minorHAnsi"/>
          <w:b/>
          <w:bCs/>
          <w:color w:val="595959" w:themeColor="text1" w:themeTint="A6"/>
          <w:sz w:val="23"/>
          <w:szCs w:val="23"/>
        </w:rPr>
      </w:pPr>
      <w:r w:rsidRPr="00D97C0E">
        <w:rPr>
          <w:rFonts w:cstheme="minorHAnsi"/>
          <w:b/>
          <w:bCs/>
          <w:color w:val="595959" w:themeColor="text1" w:themeTint="A6"/>
          <w:sz w:val="23"/>
          <w:szCs w:val="23"/>
        </w:rPr>
        <w:t>Secondary Practice Domain(s):</w:t>
      </w:r>
      <w:r w:rsidRPr="00D97C0E">
        <w:rPr>
          <w:rFonts w:cstheme="minorHAnsi"/>
          <w:b/>
          <w:bCs/>
          <w:color w:val="595959" w:themeColor="text1" w:themeTint="A6"/>
          <w:sz w:val="23"/>
          <w:szCs w:val="23"/>
        </w:rPr>
        <w:tab/>
        <w:t>Education, Liveability</w:t>
      </w:r>
    </w:p>
    <w:p w14:paraId="48FF6D04" w14:textId="11EEBA53" w:rsidR="00D97C0E" w:rsidRPr="000E1707" w:rsidRDefault="00D97C0E" w:rsidP="00AA476F">
      <w:pPr>
        <w:spacing w:line="276" w:lineRule="auto"/>
        <w:rPr>
          <w:rFonts w:ascii="Calibri Light" w:eastAsia="Calibri Light" w:hAnsi="Calibri Light" w:cs="Calibri Light"/>
          <w:sz w:val="23"/>
          <w:szCs w:val="23"/>
        </w:rPr>
      </w:pPr>
      <w:r w:rsidRPr="000541C7">
        <w:rPr>
          <w:rFonts w:ascii="Calibri Light" w:eastAsia="Calibri Light" w:hAnsi="Calibri Light" w:cs="Calibri Light"/>
          <w:sz w:val="23"/>
          <w:szCs w:val="23"/>
        </w:rPr>
        <w:t>Streets Ahead was a three-year program funded by VicHealth from July 2008 to June 2011. It aimed to create supportive environments to increase children’s active travel and independent mobility in their local community, with a focus on travelling to and from school by walking or cycling.</w:t>
      </w:r>
      <w:r w:rsidRPr="000541C7">
        <w:t xml:space="preserve"> </w:t>
      </w:r>
      <w:r w:rsidRPr="000541C7">
        <w:rPr>
          <w:rFonts w:ascii="Calibri Light" w:eastAsia="Calibri Light" w:hAnsi="Calibri Light" w:cs="Calibri Light"/>
          <w:sz w:val="23"/>
          <w:szCs w:val="23"/>
        </w:rPr>
        <w:t>The target group was children aged four to 12 years.</w:t>
      </w:r>
    </w:p>
    <w:p w14:paraId="23382042" w14:textId="4235FB22" w:rsidR="00D97C0E" w:rsidRPr="000E1707" w:rsidRDefault="00D97C0E" w:rsidP="00AA476F">
      <w:pPr>
        <w:spacing w:line="276" w:lineRule="auto"/>
        <w:rPr>
          <w:rFonts w:ascii="Calibri Light" w:eastAsia="Calibri Light" w:hAnsi="Calibri Light" w:cs="Calibri Light"/>
          <w:sz w:val="23"/>
          <w:szCs w:val="23"/>
        </w:rPr>
      </w:pPr>
      <w:r w:rsidRPr="000541C7">
        <w:rPr>
          <w:rFonts w:ascii="Calibri Light" w:eastAsia="Calibri Light" w:hAnsi="Calibri Light" w:cs="Calibri Light"/>
          <w:sz w:val="23"/>
          <w:szCs w:val="23"/>
        </w:rPr>
        <w:t xml:space="preserve">Six local government areas (LGAs) across Victoria were selected to take part, based on their higher local levels of social disadvantage and health inequalities. The target LGAs were Bendigo, Brimbank, Cardinia, Darebin, Wodonga, and Geelong. Three or four primary schools in each area were then selected to take part. After place-based groundwork by local project officers, a diverse range of locally tailored projects and approaches were rolled out in each area. Events were also run to raise awareness of the initiative, including Ride2School Day, Walk Safely to School Day, Walktober, and the Walk on Wednesday Awards. </w:t>
      </w:r>
    </w:p>
    <w:p w14:paraId="47875F9C" w14:textId="2BF013DB" w:rsidR="00D97C0E" w:rsidRPr="000E1707" w:rsidRDefault="00D97C0E" w:rsidP="00AA476F">
      <w:pPr>
        <w:spacing w:line="276" w:lineRule="auto"/>
        <w:rPr>
          <w:rFonts w:ascii="Calibri Light" w:eastAsia="Calibri Light" w:hAnsi="Calibri Light" w:cs="Calibri Light"/>
          <w:sz w:val="23"/>
          <w:szCs w:val="23"/>
        </w:rPr>
      </w:pPr>
      <w:r w:rsidRPr="000541C7">
        <w:rPr>
          <w:rFonts w:ascii="Calibri Light" w:eastAsia="Calibri Light" w:hAnsi="Calibri Light" w:cs="Calibri Light"/>
          <w:sz w:val="23"/>
          <w:szCs w:val="23"/>
        </w:rPr>
        <w:t>One target municipality, Brimbank (pop 209,000), scored the second lowest in metropolitan Melbourne on the Index of Relative Social-Economic Disadvantage (IRSD) at the outset of the project. Brimbank participants were introduced to the project through a community-building workshop for local parents and children. As a result of that event, interested participants formed an “action committee” to implement the program (VicHealth, 2011).</w:t>
      </w:r>
    </w:p>
    <w:p w14:paraId="520D4AE0" w14:textId="0CFA3F50" w:rsidR="00D97C0E" w:rsidRPr="000E1707" w:rsidRDefault="00D97C0E" w:rsidP="00AA476F">
      <w:pPr>
        <w:spacing w:line="276" w:lineRule="auto"/>
        <w:rPr>
          <w:b/>
          <w:bCs/>
        </w:rPr>
      </w:pPr>
      <w:r w:rsidRPr="000541C7">
        <w:rPr>
          <w:rFonts w:ascii="Calibri Light" w:eastAsia="Calibri Light" w:hAnsi="Calibri Light" w:cs="Calibri Light"/>
          <w:sz w:val="23"/>
          <w:szCs w:val="23"/>
        </w:rPr>
        <w:t xml:space="preserve">Giving participants a driving role in the project was evidently a successful </w:t>
      </w:r>
      <w:r w:rsidR="00E96B6E" w:rsidRPr="000541C7">
        <w:rPr>
          <w:rFonts w:ascii="Calibri Light" w:eastAsia="Calibri Light" w:hAnsi="Calibri Light" w:cs="Calibri Light"/>
          <w:sz w:val="23"/>
          <w:szCs w:val="23"/>
        </w:rPr>
        <w:t>strategy and</w:t>
      </w:r>
      <w:r w:rsidRPr="000541C7">
        <w:rPr>
          <w:rFonts w:ascii="Calibri Light" w:eastAsia="Calibri Light" w:hAnsi="Calibri Light" w:cs="Calibri Light"/>
          <w:sz w:val="23"/>
          <w:szCs w:val="23"/>
        </w:rPr>
        <w:t xml:space="preserve"> yielded longer-term benefits that surpassed the lifespan of the project. The initial action committee grew into an independent community organisation known as the Albion and Ardeer Community Club (AACC). Together, Streets Ahead and the AACC developed a community garden, and planned and delivered an Albion and Ardeer Neighbourhood Festival in 2019, which attracted 500 community members. A decade after the Streets Ahead program concluded, the AACC remains active in the area, indicating that the initiative was successful in building local community capacity and connection.</w:t>
      </w:r>
    </w:p>
    <w:p w14:paraId="519FE03F" w14:textId="297928CF" w:rsidR="00D97C0E" w:rsidRPr="000E1707" w:rsidRDefault="00D97C0E" w:rsidP="00AA476F">
      <w:pPr>
        <w:spacing w:line="276" w:lineRule="auto"/>
        <w:rPr>
          <w:rFonts w:ascii="Calibri Light" w:eastAsia="Calibri Light" w:hAnsi="Calibri Light" w:cs="Calibri Light"/>
          <w:b/>
          <w:bCs/>
          <w:sz w:val="23"/>
          <w:szCs w:val="23"/>
        </w:rPr>
      </w:pPr>
      <w:r w:rsidRPr="000541C7">
        <w:rPr>
          <w:rFonts w:ascii="Calibri Light" w:eastAsia="Calibri Light" w:hAnsi="Calibri Light" w:cs="Calibri Light"/>
          <w:sz w:val="23"/>
          <w:szCs w:val="23"/>
        </w:rPr>
        <w:t>The Geelong-based project ran in East Geelong, Breakwater, and Thompson. The local iteration included neighbourhood events to increase social connection and sense of safety, including a play-based treasure hunt for parents and kids; professional development for teachers on children’s outdoor education; presentations for Council staff on child-friendly cities, and seminars for parents to challenge perceptions of “stranger danger” and the practice of “bubble-wrapping” children (VicHealth 2014).</w:t>
      </w:r>
    </w:p>
    <w:p w14:paraId="002D12DC" w14:textId="281F6577" w:rsidR="00D97C0E" w:rsidRPr="000E1707" w:rsidRDefault="00D97C0E" w:rsidP="000E1707">
      <w:pPr>
        <w:spacing w:line="276" w:lineRule="auto"/>
        <w:rPr>
          <w:rFonts w:ascii="Calibri Light" w:eastAsia="Calibri Light" w:hAnsi="Calibri Light" w:cs="Calibri Light"/>
          <w:b/>
          <w:bCs/>
          <w:sz w:val="23"/>
          <w:szCs w:val="23"/>
        </w:rPr>
      </w:pPr>
      <w:r w:rsidRPr="000541C7">
        <w:rPr>
          <w:rFonts w:ascii="Calibri Light" w:eastAsia="Calibri Light" w:hAnsi="Calibri Light" w:cs="Calibri Light"/>
          <w:sz w:val="23"/>
          <w:szCs w:val="23"/>
        </w:rPr>
        <w:t xml:space="preserve">An </w:t>
      </w:r>
      <w:hyperlink r:id="rId10" w:history="1">
        <w:r w:rsidRPr="000541C7">
          <w:rPr>
            <w:rStyle w:val="Hyperlink"/>
            <w:rFonts w:ascii="Calibri Light" w:eastAsia="Calibri Light" w:hAnsi="Calibri Light" w:cs="Calibri Light"/>
            <w:color w:val="auto"/>
            <w:sz w:val="23"/>
            <w:szCs w:val="23"/>
          </w:rPr>
          <w:t>evaluation</w:t>
        </w:r>
      </w:hyperlink>
      <w:r w:rsidRPr="000541C7">
        <w:rPr>
          <w:rFonts w:ascii="Calibri Light" w:eastAsia="Calibri Light" w:hAnsi="Calibri Light" w:cs="Calibri Light"/>
          <w:sz w:val="23"/>
          <w:szCs w:val="23"/>
        </w:rPr>
        <w:t xml:space="preserve"> of the overall program found that</w:t>
      </w:r>
      <w:r w:rsidRPr="000541C7">
        <w:t xml:space="preserve"> </w:t>
      </w:r>
      <w:r w:rsidRPr="000541C7">
        <w:rPr>
          <w:rFonts w:ascii="Calibri Light" w:eastAsia="Calibri Light" w:hAnsi="Calibri Light" w:cs="Calibri Light"/>
          <w:sz w:val="23"/>
          <w:szCs w:val="23"/>
        </w:rPr>
        <w:t>encouraging or supporting children to walk to and from school appeared to help them build a more connected and detailed understanding of their neighbourhood. For the Geelong-based project, school-related active travel rose from around 25 percent at the start of the project, to around 40 percent routinely, and as high as 90 percent during some special events (VicHealth, 2014: 17).</w:t>
      </w:r>
    </w:p>
    <w:p w14:paraId="5C3928A9" w14:textId="77777777" w:rsidR="00D97C0E" w:rsidRPr="00E05D57" w:rsidRDefault="00D97C0E" w:rsidP="00D97C0E">
      <w:pPr>
        <w:pStyle w:val="Heading2"/>
        <w:rPr>
          <w:b/>
          <w:bCs/>
        </w:rPr>
      </w:pPr>
      <w:bookmarkStart w:id="18" w:name="_Toc108421962"/>
      <w:bookmarkStart w:id="19" w:name="_Hlk70863642"/>
      <w:r w:rsidRPr="00E05D57">
        <w:lastRenderedPageBreak/>
        <w:t xml:space="preserve">Ten Ideas, Three Ventures: Improving Mental Health </w:t>
      </w:r>
      <w:r>
        <w:t>f</w:t>
      </w:r>
      <w:r w:rsidRPr="00E05D57">
        <w:t>or You</w:t>
      </w:r>
      <w:r>
        <w:t>ng</w:t>
      </w:r>
      <w:r w:rsidRPr="00E05D57">
        <w:t xml:space="preserve"> South Sudanese Australians</w:t>
      </w:r>
      <w:bookmarkEnd w:id="18"/>
    </w:p>
    <w:p w14:paraId="158384F0" w14:textId="57845F05" w:rsidR="00D97C0E" w:rsidRPr="000E1707" w:rsidRDefault="00D97C0E" w:rsidP="00AA476F">
      <w:pPr>
        <w:spacing w:line="276" w:lineRule="auto"/>
        <w:rPr>
          <w:rFonts w:cstheme="minorHAnsi"/>
          <w:b/>
          <w:bCs/>
          <w:sz w:val="23"/>
          <w:szCs w:val="23"/>
        </w:rPr>
      </w:pPr>
      <w:r w:rsidRPr="00E05D57">
        <w:rPr>
          <w:rFonts w:cstheme="minorHAnsi"/>
          <w:sz w:val="23"/>
          <w:szCs w:val="23"/>
        </w:rPr>
        <w:t>Western Metropolitan Melbourne, TACSI (2018–2020)</w:t>
      </w:r>
      <w:bookmarkEnd w:id="19"/>
    </w:p>
    <w:p w14:paraId="718F9B4A" w14:textId="77777777" w:rsidR="00D97C0E" w:rsidRPr="00CC521D" w:rsidRDefault="00D97C0E" w:rsidP="00D97C0E">
      <w:pPr>
        <w:spacing w:after="0" w:line="276" w:lineRule="auto"/>
        <w:rPr>
          <w:rFonts w:cstheme="minorHAnsi"/>
          <w:b/>
          <w:bCs/>
          <w:color w:val="595959" w:themeColor="text1" w:themeTint="A6"/>
          <w:sz w:val="23"/>
          <w:szCs w:val="23"/>
        </w:rPr>
      </w:pPr>
      <w:r w:rsidRPr="00D97C0E">
        <w:rPr>
          <w:rFonts w:cstheme="minorHAnsi"/>
          <w:b/>
          <w:bCs/>
          <w:color w:val="595959" w:themeColor="text1" w:themeTint="A6"/>
          <w:sz w:val="23"/>
          <w:szCs w:val="23"/>
        </w:rPr>
        <w:t>Main Practice Domain (s):</w:t>
      </w:r>
      <w:r w:rsidRPr="00D97C0E">
        <w:rPr>
          <w:rFonts w:cstheme="minorHAnsi"/>
          <w:b/>
          <w:bCs/>
          <w:color w:val="595959" w:themeColor="text1" w:themeTint="A6"/>
          <w:sz w:val="23"/>
          <w:szCs w:val="23"/>
        </w:rPr>
        <w:tab/>
      </w:r>
      <w:r w:rsidRPr="00D97C0E">
        <w:rPr>
          <w:rFonts w:cstheme="minorHAnsi"/>
          <w:b/>
          <w:bCs/>
          <w:color w:val="595959" w:themeColor="text1" w:themeTint="A6"/>
          <w:sz w:val="23"/>
          <w:szCs w:val="23"/>
        </w:rPr>
        <w:tab/>
        <w:t>Health and Wellbeing</w:t>
      </w:r>
    </w:p>
    <w:p w14:paraId="58310558" w14:textId="3482343A" w:rsidR="00D97C0E" w:rsidRPr="000E1707" w:rsidRDefault="00D97C0E" w:rsidP="000E1707">
      <w:pPr>
        <w:spacing w:line="276" w:lineRule="auto"/>
        <w:rPr>
          <w:rFonts w:cstheme="minorHAnsi"/>
          <w:b/>
          <w:bCs/>
          <w:color w:val="595959" w:themeColor="text1" w:themeTint="A6"/>
          <w:sz w:val="23"/>
          <w:szCs w:val="23"/>
        </w:rPr>
      </w:pPr>
      <w:r w:rsidRPr="00D97C0E">
        <w:rPr>
          <w:rFonts w:cstheme="minorHAnsi"/>
          <w:b/>
          <w:bCs/>
          <w:color w:val="595959" w:themeColor="text1" w:themeTint="A6"/>
          <w:sz w:val="23"/>
          <w:szCs w:val="23"/>
        </w:rPr>
        <w:t>Secondary Practice Domain(s):</w:t>
      </w:r>
      <w:r w:rsidRPr="00D97C0E">
        <w:rPr>
          <w:rFonts w:cstheme="minorHAnsi"/>
          <w:b/>
          <w:bCs/>
          <w:color w:val="595959" w:themeColor="text1" w:themeTint="A6"/>
          <w:sz w:val="23"/>
          <w:szCs w:val="23"/>
        </w:rPr>
        <w:tab/>
        <w:t>Education, Liveability</w:t>
      </w:r>
    </w:p>
    <w:p w14:paraId="7DABCBC5" w14:textId="407F371B" w:rsidR="00D97C0E" w:rsidRPr="000E1707" w:rsidRDefault="00D97C0E" w:rsidP="00AA476F">
      <w:pPr>
        <w:spacing w:line="276" w:lineRule="auto"/>
        <w:rPr>
          <w:rFonts w:asciiTheme="majorHAnsi" w:hAnsiTheme="majorHAnsi" w:cstheme="majorBidi"/>
          <w:b/>
          <w:bCs/>
          <w:sz w:val="23"/>
          <w:szCs w:val="23"/>
        </w:rPr>
      </w:pPr>
      <w:r w:rsidRPr="000541C7">
        <w:rPr>
          <w:rFonts w:asciiTheme="majorHAnsi" w:hAnsiTheme="majorHAnsi" w:cstheme="majorBidi"/>
          <w:sz w:val="23"/>
          <w:szCs w:val="23"/>
        </w:rPr>
        <w:t>Most of Melbourne’s South Sudanese community (pop. 11,000) lives in working-class suburbs in the city’s west and south-east. Many are Australian born, while others arrived as refugees. In 2018, the community was experiencing negative public scrutiny, media stereotyping, and racism (Henriques-Gomes, 2018). Alongside this hostility came a tragic string of youth suicides, and growing concern over mental health issues in the community.</w:t>
      </w:r>
    </w:p>
    <w:p w14:paraId="3E139736" w14:textId="6B71E691" w:rsidR="00D97C0E" w:rsidRPr="000E1707" w:rsidRDefault="00D97C0E" w:rsidP="00AA476F">
      <w:pPr>
        <w:spacing w:line="276" w:lineRule="auto"/>
        <w:rPr>
          <w:rFonts w:asciiTheme="majorHAnsi" w:hAnsiTheme="majorHAnsi" w:cstheme="majorBidi"/>
          <w:b/>
          <w:bCs/>
          <w:sz w:val="23"/>
          <w:szCs w:val="23"/>
        </w:rPr>
      </w:pPr>
      <w:r w:rsidRPr="000541C7">
        <w:rPr>
          <w:rFonts w:asciiTheme="majorHAnsi" w:hAnsiTheme="majorHAnsi" w:cstheme="majorBidi"/>
          <w:sz w:val="23"/>
          <w:szCs w:val="23"/>
        </w:rPr>
        <w:t>In response, The Australian Centre for Social Innovation (TACSI) began collaborating with local young people to develop projects to address social exclusion and help the community thrive (TACSI, 2018). Formed in 2009, TACSI is an independent social enterprise focused on building equitable social and economic prosperity. Its approach is based on co-design and community-led models of engagement.</w:t>
      </w:r>
    </w:p>
    <w:p w14:paraId="6AAA12AF" w14:textId="0BA727C3" w:rsidR="00D97C0E" w:rsidRPr="000E1707" w:rsidRDefault="00D97C0E" w:rsidP="00AA476F">
      <w:pPr>
        <w:spacing w:line="276" w:lineRule="auto"/>
        <w:rPr>
          <w:rFonts w:asciiTheme="majorHAnsi" w:hAnsiTheme="majorHAnsi" w:cstheme="majorBidi"/>
          <w:b/>
          <w:bCs/>
          <w:sz w:val="23"/>
          <w:szCs w:val="23"/>
        </w:rPr>
      </w:pPr>
      <w:r w:rsidRPr="000541C7">
        <w:rPr>
          <w:rFonts w:asciiTheme="majorHAnsi" w:hAnsiTheme="majorHAnsi" w:cstheme="majorBidi"/>
          <w:sz w:val="23"/>
          <w:szCs w:val="23"/>
        </w:rPr>
        <w:t>That initial project ran over 18 months. Building on the relationships it fostered, TACSI developed an offshoot project to improve local young people’s mental health and wellbeing. There is a strong social stigma around mental illness in traditional South Sudanese culture, and few people have used mental health services prior to arrival in Australia (Migrant Information Centre, 2012: 4). Taking a co-designed, community-led approach, TACSI worked with groups of young people over six months in 2020. Project partners were the Victorian State government (DHHS) and local service provider Co-Health.</w:t>
      </w:r>
    </w:p>
    <w:p w14:paraId="0274175D" w14:textId="26AD2AA6" w:rsidR="00D97C0E" w:rsidRPr="000E1707" w:rsidRDefault="00D97C0E" w:rsidP="00AA476F">
      <w:pPr>
        <w:spacing w:line="276" w:lineRule="auto"/>
        <w:rPr>
          <w:rFonts w:asciiTheme="majorHAnsi" w:hAnsiTheme="majorHAnsi" w:cstheme="majorHAnsi"/>
          <w:b/>
          <w:bCs/>
          <w:sz w:val="23"/>
          <w:szCs w:val="23"/>
        </w:rPr>
      </w:pPr>
      <w:r w:rsidRPr="000541C7">
        <w:rPr>
          <w:rFonts w:asciiTheme="majorHAnsi" w:hAnsiTheme="majorHAnsi" w:cstheme="majorHAnsi"/>
          <w:sz w:val="23"/>
          <w:szCs w:val="23"/>
        </w:rPr>
        <w:t>TACSI staff supported the young people to conduct research within their communities; created “peer mental health roles” to encourage them to share their lived experiences; and coached them to develop, plan, test, and refine creative project ideas to bring the community together. From ten resulting ideas, three “ventures” were delivered and evaluated with community members. All three projects took shape during the pandemic and were swiftly adapted for Melbourne’s COVID-19 lockdowns. Projects were:</w:t>
      </w:r>
    </w:p>
    <w:p w14:paraId="3AB1042E" w14:textId="77777777" w:rsidR="00D97C0E" w:rsidRPr="000541C7" w:rsidRDefault="00D97C0E" w:rsidP="00E96B6E">
      <w:pPr>
        <w:pStyle w:val="ListParagraph"/>
        <w:numPr>
          <w:ilvl w:val="0"/>
          <w:numId w:val="1"/>
        </w:numPr>
        <w:spacing w:after="120" w:line="276" w:lineRule="auto"/>
        <w:ind w:left="357" w:hanging="357"/>
        <w:contextualSpacing w:val="0"/>
        <w:rPr>
          <w:rFonts w:asciiTheme="majorHAnsi" w:hAnsiTheme="majorHAnsi" w:cstheme="majorBidi"/>
          <w:b/>
          <w:bCs/>
          <w:sz w:val="23"/>
          <w:szCs w:val="23"/>
        </w:rPr>
      </w:pPr>
      <w:r w:rsidRPr="000541C7">
        <w:rPr>
          <w:rFonts w:cstheme="minorHAnsi"/>
          <w:sz w:val="23"/>
          <w:szCs w:val="23"/>
        </w:rPr>
        <w:t>The Culture Party:</w:t>
      </w:r>
      <w:r w:rsidRPr="000541C7">
        <w:rPr>
          <w:rFonts w:asciiTheme="majorHAnsi" w:hAnsiTheme="majorHAnsi" w:cstheme="majorBidi"/>
          <w:sz w:val="23"/>
          <w:szCs w:val="23"/>
        </w:rPr>
        <w:t xml:space="preserve"> an Instagram Live (online) event showcasing South Sudanese Australian creative talent, including live interviews with singers, dancers and artists talking about wellbeing and mental health. More than 600 young South Sudanese Australians took part in the first online Culture Party.</w:t>
      </w:r>
    </w:p>
    <w:p w14:paraId="33FA37CC" w14:textId="77777777" w:rsidR="00D97C0E" w:rsidRPr="000541C7" w:rsidRDefault="00D97C0E" w:rsidP="00E96B6E">
      <w:pPr>
        <w:pStyle w:val="ListParagraph"/>
        <w:numPr>
          <w:ilvl w:val="0"/>
          <w:numId w:val="1"/>
        </w:numPr>
        <w:spacing w:after="120" w:line="276" w:lineRule="auto"/>
        <w:ind w:left="357" w:hanging="357"/>
        <w:contextualSpacing w:val="0"/>
        <w:rPr>
          <w:rFonts w:asciiTheme="majorHAnsi" w:hAnsiTheme="majorHAnsi" w:cstheme="majorBidi"/>
          <w:b/>
          <w:bCs/>
          <w:sz w:val="23"/>
          <w:szCs w:val="23"/>
        </w:rPr>
      </w:pPr>
      <w:r w:rsidRPr="000541C7">
        <w:rPr>
          <w:rFonts w:cstheme="minorHAnsi"/>
          <w:sz w:val="23"/>
          <w:szCs w:val="23"/>
        </w:rPr>
        <w:t>Mental Health Training:</w:t>
      </w:r>
      <w:r w:rsidRPr="000541C7">
        <w:rPr>
          <w:rFonts w:asciiTheme="majorHAnsi" w:hAnsiTheme="majorHAnsi" w:cstheme="majorBidi"/>
          <w:sz w:val="23"/>
          <w:szCs w:val="23"/>
        </w:rPr>
        <w:t xml:space="preserve"> a range of events, services and activities designed to provide informal, culturally appropriate, professional mental health support for young people and their parents. This included free individual counselling sessions, and Mindfulness Monday, a regular video check-in enabling young people to debrief and reflect on their wellbeing, supported by peers and a counsellor.</w:t>
      </w:r>
    </w:p>
    <w:p w14:paraId="7F7EC338" w14:textId="49AAC701" w:rsidR="00D97C0E" w:rsidRPr="000E1707" w:rsidRDefault="00D97C0E" w:rsidP="00E96B6E">
      <w:pPr>
        <w:pStyle w:val="ListParagraph"/>
        <w:numPr>
          <w:ilvl w:val="0"/>
          <w:numId w:val="1"/>
        </w:numPr>
        <w:spacing w:after="120" w:line="276" w:lineRule="auto"/>
        <w:ind w:left="357" w:hanging="357"/>
        <w:contextualSpacing w:val="0"/>
        <w:rPr>
          <w:rFonts w:asciiTheme="majorHAnsi" w:hAnsiTheme="majorHAnsi" w:cstheme="majorHAnsi"/>
          <w:b/>
          <w:bCs/>
          <w:sz w:val="23"/>
          <w:szCs w:val="23"/>
        </w:rPr>
      </w:pPr>
      <w:r w:rsidRPr="000541C7">
        <w:rPr>
          <w:rFonts w:cstheme="minorHAnsi"/>
          <w:sz w:val="23"/>
          <w:szCs w:val="23"/>
        </w:rPr>
        <w:t>Conversations Between Generations:</w:t>
      </w:r>
      <w:r w:rsidRPr="000541C7">
        <w:rPr>
          <w:rFonts w:asciiTheme="majorHAnsi" w:hAnsiTheme="majorHAnsi" w:cstheme="majorHAnsi"/>
          <w:sz w:val="23"/>
          <w:szCs w:val="23"/>
        </w:rPr>
        <w:t xml:space="preserve"> young people hosted fortnightly conversations with older South Sudanese Australians about mental health and wellbeing. A spin-off of a previous </w:t>
      </w:r>
      <w:r w:rsidRPr="000541C7">
        <w:rPr>
          <w:rFonts w:asciiTheme="majorHAnsi" w:hAnsiTheme="majorHAnsi" w:cstheme="majorHAnsi"/>
          <w:sz w:val="23"/>
          <w:szCs w:val="23"/>
        </w:rPr>
        <w:lastRenderedPageBreak/>
        <w:t>successful program, ‘Talk with Me’, the project sought to foster understanding and empathy of diverse experiences across generations. Livestreamed to Facebook, seven conversations attracted 7800 total views.</w:t>
      </w:r>
    </w:p>
    <w:p w14:paraId="4E8D60F7" w14:textId="0E6EC85D" w:rsidR="00D97C0E" w:rsidRPr="000E1707" w:rsidRDefault="00D97C0E" w:rsidP="00AA476F">
      <w:pPr>
        <w:spacing w:line="276" w:lineRule="auto"/>
        <w:rPr>
          <w:rFonts w:asciiTheme="majorHAnsi" w:hAnsiTheme="majorHAnsi" w:cstheme="majorBidi"/>
          <w:b/>
          <w:bCs/>
          <w:sz w:val="23"/>
          <w:szCs w:val="23"/>
        </w:rPr>
      </w:pPr>
      <w:r w:rsidRPr="000541C7">
        <w:rPr>
          <w:rFonts w:asciiTheme="majorHAnsi" w:hAnsiTheme="majorHAnsi" w:cstheme="majorBidi"/>
          <w:sz w:val="23"/>
          <w:szCs w:val="23"/>
        </w:rPr>
        <w:t>Social justice consultancy Clear Horizons is currently evaluating the program, but community testimonies point to several beneficial outcomes (TACSI, 2020): building social capital and community capacity, reducing stigma and isolation, increasing belonging and community pride, fostering creative expression, building leadership skills, showcasing youth culture, strengthening intergenerational communication, and connecting young people with mental health services.</w:t>
      </w:r>
    </w:p>
    <w:p w14:paraId="102AB900" w14:textId="37A15C36" w:rsidR="00D97C0E" w:rsidRPr="000E1707" w:rsidRDefault="00D97C0E" w:rsidP="000E1707">
      <w:pPr>
        <w:spacing w:line="276" w:lineRule="auto"/>
        <w:rPr>
          <w:rFonts w:asciiTheme="majorHAnsi" w:hAnsiTheme="majorHAnsi" w:cstheme="majorBidi"/>
          <w:b/>
          <w:bCs/>
          <w:sz w:val="23"/>
          <w:szCs w:val="23"/>
        </w:rPr>
      </w:pPr>
      <w:r w:rsidRPr="000541C7">
        <w:rPr>
          <w:rFonts w:asciiTheme="majorHAnsi" w:hAnsiTheme="majorHAnsi" w:cstheme="majorBidi"/>
          <w:sz w:val="23"/>
          <w:szCs w:val="23"/>
        </w:rPr>
        <w:t>Success factors include effective partnership-building, leveraging of online platforms, adequate timeframes to build relationships of trust, and TACSI’s collaborative, community-led approach to tackling place-based disadvantage, including the use of co-design strategies. A finalist in the 2020 Premier’s Design Awards for Service Design, the DHHS-funded program is described as low cost, and adaptable to offline settings.</w:t>
      </w:r>
    </w:p>
    <w:p w14:paraId="5207DE36" w14:textId="77777777" w:rsidR="00D97C0E" w:rsidRPr="00BE7B3A" w:rsidRDefault="00D97C0E" w:rsidP="00D97C0E">
      <w:pPr>
        <w:pStyle w:val="Heading2"/>
        <w:rPr>
          <w:b/>
          <w:bCs/>
        </w:rPr>
      </w:pPr>
      <w:bookmarkStart w:id="20" w:name="_Toc108421963"/>
      <w:bookmarkStart w:id="21" w:name="_Hlk70863653"/>
      <w:r w:rsidRPr="359636AC">
        <w:t xml:space="preserve">Neighbourhood Renewal Program: Place-Based Initiative </w:t>
      </w:r>
      <w:r>
        <w:t>t</w:t>
      </w:r>
      <w:r w:rsidRPr="359636AC">
        <w:t>o Tackle Locational Disadvantage</w:t>
      </w:r>
      <w:bookmarkEnd w:id="20"/>
    </w:p>
    <w:p w14:paraId="66037BA4" w14:textId="445B5E35" w:rsidR="00D97C0E" w:rsidRPr="000E1707" w:rsidRDefault="00D97C0E" w:rsidP="00AA476F">
      <w:pPr>
        <w:spacing w:line="276" w:lineRule="auto"/>
        <w:rPr>
          <w:rFonts w:cstheme="majorBidi"/>
          <w:b/>
          <w:bCs/>
          <w:sz w:val="23"/>
          <w:szCs w:val="23"/>
        </w:rPr>
      </w:pPr>
      <w:r w:rsidRPr="359636AC">
        <w:rPr>
          <w:rFonts w:cstheme="majorBidi"/>
          <w:sz w:val="23"/>
          <w:szCs w:val="23"/>
        </w:rPr>
        <w:t xml:space="preserve">Corio-Norlane (2003–2010); </w:t>
      </w:r>
      <w:r>
        <w:rPr>
          <w:rFonts w:cstheme="majorBidi"/>
          <w:sz w:val="23"/>
          <w:szCs w:val="23"/>
        </w:rPr>
        <w:t>20</w:t>
      </w:r>
      <w:r w:rsidRPr="359636AC">
        <w:rPr>
          <w:rFonts w:cstheme="majorBidi"/>
          <w:sz w:val="23"/>
          <w:szCs w:val="23"/>
        </w:rPr>
        <w:t xml:space="preserve"> other sites across Victoria (2002–2010)</w:t>
      </w:r>
      <w:bookmarkEnd w:id="21"/>
    </w:p>
    <w:p w14:paraId="777EEEBE" w14:textId="54EE264B" w:rsidR="00D97C0E" w:rsidRPr="000E1707" w:rsidRDefault="00D97C0E" w:rsidP="000E1707">
      <w:pPr>
        <w:spacing w:line="276" w:lineRule="auto"/>
        <w:rPr>
          <w:rFonts w:cstheme="minorHAnsi"/>
          <w:b/>
          <w:bCs/>
          <w:color w:val="595959" w:themeColor="text1" w:themeTint="A6"/>
          <w:sz w:val="23"/>
          <w:szCs w:val="23"/>
        </w:rPr>
      </w:pPr>
      <w:r w:rsidRPr="00D97C0E">
        <w:rPr>
          <w:rFonts w:cstheme="minorHAnsi"/>
          <w:b/>
          <w:bCs/>
          <w:color w:val="595959" w:themeColor="text1" w:themeTint="A6"/>
          <w:sz w:val="23"/>
          <w:szCs w:val="23"/>
        </w:rPr>
        <w:t>All Practice Domains: Employment, Education, Housing, Liveability, Health and Wellbeing</w:t>
      </w:r>
    </w:p>
    <w:p w14:paraId="3CC30713" w14:textId="069EDB2B" w:rsidR="00D97C0E" w:rsidRPr="000E1707" w:rsidRDefault="00D97C0E" w:rsidP="00AA476F">
      <w:pPr>
        <w:spacing w:line="276" w:lineRule="auto"/>
        <w:rPr>
          <w:rFonts w:asciiTheme="majorHAnsi" w:hAnsiTheme="majorHAnsi" w:cstheme="majorBidi"/>
          <w:b/>
          <w:bCs/>
          <w:sz w:val="23"/>
          <w:szCs w:val="23"/>
          <w:shd w:val="clear" w:color="auto" w:fill="FFFFFF"/>
        </w:rPr>
      </w:pPr>
      <w:r w:rsidRPr="000541C7">
        <w:rPr>
          <w:rFonts w:asciiTheme="majorHAnsi" w:hAnsiTheme="majorHAnsi" w:cstheme="majorBidi"/>
          <w:sz w:val="23"/>
          <w:szCs w:val="23"/>
        </w:rPr>
        <w:t xml:space="preserve">The Neighbourhood Renewal Program (NRP) was a Victorian State Government initiative that sought to </w:t>
      </w:r>
      <w:r w:rsidRPr="000541C7">
        <w:rPr>
          <w:rFonts w:asciiTheme="majorHAnsi" w:hAnsiTheme="majorHAnsi" w:cstheme="majorBidi"/>
          <w:sz w:val="23"/>
          <w:szCs w:val="23"/>
          <w:shd w:val="clear" w:color="auto" w:fill="FFFFFF"/>
        </w:rPr>
        <w:t>narrow the gap between communities affected by disadvantage and the rest of Victoria (Victorian Government, 2007).</w:t>
      </w:r>
      <w:r w:rsidRPr="000541C7">
        <w:rPr>
          <w:rFonts w:asciiTheme="majorHAnsi" w:hAnsiTheme="majorHAnsi" w:cstheme="majorBidi"/>
          <w:sz w:val="23"/>
          <w:szCs w:val="23"/>
        </w:rPr>
        <w:t xml:space="preserve"> Its broad goals were socioeconomic inclusion, social cohesion, and urban renewal.</w:t>
      </w:r>
      <w:r w:rsidRPr="000541C7">
        <w:rPr>
          <w:rFonts w:asciiTheme="majorHAnsi" w:hAnsiTheme="majorHAnsi" w:cstheme="majorBidi"/>
          <w:sz w:val="23"/>
          <w:szCs w:val="23"/>
          <w:shd w:val="clear" w:color="auto" w:fill="FFFFFF"/>
        </w:rPr>
        <w:t xml:space="preserve"> The program ran in 21 areas with concentrations of poverty, unemployment and public housing. As we have noted, Corio–Norlane was one target site (see Section 2, p. 21, and Section 3, p. 49).</w:t>
      </w:r>
    </w:p>
    <w:p w14:paraId="2E2458BE" w14:textId="174AC3D6" w:rsidR="00D97C0E" w:rsidRPr="000E1707" w:rsidRDefault="00D97C0E" w:rsidP="00AA476F">
      <w:pPr>
        <w:spacing w:line="276" w:lineRule="auto"/>
        <w:rPr>
          <w:rFonts w:asciiTheme="majorHAnsi" w:hAnsiTheme="majorHAnsi" w:cstheme="majorBidi"/>
          <w:b/>
          <w:bCs/>
          <w:sz w:val="23"/>
          <w:szCs w:val="23"/>
          <w:shd w:val="clear" w:color="auto" w:fill="FFFFFF"/>
        </w:rPr>
      </w:pPr>
      <w:r w:rsidRPr="000541C7">
        <w:rPr>
          <w:rFonts w:asciiTheme="majorHAnsi" w:hAnsiTheme="majorHAnsi" w:cstheme="majorBidi"/>
          <w:sz w:val="23"/>
          <w:szCs w:val="23"/>
          <w:shd w:val="clear" w:color="auto" w:fill="FFFFFF"/>
        </w:rPr>
        <w:t xml:space="preserve">The NRP sought to target the drivers of inequality (Klein &amp; Knowles, 2005: 3). </w:t>
      </w:r>
      <w:r w:rsidRPr="000541C7">
        <w:rPr>
          <w:rFonts w:asciiTheme="majorHAnsi" w:hAnsiTheme="majorHAnsi" w:cstheme="majorBidi"/>
          <w:sz w:val="23"/>
          <w:szCs w:val="23"/>
        </w:rPr>
        <w:t xml:space="preserve">Its primary goal was to increase local </w:t>
      </w:r>
      <w:r w:rsidRPr="000541C7">
        <w:rPr>
          <w:rFonts w:asciiTheme="majorHAnsi" w:hAnsiTheme="majorHAnsi" w:cstheme="majorBidi"/>
          <w:sz w:val="23"/>
          <w:szCs w:val="23"/>
          <w:shd w:val="clear" w:color="auto" w:fill="FFFFFF"/>
        </w:rPr>
        <w:t>employment, learning and economic activity, but it also aimed to improve service delivery and access, enhance public housing and local amenities, boost community pride and participation, reduce crime, and promote health and wellbeing. Key priorities were early intervention and tackling intergenerational poverty. Comparable overseas initiatives include the New Deal for Communities program (UK), established in 1998 by Tony Blair.</w:t>
      </w:r>
    </w:p>
    <w:p w14:paraId="4E23A867" w14:textId="2A479999" w:rsidR="00D97C0E" w:rsidRPr="000E1707" w:rsidRDefault="00D97C0E" w:rsidP="00AA476F">
      <w:pPr>
        <w:spacing w:line="276" w:lineRule="auto"/>
        <w:rPr>
          <w:rFonts w:asciiTheme="majorHAnsi" w:hAnsiTheme="majorHAnsi" w:cstheme="majorBidi"/>
          <w:b/>
          <w:bCs/>
          <w:sz w:val="23"/>
          <w:szCs w:val="23"/>
          <w:shd w:val="clear" w:color="auto" w:fill="FFFFFF"/>
        </w:rPr>
      </w:pPr>
      <w:r w:rsidRPr="000541C7">
        <w:rPr>
          <w:rFonts w:asciiTheme="majorHAnsi" w:hAnsiTheme="majorHAnsi" w:cstheme="majorBidi"/>
          <w:sz w:val="23"/>
          <w:szCs w:val="23"/>
          <w:shd w:val="clear" w:color="auto" w:fill="FFFFFF"/>
        </w:rPr>
        <w:t xml:space="preserve">Built around “place-based partnerships” between government, the community sector, business and local communities, the NRP took a whole-of-government approach. While state-funded, the program was tailored closely to the needs of local communities. Small teams oversaw a range of sub-projects designed to manifest at neighbourhood level. Key initiatives included targeted </w:t>
      </w:r>
      <w:r w:rsidRPr="000541C7">
        <w:rPr>
          <w:rFonts w:asciiTheme="majorHAnsi" w:hAnsiTheme="majorHAnsi" w:cstheme="majorBidi"/>
          <w:sz w:val="23"/>
          <w:szCs w:val="23"/>
        </w:rPr>
        <w:t>employment programs (skills registers, “one-stop” job shops for public housing tenants), learning and capacity-building projects (disengaged youth initiative, homework clubs, community IT hubs), social enterprises (catering companies, cafes), new community</w:t>
      </w:r>
      <w:r w:rsidRPr="000541C7">
        <w:rPr>
          <w:rFonts w:asciiTheme="majorHAnsi" w:hAnsiTheme="majorHAnsi" w:cstheme="majorBidi"/>
          <w:sz w:val="23"/>
          <w:szCs w:val="23"/>
          <w:shd w:val="clear" w:color="auto" w:fill="FFFFFF"/>
        </w:rPr>
        <w:t xml:space="preserve"> infrastructure and safety improvements (basketball courts, community gardens, local park and social housing upgrades, bus route variations, demolition of “unsafe” public spaces).</w:t>
      </w:r>
    </w:p>
    <w:p w14:paraId="2D73748E" w14:textId="0DD096F9" w:rsidR="00D97C0E" w:rsidRPr="000E1707" w:rsidRDefault="00D97C0E" w:rsidP="00AA476F">
      <w:pPr>
        <w:spacing w:line="276" w:lineRule="auto"/>
        <w:rPr>
          <w:rFonts w:asciiTheme="majorHAnsi" w:hAnsiTheme="majorHAnsi" w:cstheme="majorBidi"/>
          <w:b/>
          <w:bCs/>
          <w:sz w:val="23"/>
          <w:szCs w:val="23"/>
        </w:rPr>
      </w:pPr>
      <w:r w:rsidRPr="000541C7">
        <w:rPr>
          <w:rFonts w:asciiTheme="majorHAnsi" w:hAnsiTheme="majorHAnsi" w:cstheme="majorBidi"/>
          <w:sz w:val="23"/>
          <w:szCs w:val="23"/>
        </w:rPr>
        <w:lastRenderedPageBreak/>
        <w:t>As discussed in Section 3, benefits of the NRP varied by area</w:t>
      </w:r>
      <w:r w:rsidRPr="000541C7">
        <w:rPr>
          <w:rFonts w:asciiTheme="majorHAnsi" w:hAnsiTheme="majorHAnsi" w:cstheme="majorBidi"/>
          <w:sz w:val="23"/>
          <w:szCs w:val="23"/>
          <w:shd w:val="clear" w:color="auto" w:fill="FFFFFF"/>
        </w:rPr>
        <w:t xml:space="preserve">, but overall outcomes were positive (Wood &amp; Cigdem, 2012: 6). </w:t>
      </w:r>
      <w:r w:rsidRPr="000541C7">
        <w:rPr>
          <w:rFonts w:asciiTheme="majorHAnsi" w:hAnsiTheme="majorHAnsi" w:cstheme="majorBidi"/>
          <w:sz w:val="23"/>
          <w:szCs w:val="23"/>
        </w:rPr>
        <w:t>The program was found to reduce</w:t>
      </w:r>
      <w:r w:rsidRPr="000541C7">
        <w:t xml:space="preserve"> </w:t>
      </w:r>
      <w:r w:rsidRPr="000541C7">
        <w:rPr>
          <w:rFonts w:asciiTheme="majorHAnsi" w:hAnsiTheme="majorHAnsi" w:cstheme="majorBidi"/>
          <w:sz w:val="23"/>
          <w:szCs w:val="23"/>
        </w:rPr>
        <w:t>disadvantage, social exclusion, unemployment, crime, and school absenteeism, and increased further education qualifications,</w:t>
      </w:r>
      <w:r w:rsidRPr="000541C7">
        <w:t xml:space="preserve"> </w:t>
      </w:r>
      <w:r w:rsidRPr="000541C7">
        <w:rPr>
          <w:rFonts w:asciiTheme="majorHAnsi" w:hAnsiTheme="majorHAnsi" w:cstheme="majorBidi"/>
          <w:sz w:val="23"/>
          <w:szCs w:val="23"/>
        </w:rPr>
        <w:t>community participation, and</w:t>
      </w:r>
      <w:r w:rsidRPr="000541C7">
        <w:t xml:space="preserve"> </w:t>
      </w:r>
      <w:r w:rsidRPr="000541C7">
        <w:rPr>
          <w:rFonts w:asciiTheme="majorHAnsi" w:hAnsiTheme="majorHAnsi" w:cstheme="majorBidi"/>
          <w:sz w:val="23"/>
          <w:szCs w:val="23"/>
        </w:rPr>
        <w:t xml:space="preserve">housing conditions (Neighbourhood Renewal Unit 2008: 1). </w:t>
      </w:r>
      <w:hyperlink r:id="rId11" w:history="1">
        <w:r w:rsidRPr="000541C7">
          <w:rPr>
            <w:rStyle w:val="Hyperlink"/>
            <w:rFonts w:asciiTheme="majorHAnsi" w:hAnsiTheme="majorHAnsi" w:cstheme="majorBidi"/>
            <w:sz w:val="23"/>
            <w:szCs w:val="23"/>
          </w:rPr>
          <w:t>One evaluation</w:t>
        </w:r>
      </w:hyperlink>
      <w:r w:rsidRPr="2B116086">
        <w:rPr>
          <w:rFonts w:asciiTheme="majorHAnsi" w:hAnsiTheme="majorHAnsi" w:cstheme="majorBidi"/>
          <w:sz w:val="23"/>
          <w:szCs w:val="23"/>
        </w:rPr>
        <w:t xml:space="preserve"> </w:t>
      </w:r>
      <w:r w:rsidRPr="000541C7">
        <w:rPr>
          <w:rFonts w:asciiTheme="majorHAnsi" w:hAnsiTheme="majorHAnsi" w:cstheme="majorBidi"/>
          <w:sz w:val="23"/>
          <w:szCs w:val="23"/>
        </w:rPr>
        <w:t xml:space="preserve">found no area-wide health </w:t>
      </w:r>
      <w:r w:rsidR="00E96B6E" w:rsidRPr="000541C7">
        <w:rPr>
          <w:rFonts w:asciiTheme="majorHAnsi" w:hAnsiTheme="majorHAnsi" w:cstheme="majorBidi"/>
          <w:sz w:val="23"/>
          <w:szCs w:val="23"/>
        </w:rPr>
        <w:t>effects but</w:t>
      </w:r>
      <w:r w:rsidRPr="000541C7">
        <w:rPr>
          <w:rFonts w:asciiTheme="majorHAnsi" w:hAnsiTheme="majorHAnsi" w:cstheme="majorBidi"/>
          <w:sz w:val="23"/>
          <w:szCs w:val="23"/>
        </w:rPr>
        <w:t xml:space="preserve"> noted improved health and life satisfaction amongst program participants (Kelaher et al, 2010). </w:t>
      </w:r>
    </w:p>
    <w:p w14:paraId="7B8E87FD" w14:textId="47D594C9" w:rsidR="00D97C0E" w:rsidRPr="000E1707" w:rsidRDefault="00D97C0E" w:rsidP="00AA476F">
      <w:pPr>
        <w:spacing w:line="276" w:lineRule="auto"/>
        <w:rPr>
          <w:rFonts w:asciiTheme="majorHAnsi" w:hAnsiTheme="majorHAnsi" w:cstheme="majorBidi"/>
          <w:b/>
          <w:bCs/>
          <w:sz w:val="23"/>
          <w:szCs w:val="23"/>
          <w:shd w:val="clear" w:color="auto" w:fill="FFFFFF"/>
        </w:rPr>
      </w:pPr>
      <w:r w:rsidRPr="000541C7">
        <w:rPr>
          <w:rFonts w:asciiTheme="majorHAnsi" w:hAnsiTheme="majorHAnsi" w:cstheme="majorBidi"/>
          <w:sz w:val="23"/>
          <w:szCs w:val="23"/>
        </w:rPr>
        <w:t xml:space="preserve">In one study Corio Norlane residents </w:t>
      </w:r>
      <w:hyperlink r:id="rId12">
        <w:r w:rsidRPr="000541C7">
          <w:rPr>
            <w:rStyle w:val="Hyperlink"/>
            <w:rFonts w:asciiTheme="majorHAnsi" w:hAnsiTheme="majorHAnsi" w:cstheme="majorBidi"/>
            <w:color w:val="auto"/>
            <w:sz w:val="23"/>
            <w:szCs w:val="23"/>
          </w:rPr>
          <w:t>reported</w:t>
        </w:r>
      </w:hyperlink>
      <w:r w:rsidRPr="000541C7">
        <w:rPr>
          <w:rFonts w:asciiTheme="majorHAnsi" w:hAnsiTheme="majorHAnsi" w:cstheme="majorBidi"/>
          <w:sz w:val="23"/>
          <w:szCs w:val="23"/>
        </w:rPr>
        <w:t xml:space="preserve"> greater trust in government, increased feelings of influence over decisions affecting the community, and improved community participation (Shield et al, 2011). The NRP generated an average return of $2.20 in non-housing benefits for every $1 spent on renewal. However, it also raised house prices in some areas (Wood, 2014). As noted in Section 3, the gentrification effect of NR programs may </w:t>
      </w:r>
      <w:r w:rsidR="00E96B6E">
        <w:rPr>
          <w:rFonts w:asciiTheme="majorHAnsi" w:hAnsiTheme="majorHAnsi" w:cstheme="majorBidi"/>
          <w:sz w:val="23"/>
          <w:szCs w:val="23"/>
        </w:rPr>
        <w:t xml:space="preserve">have </w:t>
      </w:r>
      <w:r w:rsidRPr="000541C7">
        <w:rPr>
          <w:rFonts w:asciiTheme="majorHAnsi" w:hAnsiTheme="majorHAnsi" w:cstheme="majorBidi"/>
          <w:sz w:val="23"/>
          <w:szCs w:val="23"/>
        </w:rPr>
        <w:t>decreased housing affordability and exacerbate disadvantage amongst local communities.</w:t>
      </w:r>
    </w:p>
    <w:p w14:paraId="46006887" w14:textId="3FBB6DF3" w:rsidR="00D97C0E" w:rsidRDefault="00D97C0E" w:rsidP="000E1707">
      <w:pPr>
        <w:spacing w:line="276" w:lineRule="auto"/>
        <w:rPr>
          <w:rFonts w:asciiTheme="majorHAnsi" w:hAnsiTheme="majorHAnsi" w:cstheme="majorBidi"/>
          <w:sz w:val="23"/>
          <w:szCs w:val="23"/>
        </w:rPr>
      </w:pPr>
      <w:r w:rsidRPr="000541C7">
        <w:rPr>
          <w:rFonts w:asciiTheme="majorHAnsi" w:hAnsiTheme="majorHAnsi" w:cstheme="majorBidi"/>
          <w:sz w:val="23"/>
          <w:szCs w:val="23"/>
        </w:rPr>
        <w:t>Over eight years the NRP spawned numerous local projects. Not all were documented, but two small-scale arts initiatives run in one target site are profiled below.</w:t>
      </w:r>
    </w:p>
    <w:p w14:paraId="18B6D697" w14:textId="77777777" w:rsidR="00D97C0E" w:rsidRDefault="00D97C0E" w:rsidP="00D97C0E">
      <w:pPr>
        <w:pStyle w:val="Heading2"/>
        <w:rPr>
          <w:rFonts w:eastAsia="Calibri"/>
          <w:b/>
          <w:bCs/>
        </w:rPr>
      </w:pPr>
      <w:bookmarkStart w:id="22" w:name="_Toc108421964"/>
      <w:r w:rsidRPr="359636AC">
        <w:rPr>
          <w:rFonts w:eastAsia="Calibri"/>
        </w:rPr>
        <w:t>Shutterbugs + I Heart Maryborough: Community Photography Projects</w:t>
      </w:r>
      <w:bookmarkEnd w:id="22"/>
    </w:p>
    <w:p w14:paraId="45FE1581" w14:textId="18786EFF" w:rsidR="00D97C0E" w:rsidRPr="000E1707" w:rsidRDefault="00D97C0E" w:rsidP="000E1707">
      <w:pPr>
        <w:rPr>
          <w:rFonts w:ascii="Calibri" w:eastAsia="Calibri" w:hAnsi="Calibri" w:cs="Calibri"/>
          <w:b/>
          <w:bCs/>
          <w:sz w:val="23"/>
          <w:szCs w:val="23"/>
        </w:rPr>
      </w:pPr>
      <w:r>
        <w:rPr>
          <w:rFonts w:ascii="Calibri" w:eastAsia="Calibri" w:hAnsi="Calibri" w:cs="Calibri"/>
          <w:sz w:val="23"/>
          <w:szCs w:val="23"/>
        </w:rPr>
        <w:t>Maryborough, Victoria (2011–2014)</w:t>
      </w:r>
    </w:p>
    <w:p w14:paraId="3F8BCAFB" w14:textId="77777777" w:rsidR="00D97C0E" w:rsidRPr="00D97C0E" w:rsidRDefault="00D97C0E" w:rsidP="00D97C0E">
      <w:pPr>
        <w:spacing w:after="0" w:line="276" w:lineRule="auto"/>
        <w:rPr>
          <w:rFonts w:cstheme="minorHAnsi"/>
          <w:b/>
          <w:bCs/>
          <w:color w:val="595959" w:themeColor="text1" w:themeTint="A6"/>
          <w:sz w:val="23"/>
          <w:szCs w:val="23"/>
        </w:rPr>
      </w:pPr>
      <w:r w:rsidRPr="00D97C0E">
        <w:rPr>
          <w:rFonts w:cstheme="minorHAnsi"/>
          <w:b/>
          <w:bCs/>
          <w:color w:val="595959" w:themeColor="text1" w:themeTint="A6"/>
          <w:sz w:val="23"/>
          <w:szCs w:val="23"/>
        </w:rPr>
        <w:t xml:space="preserve">Main Practice Domain(s):          </w:t>
      </w:r>
      <w:r w:rsidRPr="00D97C0E">
        <w:rPr>
          <w:rFonts w:cstheme="minorHAnsi"/>
          <w:b/>
          <w:bCs/>
          <w:color w:val="595959" w:themeColor="text1" w:themeTint="A6"/>
          <w:sz w:val="23"/>
          <w:szCs w:val="23"/>
        </w:rPr>
        <w:tab/>
        <w:t>Liveability, Education</w:t>
      </w:r>
    </w:p>
    <w:p w14:paraId="4AEA7617" w14:textId="5F46EE33" w:rsidR="00D97C0E" w:rsidRPr="000E1707" w:rsidRDefault="00D97C0E" w:rsidP="000E1707">
      <w:pPr>
        <w:spacing w:line="276" w:lineRule="auto"/>
        <w:rPr>
          <w:rFonts w:cstheme="minorHAnsi"/>
          <w:b/>
          <w:bCs/>
          <w:color w:val="595959" w:themeColor="text1" w:themeTint="A6"/>
          <w:sz w:val="23"/>
          <w:szCs w:val="23"/>
        </w:rPr>
      </w:pPr>
      <w:r w:rsidRPr="00D97C0E">
        <w:rPr>
          <w:rFonts w:cstheme="minorHAnsi"/>
          <w:b/>
          <w:bCs/>
          <w:color w:val="595959" w:themeColor="text1" w:themeTint="A6"/>
          <w:sz w:val="23"/>
          <w:szCs w:val="23"/>
        </w:rPr>
        <w:t>Secondary Practice Domain(s):</w:t>
      </w:r>
      <w:r w:rsidRPr="00D97C0E">
        <w:rPr>
          <w:rFonts w:cstheme="minorHAnsi"/>
          <w:b/>
          <w:bCs/>
          <w:color w:val="595959" w:themeColor="text1" w:themeTint="A6"/>
          <w:sz w:val="23"/>
          <w:szCs w:val="23"/>
        </w:rPr>
        <w:tab/>
        <w:t>Employment, Health and Wellbeing</w:t>
      </w:r>
    </w:p>
    <w:p w14:paraId="50FB0C25" w14:textId="7A5DDE43" w:rsidR="00D97C0E" w:rsidRPr="000E1707" w:rsidRDefault="00D97C0E" w:rsidP="00AA476F">
      <w:pPr>
        <w:spacing w:line="276" w:lineRule="auto"/>
        <w:rPr>
          <w:rFonts w:ascii="Calibri Light" w:eastAsia="Calibri Light" w:hAnsi="Calibri Light" w:cs="Calibri Light"/>
          <w:b/>
          <w:bCs/>
          <w:sz w:val="23"/>
          <w:szCs w:val="23"/>
        </w:rPr>
      </w:pPr>
      <w:r w:rsidRPr="000541C7">
        <w:rPr>
          <w:rFonts w:ascii="Calibri Light" w:eastAsia="Calibri Light" w:hAnsi="Calibri Light" w:cs="Calibri Light"/>
          <w:sz w:val="23"/>
          <w:szCs w:val="23"/>
        </w:rPr>
        <w:t>The Victorian Goldfields town of Maryborough (pop. 8000) was a Neighbourhood Renewal site from 2010–2015. The local NRP team ran several community arts projects, including two focused on photography: the Maryborough Photography Project, and the I Heart Maryborough photo competition.</w:t>
      </w:r>
    </w:p>
    <w:p w14:paraId="0E3DE780" w14:textId="7E24981D" w:rsidR="00D97C0E" w:rsidRPr="000E1707" w:rsidRDefault="00D97C0E" w:rsidP="00AA476F">
      <w:pPr>
        <w:spacing w:line="276" w:lineRule="auto"/>
        <w:rPr>
          <w:rFonts w:ascii="Calibri Light" w:eastAsia="Calibri Light" w:hAnsi="Calibri Light" w:cs="Calibri Light"/>
          <w:b/>
          <w:bCs/>
          <w:sz w:val="23"/>
          <w:szCs w:val="23"/>
        </w:rPr>
      </w:pPr>
      <w:r w:rsidRPr="000541C7">
        <w:rPr>
          <w:rFonts w:ascii="Calibri Light" w:eastAsia="Calibri Light" w:hAnsi="Calibri Light" w:cs="Calibri Light"/>
          <w:sz w:val="23"/>
          <w:szCs w:val="23"/>
        </w:rPr>
        <w:t>The Maryborough Photography Project (2011) was funded through the NRP and Castanet, a Victorian network of community arts development providers. The project involved a series of workshops led by a professional photographer, and a group exhibition in 2011. The participant group of 10 locals, who named themselves the Shutterbugs, gained skills in exhibition setup, confidence in their work, and positive exposure in the community.</w:t>
      </w:r>
    </w:p>
    <w:p w14:paraId="6FBC3D2D" w14:textId="5CEC8067" w:rsidR="00D97C0E" w:rsidRPr="000E1707" w:rsidRDefault="00D97C0E" w:rsidP="00AA476F">
      <w:pPr>
        <w:spacing w:line="276" w:lineRule="auto"/>
        <w:rPr>
          <w:rFonts w:ascii="Calibri Light" w:eastAsia="Calibri Light" w:hAnsi="Calibri Light" w:cs="Calibri Light"/>
          <w:b/>
          <w:bCs/>
          <w:sz w:val="23"/>
          <w:szCs w:val="23"/>
        </w:rPr>
      </w:pPr>
      <w:r w:rsidRPr="000541C7">
        <w:rPr>
          <w:rFonts w:ascii="Calibri Light" w:eastAsia="Calibri Light" w:hAnsi="Calibri Light" w:cs="Calibri Light"/>
          <w:sz w:val="23"/>
          <w:szCs w:val="23"/>
        </w:rPr>
        <w:t>As a result of the program two members joined the local Neighbourhood Renewal Steering, and one member won a state-wide photography competition. Other members began selling their photographic work and providing paid services through wedding photography (Castanet, 2014).</w:t>
      </w:r>
    </w:p>
    <w:p w14:paraId="128589F1" w14:textId="599C4022" w:rsidR="00D97C0E" w:rsidRDefault="00D97C0E" w:rsidP="00AA476F">
      <w:pPr>
        <w:spacing w:line="276" w:lineRule="auto"/>
        <w:rPr>
          <w:rFonts w:ascii="Calibri Light" w:eastAsia="Calibri Light" w:hAnsi="Calibri Light" w:cs="Calibri Light"/>
          <w:sz w:val="23"/>
          <w:szCs w:val="23"/>
        </w:rPr>
      </w:pPr>
      <w:r w:rsidRPr="000541C7">
        <w:rPr>
          <w:rFonts w:ascii="Calibri Light" w:eastAsia="Calibri Light" w:hAnsi="Calibri Light" w:cs="Calibri Light"/>
          <w:sz w:val="23"/>
          <w:szCs w:val="23"/>
        </w:rPr>
        <w:t xml:space="preserve">The I Heart Maryborough competition (2014) invited residents to send in a captioned photo that showed their pride for being part of the area and local community. Captions followed the format: “I Heart Maryborough…” The competition was run online, and 30 entries were selected for inclusion in an online exhibition. Prizes were awarded based on content quality and caption, rather than photographic skills. The three winning photos were published in the local newspaper, the </w:t>
      </w:r>
      <w:r w:rsidRPr="000541C7">
        <w:rPr>
          <w:rFonts w:ascii="Calibri Light" w:eastAsia="Calibri Light" w:hAnsi="Calibri Light" w:cs="Calibri Light"/>
          <w:i/>
          <w:iCs/>
          <w:sz w:val="23"/>
          <w:szCs w:val="23"/>
        </w:rPr>
        <w:t xml:space="preserve">Maryborough Advertiser </w:t>
      </w:r>
      <w:r w:rsidRPr="000541C7">
        <w:rPr>
          <w:rFonts w:ascii="Calibri Light" w:eastAsia="Calibri Light" w:hAnsi="Calibri Light" w:cs="Calibri Light"/>
          <w:sz w:val="23"/>
          <w:szCs w:val="23"/>
        </w:rPr>
        <w:t>(Maryborough CAG, 2015).</w:t>
      </w:r>
    </w:p>
    <w:p w14:paraId="5A554B24" w14:textId="77777777" w:rsidR="000E1707" w:rsidRPr="000E1707" w:rsidRDefault="000E1707" w:rsidP="00AA476F">
      <w:pPr>
        <w:spacing w:line="276" w:lineRule="auto"/>
        <w:rPr>
          <w:rFonts w:ascii="Calibri Light" w:eastAsia="Calibri Light" w:hAnsi="Calibri Light" w:cs="Calibri Light"/>
          <w:sz w:val="23"/>
          <w:szCs w:val="23"/>
        </w:rPr>
      </w:pPr>
    </w:p>
    <w:p w14:paraId="2809B0A1" w14:textId="28FC1FB5" w:rsidR="00D97C0E" w:rsidRPr="00E96B6E" w:rsidRDefault="00D97C0E" w:rsidP="00D97C0E">
      <w:pPr>
        <w:pStyle w:val="Heading1"/>
        <w:rPr>
          <w:b/>
          <w:bCs/>
        </w:rPr>
      </w:pPr>
      <w:bookmarkStart w:id="23" w:name="_Toc108421965"/>
      <w:r w:rsidRPr="00E96B6E">
        <w:rPr>
          <w:b/>
          <w:bCs/>
        </w:rPr>
        <w:lastRenderedPageBreak/>
        <w:t>New South Wales</w:t>
      </w:r>
      <w:bookmarkEnd w:id="23"/>
    </w:p>
    <w:p w14:paraId="16C9CE4F" w14:textId="77777777" w:rsidR="00D97C0E" w:rsidRDefault="00D97C0E" w:rsidP="00D97C0E">
      <w:pPr>
        <w:pStyle w:val="Heading2"/>
      </w:pPr>
      <w:bookmarkStart w:id="24" w:name="_Toc108421966"/>
      <w:bookmarkStart w:id="25" w:name="_Hlk70863784"/>
      <w:r w:rsidRPr="2B116086">
        <w:rPr>
          <w:rFonts w:eastAsia="Calibri"/>
        </w:rPr>
        <w:t xml:space="preserve">The Digital Age Project: Digital Inclusion </w:t>
      </w:r>
      <w:r>
        <w:rPr>
          <w:rFonts w:eastAsia="Calibri"/>
        </w:rPr>
        <w:t>f</w:t>
      </w:r>
      <w:r w:rsidRPr="2B116086">
        <w:rPr>
          <w:rFonts w:eastAsia="Calibri"/>
        </w:rPr>
        <w:t>or Older Social Housing Residents</w:t>
      </w:r>
      <w:bookmarkEnd w:id="24"/>
    </w:p>
    <w:p w14:paraId="2A2AD9B8" w14:textId="387D6DFA" w:rsidR="00D97C0E" w:rsidRPr="000E1707" w:rsidRDefault="00D97C0E" w:rsidP="00AA476F">
      <w:pPr>
        <w:spacing w:line="276" w:lineRule="auto"/>
        <w:rPr>
          <w:rFonts w:ascii="Calibri" w:eastAsia="Calibri" w:hAnsi="Calibri" w:cs="Calibri"/>
          <w:b/>
          <w:bCs/>
          <w:sz w:val="23"/>
          <w:szCs w:val="23"/>
        </w:rPr>
      </w:pPr>
      <w:r w:rsidRPr="27ED1008">
        <w:rPr>
          <w:rFonts w:ascii="Calibri" w:eastAsia="Calibri" w:hAnsi="Calibri" w:cs="Calibri"/>
          <w:sz w:val="23"/>
          <w:szCs w:val="23"/>
        </w:rPr>
        <w:t>Coffs Harbour, regional NSW (2014–2015)</w:t>
      </w:r>
      <w:bookmarkEnd w:id="25"/>
    </w:p>
    <w:p w14:paraId="48EF4368" w14:textId="59CB499A" w:rsidR="00D97C0E" w:rsidRPr="00D97C0E" w:rsidRDefault="00D97C0E" w:rsidP="00D97C0E">
      <w:pPr>
        <w:spacing w:after="0" w:line="276" w:lineRule="auto"/>
        <w:rPr>
          <w:rFonts w:cstheme="minorHAnsi"/>
          <w:b/>
          <w:bCs/>
          <w:color w:val="595959" w:themeColor="text1" w:themeTint="A6"/>
          <w:sz w:val="23"/>
          <w:szCs w:val="23"/>
        </w:rPr>
      </w:pPr>
      <w:r w:rsidRPr="00D97C0E">
        <w:rPr>
          <w:rFonts w:cstheme="minorHAnsi"/>
          <w:b/>
          <w:bCs/>
          <w:color w:val="595959" w:themeColor="text1" w:themeTint="A6"/>
          <w:sz w:val="23"/>
          <w:szCs w:val="23"/>
        </w:rPr>
        <w:t>Main Practice Domain(s):</w:t>
      </w:r>
      <w:r w:rsidRPr="00D97C0E">
        <w:rPr>
          <w:rFonts w:cstheme="minorHAnsi"/>
          <w:b/>
          <w:bCs/>
          <w:color w:val="595959" w:themeColor="text1" w:themeTint="A6"/>
          <w:sz w:val="23"/>
          <w:szCs w:val="23"/>
        </w:rPr>
        <w:tab/>
      </w:r>
      <w:r w:rsidRPr="00D97C0E">
        <w:rPr>
          <w:rFonts w:cstheme="minorHAnsi"/>
          <w:b/>
          <w:bCs/>
          <w:color w:val="595959" w:themeColor="text1" w:themeTint="A6"/>
          <w:sz w:val="23"/>
          <w:szCs w:val="23"/>
        </w:rPr>
        <w:tab/>
        <w:t>Education, Health and Wellbeing</w:t>
      </w:r>
    </w:p>
    <w:p w14:paraId="1211D5C4" w14:textId="2D3DDED4" w:rsidR="00D97C0E" w:rsidRPr="000E1707" w:rsidRDefault="00D97C0E" w:rsidP="000E1707">
      <w:pPr>
        <w:spacing w:line="276" w:lineRule="auto"/>
        <w:rPr>
          <w:rFonts w:cstheme="minorHAnsi"/>
          <w:b/>
          <w:bCs/>
          <w:color w:val="595959" w:themeColor="text1" w:themeTint="A6"/>
          <w:sz w:val="23"/>
          <w:szCs w:val="23"/>
        </w:rPr>
      </w:pPr>
      <w:r w:rsidRPr="00D97C0E">
        <w:rPr>
          <w:rFonts w:cstheme="minorHAnsi"/>
          <w:b/>
          <w:bCs/>
          <w:color w:val="595959" w:themeColor="text1" w:themeTint="A6"/>
          <w:sz w:val="23"/>
          <w:szCs w:val="23"/>
        </w:rPr>
        <w:t>Secondary Practice Domain(s):</w:t>
      </w:r>
      <w:r w:rsidRPr="00D97C0E">
        <w:rPr>
          <w:rFonts w:cstheme="minorHAnsi"/>
          <w:b/>
          <w:bCs/>
          <w:color w:val="595959" w:themeColor="text1" w:themeTint="A6"/>
          <w:sz w:val="23"/>
          <w:szCs w:val="23"/>
        </w:rPr>
        <w:tab/>
        <w:t>Housing, Liveability</w:t>
      </w:r>
    </w:p>
    <w:p w14:paraId="7CE9B10D" w14:textId="4B0952D4" w:rsidR="00D97C0E" w:rsidRPr="000E1707" w:rsidRDefault="00D97C0E" w:rsidP="00AA476F">
      <w:pPr>
        <w:spacing w:line="276" w:lineRule="auto"/>
        <w:rPr>
          <w:rFonts w:ascii="Calibri Light" w:eastAsia="Calibri Light" w:hAnsi="Calibri Light" w:cs="Calibri Light"/>
          <w:sz w:val="23"/>
          <w:szCs w:val="23"/>
        </w:rPr>
      </w:pPr>
      <w:r w:rsidRPr="000541C7">
        <w:rPr>
          <w:rFonts w:ascii="Calibri Light" w:eastAsia="Calibri Light" w:hAnsi="Calibri Light" w:cs="Calibri Light"/>
          <w:sz w:val="23"/>
          <w:szCs w:val="23"/>
        </w:rPr>
        <w:t>Coffs Harbour (pop. 71,000), a coastal town in regional New South Wales, became one of 14 designated National Broadband Network (NBN) release sites in July 2010. The broader Coffs Harbour LGA is not an area of significant socioeconomic disadvantage, but it does include smaller areas that rank among the most disadvantaged 10 percent in Australia (PHN North Coast, 2019).</w:t>
      </w:r>
    </w:p>
    <w:p w14:paraId="5356E5F6" w14:textId="5468107E" w:rsidR="00D97C0E" w:rsidRPr="000E1707" w:rsidRDefault="00D97C0E" w:rsidP="00AA476F">
      <w:pPr>
        <w:spacing w:line="276" w:lineRule="auto"/>
        <w:rPr>
          <w:rFonts w:ascii="Calibri Light" w:eastAsia="Calibri Light" w:hAnsi="Calibri Light" w:cs="Calibri Light"/>
          <w:sz w:val="23"/>
          <w:szCs w:val="23"/>
        </w:rPr>
      </w:pPr>
      <w:r w:rsidRPr="000541C7">
        <w:rPr>
          <w:rFonts w:ascii="Calibri Light" w:eastAsia="Calibri Light" w:hAnsi="Calibri Light" w:cs="Calibri Light"/>
          <w:sz w:val="23"/>
          <w:szCs w:val="23"/>
        </w:rPr>
        <w:t>The Digital Age project was a research and engagement intervention focused on digital inclusion. It explored the issue of low technology uptake and online engagement amongst disadvantaged Australians aged over 60. Researchers at Southern Cross University staged a tailored, place-based digital intervention with older social housing tenants in Coffs Harbour. Participants generally had lower educational levels than the Australian average (Thomas et al, 2016).</w:t>
      </w:r>
    </w:p>
    <w:p w14:paraId="5164CAB9" w14:textId="374D8F82" w:rsidR="00D97C0E" w:rsidRPr="000E1707" w:rsidRDefault="00D97C0E" w:rsidP="00AA476F">
      <w:pPr>
        <w:spacing w:line="276" w:lineRule="auto"/>
        <w:rPr>
          <w:rFonts w:ascii="Calibri Light" w:eastAsia="Calibri Light" w:hAnsi="Calibri Light" w:cs="Calibri Light"/>
          <w:sz w:val="23"/>
          <w:szCs w:val="23"/>
        </w:rPr>
      </w:pPr>
      <w:r w:rsidRPr="000541C7">
        <w:rPr>
          <w:rFonts w:ascii="Calibri Light" w:eastAsia="Calibri Light" w:hAnsi="Calibri Light" w:cs="Calibri Light"/>
          <w:sz w:val="23"/>
          <w:szCs w:val="23"/>
        </w:rPr>
        <w:t>The researchers sought to better understand internet use amongst older Australians living in social housing, and to devise strategies to increase their digital awareness and ability to use online health services, government news, and shopping. The project also explored how information technology skills might contribute to perceptions of social connectedness, self-efficacy, resilience, health, and wellbeing.</w:t>
      </w:r>
    </w:p>
    <w:p w14:paraId="07442F21" w14:textId="358750FC" w:rsidR="00D97C0E" w:rsidRPr="000E1707" w:rsidRDefault="00D97C0E" w:rsidP="00AA476F">
      <w:pPr>
        <w:spacing w:line="276" w:lineRule="auto"/>
        <w:rPr>
          <w:rFonts w:ascii="Calibri Light" w:eastAsia="Calibri Light" w:hAnsi="Calibri Light" w:cs="Calibri Light"/>
          <w:sz w:val="23"/>
          <w:szCs w:val="23"/>
        </w:rPr>
      </w:pPr>
      <w:r w:rsidRPr="000541C7">
        <w:rPr>
          <w:rFonts w:ascii="Calibri Light" w:eastAsia="Calibri Light" w:hAnsi="Calibri Light" w:cs="Calibri Light"/>
          <w:sz w:val="23"/>
          <w:szCs w:val="23"/>
        </w:rPr>
        <w:t>Three communities of older social housing tenants in Coffs Harbour took part in the program over an 18-month period. In the first eight months a five-phase intervention was used to encourage and assist participants to gain skills in technology use. Data was collected during each phase, with a participant survey completed 14 months after the program launch. Engagement strategies included a simplified portal, 24-hour access, on-site training, and building a regular social event into training activities.</w:t>
      </w:r>
    </w:p>
    <w:p w14:paraId="29F6EDC7" w14:textId="233A9676" w:rsidR="00D97C0E" w:rsidRPr="000E1707" w:rsidRDefault="00D97C0E" w:rsidP="00AA476F">
      <w:pPr>
        <w:spacing w:line="276" w:lineRule="auto"/>
        <w:rPr>
          <w:rFonts w:ascii="Calibri Light" w:eastAsia="Calibri Light" w:hAnsi="Calibri Light" w:cs="Calibri Light"/>
          <w:sz w:val="23"/>
          <w:szCs w:val="23"/>
        </w:rPr>
      </w:pPr>
      <w:r w:rsidRPr="000541C7">
        <w:rPr>
          <w:rFonts w:ascii="Calibri Light" w:eastAsia="Calibri Light" w:hAnsi="Calibri Light" w:cs="Calibri Light"/>
          <w:sz w:val="23"/>
          <w:szCs w:val="23"/>
        </w:rPr>
        <w:t>The project drew on Cognitive Load Theory principles to develop training materials and activities that minimised cognitive load and facilitated learning. Researchers developed a set of guidelines and recommendations for delivering effective digital education interventions (Seton et al, 2015: 3–4).</w:t>
      </w:r>
    </w:p>
    <w:p w14:paraId="010CABE3" w14:textId="6B593BEB" w:rsidR="00D97C0E" w:rsidRDefault="00D97C0E" w:rsidP="000541C7">
      <w:pPr>
        <w:spacing w:line="276" w:lineRule="auto"/>
        <w:rPr>
          <w:rFonts w:ascii="Calibri Light" w:eastAsia="Calibri Light" w:hAnsi="Calibri Light" w:cs="Calibri Light"/>
          <w:sz w:val="23"/>
          <w:szCs w:val="23"/>
        </w:rPr>
      </w:pPr>
      <w:r w:rsidRPr="000541C7">
        <w:rPr>
          <w:rFonts w:ascii="Calibri Light" w:eastAsia="Calibri Light" w:hAnsi="Calibri Light" w:cs="Calibri Light"/>
          <w:sz w:val="23"/>
          <w:szCs w:val="23"/>
        </w:rPr>
        <w:t xml:space="preserve">In a </w:t>
      </w:r>
      <w:hyperlink r:id="rId13" w:history="1">
        <w:r w:rsidRPr="000541C7">
          <w:rPr>
            <w:rStyle w:val="Hyperlink"/>
            <w:rFonts w:asciiTheme="majorHAnsi" w:hAnsiTheme="majorHAnsi" w:cstheme="majorBidi"/>
            <w:sz w:val="23"/>
            <w:szCs w:val="23"/>
          </w:rPr>
          <w:t>program evaluation</w:t>
        </w:r>
      </w:hyperlink>
      <w:r w:rsidRPr="000541C7">
        <w:rPr>
          <w:rFonts w:ascii="Calibri Light" w:eastAsia="Calibri Light" w:hAnsi="Calibri Light" w:cs="Calibri Light"/>
          <w:sz w:val="23"/>
          <w:szCs w:val="23"/>
        </w:rPr>
        <w:t xml:space="preserve"> undertaken by the research team, participants reported strong improvements in their experiences of new technology. More than half of the participants who completed the tailored training intervention reported improved social engagement and personal confidence. Some participants renewed contact with lost family members as a result of the program. Overall, there was a significant increase in optimism and a decrease in pessimism. There were also initial indications of improved social connectedness amongst the participant groups (Seton et al, 2015). Project partners included the CSIRO and the Australian Communications Consumer Action Network (ACCAN).</w:t>
      </w:r>
    </w:p>
    <w:p w14:paraId="595C860E" w14:textId="7BBCFB01" w:rsidR="00D97C0E" w:rsidRPr="00E96B6E" w:rsidRDefault="00D97C0E" w:rsidP="00D97C0E">
      <w:pPr>
        <w:pStyle w:val="Heading1"/>
        <w:rPr>
          <w:rFonts w:eastAsia="Calibri"/>
          <w:b/>
          <w:bCs/>
        </w:rPr>
      </w:pPr>
      <w:bookmarkStart w:id="26" w:name="_Toc108421967"/>
      <w:r w:rsidRPr="00E96B6E">
        <w:rPr>
          <w:rFonts w:eastAsia="Calibri"/>
          <w:b/>
          <w:bCs/>
        </w:rPr>
        <w:lastRenderedPageBreak/>
        <w:t>South Australia</w:t>
      </w:r>
      <w:bookmarkEnd w:id="26"/>
    </w:p>
    <w:p w14:paraId="5E2AC69B" w14:textId="77777777" w:rsidR="00D97C0E" w:rsidRPr="000541C7" w:rsidRDefault="00D97C0E" w:rsidP="00D97C0E">
      <w:pPr>
        <w:pStyle w:val="Heading2"/>
        <w:rPr>
          <w:rFonts w:eastAsia="Times New Roman"/>
          <w:lang w:eastAsia="en-AU"/>
        </w:rPr>
      </w:pPr>
      <w:bookmarkStart w:id="27" w:name="_Toc108421968"/>
      <w:bookmarkStart w:id="28" w:name="_Hlk70863800"/>
      <w:r w:rsidRPr="000541C7">
        <w:rPr>
          <w:rFonts w:eastAsia="Times New Roman"/>
          <w:lang w:eastAsia="en-AU"/>
        </w:rPr>
        <w:t>Perpetrator Intervention Pilot: Tackling Domestic Violence, Preventing Homelessness</w:t>
      </w:r>
      <w:bookmarkEnd w:id="27"/>
    </w:p>
    <w:p w14:paraId="11001C66" w14:textId="19AAE837" w:rsidR="00D97C0E" w:rsidRPr="000E1707" w:rsidRDefault="00D97C0E" w:rsidP="00AA476F">
      <w:pPr>
        <w:spacing w:line="276" w:lineRule="auto"/>
        <w:rPr>
          <w:rFonts w:eastAsia="Times New Roman" w:cstheme="minorHAnsi"/>
          <w:sz w:val="23"/>
          <w:szCs w:val="23"/>
          <w:lang w:eastAsia="en-AU"/>
        </w:rPr>
      </w:pPr>
      <w:r w:rsidRPr="000541C7">
        <w:rPr>
          <w:rFonts w:eastAsia="Times New Roman" w:cstheme="minorHAnsi"/>
          <w:sz w:val="23"/>
          <w:szCs w:val="23"/>
          <w:lang w:eastAsia="en-AU"/>
        </w:rPr>
        <w:t>South Australia (2020–present)</w:t>
      </w:r>
      <w:bookmarkEnd w:id="28"/>
    </w:p>
    <w:p w14:paraId="4C4E3651" w14:textId="77777777" w:rsidR="00D97C0E" w:rsidRPr="00D97C0E" w:rsidRDefault="00D97C0E" w:rsidP="00D97C0E">
      <w:pPr>
        <w:spacing w:after="0" w:line="276" w:lineRule="auto"/>
        <w:rPr>
          <w:rFonts w:cstheme="minorHAnsi"/>
          <w:b/>
          <w:bCs/>
          <w:color w:val="595959" w:themeColor="text1" w:themeTint="A6"/>
          <w:sz w:val="23"/>
          <w:szCs w:val="23"/>
        </w:rPr>
      </w:pPr>
      <w:r w:rsidRPr="00D97C0E">
        <w:rPr>
          <w:rFonts w:cstheme="minorHAnsi"/>
          <w:b/>
          <w:bCs/>
          <w:color w:val="595959" w:themeColor="text1" w:themeTint="A6"/>
          <w:sz w:val="23"/>
          <w:szCs w:val="23"/>
        </w:rPr>
        <w:t>Main Practice Domain(s):</w:t>
      </w:r>
      <w:r w:rsidRPr="00D97C0E">
        <w:rPr>
          <w:rFonts w:cstheme="minorHAnsi"/>
          <w:b/>
          <w:bCs/>
          <w:color w:val="595959" w:themeColor="text1" w:themeTint="A6"/>
          <w:sz w:val="23"/>
          <w:szCs w:val="23"/>
        </w:rPr>
        <w:tab/>
      </w:r>
      <w:r w:rsidRPr="00D97C0E">
        <w:rPr>
          <w:rFonts w:cstheme="minorHAnsi"/>
          <w:b/>
          <w:bCs/>
          <w:color w:val="595959" w:themeColor="text1" w:themeTint="A6"/>
          <w:sz w:val="23"/>
          <w:szCs w:val="23"/>
        </w:rPr>
        <w:tab/>
        <w:t>Health and Wellbeing, Housing</w:t>
      </w:r>
    </w:p>
    <w:p w14:paraId="1B32E38A" w14:textId="0411345D" w:rsidR="00D97C0E" w:rsidRPr="000E1707" w:rsidRDefault="00D97C0E" w:rsidP="000E1707">
      <w:pPr>
        <w:spacing w:line="276" w:lineRule="auto"/>
        <w:rPr>
          <w:rFonts w:cstheme="minorHAnsi"/>
          <w:b/>
          <w:bCs/>
          <w:color w:val="595959" w:themeColor="text1" w:themeTint="A6"/>
          <w:sz w:val="23"/>
          <w:szCs w:val="23"/>
        </w:rPr>
      </w:pPr>
      <w:r w:rsidRPr="00D97C0E">
        <w:rPr>
          <w:rFonts w:cstheme="minorHAnsi"/>
          <w:b/>
          <w:bCs/>
          <w:color w:val="595959" w:themeColor="text1" w:themeTint="A6"/>
          <w:sz w:val="23"/>
          <w:szCs w:val="23"/>
        </w:rPr>
        <w:t>Secondary Practice Domain(s):</w:t>
      </w:r>
      <w:r w:rsidRPr="00D97C0E">
        <w:rPr>
          <w:rFonts w:cstheme="minorHAnsi"/>
          <w:b/>
          <w:bCs/>
          <w:color w:val="595959" w:themeColor="text1" w:themeTint="A6"/>
          <w:sz w:val="23"/>
          <w:szCs w:val="23"/>
        </w:rPr>
        <w:tab/>
        <w:t>Liveability</w:t>
      </w:r>
    </w:p>
    <w:p w14:paraId="370FC97F" w14:textId="1DB4D215" w:rsidR="00D97C0E" w:rsidRPr="000E1707" w:rsidRDefault="00D97C0E" w:rsidP="00AA476F">
      <w:pPr>
        <w:spacing w:line="276" w:lineRule="auto"/>
        <w:rPr>
          <w:rFonts w:ascii="Calibri Light" w:eastAsia="Calibri Light" w:hAnsi="Calibri Light" w:cs="Calibri Light"/>
          <w:sz w:val="23"/>
          <w:szCs w:val="23"/>
        </w:rPr>
      </w:pPr>
      <w:r w:rsidRPr="000541C7">
        <w:rPr>
          <w:rFonts w:ascii="Calibri Light" w:eastAsia="Calibri Light" w:hAnsi="Calibri Light" w:cs="Calibri Light"/>
          <w:sz w:val="23"/>
          <w:szCs w:val="23"/>
        </w:rPr>
        <w:t>Family and domestic violence is the leading cause of homelessness for Australian women (FaHCSIA, 2008; Homelessness Australia, 2016). During the COVID-19 pandemic, domestic violence case numbers rose dramatically across Australia.</w:t>
      </w:r>
    </w:p>
    <w:p w14:paraId="0941EA27" w14:textId="24EE8F4F" w:rsidR="00D97C0E" w:rsidRPr="000E1707" w:rsidRDefault="00D97C0E" w:rsidP="00AA476F">
      <w:pPr>
        <w:spacing w:line="276" w:lineRule="auto"/>
        <w:rPr>
          <w:rFonts w:ascii="Calibri Light" w:eastAsia="Calibri Light" w:hAnsi="Calibri Light" w:cs="Calibri Light"/>
          <w:sz w:val="23"/>
          <w:szCs w:val="23"/>
        </w:rPr>
      </w:pPr>
      <w:r w:rsidRPr="000541C7">
        <w:rPr>
          <w:rFonts w:ascii="Calibri Light" w:eastAsia="Calibri Light" w:hAnsi="Calibri Light" w:cs="Calibri Light"/>
          <w:sz w:val="23"/>
          <w:szCs w:val="23"/>
        </w:rPr>
        <w:t>In 2020 the South Australian Government launched a new 12-month pilot program to tackle domestic violence. Developed with input from the family violence sector and the community, the program takes an innovative line by targeting perpetrators of domestic violence. It provides support services and a small number of dedicated beds for male perpetrators.</w:t>
      </w:r>
    </w:p>
    <w:p w14:paraId="37DE2F68" w14:textId="59D189A3" w:rsidR="00D97C0E" w:rsidRPr="000E1707" w:rsidRDefault="00D97C0E" w:rsidP="00AA476F">
      <w:pPr>
        <w:spacing w:line="276" w:lineRule="auto"/>
        <w:rPr>
          <w:rFonts w:ascii="Calibri Light" w:eastAsia="Calibri Light" w:hAnsi="Calibri Light" w:cs="Calibri Light"/>
          <w:sz w:val="23"/>
          <w:szCs w:val="23"/>
        </w:rPr>
      </w:pPr>
      <w:r w:rsidRPr="000541C7">
        <w:rPr>
          <w:rFonts w:ascii="Calibri Light" w:eastAsia="Calibri Light" w:hAnsi="Calibri Light" w:cs="Calibri Light"/>
          <w:sz w:val="23"/>
          <w:szCs w:val="23"/>
        </w:rPr>
        <w:t xml:space="preserve">The pilot program is based on the premise that removing perpetrators from the home leads to more stability and less disruption for victims, enabling them to stay connected with their local communities and support networks (Lensink &amp; Power, 2020). Housing advocates and domestic violence experts have welcomed the </w:t>
      </w:r>
      <w:r w:rsidR="00E96B6E" w:rsidRPr="000541C7">
        <w:rPr>
          <w:rFonts w:ascii="Calibri Light" w:eastAsia="Calibri Light" w:hAnsi="Calibri Light" w:cs="Calibri Light"/>
          <w:sz w:val="23"/>
          <w:szCs w:val="23"/>
        </w:rPr>
        <w:t>initiative but</w:t>
      </w:r>
      <w:r w:rsidRPr="000541C7">
        <w:rPr>
          <w:rFonts w:ascii="Calibri Light" w:eastAsia="Calibri Light" w:hAnsi="Calibri Light" w:cs="Calibri Light"/>
          <w:sz w:val="23"/>
          <w:szCs w:val="23"/>
        </w:rPr>
        <w:t xml:space="preserve"> expressed concerns over potential increased housing stress if survivors are left to cover the full rent or mortgage on their own (Burke, 2019; Cosenza, 2020; Wendt et al, 2019).</w:t>
      </w:r>
    </w:p>
    <w:p w14:paraId="61CD6A7E" w14:textId="77777777" w:rsidR="00D97C0E" w:rsidRPr="000541C7" w:rsidRDefault="00D97C0E" w:rsidP="00AA476F">
      <w:pPr>
        <w:spacing w:line="276" w:lineRule="auto"/>
        <w:rPr>
          <w:rFonts w:ascii="Calibri Light" w:eastAsia="Calibri Light" w:hAnsi="Calibri Light" w:cs="Calibri Light"/>
          <w:b/>
          <w:bCs/>
          <w:sz w:val="23"/>
          <w:szCs w:val="23"/>
        </w:rPr>
      </w:pPr>
      <w:r w:rsidRPr="000541C7">
        <w:rPr>
          <w:rFonts w:ascii="Calibri Light" w:eastAsia="Calibri Light" w:hAnsi="Calibri Light" w:cs="Calibri Light"/>
          <w:sz w:val="23"/>
          <w:szCs w:val="23"/>
        </w:rPr>
        <w:t>The pilot is part of a $4 million state-funded program that will deliver 40 new domestic violence crisis beds in Northern and Southern Adelaide, and in regional towns including Berri, Ceduna, Murray Bridge, Port Lincoln, and Whyalla. Nine of these beds are allocated for perpetrators. Several concurrent initiatives are also being supported by $2.4 million in Federal funding for domestic violence initiatives in South Australia (DHHS South Australia, 2020; Hanife, 2019). The new initiatives include:</w:t>
      </w:r>
    </w:p>
    <w:p w14:paraId="207B4914" w14:textId="77777777" w:rsidR="00D97C0E" w:rsidRPr="000541C7" w:rsidRDefault="00D97C0E" w:rsidP="00E96B6E">
      <w:pPr>
        <w:pStyle w:val="ListParagraph"/>
        <w:numPr>
          <w:ilvl w:val="0"/>
          <w:numId w:val="4"/>
        </w:numPr>
        <w:spacing w:after="120" w:line="276" w:lineRule="auto"/>
        <w:ind w:left="357" w:hanging="357"/>
        <w:contextualSpacing w:val="0"/>
        <w:rPr>
          <w:rFonts w:eastAsiaTheme="minorEastAsia"/>
          <w:b/>
          <w:bCs/>
          <w:sz w:val="23"/>
          <w:szCs w:val="23"/>
        </w:rPr>
      </w:pPr>
      <w:r w:rsidRPr="000541C7">
        <w:rPr>
          <w:rFonts w:ascii="Calibri Light" w:eastAsia="Calibri Light" w:hAnsi="Calibri Light" w:cs="Calibri Light"/>
          <w:sz w:val="23"/>
          <w:szCs w:val="23"/>
        </w:rPr>
        <w:t>Don’t Become That Man: aims to proactively change behaviour prior to offences through a self-assessment tool and availability of crisis accommodation. Services include phone counselling, in-person counselling, support networks, referral services, and rehabilitation programs (CityMag, 2020).</w:t>
      </w:r>
    </w:p>
    <w:p w14:paraId="34AF4DEC" w14:textId="77777777" w:rsidR="00D97C0E" w:rsidRPr="000541C7" w:rsidRDefault="00D97C0E" w:rsidP="00E96B6E">
      <w:pPr>
        <w:pStyle w:val="ListParagraph"/>
        <w:numPr>
          <w:ilvl w:val="0"/>
          <w:numId w:val="4"/>
        </w:numPr>
        <w:spacing w:after="120" w:line="276" w:lineRule="auto"/>
        <w:ind w:left="357" w:hanging="357"/>
        <w:contextualSpacing w:val="0"/>
        <w:rPr>
          <w:rFonts w:eastAsiaTheme="minorEastAsia"/>
          <w:b/>
          <w:bCs/>
          <w:sz w:val="23"/>
          <w:szCs w:val="23"/>
        </w:rPr>
      </w:pPr>
      <w:r w:rsidRPr="000541C7">
        <w:rPr>
          <w:rFonts w:ascii="Calibri Light" w:eastAsia="Calibri Light" w:hAnsi="Calibri Light" w:cs="Calibri Light"/>
          <w:sz w:val="23"/>
          <w:szCs w:val="23"/>
        </w:rPr>
        <w:t>24/7 Men’s Referral Line: Hotline and support service to help South Australian men address their violent or controlling behaviour.</w:t>
      </w:r>
    </w:p>
    <w:p w14:paraId="5DBB06B0" w14:textId="796D6656" w:rsidR="00D97C0E" w:rsidRPr="000E1707" w:rsidRDefault="00D97C0E" w:rsidP="00E96B6E">
      <w:pPr>
        <w:pStyle w:val="ListParagraph"/>
        <w:numPr>
          <w:ilvl w:val="0"/>
          <w:numId w:val="4"/>
        </w:numPr>
        <w:spacing w:after="120" w:line="276" w:lineRule="auto"/>
        <w:ind w:left="357" w:hanging="357"/>
        <w:contextualSpacing w:val="0"/>
        <w:rPr>
          <w:rFonts w:eastAsiaTheme="minorEastAsia"/>
          <w:b/>
          <w:bCs/>
          <w:sz w:val="23"/>
          <w:szCs w:val="23"/>
        </w:rPr>
      </w:pPr>
      <w:r w:rsidRPr="000541C7">
        <w:rPr>
          <w:rFonts w:ascii="Calibri Light" w:eastAsia="Calibri Light" w:hAnsi="Calibri Light" w:cs="Calibri Light"/>
          <w:sz w:val="23"/>
          <w:szCs w:val="23"/>
        </w:rPr>
        <w:t>Extra brokerage packages for people experiencing abuse and violence. Funds are for transport, safety upgrades to property, financial counselling, and support for children.</w:t>
      </w:r>
    </w:p>
    <w:p w14:paraId="6AFC7E54" w14:textId="1BF63F2A" w:rsidR="00D97C0E" w:rsidRDefault="00D97C0E" w:rsidP="00AA476F">
      <w:pPr>
        <w:spacing w:line="276" w:lineRule="auto"/>
        <w:rPr>
          <w:rFonts w:ascii="Calibri Light" w:eastAsia="Calibri Light" w:hAnsi="Calibri Light" w:cs="Calibri Light"/>
          <w:sz w:val="23"/>
          <w:szCs w:val="23"/>
        </w:rPr>
      </w:pPr>
      <w:r w:rsidRPr="000541C7">
        <w:rPr>
          <w:rFonts w:ascii="Calibri Light" w:eastAsia="Calibri Light" w:hAnsi="Calibri Light" w:cs="Calibri Light"/>
          <w:sz w:val="23"/>
          <w:szCs w:val="23"/>
        </w:rPr>
        <w:t>The South Australian Government has also made legislative changes to the Residential Tenancies Act 1995. These changes allow victims of domestic violence to stay in their rented home and have the perpetrator leave, or for the victim to leave the rented home and their name to be removed from the rental agreement without penalty (SA.gov.au, 2018).</w:t>
      </w:r>
    </w:p>
    <w:p w14:paraId="50E1F404" w14:textId="4B7FC539" w:rsidR="00D97C0E" w:rsidRPr="00E96B6E" w:rsidRDefault="00D97C0E" w:rsidP="00D97C0E">
      <w:pPr>
        <w:pStyle w:val="Heading1"/>
        <w:rPr>
          <w:b/>
          <w:bCs/>
        </w:rPr>
      </w:pPr>
      <w:bookmarkStart w:id="29" w:name="_Toc108180698"/>
      <w:bookmarkStart w:id="30" w:name="_Toc108421969"/>
      <w:r w:rsidRPr="00E96B6E">
        <w:rPr>
          <w:b/>
          <w:bCs/>
        </w:rPr>
        <w:lastRenderedPageBreak/>
        <w:t>National Programs</w:t>
      </w:r>
      <w:bookmarkEnd w:id="29"/>
      <w:bookmarkEnd w:id="30"/>
    </w:p>
    <w:p w14:paraId="73874809" w14:textId="77777777" w:rsidR="00D97C0E" w:rsidRPr="00EA6BD1" w:rsidRDefault="00D97C0E" w:rsidP="00D97C0E">
      <w:pPr>
        <w:pStyle w:val="Heading2"/>
        <w:rPr>
          <w:rFonts w:eastAsia="Calibri"/>
          <w:b/>
          <w:bCs/>
        </w:rPr>
      </w:pPr>
      <w:bookmarkStart w:id="31" w:name="_Toc108421970"/>
      <w:bookmarkStart w:id="32" w:name="_Hlk70863943"/>
      <w:r w:rsidRPr="359636AC">
        <w:rPr>
          <w:rFonts w:eastAsia="Calibri"/>
        </w:rPr>
        <w:t xml:space="preserve">Angel Next Door: Digital Crowdsourcing App </w:t>
      </w:r>
      <w:r>
        <w:rPr>
          <w:rFonts w:eastAsia="Calibri"/>
        </w:rPr>
        <w:t>to Connect</w:t>
      </w:r>
      <w:r w:rsidRPr="359636AC">
        <w:rPr>
          <w:rFonts w:eastAsia="Calibri"/>
        </w:rPr>
        <w:t xml:space="preserve"> Neighbours </w:t>
      </w:r>
      <w:r>
        <w:rPr>
          <w:rFonts w:eastAsia="Calibri"/>
        </w:rPr>
        <w:t>i</w:t>
      </w:r>
      <w:r w:rsidRPr="359636AC">
        <w:rPr>
          <w:rFonts w:eastAsia="Calibri"/>
        </w:rPr>
        <w:t>n Need</w:t>
      </w:r>
      <w:bookmarkEnd w:id="31"/>
    </w:p>
    <w:p w14:paraId="5BF0E777" w14:textId="74FBD8DD" w:rsidR="00D97C0E" w:rsidRPr="000E1707" w:rsidRDefault="00D97C0E" w:rsidP="00AA476F">
      <w:pPr>
        <w:spacing w:line="276" w:lineRule="auto"/>
        <w:rPr>
          <w:rFonts w:ascii="Calibri" w:eastAsia="Calibri" w:hAnsi="Calibri" w:cs="Calibri"/>
          <w:b/>
          <w:bCs/>
          <w:sz w:val="23"/>
          <w:szCs w:val="23"/>
        </w:rPr>
      </w:pPr>
      <w:r w:rsidRPr="359636AC">
        <w:rPr>
          <w:rFonts w:ascii="Calibri" w:eastAsia="Calibri" w:hAnsi="Calibri" w:cs="Calibri"/>
          <w:sz w:val="23"/>
          <w:szCs w:val="23"/>
        </w:rPr>
        <w:t>Australia-wide, Geelong-founded (March 2020–present)</w:t>
      </w:r>
      <w:bookmarkEnd w:id="32"/>
    </w:p>
    <w:p w14:paraId="43EC9CFE" w14:textId="77777777" w:rsidR="00D97C0E" w:rsidRPr="00D97C0E" w:rsidRDefault="00D97C0E" w:rsidP="00D97C0E">
      <w:pPr>
        <w:spacing w:after="0" w:line="276" w:lineRule="auto"/>
        <w:rPr>
          <w:rFonts w:cstheme="minorHAnsi"/>
          <w:b/>
          <w:bCs/>
          <w:color w:val="595959" w:themeColor="text1" w:themeTint="A6"/>
          <w:sz w:val="23"/>
          <w:szCs w:val="23"/>
        </w:rPr>
      </w:pPr>
      <w:r w:rsidRPr="00D97C0E">
        <w:rPr>
          <w:rFonts w:cstheme="minorHAnsi"/>
          <w:b/>
          <w:bCs/>
          <w:color w:val="595959" w:themeColor="text1" w:themeTint="A6"/>
          <w:sz w:val="23"/>
          <w:szCs w:val="23"/>
        </w:rPr>
        <w:t>Main Practice Domain(s):</w:t>
      </w:r>
      <w:r w:rsidRPr="00D97C0E">
        <w:rPr>
          <w:rFonts w:cstheme="minorHAnsi"/>
          <w:b/>
          <w:bCs/>
          <w:color w:val="595959" w:themeColor="text1" w:themeTint="A6"/>
          <w:sz w:val="23"/>
          <w:szCs w:val="23"/>
        </w:rPr>
        <w:tab/>
      </w:r>
      <w:r w:rsidRPr="00D97C0E">
        <w:rPr>
          <w:rFonts w:cstheme="minorHAnsi"/>
          <w:b/>
          <w:bCs/>
          <w:color w:val="595959" w:themeColor="text1" w:themeTint="A6"/>
          <w:sz w:val="23"/>
          <w:szCs w:val="23"/>
        </w:rPr>
        <w:tab/>
        <w:t xml:space="preserve">Liveability </w:t>
      </w:r>
    </w:p>
    <w:p w14:paraId="7280F0BD" w14:textId="0AEAF3B5" w:rsidR="00D97C0E" w:rsidRPr="000E1707" w:rsidRDefault="00D97C0E" w:rsidP="000E1707">
      <w:pPr>
        <w:spacing w:line="276" w:lineRule="auto"/>
        <w:rPr>
          <w:rFonts w:cstheme="minorHAnsi"/>
          <w:b/>
          <w:bCs/>
          <w:color w:val="595959" w:themeColor="text1" w:themeTint="A6"/>
          <w:sz w:val="23"/>
          <w:szCs w:val="23"/>
        </w:rPr>
      </w:pPr>
      <w:r w:rsidRPr="00D97C0E">
        <w:rPr>
          <w:rFonts w:cstheme="minorHAnsi"/>
          <w:b/>
          <w:bCs/>
          <w:color w:val="595959" w:themeColor="text1" w:themeTint="A6"/>
          <w:sz w:val="23"/>
          <w:szCs w:val="23"/>
        </w:rPr>
        <w:t>Secondary Practice Domain(s):</w:t>
      </w:r>
      <w:r w:rsidRPr="00D97C0E">
        <w:rPr>
          <w:rFonts w:cstheme="minorHAnsi"/>
          <w:b/>
          <w:bCs/>
          <w:color w:val="595959" w:themeColor="text1" w:themeTint="A6"/>
          <w:sz w:val="23"/>
          <w:szCs w:val="23"/>
        </w:rPr>
        <w:tab/>
        <w:t>Health and Wellbeing</w:t>
      </w:r>
    </w:p>
    <w:p w14:paraId="443C24DC" w14:textId="3CEC2595" w:rsidR="00D97C0E" w:rsidRPr="000E1707" w:rsidRDefault="00D97C0E" w:rsidP="00AA476F">
      <w:pPr>
        <w:spacing w:line="276" w:lineRule="auto"/>
        <w:rPr>
          <w:rFonts w:ascii="Calibri Light" w:eastAsia="Calibri Light" w:hAnsi="Calibri Light" w:cs="Calibri Light"/>
          <w:b/>
          <w:bCs/>
          <w:sz w:val="23"/>
          <w:szCs w:val="23"/>
        </w:rPr>
      </w:pPr>
      <w:r w:rsidRPr="000541C7">
        <w:rPr>
          <w:rFonts w:ascii="Calibri Light" w:eastAsia="Calibri Light" w:hAnsi="Calibri Light" w:cs="Calibri Light"/>
          <w:sz w:val="23"/>
          <w:szCs w:val="23"/>
        </w:rPr>
        <w:t xml:space="preserve">In response to COVID-19 lockdowns and shortages, in April 2020 two Geelong entrepreneurs established a free online community platform enabling neighbours to help one another in a discreet and secure way. </w:t>
      </w:r>
      <w:r w:rsidRPr="000541C7">
        <w:rPr>
          <w:rFonts w:ascii="Calibri Light" w:eastAsia="Calibri Light" w:hAnsi="Calibri Light" w:cs="Calibri Light"/>
          <w:sz w:val="23"/>
          <w:szCs w:val="23"/>
          <w:u w:val="single"/>
        </w:rPr>
        <w:t>Angel Next Door</w:t>
      </w:r>
      <w:r w:rsidRPr="000541C7">
        <w:rPr>
          <w:rFonts w:ascii="Calibri Light" w:eastAsia="Calibri Light" w:hAnsi="Calibri Light" w:cs="Calibri Light"/>
          <w:sz w:val="23"/>
          <w:szCs w:val="23"/>
        </w:rPr>
        <w:t xml:space="preserve"> is a web and mobile app designed to enable community members to offer and seek help from their neighbours. Launched in Geelong, the service is now Australia wide.</w:t>
      </w:r>
    </w:p>
    <w:p w14:paraId="1CE663EC" w14:textId="1A2D8C5A" w:rsidR="00D97C0E" w:rsidRPr="000E1707" w:rsidRDefault="00D97C0E" w:rsidP="00AA476F">
      <w:pPr>
        <w:spacing w:line="276" w:lineRule="auto"/>
        <w:rPr>
          <w:rFonts w:ascii="Calibri Light" w:eastAsia="Calibri Light" w:hAnsi="Calibri Light" w:cs="Calibri Light"/>
          <w:b/>
          <w:bCs/>
          <w:sz w:val="23"/>
          <w:szCs w:val="23"/>
        </w:rPr>
      </w:pPr>
      <w:r w:rsidRPr="000541C7">
        <w:rPr>
          <w:rFonts w:ascii="Calibri Light" w:eastAsia="Calibri Light" w:hAnsi="Calibri Light" w:cs="Calibri Light"/>
          <w:sz w:val="23"/>
          <w:szCs w:val="23"/>
        </w:rPr>
        <w:t xml:space="preserve">Founders Aamir Qutub (web developer and 2019 Geelong Young Entrepreneur of the Year) and Rory Costelloe (executive director of Villawood Properties) created the peer-to-peer platform to help connect local communities during the hardships of the pandemic. People register to assist or receive help via the app. When someone posts a request for help, alerts are sent to “angels” who live nearby. Requests have included help with grocery shopping and pick-up, cleaning and moving, acquiring technology such as webcams, laptops and phones, and errands such as dog-walking (Dick, 2021; Wood, 2020). </w:t>
      </w:r>
    </w:p>
    <w:p w14:paraId="42E0B33B" w14:textId="606E2904" w:rsidR="00D97C0E" w:rsidRPr="000E1707" w:rsidRDefault="00D97C0E" w:rsidP="00AA476F">
      <w:pPr>
        <w:spacing w:line="276" w:lineRule="auto"/>
        <w:rPr>
          <w:rFonts w:ascii="Calibri Light" w:eastAsia="Calibri Light" w:hAnsi="Calibri Light" w:cs="Calibri Light"/>
          <w:b/>
          <w:bCs/>
          <w:sz w:val="23"/>
          <w:szCs w:val="23"/>
        </w:rPr>
      </w:pPr>
      <w:r w:rsidRPr="000541C7">
        <w:rPr>
          <w:rFonts w:ascii="Calibri Light" w:eastAsia="Calibri Light" w:hAnsi="Calibri Light" w:cs="Calibri Light"/>
          <w:sz w:val="23"/>
          <w:szCs w:val="23"/>
        </w:rPr>
        <w:t>Early on, a partnership was established with Villawood Properties and Neighbourhood Watch Victoria to help increase the program’s reach. It has continued to grow, with over 9000 angels currently registered, providing nearly 2000 offers of support in response to 400 requests.</w:t>
      </w:r>
    </w:p>
    <w:p w14:paraId="1B84E19E" w14:textId="7D2873DD" w:rsidR="00D97C0E" w:rsidRPr="000E1707" w:rsidRDefault="00D97C0E" w:rsidP="000E1707">
      <w:pPr>
        <w:spacing w:line="276" w:lineRule="auto"/>
        <w:rPr>
          <w:rFonts w:ascii="Calibri Light" w:eastAsia="Calibri Light" w:hAnsi="Calibri Light" w:cs="Calibri Light"/>
          <w:b/>
          <w:bCs/>
          <w:sz w:val="23"/>
          <w:szCs w:val="23"/>
        </w:rPr>
      </w:pPr>
      <w:r w:rsidRPr="000541C7">
        <w:rPr>
          <w:rFonts w:ascii="Calibri Light" w:eastAsia="Calibri Light" w:hAnsi="Calibri Light" w:cs="Calibri Light"/>
          <w:sz w:val="23"/>
          <w:szCs w:val="23"/>
        </w:rPr>
        <w:t xml:space="preserve">Angel Next Door has been commended by Neighbourhood Watch chief executive Bambi Gordan, who said: “This is a great example of that Aussie tradition of stepping up to help during a crisis and watching out for each other” (Wood, 2020; Neighbourhood Watch Victoria, 2020). The initiative has also generated local media interest, with articles in </w:t>
      </w:r>
      <w:r w:rsidRPr="000541C7">
        <w:rPr>
          <w:rFonts w:ascii="Calibri Light" w:eastAsia="Calibri Light" w:hAnsi="Calibri Light" w:cs="Calibri Light"/>
          <w:i/>
          <w:iCs/>
          <w:sz w:val="23"/>
          <w:szCs w:val="23"/>
        </w:rPr>
        <w:t>The Senior</w:t>
      </w:r>
      <w:r w:rsidRPr="000541C7">
        <w:rPr>
          <w:rFonts w:ascii="Calibri Light" w:eastAsia="Calibri Light" w:hAnsi="Calibri Light" w:cs="Calibri Light"/>
          <w:sz w:val="23"/>
          <w:szCs w:val="23"/>
        </w:rPr>
        <w:t xml:space="preserve">, </w:t>
      </w:r>
      <w:r w:rsidRPr="000541C7">
        <w:rPr>
          <w:rFonts w:ascii="Calibri Light" w:eastAsia="Calibri Light" w:hAnsi="Calibri Light" w:cs="Calibri Light"/>
          <w:i/>
          <w:iCs/>
          <w:sz w:val="23"/>
          <w:szCs w:val="23"/>
        </w:rPr>
        <w:t>The New Daily,</w:t>
      </w:r>
      <w:r w:rsidRPr="000541C7">
        <w:rPr>
          <w:rFonts w:ascii="Calibri Light" w:eastAsia="Calibri Light" w:hAnsi="Calibri Light" w:cs="Calibri Light"/>
          <w:sz w:val="23"/>
          <w:szCs w:val="23"/>
        </w:rPr>
        <w:t xml:space="preserve"> and</w:t>
      </w:r>
      <w:r w:rsidRPr="000541C7">
        <w:rPr>
          <w:rFonts w:ascii="Calibri Light" w:eastAsia="Calibri Light" w:hAnsi="Calibri Light" w:cs="Calibri Light"/>
          <w:i/>
          <w:iCs/>
          <w:sz w:val="23"/>
          <w:szCs w:val="23"/>
        </w:rPr>
        <w:t xml:space="preserve"> Geelong Times</w:t>
      </w:r>
      <w:r w:rsidRPr="000541C7">
        <w:rPr>
          <w:rFonts w:ascii="Calibri Light" w:eastAsia="Calibri Light" w:hAnsi="Calibri Light" w:cs="Calibri Light"/>
          <w:sz w:val="23"/>
          <w:szCs w:val="23"/>
        </w:rPr>
        <w:t>, and a feature spot on Channel Ten’s “The Project” in June 2020 (Channel Ten, 2021).</w:t>
      </w:r>
    </w:p>
    <w:p w14:paraId="53D01E3F" w14:textId="3B1F2A72" w:rsidR="00D97C0E" w:rsidRPr="00E96B6E" w:rsidRDefault="00D97C0E" w:rsidP="00D97C0E">
      <w:pPr>
        <w:keepNext/>
        <w:keepLines/>
        <w:spacing w:before="240" w:after="0"/>
        <w:outlineLvl w:val="0"/>
        <w:rPr>
          <w:rFonts w:asciiTheme="majorHAnsi" w:eastAsiaTheme="majorEastAsia" w:hAnsiTheme="majorHAnsi" w:cstheme="majorBidi"/>
          <w:b/>
          <w:bCs/>
          <w:color w:val="2F5496" w:themeColor="accent1" w:themeShade="BF"/>
          <w:sz w:val="32"/>
          <w:szCs w:val="32"/>
        </w:rPr>
      </w:pPr>
      <w:bookmarkStart w:id="33" w:name="_Toc108180700"/>
      <w:bookmarkStart w:id="34" w:name="_Toc108421971"/>
      <w:r w:rsidRPr="00E96B6E">
        <w:rPr>
          <w:rFonts w:asciiTheme="majorHAnsi" w:eastAsiaTheme="majorEastAsia" w:hAnsiTheme="majorHAnsi" w:cstheme="majorBidi"/>
          <w:b/>
          <w:bCs/>
          <w:color w:val="2F5496" w:themeColor="accent1" w:themeShade="BF"/>
          <w:sz w:val="32"/>
          <w:szCs w:val="32"/>
        </w:rPr>
        <w:t>International Case Studies</w:t>
      </w:r>
      <w:bookmarkEnd w:id="33"/>
      <w:bookmarkEnd w:id="34"/>
    </w:p>
    <w:p w14:paraId="72254B66" w14:textId="77777777" w:rsidR="00D97C0E" w:rsidRPr="00845F90" w:rsidRDefault="00D97C0E" w:rsidP="00D97C0E">
      <w:pPr>
        <w:pStyle w:val="Heading2"/>
        <w:rPr>
          <w:rFonts w:eastAsia="Times New Roman"/>
          <w:b/>
          <w:bCs/>
          <w:lang w:eastAsia="en-AU"/>
        </w:rPr>
      </w:pPr>
      <w:bookmarkStart w:id="35" w:name="_Toc108421972"/>
      <w:bookmarkStart w:id="36" w:name="_Hlk70863965"/>
      <w:r w:rsidRPr="00845F90">
        <w:rPr>
          <w:rFonts w:eastAsia="Times New Roman"/>
          <w:lang w:eastAsia="en-AU"/>
        </w:rPr>
        <w:t xml:space="preserve">Best Babies Zone: </w:t>
      </w:r>
      <w:r>
        <w:rPr>
          <w:rFonts w:eastAsia="Times New Roman"/>
          <w:lang w:eastAsia="en-AU"/>
        </w:rPr>
        <w:t>P</w:t>
      </w:r>
      <w:r w:rsidRPr="00845F90">
        <w:rPr>
          <w:rFonts w:eastAsia="Times New Roman"/>
          <w:lang w:eastAsia="en-AU"/>
        </w:rPr>
        <w:t xml:space="preserve">lace-based Multisector Program </w:t>
      </w:r>
      <w:r>
        <w:rPr>
          <w:rFonts w:eastAsia="Times New Roman"/>
          <w:lang w:eastAsia="en-AU"/>
        </w:rPr>
        <w:t>t</w:t>
      </w:r>
      <w:r w:rsidRPr="00845F90">
        <w:rPr>
          <w:rFonts w:eastAsia="Times New Roman"/>
          <w:lang w:eastAsia="en-AU"/>
        </w:rPr>
        <w:t>o Reduce Health Inequalities</w:t>
      </w:r>
      <w:bookmarkEnd w:id="35"/>
    </w:p>
    <w:p w14:paraId="40B26224" w14:textId="13F1D754" w:rsidR="00D97C0E" w:rsidRPr="000E1707" w:rsidRDefault="00D97C0E" w:rsidP="00AA476F">
      <w:pPr>
        <w:spacing w:line="276" w:lineRule="auto"/>
        <w:rPr>
          <w:rFonts w:eastAsia="Times New Roman" w:cstheme="minorHAnsi"/>
          <w:b/>
          <w:bCs/>
          <w:sz w:val="23"/>
          <w:szCs w:val="23"/>
          <w:lang w:eastAsia="en-AU"/>
        </w:rPr>
      </w:pPr>
      <w:r w:rsidRPr="00845F90">
        <w:rPr>
          <w:rFonts w:eastAsia="Times New Roman" w:cstheme="minorHAnsi"/>
          <w:sz w:val="23"/>
          <w:szCs w:val="23"/>
          <w:lang w:eastAsia="en-AU"/>
        </w:rPr>
        <w:t>Castlemont, East Oakland, California (2012–</w:t>
      </w:r>
      <w:r>
        <w:rPr>
          <w:rFonts w:eastAsia="Times New Roman" w:cstheme="minorHAnsi"/>
          <w:sz w:val="23"/>
          <w:szCs w:val="23"/>
          <w:lang w:eastAsia="en-AU"/>
        </w:rPr>
        <w:t>2015</w:t>
      </w:r>
      <w:r w:rsidRPr="00845F90">
        <w:rPr>
          <w:rFonts w:eastAsia="Times New Roman" w:cstheme="minorHAnsi"/>
          <w:sz w:val="23"/>
          <w:szCs w:val="23"/>
          <w:lang w:eastAsia="en-AU"/>
        </w:rPr>
        <w:t xml:space="preserve">); </w:t>
      </w:r>
      <w:r>
        <w:rPr>
          <w:rFonts w:eastAsia="Times New Roman" w:cstheme="minorHAnsi"/>
          <w:sz w:val="23"/>
          <w:szCs w:val="23"/>
          <w:lang w:eastAsia="en-AU"/>
        </w:rPr>
        <w:t>10 other</w:t>
      </w:r>
      <w:r w:rsidRPr="00845F90">
        <w:rPr>
          <w:rFonts w:eastAsia="Times New Roman" w:cstheme="minorHAnsi"/>
          <w:sz w:val="23"/>
          <w:szCs w:val="23"/>
          <w:lang w:eastAsia="en-AU"/>
        </w:rPr>
        <w:t xml:space="preserve"> US locations (2012–present)</w:t>
      </w:r>
      <w:bookmarkEnd w:id="36"/>
    </w:p>
    <w:p w14:paraId="166BC729" w14:textId="77777777" w:rsidR="00D97C0E" w:rsidRPr="00CC521D" w:rsidRDefault="00D97C0E" w:rsidP="00D97C0E">
      <w:pPr>
        <w:spacing w:after="0" w:line="276" w:lineRule="auto"/>
        <w:rPr>
          <w:rFonts w:cstheme="minorHAnsi"/>
          <w:b/>
          <w:bCs/>
          <w:color w:val="595959" w:themeColor="text1" w:themeTint="A6"/>
          <w:sz w:val="23"/>
          <w:szCs w:val="23"/>
        </w:rPr>
      </w:pPr>
      <w:r w:rsidRPr="00D97C0E">
        <w:rPr>
          <w:rFonts w:cstheme="minorHAnsi"/>
          <w:b/>
          <w:bCs/>
          <w:color w:val="595959" w:themeColor="text1" w:themeTint="A6"/>
          <w:sz w:val="23"/>
          <w:szCs w:val="23"/>
        </w:rPr>
        <w:t xml:space="preserve">Main Practice Domain(s): </w:t>
      </w:r>
      <w:r w:rsidRPr="00D97C0E">
        <w:rPr>
          <w:rFonts w:cstheme="minorHAnsi"/>
          <w:b/>
          <w:bCs/>
          <w:color w:val="595959" w:themeColor="text1" w:themeTint="A6"/>
          <w:sz w:val="23"/>
          <w:szCs w:val="23"/>
        </w:rPr>
        <w:tab/>
      </w:r>
      <w:r w:rsidRPr="00D97C0E">
        <w:rPr>
          <w:rFonts w:cstheme="minorHAnsi"/>
          <w:b/>
          <w:bCs/>
          <w:color w:val="595959" w:themeColor="text1" w:themeTint="A6"/>
          <w:sz w:val="23"/>
          <w:szCs w:val="23"/>
        </w:rPr>
        <w:tab/>
        <w:t>Health and Wellbeing, Liveability</w:t>
      </w:r>
    </w:p>
    <w:p w14:paraId="66CC544C" w14:textId="4A8D7F26" w:rsidR="00D97C0E" w:rsidRPr="000E1707" w:rsidRDefault="00D97C0E" w:rsidP="000E1707">
      <w:pPr>
        <w:spacing w:line="276" w:lineRule="auto"/>
        <w:rPr>
          <w:rFonts w:cstheme="minorHAnsi"/>
          <w:b/>
          <w:bCs/>
          <w:color w:val="595959" w:themeColor="text1" w:themeTint="A6"/>
          <w:sz w:val="23"/>
          <w:szCs w:val="23"/>
        </w:rPr>
      </w:pPr>
      <w:r w:rsidRPr="00D97C0E">
        <w:rPr>
          <w:rFonts w:cstheme="minorHAnsi"/>
          <w:b/>
          <w:bCs/>
          <w:color w:val="595959" w:themeColor="text1" w:themeTint="A6"/>
          <w:sz w:val="23"/>
          <w:szCs w:val="23"/>
        </w:rPr>
        <w:t xml:space="preserve">Secondary Practice Domain(s): </w:t>
      </w:r>
      <w:r w:rsidRPr="00D97C0E">
        <w:rPr>
          <w:rFonts w:cstheme="minorHAnsi"/>
          <w:b/>
          <w:bCs/>
          <w:color w:val="595959" w:themeColor="text1" w:themeTint="A6"/>
          <w:sz w:val="23"/>
          <w:szCs w:val="23"/>
        </w:rPr>
        <w:tab/>
        <w:t>Employment, Education</w:t>
      </w:r>
    </w:p>
    <w:p w14:paraId="4A9F911A" w14:textId="1BB6F4E6" w:rsidR="00D97C0E" w:rsidRPr="000541C7" w:rsidRDefault="00D97C0E" w:rsidP="00AA476F">
      <w:pPr>
        <w:spacing w:line="276" w:lineRule="auto"/>
        <w:rPr>
          <w:rFonts w:asciiTheme="majorHAnsi" w:eastAsia="Times New Roman" w:hAnsiTheme="majorHAnsi" w:cstheme="majorBidi"/>
          <w:b/>
          <w:bCs/>
          <w:sz w:val="23"/>
          <w:szCs w:val="23"/>
          <w:lang w:eastAsia="en-AU"/>
        </w:rPr>
      </w:pPr>
      <w:r w:rsidRPr="000541C7">
        <w:rPr>
          <w:rFonts w:asciiTheme="majorHAnsi" w:eastAsia="Times New Roman" w:hAnsiTheme="majorHAnsi" w:cstheme="majorBidi"/>
          <w:sz w:val="23"/>
          <w:szCs w:val="23"/>
          <w:lang w:eastAsia="en-AU"/>
        </w:rPr>
        <w:t>Located on the San Francisco Bay, East Oakland is an urban area of concentrated disadvantage and historic disinvestment, with high unemployment, violent crime, and health inequalities. The population is culturally diverse and majority non-white. Almost 50 percent of residents live in poverty, and 40 percent of students drop out of high school (Chow et al, 2018 :3). East Oakland is a USDA-designated “food desert”, a low-income area with limited access to fresh, nutritious and affordable food.</w:t>
      </w:r>
    </w:p>
    <w:p w14:paraId="007B4298" w14:textId="54DDDE77" w:rsidR="00D97C0E" w:rsidRPr="000E1707" w:rsidRDefault="00D97C0E" w:rsidP="00AA476F">
      <w:pPr>
        <w:spacing w:line="276" w:lineRule="auto"/>
        <w:rPr>
          <w:rFonts w:asciiTheme="majorHAnsi" w:eastAsia="Times New Roman" w:hAnsiTheme="majorHAnsi" w:cstheme="majorBidi"/>
          <w:color w:val="000000"/>
          <w:sz w:val="23"/>
          <w:szCs w:val="23"/>
          <w:shd w:val="clear" w:color="auto" w:fill="FFFFFF"/>
          <w:lang w:eastAsia="en-AU"/>
        </w:rPr>
      </w:pPr>
      <w:r w:rsidRPr="000541C7">
        <w:rPr>
          <w:rFonts w:asciiTheme="majorHAnsi" w:eastAsia="Times New Roman" w:hAnsiTheme="majorHAnsi" w:cstheme="majorBidi"/>
          <w:sz w:val="23"/>
          <w:szCs w:val="23"/>
          <w:lang w:eastAsia="en-AU"/>
        </w:rPr>
        <w:lastRenderedPageBreak/>
        <w:t>In 2012, East Oakland’s Castlemont neighbourhood (pop. 5000) was one of three US communities chosen for a three-year pilot program, the Best Babies Zone (BBZ) Initiative. BBZ</w:t>
      </w:r>
      <w:r w:rsidRPr="000541C7">
        <w:rPr>
          <w:rFonts w:asciiTheme="majorHAnsi" w:eastAsia="Times New Roman" w:hAnsiTheme="majorHAnsi" w:cstheme="majorBidi"/>
          <w:sz w:val="23"/>
          <w:szCs w:val="23"/>
          <w:shd w:val="clear" w:color="auto" w:fill="FFFFFF"/>
          <w:lang w:eastAsia="en-AU"/>
        </w:rPr>
        <w:t xml:space="preserve"> </w:t>
      </w:r>
      <w:r w:rsidRPr="000541C7">
        <w:rPr>
          <w:rFonts w:asciiTheme="majorHAnsi" w:eastAsia="Times New Roman" w:hAnsiTheme="majorHAnsi" w:cstheme="majorBidi"/>
          <w:sz w:val="23"/>
          <w:szCs w:val="23"/>
          <w:lang w:eastAsia="en-AU"/>
        </w:rPr>
        <w:t>is a national, multi-year, place-based program that seeks to reduce infant mortality rates in select urban neighbourhoods. More widely, it aims to mobilise and empower residents, change children’s life trajectories, and improve conditions across target communities by addressing the social determinants of health.</w:t>
      </w:r>
    </w:p>
    <w:p w14:paraId="5796BA22" w14:textId="72793C77" w:rsidR="00D97C0E" w:rsidRPr="000E1707" w:rsidRDefault="00D97C0E" w:rsidP="00AA476F">
      <w:pPr>
        <w:spacing w:line="276" w:lineRule="auto"/>
        <w:rPr>
          <w:rFonts w:asciiTheme="majorHAnsi" w:eastAsia="Times New Roman" w:hAnsiTheme="majorHAnsi" w:cstheme="majorBidi"/>
          <w:b/>
          <w:bCs/>
          <w:sz w:val="23"/>
          <w:szCs w:val="23"/>
          <w:shd w:val="clear" w:color="auto" w:fill="FFFFFF"/>
          <w:lang w:eastAsia="en-AU"/>
        </w:rPr>
      </w:pPr>
      <w:r w:rsidRPr="000541C7">
        <w:rPr>
          <w:rFonts w:asciiTheme="majorHAnsi" w:eastAsia="Times New Roman" w:hAnsiTheme="majorHAnsi" w:cstheme="majorBidi"/>
          <w:sz w:val="23"/>
          <w:szCs w:val="23"/>
          <w:lang w:eastAsia="en-AU"/>
        </w:rPr>
        <w:t xml:space="preserve">The BBZ program emphasises community-led and participatory approaches. Grounded in Life Course Theory (Deme, 2017), it was developed by public health experts at the University of California, Berkley. Target localities have strong community pride, thriving local organisations, income inequality, limited economic opportunities, and poor birth outcomes linked to racial disparities. BBZ is run by local lead agencies, supported by a national Technical Assistance </w:t>
      </w:r>
      <w:r w:rsidR="00E96B6E" w:rsidRPr="000541C7">
        <w:rPr>
          <w:rFonts w:asciiTheme="majorHAnsi" w:eastAsia="Times New Roman" w:hAnsiTheme="majorHAnsi" w:cstheme="majorBidi"/>
          <w:sz w:val="23"/>
          <w:szCs w:val="23"/>
          <w:lang w:eastAsia="en-AU"/>
        </w:rPr>
        <w:t>Centre</w:t>
      </w:r>
      <w:r w:rsidRPr="000541C7">
        <w:rPr>
          <w:rFonts w:asciiTheme="majorHAnsi" w:eastAsia="Times New Roman" w:hAnsiTheme="majorHAnsi" w:cstheme="majorBidi"/>
          <w:sz w:val="23"/>
          <w:szCs w:val="23"/>
          <w:lang w:eastAsia="en-AU"/>
        </w:rPr>
        <w:t>. The Castlemont program was led by Building Blocks, a division of local government, in partnership with multiple local agencies.</w:t>
      </w:r>
    </w:p>
    <w:p w14:paraId="4C6F8640" w14:textId="77777777" w:rsidR="00D97C0E" w:rsidRPr="000541C7" w:rsidRDefault="00D97C0E" w:rsidP="00AA476F">
      <w:pPr>
        <w:spacing w:line="276" w:lineRule="auto"/>
        <w:rPr>
          <w:rFonts w:asciiTheme="majorHAnsi" w:eastAsia="Times New Roman" w:hAnsiTheme="majorHAnsi" w:cstheme="majorBidi"/>
          <w:b/>
          <w:bCs/>
          <w:sz w:val="23"/>
          <w:szCs w:val="23"/>
          <w:shd w:val="clear" w:color="auto" w:fill="FFFFFF"/>
          <w:lang w:eastAsia="en-AU"/>
        </w:rPr>
      </w:pPr>
      <w:r w:rsidRPr="000541C7">
        <w:rPr>
          <w:rFonts w:asciiTheme="majorHAnsi" w:eastAsia="Times New Roman" w:hAnsiTheme="majorHAnsi" w:cstheme="majorBidi"/>
          <w:sz w:val="23"/>
          <w:szCs w:val="23"/>
          <w:lang w:eastAsia="en-AU"/>
        </w:rPr>
        <w:t>Activities in the Castlemont BBZ program included:</w:t>
      </w:r>
    </w:p>
    <w:p w14:paraId="6D7E29F4" w14:textId="77777777" w:rsidR="00D97C0E" w:rsidRPr="000541C7" w:rsidRDefault="00D97C0E" w:rsidP="00E96B6E">
      <w:pPr>
        <w:numPr>
          <w:ilvl w:val="0"/>
          <w:numId w:val="3"/>
        </w:numPr>
        <w:spacing w:after="120" w:line="276" w:lineRule="auto"/>
        <w:ind w:left="357" w:hanging="357"/>
        <w:rPr>
          <w:rFonts w:asciiTheme="majorHAnsi" w:eastAsia="Times New Roman" w:hAnsiTheme="majorHAnsi" w:cstheme="majorBidi"/>
          <w:b/>
          <w:bCs/>
          <w:sz w:val="23"/>
          <w:szCs w:val="23"/>
          <w:lang w:eastAsia="en-AU"/>
        </w:rPr>
      </w:pPr>
      <w:r w:rsidRPr="000541C7">
        <w:rPr>
          <w:rFonts w:asciiTheme="majorHAnsi" w:eastAsia="Times New Roman" w:hAnsiTheme="majorHAnsi" w:cstheme="majorBidi"/>
          <w:sz w:val="23"/>
          <w:szCs w:val="23"/>
          <w:lang w:eastAsia="en-AU"/>
        </w:rPr>
        <w:t>Summer Block Party where residents shared ideas for a thriving community</w:t>
      </w:r>
    </w:p>
    <w:p w14:paraId="1C1C5447" w14:textId="77777777" w:rsidR="00D97C0E" w:rsidRPr="000541C7" w:rsidRDefault="00D97C0E" w:rsidP="00E96B6E">
      <w:pPr>
        <w:numPr>
          <w:ilvl w:val="0"/>
          <w:numId w:val="3"/>
        </w:numPr>
        <w:spacing w:after="120" w:line="276" w:lineRule="auto"/>
        <w:ind w:left="357" w:hanging="357"/>
        <w:rPr>
          <w:rFonts w:asciiTheme="majorHAnsi" w:eastAsia="Times New Roman" w:hAnsiTheme="majorHAnsi" w:cstheme="majorBidi"/>
          <w:b/>
          <w:bCs/>
          <w:sz w:val="23"/>
          <w:szCs w:val="23"/>
          <w:lang w:eastAsia="en-AU"/>
        </w:rPr>
      </w:pPr>
      <w:r w:rsidRPr="000541C7">
        <w:rPr>
          <w:rFonts w:asciiTheme="majorHAnsi" w:eastAsia="Times New Roman" w:hAnsiTheme="majorHAnsi" w:cstheme="majorBidi"/>
          <w:sz w:val="23"/>
          <w:szCs w:val="23"/>
          <w:lang w:eastAsia="en-AU"/>
        </w:rPr>
        <w:t>Design Sprints: local agency staff met weekly, generating ideas via Design Thinking to stimulate the local economy (</w:t>
      </w:r>
      <w:hyperlink r:id="rId14">
        <w:r w:rsidRPr="000541C7">
          <w:rPr>
            <w:rFonts w:asciiTheme="majorHAnsi" w:eastAsia="Times New Roman" w:hAnsiTheme="majorHAnsi" w:cstheme="majorBidi"/>
            <w:color w:val="0000FF"/>
            <w:sz w:val="23"/>
            <w:szCs w:val="23"/>
            <w:u w:val="single"/>
            <w:lang w:eastAsia="en-AU"/>
          </w:rPr>
          <w:t>evaluated here</w:t>
        </w:r>
      </w:hyperlink>
      <w:r w:rsidRPr="000541C7">
        <w:rPr>
          <w:rFonts w:asciiTheme="majorHAnsi" w:eastAsia="Times New Roman" w:hAnsiTheme="majorHAnsi" w:cstheme="majorBidi"/>
          <w:sz w:val="23"/>
          <w:szCs w:val="23"/>
          <w:lang w:eastAsia="en-AU"/>
        </w:rPr>
        <w:t>:</w:t>
      </w:r>
      <w:r w:rsidRPr="359636AC">
        <w:rPr>
          <w:rFonts w:asciiTheme="majorHAnsi" w:eastAsia="Times New Roman" w:hAnsiTheme="majorHAnsi" w:cstheme="majorBidi"/>
          <w:sz w:val="23"/>
          <w:szCs w:val="23"/>
          <w:lang w:eastAsia="en-AU"/>
        </w:rPr>
        <w:t xml:space="preserve"> </w:t>
      </w:r>
      <w:r w:rsidRPr="000541C7">
        <w:rPr>
          <w:rFonts w:asciiTheme="majorHAnsi" w:eastAsia="Times New Roman" w:hAnsiTheme="majorHAnsi" w:cstheme="majorBidi"/>
          <w:sz w:val="23"/>
          <w:szCs w:val="23"/>
          <w:lang w:eastAsia="en-AU"/>
        </w:rPr>
        <w:t>Vechakul, 2014)</w:t>
      </w:r>
    </w:p>
    <w:p w14:paraId="05D9EB28" w14:textId="77777777" w:rsidR="00D97C0E" w:rsidRPr="000541C7" w:rsidRDefault="00D97C0E" w:rsidP="00E96B6E">
      <w:pPr>
        <w:numPr>
          <w:ilvl w:val="0"/>
          <w:numId w:val="3"/>
        </w:numPr>
        <w:spacing w:after="120" w:line="276" w:lineRule="auto"/>
        <w:ind w:left="357" w:hanging="357"/>
        <w:rPr>
          <w:rFonts w:asciiTheme="majorHAnsi" w:eastAsia="Times New Roman" w:hAnsiTheme="majorHAnsi" w:cstheme="majorBidi"/>
          <w:b/>
          <w:bCs/>
          <w:sz w:val="23"/>
          <w:szCs w:val="23"/>
          <w:lang w:eastAsia="en-AU"/>
        </w:rPr>
      </w:pPr>
      <w:r w:rsidRPr="000541C7">
        <w:rPr>
          <w:rFonts w:asciiTheme="majorHAnsi" w:eastAsia="Times New Roman" w:hAnsiTheme="majorHAnsi" w:cstheme="majorBidi"/>
          <w:sz w:val="23"/>
          <w:szCs w:val="23"/>
          <w:lang w:eastAsia="en-AU"/>
        </w:rPr>
        <w:t>East Oakland Innovators: leadership program supporting residents to develop projects to meet identified community priorities (safety and violence, local economy, community-building, education), using Design Thinking strategies</w:t>
      </w:r>
    </w:p>
    <w:p w14:paraId="141F1C53" w14:textId="77777777" w:rsidR="00D97C0E" w:rsidRPr="000541C7" w:rsidRDefault="00D97C0E" w:rsidP="00E96B6E">
      <w:pPr>
        <w:numPr>
          <w:ilvl w:val="0"/>
          <w:numId w:val="3"/>
        </w:numPr>
        <w:spacing w:after="120" w:line="276" w:lineRule="auto"/>
        <w:ind w:left="357" w:hanging="357"/>
        <w:rPr>
          <w:rFonts w:asciiTheme="majorHAnsi" w:eastAsia="Times New Roman" w:hAnsiTheme="majorHAnsi" w:cstheme="majorBidi"/>
          <w:b/>
          <w:bCs/>
          <w:sz w:val="23"/>
          <w:szCs w:val="23"/>
          <w:lang w:eastAsia="en-AU"/>
        </w:rPr>
      </w:pPr>
      <w:r w:rsidRPr="000541C7">
        <w:rPr>
          <w:rFonts w:asciiTheme="majorHAnsi" w:eastAsia="Times New Roman" w:hAnsiTheme="majorHAnsi" w:cstheme="majorBidi"/>
          <w:sz w:val="23"/>
          <w:szCs w:val="23"/>
          <w:lang w:eastAsia="en-AU"/>
        </w:rPr>
        <w:t>new childhood hub, playgroups, community cafes, fatherhood groups, MCH home visits, youth storefront murals</w:t>
      </w:r>
    </w:p>
    <w:p w14:paraId="088E57E0" w14:textId="77777777" w:rsidR="00D97C0E" w:rsidRPr="000541C7" w:rsidRDefault="00D97C0E" w:rsidP="00E96B6E">
      <w:pPr>
        <w:numPr>
          <w:ilvl w:val="0"/>
          <w:numId w:val="3"/>
        </w:numPr>
        <w:spacing w:after="120" w:line="276" w:lineRule="auto"/>
        <w:ind w:left="357" w:hanging="357"/>
        <w:rPr>
          <w:rFonts w:asciiTheme="majorHAnsi" w:eastAsia="Times New Roman" w:hAnsiTheme="majorHAnsi" w:cstheme="majorBidi"/>
          <w:b/>
          <w:bCs/>
          <w:sz w:val="23"/>
          <w:szCs w:val="23"/>
          <w:lang w:eastAsia="en-AU"/>
        </w:rPr>
      </w:pPr>
      <w:r w:rsidRPr="000541C7">
        <w:rPr>
          <w:rFonts w:asciiTheme="majorHAnsi" w:eastAsia="Times New Roman" w:hAnsiTheme="majorHAnsi" w:cstheme="majorBidi"/>
          <w:sz w:val="23"/>
          <w:szCs w:val="23"/>
          <w:lang w:eastAsia="en-AU"/>
        </w:rPr>
        <w:t>resident-run mini-grant program, plus financial literacy classes, business development, and entrepreneurship training</w:t>
      </w:r>
    </w:p>
    <w:p w14:paraId="0EBB6F43" w14:textId="35E68705" w:rsidR="00D97C0E" w:rsidRPr="000E1707" w:rsidRDefault="00D97C0E" w:rsidP="00E96B6E">
      <w:pPr>
        <w:numPr>
          <w:ilvl w:val="0"/>
          <w:numId w:val="3"/>
        </w:numPr>
        <w:spacing w:after="120" w:line="276" w:lineRule="auto"/>
        <w:ind w:left="357" w:hanging="357"/>
        <w:rPr>
          <w:rFonts w:asciiTheme="majorHAnsi" w:eastAsia="Times New Roman" w:hAnsiTheme="majorHAnsi" w:cstheme="majorBidi"/>
          <w:b/>
          <w:bCs/>
          <w:sz w:val="23"/>
          <w:szCs w:val="23"/>
          <w:lang w:eastAsia="en-AU"/>
        </w:rPr>
      </w:pPr>
      <w:r w:rsidRPr="000541C7">
        <w:rPr>
          <w:rFonts w:asciiTheme="majorHAnsi" w:eastAsia="Times New Roman" w:hAnsiTheme="majorHAnsi" w:cstheme="majorBidi"/>
          <w:sz w:val="23"/>
          <w:szCs w:val="23"/>
          <w:lang w:eastAsia="en-AU"/>
        </w:rPr>
        <w:t>monthly Community Market at Castlemont High School, in partnership with Youth UpRising, a local community development organisation (Iton et al, 2016).</w:t>
      </w:r>
    </w:p>
    <w:p w14:paraId="1449A2BB" w14:textId="7ED14327" w:rsidR="00D97C0E" w:rsidRPr="000E1707" w:rsidRDefault="00D97C0E" w:rsidP="00AA476F">
      <w:pPr>
        <w:spacing w:line="276" w:lineRule="auto"/>
        <w:rPr>
          <w:rFonts w:asciiTheme="majorHAnsi" w:eastAsia="Times New Roman" w:hAnsiTheme="majorHAnsi" w:cstheme="majorBidi"/>
          <w:sz w:val="23"/>
          <w:szCs w:val="23"/>
          <w:lang w:eastAsia="en-AU"/>
        </w:rPr>
      </w:pPr>
      <w:r w:rsidRPr="000541C7">
        <w:rPr>
          <w:rFonts w:asciiTheme="majorHAnsi" w:eastAsia="Times New Roman" w:hAnsiTheme="majorHAnsi" w:cstheme="majorBidi"/>
          <w:sz w:val="23"/>
          <w:szCs w:val="23"/>
          <w:lang w:eastAsia="en-AU"/>
        </w:rPr>
        <w:t>The community market provided a launchpad for small businesses, a regular all-ages gathering to foster community-building, and leadership opportunities through a vendors’ association. In 2014 the market hosted 20 vendors, generated US$3212 in profit, and attracted 585 attendees. Rising sales and attendance indicated community support (Vechakul et al., 2015: 2557). Specific o</w:t>
      </w:r>
      <w:r w:rsidRPr="000541C7">
        <w:rPr>
          <w:rFonts w:asciiTheme="majorHAnsi" w:eastAsia="Times New Roman" w:hAnsiTheme="majorHAnsi" w:cstheme="majorBidi"/>
          <w:sz w:val="23"/>
          <w:szCs w:val="23"/>
          <w:lang w:val="en-GB"/>
        </w:rPr>
        <w:t xml:space="preserve">utcome data for BBZ Castlemont is unavailable, but a </w:t>
      </w:r>
      <w:hyperlink r:id="rId15">
        <w:r w:rsidRPr="359636AC">
          <w:rPr>
            <w:rStyle w:val="Hyperlink"/>
            <w:rFonts w:asciiTheme="majorHAnsi" w:eastAsia="Times New Roman" w:hAnsiTheme="majorHAnsi" w:cstheme="majorBidi"/>
            <w:sz w:val="23"/>
            <w:szCs w:val="23"/>
            <w:lang w:val="en-GB"/>
          </w:rPr>
          <w:t>national evaluation</w:t>
        </w:r>
      </w:hyperlink>
      <w:r w:rsidRPr="359636AC">
        <w:rPr>
          <w:rFonts w:asciiTheme="majorHAnsi" w:eastAsia="Times New Roman" w:hAnsiTheme="majorHAnsi" w:cstheme="majorBidi"/>
          <w:sz w:val="23"/>
          <w:szCs w:val="23"/>
          <w:lang w:val="en-GB"/>
        </w:rPr>
        <w:t xml:space="preserve"> </w:t>
      </w:r>
      <w:r w:rsidRPr="000541C7">
        <w:rPr>
          <w:rFonts w:asciiTheme="majorHAnsi" w:eastAsia="Times New Roman" w:hAnsiTheme="majorHAnsi" w:cstheme="majorBidi"/>
          <w:sz w:val="23"/>
          <w:szCs w:val="23"/>
          <w:lang w:val="en-GB"/>
        </w:rPr>
        <w:t>(Harder+Company, 2018) noted key success factors: authentic engagement with residents, including “community champions”; effective staff support; and building strong local multi-sector partnerships.</w:t>
      </w:r>
    </w:p>
    <w:p w14:paraId="2FFB2FF6" w14:textId="3D0A3C1C" w:rsidR="00D97C0E" w:rsidRPr="000E1707" w:rsidRDefault="00D97C0E" w:rsidP="00AA476F">
      <w:pPr>
        <w:spacing w:line="276" w:lineRule="auto"/>
        <w:rPr>
          <w:rFonts w:asciiTheme="majorHAnsi" w:eastAsia="Times New Roman" w:hAnsiTheme="majorHAnsi" w:cstheme="majorBidi"/>
          <w:b/>
          <w:bCs/>
          <w:sz w:val="23"/>
          <w:szCs w:val="23"/>
          <w:lang w:val="en-GB"/>
        </w:rPr>
      </w:pPr>
      <w:r w:rsidRPr="000541C7">
        <w:rPr>
          <w:rFonts w:asciiTheme="majorHAnsi" w:eastAsia="Times New Roman" w:hAnsiTheme="majorHAnsi" w:cstheme="majorBidi"/>
          <w:sz w:val="23"/>
          <w:szCs w:val="23"/>
          <w:lang w:val="en-GB"/>
        </w:rPr>
        <w:t>BBZ is guided by four strategies: zonal focus (place-based, small geographic areas); multi-sector collaboration (economic development, community services, health, and education); community-driven action (residents’ input drives the program); and social movement cultivation (advancing racial and social justice) (Pies et al, 2016: 5).</w:t>
      </w:r>
    </w:p>
    <w:p w14:paraId="089E6E71" w14:textId="4CB0CB46" w:rsidR="00D97C0E" w:rsidRPr="000E1707" w:rsidRDefault="00D97C0E" w:rsidP="00AA476F">
      <w:pPr>
        <w:spacing w:line="276" w:lineRule="auto"/>
        <w:rPr>
          <w:rFonts w:asciiTheme="majorHAnsi" w:eastAsia="Times New Roman" w:hAnsiTheme="majorHAnsi" w:cstheme="majorBidi"/>
          <w:b/>
          <w:bCs/>
          <w:sz w:val="23"/>
          <w:szCs w:val="23"/>
          <w:lang w:val="en-GB"/>
        </w:rPr>
      </w:pPr>
      <w:r w:rsidRPr="000541C7">
        <w:rPr>
          <w:rFonts w:asciiTheme="majorHAnsi" w:eastAsia="Times New Roman" w:hAnsiTheme="majorHAnsi" w:cstheme="majorBidi"/>
          <w:sz w:val="23"/>
          <w:szCs w:val="23"/>
          <w:lang w:val="en-GB"/>
        </w:rPr>
        <w:lastRenderedPageBreak/>
        <w:t>The W.K. Kellogg foundation is the program’s primary funder. In May 2019 program stewardship transferred from UC Berkeley to CityMatCH, a national Maternal and Child Health organisation (University of Nebraska Medical Centre). BBZ has run in 11 neighbourhoods across the US.</w:t>
      </w:r>
    </w:p>
    <w:p w14:paraId="40FFAA96" w14:textId="77777777" w:rsidR="00D97C0E" w:rsidRPr="003C5947" w:rsidRDefault="00D97C0E" w:rsidP="00D97C0E">
      <w:pPr>
        <w:pStyle w:val="Heading2"/>
        <w:rPr>
          <w:b/>
          <w:bCs/>
        </w:rPr>
      </w:pPr>
      <w:bookmarkStart w:id="37" w:name="_Toc108421973"/>
      <w:bookmarkStart w:id="38" w:name="_Hlk70864159"/>
      <w:r w:rsidRPr="003C5947">
        <w:t>Sustainable South Bronx Project</w:t>
      </w:r>
      <w:r>
        <w:t>:</w:t>
      </w:r>
      <w:r w:rsidRPr="00071206">
        <w:t xml:space="preserve"> </w:t>
      </w:r>
      <w:r w:rsidRPr="003C5947">
        <w:t>Urban Greening</w:t>
      </w:r>
      <w:r>
        <w:t>, Training,</w:t>
      </w:r>
      <w:r w:rsidRPr="003C5947">
        <w:t xml:space="preserve"> </w:t>
      </w:r>
      <w:r>
        <w:t>a</w:t>
      </w:r>
      <w:r w:rsidRPr="003C5947">
        <w:t>nd Local Job Creation</w:t>
      </w:r>
      <w:bookmarkEnd w:id="37"/>
    </w:p>
    <w:p w14:paraId="5221A985" w14:textId="7C2F892F" w:rsidR="00D97C0E" w:rsidRPr="000E1707" w:rsidRDefault="00D97C0E" w:rsidP="00385577">
      <w:pPr>
        <w:spacing w:line="276" w:lineRule="auto"/>
        <w:rPr>
          <w:rFonts w:cstheme="minorHAnsi"/>
          <w:b/>
          <w:bCs/>
          <w:sz w:val="23"/>
          <w:szCs w:val="23"/>
        </w:rPr>
      </w:pPr>
      <w:r w:rsidRPr="003C5947">
        <w:rPr>
          <w:rFonts w:cstheme="minorHAnsi"/>
          <w:sz w:val="23"/>
          <w:szCs w:val="23"/>
        </w:rPr>
        <w:t>Sou</w:t>
      </w:r>
      <w:r w:rsidR="000E1707">
        <w:rPr>
          <w:rFonts w:cstheme="minorHAnsi"/>
          <w:sz w:val="23"/>
          <w:szCs w:val="23"/>
        </w:rPr>
        <w:t>t</w:t>
      </w:r>
      <w:r w:rsidRPr="003C5947">
        <w:rPr>
          <w:rFonts w:cstheme="minorHAnsi"/>
          <w:sz w:val="23"/>
          <w:szCs w:val="23"/>
        </w:rPr>
        <w:t>h Bronx, New York City, USA (2001–present)</w:t>
      </w:r>
      <w:bookmarkEnd w:id="38"/>
    </w:p>
    <w:p w14:paraId="70712F1A" w14:textId="77777777" w:rsidR="00D97C0E" w:rsidRPr="007D2FE0" w:rsidRDefault="00D97C0E" w:rsidP="00D97C0E">
      <w:pPr>
        <w:spacing w:after="0" w:line="276" w:lineRule="auto"/>
        <w:rPr>
          <w:rFonts w:cstheme="minorHAnsi"/>
          <w:b/>
          <w:bCs/>
          <w:color w:val="595959" w:themeColor="text1" w:themeTint="A6"/>
          <w:sz w:val="23"/>
          <w:szCs w:val="23"/>
        </w:rPr>
      </w:pPr>
      <w:r w:rsidRPr="00D97C0E">
        <w:rPr>
          <w:rFonts w:cstheme="minorHAnsi"/>
          <w:b/>
          <w:bCs/>
          <w:color w:val="595959" w:themeColor="text1" w:themeTint="A6"/>
          <w:sz w:val="23"/>
          <w:szCs w:val="23"/>
        </w:rPr>
        <w:t>Main Practice Domain(s):</w:t>
      </w:r>
      <w:r w:rsidRPr="00D97C0E">
        <w:rPr>
          <w:rFonts w:cstheme="minorHAnsi"/>
          <w:b/>
          <w:bCs/>
          <w:color w:val="595959" w:themeColor="text1" w:themeTint="A6"/>
          <w:sz w:val="23"/>
          <w:szCs w:val="23"/>
        </w:rPr>
        <w:tab/>
      </w:r>
      <w:r w:rsidRPr="00D97C0E">
        <w:rPr>
          <w:rFonts w:cstheme="minorHAnsi"/>
          <w:b/>
          <w:bCs/>
          <w:color w:val="595959" w:themeColor="text1" w:themeTint="A6"/>
          <w:sz w:val="23"/>
          <w:szCs w:val="23"/>
        </w:rPr>
        <w:tab/>
        <w:t>Employment, Education, Liveability</w:t>
      </w:r>
    </w:p>
    <w:p w14:paraId="59064A70" w14:textId="2B2BDCE2" w:rsidR="00D97C0E" w:rsidRPr="000E1707" w:rsidRDefault="00D97C0E" w:rsidP="000E1707">
      <w:pPr>
        <w:spacing w:line="276" w:lineRule="auto"/>
        <w:rPr>
          <w:rFonts w:cstheme="minorHAnsi"/>
          <w:b/>
          <w:bCs/>
          <w:color w:val="595959" w:themeColor="text1" w:themeTint="A6"/>
          <w:sz w:val="23"/>
          <w:szCs w:val="23"/>
        </w:rPr>
      </w:pPr>
      <w:r w:rsidRPr="00D97C0E">
        <w:rPr>
          <w:rFonts w:cstheme="minorHAnsi"/>
          <w:b/>
          <w:bCs/>
          <w:color w:val="595959" w:themeColor="text1" w:themeTint="A6"/>
          <w:sz w:val="23"/>
          <w:szCs w:val="23"/>
        </w:rPr>
        <w:t>Secondary Practice Domain(s):</w:t>
      </w:r>
      <w:r w:rsidRPr="00D97C0E">
        <w:rPr>
          <w:rFonts w:cstheme="minorHAnsi"/>
          <w:b/>
          <w:bCs/>
          <w:color w:val="595959" w:themeColor="text1" w:themeTint="A6"/>
          <w:sz w:val="23"/>
          <w:szCs w:val="23"/>
        </w:rPr>
        <w:tab/>
        <w:t>Health and Wellbeing</w:t>
      </w:r>
    </w:p>
    <w:p w14:paraId="1B3B23F3" w14:textId="238D8725" w:rsidR="00D97C0E" w:rsidRPr="000E1707" w:rsidRDefault="00D97C0E" w:rsidP="00385577">
      <w:pPr>
        <w:spacing w:line="276" w:lineRule="auto"/>
        <w:rPr>
          <w:rFonts w:asciiTheme="majorHAnsi" w:hAnsiTheme="majorHAnsi" w:cstheme="majorBidi"/>
          <w:b/>
          <w:bCs/>
          <w:sz w:val="23"/>
          <w:szCs w:val="23"/>
          <w:shd w:val="clear" w:color="auto" w:fill="FFFFFF"/>
        </w:rPr>
      </w:pPr>
      <w:r w:rsidRPr="000541C7">
        <w:rPr>
          <w:rFonts w:asciiTheme="majorHAnsi" w:hAnsiTheme="majorHAnsi" w:cstheme="majorBidi"/>
          <w:sz w:val="23"/>
          <w:szCs w:val="23"/>
          <w:shd w:val="clear" w:color="auto" w:fill="FFFFFF"/>
        </w:rPr>
        <w:t>New York’s South Bronx area has long been a site of entrenched poverty, high unemployment, health inequality, youth disengagement, violent crime, and concentrated industrial zones. It also has a history of urban creativity and resourcefulness. Founded in 2001 by locally raised urban revitalization strategist Majora Cater, the Sustainable South Bronx project (SSBx) is a green jobs training program and environmental justice organisation working with communities affected by disadvantage, both locally and across greater New York City.</w:t>
      </w:r>
      <w:r w:rsidRPr="000541C7">
        <w:rPr>
          <w:rFonts w:asciiTheme="majorHAnsi" w:hAnsiTheme="majorHAnsi" w:cstheme="majorBidi"/>
          <w:sz w:val="23"/>
          <w:szCs w:val="23"/>
        </w:rPr>
        <w:t xml:space="preserve"> SSBx has trained more than 500 low-income New York residents to work in the city’s growing green collar sector </w:t>
      </w:r>
      <w:r w:rsidRPr="000541C7">
        <w:rPr>
          <w:rFonts w:asciiTheme="majorHAnsi" w:hAnsiTheme="majorHAnsi" w:cstheme="majorBidi"/>
          <w:sz w:val="23"/>
          <w:szCs w:val="23"/>
          <w:shd w:val="clear" w:color="auto" w:fill="FFFFFF"/>
        </w:rPr>
        <w:t>(Jennings et al, 2017)</w:t>
      </w:r>
      <w:r w:rsidRPr="000541C7">
        <w:rPr>
          <w:rFonts w:asciiTheme="majorHAnsi" w:hAnsiTheme="majorHAnsi" w:cstheme="majorBidi"/>
          <w:sz w:val="23"/>
          <w:szCs w:val="23"/>
        </w:rPr>
        <w:t>.</w:t>
      </w:r>
    </w:p>
    <w:p w14:paraId="7174752A" w14:textId="07865430" w:rsidR="00D97C0E" w:rsidRPr="000E1707" w:rsidRDefault="00D97C0E" w:rsidP="00385577">
      <w:pPr>
        <w:spacing w:line="276" w:lineRule="auto"/>
        <w:rPr>
          <w:rFonts w:asciiTheme="majorHAnsi" w:hAnsiTheme="majorHAnsi" w:cstheme="majorHAnsi"/>
          <w:b/>
          <w:bCs/>
          <w:sz w:val="23"/>
          <w:szCs w:val="23"/>
          <w:shd w:val="clear" w:color="auto" w:fill="FFFFFF"/>
        </w:rPr>
      </w:pPr>
      <w:r w:rsidRPr="000541C7">
        <w:rPr>
          <w:rFonts w:asciiTheme="majorHAnsi" w:hAnsiTheme="majorHAnsi" w:cstheme="majorHAnsi"/>
          <w:sz w:val="23"/>
          <w:szCs w:val="23"/>
          <w:shd w:val="clear" w:color="auto" w:fill="FFFFFF"/>
        </w:rPr>
        <w:t>SSBx spearheaded the creation of the Hunts Point Riverside Park, a US$3.2 million project that transformed a vacant lot and illegal dumping ground into an award-winning 1.4-acre public green space on the Harlem River. Constructed in 2004 on the former site of a Robert Moses bridge, it was the first riverside park built in the area in over 60 years, and is part of the ongoing South Bronx Greenway project, a planned 6.5-kilometre stretch of green spaces linked by a bikeway.</w:t>
      </w:r>
    </w:p>
    <w:p w14:paraId="27A9417A" w14:textId="47585C53" w:rsidR="00D97C0E" w:rsidRPr="000E1707" w:rsidRDefault="00D97C0E" w:rsidP="00385577">
      <w:pPr>
        <w:spacing w:line="276" w:lineRule="auto"/>
        <w:rPr>
          <w:rFonts w:asciiTheme="majorHAnsi" w:hAnsiTheme="majorHAnsi" w:cstheme="majorHAnsi"/>
          <w:b/>
          <w:bCs/>
          <w:sz w:val="23"/>
          <w:szCs w:val="23"/>
          <w:shd w:val="clear" w:color="auto" w:fill="FFFFFF"/>
        </w:rPr>
      </w:pPr>
      <w:r w:rsidRPr="000541C7">
        <w:rPr>
          <w:rFonts w:asciiTheme="majorHAnsi" w:hAnsiTheme="majorHAnsi" w:cstheme="majorHAnsi"/>
          <w:sz w:val="23"/>
          <w:szCs w:val="23"/>
          <w:shd w:val="clear" w:color="auto" w:fill="FFFFFF"/>
        </w:rPr>
        <w:t xml:space="preserve">These urban greening projects have had multiple benefits: they provided new open space and river access for the community, </w:t>
      </w:r>
      <w:r w:rsidRPr="000541C7">
        <w:rPr>
          <w:rFonts w:asciiTheme="majorHAnsi" w:hAnsiTheme="majorHAnsi" w:cstheme="majorHAnsi"/>
          <w:sz w:val="23"/>
          <w:szCs w:val="23"/>
        </w:rPr>
        <w:t>promoted physical activity</w:t>
      </w:r>
      <w:r w:rsidRPr="000541C7">
        <w:rPr>
          <w:rFonts w:asciiTheme="majorHAnsi" w:hAnsiTheme="majorHAnsi" w:cstheme="majorHAnsi"/>
          <w:sz w:val="23"/>
          <w:szCs w:val="23"/>
          <w:shd w:val="clear" w:color="auto" w:fill="FFFFFF"/>
        </w:rPr>
        <w:t xml:space="preserve"> b</w:t>
      </w:r>
      <w:r w:rsidRPr="000541C7">
        <w:rPr>
          <w:rFonts w:asciiTheme="majorHAnsi" w:hAnsiTheme="majorHAnsi" w:cstheme="majorHAnsi"/>
          <w:sz w:val="23"/>
          <w:szCs w:val="23"/>
        </w:rPr>
        <w:t>y creating bicycle- and pedestrian-friendly infrastructure, beautified a degraded area, supported local economic development, upskilled the workforce, and created new jobs and social networks for communities affected by disadvantage.</w:t>
      </w:r>
    </w:p>
    <w:p w14:paraId="5E4734C9" w14:textId="13A7761C" w:rsidR="00D97C0E" w:rsidRPr="000E1707" w:rsidRDefault="00D97C0E" w:rsidP="00385577">
      <w:pPr>
        <w:spacing w:line="276" w:lineRule="auto"/>
        <w:rPr>
          <w:rFonts w:asciiTheme="majorHAnsi" w:hAnsiTheme="majorHAnsi" w:cstheme="majorHAnsi"/>
          <w:b/>
          <w:bCs/>
          <w:sz w:val="23"/>
          <w:szCs w:val="23"/>
        </w:rPr>
      </w:pPr>
      <w:r w:rsidRPr="000541C7">
        <w:rPr>
          <w:rFonts w:asciiTheme="majorHAnsi" w:hAnsiTheme="majorHAnsi" w:cstheme="majorHAnsi"/>
          <w:sz w:val="23"/>
          <w:szCs w:val="23"/>
        </w:rPr>
        <w:t>In 2003, SSBx founded the Bronx Environmental Stewardship (BEST) Academy, which trains</w:t>
      </w:r>
      <w:r w:rsidR="000E1707">
        <w:rPr>
          <w:rFonts w:asciiTheme="majorHAnsi" w:hAnsiTheme="majorHAnsi" w:cstheme="majorHAnsi"/>
          <w:sz w:val="23"/>
          <w:szCs w:val="23"/>
        </w:rPr>
        <w:t xml:space="preserve"> </w:t>
      </w:r>
      <w:r w:rsidRPr="000541C7">
        <w:rPr>
          <w:rFonts w:asciiTheme="majorHAnsi" w:hAnsiTheme="majorHAnsi" w:cstheme="majorBidi"/>
          <w:sz w:val="23"/>
          <w:szCs w:val="23"/>
        </w:rPr>
        <w:t xml:space="preserve">low-income NYC residents for environmental jobs. In the intensive course, trainees take part in local greening programs, conduct tree surveys and plantings, test water quality, learn life skills, and help restore and maintain waterfronts. </w:t>
      </w:r>
      <w:hyperlink r:id="rId16">
        <w:r w:rsidRPr="000541C7">
          <w:rPr>
            <w:rStyle w:val="Hyperlink"/>
            <w:rFonts w:asciiTheme="majorHAnsi" w:hAnsiTheme="majorHAnsi" w:cstheme="majorBidi"/>
            <w:sz w:val="23"/>
            <w:szCs w:val="23"/>
          </w:rPr>
          <w:t>One evaluation</w:t>
        </w:r>
      </w:hyperlink>
      <w:r w:rsidRPr="2B116086">
        <w:rPr>
          <w:rFonts w:asciiTheme="majorHAnsi" w:hAnsiTheme="majorHAnsi" w:cstheme="majorBidi"/>
          <w:sz w:val="23"/>
          <w:szCs w:val="23"/>
        </w:rPr>
        <w:t xml:space="preserve"> </w:t>
      </w:r>
      <w:r w:rsidRPr="000541C7">
        <w:rPr>
          <w:rFonts w:asciiTheme="majorHAnsi" w:hAnsiTheme="majorHAnsi" w:cstheme="majorBidi"/>
          <w:sz w:val="23"/>
          <w:szCs w:val="23"/>
        </w:rPr>
        <w:t xml:space="preserve">found that 85 percent of program graduates gained employment, with more than 90 percent working in green-collar jobs and nearly 10 percent engaging in college education (Pacific Institute, 2013; Quennell, 2011). </w:t>
      </w:r>
      <w:r w:rsidRPr="000541C7">
        <w:rPr>
          <w:rFonts w:asciiTheme="majorHAnsi" w:hAnsiTheme="majorHAnsi" w:cstheme="majorHAnsi"/>
          <w:sz w:val="23"/>
          <w:szCs w:val="23"/>
        </w:rPr>
        <w:t>In 2015 SSBx partnered with the HOPE Program, a workforce development organisation (SSBx, n.d.).</w:t>
      </w:r>
    </w:p>
    <w:p w14:paraId="3FC89FDE" w14:textId="1A6AC5C0" w:rsidR="00D97C0E" w:rsidRPr="000E1707" w:rsidRDefault="00D97C0E" w:rsidP="00385577">
      <w:pPr>
        <w:spacing w:line="276" w:lineRule="auto"/>
        <w:rPr>
          <w:rFonts w:asciiTheme="majorHAnsi" w:hAnsiTheme="majorHAnsi" w:cstheme="majorHAnsi"/>
          <w:b/>
          <w:bCs/>
          <w:sz w:val="23"/>
          <w:szCs w:val="23"/>
        </w:rPr>
      </w:pPr>
      <w:r w:rsidRPr="000541C7">
        <w:rPr>
          <w:rFonts w:asciiTheme="majorHAnsi" w:hAnsiTheme="majorHAnsi" w:cstheme="majorHAnsi"/>
          <w:sz w:val="23"/>
          <w:szCs w:val="23"/>
        </w:rPr>
        <w:t xml:space="preserve">BEST program graduates can also work in SSBx’s for-profit NYC </w:t>
      </w:r>
      <w:r w:rsidRPr="000541C7">
        <w:rPr>
          <w:rFonts w:ascii="Arial" w:hAnsi="Arial" w:cs="Arial"/>
          <w:shd w:val="clear" w:color="auto" w:fill="FFFFFF"/>
        </w:rPr>
        <w:t>°</w:t>
      </w:r>
      <w:r w:rsidRPr="000541C7">
        <w:rPr>
          <w:rFonts w:asciiTheme="majorHAnsi" w:hAnsiTheme="majorHAnsi" w:cstheme="majorHAnsi"/>
          <w:sz w:val="23"/>
          <w:szCs w:val="23"/>
          <w:shd w:val="clear" w:color="auto" w:fill="FFFFFF"/>
        </w:rPr>
        <w:t>CoolRoofs</w:t>
      </w:r>
      <w:r w:rsidRPr="000541C7">
        <w:rPr>
          <w:rFonts w:asciiTheme="majorHAnsi" w:hAnsiTheme="majorHAnsi" w:cstheme="majorHAnsi"/>
          <w:sz w:val="23"/>
          <w:szCs w:val="23"/>
        </w:rPr>
        <w:t xml:space="preserve"> program, installing green roofs and energy-saving reflective rooftops across the city, a practice supported by New York City’s </w:t>
      </w:r>
      <w:r w:rsidRPr="000541C7">
        <w:rPr>
          <w:rFonts w:asciiTheme="majorHAnsi" w:hAnsiTheme="majorHAnsi" w:cstheme="majorHAnsi"/>
          <w:i/>
          <w:iCs/>
          <w:sz w:val="23"/>
          <w:szCs w:val="23"/>
        </w:rPr>
        <w:t>Green Roofs Act</w:t>
      </w:r>
      <w:r w:rsidRPr="000541C7">
        <w:rPr>
          <w:rFonts w:asciiTheme="majorHAnsi" w:hAnsiTheme="majorHAnsi" w:cstheme="majorHAnsi"/>
          <w:sz w:val="23"/>
          <w:szCs w:val="23"/>
        </w:rPr>
        <w:t xml:space="preserve"> (2019); the New York City Department of Small Business Services is a program partner. SSBx also runs a social enterprise, Intervine, which trains and employs local workers to create and maintain sustainable green infrastructure, and the SSBxFab program, in partnership with the Massachusetts Institute of Technology, which offers fellowships for South Bronx-based eco-designers.</w:t>
      </w:r>
    </w:p>
    <w:p w14:paraId="25EBCDB4" w14:textId="0D31055C" w:rsidR="00D97C0E" w:rsidRPr="000E1707" w:rsidRDefault="00D97C0E" w:rsidP="00AA476F">
      <w:pPr>
        <w:spacing w:line="276" w:lineRule="auto"/>
        <w:rPr>
          <w:rFonts w:asciiTheme="majorHAnsi" w:hAnsiTheme="majorHAnsi" w:cstheme="majorHAnsi"/>
          <w:b/>
          <w:bCs/>
          <w:sz w:val="23"/>
          <w:szCs w:val="23"/>
        </w:rPr>
      </w:pPr>
      <w:r w:rsidRPr="000541C7">
        <w:rPr>
          <w:rFonts w:asciiTheme="majorHAnsi" w:hAnsiTheme="majorHAnsi" w:cstheme="majorHAnsi"/>
          <w:sz w:val="23"/>
          <w:szCs w:val="23"/>
        </w:rPr>
        <w:lastRenderedPageBreak/>
        <w:t xml:space="preserve">Director </w:t>
      </w:r>
      <w:r w:rsidRPr="000541C7">
        <w:rPr>
          <w:rFonts w:asciiTheme="majorHAnsi" w:hAnsiTheme="majorHAnsi" w:cstheme="majorHAnsi"/>
          <w:sz w:val="23"/>
          <w:szCs w:val="23"/>
          <w:shd w:val="clear" w:color="auto" w:fill="FFFFFF"/>
        </w:rPr>
        <w:t>Majora Cater is a major factor in SSBx’s success:</w:t>
      </w:r>
      <w:r w:rsidRPr="000541C7">
        <w:rPr>
          <w:rFonts w:asciiTheme="majorHAnsi" w:hAnsiTheme="majorHAnsi" w:cstheme="majorHAnsi"/>
          <w:sz w:val="23"/>
          <w:szCs w:val="23"/>
        </w:rPr>
        <w:t xml:space="preserve"> her</w:t>
      </w:r>
      <w:r w:rsidRPr="000541C7">
        <w:rPr>
          <w:rFonts w:asciiTheme="majorHAnsi" w:hAnsiTheme="majorHAnsi" w:cstheme="majorHAnsi"/>
          <w:sz w:val="23"/>
          <w:szCs w:val="23"/>
          <w:shd w:val="clear" w:color="auto" w:fill="FFFFFF"/>
        </w:rPr>
        <w:t xml:space="preserve"> expertise, activism, local connections and ongoing leadership</w:t>
      </w:r>
      <w:r w:rsidRPr="000541C7">
        <w:rPr>
          <w:rFonts w:asciiTheme="majorHAnsi" w:hAnsiTheme="majorHAnsi" w:cstheme="majorHAnsi"/>
          <w:sz w:val="23"/>
          <w:szCs w:val="23"/>
        </w:rPr>
        <w:t xml:space="preserve"> continue to be a driving force. Other success factors include effective partnership-building, close alignment with policy initiatives (urban greening), access to public land, income generation through for-profit sub-projects, and a multi-pronged approach to improving community outcomes (skills development, employment, place-making, social connections, open space access).</w:t>
      </w:r>
    </w:p>
    <w:p w14:paraId="623F4C14" w14:textId="77777777" w:rsidR="00D97C0E" w:rsidRPr="006C7520" w:rsidRDefault="00D97C0E" w:rsidP="00D97C0E">
      <w:pPr>
        <w:pStyle w:val="Heading2"/>
        <w:rPr>
          <w:b/>
          <w:bCs/>
        </w:rPr>
      </w:pPr>
      <w:bookmarkStart w:id="39" w:name="_Toc108421974"/>
      <w:r w:rsidRPr="006C7520">
        <w:t xml:space="preserve">Detroit City of Design Competition: Design </w:t>
      </w:r>
      <w:r>
        <w:t>Prototypes f</w:t>
      </w:r>
      <w:r w:rsidRPr="006C7520">
        <w:t xml:space="preserve">or </w:t>
      </w:r>
      <w:r>
        <w:t>S</w:t>
      </w:r>
      <w:r w:rsidRPr="006C7520">
        <w:t>afe</w:t>
      </w:r>
      <w:r>
        <w:t>,</w:t>
      </w:r>
      <w:r w:rsidRPr="006C7520">
        <w:t xml:space="preserve"> </w:t>
      </w:r>
      <w:r>
        <w:t>W</w:t>
      </w:r>
      <w:r w:rsidRPr="006C7520">
        <w:t xml:space="preserve">alkable </w:t>
      </w:r>
      <w:r>
        <w:t>N</w:t>
      </w:r>
      <w:r w:rsidRPr="006C7520">
        <w:t>eighbourhoods</w:t>
      </w:r>
      <w:bookmarkEnd w:id="39"/>
    </w:p>
    <w:p w14:paraId="5F47226A" w14:textId="2CA74D26" w:rsidR="00D97C0E" w:rsidRPr="000E1707" w:rsidRDefault="00D97C0E" w:rsidP="00385577">
      <w:pPr>
        <w:spacing w:line="276" w:lineRule="auto"/>
        <w:rPr>
          <w:rFonts w:cstheme="minorHAnsi"/>
          <w:b/>
          <w:bCs/>
          <w:sz w:val="23"/>
          <w:szCs w:val="23"/>
        </w:rPr>
      </w:pPr>
      <w:r w:rsidRPr="006C7520">
        <w:rPr>
          <w:rFonts w:cstheme="minorHAnsi"/>
          <w:sz w:val="23"/>
          <w:szCs w:val="23"/>
        </w:rPr>
        <w:t>Grandmont Rosedale, Southwest Detroit &amp; Hope Village, Detroit, Michigan (2019)</w:t>
      </w:r>
    </w:p>
    <w:p w14:paraId="47003059" w14:textId="77777777" w:rsidR="00D97C0E" w:rsidRPr="00CC521D" w:rsidRDefault="00D97C0E" w:rsidP="00D97C0E">
      <w:pPr>
        <w:spacing w:after="0" w:line="276" w:lineRule="auto"/>
        <w:rPr>
          <w:rFonts w:cstheme="minorHAnsi"/>
          <w:b/>
          <w:bCs/>
          <w:color w:val="595959" w:themeColor="text1" w:themeTint="A6"/>
          <w:sz w:val="23"/>
          <w:szCs w:val="23"/>
        </w:rPr>
      </w:pPr>
      <w:r w:rsidRPr="00D97C0E">
        <w:rPr>
          <w:rFonts w:cstheme="minorHAnsi"/>
          <w:b/>
          <w:bCs/>
          <w:color w:val="595959" w:themeColor="text1" w:themeTint="A6"/>
          <w:sz w:val="23"/>
          <w:szCs w:val="23"/>
        </w:rPr>
        <w:t xml:space="preserve">Main Practice Domain(s): </w:t>
      </w:r>
      <w:r w:rsidRPr="00D97C0E">
        <w:rPr>
          <w:rFonts w:cstheme="minorHAnsi"/>
          <w:b/>
          <w:bCs/>
          <w:color w:val="595959" w:themeColor="text1" w:themeTint="A6"/>
          <w:sz w:val="23"/>
          <w:szCs w:val="23"/>
        </w:rPr>
        <w:tab/>
      </w:r>
      <w:r w:rsidRPr="00D97C0E">
        <w:rPr>
          <w:rFonts w:cstheme="minorHAnsi"/>
          <w:b/>
          <w:bCs/>
          <w:color w:val="595959" w:themeColor="text1" w:themeTint="A6"/>
          <w:sz w:val="23"/>
          <w:szCs w:val="23"/>
        </w:rPr>
        <w:tab/>
        <w:t>Liveability</w:t>
      </w:r>
    </w:p>
    <w:p w14:paraId="083E55D1" w14:textId="29478386" w:rsidR="00D97C0E" w:rsidRPr="00D13A25" w:rsidRDefault="00D97C0E" w:rsidP="000E1707">
      <w:pPr>
        <w:spacing w:line="276" w:lineRule="auto"/>
        <w:rPr>
          <w:rFonts w:asciiTheme="majorHAnsi" w:eastAsia="Times New Roman" w:hAnsiTheme="majorHAnsi" w:cstheme="majorHAnsi"/>
          <w:b/>
          <w:bCs/>
          <w:color w:val="808080" w:themeColor="background1" w:themeShade="80"/>
          <w:sz w:val="16"/>
          <w:szCs w:val="16"/>
        </w:rPr>
      </w:pPr>
      <w:r w:rsidRPr="00D97C0E">
        <w:rPr>
          <w:rFonts w:cstheme="minorHAnsi"/>
          <w:b/>
          <w:bCs/>
          <w:color w:val="595959" w:themeColor="text1" w:themeTint="A6"/>
          <w:sz w:val="23"/>
          <w:szCs w:val="23"/>
        </w:rPr>
        <w:t xml:space="preserve">Secondary Practice Domain(s): </w:t>
      </w:r>
      <w:r w:rsidRPr="00D97C0E">
        <w:rPr>
          <w:rFonts w:cstheme="minorHAnsi"/>
          <w:b/>
          <w:bCs/>
          <w:color w:val="595959" w:themeColor="text1" w:themeTint="A6"/>
          <w:sz w:val="23"/>
          <w:szCs w:val="23"/>
        </w:rPr>
        <w:tab/>
        <w:t>Health and Wellbeing</w:t>
      </w:r>
    </w:p>
    <w:p w14:paraId="5A6EE9B2" w14:textId="77777777" w:rsidR="00D97C0E" w:rsidRPr="000541C7" w:rsidRDefault="00D97C0E" w:rsidP="00385577">
      <w:pPr>
        <w:spacing w:line="276" w:lineRule="auto"/>
        <w:rPr>
          <w:rFonts w:asciiTheme="majorHAnsi" w:hAnsiTheme="majorHAnsi"/>
          <w:b/>
          <w:bCs/>
          <w:sz w:val="23"/>
          <w:szCs w:val="23"/>
        </w:rPr>
      </w:pPr>
      <w:r w:rsidRPr="000541C7">
        <w:rPr>
          <w:rFonts w:asciiTheme="majorHAnsi" w:hAnsiTheme="majorHAnsi"/>
          <w:sz w:val="23"/>
          <w:szCs w:val="23"/>
        </w:rPr>
        <w:t>The City of Detroit, Michigan (pop. 667,000) has been a UNESCO City of Design since 2015. A former auto industry boomtown, it has endured protracted economic decline in recent decades, but retains a vibrant arts and cultural scene. One in three Detroit residents lives in poverty (US Census, 2019).</w:t>
      </w:r>
    </w:p>
    <w:p w14:paraId="6C084966" w14:textId="77777777" w:rsidR="00D97C0E" w:rsidRPr="000541C7" w:rsidRDefault="00D97C0E" w:rsidP="00385577">
      <w:pPr>
        <w:spacing w:line="276" w:lineRule="auto"/>
        <w:rPr>
          <w:rFonts w:asciiTheme="majorHAnsi" w:hAnsiTheme="majorHAnsi"/>
          <w:b/>
          <w:bCs/>
          <w:sz w:val="23"/>
          <w:szCs w:val="23"/>
        </w:rPr>
      </w:pPr>
      <w:r w:rsidRPr="000541C7">
        <w:rPr>
          <w:rFonts w:asciiTheme="majorHAnsi" w:hAnsiTheme="majorHAnsi"/>
          <w:sz w:val="23"/>
          <w:szCs w:val="23"/>
        </w:rPr>
        <w:t xml:space="preserve">The 2019 Detroit City of Design Competition was an international contest seeking to address safety and walkability in three Detroit neighbourhoods. Design teams from UNESCO Cities of Design were invited to propose and test innovative solutions to help residents move around freely and safely. </w:t>
      </w:r>
    </w:p>
    <w:p w14:paraId="14F4B1F0" w14:textId="77777777" w:rsidR="00D97C0E" w:rsidRPr="000541C7" w:rsidRDefault="00D97C0E" w:rsidP="00385577">
      <w:pPr>
        <w:spacing w:line="276" w:lineRule="auto"/>
        <w:rPr>
          <w:rFonts w:asciiTheme="majorHAnsi" w:hAnsiTheme="majorHAnsi"/>
          <w:b/>
          <w:bCs/>
          <w:sz w:val="23"/>
          <w:szCs w:val="23"/>
        </w:rPr>
      </w:pPr>
      <w:r w:rsidRPr="000541C7">
        <w:rPr>
          <w:rFonts w:asciiTheme="majorHAnsi" w:hAnsiTheme="majorHAnsi"/>
          <w:sz w:val="23"/>
          <w:szCs w:val="23"/>
        </w:rPr>
        <w:t>From 26 submissions, three winners were selected (two Detroit teams, one Canadian). A jury of community members and design experts evaluated submissions on creative merit, appropriateness to location, and value for cost. The contest was run by Design Core Detroit, which leads the local UNESCO designation, supported by a philanthropic grant. The winning designs and their target localities were:</w:t>
      </w:r>
    </w:p>
    <w:p w14:paraId="0A5AFC9D" w14:textId="77777777" w:rsidR="00D97C0E" w:rsidRPr="000541C7" w:rsidRDefault="00D97C0E" w:rsidP="00E96B6E">
      <w:pPr>
        <w:numPr>
          <w:ilvl w:val="0"/>
          <w:numId w:val="9"/>
        </w:numPr>
        <w:spacing w:after="120" w:line="276" w:lineRule="auto"/>
        <w:ind w:left="357" w:hanging="357"/>
        <w:rPr>
          <w:rFonts w:asciiTheme="majorHAnsi" w:eastAsia="Times New Roman" w:hAnsiTheme="majorHAnsi" w:cs="Times New Roman"/>
          <w:b/>
          <w:bCs/>
          <w:sz w:val="23"/>
          <w:szCs w:val="23"/>
          <w:lang w:eastAsia="en-AU"/>
        </w:rPr>
      </w:pPr>
      <w:r w:rsidRPr="000541C7">
        <w:rPr>
          <w:rFonts w:eastAsiaTheme="minorEastAsia"/>
          <w:sz w:val="23"/>
          <w:szCs w:val="23"/>
          <w:lang w:eastAsia="en-AU"/>
        </w:rPr>
        <w:t>Grandmont Rosedal</w:t>
      </w:r>
      <w:r w:rsidRPr="000541C7">
        <w:rPr>
          <w:rFonts w:asciiTheme="majorHAnsi" w:eastAsia="Times New Roman" w:hAnsiTheme="majorHAnsi" w:cs="Times New Roman"/>
          <w:sz w:val="23"/>
          <w:szCs w:val="23"/>
          <w:lang w:eastAsia="en-AU"/>
        </w:rPr>
        <w:t xml:space="preserve">e (pop. 15,000) is a relatively prosperous area with five distinct neighbourhoods. </w:t>
      </w:r>
      <w:r w:rsidRPr="000541C7">
        <w:rPr>
          <w:rFonts w:eastAsiaTheme="minorEastAsia"/>
          <w:sz w:val="23"/>
          <w:szCs w:val="23"/>
          <w:lang w:eastAsia="en-AU"/>
        </w:rPr>
        <w:t xml:space="preserve">3 Rooms </w:t>
      </w:r>
      <w:r w:rsidRPr="000541C7">
        <w:rPr>
          <w:rFonts w:asciiTheme="majorHAnsi" w:eastAsia="Times New Roman" w:hAnsiTheme="majorHAnsi" w:cs="Times New Roman"/>
          <w:sz w:val="23"/>
          <w:szCs w:val="23"/>
          <w:lang w:eastAsia="en-AU"/>
        </w:rPr>
        <w:t>(by Collectif Escargo) seeks to convey belonging and celebrate community unity. “The Jardin” room invites residents to participate in agriculture; ‘’Le Boudoir’’ is for napping, reading, and resting under fruit trees; “The Hut” is a playful space with a steep incline. The rooms glow softly at night, functioning as a colourful neighbourhood fireplace and a safe haven for improvised gatherings.</w:t>
      </w:r>
    </w:p>
    <w:p w14:paraId="5F99BDE4" w14:textId="77777777" w:rsidR="00D97C0E" w:rsidRPr="000541C7" w:rsidRDefault="00D97C0E" w:rsidP="00E96B6E">
      <w:pPr>
        <w:numPr>
          <w:ilvl w:val="0"/>
          <w:numId w:val="9"/>
        </w:numPr>
        <w:spacing w:after="120" w:line="276" w:lineRule="auto"/>
        <w:ind w:left="357" w:hanging="357"/>
        <w:rPr>
          <w:rFonts w:asciiTheme="majorHAnsi" w:eastAsia="Times New Roman" w:hAnsiTheme="majorHAnsi" w:cs="Times New Roman"/>
          <w:b/>
          <w:bCs/>
          <w:sz w:val="23"/>
          <w:szCs w:val="23"/>
          <w:lang w:eastAsia="en-AU"/>
        </w:rPr>
      </w:pPr>
      <w:r w:rsidRPr="000541C7">
        <w:rPr>
          <w:rFonts w:eastAsiaTheme="minorEastAsia"/>
          <w:sz w:val="23"/>
          <w:szCs w:val="23"/>
          <w:lang w:eastAsia="en-AU"/>
        </w:rPr>
        <w:t xml:space="preserve">Southwest Detroit </w:t>
      </w:r>
      <w:r w:rsidRPr="000541C7">
        <w:rPr>
          <w:rFonts w:asciiTheme="majorHAnsi" w:eastAsia="Times New Roman" w:hAnsiTheme="majorHAnsi" w:cs="Times New Roman"/>
          <w:sz w:val="23"/>
          <w:szCs w:val="23"/>
          <w:lang w:eastAsia="en-AU"/>
        </w:rPr>
        <w:t xml:space="preserve">(pop. 17,000) is one of the city’s most culturally and ethnically diverse areas. A hub for Hispanic and Latino communities, it also includes some of the city’s busiest business districts. </w:t>
      </w:r>
      <w:r w:rsidRPr="000541C7">
        <w:rPr>
          <w:rFonts w:eastAsiaTheme="minorEastAsia"/>
          <w:sz w:val="23"/>
          <w:szCs w:val="23"/>
          <w:lang w:eastAsia="en-AU"/>
        </w:rPr>
        <w:t>Garden Novella</w:t>
      </w:r>
      <w:r w:rsidRPr="000541C7">
        <w:rPr>
          <w:rFonts w:asciiTheme="majorHAnsi" w:eastAsia="Times New Roman" w:hAnsiTheme="majorHAnsi" w:cs="Times New Roman"/>
          <w:sz w:val="23"/>
          <w:szCs w:val="23"/>
          <w:lang w:eastAsia="en-AU"/>
        </w:rPr>
        <w:t> (by Other Work) is an interactive platform to share cultural, collective, and personal identity. Residents’ recorded stories guide users through a series of welcoming vessels featuring sun-powered lanterns, hanging gardens, and seating. The audio stories aim to connect generations, repair the damage of the 1930s repatriations, and explore translation within a bilingual community.</w:t>
      </w:r>
    </w:p>
    <w:p w14:paraId="2816D023" w14:textId="77777777" w:rsidR="00D97C0E" w:rsidRPr="000541C7" w:rsidRDefault="00D97C0E" w:rsidP="00E96B6E">
      <w:pPr>
        <w:numPr>
          <w:ilvl w:val="0"/>
          <w:numId w:val="9"/>
        </w:numPr>
        <w:spacing w:after="120" w:line="276" w:lineRule="auto"/>
        <w:ind w:left="357" w:hanging="357"/>
        <w:rPr>
          <w:rFonts w:asciiTheme="majorHAnsi" w:eastAsia="Times New Roman" w:hAnsiTheme="majorHAnsi" w:cs="Times New Roman"/>
          <w:b/>
          <w:bCs/>
          <w:sz w:val="23"/>
          <w:szCs w:val="23"/>
          <w:lang w:eastAsia="en-AU"/>
        </w:rPr>
      </w:pPr>
      <w:r w:rsidRPr="000541C7">
        <w:rPr>
          <w:rFonts w:eastAsiaTheme="minorEastAsia"/>
          <w:sz w:val="23"/>
          <w:szCs w:val="23"/>
          <w:lang w:eastAsia="en-AU"/>
        </w:rPr>
        <w:t>Hope Village</w:t>
      </w:r>
      <w:r w:rsidRPr="000541C7">
        <w:rPr>
          <w:rFonts w:asciiTheme="majorHAnsi" w:eastAsia="Times New Roman" w:hAnsiTheme="majorHAnsi" w:cs="Times New Roman"/>
          <w:sz w:val="23"/>
          <w:szCs w:val="23"/>
          <w:lang w:eastAsia="en-AU"/>
        </w:rPr>
        <w:t xml:space="preserve"> (pop. 4100) has long been subject to “white flight” and economic decline. Residents are 95 percent African American; one-fifth are aged below 18, and three-quarters </w:t>
      </w:r>
      <w:r w:rsidRPr="000541C7">
        <w:rPr>
          <w:rFonts w:asciiTheme="majorHAnsi" w:eastAsia="Times New Roman" w:hAnsiTheme="majorHAnsi" w:cs="Times New Roman"/>
          <w:sz w:val="23"/>
          <w:szCs w:val="23"/>
          <w:lang w:eastAsia="en-AU"/>
        </w:rPr>
        <w:lastRenderedPageBreak/>
        <w:t xml:space="preserve">of children live in single-parent households. </w:t>
      </w:r>
      <w:r w:rsidRPr="000541C7">
        <w:rPr>
          <w:rFonts w:eastAsiaTheme="minorEastAsia"/>
          <w:sz w:val="23"/>
          <w:szCs w:val="23"/>
          <w:lang w:eastAsia="en-AU"/>
        </w:rPr>
        <w:t>Cyclerate</w:t>
      </w:r>
      <w:r w:rsidRPr="000541C7">
        <w:rPr>
          <w:rFonts w:asciiTheme="majorHAnsi" w:eastAsia="Times New Roman" w:hAnsiTheme="majorHAnsi" w:cs="Times New Roman"/>
          <w:sz w:val="23"/>
          <w:szCs w:val="23"/>
          <w:lang w:eastAsia="en-AU"/>
        </w:rPr>
        <w:t xml:space="preserve"> (by Smith Group) is an interactive installation that aims to enhance public safety via lighting, communication, unity, and play. Visitors use hand-powered cranks and stationary bikes to generate kinetic energy, lighting up the installation, and can compete to produce electricity, viewing real-time outputs. Featuring LED lighting, Bluetooth speakers, and USB charging stations, the installation can be scaled up.</w:t>
      </w:r>
    </w:p>
    <w:p w14:paraId="0E3B8F4E" w14:textId="77777777" w:rsidR="00D97C0E" w:rsidRPr="000541C7" w:rsidRDefault="00D97C0E" w:rsidP="00385577">
      <w:pPr>
        <w:spacing w:line="276" w:lineRule="auto"/>
        <w:contextualSpacing/>
        <w:rPr>
          <w:rFonts w:asciiTheme="majorHAnsi" w:eastAsia="Times New Roman" w:hAnsiTheme="majorHAnsi" w:cs="Times New Roman"/>
          <w:b/>
          <w:bCs/>
          <w:sz w:val="16"/>
          <w:szCs w:val="16"/>
          <w:lang w:eastAsia="en-AU"/>
        </w:rPr>
      </w:pPr>
    </w:p>
    <w:p w14:paraId="6B5D5536" w14:textId="4A6A8737" w:rsidR="00D97C0E" w:rsidRPr="000E1707" w:rsidRDefault="00D97C0E" w:rsidP="00385577">
      <w:pPr>
        <w:spacing w:line="276" w:lineRule="auto"/>
        <w:rPr>
          <w:rFonts w:asciiTheme="majorHAnsi" w:hAnsiTheme="majorHAnsi"/>
          <w:b/>
          <w:bCs/>
          <w:sz w:val="23"/>
          <w:szCs w:val="23"/>
        </w:rPr>
      </w:pPr>
      <w:r w:rsidRPr="000541C7">
        <w:rPr>
          <w:rFonts w:asciiTheme="majorHAnsi" w:hAnsiTheme="majorHAnsi"/>
          <w:sz w:val="23"/>
          <w:szCs w:val="23"/>
        </w:rPr>
        <w:t>Winning prototypes were revealed to an audience of 40,000 at Detroit’s Month of Design in September 2019. The plan was to install them in target neighbourhoods in April–July 2020 and gather resident feedback. Community organisations were assigned as local partners, and teams were given $20,000 to design and implement the prototype. But in March 2020, COVID-19 hit Detroit. Schools and businesses closed, and stay-at-home orders issued (Haddad, 2020). The winning prototypes were not installed, and the 2020 competition did not run.</w:t>
      </w:r>
    </w:p>
    <w:p w14:paraId="769AE20A" w14:textId="77777777" w:rsidR="00D97C0E" w:rsidRPr="003C5947" w:rsidRDefault="00D97C0E" w:rsidP="00D97C0E">
      <w:pPr>
        <w:pStyle w:val="Heading2"/>
        <w:rPr>
          <w:b/>
          <w:bCs/>
        </w:rPr>
      </w:pPr>
      <w:bookmarkStart w:id="40" w:name="_Toc108421975"/>
      <w:bookmarkStart w:id="41" w:name="_Hlk70864234"/>
      <w:r w:rsidRPr="47C6F23B">
        <w:t xml:space="preserve">Festival of Neighbourhoods: Urban Regeneration Through </w:t>
      </w:r>
      <w:r>
        <w:t>Neighbourhood</w:t>
      </w:r>
      <w:r w:rsidRPr="47C6F23B">
        <w:t xml:space="preserve"> Collaboration</w:t>
      </w:r>
      <w:bookmarkEnd w:id="40"/>
    </w:p>
    <w:p w14:paraId="2A4814F1" w14:textId="1EC4F5FC" w:rsidR="00D97C0E" w:rsidRPr="000E1707" w:rsidRDefault="00D97C0E" w:rsidP="00385577">
      <w:pPr>
        <w:spacing w:line="276" w:lineRule="auto"/>
        <w:rPr>
          <w:b/>
          <w:bCs/>
          <w:sz w:val="23"/>
          <w:szCs w:val="23"/>
        </w:rPr>
      </w:pPr>
      <w:r w:rsidRPr="0080793A">
        <w:rPr>
          <w:sz w:val="23"/>
          <w:szCs w:val="23"/>
        </w:rPr>
        <w:t>Kitchener,</w:t>
      </w:r>
      <w:r>
        <w:rPr>
          <w:sz w:val="23"/>
          <w:szCs w:val="23"/>
        </w:rPr>
        <w:t xml:space="preserve"> Ontario,</w:t>
      </w:r>
      <w:r w:rsidRPr="0080793A">
        <w:rPr>
          <w:sz w:val="23"/>
          <w:szCs w:val="23"/>
        </w:rPr>
        <w:t xml:space="preserve"> Canada</w:t>
      </w:r>
      <w:r>
        <w:rPr>
          <w:sz w:val="23"/>
          <w:szCs w:val="23"/>
        </w:rPr>
        <w:t xml:space="preserve"> (1994</w:t>
      </w:r>
      <w:r w:rsidRPr="003C5947">
        <w:rPr>
          <w:sz w:val="23"/>
          <w:szCs w:val="23"/>
        </w:rPr>
        <w:t>–</w:t>
      </w:r>
      <w:r>
        <w:rPr>
          <w:sz w:val="23"/>
          <w:szCs w:val="23"/>
        </w:rPr>
        <w:t>present</w:t>
      </w:r>
      <w:r w:rsidRPr="003C5947">
        <w:rPr>
          <w:sz w:val="23"/>
          <w:szCs w:val="23"/>
        </w:rPr>
        <w:t>)</w:t>
      </w:r>
      <w:bookmarkEnd w:id="41"/>
    </w:p>
    <w:p w14:paraId="2A5833D3" w14:textId="77777777" w:rsidR="00D97C0E" w:rsidRPr="007842B4" w:rsidRDefault="00D97C0E" w:rsidP="00D97C0E">
      <w:pPr>
        <w:spacing w:after="0" w:line="276" w:lineRule="auto"/>
        <w:rPr>
          <w:rFonts w:cstheme="minorHAnsi"/>
          <w:b/>
          <w:bCs/>
          <w:color w:val="595959" w:themeColor="text1" w:themeTint="A6"/>
          <w:sz w:val="23"/>
          <w:szCs w:val="23"/>
        </w:rPr>
      </w:pPr>
      <w:r w:rsidRPr="00D97C0E">
        <w:rPr>
          <w:rFonts w:cstheme="minorHAnsi"/>
          <w:b/>
          <w:bCs/>
          <w:color w:val="595959" w:themeColor="text1" w:themeTint="A6"/>
          <w:sz w:val="23"/>
          <w:szCs w:val="23"/>
        </w:rPr>
        <w:t xml:space="preserve">Main Practice Domain(s): </w:t>
      </w:r>
      <w:r w:rsidRPr="00D97C0E">
        <w:rPr>
          <w:rFonts w:cstheme="minorHAnsi"/>
          <w:b/>
          <w:bCs/>
          <w:color w:val="595959" w:themeColor="text1" w:themeTint="A6"/>
          <w:sz w:val="23"/>
          <w:szCs w:val="23"/>
        </w:rPr>
        <w:tab/>
      </w:r>
      <w:r w:rsidRPr="00D97C0E">
        <w:rPr>
          <w:rFonts w:cstheme="minorHAnsi"/>
          <w:b/>
          <w:bCs/>
          <w:color w:val="595959" w:themeColor="text1" w:themeTint="A6"/>
          <w:sz w:val="23"/>
          <w:szCs w:val="23"/>
        </w:rPr>
        <w:tab/>
        <w:t>Liveability</w:t>
      </w:r>
    </w:p>
    <w:p w14:paraId="7AC83B6E" w14:textId="475AA4F9" w:rsidR="00D97C0E" w:rsidRPr="000E1707" w:rsidRDefault="00D97C0E" w:rsidP="000E1707">
      <w:pPr>
        <w:spacing w:line="276" w:lineRule="auto"/>
        <w:rPr>
          <w:rFonts w:cstheme="minorHAnsi"/>
          <w:b/>
          <w:bCs/>
          <w:color w:val="595959" w:themeColor="text1" w:themeTint="A6"/>
          <w:sz w:val="23"/>
          <w:szCs w:val="23"/>
        </w:rPr>
      </w:pPr>
      <w:r w:rsidRPr="00D97C0E">
        <w:rPr>
          <w:rFonts w:cstheme="minorHAnsi"/>
          <w:b/>
          <w:bCs/>
          <w:color w:val="595959" w:themeColor="text1" w:themeTint="A6"/>
          <w:sz w:val="23"/>
          <w:szCs w:val="23"/>
        </w:rPr>
        <w:t xml:space="preserve">Secondary Practice Domain(s): </w:t>
      </w:r>
      <w:r w:rsidRPr="00D97C0E">
        <w:rPr>
          <w:rFonts w:cstheme="minorHAnsi"/>
          <w:b/>
          <w:bCs/>
          <w:color w:val="595959" w:themeColor="text1" w:themeTint="A6"/>
          <w:sz w:val="23"/>
          <w:szCs w:val="23"/>
        </w:rPr>
        <w:tab/>
        <w:t>Health and Wellbeing</w:t>
      </w:r>
    </w:p>
    <w:p w14:paraId="134D0F26" w14:textId="6EFE5AD2" w:rsidR="00D97C0E" w:rsidRPr="000E1707" w:rsidRDefault="00D97C0E" w:rsidP="00385577">
      <w:pPr>
        <w:spacing w:line="276" w:lineRule="auto"/>
        <w:rPr>
          <w:rFonts w:asciiTheme="majorHAnsi" w:hAnsiTheme="majorHAnsi" w:cstheme="majorBidi"/>
          <w:sz w:val="23"/>
          <w:szCs w:val="23"/>
        </w:rPr>
      </w:pPr>
      <w:r w:rsidRPr="000541C7">
        <w:rPr>
          <w:rFonts w:asciiTheme="majorHAnsi" w:hAnsiTheme="majorHAnsi" w:cstheme="majorBidi"/>
          <w:sz w:val="23"/>
          <w:szCs w:val="23"/>
        </w:rPr>
        <w:t>Kitchener (pop. 260,000) is a culturally diverse city in Ontario, Canada. Located 100km from Toronto, the city has a strong manufacturing heritage and a healthy local arts scene. Around 37 percent of residents are immigrants, and most perceive their local neighbourhood as welcoming and inclusive (Love My Hood, 2017: 28, 32). Poverty levels are in line with the national average (Ontario Federation of Labour, 2017: 1).</w:t>
      </w:r>
    </w:p>
    <w:p w14:paraId="68BF8F2C" w14:textId="2EEF1E0E" w:rsidR="00D97C0E" w:rsidRPr="000E1707" w:rsidRDefault="00D97C0E" w:rsidP="00385577">
      <w:pPr>
        <w:spacing w:line="276" w:lineRule="auto"/>
        <w:rPr>
          <w:rFonts w:asciiTheme="majorHAnsi" w:hAnsiTheme="majorHAnsi" w:cstheme="majorHAnsi"/>
          <w:sz w:val="23"/>
          <w:szCs w:val="23"/>
          <w:shd w:val="clear" w:color="auto" w:fill="FFFFFF"/>
        </w:rPr>
      </w:pPr>
      <w:r w:rsidRPr="000541C7">
        <w:rPr>
          <w:rFonts w:asciiTheme="majorHAnsi" w:hAnsiTheme="majorHAnsi" w:cstheme="majorHAnsi"/>
          <w:sz w:val="23"/>
          <w:szCs w:val="23"/>
          <w:shd w:val="clear" w:color="auto" w:fill="FFFFFF"/>
        </w:rPr>
        <w:t>The Kitchener Festival of Neighbourhoods (FoN) is a city-wide celebration that seeks to actively build local communities and strengthen the city’s social fabric. Participants define their own neighbourhoods, made up of 50 or more adjacent households, and collaboratively run an inclusive local event or project. Groups can enter a draw for a $20,000 capital improvement prize.</w:t>
      </w:r>
    </w:p>
    <w:p w14:paraId="30AEFC4F" w14:textId="2660CAFD" w:rsidR="00D97C0E" w:rsidRPr="000E1707" w:rsidRDefault="00D97C0E" w:rsidP="00385577">
      <w:pPr>
        <w:spacing w:line="276" w:lineRule="auto"/>
        <w:rPr>
          <w:rFonts w:asciiTheme="majorHAnsi" w:hAnsiTheme="majorHAnsi" w:cstheme="majorHAnsi"/>
          <w:sz w:val="23"/>
          <w:szCs w:val="23"/>
          <w:shd w:val="clear" w:color="auto" w:fill="FFFFFF"/>
        </w:rPr>
      </w:pPr>
      <w:r w:rsidRPr="000541C7">
        <w:rPr>
          <w:rFonts w:asciiTheme="majorHAnsi" w:hAnsiTheme="majorHAnsi" w:cstheme="majorHAnsi"/>
          <w:sz w:val="23"/>
          <w:szCs w:val="23"/>
          <w:shd w:val="clear" w:color="auto" w:fill="FFFFFF"/>
        </w:rPr>
        <w:t xml:space="preserve">The FoN has been running for 27 years. Initially an annual celebration, it now extends across the entire year. In 2017, more than 17,000 residents from 49 neighbourhoods took part in 130 events. Gatherings ranged in size from four to 1000 participants. Events have included carnivals, community murals, street sales, fundraisers, barbeques, picnics, outdoor movies, porch parties, book exchanges, clean-up days, tug-o-wars, new community gardens, and walking, biking and running events. One neighbourhood decided to run a backyard music festival. When they realised their individual backyards were too small, they removed their fences to create more space. </w:t>
      </w:r>
    </w:p>
    <w:p w14:paraId="06CC784C" w14:textId="6A5825D2" w:rsidR="00D97C0E" w:rsidRPr="000E1707" w:rsidRDefault="00D97C0E" w:rsidP="00385577">
      <w:pPr>
        <w:spacing w:line="276" w:lineRule="auto"/>
        <w:rPr>
          <w:rFonts w:asciiTheme="majorHAnsi" w:hAnsiTheme="majorHAnsi" w:cstheme="majorHAnsi"/>
          <w:sz w:val="23"/>
          <w:szCs w:val="23"/>
          <w:shd w:val="clear" w:color="auto" w:fill="FFFFFF"/>
        </w:rPr>
      </w:pPr>
      <w:r w:rsidRPr="000541C7">
        <w:rPr>
          <w:rFonts w:asciiTheme="majorHAnsi" w:hAnsiTheme="majorHAnsi" w:cstheme="majorHAnsi"/>
          <w:sz w:val="23"/>
          <w:szCs w:val="23"/>
          <w:shd w:val="clear" w:color="auto" w:fill="FFFFFF"/>
        </w:rPr>
        <w:t xml:space="preserve">Capital works award recipients decide collectively on how to spend the prize money. Winning groups receive guidance from city planners and a local architecture firm. Outcomes have included a portable skatepark, a nature trail, and an interest-free loan program to upgrade homes in a run-down area. A range of awards are also given to individual projects. </w:t>
      </w:r>
    </w:p>
    <w:p w14:paraId="5906748B" w14:textId="52AFE84B" w:rsidR="00D97C0E" w:rsidRPr="000E1707" w:rsidRDefault="00D97C0E" w:rsidP="00385577">
      <w:pPr>
        <w:spacing w:line="276" w:lineRule="auto"/>
        <w:rPr>
          <w:rFonts w:asciiTheme="majorHAnsi" w:hAnsiTheme="majorHAnsi" w:cstheme="majorHAnsi"/>
          <w:sz w:val="23"/>
          <w:szCs w:val="23"/>
          <w:shd w:val="clear" w:color="auto" w:fill="FFFFFF"/>
        </w:rPr>
      </w:pPr>
      <w:r w:rsidRPr="000541C7">
        <w:rPr>
          <w:rFonts w:asciiTheme="majorHAnsi" w:hAnsiTheme="majorHAnsi" w:cstheme="majorHAnsi"/>
          <w:sz w:val="23"/>
          <w:szCs w:val="23"/>
          <w:shd w:val="clear" w:color="auto" w:fill="FFFFFF"/>
        </w:rPr>
        <w:t xml:space="preserve">Genuinely community-driven, participatory, and collaborative, the Festival of Neighbourhoods helps to foster social cohesion, mutual support, meaningful social ties, capacity-building, and </w:t>
      </w:r>
      <w:r w:rsidRPr="000541C7">
        <w:rPr>
          <w:rFonts w:asciiTheme="majorHAnsi" w:hAnsiTheme="majorHAnsi" w:cstheme="majorHAnsi"/>
          <w:sz w:val="23"/>
          <w:szCs w:val="23"/>
          <w:shd w:val="clear" w:color="auto" w:fill="FFFFFF"/>
        </w:rPr>
        <w:lastRenderedPageBreak/>
        <w:t>sense of place. The projects respond to local needs, offer local government insights into people’s priorities and concerns, and boost the city's volunteer base.</w:t>
      </w:r>
    </w:p>
    <w:p w14:paraId="2D1570F3" w14:textId="416F5A84" w:rsidR="00D97C0E" w:rsidRPr="000E1707" w:rsidRDefault="00D97C0E" w:rsidP="00385577">
      <w:pPr>
        <w:spacing w:line="276" w:lineRule="auto"/>
        <w:rPr>
          <w:rFonts w:asciiTheme="majorHAnsi" w:hAnsiTheme="majorHAnsi" w:cstheme="majorBidi"/>
          <w:sz w:val="23"/>
          <w:szCs w:val="23"/>
        </w:rPr>
      </w:pPr>
      <w:r w:rsidRPr="000541C7">
        <w:rPr>
          <w:rFonts w:asciiTheme="majorHAnsi" w:hAnsiTheme="majorHAnsi" w:cstheme="majorBidi"/>
          <w:sz w:val="23"/>
          <w:szCs w:val="23"/>
        </w:rPr>
        <w:t xml:space="preserve">A </w:t>
      </w:r>
      <w:hyperlink r:id="rId17" w:anchor="AN=35484324&amp;db=bth">
        <w:r w:rsidRPr="000541C7">
          <w:rPr>
            <w:rFonts w:asciiTheme="majorHAnsi" w:hAnsiTheme="majorHAnsi" w:cstheme="majorBidi"/>
            <w:color w:val="0563C1"/>
            <w:sz w:val="23"/>
            <w:szCs w:val="23"/>
            <w:u w:val="single"/>
          </w:rPr>
          <w:t>2009 study</w:t>
        </w:r>
      </w:hyperlink>
      <w:r w:rsidRPr="359636AC">
        <w:rPr>
          <w:rFonts w:asciiTheme="majorHAnsi" w:hAnsiTheme="majorHAnsi" w:cstheme="majorBidi"/>
          <w:sz w:val="23"/>
          <w:szCs w:val="23"/>
        </w:rPr>
        <w:t xml:space="preserve"> </w:t>
      </w:r>
      <w:r w:rsidRPr="000541C7">
        <w:rPr>
          <w:rFonts w:asciiTheme="majorHAnsi" w:hAnsiTheme="majorHAnsi" w:cstheme="majorBidi"/>
          <w:sz w:val="23"/>
          <w:szCs w:val="23"/>
        </w:rPr>
        <w:t>found the program was successful in building social capital and community participation. The capital works grant was effective in encouraging social interaction and building relationships between residents and the City. Success factors included strong relationships of trust between city officials and community representatives, and the City’s flexible approach in providing necessary resources while enabling communities to take responsibility and ownership for projects (Johnson et al., 2009).</w:t>
      </w:r>
    </w:p>
    <w:p w14:paraId="120D5D2F" w14:textId="67F0488D" w:rsidR="00D97C0E" w:rsidRPr="000E1707" w:rsidRDefault="00D97C0E" w:rsidP="00385577">
      <w:pPr>
        <w:spacing w:line="276" w:lineRule="auto"/>
        <w:rPr>
          <w:rFonts w:asciiTheme="majorHAnsi" w:hAnsiTheme="majorHAnsi" w:cstheme="majorBidi"/>
          <w:sz w:val="23"/>
          <w:szCs w:val="23"/>
          <w:shd w:val="clear" w:color="auto" w:fill="FFFFFF"/>
        </w:rPr>
      </w:pPr>
      <w:r w:rsidRPr="000541C7">
        <w:rPr>
          <w:rFonts w:asciiTheme="majorHAnsi" w:hAnsiTheme="majorHAnsi" w:cstheme="majorBidi"/>
          <w:sz w:val="23"/>
          <w:szCs w:val="23"/>
          <w:shd w:val="clear" w:color="auto" w:fill="FFFFFF"/>
        </w:rPr>
        <w:t>The FoN program is overseen by a steering committee of local government, business, and community representatives.</w:t>
      </w:r>
      <w:r w:rsidRPr="000541C7">
        <w:rPr>
          <w:rFonts w:asciiTheme="majorHAnsi" w:hAnsiTheme="majorHAnsi" w:cstheme="majorBidi"/>
          <w:sz w:val="23"/>
          <w:szCs w:val="23"/>
        </w:rPr>
        <w:t xml:space="preserve"> </w:t>
      </w:r>
      <w:r w:rsidRPr="000541C7">
        <w:rPr>
          <w:rFonts w:asciiTheme="majorHAnsi" w:hAnsiTheme="majorHAnsi" w:cstheme="majorBidi"/>
          <w:sz w:val="23"/>
          <w:szCs w:val="23"/>
          <w:shd w:val="clear" w:color="auto" w:fill="FFFFFF"/>
        </w:rPr>
        <w:t>The City provides an in-kind contribution of one key staff member, administrative services, a small operating budget, and the $20,000 capital improvement award. Multiple partner organisations are also involved. Additional support is provided by the Social Development Centre Waterloo region, a social planning and engagement organisation. Residents can also apply for a range of City grants to support their event.</w:t>
      </w:r>
    </w:p>
    <w:p w14:paraId="4B0B1084" w14:textId="081C37D2" w:rsidR="00D97C0E" w:rsidRPr="000E1707" w:rsidRDefault="00D97C0E" w:rsidP="00385577">
      <w:pPr>
        <w:spacing w:line="276" w:lineRule="auto"/>
        <w:rPr>
          <w:rFonts w:asciiTheme="majorHAnsi" w:hAnsiTheme="majorHAnsi" w:cstheme="majorBidi"/>
          <w:b/>
          <w:bCs/>
          <w:sz w:val="23"/>
          <w:szCs w:val="23"/>
        </w:rPr>
      </w:pPr>
      <w:r w:rsidRPr="000541C7">
        <w:rPr>
          <w:rFonts w:asciiTheme="majorHAnsi" w:hAnsiTheme="majorHAnsi" w:cstheme="majorBidi"/>
          <w:sz w:val="23"/>
          <w:szCs w:val="23"/>
          <w:shd w:val="clear" w:color="auto" w:fill="FFFFFF"/>
        </w:rPr>
        <w:t>A dedicated project website provides toolkits, resources, and advice for residents to plan events. In 2020 the program was adapted for COVID-19 restrictions, with events held online, or staged sequentially to avoid large gatherings (CBC News, 2020).</w:t>
      </w:r>
    </w:p>
    <w:p w14:paraId="02858354" w14:textId="77777777" w:rsidR="00D97C0E" w:rsidRPr="003C5947" w:rsidRDefault="00D97C0E" w:rsidP="00D97C0E">
      <w:pPr>
        <w:pStyle w:val="Heading2"/>
        <w:rPr>
          <w:b/>
          <w:bCs/>
        </w:rPr>
      </w:pPr>
      <w:bookmarkStart w:id="42" w:name="_Toc108421976"/>
      <w:bookmarkStart w:id="43" w:name="_Hlk70864243"/>
      <w:r w:rsidRPr="003C5947">
        <w:t>The Broomhill Project: Arts-led Community Regeneration</w:t>
      </w:r>
      <w:r>
        <w:t xml:space="preserve"> and Public Housing Upgrade</w:t>
      </w:r>
      <w:bookmarkEnd w:id="42"/>
    </w:p>
    <w:p w14:paraId="7F6F8EAD" w14:textId="3D962AA9" w:rsidR="00D97C0E" w:rsidRPr="000E1707" w:rsidRDefault="00D97C0E" w:rsidP="000E1707">
      <w:pPr>
        <w:spacing w:line="276" w:lineRule="auto"/>
        <w:rPr>
          <w:b/>
          <w:bCs/>
          <w:sz w:val="23"/>
          <w:szCs w:val="23"/>
        </w:rPr>
      </w:pPr>
      <w:r w:rsidRPr="003C5947">
        <w:rPr>
          <w:sz w:val="23"/>
          <w:szCs w:val="23"/>
        </w:rPr>
        <w:t xml:space="preserve">Greenock, </w:t>
      </w:r>
      <w:r>
        <w:rPr>
          <w:sz w:val="23"/>
          <w:szCs w:val="23"/>
        </w:rPr>
        <w:t xml:space="preserve">Glasgow, </w:t>
      </w:r>
      <w:r w:rsidRPr="003C5947">
        <w:rPr>
          <w:sz w:val="23"/>
          <w:szCs w:val="23"/>
        </w:rPr>
        <w:t>Scotland (2015–present)</w:t>
      </w:r>
      <w:bookmarkEnd w:id="43"/>
    </w:p>
    <w:p w14:paraId="75C17303" w14:textId="77777777" w:rsidR="00D97C0E" w:rsidRPr="00CC521D" w:rsidRDefault="00D97C0E" w:rsidP="00D97C0E">
      <w:pPr>
        <w:spacing w:after="0" w:line="276" w:lineRule="auto"/>
        <w:rPr>
          <w:rFonts w:cstheme="minorHAnsi"/>
          <w:b/>
          <w:bCs/>
          <w:color w:val="595959" w:themeColor="text1" w:themeTint="A6"/>
          <w:sz w:val="23"/>
          <w:szCs w:val="23"/>
        </w:rPr>
      </w:pPr>
      <w:r w:rsidRPr="00D97C0E">
        <w:rPr>
          <w:rFonts w:cstheme="minorHAnsi"/>
          <w:b/>
          <w:bCs/>
          <w:color w:val="595959" w:themeColor="text1" w:themeTint="A6"/>
          <w:sz w:val="23"/>
          <w:szCs w:val="23"/>
        </w:rPr>
        <w:t xml:space="preserve">Main Practice Domain(s): </w:t>
      </w:r>
      <w:r w:rsidRPr="00D97C0E">
        <w:rPr>
          <w:rFonts w:cstheme="minorHAnsi"/>
          <w:b/>
          <w:bCs/>
          <w:color w:val="595959" w:themeColor="text1" w:themeTint="A6"/>
          <w:sz w:val="23"/>
          <w:szCs w:val="23"/>
        </w:rPr>
        <w:tab/>
      </w:r>
      <w:r w:rsidRPr="00D97C0E">
        <w:rPr>
          <w:rFonts w:cstheme="minorHAnsi"/>
          <w:b/>
          <w:bCs/>
          <w:color w:val="595959" w:themeColor="text1" w:themeTint="A6"/>
          <w:sz w:val="23"/>
          <w:szCs w:val="23"/>
        </w:rPr>
        <w:tab/>
        <w:t>Liveability, Housing</w:t>
      </w:r>
    </w:p>
    <w:p w14:paraId="015E666E" w14:textId="44AE8FE7" w:rsidR="00D97C0E" w:rsidRPr="000E1707" w:rsidRDefault="00D97C0E" w:rsidP="000E1707">
      <w:pPr>
        <w:spacing w:line="276" w:lineRule="auto"/>
        <w:rPr>
          <w:rFonts w:cstheme="minorHAnsi"/>
          <w:b/>
          <w:bCs/>
          <w:color w:val="595959" w:themeColor="text1" w:themeTint="A6"/>
          <w:sz w:val="23"/>
          <w:szCs w:val="23"/>
        </w:rPr>
      </w:pPr>
      <w:r w:rsidRPr="00D97C0E">
        <w:rPr>
          <w:rFonts w:cstheme="minorHAnsi"/>
          <w:b/>
          <w:bCs/>
          <w:color w:val="595959" w:themeColor="text1" w:themeTint="A6"/>
          <w:sz w:val="23"/>
          <w:szCs w:val="23"/>
        </w:rPr>
        <w:t xml:space="preserve">Secondary Practice Domain(s): </w:t>
      </w:r>
      <w:r w:rsidRPr="00D97C0E">
        <w:rPr>
          <w:rFonts w:cstheme="minorHAnsi"/>
          <w:b/>
          <w:bCs/>
          <w:color w:val="595959" w:themeColor="text1" w:themeTint="A6"/>
          <w:sz w:val="23"/>
          <w:szCs w:val="23"/>
        </w:rPr>
        <w:tab/>
        <w:t>Employment, Education, Health and Wellbeing</w:t>
      </w:r>
    </w:p>
    <w:p w14:paraId="1D8C313A" w14:textId="77777777" w:rsidR="00D97C0E" w:rsidRPr="000541C7" w:rsidRDefault="00D97C0E" w:rsidP="00385577">
      <w:pPr>
        <w:spacing w:line="276" w:lineRule="auto"/>
        <w:rPr>
          <w:rFonts w:asciiTheme="majorHAnsi" w:hAnsiTheme="majorHAnsi" w:cstheme="majorHAnsi"/>
          <w:b/>
          <w:bCs/>
          <w:sz w:val="23"/>
          <w:szCs w:val="23"/>
        </w:rPr>
      </w:pPr>
      <w:r w:rsidRPr="000541C7">
        <w:rPr>
          <w:rFonts w:asciiTheme="majorHAnsi" w:hAnsiTheme="majorHAnsi" w:cstheme="majorHAnsi"/>
          <w:sz w:val="23"/>
          <w:szCs w:val="23"/>
        </w:rPr>
        <w:t>Broomhill is an area of high socioeconomic disadvantage located in Greenock, 40 kilometres from central Glasgow. In 2016 Broomhill (pop. 14,000) was listed in the top 10 percent of deprived areas in Scotland (Scottish Index of Multiple Deprivation, 2016).</w:t>
      </w:r>
    </w:p>
    <w:p w14:paraId="62071922" w14:textId="56FE28FB" w:rsidR="00D97C0E" w:rsidRPr="000E1707" w:rsidRDefault="00D97C0E" w:rsidP="00385577">
      <w:pPr>
        <w:spacing w:line="276" w:lineRule="auto"/>
        <w:rPr>
          <w:rFonts w:asciiTheme="majorHAnsi" w:hAnsiTheme="majorHAnsi" w:cstheme="majorHAnsi"/>
          <w:sz w:val="23"/>
          <w:szCs w:val="23"/>
        </w:rPr>
      </w:pPr>
      <w:r w:rsidRPr="000541C7">
        <w:rPr>
          <w:rFonts w:asciiTheme="majorHAnsi" w:hAnsiTheme="majorHAnsi" w:cstheme="majorHAnsi"/>
          <w:sz w:val="23"/>
          <w:szCs w:val="23"/>
        </w:rPr>
        <w:t>Launched in 2015, the Broomhill Project centres on community-led collaborations between local residents and experienced artists. Activities have included workshops, artist residencies, films, community events, murals, public gardens, heritage projects, and exhibitions.</w:t>
      </w:r>
    </w:p>
    <w:p w14:paraId="455C19E3" w14:textId="77777777" w:rsidR="00D97C0E" w:rsidRPr="000541C7" w:rsidRDefault="00D97C0E" w:rsidP="00385577">
      <w:pPr>
        <w:spacing w:line="276" w:lineRule="auto"/>
        <w:rPr>
          <w:rFonts w:asciiTheme="majorHAnsi" w:hAnsiTheme="majorHAnsi" w:cstheme="majorHAnsi"/>
          <w:b/>
          <w:bCs/>
          <w:sz w:val="23"/>
          <w:szCs w:val="23"/>
        </w:rPr>
      </w:pPr>
      <w:r w:rsidRPr="000541C7">
        <w:rPr>
          <w:rFonts w:asciiTheme="majorHAnsi" w:hAnsiTheme="majorHAnsi" w:cstheme="majorHAnsi"/>
          <w:sz w:val="23"/>
          <w:szCs w:val="23"/>
        </w:rPr>
        <w:t>The Broomhill Project was developed alongside a major local social housing project. In 2014 housing association River Clyde Homes began a £26m program to upgrade 600 Broomhill properties. Local arts charity RIG Arts was granted initial three-year funding to work creatively with disengaged community members. Additional funding was invested in a range of sub-projects:</w:t>
      </w:r>
    </w:p>
    <w:p w14:paraId="7959E43D" w14:textId="77777777" w:rsidR="00D97C0E" w:rsidRPr="000541C7" w:rsidRDefault="00D97C0E" w:rsidP="00E96B6E">
      <w:pPr>
        <w:pStyle w:val="ListParagraph"/>
        <w:numPr>
          <w:ilvl w:val="0"/>
          <w:numId w:val="6"/>
        </w:numPr>
        <w:spacing w:after="120" w:line="276" w:lineRule="auto"/>
        <w:ind w:left="357" w:hanging="357"/>
        <w:contextualSpacing w:val="0"/>
        <w:rPr>
          <w:rFonts w:asciiTheme="majorHAnsi" w:hAnsiTheme="majorHAnsi" w:cstheme="majorBidi"/>
          <w:b/>
          <w:bCs/>
          <w:sz w:val="23"/>
          <w:szCs w:val="23"/>
        </w:rPr>
      </w:pPr>
      <w:r w:rsidRPr="000541C7">
        <w:rPr>
          <w:rFonts w:cstheme="minorHAnsi"/>
          <w:sz w:val="23"/>
          <w:szCs w:val="23"/>
        </w:rPr>
        <w:t>Broomhill Art Flat (2015):</w:t>
      </w:r>
      <w:r w:rsidRPr="000541C7">
        <w:rPr>
          <w:rFonts w:asciiTheme="majorHAnsi" w:hAnsiTheme="majorHAnsi" w:cstheme="majorBidi"/>
          <w:sz w:val="23"/>
          <w:szCs w:val="23"/>
        </w:rPr>
        <w:t xml:space="preserve"> dedicated hub for free creative workshops: songwriting, photography, filmmaking, painting, stained glass, carving, ceramics, textiles, 3D drawing, mosaic, upcycling. Sited in a public housing tower, it became a popular cultural hub and meeting place.</w:t>
      </w:r>
    </w:p>
    <w:p w14:paraId="08960302" w14:textId="77777777" w:rsidR="00D97C0E" w:rsidRPr="000541C7" w:rsidRDefault="00D97C0E" w:rsidP="00E96B6E">
      <w:pPr>
        <w:pStyle w:val="ListParagraph"/>
        <w:numPr>
          <w:ilvl w:val="0"/>
          <w:numId w:val="6"/>
        </w:numPr>
        <w:spacing w:after="120" w:line="276" w:lineRule="auto"/>
        <w:ind w:left="357" w:hanging="357"/>
        <w:contextualSpacing w:val="0"/>
        <w:rPr>
          <w:rFonts w:asciiTheme="majorHAnsi" w:hAnsiTheme="majorHAnsi" w:cstheme="majorHAnsi"/>
          <w:b/>
          <w:bCs/>
          <w:sz w:val="23"/>
          <w:szCs w:val="23"/>
        </w:rPr>
      </w:pPr>
      <w:r w:rsidRPr="000541C7">
        <w:rPr>
          <w:rFonts w:cstheme="minorHAnsi"/>
          <w:sz w:val="23"/>
          <w:szCs w:val="23"/>
        </w:rPr>
        <w:lastRenderedPageBreak/>
        <w:t>Heid O’ The Hill (2015–2016):</w:t>
      </w:r>
      <w:r w:rsidRPr="000541C7">
        <w:rPr>
          <w:rFonts w:asciiTheme="majorHAnsi" w:hAnsiTheme="majorHAnsi" w:cstheme="majorHAnsi"/>
          <w:sz w:val="23"/>
          <w:szCs w:val="23"/>
        </w:rPr>
        <w:t xml:space="preserve"> 12-month pilot arts scheme exploring Broomhill’s rich heritage. Participants created works celebrating the area’s history as a former metal foundry, its 1970s punk music scene, and childhood games fondly recalled by older residents.</w:t>
      </w:r>
    </w:p>
    <w:p w14:paraId="7DFE072A" w14:textId="77777777" w:rsidR="00D97C0E" w:rsidRPr="000541C7" w:rsidRDefault="00D97C0E" w:rsidP="00E96B6E">
      <w:pPr>
        <w:pStyle w:val="ListParagraph"/>
        <w:numPr>
          <w:ilvl w:val="0"/>
          <w:numId w:val="6"/>
        </w:numPr>
        <w:spacing w:after="120" w:line="276" w:lineRule="auto"/>
        <w:ind w:left="357" w:hanging="357"/>
        <w:contextualSpacing w:val="0"/>
        <w:rPr>
          <w:rFonts w:asciiTheme="majorHAnsi" w:hAnsiTheme="majorHAnsi" w:cstheme="majorHAnsi"/>
          <w:b/>
          <w:bCs/>
          <w:sz w:val="23"/>
          <w:szCs w:val="23"/>
        </w:rPr>
      </w:pPr>
      <w:r w:rsidRPr="000541C7">
        <w:rPr>
          <w:rFonts w:cstheme="minorHAnsi"/>
          <w:sz w:val="23"/>
          <w:szCs w:val="23"/>
        </w:rPr>
        <w:t>Up the Broomy (2017–2019):</w:t>
      </w:r>
      <w:r w:rsidRPr="000541C7">
        <w:rPr>
          <w:rFonts w:asciiTheme="majorHAnsi" w:hAnsiTheme="majorHAnsi" w:cstheme="majorHAnsi"/>
          <w:sz w:val="23"/>
          <w:szCs w:val="23"/>
        </w:rPr>
        <w:t xml:space="preserve"> a two-year sub-project focused on training, creativity, and capacity building. RIG Arts worked with local agencies to recruit “community champions” who could benefit from arts training. Participants created inspiring objects, events, and performances. Ongoing supports were embedded via partnerships with mental health organisations, schools, and youth services.</w:t>
      </w:r>
    </w:p>
    <w:p w14:paraId="1565D33E" w14:textId="77777777" w:rsidR="00D97C0E" w:rsidRPr="000541C7" w:rsidRDefault="00D97C0E" w:rsidP="00E96B6E">
      <w:pPr>
        <w:pStyle w:val="ListParagraph"/>
        <w:numPr>
          <w:ilvl w:val="0"/>
          <w:numId w:val="6"/>
        </w:numPr>
        <w:spacing w:after="120" w:line="276" w:lineRule="auto"/>
        <w:ind w:left="357" w:hanging="357"/>
        <w:contextualSpacing w:val="0"/>
        <w:rPr>
          <w:rFonts w:asciiTheme="majorHAnsi" w:hAnsiTheme="majorHAnsi" w:cstheme="majorBidi"/>
          <w:b/>
          <w:bCs/>
          <w:sz w:val="23"/>
          <w:szCs w:val="23"/>
        </w:rPr>
      </w:pPr>
      <w:r w:rsidRPr="000541C7">
        <w:rPr>
          <w:rFonts w:cstheme="minorHAnsi"/>
          <w:sz w:val="23"/>
          <w:szCs w:val="23"/>
        </w:rPr>
        <w:t>Broomy’s Bees (2018):</w:t>
      </w:r>
      <w:r w:rsidRPr="000541C7">
        <w:rPr>
          <w:rFonts w:asciiTheme="majorHAnsi" w:hAnsiTheme="majorHAnsi" w:cstheme="majorBidi"/>
          <w:sz w:val="23"/>
          <w:szCs w:val="23"/>
        </w:rPr>
        <w:t xml:space="preserve"> community co-designed pocket park and educational sensory garden, created on a derelict site opposite a public housing tower. Increases biodiversity, promotes eco-friendly behaviour, references local heritage, and provides welcoming green space. Has all-weather seating and interactive night-lighting. Children created tile artworks and bee habitats.</w:t>
      </w:r>
    </w:p>
    <w:p w14:paraId="1C55443A" w14:textId="0A404808" w:rsidR="00D97C0E" w:rsidRPr="000E1707" w:rsidRDefault="00D97C0E" w:rsidP="00E96B6E">
      <w:pPr>
        <w:pStyle w:val="ListParagraph"/>
        <w:numPr>
          <w:ilvl w:val="0"/>
          <w:numId w:val="6"/>
        </w:numPr>
        <w:spacing w:after="120" w:line="276" w:lineRule="auto"/>
        <w:ind w:left="357" w:hanging="357"/>
        <w:contextualSpacing w:val="0"/>
        <w:rPr>
          <w:rFonts w:asciiTheme="majorHAnsi" w:hAnsiTheme="majorHAnsi" w:cstheme="majorBidi"/>
          <w:b/>
          <w:bCs/>
          <w:sz w:val="23"/>
          <w:szCs w:val="23"/>
        </w:rPr>
      </w:pPr>
      <w:r w:rsidRPr="000541C7">
        <w:rPr>
          <w:rFonts w:cstheme="minorHAnsi"/>
          <w:sz w:val="23"/>
          <w:szCs w:val="23"/>
        </w:rPr>
        <w:t>Plastic Fantastic:</w:t>
      </w:r>
      <w:r w:rsidRPr="000541C7">
        <w:rPr>
          <w:rFonts w:asciiTheme="majorHAnsi" w:hAnsiTheme="majorHAnsi" w:cstheme="majorBidi"/>
          <w:sz w:val="23"/>
          <w:szCs w:val="23"/>
        </w:rPr>
        <w:t xml:space="preserve"> eco-focused project engaging local schools and residents to increase environmental literacy, promote recycling, and reduce landfill. Includes upcycling workshops (furniture, clothes mending), an innovative plastic recycling machine (converts discarded bottles into material for 3-D printing), and a public display of upcycled items.</w:t>
      </w:r>
    </w:p>
    <w:p w14:paraId="0E272357" w14:textId="77777777" w:rsidR="00D97C0E" w:rsidRPr="000541C7" w:rsidRDefault="00D97C0E" w:rsidP="00385577">
      <w:pPr>
        <w:spacing w:line="276" w:lineRule="auto"/>
        <w:rPr>
          <w:rFonts w:asciiTheme="majorHAnsi" w:hAnsiTheme="majorHAnsi" w:cstheme="majorBidi"/>
          <w:b/>
          <w:bCs/>
          <w:sz w:val="23"/>
          <w:szCs w:val="23"/>
        </w:rPr>
      </w:pPr>
      <w:r w:rsidRPr="000541C7">
        <w:rPr>
          <w:rFonts w:asciiTheme="majorHAnsi" w:hAnsiTheme="majorHAnsi" w:cstheme="majorBidi"/>
          <w:sz w:val="23"/>
          <w:szCs w:val="23"/>
        </w:rPr>
        <w:t xml:space="preserve">Over four years, around 3600 people participated directly in the Broomhill Project, and over 500 activities were delivered. </w:t>
      </w:r>
      <w:hyperlink r:id="rId18">
        <w:r w:rsidRPr="000541C7">
          <w:rPr>
            <w:rStyle w:val="Hyperlink"/>
            <w:rFonts w:asciiTheme="majorHAnsi" w:hAnsiTheme="majorHAnsi" w:cstheme="majorBidi"/>
            <w:sz w:val="23"/>
            <w:szCs w:val="23"/>
          </w:rPr>
          <w:t>Evaluated</w:t>
        </w:r>
      </w:hyperlink>
      <w:r w:rsidRPr="359636AC">
        <w:rPr>
          <w:rFonts w:asciiTheme="majorHAnsi" w:hAnsiTheme="majorHAnsi" w:cstheme="majorBidi"/>
          <w:sz w:val="23"/>
          <w:szCs w:val="23"/>
        </w:rPr>
        <w:t xml:space="preserve"> </w:t>
      </w:r>
      <w:r w:rsidRPr="000541C7">
        <w:rPr>
          <w:rFonts w:asciiTheme="majorHAnsi" w:hAnsiTheme="majorHAnsi" w:cstheme="majorBidi"/>
          <w:sz w:val="23"/>
          <w:szCs w:val="23"/>
        </w:rPr>
        <w:t>as part of a broader assessment, the project was found to have improved social cohesion, raised community spirit, helped residents build transferable skills, given them a voice in the regeneration process, strengthened sense of place, attracted people to the area, and reduced place-based stigma. It also fostered economic development, created new community assets, improved wellbeing, and increased residents’ opportunities for work, education, and training (Anderson et al, 2019: 29–30; Orr, 2019). As of early 2021, elements of the project remain active.</w:t>
      </w:r>
    </w:p>
    <w:p w14:paraId="63B5BF0D" w14:textId="30119C1D" w:rsidR="00D97C0E" w:rsidRPr="000E1707" w:rsidRDefault="00D97C0E" w:rsidP="00385577">
      <w:pPr>
        <w:spacing w:line="276" w:lineRule="auto"/>
        <w:rPr>
          <w:rFonts w:asciiTheme="majorHAnsi" w:hAnsiTheme="majorHAnsi" w:cstheme="majorHAnsi"/>
          <w:sz w:val="23"/>
          <w:szCs w:val="23"/>
        </w:rPr>
      </w:pPr>
      <w:r w:rsidRPr="000541C7">
        <w:rPr>
          <w:rFonts w:asciiTheme="majorHAnsi" w:hAnsiTheme="majorHAnsi" w:cstheme="majorHAnsi"/>
          <w:sz w:val="23"/>
          <w:szCs w:val="23"/>
        </w:rPr>
        <w:t xml:space="preserve">The </w:t>
      </w:r>
      <w:r w:rsidRPr="000541C7">
        <w:rPr>
          <w:rFonts w:asciiTheme="majorHAnsi" w:hAnsiTheme="majorHAnsi" w:cstheme="majorBidi"/>
          <w:sz w:val="23"/>
          <w:szCs w:val="23"/>
        </w:rPr>
        <w:t>Broomhill Project</w:t>
      </w:r>
      <w:r w:rsidRPr="000541C7">
        <w:rPr>
          <w:rFonts w:asciiTheme="majorHAnsi" w:hAnsiTheme="majorHAnsi" w:cstheme="majorHAnsi"/>
          <w:sz w:val="23"/>
          <w:szCs w:val="23"/>
        </w:rPr>
        <w:t xml:space="preserve"> won a 2017 Scottish Urban Regeneration Forum best-practice award (SURF, 2017: 6). Success factors include robust collaborative partnerships, a strong focus on community-led and co-design approaches, alignment with a concurrent housing/revitalisation project, the creative hub being sited within a housing estate, the skills of individual artists, and the innovative approach of RIG Arts, which oversaw a steering group of participating artists and community members. Funding partners included Creative Scotland, Riverside Inverclyde, British Gas, Heritage Lottery Fund, Tesco, People’s Postcode Trust, Climate Challenge Fund, and the Scottish Government.</w:t>
      </w:r>
    </w:p>
    <w:p w14:paraId="36CBF63E" w14:textId="77777777" w:rsidR="00E96B6E" w:rsidRDefault="00E96B6E">
      <w:pPr>
        <w:rPr>
          <w:rFonts w:asciiTheme="majorHAnsi" w:eastAsiaTheme="majorEastAsia" w:hAnsiTheme="majorHAnsi" w:cstheme="majorBidi"/>
          <w:color w:val="2F5496" w:themeColor="accent1" w:themeShade="BF"/>
          <w:sz w:val="26"/>
          <w:szCs w:val="26"/>
        </w:rPr>
      </w:pPr>
      <w:bookmarkStart w:id="44" w:name="_Toc108421977"/>
      <w:r>
        <w:br w:type="page"/>
      </w:r>
    </w:p>
    <w:p w14:paraId="4E6F3388" w14:textId="10B2CF6B" w:rsidR="00D97C0E" w:rsidRPr="00F96DA1" w:rsidRDefault="00D97C0E" w:rsidP="00D97C0E">
      <w:pPr>
        <w:pStyle w:val="Heading2"/>
        <w:rPr>
          <w:b/>
          <w:bCs/>
        </w:rPr>
      </w:pPr>
      <w:r w:rsidRPr="00F96DA1">
        <w:lastRenderedPageBreak/>
        <w:t xml:space="preserve">My Community Matters: </w:t>
      </w:r>
      <w:r>
        <w:t>Asset-based Community Development Tackling Health Inequalities</w:t>
      </w:r>
      <w:bookmarkEnd w:id="44"/>
    </w:p>
    <w:p w14:paraId="22422125" w14:textId="38AD5A1F" w:rsidR="00D97C0E" w:rsidRPr="000E1707" w:rsidRDefault="00D97C0E" w:rsidP="00385577">
      <w:pPr>
        <w:spacing w:line="276" w:lineRule="auto"/>
        <w:rPr>
          <w:rFonts w:cstheme="majorBidi"/>
          <w:b/>
          <w:bCs/>
          <w:sz w:val="23"/>
          <w:szCs w:val="23"/>
        </w:rPr>
      </w:pPr>
      <w:r w:rsidRPr="2B116086">
        <w:rPr>
          <w:rFonts w:cstheme="majorBidi"/>
          <w:sz w:val="23"/>
          <w:szCs w:val="23"/>
        </w:rPr>
        <w:t>Stoke-on-Trent, Staffordshire, UK (2012–present)</w:t>
      </w:r>
    </w:p>
    <w:p w14:paraId="5DFE4428" w14:textId="77777777" w:rsidR="00D97C0E" w:rsidRPr="00BF493B" w:rsidRDefault="00D97C0E" w:rsidP="00D97C0E">
      <w:pPr>
        <w:spacing w:after="0" w:line="276" w:lineRule="auto"/>
        <w:rPr>
          <w:rFonts w:cstheme="minorHAnsi"/>
          <w:b/>
          <w:bCs/>
          <w:color w:val="595959" w:themeColor="text1" w:themeTint="A6"/>
          <w:sz w:val="23"/>
          <w:szCs w:val="23"/>
        </w:rPr>
      </w:pPr>
      <w:r w:rsidRPr="00D97C0E">
        <w:rPr>
          <w:rFonts w:cstheme="minorHAnsi"/>
          <w:b/>
          <w:bCs/>
          <w:color w:val="595959" w:themeColor="text1" w:themeTint="A6"/>
          <w:sz w:val="23"/>
          <w:szCs w:val="23"/>
        </w:rPr>
        <w:t xml:space="preserve">Main Practice Domain(s): </w:t>
      </w:r>
      <w:r w:rsidRPr="00D97C0E">
        <w:rPr>
          <w:rFonts w:cstheme="minorHAnsi"/>
          <w:b/>
          <w:bCs/>
          <w:color w:val="595959" w:themeColor="text1" w:themeTint="A6"/>
          <w:sz w:val="23"/>
          <w:szCs w:val="23"/>
        </w:rPr>
        <w:tab/>
      </w:r>
      <w:r w:rsidRPr="00D97C0E">
        <w:rPr>
          <w:rFonts w:cstheme="minorHAnsi"/>
          <w:b/>
          <w:bCs/>
          <w:color w:val="595959" w:themeColor="text1" w:themeTint="A6"/>
          <w:sz w:val="23"/>
          <w:szCs w:val="23"/>
        </w:rPr>
        <w:tab/>
        <w:t>Health and Wellbeing, Liveability</w:t>
      </w:r>
    </w:p>
    <w:p w14:paraId="0244975D" w14:textId="6D671839" w:rsidR="00D97C0E" w:rsidRPr="000E1707" w:rsidRDefault="00D97C0E" w:rsidP="000E1707">
      <w:pPr>
        <w:spacing w:line="276" w:lineRule="auto"/>
        <w:rPr>
          <w:rFonts w:cstheme="minorHAnsi"/>
          <w:b/>
          <w:bCs/>
          <w:color w:val="595959" w:themeColor="text1" w:themeTint="A6"/>
          <w:sz w:val="23"/>
          <w:szCs w:val="23"/>
        </w:rPr>
      </w:pPr>
      <w:r w:rsidRPr="00D97C0E">
        <w:rPr>
          <w:rFonts w:cstheme="minorHAnsi"/>
          <w:b/>
          <w:bCs/>
          <w:color w:val="595959" w:themeColor="text1" w:themeTint="A6"/>
          <w:sz w:val="23"/>
          <w:szCs w:val="23"/>
        </w:rPr>
        <w:t xml:space="preserve">Secondary Practice Domain(s): </w:t>
      </w:r>
      <w:r w:rsidRPr="00D97C0E">
        <w:rPr>
          <w:rFonts w:cstheme="minorHAnsi"/>
          <w:b/>
          <w:bCs/>
          <w:color w:val="595959" w:themeColor="text1" w:themeTint="A6"/>
          <w:sz w:val="23"/>
          <w:szCs w:val="23"/>
        </w:rPr>
        <w:tab/>
        <w:t>Education</w:t>
      </w:r>
    </w:p>
    <w:p w14:paraId="7AFE3103" w14:textId="01093D89" w:rsidR="00D97C0E" w:rsidRPr="000E1707" w:rsidRDefault="00D97C0E" w:rsidP="00385577">
      <w:pPr>
        <w:spacing w:line="276" w:lineRule="auto"/>
        <w:rPr>
          <w:rFonts w:asciiTheme="majorHAnsi" w:hAnsiTheme="majorHAnsi"/>
          <w:b/>
          <w:bCs/>
          <w:sz w:val="23"/>
          <w:szCs w:val="23"/>
        </w:rPr>
      </w:pPr>
      <w:r w:rsidRPr="0081254F">
        <w:rPr>
          <w:rFonts w:asciiTheme="majorHAnsi" w:hAnsiTheme="majorHAnsi"/>
          <w:sz w:val="23"/>
          <w:szCs w:val="23"/>
        </w:rPr>
        <w:t>Stoke-on-Trent (pop. 256,000) is one of England’s most disadvantaged cities, ranking 12th of 317 local government areas on the Indices of Multiple Deprivation scale (MHCLG, 2019: 14). Launched in 2012, the</w:t>
      </w:r>
      <w:r w:rsidRPr="0081254F">
        <w:t xml:space="preserve"> </w:t>
      </w:r>
      <w:r w:rsidRPr="0081254F">
        <w:rPr>
          <w:rFonts w:asciiTheme="majorHAnsi" w:hAnsiTheme="majorHAnsi"/>
          <w:sz w:val="23"/>
          <w:szCs w:val="23"/>
        </w:rPr>
        <w:t>My Community Matters (MCM) program seeks to address health inequalities and empower residents to help positively transform disadvantaged Stoke-on-Trent neighbourhoods. Isolation, apathy disempowerment, pessimism, distrust, and feeling forgotten were common in the target communities. Ethnic tensions, loss of community spirit, low social cohesion, lack of pride in place, community apathy, and degradation of the physical environment were also pervasive issues (Romeo-Velilla et al., 2016).</w:t>
      </w:r>
    </w:p>
    <w:p w14:paraId="39162BAF" w14:textId="5A8A6033" w:rsidR="00D97C0E" w:rsidRPr="000E1707" w:rsidRDefault="00D97C0E" w:rsidP="00385577">
      <w:pPr>
        <w:spacing w:line="276" w:lineRule="auto"/>
        <w:rPr>
          <w:rFonts w:asciiTheme="majorHAnsi" w:hAnsiTheme="majorHAnsi"/>
          <w:b/>
          <w:bCs/>
          <w:sz w:val="23"/>
          <w:szCs w:val="23"/>
        </w:rPr>
      </w:pPr>
      <w:r w:rsidRPr="0081254F">
        <w:rPr>
          <w:rFonts w:asciiTheme="majorHAnsi" w:hAnsiTheme="majorHAnsi"/>
          <w:sz w:val="23"/>
          <w:szCs w:val="23"/>
        </w:rPr>
        <w:t>Trialled in three pilot neighbourhoods in 2012, the MCM program now extends to 10 locations. It offers “community development activities” (fun days, coffee mornings, sewing classes, craft workshops, sport/fitness sessions, gardening clubs, youth events), and “community empowerment activities”, focusing on hearing residents’ needs and working for positive change (listening events, feedback events, steering group meetings, partnership meetings). Residents can also undertake training opportunities, and “community walkabouts” to map local assets and identify problems (Romeo-Velilla et al., 2016; Community Ventures, n.d.).</w:t>
      </w:r>
    </w:p>
    <w:p w14:paraId="0C04EA23" w14:textId="09995D8C" w:rsidR="00D97C0E" w:rsidRPr="000E1707" w:rsidRDefault="00D97C0E" w:rsidP="00385577">
      <w:pPr>
        <w:spacing w:line="276" w:lineRule="auto"/>
        <w:rPr>
          <w:rFonts w:asciiTheme="majorHAnsi" w:hAnsiTheme="majorHAnsi"/>
          <w:b/>
          <w:bCs/>
          <w:sz w:val="23"/>
          <w:szCs w:val="23"/>
        </w:rPr>
      </w:pPr>
      <w:r w:rsidRPr="0081254F">
        <w:rPr>
          <w:rFonts w:asciiTheme="majorHAnsi" w:hAnsiTheme="majorHAnsi"/>
          <w:sz w:val="23"/>
          <w:szCs w:val="23"/>
        </w:rPr>
        <w:t>MCM is anchored in a “Connecting Communities” (C2) approach (Stuteley &amp; Hughes, 2011), a community-led and asset-based model of neighbourhood transformation. C2 is a long-term, “bottom-up” model for improving health, wellbeing, and liveability in disadvantaged areas. The MCM program seeks to map local assets (social, physical, economic, services); encourage residents to take action, “learn by doing”, and lead decisions; and foster partnerships between residents and local service providers (Romeo-Velilla et al, 2016: 8). Tailored to each neighbourhood, it is funded by Stoke-on-Trent Council and delivered via community development workers. It builds on an earlier program, My Health Matters (2009–2012), which aimed to increase physical activity and healthy eating in disadvantaged communities. Partners include Staffordshire Police, Staffordshire fire service, Stoke City Football Club, and Engage Communities (a specialist service working with ethnic minorities and marginalised groups).</w:t>
      </w:r>
    </w:p>
    <w:p w14:paraId="43141719" w14:textId="5BA67AB5" w:rsidR="00D97C0E" w:rsidRPr="000E1707" w:rsidRDefault="00D97C0E" w:rsidP="00385577">
      <w:pPr>
        <w:spacing w:line="276" w:lineRule="auto"/>
        <w:rPr>
          <w:rFonts w:asciiTheme="majorHAnsi" w:hAnsiTheme="majorHAnsi"/>
          <w:b/>
          <w:bCs/>
          <w:sz w:val="23"/>
          <w:szCs w:val="23"/>
        </w:rPr>
      </w:pPr>
      <w:r w:rsidRPr="0081254F">
        <w:rPr>
          <w:rFonts w:asciiTheme="majorHAnsi" w:hAnsiTheme="majorHAnsi"/>
          <w:sz w:val="23"/>
          <w:szCs w:val="23"/>
        </w:rPr>
        <w:t>A 2016</w:t>
      </w:r>
      <w:hyperlink r:id="rId19">
        <w:r w:rsidRPr="0081254F">
          <w:rPr>
            <w:rStyle w:val="Hyperlink"/>
            <w:rFonts w:asciiTheme="majorHAnsi" w:hAnsiTheme="majorHAnsi"/>
            <w:sz w:val="23"/>
            <w:szCs w:val="23"/>
          </w:rPr>
          <w:t xml:space="preserve"> evaluation</w:t>
        </w:r>
      </w:hyperlink>
      <w:r w:rsidRPr="359636AC">
        <w:rPr>
          <w:rFonts w:asciiTheme="majorHAnsi" w:hAnsiTheme="majorHAnsi"/>
          <w:sz w:val="23"/>
          <w:szCs w:val="23"/>
        </w:rPr>
        <w:t xml:space="preserve"> </w:t>
      </w:r>
      <w:r w:rsidRPr="0081254F">
        <w:rPr>
          <w:rFonts w:asciiTheme="majorHAnsi" w:hAnsiTheme="majorHAnsi"/>
          <w:sz w:val="23"/>
          <w:szCs w:val="23"/>
        </w:rPr>
        <w:t>covered six target neighbourhoods (Romeo-Velilla et al, 2016). Outcomes included enhanced local environments and new assets (new community hubs, kerb crossings, park and community garden upgrades, clean-ups, new youth group funding); increased empowerment, social cohesion and positivity in some localities, particularly amongst highly engaged participants; and reduced isolation, littering and antisocial behaviour. Outcomes were limited for more disengaged residents/neighbourhoods, and resident-led partnerships did not develop. MCM was nominated for a 2014 NHS Alliance Innovation in Action Awards (Provider Collaboration).</w:t>
      </w:r>
    </w:p>
    <w:p w14:paraId="11DB7BA4" w14:textId="60BF5640" w:rsidR="00D97C0E" w:rsidRDefault="00D97C0E" w:rsidP="00385577">
      <w:pPr>
        <w:spacing w:line="276" w:lineRule="auto"/>
        <w:rPr>
          <w:rFonts w:asciiTheme="majorHAnsi" w:hAnsiTheme="majorHAnsi"/>
          <w:sz w:val="23"/>
          <w:szCs w:val="23"/>
        </w:rPr>
      </w:pPr>
      <w:r w:rsidRPr="0081254F">
        <w:rPr>
          <w:rFonts w:asciiTheme="majorHAnsi" w:hAnsiTheme="majorHAnsi"/>
          <w:sz w:val="23"/>
          <w:szCs w:val="23"/>
        </w:rPr>
        <w:lastRenderedPageBreak/>
        <w:t>Evaluators made some recommendations: development programs should engage entire communities, including disengaged residents and areas of high apathy; highly disengaged cohorts require longer program timelines; programs should form collaborations with existing local groups/projects; and resident perceptions of neutral, independent governance can improve engagement (Romeo-Velilla et al, 2016). The program is now delivered by Community Ventures, a community development agency. During the COVID-19 pandemic it offered a befriending service, emergency shopping and prescription collections, dog walking, and community service referral</w:t>
      </w:r>
      <w:r w:rsidRPr="0081254F">
        <w:t xml:space="preserve"> (</w:t>
      </w:r>
      <w:r w:rsidRPr="0081254F">
        <w:rPr>
          <w:rFonts w:asciiTheme="majorHAnsi" w:hAnsiTheme="majorHAnsi"/>
          <w:sz w:val="23"/>
          <w:szCs w:val="23"/>
        </w:rPr>
        <w:t>Community Ventures, n.d.).</w:t>
      </w:r>
    </w:p>
    <w:p w14:paraId="2C22EC9D" w14:textId="77777777" w:rsidR="00D97C0E" w:rsidRDefault="00D97C0E" w:rsidP="00D97C0E">
      <w:pPr>
        <w:pStyle w:val="Heading2"/>
        <w:rPr>
          <w:rFonts w:eastAsia="Calibri"/>
          <w:b/>
          <w:bCs/>
        </w:rPr>
      </w:pPr>
      <w:bookmarkStart w:id="45" w:name="_Toc108421978"/>
      <w:bookmarkStart w:id="46" w:name="_Hlk70864411"/>
      <w:r>
        <w:rPr>
          <w:rFonts w:eastAsia="Calibri"/>
        </w:rPr>
        <w:t xml:space="preserve">The </w:t>
      </w:r>
      <w:r w:rsidRPr="359636AC">
        <w:rPr>
          <w:rFonts w:eastAsia="Calibri"/>
        </w:rPr>
        <w:t>Skip Garden and Kitchen</w:t>
      </w:r>
      <w:r>
        <w:rPr>
          <w:rFonts w:eastAsia="Calibri"/>
        </w:rPr>
        <w:t>, Story Garden, Paper Garden</w:t>
      </w:r>
      <w:r w:rsidRPr="359636AC">
        <w:rPr>
          <w:rFonts w:eastAsia="Calibri"/>
        </w:rPr>
        <w:t>:</w:t>
      </w:r>
      <w:bookmarkEnd w:id="45"/>
    </w:p>
    <w:p w14:paraId="52DC190D" w14:textId="77777777" w:rsidR="00D97C0E" w:rsidRPr="00682FD3" w:rsidRDefault="00D97C0E" w:rsidP="00D97C0E">
      <w:pPr>
        <w:pStyle w:val="Heading2"/>
        <w:rPr>
          <w:rFonts w:eastAsia="Calibri"/>
          <w:b/>
          <w:bCs/>
        </w:rPr>
      </w:pPr>
      <w:bookmarkStart w:id="47" w:name="_Toc108421979"/>
      <w:r w:rsidRPr="359636AC">
        <w:rPr>
          <w:rFonts w:eastAsia="Calibri"/>
        </w:rPr>
        <w:t xml:space="preserve">Community Gardens </w:t>
      </w:r>
      <w:r>
        <w:rPr>
          <w:rFonts w:eastAsia="Calibri"/>
        </w:rPr>
        <w:t>f</w:t>
      </w:r>
      <w:r w:rsidRPr="359636AC">
        <w:rPr>
          <w:rFonts w:eastAsia="Calibri"/>
        </w:rPr>
        <w:t xml:space="preserve">or Learning, Health, </w:t>
      </w:r>
      <w:r>
        <w:rPr>
          <w:rFonts w:eastAsia="Calibri"/>
        </w:rPr>
        <w:t>a</w:t>
      </w:r>
      <w:r w:rsidRPr="359636AC">
        <w:rPr>
          <w:rFonts w:eastAsia="Calibri"/>
        </w:rPr>
        <w:t xml:space="preserve">nd </w:t>
      </w:r>
      <w:r>
        <w:rPr>
          <w:rFonts w:eastAsia="Calibri"/>
        </w:rPr>
        <w:t xml:space="preserve">Social </w:t>
      </w:r>
      <w:r w:rsidRPr="359636AC">
        <w:rPr>
          <w:rFonts w:eastAsia="Calibri"/>
        </w:rPr>
        <w:t>Inclusion</w:t>
      </w:r>
      <w:bookmarkEnd w:id="47"/>
    </w:p>
    <w:p w14:paraId="59118053" w14:textId="4B2D5A7A" w:rsidR="00D97C0E" w:rsidRPr="000E1707" w:rsidRDefault="00D97C0E" w:rsidP="00385577">
      <w:pPr>
        <w:spacing w:line="276" w:lineRule="auto"/>
        <w:rPr>
          <w:rFonts w:ascii="Calibri" w:eastAsia="Calibri" w:hAnsi="Calibri" w:cs="Calibri"/>
          <w:b/>
          <w:bCs/>
          <w:sz w:val="23"/>
          <w:szCs w:val="23"/>
        </w:rPr>
      </w:pPr>
      <w:r w:rsidRPr="359636AC">
        <w:rPr>
          <w:rFonts w:ascii="Calibri" w:eastAsia="Calibri" w:hAnsi="Calibri" w:cs="Calibri"/>
          <w:sz w:val="23"/>
          <w:szCs w:val="23"/>
        </w:rPr>
        <w:t>King’s Cross, London (2009 –</w:t>
      </w:r>
      <w:r>
        <w:rPr>
          <w:rFonts w:ascii="Calibri" w:eastAsia="Calibri" w:hAnsi="Calibri" w:cs="Calibri"/>
          <w:sz w:val="23"/>
          <w:szCs w:val="23"/>
        </w:rPr>
        <w:t>present</w:t>
      </w:r>
      <w:r w:rsidRPr="359636AC">
        <w:rPr>
          <w:rFonts w:ascii="Calibri" w:eastAsia="Calibri" w:hAnsi="Calibri" w:cs="Calibri"/>
          <w:sz w:val="23"/>
          <w:szCs w:val="23"/>
        </w:rPr>
        <w:t>)</w:t>
      </w:r>
      <w:bookmarkEnd w:id="46"/>
    </w:p>
    <w:p w14:paraId="0F74D1A3" w14:textId="77777777" w:rsidR="00D97C0E" w:rsidRPr="00D97C0E" w:rsidRDefault="00D97C0E" w:rsidP="00D97C0E">
      <w:pPr>
        <w:spacing w:after="0" w:line="276" w:lineRule="auto"/>
        <w:rPr>
          <w:rFonts w:cstheme="minorHAnsi"/>
          <w:b/>
          <w:bCs/>
          <w:color w:val="595959" w:themeColor="text1" w:themeTint="A6"/>
          <w:sz w:val="23"/>
          <w:szCs w:val="23"/>
        </w:rPr>
      </w:pPr>
      <w:r w:rsidRPr="00D97C0E">
        <w:rPr>
          <w:rFonts w:cstheme="minorHAnsi"/>
          <w:b/>
          <w:bCs/>
          <w:color w:val="595959" w:themeColor="text1" w:themeTint="A6"/>
          <w:sz w:val="23"/>
          <w:szCs w:val="23"/>
        </w:rPr>
        <w:t xml:space="preserve">Main Practice Domain(s):          </w:t>
      </w:r>
      <w:r w:rsidRPr="00D97C0E">
        <w:rPr>
          <w:rFonts w:cstheme="minorHAnsi"/>
          <w:b/>
          <w:bCs/>
          <w:color w:val="595959" w:themeColor="text1" w:themeTint="A6"/>
          <w:sz w:val="23"/>
          <w:szCs w:val="23"/>
        </w:rPr>
        <w:tab/>
        <w:t>Health and Wellbeing, Liveability, Education</w:t>
      </w:r>
    </w:p>
    <w:p w14:paraId="4C37DC27" w14:textId="0A5E5699" w:rsidR="00D97C0E" w:rsidRPr="000E1707" w:rsidRDefault="00D97C0E" w:rsidP="000E1707">
      <w:pPr>
        <w:spacing w:line="276" w:lineRule="auto"/>
        <w:rPr>
          <w:rFonts w:cstheme="minorHAnsi"/>
          <w:b/>
          <w:bCs/>
          <w:color w:val="595959" w:themeColor="text1" w:themeTint="A6"/>
          <w:sz w:val="23"/>
          <w:szCs w:val="23"/>
        </w:rPr>
      </w:pPr>
      <w:r w:rsidRPr="00D97C0E">
        <w:rPr>
          <w:rFonts w:cstheme="minorHAnsi"/>
          <w:b/>
          <w:bCs/>
          <w:color w:val="595959" w:themeColor="text1" w:themeTint="A6"/>
          <w:sz w:val="23"/>
          <w:szCs w:val="23"/>
        </w:rPr>
        <w:t xml:space="preserve">Secondary Practice Domain(s): </w:t>
      </w:r>
      <w:r w:rsidRPr="00D97C0E">
        <w:rPr>
          <w:rFonts w:cstheme="minorHAnsi"/>
          <w:b/>
          <w:bCs/>
          <w:color w:val="595959" w:themeColor="text1" w:themeTint="A6"/>
          <w:sz w:val="23"/>
          <w:szCs w:val="23"/>
        </w:rPr>
        <w:tab/>
        <w:t>Employment, Housing</w:t>
      </w:r>
    </w:p>
    <w:p w14:paraId="6EC838B3" w14:textId="73D22AC2" w:rsidR="00D97C0E" w:rsidRPr="000E1707" w:rsidRDefault="00D97C0E" w:rsidP="00385577">
      <w:pPr>
        <w:spacing w:line="276" w:lineRule="auto"/>
        <w:rPr>
          <w:rFonts w:ascii="Calibri Light" w:eastAsia="Calibri Light" w:hAnsi="Calibri Light" w:cs="Calibri Light"/>
          <w:sz w:val="23"/>
          <w:szCs w:val="23"/>
        </w:rPr>
      </w:pPr>
      <w:r w:rsidRPr="0081254F">
        <w:rPr>
          <w:rFonts w:ascii="Calibri Light" w:eastAsia="Calibri Light" w:hAnsi="Calibri Light" w:cs="Calibri Light"/>
          <w:sz w:val="23"/>
          <w:szCs w:val="23"/>
        </w:rPr>
        <w:t>London is a city of high rents, spatial inequalities, overcrowded housing, and wealth disparity. Despite several policy initiatives targeting food security, it remains a major issue. Food banks struggle to meet demand and 9 percent of children sometimes or often go to bed hungry (Marovelli, 2019: 191; Sustain, 2016). In 2015 London was rated the loneliest region in the UK (ACEVO, 2015).</w:t>
      </w:r>
    </w:p>
    <w:p w14:paraId="7593B1CD" w14:textId="602CE700" w:rsidR="00D97C0E" w:rsidRPr="000E1707" w:rsidRDefault="00D97C0E" w:rsidP="00385577">
      <w:pPr>
        <w:spacing w:line="276" w:lineRule="auto"/>
        <w:rPr>
          <w:rFonts w:ascii="Calibri Light" w:eastAsia="Calibri Light" w:hAnsi="Calibri Light" w:cs="Calibri Light"/>
          <w:sz w:val="23"/>
          <w:szCs w:val="23"/>
        </w:rPr>
      </w:pPr>
      <w:r w:rsidRPr="0081254F">
        <w:rPr>
          <w:rFonts w:ascii="Calibri Light" w:eastAsia="Calibri Light" w:hAnsi="Calibri Light" w:cs="Calibri Light"/>
          <w:sz w:val="23"/>
          <w:szCs w:val="23"/>
        </w:rPr>
        <w:t>Many of London’s low-income residents are clustered in council estates and social housing blocks, with minimal or non-existent access to communal spaces. This limits social interaction, community cohesion, and play opportunities for children. King’s Cross (pop. 13,400) is a multicultural neighbourhood in central London. In 2015 around 48 percent of local children lived in poverty, and 45 percent of older residents lived in deprivation (Kings Cross, 2015). Until recently it had limited green space and a longstanding reputation for crime and drugs.</w:t>
      </w:r>
    </w:p>
    <w:p w14:paraId="613DACB1" w14:textId="35A6C66A" w:rsidR="00D97C0E" w:rsidRPr="000E1707" w:rsidRDefault="00D97C0E" w:rsidP="00385577">
      <w:pPr>
        <w:spacing w:line="276" w:lineRule="auto"/>
        <w:rPr>
          <w:rFonts w:ascii="Calibri Light" w:eastAsia="Calibri Light" w:hAnsi="Calibri Light" w:cs="Calibri Light"/>
          <w:sz w:val="23"/>
          <w:szCs w:val="23"/>
        </w:rPr>
      </w:pPr>
      <w:r w:rsidRPr="0081254F">
        <w:rPr>
          <w:rFonts w:ascii="Calibri Light" w:eastAsia="Calibri Light" w:hAnsi="Calibri Light" w:cs="Calibri Light"/>
          <w:sz w:val="23"/>
          <w:szCs w:val="23"/>
        </w:rPr>
        <w:t>In 2007 Kings Cross became the site of a huge urban regeneration project, now nearing completion. In 2009 Global Generation, an education charity, established a community garden on the 67-acre construction site. The Skip Garden was set up as a temporary food growing space, under a “meanwhile lease” as part of the developer’s strategy for “sustainable innovation and community involvement”. The £200,000 project was funded by the Big Lottery, Islington and Camden Councils, and developers (Interim Spaces, n.d.). The installation became an epicentre for a range of community development and engagement activities.</w:t>
      </w:r>
    </w:p>
    <w:p w14:paraId="0B18886D" w14:textId="5A169B0F" w:rsidR="00D97C0E" w:rsidRPr="000E1707" w:rsidRDefault="00D97C0E" w:rsidP="00385577">
      <w:pPr>
        <w:spacing w:line="276" w:lineRule="auto"/>
        <w:rPr>
          <w:rFonts w:ascii="Calibri Light" w:eastAsia="Calibri Light" w:hAnsi="Calibri Light" w:cs="Calibri Light"/>
          <w:sz w:val="23"/>
          <w:szCs w:val="23"/>
        </w:rPr>
      </w:pPr>
      <w:r w:rsidRPr="0081254F">
        <w:rPr>
          <w:rFonts w:ascii="Calibri Light" w:eastAsia="Calibri Light" w:hAnsi="Calibri Light" w:cs="Calibri Light"/>
          <w:sz w:val="23"/>
          <w:szCs w:val="23"/>
        </w:rPr>
        <w:t>The Skip Garden was designed to be portable, moving to different locations as land was sold for construction. Built by young people and local volunteers, it was created from upcycled rubbish skips and polytunnels, with material donated by construction companies. Residents grew fruit trees, vegetables, herbs, and flowers, and maintained beehives. Based on organic practices (rotational planting, rainwater harvesting, aerobic composting), the garden was largely self-sustaining (Global Generation, n.d.).</w:t>
      </w:r>
    </w:p>
    <w:p w14:paraId="473685D4" w14:textId="77777777" w:rsidR="00D97C0E" w:rsidRPr="0081254F" w:rsidRDefault="00D97C0E" w:rsidP="00385577">
      <w:pPr>
        <w:spacing w:line="276" w:lineRule="auto"/>
        <w:rPr>
          <w:b/>
          <w:bCs/>
        </w:rPr>
      </w:pPr>
      <w:r w:rsidRPr="0081254F">
        <w:rPr>
          <w:rFonts w:ascii="Calibri Light" w:eastAsia="Calibri Light" w:hAnsi="Calibri Light" w:cs="Calibri Light"/>
          <w:sz w:val="23"/>
          <w:szCs w:val="23"/>
        </w:rPr>
        <w:t xml:space="preserve">The project combined food education for kids, healthy food-sharing activities, workshops, recreational programs, and the Skip Kitchen, a small but lively vegetarian cafe that generated </w:t>
      </w:r>
      <w:r w:rsidRPr="0081254F">
        <w:rPr>
          <w:rFonts w:ascii="Calibri Light" w:eastAsia="Calibri Light" w:hAnsi="Calibri Light" w:cs="Calibri Light"/>
          <w:sz w:val="23"/>
          <w:szCs w:val="23"/>
        </w:rPr>
        <w:lastRenderedPageBreak/>
        <w:t xml:space="preserve">independent income. Staff and volunteers were primarily women from different ethnic backgrounds. Young people with learning disabilities also helped prepare and serve meals. The food preparation area was open to the dining room, and staff, guests, and volunteers ate together at shared tables (Marovelli, 2019: 196). </w:t>
      </w:r>
    </w:p>
    <w:p w14:paraId="11B8F3C1" w14:textId="77777777" w:rsidR="00D97C0E" w:rsidRPr="0081254F" w:rsidRDefault="00D97C0E" w:rsidP="000E1707">
      <w:pPr>
        <w:spacing w:after="0" w:line="276" w:lineRule="auto"/>
        <w:rPr>
          <w:b/>
          <w:bCs/>
        </w:rPr>
      </w:pPr>
      <w:r w:rsidRPr="0081254F">
        <w:rPr>
          <w:rFonts w:ascii="Calibri Light" w:eastAsia="Calibri Light" w:hAnsi="Calibri Light" w:cs="Calibri Light"/>
          <w:sz w:val="23"/>
          <w:szCs w:val="23"/>
        </w:rPr>
        <w:t>Sub-projects included:</w:t>
      </w:r>
    </w:p>
    <w:p w14:paraId="7F6BEF80" w14:textId="77777777" w:rsidR="00D97C0E" w:rsidRPr="0081254F" w:rsidRDefault="00D97C0E" w:rsidP="00E96B6E">
      <w:pPr>
        <w:pStyle w:val="ListParagraph"/>
        <w:numPr>
          <w:ilvl w:val="0"/>
          <w:numId w:val="8"/>
        </w:numPr>
        <w:spacing w:after="120" w:line="276" w:lineRule="auto"/>
        <w:ind w:left="357" w:hanging="357"/>
        <w:contextualSpacing w:val="0"/>
        <w:rPr>
          <w:rFonts w:eastAsiaTheme="minorEastAsia"/>
          <w:b/>
          <w:bCs/>
          <w:sz w:val="23"/>
          <w:szCs w:val="23"/>
        </w:rPr>
      </w:pPr>
      <w:r w:rsidRPr="0081254F">
        <w:rPr>
          <w:rFonts w:eastAsia="Calibri Light" w:cstheme="minorHAnsi"/>
          <w:sz w:val="23"/>
          <w:szCs w:val="23"/>
        </w:rPr>
        <w:t>Junior Chef Club:</w:t>
      </w:r>
      <w:r w:rsidRPr="0081254F">
        <w:rPr>
          <w:rFonts w:ascii="Calibri Light" w:eastAsia="Calibri Light" w:hAnsi="Calibri Light" w:cs="Calibri Light"/>
          <w:sz w:val="23"/>
          <w:szCs w:val="23"/>
        </w:rPr>
        <w:t xml:space="preserve"> 10-session program teaching kids about seasonality and diverse culinary traditions</w:t>
      </w:r>
    </w:p>
    <w:p w14:paraId="6AD01123" w14:textId="77777777" w:rsidR="00D97C0E" w:rsidRPr="0081254F" w:rsidRDefault="00D97C0E" w:rsidP="00E96B6E">
      <w:pPr>
        <w:pStyle w:val="ListParagraph"/>
        <w:numPr>
          <w:ilvl w:val="0"/>
          <w:numId w:val="8"/>
        </w:numPr>
        <w:spacing w:after="120" w:line="276" w:lineRule="auto"/>
        <w:ind w:left="357" w:hanging="357"/>
        <w:contextualSpacing w:val="0"/>
        <w:rPr>
          <w:rFonts w:eastAsiaTheme="minorEastAsia"/>
          <w:b/>
          <w:bCs/>
          <w:sz w:val="23"/>
          <w:szCs w:val="23"/>
        </w:rPr>
      </w:pPr>
      <w:r w:rsidRPr="0081254F">
        <w:rPr>
          <w:rFonts w:eastAsia="Calibri Light" w:cstheme="minorHAnsi"/>
          <w:sz w:val="23"/>
          <w:szCs w:val="23"/>
        </w:rPr>
        <w:t>Friday Night Out:</w:t>
      </w:r>
      <w:r w:rsidRPr="0081254F">
        <w:rPr>
          <w:rFonts w:ascii="Calibri Light" w:eastAsia="Calibri Light" w:hAnsi="Calibri Light" w:cs="Calibri Light"/>
          <w:sz w:val="23"/>
          <w:szCs w:val="23"/>
        </w:rPr>
        <w:t xml:space="preserve"> fortnightly program for kids aged 8–14 to play football, cook and eat together (fostering healthy attitudes towards sports and food)</w:t>
      </w:r>
    </w:p>
    <w:p w14:paraId="4A5FDCA0" w14:textId="3A25DB6E" w:rsidR="00D97C0E" w:rsidRPr="000E1707" w:rsidRDefault="00D97C0E" w:rsidP="00E96B6E">
      <w:pPr>
        <w:pStyle w:val="ListParagraph"/>
        <w:numPr>
          <w:ilvl w:val="0"/>
          <w:numId w:val="8"/>
        </w:numPr>
        <w:spacing w:after="120" w:line="276" w:lineRule="auto"/>
        <w:ind w:left="357" w:hanging="357"/>
        <w:contextualSpacing w:val="0"/>
        <w:rPr>
          <w:rFonts w:eastAsiaTheme="minorEastAsia"/>
          <w:b/>
          <w:bCs/>
          <w:sz w:val="23"/>
          <w:szCs w:val="23"/>
        </w:rPr>
      </w:pPr>
      <w:r w:rsidRPr="0081254F">
        <w:rPr>
          <w:rFonts w:eastAsia="Calibri Light" w:cstheme="minorHAnsi"/>
          <w:sz w:val="23"/>
          <w:szCs w:val="23"/>
        </w:rPr>
        <w:t>Lunch and Learning:</w:t>
      </w:r>
      <w:r w:rsidRPr="0081254F">
        <w:rPr>
          <w:rFonts w:ascii="Calibri Light" w:eastAsia="Calibri Light" w:hAnsi="Calibri Light" w:cs="Calibri Light"/>
          <w:sz w:val="23"/>
          <w:szCs w:val="23"/>
        </w:rPr>
        <w:t xml:space="preserve"> kids meet local businesses owners and volunteers, do workshops together, co-design products and activities, then share lunch (Marovelli, 2019: 193).</w:t>
      </w:r>
    </w:p>
    <w:p w14:paraId="3C5526C2" w14:textId="5269707B" w:rsidR="00D97C0E" w:rsidRPr="000E1707" w:rsidRDefault="00D97C0E" w:rsidP="00385577">
      <w:pPr>
        <w:spacing w:line="276" w:lineRule="auto"/>
        <w:rPr>
          <w:rFonts w:ascii="Calibri Light" w:eastAsia="Calibri Light" w:hAnsi="Calibri Light" w:cs="Calibri Light"/>
          <w:sz w:val="23"/>
          <w:szCs w:val="23"/>
        </w:rPr>
      </w:pPr>
      <w:r w:rsidRPr="0081254F">
        <w:rPr>
          <w:rFonts w:ascii="Calibri Light" w:eastAsia="Calibri Light" w:hAnsi="Calibri Light" w:cs="Calibri Light"/>
          <w:sz w:val="23"/>
          <w:szCs w:val="23"/>
        </w:rPr>
        <w:t xml:space="preserve">A recent </w:t>
      </w:r>
      <w:hyperlink r:id="rId20" w:history="1">
        <w:r w:rsidRPr="0081254F">
          <w:rPr>
            <w:rStyle w:val="Hyperlink"/>
            <w:rFonts w:ascii="Calibri Light" w:eastAsia="Calibri Light" w:hAnsi="Calibri Light" w:cs="Calibri Light"/>
            <w:sz w:val="23"/>
            <w:szCs w:val="23"/>
          </w:rPr>
          <w:t>ethnographic study</w:t>
        </w:r>
      </w:hyperlink>
      <w:r w:rsidRPr="00117765">
        <w:rPr>
          <w:rFonts w:ascii="Calibri Light" w:eastAsia="Calibri Light" w:hAnsi="Calibri Light" w:cs="Calibri Light"/>
          <w:sz w:val="23"/>
          <w:szCs w:val="23"/>
        </w:rPr>
        <w:t xml:space="preserve"> </w:t>
      </w:r>
      <w:r w:rsidRPr="0081254F">
        <w:rPr>
          <w:rFonts w:ascii="Calibri Light" w:eastAsia="Calibri Light" w:hAnsi="Calibri Light" w:cs="Calibri Light"/>
          <w:sz w:val="23"/>
          <w:szCs w:val="23"/>
        </w:rPr>
        <w:t>found that the Skip Garden and Kitchen provided a safe, welcoming space for people to socialise, eat nourishing meals together, exchange knowledge, and share experiences. It fostered social cohesion, built community across difference, and eased loneliness for both participants and volunteers (Marovelli, 2019). The project also improved residents’ food security, access to communal space, and knowledge of healthy food. Parents said the garden was “the perfect antidote” to urban lifestyles, and that it encouraged kids to leave the house (Global Generation, 2016).</w:t>
      </w:r>
      <w:r w:rsidRPr="0081254F">
        <w:t xml:space="preserve"> </w:t>
      </w:r>
      <w:r w:rsidRPr="0081254F">
        <w:rPr>
          <w:rFonts w:ascii="Calibri Light" w:eastAsia="Calibri Light" w:hAnsi="Calibri Light" w:cs="Calibri Light"/>
          <w:sz w:val="23"/>
          <w:szCs w:val="23"/>
        </w:rPr>
        <w:t>The Skip Garden and Kitchen ran for 10 years, closing in October 2019. In early 2021, some of the skips were relocated to form “parklets” in Kentish Town.</w:t>
      </w:r>
    </w:p>
    <w:p w14:paraId="47C32CEB" w14:textId="595FD164" w:rsidR="00D97C0E" w:rsidRPr="000E1707" w:rsidRDefault="00D97C0E" w:rsidP="00385577">
      <w:pPr>
        <w:spacing w:line="276" w:lineRule="auto"/>
        <w:rPr>
          <w:rFonts w:ascii="Calibri Light" w:eastAsia="Calibri Light" w:hAnsi="Calibri Light" w:cs="Calibri Light"/>
          <w:sz w:val="23"/>
          <w:szCs w:val="23"/>
        </w:rPr>
      </w:pPr>
      <w:r w:rsidRPr="0081254F">
        <w:rPr>
          <w:rFonts w:eastAsia="Calibri Light" w:cstheme="minorHAnsi"/>
          <w:sz w:val="23"/>
          <w:szCs w:val="23"/>
        </w:rPr>
        <w:t>Story Garden:</w:t>
      </w:r>
      <w:r w:rsidRPr="0081254F">
        <w:rPr>
          <w:rFonts w:ascii="Calibri Light" w:eastAsia="Calibri Light" w:hAnsi="Calibri Light" w:cs="Calibri Light"/>
          <w:sz w:val="23"/>
          <w:szCs w:val="23"/>
        </w:rPr>
        <w:t xml:space="preserve"> In June 2019 work began on a new temporary garden in Somers Town, an adjacent suburb. The Story Garden is sited on a one-acre block behind the British Library. Around 650 adults and 300 young people co-designed and created the new garden, including residents, school students, local workers, and library staff. Strategies to foster collective ownership included kids’ design and build sessions, university collaborations, drop-in volunteer sessions, holiday clubs, and work experience placements.</w:t>
      </w:r>
    </w:p>
    <w:p w14:paraId="259F0665" w14:textId="77777777" w:rsidR="00D97C0E" w:rsidRPr="0081254F" w:rsidRDefault="00D97C0E" w:rsidP="00385577">
      <w:pPr>
        <w:spacing w:line="276" w:lineRule="auto"/>
        <w:rPr>
          <w:b/>
          <w:bCs/>
        </w:rPr>
      </w:pPr>
      <w:r w:rsidRPr="0081254F">
        <w:rPr>
          <w:rFonts w:ascii="Calibri Light" w:eastAsia="Calibri Light" w:hAnsi="Calibri Light" w:cs="Calibri Light"/>
          <w:sz w:val="23"/>
          <w:szCs w:val="23"/>
        </w:rPr>
        <w:t>The site includes garden beds, a kitchen, classroom, gathering space, and workshop. Run by Central Saint Martin’s (University of the Arts), the MAKE workshop provides space, guidance, and equipment to help young people co-create projects with community members. Activities include weaving, upcycling, carpentry, permaculture, cooking, and storytelling workshops.</w:t>
      </w:r>
    </w:p>
    <w:p w14:paraId="02B9263A" w14:textId="4BF0DFA4" w:rsidR="00D97C0E" w:rsidRPr="000E1707" w:rsidRDefault="00D97C0E" w:rsidP="00385577">
      <w:pPr>
        <w:spacing w:line="276" w:lineRule="auto"/>
        <w:rPr>
          <w:rFonts w:ascii="Calibri Light" w:eastAsia="Calibri Light" w:hAnsi="Calibri Light" w:cs="Calibri Light"/>
          <w:sz w:val="23"/>
          <w:szCs w:val="23"/>
        </w:rPr>
      </w:pPr>
      <w:r w:rsidRPr="0081254F">
        <w:rPr>
          <w:rFonts w:eastAsia="Calibri Light" w:cstheme="minorHAnsi"/>
          <w:sz w:val="23"/>
          <w:szCs w:val="23"/>
        </w:rPr>
        <w:t>Paper Garden + Floating Garden:</w:t>
      </w:r>
      <w:r w:rsidRPr="0081254F">
        <w:rPr>
          <w:rFonts w:ascii="Calibri Light" w:eastAsia="Calibri Light" w:hAnsi="Calibri Light" w:cs="Calibri Light"/>
          <w:sz w:val="23"/>
          <w:szCs w:val="23"/>
        </w:rPr>
        <w:t xml:space="preserve"> As of April 2021, two new participatory projects are underway: the Paper Garden, a “collaborative seedbed” for intergenerational knowledge-sharing, creativity, and community-building, sited in an old print factory in Canada Water, a major new development site in London’s Docklands; and a project involving young people and architects co-designing a floating garden on a barge along a nearby canal.</w:t>
      </w:r>
    </w:p>
    <w:p w14:paraId="4C124335" w14:textId="72C06925" w:rsidR="00D97C0E" w:rsidRPr="000E1707" w:rsidRDefault="00D97C0E" w:rsidP="00385577">
      <w:pPr>
        <w:spacing w:line="276" w:lineRule="auto"/>
        <w:rPr>
          <w:b/>
          <w:bCs/>
        </w:rPr>
      </w:pPr>
      <w:r w:rsidRPr="0081254F">
        <w:rPr>
          <w:rFonts w:ascii="Calibri Light" w:eastAsia="Calibri Light" w:hAnsi="Calibri Light" w:cs="Calibri Light"/>
          <w:sz w:val="23"/>
          <w:szCs w:val="23"/>
        </w:rPr>
        <w:t>Success factors include the lead agency’s expertise; its flexible, inclusive, and creative approach; effective community engagement strategies; a strong volunteer population; and robust partnerships with local councils, developers, businesses, schools, universities, and community organisations.</w:t>
      </w:r>
    </w:p>
    <w:p w14:paraId="73A92683" w14:textId="77777777" w:rsidR="00D97C0E" w:rsidRPr="0030000F" w:rsidRDefault="00D97C0E" w:rsidP="00D97C0E">
      <w:pPr>
        <w:pStyle w:val="Heading2"/>
        <w:rPr>
          <w:b/>
          <w:bCs/>
        </w:rPr>
      </w:pPr>
      <w:bookmarkStart w:id="48" w:name="_Toc108421980"/>
      <w:bookmarkStart w:id="49" w:name="_Hlk70864687"/>
      <w:r w:rsidRPr="0030000F">
        <w:lastRenderedPageBreak/>
        <w:t xml:space="preserve">We Dundee: Crowd-Sourcing Platform </w:t>
      </w:r>
      <w:r>
        <w:t>f</w:t>
      </w:r>
      <w:r w:rsidRPr="0030000F">
        <w:t>or Citizen Engagement</w:t>
      </w:r>
      <w:bookmarkEnd w:id="48"/>
    </w:p>
    <w:p w14:paraId="55EE7157" w14:textId="5A8EB716" w:rsidR="00D97C0E" w:rsidRPr="000E1707" w:rsidRDefault="00D97C0E" w:rsidP="00385577">
      <w:pPr>
        <w:spacing w:line="276" w:lineRule="auto"/>
        <w:rPr>
          <w:b/>
          <w:bCs/>
          <w:sz w:val="23"/>
          <w:szCs w:val="23"/>
        </w:rPr>
      </w:pPr>
      <w:r w:rsidRPr="0030000F">
        <w:rPr>
          <w:sz w:val="23"/>
          <w:szCs w:val="23"/>
        </w:rPr>
        <w:t>Dundee, Scotland (2013–present)</w:t>
      </w:r>
      <w:bookmarkEnd w:id="49"/>
    </w:p>
    <w:p w14:paraId="1E78D8F5" w14:textId="14599258" w:rsidR="00D97C0E" w:rsidRPr="000E1707" w:rsidRDefault="00D97C0E" w:rsidP="000E1707">
      <w:pPr>
        <w:spacing w:line="276" w:lineRule="auto"/>
        <w:rPr>
          <w:rFonts w:cstheme="minorHAnsi"/>
          <w:b/>
          <w:bCs/>
          <w:color w:val="595959" w:themeColor="text1" w:themeTint="A6"/>
          <w:sz w:val="23"/>
          <w:szCs w:val="23"/>
        </w:rPr>
      </w:pPr>
      <w:r w:rsidRPr="00D97C0E">
        <w:rPr>
          <w:rFonts w:cstheme="minorHAnsi"/>
          <w:b/>
          <w:bCs/>
          <w:color w:val="595959" w:themeColor="text1" w:themeTint="A6"/>
          <w:sz w:val="23"/>
          <w:szCs w:val="23"/>
        </w:rPr>
        <w:t xml:space="preserve">Main Practice Domain(s): </w:t>
      </w:r>
      <w:r w:rsidRPr="00D97C0E">
        <w:rPr>
          <w:rFonts w:cstheme="minorHAnsi"/>
          <w:b/>
          <w:bCs/>
          <w:color w:val="595959" w:themeColor="text1" w:themeTint="A6"/>
          <w:sz w:val="23"/>
          <w:szCs w:val="23"/>
        </w:rPr>
        <w:tab/>
        <w:t>Liveability</w:t>
      </w:r>
    </w:p>
    <w:p w14:paraId="1DEBFD13" w14:textId="1FF8D2AA" w:rsidR="00D97C0E" w:rsidRPr="000E1707" w:rsidRDefault="00D97C0E" w:rsidP="00385577">
      <w:pPr>
        <w:spacing w:line="276" w:lineRule="auto"/>
        <w:rPr>
          <w:rFonts w:asciiTheme="majorHAnsi" w:hAnsiTheme="majorHAnsi" w:cstheme="majorBidi"/>
          <w:sz w:val="23"/>
          <w:szCs w:val="23"/>
        </w:rPr>
      </w:pPr>
      <w:r w:rsidRPr="0081254F">
        <w:rPr>
          <w:rFonts w:asciiTheme="majorHAnsi" w:hAnsiTheme="majorHAnsi" w:cstheme="majorBidi"/>
          <w:sz w:val="23"/>
          <w:szCs w:val="23"/>
        </w:rPr>
        <w:t xml:space="preserve">The port city of Dundee (pop. 149,000) is Scotland’s fourth-largest city. Dundee has a vibrant creative community, a high student population, and a strong industrial and maritime heritage founded on textile manufacturing, whaling, and shipbuilding. The city also ranks relatively high on the Scottish Index of Multiple Deprivation (SIMD, 2020), with lower wages, lower life expectancy, and higher unemployment than Scotland overall (Dundee City Council, 2019; NRS Scotland, 2019). </w:t>
      </w:r>
    </w:p>
    <w:p w14:paraId="3B032BBF" w14:textId="27B69655" w:rsidR="00D97C0E" w:rsidRPr="000E1707" w:rsidRDefault="00D97C0E" w:rsidP="00385577">
      <w:pPr>
        <w:spacing w:line="276" w:lineRule="auto"/>
        <w:rPr>
          <w:rFonts w:asciiTheme="majorHAnsi" w:hAnsiTheme="majorHAnsi" w:cstheme="majorBidi"/>
          <w:sz w:val="23"/>
          <w:szCs w:val="23"/>
        </w:rPr>
      </w:pPr>
      <w:r w:rsidRPr="0081254F">
        <w:rPr>
          <w:rFonts w:asciiTheme="majorHAnsi" w:hAnsiTheme="majorHAnsi" w:cstheme="majorBidi"/>
          <w:sz w:val="23"/>
          <w:szCs w:val="23"/>
        </w:rPr>
        <w:t>Since the late 1980s, arts and culture-led regeneration have played a central role in countering Dundee’s post-industrial decline (Dundee City Council, 2015: 3). The city’s creative industries now produce an annual turnover of £190m and employ 3000 people (Harris, 2017).</w:t>
      </w:r>
    </w:p>
    <w:p w14:paraId="5FD1834E" w14:textId="22B1F4CD" w:rsidR="00D97C0E" w:rsidRPr="000E1707" w:rsidRDefault="00D97C0E" w:rsidP="00385577">
      <w:pPr>
        <w:spacing w:line="276" w:lineRule="auto"/>
        <w:rPr>
          <w:rFonts w:asciiTheme="majorHAnsi" w:hAnsiTheme="majorHAnsi" w:cstheme="majorBidi"/>
          <w:sz w:val="23"/>
          <w:szCs w:val="23"/>
        </w:rPr>
      </w:pPr>
      <w:r w:rsidRPr="0081254F">
        <w:rPr>
          <w:rFonts w:asciiTheme="majorHAnsi" w:hAnsiTheme="majorHAnsi" w:cstheme="majorBidi"/>
          <w:sz w:val="23"/>
          <w:szCs w:val="23"/>
        </w:rPr>
        <w:t>The We Dundee project was conceived in 2013 as a participatory tool for residents to help shape Dundee’s bid to become the UK City of Culture (a national award). A digital crowd-sourcing platform was set up to collect people’s impressions of Dundee and ideas for its future. Over nine months the We Dundee website attracted contributions from 4000 people, from over 1000 cities around the world. Local input was also gathered through a pop-up consultation stand that roved around Dundee, and via hundreds of hand-written notes submitted to local libraries. Many of the resulting ideas were staged as activities, projects, and events across the city in the following years (Creative Dundee, 2013).</w:t>
      </w:r>
    </w:p>
    <w:p w14:paraId="03A71F3B" w14:textId="77777777" w:rsidR="00D97C0E" w:rsidRPr="0081254F" w:rsidRDefault="00D97C0E" w:rsidP="00385577">
      <w:pPr>
        <w:spacing w:line="276" w:lineRule="auto"/>
        <w:rPr>
          <w:rFonts w:asciiTheme="majorHAnsi" w:hAnsiTheme="majorHAnsi" w:cstheme="majorBidi"/>
          <w:b/>
          <w:bCs/>
          <w:sz w:val="23"/>
          <w:szCs w:val="23"/>
        </w:rPr>
      </w:pPr>
      <w:r w:rsidRPr="0081254F">
        <w:rPr>
          <w:rFonts w:asciiTheme="majorHAnsi" w:hAnsiTheme="majorHAnsi" w:cstheme="majorBidi"/>
          <w:sz w:val="23"/>
          <w:szCs w:val="23"/>
        </w:rPr>
        <w:t>Dundee did not win its 2017 City of Culture bid. But in 2014 it landed a bigger prize, becoming a designated UNESCO City of Design. Public engagement and participation through the We Dundee project was a “defining feature” of the city’s successful UNESCO bid (Dundee City Council, 2015: 3). Citizens’ ideas were incorporated into both the UNESCO application and the city’s Cultural Strategy (Creative Dundee, 2019: 8).</w:t>
      </w:r>
    </w:p>
    <w:p w14:paraId="05F8110D" w14:textId="20091F9C" w:rsidR="00D97C0E" w:rsidRPr="000E1707" w:rsidRDefault="00D97C0E" w:rsidP="00385577">
      <w:pPr>
        <w:spacing w:line="276" w:lineRule="auto"/>
        <w:rPr>
          <w:rFonts w:asciiTheme="majorHAnsi" w:hAnsiTheme="majorHAnsi" w:cstheme="majorBidi"/>
          <w:sz w:val="23"/>
          <w:szCs w:val="23"/>
        </w:rPr>
      </w:pPr>
      <w:r w:rsidRPr="0081254F">
        <w:rPr>
          <w:rFonts w:asciiTheme="majorHAnsi" w:hAnsiTheme="majorHAnsi" w:cstheme="majorBidi"/>
          <w:sz w:val="23"/>
          <w:szCs w:val="23"/>
        </w:rPr>
        <w:t>In May 2020 a major waterfront redevelopment project – the centrepiece of a 30-year scheme to boost Dundee’s economic fortunes – was halted due to COVID-19 lockdowns (Anderson, 2020). That same month, the We Dundee project was relaunched. The project seeks to “put the voices of people at the heart of the conversation” about Dundee’s future, and its COVID-19 recovery. Project partners are UNESCO City of Design Dundee and Creative Dundee, an arts-based social enterprise.</w:t>
      </w:r>
    </w:p>
    <w:p w14:paraId="21E99FD8" w14:textId="190E73EC" w:rsidR="00D97C0E" w:rsidRPr="000E1707" w:rsidRDefault="00D97C0E" w:rsidP="00385577">
      <w:pPr>
        <w:spacing w:line="276" w:lineRule="auto"/>
        <w:rPr>
          <w:rFonts w:asciiTheme="majorHAnsi" w:hAnsiTheme="majorHAnsi" w:cstheme="majorBidi"/>
          <w:sz w:val="23"/>
          <w:szCs w:val="23"/>
        </w:rPr>
      </w:pPr>
      <w:r w:rsidRPr="0081254F">
        <w:rPr>
          <w:rFonts w:asciiTheme="majorHAnsi" w:hAnsiTheme="majorHAnsi" w:cstheme="majorBidi"/>
          <w:sz w:val="23"/>
          <w:szCs w:val="23"/>
        </w:rPr>
        <w:t xml:space="preserve">The </w:t>
      </w:r>
      <w:hyperlink r:id="rId21">
        <w:r w:rsidRPr="0081254F">
          <w:rPr>
            <w:rFonts w:asciiTheme="majorHAnsi" w:hAnsiTheme="majorHAnsi" w:cstheme="majorBidi"/>
            <w:color w:val="0000FF"/>
            <w:sz w:val="23"/>
            <w:szCs w:val="23"/>
            <w:u w:val="single"/>
          </w:rPr>
          <w:t>We Dundee website</w:t>
        </w:r>
      </w:hyperlink>
      <w:r w:rsidRPr="359636AC">
        <w:rPr>
          <w:rFonts w:asciiTheme="majorHAnsi" w:hAnsiTheme="majorHAnsi" w:cstheme="majorBidi"/>
          <w:sz w:val="23"/>
          <w:szCs w:val="23"/>
        </w:rPr>
        <w:t xml:space="preserve"> </w:t>
      </w:r>
      <w:r w:rsidRPr="0081254F">
        <w:rPr>
          <w:rFonts w:asciiTheme="majorHAnsi" w:hAnsiTheme="majorHAnsi" w:cstheme="majorBidi"/>
          <w:sz w:val="23"/>
          <w:szCs w:val="23"/>
        </w:rPr>
        <w:t>is a “playful design tool” and participatory online platform that acts as a public bulletin board, displaying residents’ contributions textual/visual form. The process is simple: a question is posted, people type short responses into a box, then add simple design features to create a colourful tile. The tiles are displayed in grid format, forming a collage of diverse voices, ideas, and recommendations.</w:t>
      </w:r>
    </w:p>
    <w:p w14:paraId="6A5F519F" w14:textId="5A81ECD0" w:rsidR="00D97C0E" w:rsidRPr="000E1707" w:rsidRDefault="00D97C0E" w:rsidP="00385577">
      <w:pPr>
        <w:spacing w:line="276" w:lineRule="auto"/>
        <w:rPr>
          <w:rFonts w:asciiTheme="majorHAnsi" w:hAnsiTheme="majorHAnsi" w:cstheme="majorBidi"/>
          <w:sz w:val="23"/>
          <w:szCs w:val="23"/>
        </w:rPr>
      </w:pPr>
      <w:r w:rsidRPr="0081254F">
        <w:rPr>
          <w:rFonts w:asciiTheme="majorHAnsi" w:hAnsiTheme="majorHAnsi" w:cstheme="majorBidi"/>
          <w:sz w:val="23"/>
          <w:szCs w:val="23"/>
        </w:rPr>
        <w:t xml:space="preserve">The first question, “What has surprised you during these [COVID] times?”, elicited 215 anonymous responses over six weeks. Data was collated into a report, including respondents’ postcodes. Replies reflected people’s experiences of lockdown: 39 percent of responses related </w:t>
      </w:r>
      <w:r w:rsidRPr="0081254F">
        <w:rPr>
          <w:rFonts w:asciiTheme="majorHAnsi" w:hAnsiTheme="majorHAnsi" w:cstheme="majorBidi"/>
          <w:sz w:val="23"/>
          <w:szCs w:val="23"/>
        </w:rPr>
        <w:lastRenderedPageBreak/>
        <w:t>to outdoor activities. Across all entries, the most prevalent themes were nature, parks and green spaces, community, walks, and sense of place, respectively.</w:t>
      </w:r>
    </w:p>
    <w:p w14:paraId="405A42FB" w14:textId="4566DDB9" w:rsidR="00D97C0E" w:rsidRPr="000E1707" w:rsidRDefault="00D97C0E" w:rsidP="00385577">
      <w:pPr>
        <w:spacing w:line="276" w:lineRule="auto"/>
        <w:rPr>
          <w:rFonts w:asciiTheme="majorHAnsi" w:hAnsiTheme="majorHAnsi" w:cstheme="majorBidi"/>
          <w:b/>
          <w:bCs/>
          <w:sz w:val="23"/>
          <w:szCs w:val="23"/>
        </w:rPr>
      </w:pPr>
      <w:r w:rsidRPr="0081254F">
        <w:rPr>
          <w:rFonts w:asciiTheme="majorHAnsi" w:hAnsiTheme="majorHAnsi" w:cstheme="majorBidi"/>
          <w:sz w:val="23"/>
          <w:szCs w:val="23"/>
        </w:rPr>
        <w:t>The current posted question is: “Re-imagine Dundee. What needs to happen next?” Sample answers include: “Pedestrianise Reform Street”, “House the homeless”, “Give graduates a reason to stay in Dundee”, “Infect the city with joy and hope”, “Clean up your dog poo”, “Build properly segregated cycle lanes so I can cycle to work safely”, and “Make more of our City of Design status.” Site moderators also posted several responses that were critical of the We Dundee project (including one that proposed an alternative means of seeking citizen input: “This is not a good way to find out what people need. People who are struggling to survive will not be filling out frilly websites. Please support people’s assemblies.”)</w:t>
      </w:r>
    </w:p>
    <w:p w14:paraId="61C87B49" w14:textId="77777777" w:rsidR="00D97C0E" w:rsidRPr="00232E4F" w:rsidRDefault="00D97C0E" w:rsidP="00D97C0E">
      <w:pPr>
        <w:pStyle w:val="Heading2"/>
      </w:pPr>
      <w:bookmarkStart w:id="50" w:name="_Toc108421981"/>
      <w:r w:rsidRPr="00232E4F">
        <w:t>Nourishing Landscapes</w:t>
      </w:r>
      <w:r>
        <w:t>: Urban Gardens for Food Security</w:t>
      </w:r>
      <w:bookmarkEnd w:id="50"/>
    </w:p>
    <w:p w14:paraId="0CCF639C" w14:textId="1654ED35" w:rsidR="00D97C0E" w:rsidRPr="000E1707" w:rsidRDefault="00D97C0E" w:rsidP="00385577">
      <w:pPr>
        <w:spacing w:line="276" w:lineRule="auto"/>
        <w:rPr>
          <w:rFonts w:cstheme="minorHAnsi"/>
          <w:b/>
          <w:bCs/>
          <w:sz w:val="23"/>
          <w:szCs w:val="23"/>
        </w:rPr>
      </w:pPr>
      <w:r w:rsidRPr="00086D33">
        <w:rPr>
          <w:rFonts w:cstheme="minorHAnsi"/>
          <w:sz w:val="23"/>
          <w:szCs w:val="23"/>
        </w:rPr>
        <w:t>Nantes, France (</w:t>
      </w:r>
      <w:r>
        <w:rPr>
          <w:rFonts w:cstheme="minorHAnsi"/>
          <w:sz w:val="23"/>
          <w:szCs w:val="23"/>
        </w:rPr>
        <w:t xml:space="preserve">June </w:t>
      </w:r>
      <w:r w:rsidRPr="00086D33">
        <w:rPr>
          <w:rFonts w:cstheme="minorHAnsi"/>
          <w:sz w:val="23"/>
          <w:szCs w:val="23"/>
        </w:rPr>
        <w:t>2020–present)</w:t>
      </w:r>
    </w:p>
    <w:p w14:paraId="0B2D0C80" w14:textId="77777777" w:rsidR="00D97C0E" w:rsidRPr="00BF493B" w:rsidRDefault="00D97C0E" w:rsidP="00D97C0E">
      <w:pPr>
        <w:spacing w:after="0" w:line="276" w:lineRule="auto"/>
        <w:rPr>
          <w:rFonts w:cstheme="minorHAnsi"/>
          <w:b/>
          <w:bCs/>
          <w:color w:val="595959" w:themeColor="text1" w:themeTint="A6"/>
          <w:sz w:val="23"/>
          <w:szCs w:val="23"/>
        </w:rPr>
      </w:pPr>
      <w:r w:rsidRPr="00D97C0E">
        <w:rPr>
          <w:rFonts w:cstheme="minorHAnsi"/>
          <w:b/>
          <w:bCs/>
          <w:color w:val="595959" w:themeColor="text1" w:themeTint="A6"/>
          <w:sz w:val="23"/>
          <w:szCs w:val="23"/>
        </w:rPr>
        <w:t xml:space="preserve">Main Practice Domain(s): </w:t>
      </w:r>
      <w:r w:rsidRPr="00D97C0E">
        <w:rPr>
          <w:rFonts w:cstheme="minorHAnsi"/>
          <w:b/>
          <w:bCs/>
          <w:color w:val="595959" w:themeColor="text1" w:themeTint="A6"/>
          <w:sz w:val="23"/>
          <w:szCs w:val="23"/>
        </w:rPr>
        <w:tab/>
      </w:r>
      <w:r w:rsidRPr="00D97C0E">
        <w:rPr>
          <w:rFonts w:cstheme="minorHAnsi"/>
          <w:b/>
          <w:bCs/>
          <w:color w:val="595959" w:themeColor="text1" w:themeTint="A6"/>
          <w:sz w:val="23"/>
          <w:szCs w:val="23"/>
        </w:rPr>
        <w:tab/>
        <w:t>Health and Wellbeing, Liveability</w:t>
      </w:r>
    </w:p>
    <w:p w14:paraId="2DBACDBE" w14:textId="531CCC6A" w:rsidR="00D97C0E" w:rsidRPr="000E1707" w:rsidRDefault="00D97C0E" w:rsidP="000E1707">
      <w:pPr>
        <w:spacing w:line="276" w:lineRule="auto"/>
        <w:rPr>
          <w:rFonts w:cstheme="minorHAnsi"/>
          <w:b/>
          <w:bCs/>
          <w:color w:val="595959" w:themeColor="text1" w:themeTint="A6"/>
          <w:sz w:val="23"/>
          <w:szCs w:val="23"/>
        </w:rPr>
      </w:pPr>
      <w:r w:rsidRPr="00D97C0E">
        <w:rPr>
          <w:rFonts w:cstheme="minorHAnsi"/>
          <w:b/>
          <w:bCs/>
          <w:color w:val="595959" w:themeColor="text1" w:themeTint="A6"/>
          <w:sz w:val="23"/>
          <w:szCs w:val="23"/>
        </w:rPr>
        <w:t xml:space="preserve">Secondary Practice Domain(s): </w:t>
      </w:r>
      <w:r w:rsidRPr="00D97C0E">
        <w:rPr>
          <w:rFonts w:cstheme="minorHAnsi"/>
          <w:b/>
          <w:bCs/>
          <w:color w:val="595959" w:themeColor="text1" w:themeTint="A6"/>
          <w:sz w:val="23"/>
          <w:szCs w:val="23"/>
        </w:rPr>
        <w:tab/>
        <w:t>Education</w:t>
      </w:r>
    </w:p>
    <w:p w14:paraId="5EA5D75D" w14:textId="48B228CA" w:rsidR="00D97C0E" w:rsidRPr="000E1707" w:rsidRDefault="00D97C0E" w:rsidP="00385577">
      <w:pPr>
        <w:spacing w:line="276" w:lineRule="auto"/>
        <w:rPr>
          <w:rFonts w:asciiTheme="majorHAnsi" w:hAnsiTheme="majorHAnsi" w:cstheme="minorHAnsi"/>
          <w:sz w:val="23"/>
          <w:szCs w:val="23"/>
        </w:rPr>
      </w:pPr>
      <w:r w:rsidRPr="0081254F">
        <w:rPr>
          <w:rFonts w:asciiTheme="majorHAnsi" w:hAnsiTheme="majorHAnsi" w:cstheme="minorHAnsi"/>
          <w:sz w:val="23"/>
          <w:szCs w:val="23"/>
        </w:rPr>
        <w:t xml:space="preserve">In early 2020, food charities in Nantes saw a steep increase in demand as COVID-19 heightened poverty and food insecurity. Sited on the Loir River in north-west France, Nantes (pop. 303,000) </w:t>
      </w:r>
      <w:r w:rsidRPr="0081254F">
        <w:rPr>
          <w:rFonts w:asciiTheme="majorHAnsi" w:hAnsiTheme="majorHAnsi"/>
          <w:sz w:val="23"/>
          <w:szCs w:val="23"/>
        </w:rPr>
        <w:t xml:space="preserve">won the EU </w:t>
      </w:r>
      <w:r w:rsidRPr="0081254F">
        <w:rPr>
          <w:rFonts w:asciiTheme="majorHAnsi" w:hAnsiTheme="majorHAnsi" w:cstheme="minorHAnsi"/>
          <w:sz w:val="23"/>
          <w:szCs w:val="23"/>
        </w:rPr>
        <w:t xml:space="preserve">European Green Capital Award in 2013 and was named Europe’s most liveable city by </w:t>
      </w:r>
      <w:r w:rsidRPr="0081254F">
        <w:rPr>
          <w:rFonts w:asciiTheme="majorHAnsi" w:hAnsiTheme="majorHAnsi" w:cstheme="minorHAnsi"/>
          <w:i/>
          <w:iCs/>
          <w:sz w:val="23"/>
          <w:szCs w:val="23"/>
        </w:rPr>
        <w:t>Time</w:t>
      </w:r>
      <w:r w:rsidRPr="0081254F">
        <w:rPr>
          <w:rFonts w:asciiTheme="majorHAnsi" w:hAnsiTheme="majorHAnsi" w:cstheme="minorHAnsi"/>
          <w:sz w:val="23"/>
          <w:szCs w:val="23"/>
        </w:rPr>
        <w:t xml:space="preserve"> magazine in 2004. The city has a strong economy but retains concentrated pockets of disadvantage and poverty.</w:t>
      </w:r>
    </w:p>
    <w:p w14:paraId="167E619C" w14:textId="75D39DC7" w:rsidR="00D97C0E" w:rsidRPr="000E1707" w:rsidRDefault="00D97C0E" w:rsidP="00385577">
      <w:pPr>
        <w:spacing w:line="276" w:lineRule="auto"/>
        <w:rPr>
          <w:rFonts w:asciiTheme="majorHAnsi" w:hAnsiTheme="majorHAnsi"/>
          <w:sz w:val="23"/>
          <w:szCs w:val="23"/>
        </w:rPr>
      </w:pPr>
      <w:r w:rsidRPr="0081254F">
        <w:rPr>
          <w:rFonts w:asciiTheme="majorHAnsi" w:hAnsiTheme="majorHAnsi"/>
          <w:sz w:val="23"/>
          <w:szCs w:val="23"/>
        </w:rPr>
        <w:t>In June 2020, the Mayor of Nantes launched Paysages Nourriciers (Nourishing Landscapes), an urban food project set up to provide fresh produce to vulnerable residents, many of whom became unemployed due to the pandemic. Council staff and volunteers transformed unused municipal land, green space, public parks and greenhouses into community vegetable gardens. More than 50 plots, totalling around 25,000 square metres, have been planted with seasonal crops including tomatoes, courgettes, beets, corn, potatoes, squash, and beans.</w:t>
      </w:r>
    </w:p>
    <w:p w14:paraId="2AD14FE3" w14:textId="5258D7AC" w:rsidR="00D97C0E" w:rsidRPr="000E1707" w:rsidRDefault="00D97C0E" w:rsidP="00385577">
      <w:pPr>
        <w:spacing w:line="276" w:lineRule="auto"/>
        <w:rPr>
          <w:rFonts w:asciiTheme="majorHAnsi" w:hAnsiTheme="majorHAnsi"/>
          <w:sz w:val="23"/>
          <w:szCs w:val="23"/>
        </w:rPr>
      </w:pPr>
      <w:r w:rsidRPr="0081254F">
        <w:rPr>
          <w:rFonts w:asciiTheme="majorHAnsi" w:hAnsiTheme="majorHAnsi"/>
          <w:sz w:val="23"/>
          <w:szCs w:val="23"/>
        </w:rPr>
        <w:t>Production sites are scattered widely across 11 city districts, with 250 urban gardeners growing organic produce in raised beds with support from local specialists. The gardens are created and tended by resident volunteer and young farmers from around the district.</w:t>
      </w:r>
      <w:r w:rsidRPr="0081254F">
        <w:rPr>
          <w:rFonts w:asciiTheme="majorHAnsi" w:hAnsiTheme="majorHAnsi"/>
        </w:rPr>
        <w:t xml:space="preserve"> </w:t>
      </w:r>
      <w:r w:rsidRPr="0081254F">
        <w:rPr>
          <w:rFonts w:asciiTheme="majorHAnsi" w:hAnsiTheme="majorHAnsi"/>
          <w:sz w:val="23"/>
          <w:szCs w:val="23"/>
        </w:rPr>
        <w:t>From July–October 2020, around 25 tons of pesticide-free fruits and vegetables were grown, harvested and delivered to 1000 low-income households. Recipients were also given recipe suggestions. Distribution was supported by the local Food Bank, charities, volunteers, and more than 100 neighbourhood associations (Eurocities, 2020; TheMayor.eu, 2020b). Inspired by communal gardens run by the Communal Centre of Social Action (CCAS) in rural and regional towns, the Nourishing Landscapes project was a partnership between the City of Nantes, CCAS, and Service of Green Spaces and the Environment (SEVE).</w:t>
      </w:r>
    </w:p>
    <w:p w14:paraId="06447471" w14:textId="3556CF68" w:rsidR="00D97C0E" w:rsidRPr="000E1707" w:rsidRDefault="00D97C0E" w:rsidP="00385577">
      <w:pPr>
        <w:spacing w:line="276" w:lineRule="auto"/>
        <w:rPr>
          <w:rFonts w:asciiTheme="majorHAnsi" w:hAnsiTheme="majorHAnsi"/>
          <w:b/>
          <w:bCs/>
          <w:sz w:val="23"/>
          <w:szCs w:val="23"/>
        </w:rPr>
      </w:pPr>
      <w:r w:rsidRPr="0081254F">
        <w:rPr>
          <w:rFonts w:asciiTheme="majorHAnsi" w:hAnsiTheme="majorHAnsi"/>
          <w:sz w:val="23"/>
          <w:szCs w:val="23"/>
        </w:rPr>
        <w:t xml:space="preserve">The project increased the local supply of fresh produce, helped green the city, and improved food security for vulnerable Nantes residents. It also enabled participants to learn new skills, share cultural practices and knowledge, and gain new understandings of agriculture, organic practices, seasonal produce, nutrition, and healthy cooking (FOA 2020a; FOA 2020b). Success factors </w:t>
      </w:r>
      <w:r w:rsidRPr="0081254F">
        <w:rPr>
          <w:rFonts w:asciiTheme="majorHAnsi" w:hAnsiTheme="majorHAnsi"/>
          <w:sz w:val="23"/>
          <w:szCs w:val="23"/>
        </w:rPr>
        <w:lastRenderedPageBreak/>
        <w:t>include the city’s ample green space, the involvement of local agricultural experts, coordinated partnerships with local agencies, and the efforts of numerous community volunteers. No formal evaluation is available, but the project will run again in summer and autumn of 2021.</w:t>
      </w:r>
    </w:p>
    <w:p w14:paraId="0B33D9B6" w14:textId="77777777" w:rsidR="00D97C0E" w:rsidRPr="005F0B7E" w:rsidRDefault="00D97C0E" w:rsidP="00D97C0E">
      <w:pPr>
        <w:pStyle w:val="Heading2"/>
        <w:rPr>
          <w:b/>
          <w:bCs/>
        </w:rPr>
      </w:pPr>
      <w:bookmarkStart w:id="51" w:name="_Toc108421982"/>
      <w:bookmarkStart w:id="52" w:name="_Hlk70864721"/>
      <w:r w:rsidRPr="005F0B7E">
        <w:t xml:space="preserve">Oslo Living Lab: </w:t>
      </w:r>
      <w:r>
        <w:t>G</w:t>
      </w:r>
      <w:r w:rsidRPr="005F0B7E">
        <w:t xml:space="preserve">reen Jobs Training </w:t>
      </w:r>
      <w:r>
        <w:t>and P</w:t>
      </w:r>
      <w:r w:rsidRPr="005F0B7E">
        <w:t>lacemaking For At-Risk Youth</w:t>
      </w:r>
      <w:bookmarkEnd w:id="51"/>
    </w:p>
    <w:p w14:paraId="632FFBE1" w14:textId="5E5F8E2A" w:rsidR="00D97C0E" w:rsidRPr="000E1707" w:rsidRDefault="00D97C0E" w:rsidP="00385577">
      <w:pPr>
        <w:spacing w:line="276" w:lineRule="auto"/>
        <w:rPr>
          <w:b/>
          <w:bCs/>
          <w:sz w:val="23"/>
          <w:szCs w:val="23"/>
        </w:rPr>
      </w:pPr>
      <w:bookmarkStart w:id="53" w:name="_Hlk61881185"/>
      <w:r w:rsidRPr="005F0B7E">
        <w:rPr>
          <w:sz w:val="23"/>
          <w:szCs w:val="23"/>
        </w:rPr>
        <w:t xml:space="preserve">Grønland, </w:t>
      </w:r>
      <w:bookmarkEnd w:id="53"/>
      <w:r w:rsidRPr="005F0B7E">
        <w:rPr>
          <w:sz w:val="23"/>
          <w:szCs w:val="23"/>
        </w:rPr>
        <w:t>Oslo, Norway (Feb 2019–</w:t>
      </w:r>
      <w:r>
        <w:rPr>
          <w:sz w:val="23"/>
          <w:szCs w:val="23"/>
        </w:rPr>
        <w:t>present</w:t>
      </w:r>
      <w:r w:rsidRPr="005F0B7E">
        <w:rPr>
          <w:sz w:val="23"/>
          <w:szCs w:val="23"/>
        </w:rPr>
        <w:t>)</w:t>
      </w:r>
      <w:bookmarkEnd w:id="52"/>
    </w:p>
    <w:p w14:paraId="42DEC825" w14:textId="77777777" w:rsidR="00D97C0E" w:rsidRPr="00FD2DF0" w:rsidRDefault="00D97C0E" w:rsidP="00D97C0E">
      <w:pPr>
        <w:spacing w:after="0" w:line="276" w:lineRule="auto"/>
        <w:rPr>
          <w:rFonts w:cstheme="minorHAnsi"/>
          <w:b/>
          <w:bCs/>
          <w:color w:val="595959" w:themeColor="text1" w:themeTint="A6"/>
          <w:sz w:val="23"/>
          <w:szCs w:val="23"/>
        </w:rPr>
      </w:pPr>
      <w:r w:rsidRPr="00D97C0E">
        <w:rPr>
          <w:rFonts w:cstheme="minorHAnsi"/>
          <w:b/>
          <w:bCs/>
          <w:color w:val="595959" w:themeColor="text1" w:themeTint="A6"/>
          <w:sz w:val="23"/>
          <w:szCs w:val="23"/>
        </w:rPr>
        <w:t xml:space="preserve">Main Practice Domain(s): </w:t>
      </w:r>
      <w:r w:rsidRPr="00D97C0E">
        <w:rPr>
          <w:rFonts w:cstheme="minorHAnsi"/>
          <w:b/>
          <w:bCs/>
          <w:color w:val="595959" w:themeColor="text1" w:themeTint="A6"/>
          <w:sz w:val="23"/>
          <w:szCs w:val="23"/>
        </w:rPr>
        <w:tab/>
      </w:r>
      <w:r w:rsidRPr="00D97C0E">
        <w:rPr>
          <w:rFonts w:cstheme="minorHAnsi"/>
          <w:b/>
          <w:bCs/>
          <w:color w:val="595959" w:themeColor="text1" w:themeTint="A6"/>
          <w:sz w:val="23"/>
          <w:szCs w:val="23"/>
        </w:rPr>
        <w:tab/>
        <w:t>Education, Employment</w:t>
      </w:r>
    </w:p>
    <w:p w14:paraId="5F1ACC08" w14:textId="20B05FC6" w:rsidR="00D97C0E" w:rsidRPr="000E1707" w:rsidRDefault="00D97C0E" w:rsidP="000E1707">
      <w:pPr>
        <w:spacing w:line="276" w:lineRule="auto"/>
        <w:rPr>
          <w:rFonts w:cstheme="minorHAnsi"/>
          <w:b/>
          <w:bCs/>
          <w:color w:val="595959" w:themeColor="text1" w:themeTint="A6"/>
          <w:sz w:val="23"/>
          <w:szCs w:val="23"/>
        </w:rPr>
      </w:pPr>
      <w:r w:rsidRPr="00D97C0E">
        <w:rPr>
          <w:rFonts w:cstheme="minorHAnsi"/>
          <w:b/>
          <w:bCs/>
          <w:color w:val="595959" w:themeColor="text1" w:themeTint="A6"/>
          <w:sz w:val="23"/>
          <w:szCs w:val="23"/>
        </w:rPr>
        <w:t xml:space="preserve">Secondary Practice Domain(s): </w:t>
      </w:r>
      <w:r w:rsidRPr="00D97C0E">
        <w:rPr>
          <w:rFonts w:cstheme="minorHAnsi"/>
          <w:b/>
          <w:bCs/>
          <w:color w:val="595959" w:themeColor="text1" w:themeTint="A6"/>
          <w:sz w:val="23"/>
          <w:szCs w:val="23"/>
        </w:rPr>
        <w:tab/>
        <w:t>Health and Wellbeing, Liveability</w:t>
      </w:r>
    </w:p>
    <w:p w14:paraId="31A5CB89" w14:textId="55C02D71" w:rsidR="00D97C0E" w:rsidRPr="000E1707" w:rsidRDefault="00D97C0E" w:rsidP="00385577">
      <w:pPr>
        <w:spacing w:line="276" w:lineRule="auto"/>
        <w:rPr>
          <w:rFonts w:asciiTheme="majorHAnsi" w:eastAsia="Times New Roman" w:hAnsiTheme="majorHAnsi" w:cstheme="majorBidi"/>
          <w:sz w:val="23"/>
          <w:szCs w:val="23"/>
          <w:lang w:eastAsia="en-AU"/>
        </w:rPr>
      </w:pPr>
      <w:r w:rsidRPr="0081254F">
        <w:rPr>
          <w:rFonts w:asciiTheme="majorHAnsi" w:eastAsia="Times New Roman" w:hAnsiTheme="majorHAnsi" w:cstheme="majorBidi"/>
          <w:sz w:val="23"/>
          <w:szCs w:val="23"/>
          <w:lang w:eastAsia="en-AU"/>
        </w:rPr>
        <w:t xml:space="preserve">Norway is a wealthy country, but in the capital city of Oslo (pop. 1,000,000) there is significant and growing spatial inequality (Finnvold, 2019). Urban regeneration projects devised to tackle this problem have in fact gentrified some areas, pushing out low-income residents </w:t>
      </w:r>
      <w:r w:rsidRPr="0081254F">
        <w:rPr>
          <w:rFonts w:asciiTheme="majorHAnsi" w:hAnsiTheme="majorHAnsi" w:cstheme="majorBidi"/>
          <w:sz w:val="23"/>
          <w:szCs w:val="23"/>
        </w:rPr>
        <w:t>(</w:t>
      </w:r>
      <w:r w:rsidRPr="0081254F">
        <w:rPr>
          <w:rFonts w:asciiTheme="majorHAnsi" w:eastAsia="Times New Roman" w:hAnsiTheme="majorHAnsi" w:cstheme="majorBidi"/>
          <w:sz w:val="23"/>
          <w:szCs w:val="23"/>
          <w:lang w:eastAsia="en-AU"/>
        </w:rPr>
        <w:t>Huse, 2014).</w:t>
      </w:r>
    </w:p>
    <w:p w14:paraId="42B886B4" w14:textId="489C239D" w:rsidR="00D97C0E" w:rsidRPr="000E1707" w:rsidRDefault="00D97C0E" w:rsidP="00385577">
      <w:pPr>
        <w:spacing w:line="276" w:lineRule="auto"/>
        <w:rPr>
          <w:rFonts w:asciiTheme="majorHAnsi" w:eastAsia="Times New Roman" w:hAnsiTheme="majorHAnsi" w:cstheme="majorBidi"/>
          <w:b/>
          <w:bCs/>
          <w:sz w:val="23"/>
          <w:szCs w:val="23"/>
          <w:lang w:eastAsia="en-AU"/>
        </w:rPr>
      </w:pPr>
      <w:r w:rsidRPr="0081254F">
        <w:rPr>
          <w:rFonts w:asciiTheme="majorHAnsi" w:eastAsia="Times New Roman" w:hAnsiTheme="majorHAnsi" w:cstheme="majorBidi"/>
          <w:sz w:val="23"/>
          <w:szCs w:val="23"/>
          <w:lang w:eastAsia="en-AU"/>
        </w:rPr>
        <w:t>Grønland (pop. 9000) is Oslo’s most culturally diverse neighbourhood. Almost half of local residents have an immigrant background (</w:t>
      </w:r>
      <w:r w:rsidRPr="0081254F">
        <w:rPr>
          <w:rFonts w:asciiTheme="majorHAnsi" w:hAnsiTheme="majorHAnsi" w:cstheme="majorBidi"/>
          <w:sz w:val="23"/>
          <w:szCs w:val="23"/>
          <w:shd w:val="clear" w:color="auto" w:fill="FFFFFF"/>
        </w:rPr>
        <w:t>Vassenden &amp; Andersson, 2011</w:t>
      </w:r>
      <w:r w:rsidRPr="0081254F">
        <w:rPr>
          <w:rFonts w:asciiTheme="majorHAnsi" w:eastAsia="Times New Roman" w:hAnsiTheme="majorHAnsi" w:cstheme="majorBidi"/>
          <w:sz w:val="23"/>
          <w:szCs w:val="23"/>
          <w:lang w:eastAsia="en-AU"/>
        </w:rPr>
        <w:t>); key ethic groups include Pakistani, Somali, and Iraqui. Bounded by major roads and railway lines, the suburb is spatially isolated from wider Oslo. A vibrant place characterised by strong social networks (Miller, 2016: 10, 50), Grønland also has high unemployment and concentrated public housing. Sixty percent of children live in poverty (Taylor, 2017); one-third of young people drop out of high school, and a quarter believe they will become unemployed</w:t>
      </w:r>
      <w:r w:rsidRPr="0081254F">
        <w:rPr>
          <w:rFonts w:asciiTheme="majorHAnsi" w:hAnsiTheme="majorHAnsi" w:cstheme="majorBidi"/>
          <w:sz w:val="23"/>
          <w:szCs w:val="23"/>
        </w:rPr>
        <w:t xml:space="preserve"> (</w:t>
      </w:r>
      <w:r w:rsidRPr="0081254F">
        <w:rPr>
          <w:rFonts w:asciiTheme="majorHAnsi" w:eastAsia="Times New Roman" w:hAnsiTheme="majorHAnsi" w:cstheme="majorBidi"/>
          <w:sz w:val="23"/>
          <w:szCs w:val="23"/>
          <w:lang w:eastAsia="en-AU"/>
        </w:rPr>
        <w:t xml:space="preserve">Placemaking Europe, 2019). There are few extra-curricular activities for youth, and limited access to high-quality public space (Miller, 2016). </w:t>
      </w:r>
    </w:p>
    <w:p w14:paraId="3C148D85" w14:textId="77777777" w:rsidR="00D97C0E" w:rsidRPr="0081254F" w:rsidRDefault="00D97C0E" w:rsidP="00385577">
      <w:pPr>
        <w:spacing w:line="276" w:lineRule="auto"/>
        <w:rPr>
          <w:rFonts w:asciiTheme="majorHAnsi" w:hAnsiTheme="majorHAnsi" w:cstheme="majorBidi"/>
          <w:b/>
          <w:bCs/>
          <w:sz w:val="23"/>
          <w:szCs w:val="23"/>
          <w:shd w:val="clear" w:color="auto" w:fill="FFFFFF"/>
        </w:rPr>
      </w:pPr>
      <w:r w:rsidRPr="0081254F">
        <w:rPr>
          <w:rFonts w:asciiTheme="majorHAnsi" w:hAnsiTheme="majorHAnsi" w:cstheme="majorBidi"/>
          <w:sz w:val="23"/>
          <w:szCs w:val="23"/>
        </w:rPr>
        <w:t xml:space="preserve">Established in 2018, the Oslo Living Lab (OLL) </w:t>
      </w:r>
      <w:r w:rsidRPr="0081254F">
        <w:rPr>
          <w:rFonts w:asciiTheme="majorHAnsi" w:eastAsia="Times New Roman" w:hAnsiTheme="majorHAnsi" w:cstheme="majorBidi"/>
          <w:sz w:val="23"/>
          <w:szCs w:val="23"/>
          <w:lang w:eastAsia="en-AU"/>
        </w:rPr>
        <w:t>provides work experience and urban greening training to young people from the local Hersleb High School (H20). The program also</w:t>
      </w:r>
      <w:r w:rsidRPr="0081254F">
        <w:rPr>
          <w:rFonts w:asciiTheme="majorHAnsi" w:hAnsiTheme="majorHAnsi" w:cstheme="majorBidi"/>
          <w:sz w:val="23"/>
          <w:szCs w:val="23"/>
        </w:rPr>
        <w:t xml:space="preserve"> </w:t>
      </w:r>
      <w:r w:rsidRPr="0081254F">
        <w:rPr>
          <w:rFonts w:asciiTheme="majorHAnsi" w:eastAsia="Times New Roman" w:hAnsiTheme="majorHAnsi" w:cstheme="majorBidi"/>
          <w:sz w:val="23"/>
          <w:szCs w:val="23"/>
          <w:lang w:eastAsia="en-AU"/>
        </w:rPr>
        <w:t xml:space="preserve">empowers them to improve public spaces using tactical urbanism. Run by </w:t>
      </w:r>
      <w:r w:rsidRPr="0081254F">
        <w:rPr>
          <w:rFonts w:asciiTheme="majorHAnsi" w:hAnsiTheme="majorHAnsi" w:cstheme="majorBidi"/>
          <w:sz w:val="23"/>
          <w:szCs w:val="23"/>
          <w:shd w:val="clear" w:color="auto" w:fill="FFFFFF"/>
        </w:rPr>
        <w:t xml:space="preserve">Nabolagshager (Neighbourhood Gardens), a local </w:t>
      </w:r>
      <w:r w:rsidRPr="0081254F">
        <w:rPr>
          <w:rFonts w:asciiTheme="majorHAnsi" w:eastAsia="Times New Roman" w:hAnsiTheme="majorHAnsi" w:cstheme="majorBidi"/>
          <w:sz w:val="23"/>
          <w:szCs w:val="23"/>
          <w:lang w:eastAsia="en-AU"/>
        </w:rPr>
        <w:t>Grønland-based</w:t>
      </w:r>
      <w:r w:rsidRPr="0081254F">
        <w:rPr>
          <w:rFonts w:asciiTheme="majorHAnsi" w:hAnsiTheme="majorHAnsi" w:cstheme="majorBidi"/>
          <w:sz w:val="23"/>
          <w:szCs w:val="23"/>
          <w:shd w:val="clear" w:color="auto" w:fill="FFFFFF"/>
        </w:rPr>
        <w:t xml:space="preserve"> urban agriculture and place-making organisation, the program is</w:t>
      </w:r>
      <w:r w:rsidRPr="0081254F">
        <w:rPr>
          <w:rFonts w:asciiTheme="majorHAnsi" w:eastAsia="Times New Roman" w:hAnsiTheme="majorHAnsi" w:cstheme="majorBidi"/>
          <w:sz w:val="23"/>
          <w:szCs w:val="23"/>
          <w:lang w:eastAsia="en-AU"/>
        </w:rPr>
        <w:t xml:space="preserve"> founded in </w:t>
      </w:r>
      <w:r w:rsidRPr="0081254F">
        <w:rPr>
          <w:rFonts w:asciiTheme="majorHAnsi" w:hAnsiTheme="majorHAnsi" w:cstheme="majorBidi"/>
          <w:sz w:val="23"/>
          <w:szCs w:val="23"/>
          <w:shd w:val="clear" w:color="auto" w:fill="FFFFFF"/>
        </w:rPr>
        <w:t>participatory design principles. Young people are encouraged to drive innovation, with guidance from professional mentors.</w:t>
      </w:r>
      <w:r w:rsidRPr="0081254F">
        <w:rPr>
          <w:rFonts w:asciiTheme="majorHAnsi" w:eastAsia="Times New Roman" w:hAnsiTheme="majorHAnsi" w:cstheme="majorBidi"/>
          <w:sz w:val="23"/>
          <w:szCs w:val="23"/>
          <w:lang w:eastAsia="en-AU"/>
        </w:rPr>
        <w:t xml:space="preserve"> </w:t>
      </w:r>
    </w:p>
    <w:p w14:paraId="5C776944" w14:textId="1F24E1CB" w:rsidR="00D97C0E" w:rsidRPr="000E1707" w:rsidRDefault="00D97C0E" w:rsidP="00385577">
      <w:pPr>
        <w:spacing w:line="276" w:lineRule="auto"/>
        <w:rPr>
          <w:rFonts w:asciiTheme="majorHAnsi" w:eastAsia="Times New Roman" w:hAnsiTheme="majorHAnsi" w:cstheme="majorBidi"/>
          <w:b/>
          <w:bCs/>
          <w:sz w:val="23"/>
          <w:szCs w:val="23"/>
          <w:lang w:eastAsia="en-AU"/>
        </w:rPr>
      </w:pPr>
      <w:r w:rsidRPr="0081254F">
        <w:rPr>
          <w:rFonts w:asciiTheme="majorHAnsi" w:eastAsia="Times New Roman" w:hAnsiTheme="majorHAnsi" w:cstheme="majorBidi"/>
          <w:sz w:val="23"/>
          <w:szCs w:val="23"/>
          <w:lang w:eastAsia="en-AU"/>
        </w:rPr>
        <w:t xml:space="preserve">The H20 school has struggled with a negative public reputation and </w:t>
      </w:r>
      <w:r w:rsidR="00E96B6E" w:rsidRPr="0081254F">
        <w:rPr>
          <w:rFonts w:asciiTheme="majorHAnsi" w:eastAsia="Times New Roman" w:hAnsiTheme="majorHAnsi" w:cstheme="majorBidi"/>
          <w:sz w:val="23"/>
          <w:szCs w:val="23"/>
          <w:lang w:eastAsia="en-AU"/>
        </w:rPr>
        <w:t>low-test</w:t>
      </w:r>
      <w:r w:rsidRPr="0081254F">
        <w:rPr>
          <w:rFonts w:asciiTheme="majorHAnsi" w:eastAsia="Times New Roman" w:hAnsiTheme="majorHAnsi" w:cstheme="majorBidi"/>
          <w:sz w:val="23"/>
          <w:szCs w:val="23"/>
          <w:lang w:eastAsia="en-AU"/>
        </w:rPr>
        <w:t xml:space="preserve"> scores, and students face a range of barriers</w:t>
      </w:r>
      <w:r w:rsidRPr="0081254F">
        <w:rPr>
          <w:rFonts w:asciiTheme="majorHAnsi" w:hAnsiTheme="majorHAnsi" w:cstheme="majorBidi"/>
          <w:sz w:val="23"/>
          <w:szCs w:val="23"/>
        </w:rPr>
        <w:t xml:space="preserve"> (</w:t>
      </w:r>
      <w:r w:rsidRPr="0081254F">
        <w:rPr>
          <w:rFonts w:asciiTheme="majorHAnsi" w:eastAsia="Times New Roman" w:hAnsiTheme="majorHAnsi" w:cstheme="majorBidi"/>
          <w:sz w:val="23"/>
          <w:szCs w:val="23"/>
          <w:lang w:eastAsia="en-AU"/>
        </w:rPr>
        <w:t xml:space="preserve">Placemaking Europe, 2019). The schoolyard, a large area of underused open space, presented an opportunity to improve the whole neighbourhood’s living environment. </w:t>
      </w:r>
      <w:r w:rsidRPr="0081254F">
        <w:rPr>
          <w:rFonts w:asciiTheme="majorHAnsi" w:hAnsiTheme="majorHAnsi" w:cstheme="majorBidi"/>
          <w:sz w:val="23"/>
          <w:szCs w:val="23"/>
        </w:rPr>
        <w:t>S</w:t>
      </w:r>
      <w:r w:rsidRPr="0081254F">
        <w:rPr>
          <w:rFonts w:asciiTheme="majorHAnsi" w:eastAsia="Times New Roman" w:hAnsiTheme="majorHAnsi" w:cstheme="majorBidi"/>
          <w:sz w:val="23"/>
          <w:szCs w:val="23"/>
          <w:lang w:eastAsia="en-AU"/>
        </w:rPr>
        <w:t>tudents researched community needs, then tested and implemented short-term actions designed to create inclusive neighbourhood meeting places.</w:t>
      </w:r>
    </w:p>
    <w:p w14:paraId="78FD6540" w14:textId="42E00060" w:rsidR="00D97C0E" w:rsidRPr="000E1707" w:rsidRDefault="00D97C0E" w:rsidP="00385577">
      <w:pPr>
        <w:spacing w:line="276" w:lineRule="auto"/>
        <w:rPr>
          <w:rFonts w:asciiTheme="majorHAnsi" w:hAnsiTheme="majorHAnsi" w:cstheme="majorBidi"/>
          <w:b/>
          <w:bCs/>
          <w:sz w:val="23"/>
          <w:szCs w:val="23"/>
          <w:lang w:eastAsia="en-AU"/>
        </w:rPr>
      </w:pPr>
      <w:r w:rsidRPr="0081254F">
        <w:rPr>
          <w:rFonts w:asciiTheme="majorHAnsi" w:hAnsiTheme="majorHAnsi" w:cstheme="majorBidi"/>
          <w:sz w:val="23"/>
          <w:szCs w:val="23"/>
        </w:rPr>
        <w:t>Success factors include Nabolagshager’s local connections, significant expertise, and existing resources; its effective use of co-design, participatory, and mentoring approaches to engage young people; strong local partnerships; and diverse funding sources. Oslo Living Lab is also part of two key EU research projects, the Edible City Network and the PlaceCity project. While no formal evaluation is yet available, the program will be tracked through these initiatives.</w:t>
      </w:r>
    </w:p>
    <w:p w14:paraId="3712009E" w14:textId="267B39B8" w:rsidR="00D97C0E" w:rsidRPr="000E1707" w:rsidRDefault="00D97C0E" w:rsidP="000E1707">
      <w:pPr>
        <w:spacing w:after="0" w:line="276" w:lineRule="auto"/>
        <w:rPr>
          <w:rFonts w:cstheme="minorHAnsi"/>
          <w:b/>
          <w:bCs/>
          <w:sz w:val="23"/>
          <w:szCs w:val="23"/>
        </w:rPr>
      </w:pPr>
      <w:r w:rsidRPr="0081254F">
        <w:rPr>
          <w:rFonts w:eastAsia="Times New Roman" w:cstheme="minorHAnsi"/>
          <w:sz w:val="23"/>
          <w:szCs w:val="23"/>
          <w:lang w:eastAsia="en-AU"/>
        </w:rPr>
        <w:t>Placemaking Sub-Projects (Tactical Urbanism):</w:t>
      </w:r>
    </w:p>
    <w:p w14:paraId="48AE7AE0" w14:textId="77777777" w:rsidR="00D97C0E" w:rsidRPr="0081254F" w:rsidRDefault="00D97C0E" w:rsidP="00E96B6E">
      <w:pPr>
        <w:numPr>
          <w:ilvl w:val="0"/>
          <w:numId w:val="12"/>
        </w:numPr>
        <w:spacing w:after="120" w:line="276" w:lineRule="auto"/>
        <w:contextualSpacing/>
        <w:rPr>
          <w:rFonts w:asciiTheme="majorHAnsi" w:eastAsiaTheme="majorEastAsia" w:hAnsiTheme="majorHAnsi" w:cstheme="majorBidi"/>
          <w:b/>
          <w:bCs/>
          <w:sz w:val="23"/>
          <w:szCs w:val="23"/>
          <w:shd w:val="clear" w:color="auto" w:fill="FFFFFF"/>
        </w:rPr>
      </w:pPr>
      <w:r w:rsidRPr="0081254F">
        <w:rPr>
          <w:rFonts w:cstheme="minorHAnsi"/>
          <w:sz w:val="23"/>
          <w:szCs w:val="23"/>
          <w:shd w:val="clear" w:color="auto" w:fill="FFFFFF"/>
        </w:rPr>
        <w:t>Pop-up furniture:</w:t>
      </w:r>
      <w:r w:rsidRPr="0081254F">
        <w:rPr>
          <w:rFonts w:asciiTheme="majorHAnsi" w:hAnsiTheme="majorHAnsi" w:cstheme="majorBidi"/>
          <w:sz w:val="23"/>
          <w:szCs w:val="23"/>
          <w:shd w:val="clear" w:color="auto" w:fill="FFFFFF"/>
        </w:rPr>
        <w:t xml:space="preserve"> </w:t>
      </w:r>
      <w:r w:rsidRPr="0081254F">
        <w:rPr>
          <w:rFonts w:asciiTheme="majorHAnsi" w:hAnsiTheme="majorHAnsi" w:cstheme="majorBidi"/>
          <w:sz w:val="23"/>
          <w:szCs w:val="23"/>
        </w:rPr>
        <w:t>Oslo Living Lab</w:t>
      </w:r>
      <w:r w:rsidRPr="0081254F">
        <w:rPr>
          <w:rFonts w:asciiTheme="majorHAnsi" w:hAnsiTheme="majorHAnsi" w:cstheme="majorBidi"/>
          <w:sz w:val="23"/>
          <w:szCs w:val="23"/>
          <w:shd w:val="clear" w:color="auto" w:fill="FFFFFF"/>
        </w:rPr>
        <w:t xml:space="preserve"> employed </w:t>
      </w:r>
      <w:r w:rsidRPr="0081254F">
        <w:rPr>
          <w:rFonts w:asciiTheme="majorHAnsi" w:eastAsia="Times New Roman" w:hAnsiTheme="majorHAnsi" w:cstheme="majorBidi"/>
          <w:sz w:val="23"/>
          <w:szCs w:val="23"/>
          <w:lang w:eastAsia="en-AU"/>
        </w:rPr>
        <w:t xml:space="preserve">local youth to co-create a colourful meeting place in their schoolyard for (and with) the local community. </w:t>
      </w:r>
      <w:r w:rsidRPr="0081254F">
        <w:rPr>
          <w:rFonts w:asciiTheme="majorHAnsi" w:hAnsiTheme="majorHAnsi" w:cstheme="majorBidi"/>
          <w:sz w:val="23"/>
          <w:szCs w:val="23"/>
        </w:rPr>
        <w:t>Working alongside volunteers from the local community,</w:t>
      </w:r>
      <w:r w:rsidRPr="0081254F">
        <w:rPr>
          <w:rFonts w:asciiTheme="majorHAnsi" w:eastAsia="Times New Roman" w:hAnsiTheme="majorHAnsi" w:cstheme="majorBidi"/>
          <w:sz w:val="23"/>
          <w:szCs w:val="23"/>
          <w:lang w:eastAsia="en-AU"/>
        </w:rPr>
        <w:t xml:space="preserve"> and guided by mentors</w:t>
      </w:r>
      <w:r w:rsidRPr="0081254F">
        <w:rPr>
          <w:rFonts w:asciiTheme="majorHAnsi" w:hAnsiTheme="majorHAnsi" w:cstheme="majorBidi"/>
          <w:sz w:val="23"/>
          <w:szCs w:val="23"/>
        </w:rPr>
        <w:t xml:space="preserve"> from </w:t>
      </w:r>
      <w:r w:rsidRPr="0081254F">
        <w:rPr>
          <w:rFonts w:asciiTheme="majorHAnsi" w:eastAsia="Times New Roman" w:hAnsiTheme="majorHAnsi" w:cstheme="majorBidi"/>
          <w:sz w:val="23"/>
          <w:szCs w:val="23"/>
          <w:lang w:eastAsia="en-AU"/>
        </w:rPr>
        <w:t>Makers’</w:t>
      </w:r>
      <w:r w:rsidRPr="0081254F">
        <w:rPr>
          <w:rFonts w:asciiTheme="majorHAnsi" w:hAnsiTheme="majorHAnsi" w:cstheme="majorBidi"/>
          <w:sz w:val="23"/>
          <w:szCs w:val="23"/>
        </w:rPr>
        <w:t xml:space="preserve"> </w:t>
      </w:r>
      <w:r w:rsidRPr="0081254F">
        <w:rPr>
          <w:rFonts w:asciiTheme="majorHAnsi" w:eastAsia="Times New Roman" w:hAnsiTheme="majorHAnsi" w:cstheme="majorBidi"/>
          <w:sz w:val="23"/>
          <w:szCs w:val="23"/>
          <w:lang w:eastAsia="en-AU"/>
        </w:rPr>
        <w:t xml:space="preserve">Hub, a group of </w:t>
      </w:r>
      <w:r w:rsidRPr="0081254F">
        <w:rPr>
          <w:rFonts w:asciiTheme="majorHAnsi" w:hAnsiTheme="majorHAnsi" w:cstheme="majorBidi"/>
          <w:sz w:val="23"/>
          <w:szCs w:val="23"/>
        </w:rPr>
        <w:t xml:space="preserve">participatory </w:t>
      </w:r>
      <w:r w:rsidRPr="0081254F">
        <w:rPr>
          <w:rFonts w:asciiTheme="majorHAnsi" w:hAnsiTheme="majorHAnsi" w:cstheme="majorBidi"/>
          <w:sz w:val="23"/>
          <w:szCs w:val="23"/>
        </w:rPr>
        <w:lastRenderedPageBreak/>
        <w:t xml:space="preserve">building experts, </w:t>
      </w:r>
      <w:r w:rsidRPr="0081254F">
        <w:rPr>
          <w:rFonts w:asciiTheme="majorHAnsi" w:eastAsia="Times New Roman" w:hAnsiTheme="majorHAnsi" w:cstheme="majorBidi"/>
          <w:sz w:val="23"/>
          <w:szCs w:val="23"/>
          <w:lang w:eastAsia="en-AU"/>
        </w:rPr>
        <w:t>the young people learned how to build pop-up furniture</w:t>
      </w:r>
      <w:r w:rsidRPr="0081254F">
        <w:rPr>
          <w:rFonts w:asciiTheme="majorHAnsi" w:hAnsiTheme="majorHAnsi" w:cstheme="majorBidi"/>
          <w:sz w:val="23"/>
          <w:szCs w:val="23"/>
        </w:rPr>
        <w:t>. The</w:t>
      </w:r>
      <w:r w:rsidRPr="0081254F">
        <w:rPr>
          <w:rFonts w:asciiTheme="majorHAnsi" w:hAnsiTheme="majorHAnsi" w:cstheme="majorBidi"/>
          <w:sz w:val="23"/>
          <w:szCs w:val="23"/>
          <w:shd w:val="clear" w:color="auto" w:fill="FFFFFF"/>
        </w:rPr>
        <w:t>y chose paint colours, built and painted six movable seating modules, and planted fruit and flowers in integrated planters. Music and lunch were provided. Participants gained practical skills and made new connections.</w:t>
      </w:r>
      <w:r w:rsidRPr="0081254F">
        <w:rPr>
          <w:rFonts w:asciiTheme="majorHAnsi" w:hAnsiTheme="majorHAnsi" w:cstheme="majorBidi"/>
          <w:sz w:val="23"/>
          <w:szCs w:val="23"/>
        </w:rPr>
        <w:t xml:space="preserve"> Funding sources included the JPI PlaceCity project (Placemaking Europe, n.d.).</w:t>
      </w:r>
    </w:p>
    <w:p w14:paraId="68ACB62B" w14:textId="77777777" w:rsidR="00D97C0E" w:rsidRPr="0081254F" w:rsidRDefault="00D97C0E" w:rsidP="00E96B6E">
      <w:pPr>
        <w:numPr>
          <w:ilvl w:val="0"/>
          <w:numId w:val="12"/>
        </w:numPr>
        <w:spacing w:after="120" w:line="276" w:lineRule="auto"/>
        <w:contextualSpacing/>
        <w:rPr>
          <w:rFonts w:asciiTheme="majorHAnsi" w:eastAsia="Times New Roman" w:hAnsiTheme="majorHAnsi" w:cstheme="majorBidi"/>
          <w:b/>
          <w:bCs/>
          <w:sz w:val="23"/>
          <w:szCs w:val="23"/>
          <w:lang w:eastAsia="en-AU"/>
        </w:rPr>
      </w:pPr>
      <w:r w:rsidRPr="0081254F">
        <w:rPr>
          <w:rFonts w:eastAsia="Times New Roman" w:cstheme="minorHAnsi"/>
          <w:sz w:val="23"/>
          <w:szCs w:val="23"/>
          <w:lang w:eastAsia="en-AU"/>
        </w:rPr>
        <w:t>Parking Day:</w:t>
      </w:r>
      <w:r w:rsidRPr="0081254F">
        <w:rPr>
          <w:rFonts w:asciiTheme="majorHAnsi" w:eastAsia="Times New Roman" w:hAnsiTheme="majorHAnsi" w:cstheme="majorBidi"/>
          <w:sz w:val="23"/>
          <w:szCs w:val="23"/>
          <w:lang w:eastAsia="en-AU"/>
        </w:rPr>
        <w:t xml:space="preserve"> 13 students transformed an underused street outside their school into a community space, staging a street party with music, workshops, fun activities, and food from local businesses. Young people offered snacks to passing residents.</w:t>
      </w:r>
    </w:p>
    <w:p w14:paraId="44D584CF" w14:textId="77777777" w:rsidR="00D97C0E" w:rsidRPr="0081254F" w:rsidRDefault="00D97C0E" w:rsidP="00E96B6E">
      <w:pPr>
        <w:numPr>
          <w:ilvl w:val="0"/>
          <w:numId w:val="12"/>
        </w:numPr>
        <w:spacing w:after="120" w:line="276" w:lineRule="auto"/>
        <w:contextualSpacing/>
        <w:outlineLvl w:val="5"/>
        <w:rPr>
          <w:rFonts w:asciiTheme="majorHAnsi" w:eastAsia="Times New Roman" w:hAnsiTheme="majorHAnsi" w:cstheme="majorBidi"/>
          <w:b/>
          <w:bCs/>
          <w:sz w:val="23"/>
          <w:szCs w:val="23"/>
          <w:lang w:eastAsia="en-AU"/>
        </w:rPr>
      </w:pPr>
      <w:r w:rsidRPr="0081254F">
        <w:rPr>
          <w:rFonts w:cstheme="minorHAnsi"/>
          <w:sz w:val="23"/>
          <w:szCs w:val="23"/>
          <w:shd w:val="clear" w:color="auto" w:fill="FFFFFF"/>
        </w:rPr>
        <w:t>Pop-up Cafes:</w:t>
      </w:r>
      <w:r w:rsidRPr="0081254F">
        <w:rPr>
          <w:rFonts w:asciiTheme="majorHAnsi" w:hAnsiTheme="majorHAnsi" w:cstheme="majorBidi"/>
          <w:sz w:val="23"/>
          <w:szCs w:val="23"/>
          <w:shd w:val="clear" w:color="auto" w:fill="FFFFFF"/>
        </w:rPr>
        <w:t xml:space="preserve"> students created three</w:t>
      </w:r>
      <w:r w:rsidRPr="0081254F">
        <w:rPr>
          <w:rFonts w:asciiTheme="majorHAnsi" w:eastAsia="Times New Roman" w:hAnsiTheme="majorHAnsi" w:cstheme="majorBidi"/>
          <w:sz w:val="23"/>
          <w:szCs w:val="23"/>
          <w:lang w:eastAsia="en-AU"/>
        </w:rPr>
        <w:t xml:space="preserve"> temporary spaces for students and passers-by to sit and socialise, sharing free food and drinks.</w:t>
      </w:r>
    </w:p>
    <w:p w14:paraId="4E54D656" w14:textId="77777777" w:rsidR="00D97C0E" w:rsidRPr="0081254F" w:rsidRDefault="00D97C0E" w:rsidP="00385577">
      <w:pPr>
        <w:spacing w:line="276" w:lineRule="auto"/>
        <w:ind w:left="360"/>
        <w:contextualSpacing/>
        <w:outlineLvl w:val="5"/>
        <w:rPr>
          <w:rFonts w:asciiTheme="majorHAnsi" w:eastAsia="Times New Roman" w:hAnsiTheme="majorHAnsi" w:cstheme="majorBidi"/>
          <w:b/>
          <w:bCs/>
          <w:sz w:val="12"/>
          <w:szCs w:val="12"/>
          <w:lang w:eastAsia="en-AU"/>
        </w:rPr>
      </w:pPr>
    </w:p>
    <w:p w14:paraId="10CCD4EB" w14:textId="60620F53" w:rsidR="00D97C0E" w:rsidRPr="000E1707" w:rsidRDefault="00D97C0E" w:rsidP="000E1707">
      <w:pPr>
        <w:spacing w:line="276" w:lineRule="auto"/>
        <w:contextualSpacing/>
        <w:outlineLvl w:val="5"/>
        <w:rPr>
          <w:rFonts w:eastAsia="Times New Roman" w:cstheme="minorHAnsi"/>
          <w:b/>
          <w:bCs/>
          <w:sz w:val="23"/>
          <w:szCs w:val="23"/>
          <w:lang w:eastAsia="en-AU"/>
        </w:rPr>
      </w:pPr>
      <w:r w:rsidRPr="0081254F">
        <w:rPr>
          <w:rFonts w:eastAsia="Times New Roman" w:cstheme="minorHAnsi"/>
          <w:sz w:val="23"/>
          <w:szCs w:val="23"/>
          <w:lang w:eastAsia="en-AU"/>
        </w:rPr>
        <w:t>Green Training and Employment Sub-Projects:</w:t>
      </w:r>
    </w:p>
    <w:p w14:paraId="1D10F3B8" w14:textId="77777777" w:rsidR="00D97C0E" w:rsidRPr="0081254F" w:rsidRDefault="00D97C0E" w:rsidP="00E96B6E">
      <w:pPr>
        <w:numPr>
          <w:ilvl w:val="0"/>
          <w:numId w:val="7"/>
        </w:numPr>
        <w:spacing w:after="120" w:line="276" w:lineRule="auto"/>
        <w:ind w:left="357" w:hanging="357"/>
        <w:rPr>
          <w:rFonts w:asciiTheme="majorHAnsi" w:eastAsia="Times New Roman" w:hAnsiTheme="majorHAnsi" w:cstheme="majorBidi"/>
          <w:b/>
          <w:bCs/>
          <w:sz w:val="23"/>
          <w:szCs w:val="23"/>
          <w:lang w:eastAsia="en-AU"/>
        </w:rPr>
      </w:pPr>
      <w:r w:rsidRPr="0081254F">
        <w:rPr>
          <w:rFonts w:cstheme="minorHAnsi"/>
          <w:sz w:val="23"/>
          <w:szCs w:val="23"/>
          <w:shd w:val="clear" w:color="auto" w:fill="FFFFFF"/>
        </w:rPr>
        <w:t>Rooftop garden:</w:t>
      </w:r>
      <w:r w:rsidRPr="0081254F">
        <w:rPr>
          <w:rFonts w:asciiTheme="majorHAnsi" w:hAnsiTheme="majorHAnsi" w:cstheme="majorBidi"/>
          <w:sz w:val="23"/>
          <w:szCs w:val="23"/>
          <w:shd w:val="clear" w:color="auto" w:fill="FFFFFF"/>
        </w:rPr>
        <w:t xml:space="preserve"> </w:t>
      </w:r>
      <w:r w:rsidRPr="0081254F">
        <w:rPr>
          <w:rFonts w:asciiTheme="majorHAnsi" w:eastAsia="Times New Roman" w:hAnsiTheme="majorHAnsi" w:cstheme="majorBidi"/>
          <w:sz w:val="23"/>
          <w:szCs w:val="23"/>
          <w:lang w:eastAsia="en-AU"/>
        </w:rPr>
        <w:t xml:space="preserve">12 at-risk young people (aged 16–20) were paid a union wage to work part time in </w:t>
      </w:r>
      <w:r w:rsidRPr="0081254F">
        <w:rPr>
          <w:rFonts w:asciiTheme="majorHAnsi" w:hAnsiTheme="majorHAnsi" w:cstheme="majorBidi"/>
          <w:sz w:val="23"/>
          <w:szCs w:val="23"/>
          <w:shd w:val="clear" w:color="auto" w:fill="FFFFFF"/>
        </w:rPr>
        <w:t>Nabolagshager’s rooftop garden</w:t>
      </w:r>
      <w:r w:rsidRPr="0081254F">
        <w:rPr>
          <w:rFonts w:asciiTheme="majorHAnsi" w:eastAsia="Times New Roman" w:hAnsiTheme="majorHAnsi" w:cstheme="majorBidi"/>
          <w:sz w:val="23"/>
          <w:szCs w:val="23"/>
          <w:lang w:eastAsia="en-AU"/>
        </w:rPr>
        <w:t xml:space="preserve"> in summer 2018</w:t>
      </w:r>
      <w:r w:rsidRPr="0081254F">
        <w:rPr>
          <w:rFonts w:asciiTheme="majorHAnsi" w:hAnsiTheme="majorHAnsi" w:cstheme="majorBidi"/>
          <w:sz w:val="23"/>
          <w:szCs w:val="23"/>
          <w:shd w:val="clear" w:color="auto" w:fill="FFFFFF"/>
        </w:rPr>
        <w:t xml:space="preserve">. </w:t>
      </w:r>
      <w:r w:rsidRPr="0081254F">
        <w:rPr>
          <w:rFonts w:asciiTheme="majorHAnsi" w:eastAsia="Times New Roman" w:hAnsiTheme="majorHAnsi" w:cstheme="majorBidi"/>
          <w:sz w:val="23"/>
          <w:szCs w:val="23"/>
          <w:lang w:eastAsia="en-AU"/>
        </w:rPr>
        <w:t xml:space="preserve">The garden </w:t>
      </w:r>
      <w:r w:rsidRPr="0081254F">
        <w:rPr>
          <w:rFonts w:asciiTheme="majorHAnsi" w:hAnsiTheme="majorHAnsi" w:cstheme="majorBidi"/>
          <w:sz w:val="23"/>
          <w:szCs w:val="23"/>
          <w:shd w:val="clear" w:color="auto" w:fill="FFFFFF"/>
        </w:rPr>
        <w:t>has 30 raised beds, a greenhouse, beehives, fruit trees, and laying hens.</w:t>
      </w:r>
      <w:r w:rsidRPr="0081254F">
        <w:rPr>
          <w:rFonts w:asciiTheme="majorHAnsi" w:eastAsia="Times New Roman" w:hAnsiTheme="majorHAnsi" w:cstheme="majorBidi"/>
          <w:sz w:val="23"/>
          <w:szCs w:val="23"/>
          <w:lang w:eastAsia="en-AU"/>
        </w:rPr>
        <w:t xml:space="preserve"> Participants planted, grew, and harvested food, cared for animals, undertook construction projects, and did workplace skills training. The project is being evaluated, but </w:t>
      </w:r>
      <w:hyperlink r:id="rId22" w:history="1">
        <w:r w:rsidRPr="0081254F">
          <w:rPr>
            <w:rFonts w:asciiTheme="majorHAnsi" w:eastAsia="Times New Roman" w:hAnsiTheme="majorHAnsi" w:cstheme="majorBidi"/>
            <w:color w:val="0000FF"/>
            <w:sz w:val="23"/>
            <w:szCs w:val="23"/>
            <w:u w:val="single"/>
            <w:lang w:eastAsia="en-AU"/>
          </w:rPr>
          <w:t>initial findings</w:t>
        </w:r>
      </w:hyperlink>
      <w:r w:rsidRPr="2B116086">
        <w:rPr>
          <w:rFonts w:asciiTheme="majorHAnsi" w:eastAsia="Times New Roman" w:hAnsiTheme="majorHAnsi" w:cstheme="majorBidi"/>
          <w:sz w:val="23"/>
          <w:szCs w:val="23"/>
          <w:lang w:eastAsia="en-AU"/>
        </w:rPr>
        <w:t xml:space="preserve"> </w:t>
      </w:r>
      <w:r w:rsidRPr="0081254F">
        <w:rPr>
          <w:rFonts w:asciiTheme="majorHAnsi" w:eastAsia="Times New Roman" w:hAnsiTheme="majorHAnsi" w:cstheme="majorBidi"/>
          <w:sz w:val="23"/>
          <w:szCs w:val="23"/>
          <w:lang w:eastAsia="en-AU"/>
        </w:rPr>
        <w:t xml:space="preserve">suggest it fostered social inclusion. Participants received written references to use in job applications, and many expressed interest in further work. Program funding came from private and public grants. </w:t>
      </w:r>
      <w:r w:rsidRPr="0081254F">
        <w:rPr>
          <w:rFonts w:asciiTheme="majorHAnsi" w:hAnsiTheme="majorHAnsi" w:cstheme="majorBidi"/>
          <w:sz w:val="23"/>
          <w:szCs w:val="23"/>
          <w:shd w:val="clear" w:color="auto" w:fill="FFFFFF"/>
        </w:rPr>
        <w:t>Future graduates will be trained to work as consultants and peer mentors</w:t>
      </w:r>
      <w:r w:rsidRPr="0081254F">
        <w:rPr>
          <w:rFonts w:asciiTheme="majorHAnsi" w:eastAsia="Times New Roman" w:hAnsiTheme="majorHAnsi" w:cstheme="majorBidi"/>
          <w:sz w:val="23"/>
          <w:szCs w:val="23"/>
          <w:lang w:eastAsia="en-AU"/>
        </w:rPr>
        <w:t xml:space="preserve"> (Curtis &amp; Gallis, 2018: 15–17). </w:t>
      </w:r>
    </w:p>
    <w:p w14:paraId="2E62A419" w14:textId="77777777" w:rsidR="00D97C0E" w:rsidRPr="0081254F" w:rsidRDefault="00D97C0E" w:rsidP="00E96B6E">
      <w:pPr>
        <w:numPr>
          <w:ilvl w:val="0"/>
          <w:numId w:val="12"/>
        </w:numPr>
        <w:spacing w:after="120" w:line="276" w:lineRule="auto"/>
        <w:ind w:left="357" w:hanging="357"/>
        <w:rPr>
          <w:rFonts w:asciiTheme="majorHAnsi" w:hAnsiTheme="majorHAnsi" w:cstheme="majorBidi"/>
          <w:b/>
          <w:bCs/>
          <w:sz w:val="23"/>
          <w:szCs w:val="23"/>
          <w:shd w:val="clear" w:color="auto" w:fill="FFFFFF"/>
        </w:rPr>
      </w:pPr>
      <w:r w:rsidRPr="0081254F">
        <w:rPr>
          <w:rFonts w:asciiTheme="majorHAnsi" w:hAnsiTheme="majorHAnsi" w:cstheme="majorBidi"/>
          <w:sz w:val="23"/>
          <w:szCs w:val="23"/>
          <w:shd w:val="clear" w:color="auto" w:fill="FFFFFF"/>
        </w:rPr>
        <w:t xml:space="preserve">Circular business model: In 2018–2019, </w:t>
      </w:r>
      <w:r w:rsidRPr="0081254F">
        <w:rPr>
          <w:rFonts w:asciiTheme="majorHAnsi" w:hAnsiTheme="majorHAnsi" w:cstheme="majorBidi"/>
          <w:sz w:val="23"/>
          <w:szCs w:val="23"/>
        </w:rPr>
        <w:t xml:space="preserve">OLL ran </w:t>
      </w:r>
      <w:r w:rsidRPr="0081254F">
        <w:rPr>
          <w:rFonts w:asciiTheme="majorHAnsi" w:hAnsiTheme="majorHAnsi" w:cstheme="majorBidi"/>
          <w:sz w:val="23"/>
          <w:szCs w:val="23"/>
          <w:shd w:val="clear" w:color="auto" w:fill="FFFFFF"/>
        </w:rPr>
        <w:t>an award-winning pilot program using waste from five local businesses to produce a new product. Using bokashi composting, young people made an organic fertiliser, along with a “growing kit” for urban farmers, selling them via pop-up stands at markets. Participants learned business planning, branding, social media, production, marketing, and sales. Project partners included local businesses and Oslo School of Architecture and Design</w:t>
      </w:r>
      <w:r w:rsidRPr="0081254F">
        <w:rPr>
          <w:rFonts w:asciiTheme="majorHAnsi" w:hAnsiTheme="majorHAnsi" w:cstheme="majorBidi"/>
          <w:sz w:val="23"/>
          <w:szCs w:val="23"/>
        </w:rPr>
        <w:t xml:space="preserve"> </w:t>
      </w:r>
      <w:r w:rsidRPr="0081254F">
        <w:rPr>
          <w:rFonts w:asciiTheme="majorHAnsi" w:hAnsiTheme="majorHAnsi" w:cstheme="majorBidi"/>
          <w:sz w:val="23"/>
          <w:szCs w:val="23"/>
          <w:shd w:val="clear" w:color="auto" w:fill="FFFFFF"/>
        </w:rPr>
        <w:t>(Sæstad, 2019).</w:t>
      </w:r>
    </w:p>
    <w:p w14:paraId="0156CB06" w14:textId="77777777" w:rsidR="00D97C0E" w:rsidRPr="00BE4FC0" w:rsidRDefault="00D97C0E" w:rsidP="00D97C0E">
      <w:pPr>
        <w:pStyle w:val="Heading2"/>
        <w:rPr>
          <w:b/>
          <w:bCs/>
        </w:rPr>
      </w:pPr>
      <w:bookmarkStart w:id="54" w:name="_Toc108421983"/>
      <w:bookmarkStart w:id="55" w:name="_Hlk70864745"/>
      <w:r w:rsidRPr="27ED1008">
        <w:t>We Design for Life: Design-Led Policy Development</w:t>
      </w:r>
      <w:r w:rsidRPr="008F0FAA">
        <w:t xml:space="preserve"> </w:t>
      </w:r>
      <w:r>
        <w:t xml:space="preserve">and Participatory </w:t>
      </w:r>
      <w:r w:rsidRPr="27ED1008">
        <w:t>Urban Regeneration</w:t>
      </w:r>
      <w:bookmarkEnd w:id="54"/>
    </w:p>
    <w:p w14:paraId="07E56CD3" w14:textId="319CDA57" w:rsidR="00D97C0E" w:rsidRPr="000E1707" w:rsidRDefault="00D97C0E" w:rsidP="00385577">
      <w:pPr>
        <w:rPr>
          <w:rFonts w:cstheme="minorHAnsi"/>
          <w:b/>
          <w:bCs/>
          <w:sz w:val="23"/>
          <w:szCs w:val="23"/>
        </w:rPr>
      </w:pPr>
      <w:r w:rsidRPr="00BE4FC0">
        <w:rPr>
          <w:rFonts w:cstheme="minorHAnsi"/>
          <w:sz w:val="23"/>
          <w:szCs w:val="23"/>
        </w:rPr>
        <w:t>Kolding, Denmark (2012–</w:t>
      </w:r>
      <w:r>
        <w:rPr>
          <w:rFonts w:cstheme="minorHAnsi"/>
          <w:sz w:val="23"/>
          <w:szCs w:val="23"/>
        </w:rPr>
        <w:t>present</w:t>
      </w:r>
      <w:r w:rsidRPr="00BE4FC0">
        <w:rPr>
          <w:rFonts w:cstheme="minorHAnsi"/>
          <w:sz w:val="23"/>
          <w:szCs w:val="23"/>
        </w:rPr>
        <w:t>)</w:t>
      </w:r>
      <w:bookmarkEnd w:id="55"/>
    </w:p>
    <w:p w14:paraId="078C8118" w14:textId="77777777" w:rsidR="00D97C0E" w:rsidRPr="00FD2DF0" w:rsidRDefault="00D97C0E" w:rsidP="00D97C0E">
      <w:pPr>
        <w:spacing w:after="0" w:line="276" w:lineRule="auto"/>
        <w:rPr>
          <w:rFonts w:cstheme="minorHAnsi"/>
          <w:b/>
          <w:bCs/>
          <w:color w:val="595959" w:themeColor="text1" w:themeTint="A6"/>
          <w:sz w:val="23"/>
          <w:szCs w:val="23"/>
        </w:rPr>
      </w:pPr>
      <w:r w:rsidRPr="00D97C0E">
        <w:rPr>
          <w:rFonts w:cstheme="minorHAnsi"/>
          <w:b/>
          <w:bCs/>
          <w:color w:val="595959" w:themeColor="text1" w:themeTint="A6"/>
          <w:sz w:val="23"/>
          <w:szCs w:val="23"/>
        </w:rPr>
        <w:t xml:space="preserve">Main Practice Domain(s): </w:t>
      </w:r>
      <w:r w:rsidRPr="00D97C0E">
        <w:rPr>
          <w:rFonts w:cstheme="minorHAnsi"/>
          <w:b/>
          <w:bCs/>
          <w:color w:val="595959" w:themeColor="text1" w:themeTint="A6"/>
          <w:sz w:val="23"/>
          <w:szCs w:val="23"/>
        </w:rPr>
        <w:tab/>
      </w:r>
      <w:r w:rsidRPr="00D97C0E">
        <w:rPr>
          <w:rFonts w:cstheme="minorHAnsi"/>
          <w:b/>
          <w:bCs/>
          <w:color w:val="595959" w:themeColor="text1" w:themeTint="A6"/>
          <w:sz w:val="23"/>
          <w:szCs w:val="23"/>
        </w:rPr>
        <w:tab/>
        <w:t>Liveability</w:t>
      </w:r>
    </w:p>
    <w:p w14:paraId="43E188CF" w14:textId="162DC3CE" w:rsidR="00D97C0E" w:rsidRPr="000E1707" w:rsidRDefault="00D97C0E" w:rsidP="000E1707">
      <w:pPr>
        <w:spacing w:line="276" w:lineRule="auto"/>
        <w:rPr>
          <w:rFonts w:cstheme="minorHAnsi"/>
          <w:b/>
          <w:bCs/>
          <w:color w:val="595959" w:themeColor="text1" w:themeTint="A6"/>
          <w:sz w:val="23"/>
          <w:szCs w:val="23"/>
        </w:rPr>
      </w:pPr>
      <w:r w:rsidRPr="00D97C0E">
        <w:rPr>
          <w:rFonts w:cstheme="minorHAnsi"/>
          <w:b/>
          <w:bCs/>
          <w:color w:val="595959" w:themeColor="text1" w:themeTint="A6"/>
          <w:sz w:val="23"/>
          <w:szCs w:val="23"/>
        </w:rPr>
        <w:t xml:space="preserve">Secondary Practice Domain(s): </w:t>
      </w:r>
      <w:r w:rsidRPr="00D97C0E">
        <w:rPr>
          <w:rFonts w:cstheme="minorHAnsi"/>
          <w:b/>
          <w:bCs/>
          <w:color w:val="595959" w:themeColor="text1" w:themeTint="A6"/>
          <w:sz w:val="23"/>
          <w:szCs w:val="23"/>
        </w:rPr>
        <w:tab/>
        <w:t>Education, Employment, Housing, Health and Wellbeing</w:t>
      </w:r>
    </w:p>
    <w:p w14:paraId="42913C6F" w14:textId="5EA9B7F6" w:rsidR="00D97C0E" w:rsidRPr="000E1707" w:rsidRDefault="00D97C0E" w:rsidP="00385577">
      <w:pPr>
        <w:spacing w:line="276" w:lineRule="auto"/>
        <w:rPr>
          <w:rFonts w:asciiTheme="majorHAnsi" w:hAnsiTheme="majorHAnsi" w:cstheme="majorBidi"/>
          <w:sz w:val="23"/>
          <w:szCs w:val="23"/>
        </w:rPr>
      </w:pPr>
      <w:r w:rsidRPr="0081254F">
        <w:rPr>
          <w:rFonts w:asciiTheme="majorHAnsi" w:hAnsiTheme="majorHAnsi" w:cstheme="majorBidi"/>
          <w:sz w:val="23"/>
          <w:szCs w:val="23"/>
        </w:rPr>
        <w:t>Kolding (pop. 61,000) is a seaport city in Denmark. The city is now a high-tech manufacturing and transport hub, but its historic roots lie in textile manufacturing and silver production. A UNESCO City of Design since 2017, Kolding is part of Denmark’s Triangle Region, made up of seven Danish municipalities that cooperate economically and politically.</w:t>
      </w:r>
    </w:p>
    <w:p w14:paraId="17121E98" w14:textId="24515E69" w:rsidR="00D97C0E" w:rsidRPr="000E1707" w:rsidRDefault="00D97C0E" w:rsidP="00385577">
      <w:pPr>
        <w:spacing w:line="276" w:lineRule="auto"/>
        <w:rPr>
          <w:rFonts w:asciiTheme="majorHAnsi" w:hAnsiTheme="majorHAnsi" w:cstheme="majorBidi"/>
          <w:sz w:val="23"/>
          <w:szCs w:val="23"/>
        </w:rPr>
      </w:pPr>
      <w:r w:rsidRPr="0081254F">
        <w:rPr>
          <w:rFonts w:asciiTheme="majorHAnsi" w:hAnsiTheme="majorHAnsi" w:cstheme="majorBidi"/>
          <w:sz w:val="23"/>
          <w:szCs w:val="23"/>
        </w:rPr>
        <w:t xml:space="preserve">While English-language data on Kolding is scant, there is evidence of locational disadvantage. The suburb of Skovvejen/Skovparken, for example, is one of Denmark’s 15 legally designated “ghettos”, controversially defined as a neighbourhood of 1000-plus where 50 percent of residents have “non-Western” heritage, and where income, education, and employment levels </w:t>
      </w:r>
      <w:r w:rsidRPr="0081254F">
        <w:rPr>
          <w:rFonts w:asciiTheme="majorHAnsi" w:hAnsiTheme="majorHAnsi" w:cstheme="majorBidi"/>
          <w:sz w:val="23"/>
          <w:szCs w:val="23"/>
        </w:rPr>
        <w:lastRenderedPageBreak/>
        <w:t xml:space="preserve">are low. The area has a high concentration of social </w:t>
      </w:r>
      <w:r w:rsidR="00E96B6E" w:rsidRPr="0081254F">
        <w:rPr>
          <w:rFonts w:asciiTheme="majorHAnsi" w:hAnsiTheme="majorHAnsi" w:cstheme="majorBidi"/>
          <w:sz w:val="23"/>
          <w:szCs w:val="23"/>
        </w:rPr>
        <w:t>housing,</w:t>
      </w:r>
      <w:r w:rsidRPr="0081254F">
        <w:rPr>
          <w:rFonts w:asciiTheme="majorHAnsi" w:hAnsiTheme="majorHAnsi" w:cstheme="majorBidi"/>
          <w:sz w:val="23"/>
          <w:szCs w:val="23"/>
        </w:rPr>
        <w:t xml:space="preserve"> and many residents are from refugee backgrounds (Overgaard, 2018; Barrett, 2020; Nord News, 2020).</w:t>
      </w:r>
    </w:p>
    <w:p w14:paraId="1EB0CE5C" w14:textId="07283BBB" w:rsidR="00D97C0E" w:rsidRPr="000E1707" w:rsidRDefault="00D97C0E" w:rsidP="00385577">
      <w:pPr>
        <w:spacing w:line="276" w:lineRule="auto"/>
        <w:rPr>
          <w:rFonts w:asciiTheme="majorHAnsi" w:hAnsiTheme="majorHAnsi" w:cstheme="majorBidi"/>
          <w:sz w:val="23"/>
          <w:szCs w:val="23"/>
        </w:rPr>
      </w:pPr>
      <w:r w:rsidRPr="0081254F">
        <w:rPr>
          <w:rFonts w:asciiTheme="majorHAnsi" w:hAnsiTheme="majorHAnsi" w:cstheme="majorBidi"/>
          <w:sz w:val="23"/>
          <w:szCs w:val="23"/>
        </w:rPr>
        <w:t>In 2010, the Kolding Municipal Council began exploring options to regenerate the city, which was being impacted by the GFC, an ageing population, and a lacklustre reputation. After conducting a survey on the city’s image, in 2012 Council engaged a consultant to run staff workshops and in-depth citizen interviews to pinpoint Kolding’s main strengths. Four “future scenarios” were then devised and tested in creative workshops with residents. Finally, 650 citizens attended a public meeting (“Vision Forum”) to explore scenarios in depth. SMS responses were streamed to a big screen, and attendees voted for their preferred scenario. Co-designed with 900 residents, the resulting Vision Statement positioned Kolding as a hub for entrepreneurship, social innovation, and education. In December 2012 it evolved into a municipal strategy called “We Design For Life”, which puts design at the centre of all civic processes.</w:t>
      </w:r>
    </w:p>
    <w:p w14:paraId="35E46A4E" w14:textId="320D0111" w:rsidR="00D97C0E" w:rsidRPr="000E1707" w:rsidRDefault="00D97C0E" w:rsidP="00385577">
      <w:pPr>
        <w:spacing w:line="276" w:lineRule="auto"/>
        <w:rPr>
          <w:rFonts w:asciiTheme="majorHAnsi" w:hAnsiTheme="majorHAnsi" w:cstheme="majorBidi"/>
          <w:sz w:val="23"/>
          <w:szCs w:val="23"/>
        </w:rPr>
      </w:pPr>
      <w:r w:rsidRPr="0081254F">
        <w:rPr>
          <w:rFonts w:asciiTheme="majorHAnsi" w:hAnsiTheme="majorHAnsi" w:cstheme="majorBidi"/>
          <w:sz w:val="23"/>
          <w:szCs w:val="23"/>
        </w:rPr>
        <w:t>Kolding’s approach went beyond the traditional formats for design-led regeneration: urban design (new/upgraded public facilities), creative industries approaches (attracting creative workers), cultural planning (devising events to attract investment), and place-branding. Criticisms of these approaches highlight their high cost, tendency to fragment into projects run by separate departments, and focus on material outcomes, rather than design-led processes (Julier &amp; Leerberg, 2014).</w:t>
      </w:r>
    </w:p>
    <w:p w14:paraId="1DA607F5" w14:textId="2D881CF2" w:rsidR="00D97C0E" w:rsidRPr="000E1707" w:rsidRDefault="00D97C0E" w:rsidP="00385577">
      <w:pPr>
        <w:spacing w:line="276" w:lineRule="auto"/>
        <w:rPr>
          <w:rFonts w:asciiTheme="majorHAnsi" w:hAnsiTheme="majorHAnsi" w:cstheme="majorBidi"/>
          <w:sz w:val="23"/>
          <w:szCs w:val="23"/>
        </w:rPr>
      </w:pPr>
      <w:r w:rsidRPr="0081254F">
        <w:rPr>
          <w:rFonts w:asciiTheme="majorHAnsi" w:hAnsiTheme="majorHAnsi" w:cstheme="majorBidi"/>
          <w:sz w:val="23"/>
          <w:szCs w:val="23"/>
        </w:rPr>
        <w:t>Kolding’s strategy exemplifies the emergent use of “design thinking” as a policy development tool (Armstrong et al, 2014). Design thinking is an exploratory, iterative, collaborative process in which participants redefine problems and co-create solutions. It emphasises empathy, observation, visualisation, prototyping, and testing (Mintrom &amp; Luetjens, 2016). To support the new strategy the City created a Design Secretariat, established a new role of Chief Design Officer, trained 25 staff in design thinking, engaged 250 municipal managers to revise council systems, and recruited</w:t>
      </w:r>
      <w:r w:rsidRPr="0081254F">
        <w:rPr>
          <w:sz w:val="23"/>
          <w:szCs w:val="23"/>
        </w:rPr>
        <w:t xml:space="preserve"> </w:t>
      </w:r>
      <w:r w:rsidRPr="0081254F">
        <w:rPr>
          <w:rFonts w:asciiTheme="majorHAnsi" w:hAnsiTheme="majorHAnsi" w:cstheme="majorBidi"/>
          <w:sz w:val="23"/>
          <w:szCs w:val="23"/>
        </w:rPr>
        <w:t>50 local representatives as “vision ambassadors”</w:t>
      </w:r>
      <w:r w:rsidRPr="0081254F">
        <w:rPr>
          <w:sz w:val="23"/>
          <w:szCs w:val="23"/>
        </w:rPr>
        <w:t xml:space="preserve"> </w:t>
      </w:r>
      <w:r w:rsidRPr="0081254F">
        <w:rPr>
          <w:rFonts w:asciiTheme="majorHAnsi" w:hAnsiTheme="majorHAnsi" w:cstheme="majorBidi"/>
          <w:sz w:val="23"/>
          <w:szCs w:val="23"/>
        </w:rPr>
        <w:t>(Jungersen &amp; Hansen 2014).</w:t>
      </w:r>
    </w:p>
    <w:p w14:paraId="058BFCD4" w14:textId="77777777" w:rsidR="00D97C0E" w:rsidRPr="0081254F" w:rsidRDefault="00D97C0E" w:rsidP="00385577">
      <w:pPr>
        <w:spacing w:line="276" w:lineRule="auto"/>
        <w:rPr>
          <w:rFonts w:asciiTheme="majorHAnsi" w:hAnsiTheme="majorHAnsi" w:cstheme="majorBidi"/>
          <w:b/>
          <w:bCs/>
          <w:sz w:val="23"/>
          <w:szCs w:val="23"/>
        </w:rPr>
      </w:pPr>
      <w:r w:rsidRPr="0081254F">
        <w:rPr>
          <w:rFonts w:asciiTheme="majorHAnsi" w:hAnsiTheme="majorHAnsi" w:cstheme="majorBidi"/>
          <w:sz w:val="23"/>
          <w:szCs w:val="23"/>
        </w:rPr>
        <w:t>One evaluation found Kolding’s shift to design-driven processes reduced the municipality’s expenses by 6.6 million Euros per year from 2013–2015 (UNESCO, n.d.). Success factors include effective citizen engagement; partnerships with local universities and business associations; and an existing Danish governance culture that emphasise co-creation, participation, and decentralised decision-making. Detailed English-language sources are scant, but many initiatives evidently seek to engage citizens in addressing social disadvantage and/or sustainability. Examples include:</w:t>
      </w:r>
    </w:p>
    <w:p w14:paraId="666EF4AE" w14:textId="77777777" w:rsidR="00D97C0E" w:rsidRPr="0081254F" w:rsidRDefault="00D97C0E" w:rsidP="00E96B6E">
      <w:pPr>
        <w:numPr>
          <w:ilvl w:val="0"/>
          <w:numId w:val="10"/>
        </w:numPr>
        <w:spacing w:after="120" w:line="276" w:lineRule="auto"/>
        <w:ind w:left="357" w:hanging="357"/>
        <w:rPr>
          <w:rFonts w:asciiTheme="majorHAnsi" w:eastAsia="Times New Roman" w:hAnsiTheme="majorHAnsi" w:cstheme="majorBidi"/>
          <w:b/>
          <w:bCs/>
          <w:sz w:val="23"/>
          <w:szCs w:val="23"/>
          <w:lang w:eastAsia="en-AU"/>
        </w:rPr>
      </w:pPr>
      <w:r w:rsidRPr="0081254F">
        <w:rPr>
          <w:rFonts w:eastAsia="Times New Roman" w:cstheme="minorHAnsi"/>
          <w:sz w:val="23"/>
          <w:szCs w:val="23"/>
          <w:lang w:eastAsia="en-AU"/>
        </w:rPr>
        <w:t>RE:USE</w:t>
      </w:r>
      <w:r w:rsidRPr="0081254F">
        <w:rPr>
          <w:rFonts w:asciiTheme="majorHAnsi" w:eastAsia="Times New Roman" w:hAnsiTheme="majorHAnsi" w:cstheme="majorBidi"/>
          <w:sz w:val="23"/>
          <w:szCs w:val="23"/>
          <w:lang w:eastAsia="en-AU"/>
        </w:rPr>
        <w:t xml:space="preserve"> circular economy project: unwanted household items are donated to the city’s recycling depot, upcycled by staff, and displayed in a showroom. Unemployed citizens can collect the items for free. In 2018, 36.5 tons of furniture and appliances were donated to vulnerable residents; 52 unemployed people worked in the project, 50 percent of whom subsequently took up employment, internships, or education opportunities (Kolding Municipality, 2019: 14–15).</w:t>
      </w:r>
    </w:p>
    <w:p w14:paraId="49ADA2BC" w14:textId="77777777" w:rsidR="00D97C0E" w:rsidRPr="0081254F" w:rsidRDefault="00D97C0E" w:rsidP="00E96B6E">
      <w:pPr>
        <w:numPr>
          <w:ilvl w:val="0"/>
          <w:numId w:val="10"/>
        </w:numPr>
        <w:spacing w:after="120" w:line="276" w:lineRule="auto"/>
        <w:ind w:left="357" w:hanging="357"/>
        <w:rPr>
          <w:rFonts w:asciiTheme="majorHAnsi" w:eastAsia="Times New Roman" w:hAnsiTheme="majorHAnsi" w:cstheme="majorBidi"/>
          <w:b/>
          <w:bCs/>
          <w:sz w:val="23"/>
          <w:szCs w:val="23"/>
          <w:lang w:eastAsia="en-AU"/>
        </w:rPr>
      </w:pPr>
      <w:r w:rsidRPr="0081254F">
        <w:rPr>
          <w:rFonts w:eastAsia="Times New Roman" w:cstheme="minorHAnsi"/>
          <w:sz w:val="23"/>
          <w:szCs w:val="23"/>
          <w:lang w:eastAsia="en-AU"/>
        </w:rPr>
        <w:lastRenderedPageBreak/>
        <w:t>Sustainable City:</w:t>
      </w:r>
      <w:r w:rsidRPr="0081254F">
        <w:rPr>
          <w:rFonts w:asciiTheme="majorHAnsi" w:eastAsia="Times New Roman" w:hAnsiTheme="majorHAnsi" w:cstheme="majorBidi"/>
          <w:sz w:val="23"/>
          <w:szCs w:val="23"/>
          <w:lang w:eastAsia="en-AU"/>
        </w:rPr>
        <w:t xml:space="preserve"> retrofitted portable shipping container where citizens co-design sustainability projects (repair events, urban gardens, sustainable festivals) with municipal staff (ICLEI, n.d.).</w:t>
      </w:r>
    </w:p>
    <w:p w14:paraId="2548D2E0" w14:textId="77777777" w:rsidR="00D97C0E" w:rsidRPr="0081254F" w:rsidRDefault="00D97C0E" w:rsidP="00E96B6E">
      <w:pPr>
        <w:numPr>
          <w:ilvl w:val="0"/>
          <w:numId w:val="10"/>
        </w:numPr>
        <w:spacing w:after="120" w:line="276" w:lineRule="auto"/>
        <w:ind w:left="357" w:hanging="357"/>
        <w:rPr>
          <w:rFonts w:asciiTheme="majorHAnsi" w:eastAsia="Times New Roman" w:hAnsiTheme="majorHAnsi" w:cstheme="majorBidi"/>
          <w:b/>
          <w:bCs/>
          <w:sz w:val="23"/>
          <w:szCs w:val="23"/>
          <w:lang w:eastAsia="en-AU"/>
        </w:rPr>
      </w:pPr>
      <w:r w:rsidRPr="0081254F">
        <w:rPr>
          <w:rFonts w:eastAsia="Times New Roman" w:cstheme="minorHAnsi"/>
          <w:sz w:val="23"/>
          <w:szCs w:val="23"/>
          <w:lang w:eastAsia="en-AU"/>
        </w:rPr>
        <w:t>International Design Camp 2017:</w:t>
      </w:r>
      <w:r w:rsidRPr="0081254F">
        <w:rPr>
          <w:rFonts w:asciiTheme="majorHAnsi" w:eastAsia="Times New Roman" w:hAnsiTheme="majorHAnsi" w:cstheme="majorBidi"/>
          <w:sz w:val="23"/>
          <w:szCs w:val="23"/>
          <w:lang w:eastAsia="en-AU"/>
        </w:rPr>
        <w:t xml:space="preserve"> over two weeks, Danish and international students joined companies, designers and researchers to co-design “scalable design solutions to meet the world’s sustainability challenges” (partnership with Kolding Design School and Business Kolding)</w:t>
      </w:r>
    </w:p>
    <w:p w14:paraId="75CEA746" w14:textId="77777777" w:rsidR="00D97C0E" w:rsidRPr="0081254F" w:rsidRDefault="00D97C0E" w:rsidP="00E96B6E">
      <w:pPr>
        <w:numPr>
          <w:ilvl w:val="0"/>
          <w:numId w:val="10"/>
        </w:numPr>
        <w:spacing w:after="120" w:line="276" w:lineRule="auto"/>
        <w:ind w:left="357" w:hanging="357"/>
        <w:rPr>
          <w:rFonts w:asciiTheme="majorHAnsi" w:eastAsia="Times New Roman" w:hAnsiTheme="majorHAnsi" w:cstheme="majorBidi"/>
          <w:b/>
          <w:bCs/>
          <w:sz w:val="23"/>
          <w:szCs w:val="23"/>
          <w:lang w:eastAsia="en-AU"/>
        </w:rPr>
      </w:pPr>
      <w:r w:rsidRPr="0081254F">
        <w:rPr>
          <w:rFonts w:eastAsia="Times New Roman" w:cstheme="minorHAnsi"/>
          <w:sz w:val="23"/>
          <w:szCs w:val="23"/>
          <w:lang w:eastAsia="en-AU"/>
        </w:rPr>
        <w:t>Sustainable Social Housing Project:</w:t>
      </w:r>
      <w:r w:rsidRPr="0081254F">
        <w:rPr>
          <w:rFonts w:asciiTheme="majorHAnsi" w:eastAsia="Times New Roman" w:hAnsiTheme="majorHAnsi" w:cstheme="majorBidi"/>
          <w:sz w:val="23"/>
          <w:szCs w:val="23"/>
          <w:lang w:eastAsia="en-AU"/>
        </w:rPr>
        <w:t xml:space="preserve"> university-City partnership that challenged PhD students to design strategies to upgrade Kolding’s social housing spaces (Jungersen &amp; Calleja, 2017: 5)</w:t>
      </w:r>
    </w:p>
    <w:p w14:paraId="13F428B6" w14:textId="77777777" w:rsidR="00D97C0E" w:rsidRPr="0081254F" w:rsidRDefault="00D97C0E" w:rsidP="00E96B6E">
      <w:pPr>
        <w:numPr>
          <w:ilvl w:val="0"/>
          <w:numId w:val="10"/>
        </w:numPr>
        <w:spacing w:after="120" w:line="276" w:lineRule="auto"/>
        <w:ind w:left="357" w:hanging="357"/>
        <w:rPr>
          <w:rFonts w:cstheme="minorHAnsi"/>
          <w:b/>
          <w:bCs/>
          <w:sz w:val="25"/>
          <w:szCs w:val="25"/>
        </w:rPr>
      </w:pPr>
      <w:r w:rsidRPr="0081254F">
        <w:rPr>
          <w:rFonts w:eastAsia="Times New Roman" w:cstheme="minorHAnsi"/>
          <w:sz w:val="23"/>
          <w:szCs w:val="23"/>
          <w:lang w:eastAsia="en-AU"/>
        </w:rPr>
        <w:t>Warm Hearted Job Centre</w:t>
      </w:r>
      <w:r w:rsidRPr="0081254F">
        <w:rPr>
          <w:rFonts w:asciiTheme="majorHAnsi" w:eastAsia="Times New Roman" w:hAnsiTheme="majorHAnsi" w:cstheme="majorBidi"/>
          <w:sz w:val="23"/>
          <w:szCs w:val="23"/>
          <w:lang w:eastAsia="en-AU"/>
        </w:rPr>
        <w:t xml:space="preserve"> (2015): jobseekers found Kolding’s Job Centre unwelcoming and did not enjoy engaging with staff. This intervention sought to make the place more “warm hearted” for them. Workshops were run, and a script for a “warm hearted” phone conversation was developed; the user journey through the centre was mapped, décor upgraded, and architectural firms submitted proposals for a café in the foyer. An evaluation found improved user perceptions of interactions with staff (City of Kolding, 2017).</w:t>
      </w:r>
    </w:p>
    <w:p w14:paraId="1E417A94" w14:textId="77777777" w:rsidR="00AA476F" w:rsidRPr="0059393F" w:rsidRDefault="00AA476F" w:rsidP="00AA476F">
      <w:pPr>
        <w:spacing w:after="0" w:line="276" w:lineRule="auto"/>
        <w:rPr>
          <w:rFonts w:asciiTheme="majorHAnsi" w:hAnsiTheme="majorHAnsi" w:cstheme="majorHAnsi"/>
          <w:sz w:val="16"/>
          <w:szCs w:val="16"/>
        </w:rPr>
      </w:pPr>
    </w:p>
    <w:sectPr w:rsidR="00AA476F" w:rsidRPr="0059393F">
      <w:headerReference w:type="even" r:id="rId23"/>
      <w:headerReference w:type="default" r:id="rId24"/>
      <w:footerReference w:type="even" r:id="rId25"/>
      <w:footerReference w:type="default" r:id="rId26"/>
      <w:headerReference w:type="first" r:id="rId27"/>
      <w:footerReference w:type="first" r:id="rId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58850" w14:textId="77777777" w:rsidR="0065270C" w:rsidRDefault="0065270C" w:rsidP="00AA476F">
      <w:pPr>
        <w:spacing w:after="0" w:line="240" w:lineRule="auto"/>
      </w:pPr>
      <w:r>
        <w:separator/>
      </w:r>
    </w:p>
  </w:endnote>
  <w:endnote w:type="continuationSeparator" w:id="0">
    <w:p w14:paraId="64106688" w14:textId="77777777" w:rsidR="0065270C" w:rsidRDefault="0065270C" w:rsidP="00AA47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A1D2F" w14:textId="77777777" w:rsidR="008B7704" w:rsidRDefault="008B77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2351748"/>
      <w:docPartObj>
        <w:docPartGallery w:val="Page Numbers (Bottom of Page)"/>
        <w:docPartUnique/>
      </w:docPartObj>
    </w:sdtPr>
    <w:sdtEndPr>
      <w:rPr>
        <w:noProof/>
      </w:rPr>
    </w:sdtEndPr>
    <w:sdtContent>
      <w:p w14:paraId="2FD6BEAA" w14:textId="02D604AF" w:rsidR="000E1707" w:rsidRDefault="000E170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7B2D6FE" w14:textId="77777777" w:rsidR="00AA476F" w:rsidRDefault="00AA47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E72BC" w14:textId="77777777" w:rsidR="008B7704" w:rsidRDefault="008B77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690D9E" w14:textId="77777777" w:rsidR="0065270C" w:rsidRDefault="0065270C" w:rsidP="00AA476F">
      <w:pPr>
        <w:spacing w:after="0" w:line="240" w:lineRule="auto"/>
      </w:pPr>
      <w:r>
        <w:separator/>
      </w:r>
    </w:p>
  </w:footnote>
  <w:footnote w:type="continuationSeparator" w:id="0">
    <w:p w14:paraId="23775B06" w14:textId="77777777" w:rsidR="0065270C" w:rsidRDefault="0065270C" w:rsidP="00AA47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F78C2" w14:textId="77777777" w:rsidR="008B7704" w:rsidRDefault="008B77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92529" w14:textId="77777777" w:rsidR="008B7704" w:rsidRDefault="008B77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9394D" w14:textId="77777777" w:rsidR="008B7704" w:rsidRDefault="008B77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772AA"/>
    <w:multiLevelType w:val="hybridMultilevel"/>
    <w:tmpl w:val="AA60CB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F5D1D3E"/>
    <w:multiLevelType w:val="hybridMultilevel"/>
    <w:tmpl w:val="082023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4D552AD"/>
    <w:multiLevelType w:val="hybridMultilevel"/>
    <w:tmpl w:val="F572C5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A8B7797"/>
    <w:multiLevelType w:val="hybridMultilevel"/>
    <w:tmpl w:val="681086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CB27F91"/>
    <w:multiLevelType w:val="hybridMultilevel"/>
    <w:tmpl w:val="7AE8B40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CFA69AA"/>
    <w:multiLevelType w:val="hybridMultilevel"/>
    <w:tmpl w:val="B7F2742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43A7279"/>
    <w:multiLevelType w:val="hybridMultilevel"/>
    <w:tmpl w:val="B5FC31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EFA611C"/>
    <w:multiLevelType w:val="hybridMultilevel"/>
    <w:tmpl w:val="4ED838B2"/>
    <w:lvl w:ilvl="0" w:tplc="0C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00453FB"/>
    <w:multiLevelType w:val="hybridMultilevel"/>
    <w:tmpl w:val="3B582FB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50C153AC"/>
    <w:multiLevelType w:val="hybridMultilevel"/>
    <w:tmpl w:val="FFFFFFFF"/>
    <w:lvl w:ilvl="0" w:tplc="5358AFF0">
      <w:start w:val="1"/>
      <w:numFmt w:val="bullet"/>
      <w:lvlText w:val="·"/>
      <w:lvlJc w:val="left"/>
      <w:pPr>
        <w:ind w:left="360" w:hanging="360"/>
      </w:pPr>
      <w:rPr>
        <w:rFonts w:ascii="Symbol" w:hAnsi="Symbol" w:hint="default"/>
      </w:rPr>
    </w:lvl>
    <w:lvl w:ilvl="1" w:tplc="005C3D3C">
      <w:start w:val="1"/>
      <w:numFmt w:val="bullet"/>
      <w:lvlText w:val="o"/>
      <w:lvlJc w:val="left"/>
      <w:pPr>
        <w:ind w:left="1080" w:hanging="360"/>
      </w:pPr>
      <w:rPr>
        <w:rFonts w:ascii="Courier New" w:hAnsi="Courier New" w:hint="default"/>
      </w:rPr>
    </w:lvl>
    <w:lvl w:ilvl="2" w:tplc="9384C4BA">
      <w:start w:val="1"/>
      <w:numFmt w:val="bullet"/>
      <w:lvlText w:val=""/>
      <w:lvlJc w:val="left"/>
      <w:pPr>
        <w:ind w:left="1800" w:hanging="360"/>
      </w:pPr>
      <w:rPr>
        <w:rFonts w:ascii="Wingdings" w:hAnsi="Wingdings" w:hint="default"/>
      </w:rPr>
    </w:lvl>
    <w:lvl w:ilvl="3" w:tplc="A66292B8">
      <w:start w:val="1"/>
      <w:numFmt w:val="bullet"/>
      <w:lvlText w:val=""/>
      <w:lvlJc w:val="left"/>
      <w:pPr>
        <w:ind w:left="2520" w:hanging="360"/>
      </w:pPr>
      <w:rPr>
        <w:rFonts w:ascii="Symbol" w:hAnsi="Symbol" w:hint="default"/>
      </w:rPr>
    </w:lvl>
    <w:lvl w:ilvl="4" w:tplc="1CE6F7E4">
      <w:start w:val="1"/>
      <w:numFmt w:val="bullet"/>
      <w:lvlText w:val="o"/>
      <w:lvlJc w:val="left"/>
      <w:pPr>
        <w:ind w:left="3240" w:hanging="360"/>
      </w:pPr>
      <w:rPr>
        <w:rFonts w:ascii="Courier New" w:hAnsi="Courier New" w:hint="default"/>
      </w:rPr>
    </w:lvl>
    <w:lvl w:ilvl="5" w:tplc="7E96A024">
      <w:start w:val="1"/>
      <w:numFmt w:val="bullet"/>
      <w:lvlText w:val=""/>
      <w:lvlJc w:val="left"/>
      <w:pPr>
        <w:ind w:left="3960" w:hanging="360"/>
      </w:pPr>
      <w:rPr>
        <w:rFonts w:ascii="Wingdings" w:hAnsi="Wingdings" w:hint="default"/>
      </w:rPr>
    </w:lvl>
    <w:lvl w:ilvl="6" w:tplc="160AC50E">
      <w:start w:val="1"/>
      <w:numFmt w:val="bullet"/>
      <w:lvlText w:val=""/>
      <w:lvlJc w:val="left"/>
      <w:pPr>
        <w:ind w:left="4680" w:hanging="360"/>
      </w:pPr>
      <w:rPr>
        <w:rFonts w:ascii="Symbol" w:hAnsi="Symbol" w:hint="default"/>
      </w:rPr>
    </w:lvl>
    <w:lvl w:ilvl="7" w:tplc="2EA4AB20">
      <w:start w:val="1"/>
      <w:numFmt w:val="bullet"/>
      <w:lvlText w:val="o"/>
      <w:lvlJc w:val="left"/>
      <w:pPr>
        <w:ind w:left="5400" w:hanging="360"/>
      </w:pPr>
      <w:rPr>
        <w:rFonts w:ascii="Courier New" w:hAnsi="Courier New" w:hint="default"/>
      </w:rPr>
    </w:lvl>
    <w:lvl w:ilvl="8" w:tplc="7278C320">
      <w:start w:val="1"/>
      <w:numFmt w:val="bullet"/>
      <w:lvlText w:val=""/>
      <w:lvlJc w:val="left"/>
      <w:pPr>
        <w:ind w:left="6120" w:hanging="360"/>
      </w:pPr>
      <w:rPr>
        <w:rFonts w:ascii="Wingdings" w:hAnsi="Wingdings" w:hint="default"/>
      </w:rPr>
    </w:lvl>
  </w:abstractNum>
  <w:abstractNum w:abstractNumId="10" w15:restartNumberingAfterBreak="0">
    <w:nsid w:val="621462A0"/>
    <w:multiLevelType w:val="hybridMultilevel"/>
    <w:tmpl w:val="C038D6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7B85154"/>
    <w:multiLevelType w:val="hybridMultilevel"/>
    <w:tmpl w:val="82CC4C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1"/>
  </w:num>
  <w:num w:numId="2">
    <w:abstractNumId w:val="4"/>
  </w:num>
  <w:num w:numId="3">
    <w:abstractNumId w:val="1"/>
  </w:num>
  <w:num w:numId="4">
    <w:abstractNumId w:val="3"/>
  </w:num>
  <w:num w:numId="5">
    <w:abstractNumId w:val="10"/>
  </w:num>
  <w:num w:numId="6">
    <w:abstractNumId w:val="0"/>
  </w:num>
  <w:num w:numId="7">
    <w:abstractNumId w:val="2"/>
  </w:num>
  <w:num w:numId="8">
    <w:abstractNumId w:val="7"/>
  </w:num>
  <w:num w:numId="9">
    <w:abstractNumId w:val="6"/>
  </w:num>
  <w:num w:numId="10">
    <w:abstractNumId w:val="5"/>
  </w:num>
  <w:num w:numId="11">
    <w:abstractNumId w:val="8"/>
  </w:num>
  <w:num w:numId="12">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76F"/>
    <w:rsid w:val="000541C7"/>
    <w:rsid w:val="000E1707"/>
    <w:rsid w:val="00320B7E"/>
    <w:rsid w:val="00385577"/>
    <w:rsid w:val="00622FC2"/>
    <w:rsid w:val="0065270C"/>
    <w:rsid w:val="0081254F"/>
    <w:rsid w:val="008B7704"/>
    <w:rsid w:val="008D631E"/>
    <w:rsid w:val="00AA476F"/>
    <w:rsid w:val="00D97C0E"/>
    <w:rsid w:val="00E96B6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5CA2C8"/>
  <w15:chartTrackingRefBased/>
  <w15:docId w15:val="{ABFC63F6-B225-437A-964D-B80364A94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7C0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D97C0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A476F"/>
    <w:pPr>
      <w:keepNext/>
      <w:keepLines/>
      <w:spacing w:before="40" w:after="0" w:line="276" w:lineRule="auto"/>
      <w:outlineLvl w:val="2"/>
    </w:pPr>
    <w:rPr>
      <w:rFonts w:asciiTheme="majorHAnsi" w:eastAsiaTheme="majorEastAsia" w:hAnsiTheme="majorHAnsi" w:cstheme="majorBidi"/>
      <w:color w:val="1F3763" w:themeColor="accent1" w:themeShade="7F"/>
      <w:sz w:val="24"/>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47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476F"/>
  </w:style>
  <w:style w:type="paragraph" w:styleId="Footer">
    <w:name w:val="footer"/>
    <w:basedOn w:val="Normal"/>
    <w:link w:val="FooterChar"/>
    <w:uiPriority w:val="99"/>
    <w:unhideWhenUsed/>
    <w:rsid w:val="00AA47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476F"/>
  </w:style>
  <w:style w:type="character" w:customStyle="1" w:styleId="Heading1Char">
    <w:name w:val="Heading 1 Char"/>
    <w:basedOn w:val="DefaultParagraphFont"/>
    <w:link w:val="Heading1"/>
    <w:uiPriority w:val="9"/>
    <w:rsid w:val="00D97C0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97C0E"/>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AA476F"/>
    <w:rPr>
      <w:rFonts w:asciiTheme="majorHAnsi" w:eastAsiaTheme="majorEastAsia" w:hAnsiTheme="majorHAnsi" w:cstheme="majorBidi"/>
      <w:color w:val="1F3763" w:themeColor="accent1" w:themeShade="7F"/>
      <w:sz w:val="24"/>
      <w:szCs w:val="24"/>
      <w:lang w:val="en-US" w:eastAsia="zh-CN"/>
    </w:rPr>
  </w:style>
  <w:style w:type="table" w:styleId="TableGrid">
    <w:name w:val="Table Grid"/>
    <w:basedOn w:val="TableNormal"/>
    <w:uiPriority w:val="39"/>
    <w:rsid w:val="00AA47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476F"/>
    <w:pPr>
      <w:ind w:left="720"/>
      <w:contextualSpacing/>
    </w:pPr>
  </w:style>
  <w:style w:type="character" w:styleId="CommentReference">
    <w:name w:val="annotation reference"/>
    <w:basedOn w:val="DefaultParagraphFont"/>
    <w:uiPriority w:val="99"/>
    <w:semiHidden/>
    <w:unhideWhenUsed/>
    <w:rsid w:val="00AA476F"/>
    <w:rPr>
      <w:sz w:val="16"/>
      <w:szCs w:val="16"/>
    </w:rPr>
  </w:style>
  <w:style w:type="paragraph" w:styleId="CommentText">
    <w:name w:val="annotation text"/>
    <w:basedOn w:val="Normal"/>
    <w:link w:val="CommentTextChar"/>
    <w:uiPriority w:val="99"/>
    <w:unhideWhenUsed/>
    <w:rsid w:val="00AA476F"/>
    <w:pPr>
      <w:spacing w:line="240" w:lineRule="auto"/>
    </w:pPr>
    <w:rPr>
      <w:sz w:val="20"/>
      <w:szCs w:val="20"/>
    </w:rPr>
  </w:style>
  <w:style w:type="character" w:customStyle="1" w:styleId="CommentTextChar">
    <w:name w:val="Comment Text Char"/>
    <w:basedOn w:val="DefaultParagraphFont"/>
    <w:link w:val="CommentText"/>
    <w:uiPriority w:val="99"/>
    <w:rsid w:val="00AA476F"/>
    <w:rPr>
      <w:sz w:val="20"/>
      <w:szCs w:val="20"/>
    </w:rPr>
  </w:style>
  <w:style w:type="paragraph" w:styleId="CommentSubject">
    <w:name w:val="annotation subject"/>
    <w:basedOn w:val="CommentText"/>
    <w:next w:val="CommentText"/>
    <w:link w:val="CommentSubjectChar"/>
    <w:uiPriority w:val="99"/>
    <w:semiHidden/>
    <w:unhideWhenUsed/>
    <w:rsid w:val="00AA476F"/>
    <w:rPr>
      <w:b/>
      <w:bCs/>
    </w:rPr>
  </w:style>
  <w:style w:type="character" w:customStyle="1" w:styleId="CommentSubjectChar">
    <w:name w:val="Comment Subject Char"/>
    <w:basedOn w:val="CommentTextChar"/>
    <w:link w:val="CommentSubject"/>
    <w:uiPriority w:val="99"/>
    <w:semiHidden/>
    <w:rsid w:val="00AA476F"/>
    <w:rPr>
      <w:b/>
      <w:bCs/>
      <w:sz w:val="20"/>
      <w:szCs w:val="20"/>
    </w:rPr>
  </w:style>
  <w:style w:type="paragraph" w:styleId="BalloonText">
    <w:name w:val="Balloon Text"/>
    <w:basedOn w:val="Normal"/>
    <w:link w:val="BalloonTextChar"/>
    <w:uiPriority w:val="99"/>
    <w:semiHidden/>
    <w:unhideWhenUsed/>
    <w:rsid w:val="00AA47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476F"/>
    <w:rPr>
      <w:rFonts w:ascii="Segoe UI" w:hAnsi="Segoe UI" w:cs="Segoe UI"/>
      <w:sz w:val="18"/>
      <w:szCs w:val="18"/>
    </w:rPr>
  </w:style>
  <w:style w:type="character" w:styleId="Hyperlink">
    <w:name w:val="Hyperlink"/>
    <w:basedOn w:val="DefaultParagraphFont"/>
    <w:uiPriority w:val="99"/>
    <w:unhideWhenUsed/>
    <w:rsid w:val="00AA476F"/>
    <w:rPr>
      <w:color w:val="0563C1" w:themeColor="hyperlink"/>
      <w:u w:val="single"/>
    </w:rPr>
  </w:style>
  <w:style w:type="character" w:customStyle="1" w:styleId="UnresolvedMention1">
    <w:name w:val="Unresolved Mention1"/>
    <w:basedOn w:val="DefaultParagraphFont"/>
    <w:uiPriority w:val="99"/>
    <w:semiHidden/>
    <w:unhideWhenUsed/>
    <w:rsid w:val="00AA476F"/>
    <w:rPr>
      <w:color w:val="605E5C"/>
      <w:shd w:val="clear" w:color="auto" w:fill="E1DFDD"/>
    </w:rPr>
  </w:style>
  <w:style w:type="paragraph" w:styleId="NormalWeb">
    <w:name w:val="Normal (Web)"/>
    <w:basedOn w:val="Normal"/>
    <w:uiPriority w:val="99"/>
    <w:unhideWhenUsed/>
    <w:rsid w:val="00AA476F"/>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AA476F"/>
    <w:rPr>
      <w:b/>
      <w:bCs/>
    </w:rPr>
  </w:style>
  <w:style w:type="paragraph" w:customStyle="1" w:styleId="Default">
    <w:name w:val="Default"/>
    <w:rsid w:val="00AA476F"/>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AA47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1">
    <w:name w:val="Unresolved Mention21"/>
    <w:basedOn w:val="DefaultParagraphFont"/>
    <w:uiPriority w:val="99"/>
    <w:semiHidden/>
    <w:unhideWhenUsed/>
    <w:rsid w:val="00AA476F"/>
    <w:rPr>
      <w:color w:val="605E5C"/>
      <w:shd w:val="clear" w:color="auto" w:fill="E1DFDD"/>
    </w:rPr>
  </w:style>
  <w:style w:type="numbering" w:customStyle="1" w:styleId="NoList1">
    <w:name w:val="No List1"/>
    <w:next w:val="NoList"/>
    <w:uiPriority w:val="99"/>
    <w:semiHidden/>
    <w:unhideWhenUsed/>
    <w:rsid w:val="00AA476F"/>
  </w:style>
  <w:style w:type="paragraph" w:customStyle="1" w:styleId="EndNoteBibliographyTitle">
    <w:name w:val="EndNote Bibliography Title"/>
    <w:basedOn w:val="Normal"/>
    <w:link w:val="EndNoteBibliographyTitleChar"/>
    <w:rsid w:val="00AA476F"/>
    <w:pPr>
      <w:spacing w:after="0" w:line="240" w:lineRule="auto"/>
      <w:jc w:val="center"/>
    </w:pPr>
    <w:rPr>
      <w:rFonts w:ascii="Calibri" w:eastAsia="Times New Roman" w:hAnsi="Calibri" w:cs="Calibri"/>
      <w:szCs w:val="24"/>
      <w:lang w:val="en-US" w:eastAsia="en-GB"/>
    </w:rPr>
  </w:style>
  <w:style w:type="character" w:customStyle="1" w:styleId="EndNoteBibliographyTitleChar">
    <w:name w:val="EndNote Bibliography Title Char"/>
    <w:basedOn w:val="DefaultParagraphFont"/>
    <w:link w:val="EndNoteBibliographyTitle"/>
    <w:rsid w:val="00AA476F"/>
    <w:rPr>
      <w:rFonts w:ascii="Calibri" w:eastAsia="Times New Roman" w:hAnsi="Calibri" w:cs="Calibri"/>
      <w:szCs w:val="24"/>
      <w:lang w:val="en-US" w:eastAsia="en-GB"/>
    </w:rPr>
  </w:style>
  <w:style w:type="paragraph" w:customStyle="1" w:styleId="EndNoteBibliography">
    <w:name w:val="EndNote Bibliography"/>
    <w:basedOn w:val="Normal"/>
    <w:link w:val="EndNoteBibliographyChar"/>
    <w:rsid w:val="00AA476F"/>
    <w:pPr>
      <w:spacing w:after="0" w:line="240" w:lineRule="auto"/>
    </w:pPr>
    <w:rPr>
      <w:rFonts w:ascii="Calibri" w:eastAsia="Times New Roman" w:hAnsi="Calibri" w:cs="Calibri"/>
      <w:szCs w:val="24"/>
      <w:lang w:val="en-US" w:eastAsia="en-GB"/>
    </w:rPr>
  </w:style>
  <w:style w:type="character" w:customStyle="1" w:styleId="EndNoteBibliographyChar">
    <w:name w:val="EndNote Bibliography Char"/>
    <w:basedOn w:val="DefaultParagraphFont"/>
    <w:link w:val="EndNoteBibliography"/>
    <w:rsid w:val="00AA476F"/>
    <w:rPr>
      <w:rFonts w:ascii="Calibri" w:eastAsia="Times New Roman" w:hAnsi="Calibri" w:cs="Calibri"/>
      <w:szCs w:val="24"/>
      <w:lang w:val="en-US" w:eastAsia="en-GB"/>
    </w:rPr>
  </w:style>
  <w:style w:type="character" w:customStyle="1" w:styleId="txt">
    <w:name w:val="txt"/>
    <w:basedOn w:val="DefaultParagraphFont"/>
    <w:rsid w:val="00AA476F"/>
  </w:style>
  <w:style w:type="character" w:customStyle="1" w:styleId="txtbold">
    <w:name w:val="txtbold"/>
    <w:basedOn w:val="DefaultParagraphFont"/>
    <w:rsid w:val="00AA476F"/>
  </w:style>
  <w:style w:type="character" w:styleId="Emphasis">
    <w:name w:val="Emphasis"/>
    <w:basedOn w:val="DefaultParagraphFont"/>
    <w:uiPriority w:val="20"/>
    <w:qFormat/>
    <w:rsid w:val="00AA476F"/>
    <w:rPr>
      <w:i/>
      <w:iCs/>
    </w:rPr>
  </w:style>
  <w:style w:type="character" w:customStyle="1" w:styleId="UnresolvedMention20">
    <w:name w:val="Unresolved Mention20"/>
    <w:basedOn w:val="DefaultParagraphFont"/>
    <w:uiPriority w:val="99"/>
    <w:semiHidden/>
    <w:unhideWhenUsed/>
    <w:rsid w:val="00AA476F"/>
    <w:rPr>
      <w:color w:val="605E5C"/>
      <w:shd w:val="clear" w:color="auto" w:fill="E1DFDD"/>
    </w:rPr>
  </w:style>
  <w:style w:type="character" w:styleId="FollowedHyperlink">
    <w:name w:val="FollowedHyperlink"/>
    <w:basedOn w:val="DefaultParagraphFont"/>
    <w:uiPriority w:val="99"/>
    <w:semiHidden/>
    <w:unhideWhenUsed/>
    <w:rsid w:val="00AA476F"/>
    <w:rPr>
      <w:color w:val="954F72" w:themeColor="followedHyperlink"/>
      <w:u w:val="single"/>
    </w:rPr>
  </w:style>
  <w:style w:type="character" w:customStyle="1" w:styleId="wysiwyg-color-black">
    <w:name w:val="wysiwyg-color-black"/>
    <w:basedOn w:val="DefaultParagraphFont"/>
    <w:rsid w:val="00AA476F"/>
  </w:style>
  <w:style w:type="character" w:customStyle="1" w:styleId="apple-converted-space">
    <w:name w:val="apple-converted-space"/>
    <w:basedOn w:val="DefaultParagraphFont"/>
    <w:rsid w:val="00AA476F"/>
  </w:style>
  <w:style w:type="character" w:customStyle="1" w:styleId="wysiwyg-color-blue90">
    <w:name w:val="wysiwyg-color-blue90"/>
    <w:basedOn w:val="DefaultParagraphFont"/>
    <w:rsid w:val="00AA476F"/>
  </w:style>
  <w:style w:type="paragraph" w:styleId="FootnoteText">
    <w:name w:val="footnote text"/>
    <w:basedOn w:val="Normal"/>
    <w:link w:val="FootnoteTextChar"/>
    <w:uiPriority w:val="99"/>
    <w:unhideWhenUsed/>
    <w:rsid w:val="00AA476F"/>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uiPriority w:val="99"/>
    <w:rsid w:val="00AA476F"/>
    <w:rPr>
      <w:rFonts w:ascii="Times New Roman" w:eastAsia="Times New Roman" w:hAnsi="Times New Roman" w:cs="Times New Roman"/>
      <w:sz w:val="20"/>
      <w:szCs w:val="20"/>
      <w:lang w:eastAsia="en-GB"/>
    </w:rPr>
  </w:style>
  <w:style w:type="character" w:styleId="FootnoteReference">
    <w:name w:val="footnote reference"/>
    <w:basedOn w:val="DefaultParagraphFont"/>
    <w:uiPriority w:val="99"/>
    <w:semiHidden/>
    <w:unhideWhenUsed/>
    <w:rsid w:val="00AA476F"/>
    <w:rPr>
      <w:vertAlign w:val="superscript"/>
    </w:rPr>
  </w:style>
  <w:style w:type="paragraph" w:styleId="Revision">
    <w:name w:val="Revision"/>
    <w:hidden/>
    <w:uiPriority w:val="99"/>
    <w:semiHidden/>
    <w:rsid w:val="00AA476F"/>
    <w:pPr>
      <w:spacing w:after="0" w:line="240" w:lineRule="auto"/>
    </w:pPr>
  </w:style>
  <w:style w:type="table" w:styleId="PlainTable2">
    <w:name w:val="Plain Table 2"/>
    <w:basedOn w:val="TableNormal"/>
    <w:uiPriority w:val="42"/>
    <w:rsid w:val="00AA476F"/>
    <w:pPr>
      <w:spacing w:after="0" w:line="240" w:lineRule="auto"/>
    </w:pPr>
    <w:rPr>
      <w:sz w:val="24"/>
      <w:szCs w:val="24"/>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BodyText1">
    <w:name w:val="Body Text1"/>
    <w:basedOn w:val="Normal"/>
    <w:link w:val="BodyText1Char"/>
    <w:qFormat/>
    <w:rsid w:val="00AA476F"/>
    <w:pPr>
      <w:spacing w:before="240" w:line="360" w:lineRule="auto"/>
    </w:pPr>
    <w:rPr>
      <w:rFonts w:ascii="Times New Roman" w:hAnsi="Times New Roman" w:cs="Times New Roman"/>
      <w:sz w:val="24"/>
    </w:rPr>
  </w:style>
  <w:style w:type="character" w:styleId="PageNumber">
    <w:name w:val="page number"/>
    <w:basedOn w:val="DefaultParagraphFont"/>
    <w:uiPriority w:val="99"/>
    <w:semiHidden/>
    <w:unhideWhenUsed/>
    <w:rsid w:val="00AA476F"/>
  </w:style>
  <w:style w:type="paragraph" w:styleId="Title">
    <w:name w:val="Title"/>
    <w:basedOn w:val="BodyText1"/>
    <w:next w:val="Normal"/>
    <w:link w:val="TitleChar"/>
    <w:uiPriority w:val="10"/>
    <w:qFormat/>
    <w:rsid w:val="00AA476F"/>
    <w:pPr>
      <w:pBdr>
        <w:bottom w:val="single" w:sz="4" w:space="1" w:color="auto"/>
      </w:pBdr>
    </w:pPr>
    <w:rPr>
      <w:rFonts w:asciiTheme="minorHAnsi" w:hAnsiTheme="minorHAnsi" w:cs="Arial"/>
      <w:b/>
      <w:bCs/>
      <w:color w:val="C64398"/>
      <w:sz w:val="36"/>
      <w:szCs w:val="36"/>
    </w:rPr>
  </w:style>
  <w:style w:type="character" w:customStyle="1" w:styleId="TitleChar">
    <w:name w:val="Title Char"/>
    <w:basedOn w:val="DefaultParagraphFont"/>
    <w:link w:val="Title"/>
    <w:uiPriority w:val="10"/>
    <w:rsid w:val="00AA476F"/>
    <w:rPr>
      <w:rFonts w:cs="Arial"/>
      <w:b/>
      <w:bCs/>
      <w:color w:val="C64398"/>
      <w:sz w:val="36"/>
      <w:szCs w:val="36"/>
    </w:rPr>
  </w:style>
  <w:style w:type="character" w:styleId="IntenseEmphasis">
    <w:name w:val="Intense Emphasis"/>
    <w:uiPriority w:val="21"/>
    <w:qFormat/>
    <w:rsid w:val="00AA476F"/>
    <w:rPr>
      <w:rFonts w:asciiTheme="minorHAnsi" w:hAnsiTheme="minorHAnsi" w:cs="Arial"/>
      <w:b/>
      <w:bCs/>
      <w:color w:val="C64398"/>
    </w:rPr>
  </w:style>
  <w:style w:type="character" w:customStyle="1" w:styleId="BodyText1Char">
    <w:name w:val="Body Text1 Char"/>
    <w:basedOn w:val="DefaultParagraphFont"/>
    <w:link w:val="BodyText1"/>
    <w:rsid w:val="00AA476F"/>
    <w:rPr>
      <w:rFonts w:ascii="Times New Roman" w:hAnsi="Times New Roman" w:cs="Times New Roman"/>
      <w:sz w:val="24"/>
    </w:rPr>
  </w:style>
  <w:style w:type="character" w:styleId="EndnoteReference">
    <w:name w:val="endnote reference"/>
    <w:basedOn w:val="DefaultParagraphFont"/>
    <w:uiPriority w:val="99"/>
    <w:semiHidden/>
    <w:unhideWhenUsed/>
    <w:rsid w:val="00AA476F"/>
    <w:rPr>
      <w:vertAlign w:val="superscript"/>
    </w:rPr>
  </w:style>
  <w:style w:type="character" w:customStyle="1" w:styleId="EndnoteTextChar">
    <w:name w:val="Endnote Text Char"/>
    <w:basedOn w:val="DefaultParagraphFont"/>
    <w:link w:val="EndnoteText"/>
    <w:uiPriority w:val="99"/>
    <w:semiHidden/>
    <w:rsid w:val="00AA476F"/>
    <w:rPr>
      <w:sz w:val="20"/>
      <w:szCs w:val="20"/>
    </w:rPr>
  </w:style>
  <w:style w:type="paragraph" w:styleId="EndnoteText">
    <w:name w:val="endnote text"/>
    <w:basedOn w:val="Normal"/>
    <w:link w:val="EndnoteTextChar"/>
    <w:uiPriority w:val="99"/>
    <w:semiHidden/>
    <w:unhideWhenUsed/>
    <w:rsid w:val="00AA476F"/>
    <w:pPr>
      <w:spacing w:after="0" w:line="240" w:lineRule="auto"/>
    </w:pPr>
    <w:rPr>
      <w:sz w:val="20"/>
      <w:szCs w:val="20"/>
    </w:rPr>
  </w:style>
  <w:style w:type="character" w:customStyle="1" w:styleId="EndnoteTextChar1">
    <w:name w:val="Endnote Text Char1"/>
    <w:basedOn w:val="DefaultParagraphFont"/>
    <w:uiPriority w:val="99"/>
    <w:semiHidden/>
    <w:rsid w:val="00AA476F"/>
    <w:rPr>
      <w:sz w:val="20"/>
      <w:szCs w:val="20"/>
    </w:rPr>
  </w:style>
  <w:style w:type="paragraph" w:styleId="BodyText">
    <w:name w:val="Body Text"/>
    <w:basedOn w:val="Normal"/>
    <w:link w:val="BodyTextChar"/>
    <w:qFormat/>
    <w:rsid w:val="00AA476F"/>
    <w:pPr>
      <w:spacing w:before="120" w:after="120" w:line="270" w:lineRule="atLeast"/>
    </w:pPr>
    <w:rPr>
      <w:rFonts w:eastAsia="Times New Roman" w:cs="Times New Roman"/>
      <w:spacing w:val="2"/>
      <w:sz w:val="19"/>
      <w:szCs w:val="19"/>
      <w:lang w:eastAsia="en-AU"/>
    </w:rPr>
  </w:style>
  <w:style w:type="character" w:customStyle="1" w:styleId="BodyTextChar">
    <w:name w:val="Body Text Char"/>
    <w:basedOn w:val="DefaultParagraphFont"/>
    <w:link w:val="BodyText"/>
    <w:rsid w:val="00AA476F"/>
    <w:rPr>
      <w:rFonts w:eastAsia="Times New Roman" w:cs="Times New Roman"/>
      <w:spacing w:val="2"/>
      <w:sz w:val="19"/>
      <w:szCs w:val="19"/>
      <w:lang w:eastAsia="en-AU"/>
    </w:rPr>
  </w:style>
  <w:style w:type="paragraph" w:customStyle="1" w:styleId="ExecSummHeading3">
    <w:name w:val="Exec Summ Heading 3"/>
    <w:basedOn w:val="BodyText"/>
    <w:next w:val="BodyText"/>
    <w:qFormat/>
    <w:rsid w:val="00AA476F"/>
    <w:pPr>
      <w:keepNext/>
      <w:spacing w:before="240" w:line="240" w:lineRule="auto"/>
    </w:pPr>
    <w:rPr>
      <w:rFonts w:asciiTheme="majorHAnsi" w:hAnsiTheme="majorHAnsi"/>
      <w:b/>
      <w:color w:val="44546A" w:themeColor="text2"/>
      <w:spacing w:val="0"/>
      <w:sz w:val="22"/>
      <w:szCs w:val="21"/>
    </w:rPr>
  </w:style>
  <w:style w:type="character" w:customStyle="1" w:styleId="UnresolvedMention2">
    <w:name w:val="Unresolved Mention2"/>
    <w:basedOn w:val="DefaultParagraphFont"/>
    <w:uiPriority w:val="99"/>
    <w:semiHidden/>
    <w:unhideWhenUsed/>
    <w:rsid w:val="00AA476F"/>
    <w:rPr>
      <w:color w:val="605E5C"/>
      <w:shd w:val="clear" w:color="auto" w:fill="E1DFDD"/>
    </w:rPr>
  </w:style>
  <w:style w:type="character" w:customStyle="1" w:styleId="UnresolvedMention3">
    <w:name w:val="Unresolved Mention3"/>
    <w:basedOn w:val="DefaultParagraphFont"/>
    <w:uiPriority w:val="99"/>
    <w:semiHidden/>
    <w:unhideWhenUsed/>
    <w:rsid w:val="00AA476F"/>
    <w:rPr>
      <w:color w:val="605E5C"/>
      <w:shd w:val="clear" w:color="auto" w:fill="E1DFDD"/>
    </w:rPr>
  </w:style>
  <w:style w:type="character" w:customStyle="1" w:styleId="UnresolvedMention4">
    <w:name w:val="Unresolved Mention4"/>
    <w:basedOn w:val="DefaultParagraphFont"/>
    <w:uiPriority w:val="99"/>
    <w:semiHidden/>
    <w:unhideWhenUsed/>
    <w:rsid w:val="00AA476F"/>
    <w:rPr>
      <w:color w:val="605E5C"/>
      <w:shd w:val="clear" w:color="auto" w:fill="E1DFDD"/>
    </w:rPr>
  </w:style>
  <w:style w:type="paragraph" w:customStyle="1" w:styleId="xxmsonormal">
    <w:name w:val="x_x_msonormal"/>
    <w:basedOn w:val="Normal"/>
    <w:rsid w:val="00AA476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Mention1">
    <w:name w:val="Mention1"/>
    <w:basedOn w:val="DefaultParagraphFont"/>
    <w:uiPriority w:val="99"/>
    <w:unhideWhenUsed/>
    <w:rsid w:val="00AA476F"/>
    <w:rPr>
      <w:color w:val="2B579A"/>
      <w:shd w:val="clear" w:color="auto" w:fill="E6E6E6"/>
    </w:rPr>
  </w:style>
  <w:style w:type="character" w:customStyle="1" w:styleId="Mention2">
    <w:name w:val="Mention2"/>
    <w:basedOn w:val="DefaultParagraphFont"/>
    <w:uiPriority w:val="99"/>
    <w:unhideWhenUsed/>
    <w:rsid w:val="00AA476F"/>
    <w:rPr>
      <w:color w:val="2B579A"/>
      <w:shd w:val="clear" w:color="auto" w:fill="E6E6E6"/>
    </w:rPr>
  </w:style>
  <w:style w:type="character" w:customStyle="1" w:styleId="normaltextrun">
    <w:name w:val="normaltextrun"/>
    <w:basedOn w:val="DefaultParagraphFont"/>
    <w:rsid w:val="00AA476F"/>
  </w:style>
  <w:style w:type="character" w:customStyle="1" w:styleId="UnresolvedMention5">
    <w:name w:val="Unresolved Mention5"/>
    <w:basedOn w:val="DefaultParagraphFont"/>
    <w:uiPriority w:val="99"/>
    <w:semiHidden/>
    <w:unhideWhenUsed/>
    <w:rsid w:val="00AA476F"/>
    <w:rPr>
      <w:color w:val="605E5C"/>
      <w:shd w:val="clear" w:color="auto" w:fill="E1DFDD"/>
    </w:rPr>
  </w:style>
  <w:style w:type="character" w:styleId="UnresolvedMention">
    <w:name w:val="Unresolved Mention"/>
    <w:basedOn w:val="DefaultParagraphFont"/>
    <w:uiPriority w:val="99"/>
    <w:semiHidden/>
    <w:unhideWhenUsed/>
    <w:rsid w:val="00AA476F"/>
    <w:rPr>
      <w:color w:val="605E5C"/>
      <w:shd w:val="clear" w:color="auto" w:fill="E1DFDD"/>
    </w:rPr>
  </w:style>
  <w:style w:type="table" w:styleId="GridTable6Colorful-Accent5">
    <w:name w:val="Grid Table 6 Colorful Accent 5"/>
    <w:basedOn w:val="TableNormal"/>
    <w:uiPriority w:val="51"/>
    <w:rsid w:val="000541C7"/>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TOCHeading">
    <w:name w:val="TOC Heading"/>
    <w:basedOn w:val="Heading1"/>
    <w:next w:val="Normal"/>
    <w:uiPriority w:val="39"/>
    <w:unhideWhenUsed/>
    <w:qFormat/>
    <w:rsid w:val="000E1707"/>
    <w:pPr>
      <w:outlineLvl w:val="9"/>
    </w:pPr>
    <w:rPr>
      <w:lang w:val="en-US"/>
    </w:rPr>
  </w:style>
  <w:style w:type="paragraph" w:styleId="TOC1">
    <w:name w:val="toc 1"/>
    <w:basedOn w:val="Normal"/>
    <w:next w:val="Normal"/>
    <w:autoRedefine/>
    <w:uiPriority w:val="39"/>
    <w:unhideWhenUsed/>
    <w:rsid w:val="000E1707"/>
    <w:pPr>
      <w:spacing w:after="100"/>
    </w:pPr>
  </w:style>
  <w:style w:type="paragraph" w:styleId="TOC2">
    <w:name w:val="toc 2"/>
    <w:basedOn w:val="Normal"/>
    <w:next w:val="Normal"/>
    <w:autoRedefine/>
    <w:uiPriority w:val="39"/>
    <w:unhideWhenUsed/>
    <w:rsid w:val="000E1707"/>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apo.org.au/sites/default/files/resource-files/2015-07/apo-nid57598.pdf" TargetMode="External"/><Relationship Id="rId18" Type="http://schemas.openxmlformats.org/officeDocument/2006/relationships/hyperlink" Target="https://www.riverclydehomes.org.uk/uploaded/river-clyde-web/passthrough/broomhill_report_stirling_university.pdf" TargetMode="External"/><Relationship Id="rId26"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hyperlink" Target="https://wedundee.com" TargetMode="External"/><Relationship Id="rId7" Type="http://schemas.openxmlformats.org/officeDocument/2006/relationships/footnotes" Target="footnotes.xml"/><Relationship Id="rId12" Type="http://schemas.openxmlformats.org/officeDocument/2006/relationships/hyperlink" Target="http://C://Users/megmu/Downloads/30-30-1-PB%20(2).pdf" TargetMode="External"/><Relationship Id="rId17" Type="http://schemas.openxmlformats.org/officeDocument/2006/relationships/hyperlink" Target="https://eds.b.ebscohost.com/eds/detail/detail?vid=2&amp;sid=e60f4b1a-f124-46a9-8d67-14cdebe7ab56%40pdc-v-sessmgr05&amp;bdata=JmF1dGh0eXBlPXNzbyZjdXN0aWQ9ZGVha2luJnNpdGU9ZWRzLWxpdmUmc2NvcGU9c2l0ZQ%3d%3d"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google.com.au/url?sa=t&amp;rct=j&amp;q=&amp;esrc=s&amp;source=web&amp;cd=&amp;ved=2ahUKEwjq3P-j7YjuAhUzzTgGHd6yDY0QFjAEegQICBAC&amp;url=https%3A%2F%2Fwww.mcgill.ca%2Fihsp%2Ffiles%2Fihsp%2F2011posterpresentation_kara.pptx&amp;usg=AOvVaw1sQL8GiLxLyzbkdH32kjFO" TargetMode="External"/><Relationship Id="rId20" Type="http://schemas.openxmlformats.org/officeDocument/2006/relationships/hyperlink" Target="https://www.sciencedirect.com/science/article/pii/S0016718518302653?via%3Dihub"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academia.edu/19880769/Evaluating_health_impacts_Results_from_the_neighbourhood_renewal_stratgey_in_Victoria_Australia" TargetMode="External"/><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s://cfon.issuelab.org/resource/best-babies-zone-year-6-evaluation-report.html"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www.vichealth.vic.gov.au/media-and-resources/publications/streets-ahead-evaluation-report-2008-2011" TargetMode="External"/><Relationship Id="rId19" Type="http://schemas.openxmlformats.org/officeDocument/2006/relationships/hyperlink" Target="https://www.communityventures.org.uk/wp-content/uploads/2017/04/My-Community-Matters-Final-Report.pdf" TargetMode="External"/><Relationship Id="rId4" Type="http://schemas.openxmlformats.org/officeDocument/2006/relationships/styles" Target="styles.xml"/><Relationship Id="rId9" Type="http://schemas.openxmlformats.org/officeDocument/2006/relationships/hyperlink" Target="https://grow.g21.com.au/wp-content/uploads/pdf/GROW-Review-Report-FINAL-JUNE-2019.pdf" TargetMode="External"/><Relationship Id="rId14" Type="http://schemas.openxmlformats.org/officeDocument/2006/relationships/hyperlink" Target="https://jessvech.files.wordpress.com/2014/05/bbz-design-sprint-evaluation-report.pdf" TargetMode="External"/><Relationship Id="rId22" Type="http://schemas.openxmlformats.org/officeDocument/2006/relationships/hyperlink" Target="https://ruaf.org/assets/2019/11/UA-Magazine-no.-35-Youth-in-Food-Opportunities-for-education-and-employment.pdf"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1715754C-BFDF-4323-A628-4F5CDB9BFDCF}">
  <ds:schemaRefs>
    <ds:schemaRef ds:uri="http://schemas.openxmlformats.org/officeDocument/2006/bibliography"/>
  </ds:schemaRefs>
</ds:datastoreItem>
</file>

<file path=customXml/itemProps2.xml><?xml version="1.0" encoding="utf-8"?>
<ds:datastoreItem xmlns:ds="http://schemas.openxmlformats.org/officeDocument/2006/customXml" ds:itemID="{F57AD1FC-D7D0-4ACD-90C0-4C0A6C08E790}">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27</Pages>
  <Words>12227</Words>
  <Characters>69699</Characters>
  <Application>Microsoft Office Word</Application>
  <DocSecurity>0</DocSecurity>
  <Lines>580</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Rhiannon Tanner</dc:creator>
  <cp:keywords/>
  <dc:description/>
  <cp:lastModifiedBy>Jane Wager</cp:lastModifiedBy>
  <cp:revision>6</cp:revision>
  <dcterms:created xsi:type="dcterms:W3CDTF">2022-06-30T02:23:00Z</dcterms:created>
  <dcterms:modified xsi:type="dcterms:W3CDTF">2022-08-01T07:45:00Z</dcterms:modified>
</cp:coreProperties>
</file>