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C850D" w14:textId="33721F0D" w:rsidR="004C54D0" w:rsidRDefault="004C54D0" w:rsidP="004C54D0">
      <w:pPr>
        <w:spacing w:line="276" w:lineRule="auto"/>
        <w:rPr>
          <w:rFonts w:eastAsia="Calibri" w:cstheme="minorHAnsi"/>
          <w:b/>
          <w:color w:val="2F5496" w:themeColor="accent1" w:themeShade="BF"/>
          <w:sz w:val="32"/>
          <w:szCs w:val="32"/>
        </w:rPr>
      </w:pPr>
      <w:r>
        <w:rPr>
          <w:rFonts w:eastAsia="Calibri" w:cstheme="minorHAnsi"/>
          <w:b/>
          <w:color w:val="2F5496" w:themeColor="accent1" w:themeShade="BF"/>
          <w:sz w:val="32"/>
          <w:szCs w:val="32"/>
        </w:rPr>
        <w:t>From Strategies for Alleviating Locational Disadvantage in Geelong</w:t>
      </w:r>
      <w:r w:rsidR="001178B2">
        <w:rPr>
          <w:rFonts w:eastAsia="Calibri" w:cstheme="minorHAnsi"/>
          <w:b/>
          <w:color w:val="2F5496" w:themeColor="accent1" w:themeShade="BF"/>
          <w:sz w:val="32"/>
          <w:szCs w:val="32"/>
        </w:rPr>
        <w:t xml:space="preserve"> - </w:t>
      </w:r>
      <w:r w:rsidR="001178B2" w:rsidRPr="003710F5">
        <w:rPr>
          <w:rFonts w:eastAsia="Calibri" w:cstheme="minorHAnsi"/>
          <w:b/>
          <w:color w:val="2F5496" w:themeColor="accent1" w:themeShade="BF"/>
          <w:sz w:val="32"/>
          <w:szCs w:val="32"/>
        </w:rPr>
        <w:t xml:space="preserve">SECTION </w:t>
      </w:r>
      <w:r w:rsidR="001178B2">
        <w:rPr>
          <w:rFonts w:eastAsia="Calibri" w:cstheme="minorHAnsi"/>
          <w:b/>
          <w:color w:val="2F5496" w:themeColor="accent1" w:themeShade="BF"/>
          <w:sz w:val="32"/>
          <w:szCs w:val="32"/>
        </w:rPr>
        <w:t>7</w:t>
      </w:r>
      <w:r w:rsidR="001178B2">
        <w:rPr>
          <w:rFonts w:eastAsia="Calibri" w:cstheme="minorHAnsi"/>
          <w:b/>
          <w:color w:val="2F5496" w:themeColor="accent1" w:themeShade="BF"/>
          <w:sz w:val="32"/>
          <w:szCs w:val="32"/>
        </w:rPr>
        <w:t>:</w:t>
      </w:r>
      <w:r w:rsidR="001178B2">
        <w:rPr>
          <w:rFonts w:eastAsia="Calibri" w:cstheme="minorHAnsi"/>
          <w:b/>
          <w:color w:val="2F5496" w:themeColor="accent1" w:themeShade="BF"/>
          <w:sz w:val="32"/>
          <w:szCs w:val="32"/>
        </w:rPr>
        <w:t xml:space="preserve"> Data Scan</w:t>
      </w:r>
      <w:r w:rsidR="001178B2">
        <w:rPr>
          <w:rFonts w:eastAsia="Calibri" w:cstheme="minorHAnsi"/>
          <w:b/>
          <w:color w:val="2F5496" w:themeColor="accent1" w:themeShade="BF"/>
          <w:sz w:val="32"/>
          <w:szCs w:val="32"/>
        </w:rPr>
        <w:t>.</w:t>
      </w:r>
    </w:p>
    <w:p w14:paraId="75D90A14" w14:textId="77777777" w:rsidR="004C54D0" w:rsidRPr="003710F5" w:rsidRDefault="004C54D0" w:rsidP="004C54D0">
      <w:pPr>
        <w:spacing w:line="276" w:lineRule="auto"/>
        <w:rPr>
          <w:rFonts w:eastAsia="Calibri" w:cstheme="minorHAnsi"/>
          <w:b/>
          <w:bCs/>
          <w:color w:val="2F5496" w:themeColor="accent1" w:themeShade="BF"/>
          <w:sz w:val="28"/>
          <w:szCs w:val="28"/>
        </w:rPr>
      </w:pPr>
      <w:r w:rsidRPr="003710F5">
        <w:rPr>
          <w:rFonts w:eastAsia="Calibri" w:cstheme="minorHAnsi"/>
          <w:b/>
          <w:color w:val="2F5496" w:themeColor="accent1" w:themeShade="BF"/>
          <w:sz w:val="28"/>
          <w:szCs w:val="28"/>
        </w:rPr>
        <w:t xml:space="preserve">7.1 </w:t>
      </w:r>
      <w:r w:rsidRPr="003710F5">
        <w:rPr>
          <w:rFonts w:eastAsia="Calibri" w:cstheme="minorHAnsi"/>
          <w:b/>
          <w:bCs/>
          <w:color w:val="2F5496" w:themeColor="accent1" w:themeShade="BF"/>
          <w:sz w:val="28"/>
          <w:szCs w:val="28"/>
        </w:rPr>
        <w:t>Introducing the Three Localities</w:t>
      </w:r>
    </w:p>
    <w:p w14:paraId="2264909C" w14:textId="77777777" w:rsidR="004C54D0" w:rsidRPr="00E91887" w:rsidRDefault="004C54D0" w:rsidP="004C54D0">
      <w:pPr>
        <w:spacing w:line="276" w:lineRule="auto"/>
        <w:rPr>
          <w:rFonts w:asciiTheme="majorHAnsi" w:hAnsiTheme="majorHAnsi" w:cstheme="majorHAnsi"/>
          <w:sz w:val="23"/>
          <w:szCs w:val="23"/>
        </w:rPr>
      </w:pPr>
      <w:r w:rsidRPr="00E91887">
        <w:rPr>
          <w:rFonts w:asciiTheme="majorHAnsi" w:hAnsiTheme="majorHAnsi" w:cstheme="majorHAnsi"/>
          <w:sz w:val="23"/>
          <w:szCs w:val="23"/>
        </w:rPr>
        <w:t>Located on the northern edge of Geelong,</w:t>
      </w:r>
      <w:r>
        <w:rPr>
          <w:rFonts w:asciiTheme="majorHAnsi" w:hAnsiTheme="majorHAnsi" w:cstheme="majorHAnsi"/>
          <w:sz w:val="23"/>
          <w:szCs w:val="23"/>
        </w:rPr>
        <w:t xml:space="preserve"> </w:t>
      </w:r>
      <w:r w:rsidRPr="00E91887">
        <w:rPr>
          <w:rFonts w:asciiTheme="majorHAnsi" w:hAnsiTheme="majorHAnsi" w:cstheme="majorHAnsi"/>
          <w:sz w:val="23"/>
          <w:szCs w:val="23"/>
        </w:rPr>
        <w:t xml:space="preserve">Corio has its origins in the idealism and land speculation that characterised Geelong in the 1920s. </w:t>
      </w:r>
      <w:r>
        <w:rPr>
          <w:rFonts w:asciiTheme="majorHAnsi" w:hAnsiTheme="majorHAnsi" w:cstheme="majorHAnsi"/>
          <w:sz w:val="23"/>
          <w:szCs w:val="23"/>
        </w:rPr>
        <w:t>During this time</w:t>
      </w:r>
      <w:r w:rsidRPr="00E91887">
        <w:rPr>
          <w:rFonts w:asciiTheme="majorHAnsi" w:hAnsiTheme="majorHAnsi" w:cstheme="majorHAnsi"/>
          <w:sz w:val="23"/>
          <w:szCs w:val="23"/>
        </w:rPr>
        <w:t xml:space="preserve"> major industries were moving into the </w:t>
      </w:r>
      <w:proofErr w:type="gramStart"/>
      <w:r>
        <w:rPr>
          <w:rFonts w:asciiTheme="majorHAnsi" w:hAnsiTheme="majorHAnsi" w:cstheme="majorHAnsi"/>
          <w:sz w:val="23"/>
          <w:szCs w:val="23"/>
        </w:rPr>
        <w:t>C</w:t>
      </w:r>
      <w:r w:rsidRPr="00E91887">
        <w:rPr>
          <w:rFonts w:asciiTheme="majorHAnsi" w:hAnsiTheme="majorHAnsi" w:cstheme="majorHAnsi"/>
          <w:sz w:val="23"/>
          <w:szCs w:val="23"/>
        </w:rPr>
        <w:t>ity</w:t>
      </w:r>
      <w:proofErr w:type="gramEnd"/>
      <w:r w:rsidRPr="00E91887">
        <w:rPr>
          <w:rFonts w:asciiTheme="majorHAnsi" w:hAnsiTheme="majorHAnsi" w:cstheme="majorHAnsi"/>
          <w:sz w:val="23"/>
          <w:szCs w:val="23"/>
        </w:rPr>
        <w:t xml:space="preserve">, particularly the Ford Motor Company. </w:t>
      </w:r>
      <w:r>
        <w:rPr>
          <w:rFonts w:asciiTheme="majorHAnsi" w:hAnsiTheme="majorHAnsi" w:cstheme="majorHAnsi"/>
          <w:sz w:val="23"/>
          <w:szCs w:val="23"/>
        </w:rPr>
        <w:t>With an</w:t>
      </w:r>
      <w:r w:rsidRPr="00E91887">
        <w:rPr>
          <w:rFonts w:asciiTheme="majorHAnsi" w:hAnsiTheme="majorHAnsi" w:cstheme="majorHAnsi"/>
          <w:sz w:val="23"/>
          <w:szCs w:val="23"/>
        </w:rPr>
        <w:t xml:space="preserve"> expanding market for</w:t>
      </w:r>
      <w:r>
        <w:rPr>
          <w:rFonts w:asciiTheme="majorHAnsi" w:hAnsiTheme="majorHAnsi" w:cstheme="majorHAnsi"/>
          <w:sz w:val="23"/>
          <w:szCs w:val="23"/>
        </w:rPr>
        <w:t xml:space="preserve"> local</w:t>
      </w:r>
      <w:r w:rsidRPr="00E91887">
        <w:rPr>
          <w:rFonts w:asciiTheme="majorHAnsi" w:hAnsiTheme="majorHAnsi" w:cstheme="majorHAnsi"/>
          <w:sz w:val="23"/>
          <w:szCs w:val="23"/>
        </w:rPr>
        <w:t xml:space="preserve"> land, a town planning movement </w:t>
      </w:r>
      <w:r>
        <w:rPr>
          <w:rFonts w:asciiTheme="majorHAnsi" w:hAnsiTheme="majorHAnsi" w:cstheme="majorHAnsi"/>
          <w:sz w:val="23"/>
          <w:szCs w:val="23"/>
        </w:rPr>
        <w:t>proposed</w:t>
      </w:r>
      <w:r w:rsidRPr="00E91887">
        <w:rPr>
          <w:rFonts w:asciiTheme="majorHAnsi" w:hAnsiTheme="majorHAnsi" w:cstheme="majorHAnsi"/>
          <w:sz w:val="23"/>
          <w:szCs w:val="23"/>
        </w:rPr>
        <w:t xml:space="preserve"> </w:t>
      </w:r>
      <w:r>
        <w:rPr>
          <w:rFonts w:asciiTheme="majorHAnsi" w:hAnsiTheme="majorHAnsi" w:cstheme="majorHAnsi"/>
          <w:sz w:val="23"/>
          <w:szCs w:val="23"/>
        </w:rPr>
        <w:t>the “</w:t>
      </w:r>
      <w:r w:rsidRPr="00E91887">
        <w:rPr>
          <w:rFonts w:asciiTheme="majorHAnsi" w:hAnsiTheme="majorHAnsi" w:cstheme="majorHAnsi"/>
          <w:sz w:val="23"/>
          <w:szCs w:val="23"/>
        </w:rPr>
        <w:t>Garden Suburb</w:t>
      </w:r>
      <w:r>
        <w:rPr>
          <w:rFonts w:asciiTheme="majorHAnsi" w:hAnsiTheme="majorHAnsi" w:cstheme="majorHAnsi"/>
          <w:sz w:val="23"/>
          <w:szCs w:val="23"/>
        </w:rPr>
        <w:t>” as the best approach to</w:t>
      </w:r>
      <w:r w:rsidRPr="00E91887">
        <w:rPr>
          <w:rFonts w:asciiTheme="majorHAnsi" w:hAnsiTheme="majorHAnsi" w:cstheme="majorHAnsi"/>
          <w:sz w:val="23"/>
          <w:szCs w:val="23"/>
        </w:rPr>
        <w:t xml:space="preserve"> design</w:t>
      </w:r>
      <w:r>
        <w:rPr>
          <w:rFonts w:asciiTheme="majorHAnsi" w:hAnsiTheme="majorHAnsi" w:cstheme="majorHAnsi"/>
          <w:sz w:val="23"/>
          <w:szCs w:val="23"/>
        </w:rPr>
        <w:t>ing</w:t>
      </w:r>
      <w:r w:rsidRPr="00E91887">
        <w:rPr>
          <w:rFonts w:asciiTheme="majorHAnsi" w:hAnsiTheme="majorHAnsi" w:cstheme="majorHAnsi"/>
          <w:sz w:val="23"/>
          <w:szCs w:val="23"/>
        </w:rPr>
        <w:t xml:space="preserve"> and build</w:t>
      </w:r>
      <w:r>
        <w:rPr>
          <w:rFonts w:asciiTheme="majorHAnsi" w:hAnsiTheme="majorHAnsi" w:cstheme="majorHAnsi"/>
          <w:sz w:val="23"/>
          <w:szCs w:val="23"/>
        </w:rPr>
        <w:t>ing</w:t>
      </w:r>
      <w:r w:rsidRPr="00E91887">
        <w:rPr>
          <w:rFonts w:asciiTheme="majorHAnsi" w:hAnsiTheme="majorHAnsi" w:cstheme="majorHAnsi"/>
          <w:sz w:val="23"/>
          <w:szCs w:val="23"/>
        </w:rPr>
        <w:t xml:space="preserve"> a new urban area. </w:t>
      </w:r>
      <w:r>
        <w:rPr>
          <w:rFonts w:asciiTheme="majorHAnsi" w:hAnsiTheme="majorHAnsi" w:cstheme="majorHAnsi"/>
          <w:sz w:val="23"/>
          <w:szCs w:val="23"/>
        </w:rPr>
        <w:t>Thus, in the mid-1920s,</w:t>
      </w:r>
      <w:r w:rsidRPr="00E91887">
        <w:rPr>
          <w:rFonts w:asciiTheme="majorHAnsi" w:hAnsiTheme="majorHAnsi" w:cstheme="majorHAnsi"/>
          <w:sz w:val="23"/>
          <w:szCs w:val="23"/>
        </w:rPr>
        <w:t xml:space="preserve"> the Melbourne Subdivisions Company </w:t>
      </w:r>
      <w:r>
        <w:rPr>
          <w:rFonts w:asciiTheme="majorHAnsi" w:hAnsiTheme="majorHAnsi" w:cstheme="majorHAnsi"/>
          <w:sz w:val="23"/>
          <w:szCs w:val="23"/>
        </w:rPr>
        <w:t>established</w:t>
      </w:r>
      <w:r w:rsidRPr="00171D37">
        <w:rPr>
          <w:rFonts w:asciiTheme="majorHAnsi" w:hAnsiTheme="majorHAnsi" w:cstheme="majorHAnsi"/>
          <w:sz w:val="23"/>
          <w:szCs w:val="23"/>
        </w:rPr>
        <w:t xml:space="preserve"> the</w:t>
      </w:r>
      <w:r>
        <w:rPr>
          <w:rFonts w:asciiTheme="majorHAnsi" w:hAnsiTheme="majorHAnsi" w:cstheme="majorHAnsi"/>
          <w:sz w:val="23"/>
          <w:szCs w:val="23"/>
        </w:rPr>
        <w:t xml:space="preserve"> </w:t>
      </w:r>
      <w:r w:rsidRPr="00171D37">
        <w:rPr>
          <w:rFonts w:asciiTheme="majorHAnsi" w:hAnsiTheme="majorHAnsi" w:cstheme="majorHAnsi"/>
          <w:sz w:val="23"/>
          <w:szCs w:val="23"/>
        </w:rPr>
        <w:t>“up to date” Corio Garden Suburb</w:t>
      </w:r>
      <w:r>
        <w:rPr>
          <w:rFonts w:asciiTheme="majorHAnsi" w:hAnsiTheme="majorHAnsi" w:cstheme="majorHAnsi"/>
          <w:sz w:val="23"/>
          <w:szCs w:val="23"/>
        </w:rPr>
        <w:t>, a land development venture just north of the Ford factory site</w:t>
      </w:r>
      <w:r w:rsidRPr="00171D37">
        <w:rPr>
          <w:rFonts w:asciiTheme="majorHAnsi" w:hAnsiTheme="majorHAnsi" w:cstheme="majorHAnsi"/>
          <w:sz w:val="23"/>
          <w:szCs w:val="23"/>
        </w:rPr>
        <w:t>, pub</w:t>
      </w:r>
      <w:r w:rsidRPr="00E91887">
        <w:rPr>
          <w:rFonts w:asciiTheme="majorHAnsi" w:hAnsiTheme="majorHAnsi" w:cstheme="majorHAnsi"/>
          <w:sz w:val="23"/>
          <w:szCs w:val="23"/>
        </w:rPr>
        <w:t>lishing a 46-page booklet extolling its virtues to prospective buyers.</w:t>
      </w:r>
    </w:p>
    <w:p w14:paraId="070C8784" w14:textId="77777777" w:rsidR="004C54D0" w:rsidRPr="00E91887" w:rsidRDefault="004C54D0" w:rsidP="004C54D0">
      <w:pPr>
        <w:spacing w:line="276" w:lineRule="auto"/>
        <w:rPr>
          <w:rFonts w:asciiTheme="majorHAnsi" w:hAnsiTheme="majorHAnsi" w:cstheme="majorHAnsi"/>
          <w:sz w:val="23"/>
          <w:szCs w:val="23"/>
        </w:rPr>
      </w:pPr>
      <w:r w:rsidRPr="00E91887">
        <w:rPr>
          <w:rFonts w:asciiTheme="majorHAnsi" w:hAnsiTheme="majorHAnsi" w:cstheme="majorHAnsi"/>
          <w:sz w:val="23"/>
          <w:szCs w:val="23"/>
        </w:rPr>
        <w:t>The booklet celebrates Geelong as the “metropolis of the Western District”, the “Bradford of the Australia”, “The Naples of the South”, the “Birmingham of Australia”</w:t>
      </w:r>
      <w:r>
        <w:rPr>
          <w:rFonts w:asciiTheme="majorHAnsi" w:hAnsiTheme="majorHAnsi" w:cstheme="majorHAnsi"/>
          <w:sz w:val="23"/>
          <w:szCs w:val="23"/>
        </w:rPr>
        <w:t>,</w:t>
      </w:r>
      <w:r w:rsidRPr="00E91887">
        <w:rPr>
          <w:rFonts w:asciiTheme="majorHAnsi" w:hAnsiTheme="majorHAnsi" w:cstheme="majorHAnsi"/>
          <w:sz w:val="23"/>
          <w:szCs w:val="23"/>
        </w:rPr>
        <w:t xml:space="preserve"> and the third city of the Commonwealth</w:t>
      </w:r>
      <w:r>
        <w:rPr>
          <w:rFonts w:asciiTheme="majorHAnsi" w:hAnsiTheme="majorHAnsi" w:cstheme="majorHAnsi"/>
          <w:sz w:val="23"/>
          <w:szCs w:val="23"/>
        </w:rPr>
        <w:t xml:space="preserve">. These </w:t>
      </w:r>
      <w:r w:rsidRPr="00E91887">
        <w:rPr>
          <w:rFonts w:asciiTheme="majorHAnsi" w:hAnsiTheme="majorHAnsi" w:cstheme="majorHAnsi"/>
          <w:sz w:val="23"/>
          <w:szCs w:val="23"/>
        </w:rPr>
        <w:t xml:space="preserve">labels and claims </w:t>
      </w:r>
      <w:r>
        <w:rPr>
          <w:rFonts w:asciiTheme="majorHAnsi" w:hAnsiTheme="majorHAnsi" w:cstheme="majorHAnsi"/>
          <w:sz w:val="23"/>
          <w:szCs w:val="23"/>
        </w:rPr>
        <w:t>reflected both</w:t>
      </w:r>
      <w:r w:rsidRPr="00E91887">
        <w:rPr>
          <w:rFonts w:asciiTheme="majorHAnsi" w:hAnsiTheme="majorHAnsi" w:cstheme="majorHAnsi"/>
          <w:sz w:val="23"/>
          <w:szCs w:val="23"/>
        </w:rPr>
        <w:t xml:space="preserve"> </w:t>
      </w:r>
      <w:r>
        <w:rPr>
          <w:rFonts w:asciiTheme="majorHAnsi" w:hAnsiTheme="majorHAnsi" w:cstheme="majorHAnsi"/>
          <w:sz w:val="23"/>
          <w:szCs w:val="23"/>
        </w:rPr>
        <w:t>Geelong’s</w:t>
      </w:r>
      <w:r w:rsidRPr="00E91887">
        <w:rPr>
          <w:rFonts w:asciiTheme="majorHAnsi" w:hAnsiTheme="majorHAnsi" w:cstheme="majorHAnsi"/>
          <w:sz w:val="23"/>
          <w:szCs w:val="23"/>
        </w:rPr>
        <w:t xml:space="preserve"> economic base and the buoyant optimism of the land speculator </w:t>
      </w:r>
      <w:r w:rsidRPr="00E91887">
        <w:rPr>
          <w:rFonts w:asciiTheme="majorHAnsi" w:hAnsiTheme="majorHAnsi" w:cstheme="majorHAnsi"/>
          <w:noProof/>
          <w:sz w:val="23"/>
          <w:szCs w:val="23"/>
        </w:rPr>
        <w:t>(Melbourne Subdivisions Co</w:t>
      </w:r>
      <w:r>
        <w:rPr>
          <w:rFonts w:asciiTheme="majorHAnsi" w:hAnsiTheme="majorHAnsi" w:cstheme="majorHAnsi"/>
          <w:noProof/>
          <w:sz w:val="23"/>
          <w:szCs w:val="23"/>
        </w:rPr>
        <w:t>mpany</w:t>
      </w:r>
      <w:r w:rsidRPr="00E91887">
        <w:rPr>
          <w:rFonts w:asciiTheme="majorHAnsi" w:hAnsiTheme="majorHAnsi" w:cstheme="majorHAnsi"/>
          <w:noProof/>
          <w:sz w:val="23"/>
          <w:szCs w:val="23"/>
        </w:rPr>
        <w:t>, 1924, p. 6)</w:t>
      </w:r>
      <w:r w:rsidRPr="00E91887">
        <w:rPr>
          <w:rFonts w:asciiTheme="majorHAnsi" w:hAnsiTheme="majorHAnsi" w:cstheme="majorHAnsi"/>
          <w:sz w:val="23"/>
          <w:szCs w:val="23"/>
        </w:rPr>
        <w:t xml:space="preserve">. Like so many inflated claims for new suburban areas, </w:t>
      </w:r>
      <w:r>
        <w:rPr>
          <w:rFonts w:asciiTheme="majorHAnsi" w:hAnsiTheme="majorHAnsi" w:cstheme="majorHAnsi"/>
          <w:sz w:val="23"/>
          <w:szCs w:val="23"/>
        </w:rPr>
        <w:t xml:space="preserve">the reality did not live up to the dream: </w:t>
      </w:r>
      <w:r w:rsidRPr="00E91887">
        <w:rPr>
          <w:rFonts w:asciiTheme="majorHAnsi" w:hAnsiTheme="majorHAnsi" w:cstheme="majorHAnsi"/>
          <w:sz w:val="23"/>
          <w:szCs w:val="23"/>
        </w:rPr>
        <w:t>by 1931</w:t>
      </w:r>
      <w:r>
        <w:rPr>
          <w:rFonts w:asciiTheme="majorHAnsi" w:hAnsiTheme="majorHAnsi" w:cstheme="majorHAnsi"/>
          <w:sz w:val="23"/>
          <w:szCs w:val="23"/>
        </w:rPr>
        <w:t xml:space="preserve"> </w:t>
      </w:r>
      <w:r w:rsidRPr="00E91887">
        <w:rPr>
          <w:rFonts w:asciiTheme="majorHAnsi" w:hAnsiTheme="majorHAnsi" w:cstheme="majorHAnsi"/>
          <w:sz w:val="23"/>
          <w:szCs w:val="23"/>
        </w:rPr>
        <w:t xml:space="preserve">less than a quarter of the 2555 allotments </w:t>
      </w:r>
      <w:r>
        <w:rPr>
          <w:rFonts w:asciiTheme="majorHAnsi" w:hAnsiTheme="majorHAnsi" w:cstheme="majorHAnsi"/>
          <w:sz w:val="23"/>
          <w:szCs w:val="23"/>
        </w:rPr>
        <w:t>had been</w:t>
      </w:r>
      <w:r w:rsidRPr="00E91887">
        <w:rPr>
          <w:rFonts w:asciiTheme="majorHAnsi" w:hAnsiTheme="majorHAnsi" w:cstheme="majorHAnsi"/>
          <w:sz w:val="23"/>
          <w:szCs w:val="23"/>
        </w:rPr>
        <w:t xml:space="preserve"> sold</w:t>
      </w:r>
      <w:r>
        <w:rPr>
          <w:rFonts w:asciiTheme="majorHAnsi" w:hAnsiTheme="majorHAnsi" w:cstheme="majorHAnsi"/>
          <w:sz w:val="23"/>
          <w:szCs w:val="23"/>
        </w:rPr>
        <w:t>,</w:t>
      </w:r>
      <w:r w:rsidRPr="00E91887">
        <w:rPr>
          <w:rFonts w:asciiTheme="majorHAnsi" w:hAnsiTheme="majorHAnsi" w:cstheme="majorHAnsi"/>
          <w:sz w:val="23"/>
          <w:szCs w:val="23"/>
        </w:rPr>
        <w:t xml:space="preserve"> and only six houses had been built. </w:t>
      </w:r>
      <w:r>
        <w:rPr>
          <w:rFonts w:asciiTheme="majorHAnsi" w:hAnsiTheme="majorHAnsi" w:cstheme="majorHAnsi"/>
          <w:sz w:val="23"/>
          <w:szCs w:val="23"/>
        </w:rPr>
        <w:t>Not until</w:t>
      </w:r>
      <w:r w:rsidRPr="00E91887">
        <w:rPr>
          <w:rFonts w:asciiTheme="majorHAnsi" w:hAnsiTheme="majorHAnsi" w:cstheme="majorHAnsi"/>
          <w:sz w:val="23"/>
          <w:szCs w:val="23"/>
        </w:rPr>
        <w:t xml:space="preserve"> 1979 </w:t>
      </w:r>
      <w:r>
        <w:rPr>
          <w:rFonts w:asciiTheme="majorHAnsi" w:hAnsiTheme="majorHAnsi" w:cstheme="majorHAnsi"/>
          <w:sz w:val="23"/>
          <w:szCs w:val="23"/>
        </w:rPr>
        <w:t>were some parts of the area</w:t>
      </w:r>
      <w:r w:rsidRPr="00E91887">
        <w:rPr>
          <w:rFonts w:asciiTheme="majorHAnsi" w:hAnsiTheme="majorHAnsi" w:cstheme="majorHAnsi"/>
          <w:sz w:val="23"/>
          <w:szCs w:val="23"/>
        </w:rPr>
        <w:t xml:space="preserve"> developed </w:t>
      </w:r>
      <w:r>
        <w:rPr>
          <w:rFonts w:asciiTheme="majorHAnsi" w:hAnsiTheme="majorHAnsi" w:cstheme="majorHAnsi"/>
          <w:sz w:val="23"/>
          <w:szCs w:val="23"/>
        </w:rPr>
        <w:t>to form</w:t>
      </w:r>
      <w:r w:rsidRPr="00E91887">
        <w:rPr>
          <w:rFonts w:asciiTheme="majorHAnsi" w:hAnsiTheme="majorHAnsi" w:cstheme="majorHAnsi"/>
          <w:sz w:val="23"/>
          <w:szCs w:val="23"/>
        </w:rPr>
        <w:t xml:space="preserve"> the suburb of </w:t>
      </w:r>
      <w:proofErr w:type="spellStart"/>
      <w:r w:rsidRPr="00E91887">
        <w:rPr>
          <w:rFonts w:asciiTheme="majorHAnsi" w:hAnsiTheme="majorHAnsi" w:cstheme="majorHAnsi"/>
          <w:sz w:val="23"/>
          <w:szCs w:val="23"/>
        </w:rPr>
        <w:t>Rosewall</w:t>
      </w:r>
      <w:proofErr w:type="spellEnd"/>
      <w:r w:rsidRPr="00E91887">
        <w:rPr>
          <w:rFonts w:asciiTheme="majorHAnsi" w:hAnsiTheme="majorHAnsi" w:cstheme="majorHAnsi"/>
          <w:sz w:val="23"/>
          <w:szCs w:val="23"/>
        </w:rPr>
        <w:t xml:space="preserve"> </w:t>
      </w:r>
      <w:r w:rsidRPr="00E91887">
        <w:rPr>
          <w:rFonts w:asciiTheme="majorHAnsi" w:hAnsiTheme="majorHAnsi" w:cstheme="majorHAnsi"/>
          <w:noProof/>
          <w:sz w:val="23"/>
          <w:szCs w:val="23"/>
        </w:rPr>
        <w:t>(Wynd, 1979, p. 22)</w:t>
      </w:r>
      <w:r w:rsidRPr="00E91887">
        <w:rPr>
          <w:rFonts w:asciiTheme="majorHAnsi" w:hAnsiTheme="majorHAnsi" w:cstheme="majorHAnsi"/>
          <w:sz w:val="23"/>
          <w:szCs w:val="23"/>
        </w:rPr>
        <w:t>.</w:t>
      </w:r>
    </w:p>
    <w:p w14:paraId="06B79A70" w14:textId="77777777" w:rsidR="004C54D0" w:rsidRDefault="004C54D0" w:rsidP="004C54D0">
      <w:pPr>
        <w:spacing w:line="276" w:lineRule="auto"/>
        <w:rPr>
          <w:rFonts w:asciiTheme="majorHAnsi" w:hAnsiTheme="majorHAnsi" w:cstheme="majorHAnsi"/>
          <w:sz w:val="23"/>
          <w:szCs w:val="23"/>
        </w:rPr>
      </w:pPr>
      <w:r w:rsidRPr="00E91887">
        <w:rPr>
          <w:rFonts w:asciiTheme="majorHAnsi" w:hAnsiTheme="majorHAnsi" w:cstheme="majorHAnsi"/>
          <w:sz w:val="23"/>
          <w:szCs w:val="23"/>
        </w:rPr>
        <w:t xml:space="preserve">By then Corio </w:t>
      </w:r>
      <w:r>
        <w:rPr>
          <w:rFonts w:asciiTheme="majorHAnsi" w:hAnsiTheme="majorHAnsi" w:cstheme="majorHAnsi"/>
          <w:sz w:val="23"/>
          <w:szCs w:val="23"/>
        </w:rPr>
        <w:t>had been</w:t>
      </w:r>
      <w:r w:rsidRPr="00E91887">
        <w:rPr>
          <w:rFonts w:asciiTheme="majorHAnsi" w:hAnsiTheme="majorHAnsi" w:cstheme="majorHAnsi"/>
          <w:sz w:val="23"/>
          <w:szCs w:val="23"/>
        </w:rPr>
        <w:t xml:space="preserve"> joined by its adjacent neighbour</w:t>
      </w:r>
      <w:r>
        <w:rPr>
          <w:rFonts w:asciiTheme="majorHAnsi" w:hAnsiTheme="majorHAnsi" w:cstheme="majorHAnsi"/>
          <w:sz w:val="23"/>
          <w:szCs w:val="23"/>
        </w:rPr>
        <w:t>,</w:t>
      </w:r>
      <w:r w:rsidRPr="00E91887">
        <w:rPr>
          <w:rFonts w:asciiTheme="majorHAnsi" w:hAnsiTheme="majorHAnsi" w:cstheme="majorHAnsi"/>
          <w:sz w:val="23"/>
          <w:szCs w:val="23"/>
        </w:rPr>
        <w:t xml:space="preserve"> Norlane</w:t>
      </w:r>
      <w:r>
        <w:rPr>
          <w:rFonts w:asciiTheme="majorHAnsi" w:hAnsiTheme="majorHAnsi" w:cstheme="majorHAnsi"/>
          <w:sz w:val="23"/>
          <w:szCs w:val="23"/>
        </w:rPr>
        <w:t>, which</w:t>
      </w:r>
      <w:r w:rsidRPr="00E91887">
        <w:rPr>
          <w:rFonts w:asciiTheme="majorHAnsi" w:hAnsiTheme="majorHAnsi" w:cstheme="majorHAnsi"/>
          <w:sz w:val="23"/>
          <w:szCs w:val="23"/>
        </w:rPr>
        <w:t xml:space="preserve"> re</w:t>
      </w:r>
      <w:r>
        <w:rPr>
          <w:rFonts w:asciiTheme="majorHAnsi" w:hAnsiTheme="majorHAnsi" w:cstheme="majorHAnsi"/>
          <w:sz w:val="23"/>
          <w:szCs w:val="23"/>
        </w:rPr>
        <w:t>flected more recent elements of Geelong’s economic development</w:t>
      </w:r>
      <w:r w:rsidRPr="00E91887">
        <w:rPr>
          <w:rFonts w:asciiTheme="majorHAnsi" w:hAnsiTheme="majorHAnsi" w:cstheme="majorHAnsi"/>
          <w:sz w:val="23"/>
          <w:szCs w:val="23"/>
        </w:rPr>
        <w:t xml:space="preserve">. If Corio </w:t>
      </w:r>
      <w:r>
        <w:rPr>
          <w:rFonts w:asciiTheme="majorHAnsi" w:hAnsiTheme="majorHAnsi" w:cstheme="majorHAnsi"/>
          <w:sz w:val="23"/>
          <w:szCs w:val="23"/>
        </w:rPr>
        <w:t>was</w:t>
      </w:r>
      <w:r w:rsidRPr="00E91887">
        <w:rPr>
          <w:rFonts w:asciiTheme="majorHAnsi" w:hAnsiTheme="majorHAnsi" w:cstheme="majorHAnsi"/>
          <w:sz w:val="23"/>
          <w:szCs w:val="23"/>
        </w:rPr>
        <w:t xml:space="preserve"> conceived as a</w:t>
      </w:r>
      <w:r>
        <w:rPr>
          <w:rFonts w:asciiTheme="majorHAnsi" w:hAnsiTheme="majorHAnsi" w:cstheme="majorHAnsi"/>
          <w:sz w:val="23"/>
          <w:szCs w:val="23"/>
        </w:rPr>
        <w:t xml:space="preserve"> 1920s</w:t>
      </w:r>
      <w:r w:rsidRPr="00E91887">
        <w:rPr>
          <w:rFonts w:asciiTheme="majorHAnsi" w:hAnsiTheme="majorHAnsi" w:cstheme="majorHAnsi"/>
          <w:sz w:val="23"/>
          <w:szCs w:val="23"/>
        </w:rPr>
        <w:t xml:space="preserve"> Garden Suburb, Norlane was planned </w:t>
      </w:r>
      <w:r>
        <w:rPr>
          <w:rFonts w:asciiTheme="majorHAnsi" w:hAnsiTheme="majorHAnsi" w:cstheme="majorHAnsi"/>
          <w:sz w:val="23"/>
          <w:szCs w:val="23"/>
        </w:rPr>
        <w:t>to accommodate</w:t>
      </w:r>
      <w:r w:rsidRPr="00E91887">
        <w:rPr>
          <w:rFonts w:asciiTheme="majorHAnsi" w:hAnsiTheme="majorHAnsi" w:cstheme="majorHAnsi"/>
          <w:sz w:val="23"/>
          <w:szCs w:val="23"/>
        </w:rPr>
        <w:t xml:space="preserve"> the new migrants recruited from England and Europe to serve the expanding post-war industries. </w:t>
      </w:r>
      <w:r>
        <w:rPr>
          <w:rFonts w:asciiTheme="majorHAnsi" w:hAnsiTheme="majorHAnsi" w:cstheme="majorHAnsi"/>
          <w:sz w:val="23"/>
          <w:szCs w:val="23"/>
        </w:rPr>
        <w:t>Housing</w:t>
      </w:r>
      <w:r w:rsidRPr="00E91887">
        <w:rPr>
          <w:rFonts w:asciiTheme="majorHAnsi" w:hAnsiTheme="majorHAnsi" w:cstheme="majorHAnsi"/>
          <w:sz w:val="23"/>
          <w:szCs w:val="23"/>
        </w:rPr>
        <w:t xml:space="preserve"> shortage</w:t>
      </w:r>
      <w:r>
        <w:rPr>
          <w:rFonts w:asciiTheme="majorHAnsi" w:hAnsiTheme="majorHAnsi" w:cstheme="majorHAnsi"/>
          <w:sz w:val="23"/>
          <w:szCs w:val="23"/>
        </w:rPr>
        <w:t xml:space="preserve">s, combined with </w:t>
      </w:r>
      <w:r w:rsidRPr="00E91887">
        <w:rPr>
          <w:rFonts w:asciiTheme="majorHAnsi" w:hAnsiTheme="majorHAnsi" w:cstheme="majorHAnsi"/>
          <w:sz w:val="23"/>
          <w:szCs w:val="23"/>
        </w:rPr>
        <w:t xml:space="preserve">optimism for building a different society after </w:t>
      </w:r>
      <w:r>
        <w:rPr>
          <w:rFonts w:asciiTheme="majorHAnsi" w:hAnsiTheme="majorHAnsi" w:cstheme="majorHAnsi"/>
          <w:sz w:val="23"/>
          <w:szCs w:val="23"/>
        </w:rPr>
        <w:t>WW</w:t>
      </w:r>
      <w:r w:rsidRPr="00E91887">
        <w:rPr>
          <w:rFonts w:asciiTheme="majorHAnsi" w:hAnsiTheme="majorHAnsi" w:cstheme="majorHAnsi"/>
          <w:sz w:val="23"/>
          <w:szCs w:val="23"/>
        </w:rPr>
        <w:t>II</w:t>
      </w:r>
      <w:r>
        <w:rPr>
          <w:rFonts w:asciiTheme="majorHAnsi" w:hAnsiTheme="majorHAnsi" w:cstheme="majorHAnsi"/>
          <w:sz w:val="23"/>
          <w:szCs w:val="23"/>
        </w:rPr>
        <w:t>,</w:t>
      </w:r>
      <w:r w:rsidRPr="00E91887">
        <w:rPr>
          <w:rFonts w:asciiTheme="majorHAnsi" w:hAnsiTheme="majorHAnsi" w:cstheme="majorHAnsi"/>
          <w:sz w:val="23"/>
          <w:szCs w:val="23"/>
        </w:rPr>
        <w:t xml:space="preserve"> </w:t>
      </w:r>
      <w:r>
        <w:rPr>
          <w:rFonts w:asciiTheme="majorHAnsi" w:hAnsiTheme="majorHAnsi" w:cstheme="majorHAnsi"/>
          <w:sz w:val="23"/>
          <w:szCs w:val="23"/>
        </w:rPr>
        <w:t>sparked</w:t>
      </w:r>
      <w:r w:rsidRPr="00E91887">
        <w:rPr>
          <w:rFonts w:asciiTheme="majorHAnsi" w:hAnsiTheme="majorHAnsi" w:cstheme="majorHAnsi"/>
          <w:sz w:val="23"/>
          <w:szCs w:val="23"/>
        </w:rPr>
        <w:t xml:space="preserve"> the formation of various State Housing Commissions. Federally</w:t>
      </w:r>
      <w:r>
        <w:rPr>
          <w:rFonts w:asciiTheme="majorHAnsi" w:hAnsiTheme="majorHAnsi" w:cstheme="majorHAnsi"/>
          <w:sz w:val="23"/>
          <w:szCs w:val="23"/>
        </w:rPr>
        <w:t xml:space="preserve"> funded</w:t>
      </w:r>
      <w:r w:rsidRPr="00E91887">
        <w:rPr>
          <w:rFonts w:asciiTheme="majorHAnsi" w:hAnsiTheme="majorHAnsi" w:cstheme="majorHAnsi"/>
          <w:sz w:val="23"/>
          <w:szCs w:val="23"/>
        </w:rPr>
        <w:t xml:space="preserve">, the Victorian Housing Commission </w:t>
      </w:r>
      <w:r>
        <w:rPr>
          <w:rFonts w:asciiTheme="majorHAnsi" w:hAnsiTheme="majorHAnsi" w:cstheme="majorHAnsi"/>
          <w:sz w:val="23"/>
          <w:szCs w:val="23"/>
        </w:rPr>
        <w:t>built</w:t>
      </w:r>
      <w:r w:rsidRPr="00E91887">
        <w:rPr>
          <w:rFonts w:asciiTheme="majorHAnsi" w:hAnsiTheme="majorHAnsi" w:cstheme="majorHAnsi"/>
          <w:sz w:val="23"/>
          <w:szCs w:val="23"/>
        </w:rPr>
        <w:t xml:space="preserve"> close to 2500 homes </w:t>
      </w:r>
      <w:r>
        <w:rPr>
          <w:rFonts w:asciiTheme="majorHAnsi" w:hAnsiTheme="majorHAnsi" w:cstheme="majorHAnsi"/>
          <w:sz w:val="23"/>
          <w:szCs w:val="23"/>
        </w:rPr>
        <w:t xml:space="preserve">in Norlane </w:t>
      </w:r>
      <w:r w:rsidRPr="00E91887">
        <w:rPr>
          <w:rFonts w:asciiTheme="majorHAnsi" w:hAnsiTheme="majorHAnsi" w:cstheme="majorHAnsi"/>
          <w:sz w:val="23"/>
          <w:szCs w:val="23"/>
        </w:rPr>
        <w:t xml:space="preserve">for low-income renters and migrant workers </w:t>
      </w:r>
      <w:r>
        <w:rPr>
          <w:rFonts w:asciiTheme="majorHAnsi" w:hAnsiTheme="majorHAnsi" w:cstheme="majorHAnsi"/>
          <w:sz w:val="23"/>
          <w:szCs w:val="23"/>
        </w:rPr>
        <w:t>hired by</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local factories, including the </w:t>
      </w:r>
      <w:r w:rsidRPr="00E91887">
        <w:rPr>
          <w:rFonts w:asciiTheme="majorHAnsi" w:hAnsiTheme="majorHAnsi" w:cstheme="majorHAnsi"/>
          <w:sz w:val="23"/>
          <w:szCs w:val="23"/>
        </w:rPr>
        <w:t>Ford</w:t>
      </w:r>
      <w:r>
        <w:rPr>
          <w:rFonts w:asciiTheme="majorHAnsi" w:hAnsiTheme="majorHAnsi" w:cstheme="majorHAnsi"/>
          <w:sz w:val="23"/>
          <w:szCs w:val="23"/>
        </w:rPr>
        <w:t xml:space="preserve"> and</w:t>
      </w:r>
      <w:r w:rsidRPr="00E91887">
        <w:rPr>
          <w:rFonts w:asciiTheme="majorHAnsi" w:hAnsiTheme="majorHAnsi" w:cstheme="majorHAnsi"/>
          <w:sz w:val="23"/>
          <w:szCs w:val="23"/>
        </w:rPr>
        <w:t xml:space="preserve"> International Harvester</w:t>
      </w:r>
      <w:r>
        <w:rPr>
          <w:rFonts w:asciiTheme="majorHAnsi" w:hAnsiTheme="majorHAnsi" w:cstheme="majorHAnsi"/>
          <w:sz w:val="23"/>
          <w:szCs w:val="23"/>
        </w:rPr>
        <w:t xml:space="preserve"> operations. Most were </w:t>
      </w:r>
      <w:r w:rsidRPr="00E91887">
        <w:rPr>
          <w:rFonts w:asciiTheme="majorHAnsi" w:hAnsiTheme="majorHAnsi" w:cstheme="majorHAnsi"/>
          <w:sz w:val="23"/>
          <w:szCs w:val="23"/>
        </w:rPr>
        <w:t xml:space="preserve">modest weatherboard dwellings </w:t>
      </w:r>
      <w:r>
        <w:rPr>
          <w:rFonts w:asciiTheme="majorHAnsi" w:hAnsiTheme="majorHAnsi" w:cstheme="majorHAnsi"/>
          <w:sz w:val="23"/>
          <w:szCs w:val="23"/>
        </w:rPr>
        <w:t>sited</w:t>
      </w:r>
      <w:r w:rsidRPr="00E91887">
        <w:rPr>
          <w:rFonts w:asciiTheme="majorHAnsi" w:hAnsiTheme="majorHAnsi" w:cstheme="majorHAnsi"/>
          <w:sz w:val="23"/>
          <w:szCs w:val="23"/>
        </w:rPr>
        <w:t xml:space="preserve"> on large blocks</w:t>
      </w:r>
      <w:r>
        <w:rPr>
          <w:rFonts w:asciiTheme="majorHAnsi" w:hAnsiTheme="majorHAnsi" w:cstheme="majorHAnsi"/>
          <w:sz w:val="23"/>
          <w:szCs w:val="23"/>
        </w:rPr>
        <w:t xml:space="preserve"> (</w:t>
      </w:r>
      <w:r w:rsidRPr="00E91887">
        <w:rPr>
          <w:rFonts w:asciiTheme="majorHAnsi" w:hAnsiTheme="majorHAnsi" w:cstheme="majorHAnsi"/>
          <w:sz w:val="23"/>
          <w:szCs w:val="23"/>
        </w:rPr>
        <w:t>600</w:t>
      </w:r>
      <w:r>
        <w:rPr>
          <w:rFonts w:asciiTheme="majorHAnsi" w:hAnsiTheme="majorHAnsi" w:cstheme="majorHAnsi"/>
          <w:sz w:val="23"/>
          <w:szCs w:val="23"/>
        </w:rPr>
        <w:t>–</w:t>
      </w:r>
      <w:r w:rsidRPr="00E91887">
        <w:rPr>
          <w:rFonts w:asciiTheme="majorHAnsi" w:hAnsiTheme="majorHAnsi" w:cstheme="majorHAnsi"/>
          <w:sz w:val="23"/>
          <w:szCs w:val="23"/>
        </w:rPr>
        <w:t>800 square metres</w:t>
      </w:r>
      <w:r>
        <w:rPr>
          <w:rFonts w:asciiTheme="majorHAnsi" w:hAnsiTheme="majorHAnsi" w:cstheme="majorHAnsi"/>
          <w:sz w:val="23"/>
          <w:szCs w:val="23"/>
        </w:rPr>
        <w:t>)</w:t>
      </w:r>
      <w:r w:rsidRPr="00E91887">
        <w:rPr>
          <w:rFonts w:asciiTheme="majorHAnsi" w:hAnsiTheme="majorHAnsi" w:cstheme="majorHAnsi"/>
          <w:sz w:val="23"/>
          <w:szCs w:val="23"/>
        </w:rPr>
        <w:t>.</w:t>
      </w:r>
      <w:r>
        <w:rPr>
          <w:rFonts w:asciiTheme="majorHAnsi" w:hAnsiTheme="majorHAnsi" w:cstheme="majorHAnsi"/>
          <w:sz w:val="23"/>
          <w:szCs w:val="23"/>
        </w:rPr>
        <w:t xml:space="preserve"> Around</w:t>
      </w:r>
      <w:r w:rsidRPr="00E91887">
        <w:rPr>
          <w:rFonts w:asciiTheme="majorHAnsi" w:hAnsiTheme="majorHAnsi" w:cstheme="majorHAnsi"/>
          <w:sz w:val="23"/>
          <w:szCs w:val="23"/>
        </w:rPr>
        <w:t xml:space="preserve"> 1200 </w:t>
      </w:r>
      <w:r>
        <w:rPr>
          <w:rFonts w:asciiTheme="majorHAnsi" w:hAnsiTheme="majorHAnsi" w:cstheme="majorHAnsi"/>
          <w:sz w:val="23"/>
          <w:szCs w:val="23"/>
        </w:rPr>
        <w:t xml:space="preserve">of these homes </w:t>
      </w:r>
      <w:r w:rsidRPr="00E91887">
        <w:rPr>
          <w:rFonts w:asciiTheme="majorHAnsi" w:hAnsiTheme="majorHAnsi" w:cstheme="majorHAnsi"/>
          <w:sz w:val="23"/>
          <w:szCs w:val="23"/>
        </w:rPr>
        <w:t>were prefabricated units imported from the Netherlands and France</w:t>
      </w:r>
      <w:r>
        <w:rPr>
          <w:rFonts w:asciiTheme="majorHAnsi" w:hAnsiTheme="majorHAnsi" w:cstheme="majorHAnsi"/>
          <w:sz w:val="23"/>
          <w:szCs w:val="23"/>
        </w:rPr>
        <w:t>.</w:t>
      </w:r>
      <w:r w:rsidRPr="00E91887">
        <w:rPr>
          <w:rFonts w:asciiTheme="majorHAnsi" w:hAnsiTheme="majorHAnsi" w:cstheme="majorHAnsi"/>
          <w:sz w:val="23"/>
          <w:szCs w:val="23"/>
        </w:rPr>
        <w:t xml:space="preserve"> </w:t>
      </w:r>
    </w:p>
    <w:p w14:paraId="4CAC791A" w14:textId="77777777" w:rsidR="004C54D0" w:rsidRPr="00E91887" w:rsidRDefault="004C54D0" w:rsidP="004C54D0">
      <w:pPr>
        <w:spacing w:line="276" w:lineRule="auto"/>
        <w:rPr>
          <w:rFonts w:asciiTheme="majorHAnsi" w:hAnsiTheme="majorHAnsi" w:cstheme="majorHAnsi"/>
          <w:sz w:val="23"/>
          <w:szCs w:val="23"/>
        </w:rPr>
      </w:pPr>
      <w:r>
        <w:rPr>
          <w:rFonts w:asciiTheme="majorHAnsi" w:hAnsiTheme="majorHAnsi" w:cstheme="majorHAnsi"/>
          <w:sz w:val="23"/>
          <w:szCs w:val="23"/>
        </w:rPr>
        <w:t>B</w:t>
      </w:r>
      <w:r w:rsidRPr="00E91887">
        <w:rPr>
          <w:rFonts w:asciiTheme="majorHAnsi" w:hAnsiTheme="majorHAnsi" w:cstheme="majorHAnsi"/>
          <w:sz w:val="23"/>
          <w:szCs w:val="23"/>
        </w:rPr>
        <w:t xml:space="preserve">uilding activity </w:t>
      </w:r>
      <w:r>
        <w:rPr>
          <w:rFonts w:asciiTheme="majorHAnsi" w:hAnsiTheme="majorHAnsi" w:cstheme="majorHAnsi"/>
          <w:sz w:val="23"/>
          <w:szCs w:val="23"/>
        </w:rPr>
        <w:t>peaked in</w:t>
      </w:r>
      <w:r w:rsidRPr="00E91887">
        <w:rPr>
          <w:rFonts w:asciiTheme="majorHAnsi" w:hAnsiTheme="majorHAnsi" w:cstheme="majorHAnsi"/>
          <w:sz w:val="23"/>
          <w:szCs w:val="23"/>
        </w:rPr>
        <w:t xml:space="preserve"> 1951</w:t>
      </w:r>
      <w:r>
        <w:rPr>
          <w:rFonts w:asciiTheme="majorHAnsi" w:hAnsiTheme="majorHAnsi" w:cstheme="majorHAnsi"/>
          <w:sz w:val="23"/>
          <w:szCs w:val="23"/>
        </w:rPr>
        <w:t>–</w:t>
      </w:r>
      <w:r w:rsidRPr="00E91887">
        <w:rPr>
          <w:rFonts w:asciiTheme="majorHAnsi" w:hAnsiTheme="majorHAnsi" w:cstheme="majorHAnsi"/>
          <w:sz w:val="23"/>
          <w:szCs w:val="23"/>
        </w:rPr>
        <w:t>1957</w:t>
      </w:r>
      <w:r>
        <w:rPr>
          <w:rFonts w:asciiTheme="majorHAnsi" w:hAnsiTheme="majorHAnsi" w:cstheme="majorHAnsi"/>
          <w:sz w:val="23"/>
          <w:szCs w:val="23"/>
        </w:rPr>
        <w:t>, with</w:t>
      </w:r>
      <w:r w:rsidRPr="00E91887">
        <w:rPr>
          <w:rFonts w:asciiTheme="majorHAnsi" w:hAnsiTheme="majorHAnsi" w:cstheme="majorHAnsi"/>
          <w:sz w:val="23"/>
          <w:szCs w:val="23"/>
        </w:rPr>
        <w:t xml:space="preserve"> local shopping centres such as Labuan Square</w:t>
      </w:r>
      <w:r>
        <w:rPr>
          <w:rFonts w:asciiTheme="majorHAnsi" w:hAnsiTheme="majorHAnsi" w:cstheme="majorHAnsi"/>
          <w:sz w:val="23"/>
          <w:szCs w:val="23"/>
        </w:rPr>
        <w:t xml:space="preserve"> (1954)</w:t>
      </w:r>
      <w:r w:rsidRPr="00E91887">
        <w:rPr>
          <w:rFonts w:asciiTheme="majorHAnsi" w:hAnsiTheme="majorHAnsi" w:cstheme="majorHAnsi"/>
          <w:sz w:val="23"/>
          <w:szCs w:val="23"/>
        </w:rPr>
        <w:t xml:space="preserve"> </w:t>
      </w:r>
      <w:r>
        <w:rPr>
          <w:rFonts w:asciiTheme="majorHAnsi" w:hAnsiTheme="majorHAnsi" w:cstheme="majorHAnsi"/>
          <w:sz w:val="23"/>
          <w:szCs w:val="23"/>
        </w:rPr>
        <w:t>established</w:t>
      </w:r>
      <w:r w:rsidRPr="00E91887">
        <w:rPr>
          <w:rFonts w:asciiTheme="majorHAnsi" w:hAnsiTheme="majorHAnsi" w:cstheme="majorHAnsi"/>
          <w:sz w:val="23"/>
          <w:szCs w:val="23"/>
        </w:rPr>
        <w:t xml:space="preserve"> to serve a dynamic, prosperous working-class suburb. At this time</w:t>
      </w:r>
      <w:r>
        <w:rPr>
          <w:rFonts w:asciiTheme="majorHAnsi" w:hAnsiTheme="majorHAnsi" w:cstheme="majorHAnsi"/>
          <w:sz w:val="23"/>
          <w:szCs w:val="23"/>
        </w:rPr>
        <w:t xml:space="preserve"> Australia had</w:t>
      </w:r>
      <w:r w:rsidRPr="00E91887">
        <w:rPr>
          <w:rFonts w:asciiTheme="majorHAnsi" w:hAnsiTheme="majorHAnsi" w:cstheme="majorHAnsi"/>
          <w:sz w:val="23"/>
          <w:szCs w:val="23"/>
        </w:rPr>
        <w:t xml:space="preserve"> </w:t>
      </w:r>
      <w:r>
        <w:rPr>
          <w:rFonts w:asciiTheme="majorHAnsi" w:hAnsiTheme="majorHAnsi" w:cstheme="majorHAnsi"/>
          <w:sz w:val="23"/>
          <w:szCs w:val="23"/>
        </w:rPr>
        <w:t>“</w:t>
      </w:r>
      <w:r w:rsidRPr="00E91887">
        <w:rPr>
          <w:rFonts w:asciiTheme="majorHAnsi" w:hAnsiTheme="majorHAnsi" w:cstheme="majorHAnsi"/>
          <w:sz w:val="23"/>
          <w:szCs w:val="23"/>
        </w:rPr>
        <w:t>full employment</w:t>
      </w:r>
      <w:r>
        <w:rPr>
          <w:rFonts w:asciiTheme="majorHAnsi" w:hAnsiTheme="majorHAnsi" w:cstheme="majorHAnsi"/>
          <w:sz w:val="23"/>
          <w:szCs w:val="23"/>
        </w:rPr>
        <w:t>” (unemployment below 2 percent),</w:t>
      </w:r>
      <w:r w:rsidRPr="00E91887">
        <w:rPr>
          <w:rFonts w:asciiTheme="majorHAnsi" w:hAnsiTheme="majorHAnsi" w:cstheme="majorHAnsi"/>
          <w:sz w:val="23"/>
          <w:szCs w:val="23"/>
        </w:rPr>
        <w:t xml:space="preserve"> and 30</w:t>
      </w:r>
      <w:r>
        <w:rPr>
          <w:rFonts w:asciiTheme="majorHAnsi" w:hAnsiTheme="majorHAnsi" w:cstheme="majorHAnsi"/>
          <w:sz w:val="23"/>
          <w:szCs w:val="23"/>
        </w:rPr>
        <w:t xml:space="preserve"> percent</w:t>
      </w:r>
      <w:r w:rsidRPr="00E91887">
        <w:rPr>
          <w:rFonts w:asciiTheme="majorHAnsi" w:hAnsiTheme="majorHAnsi" w:cstheme="majorHAnsi"/>
          <w:sz w:val="23"/>
          <w:szCs w:val="23"/>
        </w:rPr>
        <w:t xml:space="preserve"> of </w:t>
      </w:r>
      <w:r>
        <w:rPr>
          <w:rFonts w:asciiTheme="majorHAnsi" w:hAnsiTheme="majorHAnsi" w:cstheme="majorHAnsi"/>
          <w:sz w:val="23"/>
          <w:szCs w:val="23"/>
        </w:rPr>
        <w:t xml:space="preserve">Geelong’s </w:t>
      </w:r>
      <w:r w:rsidRPr="00E91887">
        <w:rPr>
          <w:rFonts w:asciiTheme="majorHAnsi" w:hAnsiTheme="majorHAnsi" w:cstheme="majorHAnsi"/>
          <w:sz w:val="23"/>
          <w:szCs w:val="23"/>
        </w:rPr>
        <w:t xml:space="preserve">workforce was employed in manufacturing. In Corio, </w:t>
      </w:r>
      <w:r>
        <w:rPr>
          <w:rFonts w:asciiTheme="majorHAnsi" w:hAnsiTheme="majorHAnsi" w:cstheme="majorHAnsi"/>
          <w:sz w:val="23"/>
          <w:szCs w:val="23"/>
        </w:rPr>
        <w:t>almost</w:t>
      </w:r>
      <w:r w:rsidRPr="00E91887">
        <w:rPr>
          <w:rFonts w:asciiTheme="majorHAnsi" w:hAnsiTheme="majorHAnsi" w:cstheme="majorHAnsi"/>
          <w:sz w:val="23"/>
          <w:szCs w:val="23"/>
        </w:rPr>
        <w:t xml:space="preserve"> 40</w:t>
      </w:r>
      <w:r>
        <w:rPr>
          <w:rFonts w:asciiTheme="majorHAnsi" w:hAnsiTheme="majorHAnsi" w:cstheme="majorHAnsi"/>
          <w:sz w:val="23"/>
          <w:szCs w:val="23"/>
        </w:rPr>
        <w:t xml:space="preserve"> per cent</w:t>
      </w:r>
      <w:r w:rsidRPr="00E91887">
        <w:rPr>
          <w:rFonts w:asciiTheme="majorHAnsi" w:hAnsiTheme="majorHAnsi" w:cstheme="majorHAnsi"/>
          <w:sz w:val="23"/>
          <w:szCs w:val="23"/>
        </w:rPr>
        <w:t xml:space="preserve"> of the workforce was </w:t>
      </w:r>
      <w:r>
        <w:rPr>
          <w:rFonts w:asciiTheme="majorHAnsi" w:hAnsiTheme="majorHAnsi" w:cstheme="majorHAnsi"/>
          <w:sz w:val="23"/>
          <w:szCs w:val="23"/>
        </w:rPr>
        <w:t>in</w:t>
      </w:r>
      <w:r w:rsidRPr="00E91887">
        <w:rPr>
          <w:rFonts w:asciiTheme="majorHAnsi" w:hAnsiTheme="majorHAnsi" w:cstheme="majorHAnsi"/>
          <w:sz w:val="23"/>
          <w:szCs w:val="23"/>
        </w:rPr>
        <w:t xml:space="preserve"> local industry (ABS 1961). In 1986</w:t>
      </w:r>
      <w:r>
        <w:rPr>
          <w:rFonts w:asciiTheme="majorHAnsi" w:hAnsiTheme="majorHAnsi" w:cstheme="majorHAnsi"/>
          <w:sz w:val="23"/>
          <w:szCs w:val="23"/>
        </w:rPr>
        <w:t>,</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almost </w:t>
      </w:r>
      <w:r w:rsidRPr="00E91887">
        <w:rPr>
          <w:rFonts w:asciiTheme="majorHAnsi" w:hAnsiTheme="majorHAnsi" w:cstheme="majorHAnsi"/>
          <w:sz w:val="23"/>
          <w:szCs w:val="23"/>
        </w:rPr>
        <w:t>4</w:t>
      </w:r>
      <w:r>
        <w:rPr>
          <w:rFonts w:asciiTheme="majorHAnsi" w:hAnsiTheme="majorHAnsi" w:cstheme="majorHAnsi"/>
          <w:sz w:val="23"/>
          <w:szCs w:val="23"/>
        </w:rPr>
        <w:t>5 percent</w:t>
      </w:r>
      <w:r w:rsidRPr="00E91887">
        <w:rPr>
          <w:rFonts w:asciiTheme="majorHAnsi" w:hAnsiTheme="majorHAnsi" w:cstheme="majorHAnsi"/>
          <w:sz w:val="23"/>
          <w:szCs w:val="23"/>
        </w:rPr>
        <w:t xml:space="preserve"> of </w:t>
      </w:r>
      <w:r>
        <w:rPr>
          <w:rFonts w:asciiTheme="majorHAnsi" w:hAnsiTheme="majorHAnsi" w:cstheme="majorHAnsi"/>
          <w:sz w:val="23"/>
          <w:szCs w:val="23"/>
        </w:rPr>
        <w:t>Norlane’s</w:t>
      </w:r>
      <w:r w:rsidRPr="00E91887">
        <w:rPr>
          <w:rFonts w:asciiTheme="majorHAnsi" w:hAnsiTheme="majorHAnsi" w:cstheme="majorHAnsi"/>
          <w:sz w:val="23"/>
          <w:szCs w:val="23"/>
        </w:rPr>
        <w:t xml:space="preserve"> workforce </w:t>
      </w:r>
      <w:r>
        <w:rPr>
          <w:rFonts w:asciiTheme="majorHAnsi" w:hAnsiTheme="majorHAnsi" w:cstheme="majorHAnsi"/>
          <w:sz w:val="23"/>
          <w:szCs w:val="23"/>
        </w:rPr>
        <w:t xml:space="preserve">was </w:t>
      </w:r>
      <w:r w:rsidRPr="00E91887">
        <w:rPr>
          <w:rFonts w:asciiTheme="majorHAnsi" w:hAnsiTheme="majorHAnsi" w:cstheme="majorHAnsi"/>
          <w:sz w:val="23"/>
          <w:szCs w:val="23"/>
        </w:rPr>
        <w:t xml:space="preserve">in manufacturing, </w:t>
      </w:r>
      <w:r>
        <w:rPr>
          <w:rFonts w:asciiTheme="majorHAnsi" w:hAnsiTheme="majorHAnsi" w:cstheme="majorHAnsi"/>
          <w:sz w:val="23"/>
          <w:szCs w:val="23"/>
        </w:rPr>
        <w:t xml:space="preserve">but by </w:t>
      </w:r>
      <w:r w:rsidRPr="00E91887">
        <w:rPr>
          <w:rFonts w:asciiTheme="majorHAnsi" w:hAnsiTheme="majorHAnsi" w:cstheme="majorHAnsi"/>
          <w:sz w:val="23"/>
          <w:szCs w:val="23"/>
        </w:rPr>
        <w:t xml:space="preserve">2006 </w:t>
      </w:r>
      <w:r>
        <w:rPr>
          <w:rFonts w:asciiTheme="majorHAnsi" w:hAnsiTheme="majorHAnsi" w:cstheme="majorHAnsi"/>
          <w:sz w:val="23"/>
          <w:szCs w:val="23"/>
        </w:rPr>
        <w:t>that figure had</w:t>
      </w:r>
      <w:r w:rsidRPr="00E91887">
        <w:rPr>
          <w:rFonts w:asciiTheme="majorHAnsi" w:hAnsiTheme="majorHAnsi" w:cstheme="majorHAnsi"/>
          <w:sz w:val="23"/>
          <w:szCs w:val="23"/>
        </w:rPr>
        <w:t xml:space="preserve"> fallen to 25</w:t>
      </w:r>
      <w:r>
        <w:rPr>
          <w:rFonts w:asciiTheme="majorHAnsi" w:hAnsiTheme="majorHAnsi" w:cstheme="majorHAnsi"/>
          <w:sz w:val="23"/>
          <w:szCs w:val="23"/>
        </w:rPr>
        <w:t xml:space="preserve"> percent, accompanied by a </w:t>
      </w:r>
      <w:r w:rsidRPr="00E91887">
        <w:rPr>
          <w:rFonts w:asciiTheme="majorHAnsi" w:hAnsiTheme="majorHAnsi" w:cstheme="majorHAnsi"/>
          <w:sz w:val="23"/>
          <w:szCs w:val="23"/>
        </w:rPr>
        <w:t xml:space="preserve">massive increase in unemployment </w:t>
      </w:r>
      <w:r w:rsidRPr="00E91887">
        <w:rPr>
          <w:rFonts w:asciiTheme="majorHAnsi" w:hAnsiTheme="majorHAnsi" w:cstheme="majorHAnsi"/>
          <w:noProof/>
          <w:sz w:val="23"/>
          <w:szCs w:val="23"/>
        </w:rPr>
        <w:t>(DPCD, 2010, pp. 8</w:t>
      </w:r>
      <w:r>
        <w:rPr>
          <w:rFonts w:asciiTheme="majorHAnsi" w:hAnsiTheme="majorHAnsi" w:cstheme="majorHAnsi"/>
          <w:noProof/>
          <w:sz w:val="23"/>
          <w:szCs w:val="23"/>
        </w:rPr>
        <w:t>–</w:t>
      </w:r>
      <w:r w:rsidRPr="00E91887">
        <w:rPr>
          <w:rFonts w:asciiTheme="majorHAnsi" w:hAnsiTheme="majorHAnsi" w:cstheme="majorHAnsi"/>
          <w:noProof/>
          <w:sz w:val="23"/>
          <w:szCs w:val="23"/>
        </w:rPr>
        <w:t>9)</w:t>
      </w:r>
      <w:r w:rsidRPr="00E91887">
        <w:rPr>
          <w:rFonts w:asciiTheme="majorHAnsi" w:hAnsiTheme="majorHAnsi" w:cstheme="majorHAnsi"/>
          <w:sz w:val="23"/>
          <w:szCs w:val="23"/>
        </w:rPr>
        <w:t>.</w:t>
      </w:r>
    </w:p>
    <w:p w14:paraId="0FAEC00D" w14:textId="77777777" w:rsidR="004C54D0" w:rsidRPr="00555FC9" w:rsidRDefault="004C54D0" w:rsidP="004C54D0">
      <w:pPr>
        <w:spacing w:line="276" w:lineRule="auto"/>
        <w:rPr>
          <w:rFonts w:asciiTheme="majorHAnsi" w:hAnsiTheme="majorHAnsi" w:cstheme="majorHAnsi"/>
          <w:sz w:val="23"/>
          <w:szCs w:val="23"/>
        </w:rPr>
      </w:pPr>
      <w:r w:rsidRPr="00E91887">
        <w:rPr>
          <w:rFonts w:asciiTheme="majorHAnsi" w:hAnsiTheme="majorHAnsi" w:cstheme="majorHAnsi"/>
          <w:sz w:val="23"/>
          <w:szCs w:val="23"/>
        </w:rPr>
        <w:t xml:space="preserve">If the 1950s and </w:t>
      </w:r>
      <w:r>
        <w:rPr>
          <w:rFonts w:asciiTheme="majorHAnsi" w:hAnsiTheme="majorHAnsi" w:cstheme="majorHAnsi"/>
          <w:sz w:val="23"/>
          <w:szCs w:val="23"/>
        </w:rPr>
        <w:t>19</w:t>
      </w:r>
      <w:r w:rsidRPr="00E91887">
        <w:rPr>
          <w:rFonts w:asciiTheme="majorHAnsi" w:hAnsiTheme="majorHAnsi" w:cstheme="majorHAnsi"/>
          <w:sz w:val="23"/>
          <w:szCs w:val="23"/>
        </w:rPr>
        <w:t xml:space="preserve">60s were boom times, the early 1970s heralded the </w:t>
      </w:r>
      <w:r>
        <w:rPr>
          <w:rFonts w:asciiTheme="majorHAnsi" w:hAnsiTheme="majorHAnsi" w:cstheme="majorHAnsi"/>
          <w:sz w:val="23"/>
          <w:szCs w:val="23"/>
        </w:rPr>
        <w:t>start of</w:t>
      </w:r>
      <w:r w:rsidRPr="00E91887">
        <w:rPr>
          <w:rFonts w:asciiTheme="majorHAnsi" w:hAnsiTheme="majorHAnsi" w:cstheme="majorHAnsi"/>
          <w:sz w:val="23"/>
          <w:szCs w:val="23"/>
        </w:rPr>
        <w:t xml:space="preserve"> a major shift away from manufacturing</w:t>
      </w:r>
      <w:r>
        <w:rPr>
          <w:rFonts w:asciiTheme="majorHAnsi" w:hAnsiTheme="majorHAnsi" w:cstheme="majorHAnsi"/>
          <w:sz w:val="23"/>
          <w:szCs w:val="23"/>
        </w:rPr>
        <w:t>, both</w:t>
      </w:r>
      <w:r w:rsidRPr="00E91887">
        <w:rPr>
          <w:rFonts w:asciiTheme="majorHAnsi" w:hAnsiTheme="majorHAnsi" w:cstheme="majorHAnsi"/>
          <w:sz w:val="23"/>
          <w:szCs w:val="23"/>
        </w:rPr>
        <w:t xml:space="preserve"> nationally and </w:t>
      </w:r>
      <w:r>
        <w:rPr>
          <w:rFonts w:asciiTheme="majorHAnsi" w:hAnsiTheme="majorHAnsi" w:cstheme="majorHAnsi"/>
          <w:sz w:val="23"/>
          <w:szCs w:val="23"/>
        </w:rPr>
        <w:t>in</w:t>
      </w:r>
      <w:r w:rsidRPr="00E91887">
        <w:rPr>
          <w:rFonts w:asciiTheme="majorHAnsi" w:hAnsiTheme="majorHAnsi" w:cstheme="majorHAnsi"/>
          <w:sz w:val="23"/>
          <w:szCs w:val="23"/>
        </w:rPr>
        <w:t xml:space="preserve"> Geelong</w:t>
      </w:r>
      <w:r>
        <w:rPr>
          <w:rFonts w:asciiTheme="majorHAnsi" w:hAnsiTheme="majorHAnsi" w:cstheme="majorHAnsi"/>
          <w:sz w:val="23"/>
          <w:szCs w:val="23"/>
        </w:rPr>
        <w:t>. The</w:t>
      </w:r>
      <w:r w:rsidRPr="00E91887">
        <w:rPr>
          <w:rFonts w:asciiTheme="majorHAnsi" w:hAnsiTheme="majorHAnsi" w:cstheme="majorHAnsi"/>
          <w:sz w:val="23"/>
          <w:szCs w:val="23"/>
        </w:rPr>
        <w:t xml:space="preserve"> textile industry</w:t>
      </w:r>
      <w:r>
        <w:rPr>
          <w:rFonts w:asciiTheme="majorHAnsi" w:hAnsiTheme="majorHAnsi" w:cstheme="majorHAnsi"/>
          <w:sz w:val="23"/>
          <w:szCs w:val="23"/>
        </w:rPr>
        <w:t xml:space="preserve">, then </w:t>
      </w:r>
      <w:r w:rsidRPr="00E91887">
        <w:rPr>
          <w:rFonts w:asciiTheme="majorHAnsi" w:hAnsiTheme="majorHAnsi" w:cstheme="majorHAnsi"/>
          <w:sz w:val="23"/>
          <w:szCs w:val="23"/>
        </w:rPr>
        <w:t>the truck and car industries</w:t>
      </w:r>
      <w:r>
        <w:rPr>
          <w:rFonts w:asciiTheme="majorHAnsi" w:hAnsiTheme="majorHAnsi" w:cstheme="majorHAnsi"/>
          <w:sz w:val="23"/>
          <w:szCs w:val="23"/>
        </w:rPr>
        <w:t>,</w:t>
      </w:r>
      <w:r w:rsidRPr="00E91887">
        <w:rPr>
          <w:rFonts w:asciiTheme="majorHAnsi" w:hAnsiTheme="majorHAnsi" w:cstheme="majorHAnsi"/>
          <w:sz w:val="23"/>
          <w:szCs w:val="23"/>
        </w:rPr>
        <w:t xml:space="preserve"> </w:t>
      </w:r>
      <w:r w:rsidRPr="001C4CA0">
        <w:rPr>
          <w:rFonts w:asciiTheme="majorHAnsi" w:hAnsiTheme="majorHAnsi" w:cstheme="majorHAnsi"/>
          <w:sz w:val="23"/>
          <w:szCs w:val="23"/>
        </w:rPr>
        <w:t xml:space="preserve">came under sustained pressure as the tariff wall that had long protected them was dismantled. Housing policy also shifted: public housing, formerly seen as a legitimate form of </w:t>
      </w:r>
      <w:r w:rsidRPr="001C4CA0">
        <w:rPr>
          <w:rFonts w:asciiTheme="majorHAnsi" w:hAnsiTheme="majorHAnsi" w:cstheme="majorHAnsi"/>
          <w:sz w:val="23"/>
          <w:szCs w:val="23"/>
        </w:rPr>
        <w:lastRenderedPageBreak/>
        <w:t xml:space="preserve">tenure for low-income workers, was reframed as a form of welfare and residual tenure. As a result, public housing tenants were increasingly stigmatised and associated with poverty. In a 2000 survey of Corio-Norlane residents, Deborah Warr recorded how this area was perceived by outsiders as the “Bronx of Geelong” – a ghetto. As one respondent noted: “Nobody wants to be here, and we haven’t got no choice. Like in LA, they’ve got their trailer park trash and in Geelong you’ve got Corio and Norlane trash” </w:t>
      </w:r>
      <w:r w:rsidRPr="001C4CA0">
        <w:rPr>
          <w:rFonts w:asciiTheme="majorHAnsi" w:hAnsiTheme="majorHAnsi" w:cstheme="majorHAnsi"/>
          <w:noProof/>
          <w:sz w:val="23"/>
          <w:szCs w:val="23"/>
        </w:rPr>
        <w:t>(Warr, 2005, p</w:t>
      </w:r>
      <w:r w:rsidRPr="00555FC9">
        <w:rPr>
          <w:rFonts w:asciiTheme="majorHAnsi" w:hAnsiTheme="majorHAnsi" w:cstheme="majorHAnsi"/>
          <w:noProof/>
          <w:sz w:val="23"/>
          <w:szCs w:val="23"/>
        </w:rPr>
        <w:t>. 299)</w:t>
      </w:r>
      <w:r w:rsidRPr="00555FC9">
        <w:rPr>
          <w:rFonts w:asciiTheme="majorHAnsi" w:hAnsiTheme="majorHAnsi" w:cstheme="majorHAnsi"/>
          <w:sz w:val="23"/>
          <w:szCs w:val="23"/>
        </w:rPr>
        <w:t>.</w:t>
      </w:r>
    </w:p>
    <w:p w14:paraId="3E0A71E3" w14:textId="77777777" w:rsidR="004C54D0" w:rsidRPr="00E91887" w:rsidRDefault="004C54D0" w:rsidP="004C54D0">
      <w:pPr>
        <w:spacing w:after="0" w:line="276" w:lineRule="auto"/>
        <w:rPr>
          <w:rFonts w:asciiTheme="majorHAnsi" w:hAnsiTheme="majorHAnsi" w:cstheme="majorHAnsi"/>
          <w:sz w:val="23"/>
          <w:szCs w:val="23"/>
        </w:rPr>
      </w:pPr>
      <w:r w:rsidRPr="00555FC9">
        <w:rPr>
          <w:rFonts w:asciiTheme="majorHAnsi" w:hAnsiTheme="majorHAnsi" w:cstheme="majorHAnsi"/>
          <w:sz w:val="23"/>
          <w:szCs w:val="23"/>
        </w:rPr>
        <w:t>Historically then, Geelong’s northern suburbs have been associated with both industry and social disadvantage.</w:t>
      </w:r>
      <w:r w:rsidRPr="00042C23">
        <w:rPr>
          <w:rFonts w:asciiTheme="majorHAnsi" w:hAnsiTheme="majorHAnsi" w:cstheme="majorHAnsi"/>
          <w:sz w:val="23"/>
          <w:szCs w:val="23"/>
        </w:rPr>
        <w:t xml:space="preserve"> </w:t>
      </w:r>
      <w:r w:rsidRPr="00E91887">
        <w:rPr>
          <w:rFonts w:asciiTheme="majorHAnsi" w:hAnsiTheme="majorHAnsi" w:cstheme="majorHAnsi"/>
          <w:sz w:val="23"/>
          <w:szCs w:val="23"/>
        </w:rPr>
        <w:t>Since the 1970s manufacturing downturn</w:t>
      </w:r>
      <w:r>
        <w:rPr>
          <w:rFonts w:asciiTheme="majorHAnsi" w:hAnsiTheme="majorHAnsi" w:cstheme="majorHAnsi"/>
          <w:sz w:val="23"/>
          <w:szCs w:val="23"/>
        </w:rPr>
        <w:t>, localised disadvantage has persisted or worsened. By 2013 the City’s former</w:t>
      </w:r>
      <w:r w:rsidRPr="00E91887">
        <w:rPr>
          <w:rFonts w:asciiTheme="majorHAnsi" w:hAnsiTheme="majorHAnsi" w:cstheme="majorHAnsi"/>
          <w:sz w:val="23"/>
          <w:szCs w:val="23"/>
        </w:rPr>
        <w:t xml:space="preserve"> industrial powerhouse </w:t>
      </w:r>
      <w:r>
        <w:rPr>
          <w:rFonts w:asciiTheme="majorHAnsi" w:hAnsiTheme="majorHAnsi" w:cstheme="majorHAnsi"/>
          <w:sz w:val="23"/>
          <w:szCs w:val="23"/>
        </w:rPr>
        <w:t>had</w:t>
      </w:r>
      <w:r w:rsidRPr="00E91887">
        <w:rPr>
          <w:rFonts w:asciiTheme="majorHAnsi" w:hAnsiTheme="majorHAnsi" w:cstheme="majorHAnsi"/>
          <w:sz w:val="23"/>
          <w:szCs w:val="23"/>
        </w:rPr>
        <w:t xml:space="preserve"> </w:t>
      </w:r>
      <w:r>
        <w:rPr>
          <w:rFonts w:asciiTheme="majorHAnsi" w:hAnsiTheme="majorHAnsi" w:cstheme="majorHAnsi"/>
          <w:sz w:val="23"/>
          <w:szCs w:val="23"/>
        </w:rPr>
        <w:t>high</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unemployment, low education levels, and a high proportion of </w:t>
      </w:r>
      <w:r w:rsidRPr="00E91887">
        <w:rPr>
          <w:rFonts w:asciiTheme="majorHAnsi" w:hAnsiTheme="majorHAnsi" w:cstheme="majorHAnsi"/>
          <w:sz w:val="23"/>
          <w:szCs w:val="23"/>
        </w:rPr>
        <w:t>low-income households</w:t>
      </w:r>
      <w:r>
        <w:rPr>
          <w:rFonts w:asciiTheme="majorHAnsi" w:hAnsiTheme="majorHAnsi" w:cstheme="majorHAnsi"/>
          <w:sz w:val="23"/>
          <w:szCs w:val="23"/>
        </w:rPr>
        <w:t xml:space="preserve"> and</w:t>
      </w:r>
      <w:r w:rsidRPr="00E91887">
        <w:rPr>
          <w:rFonts w:asciiTheme="majorHAnsi" w:hAnsiTheme="majorHAnsi" w:cstheme="majorHAnsi"/>
          <w:sz w:val="23"/>
          <w:szCs w:val="23"/>
        </w:rPr>
        <w:t xml:space="preserve"> public housing tenants. </w:t>
      </w:r>
      <w:r>
        <w:rPr>
          <w:rFonts w:asciiTheme="majorHAnsi" w:hAnsiTheme="majorHAnsi" w:cstheme="majorHAnsi"/>
          <w:sz w:val="23"/>
          <w:szCs w:val="23"/>
        </w:rPr>
        <w:t>P</w:t>
      </w:r>
      <w:r w:rsidRPr="00555FC9">
        <w:rPr>
          <w:rFonts w:asciiTheme="majorHAnsi" w:hAnsiTheme="majorHAnsi" w:cstheme="majorHAnsi"/>
          <w:sz w:val="23"/>
          <w:szCs w:val="23"/>
        </w:rPr>
        <w:t>ublic housing</w:t>
      </w:r>
      <w:r>
        <w:rPr>
          <w:rFonts w:asciiTheme="majorHAnsi" w:hAnsiTheme="majorHAnsi" w:cstheme="majorHAnsi"/>
          <w:sz w:val="23"/>
          <w:szCs w:val="23"/>
        </w:rPr>
        <w:t xml:space="preserve"> </w:t>
      </w:r>
      <w:r w:rsidRPr="00555FC9">
        <w:rPr>
          <w:rFonts w:asciiTheme="majorHAnsi" w:hAnsiTheme="majorHAnsi" w:cstheme="majorHAnsi"/>
          <w:sz w:val="23"/>
          <w:szCs w:val="23"/>
        </w:rPr>
        <w:t>makes</w:t>
      </w:r>
      <w:r>
        <w:rPr>
          <w:rFonts w:asciiTheme="majorHAnsi" w:hAnsiTheme="majorHAnsi" w:cstheme="majorHAnsi"/>
          <w:sz w:val="23"/>
          <w:szCs w:val="23"/>
        </w:rPr>
        <w:t xml:space="preserve"> up</w:t>
      </w:r>
      <w:r w:rsidRPr="00555FC9">
        <w:rPr>
          <w:rFonts w:asciiTheme="majorHAnsi" w:hAnsiTheme="majorHAnsi" w:cstheme="majorHAnsi"/>
          <w:sz w:val="23"/>
          <w:szCs w:val="23"/>
        </w:rPr>
        <w:t xml:space="preserve"> 22 percent of dwellings in Norlane and 10.6 percent in Corio</w:t>
      </w:r>
      <w:r>
        <w:rPr>
          <w:rFonts w:asciiTheme="majorHAnsi" w:hAnsiTheme="majorHAnsi" w:cstheme="majorHAnsi"/>
          <w:sz w:val="23"/>
          <w:szCs w:val="23"/>
        </w:rPr>
        <w:t>; the national</w:t>
      </w:r>
      <w:r w:rsidRPr="00555FC9">
        <w:rPr>
          <w:rFonts w:asciiTheme="majorHAnsi" w:hAnsiTheme="majorHAnsi" w:cstheme="majorHAnsi"/>
          <w:sz w:val="23"/>
          <w:szCs w:val="23"/>
        </w:rPr>
        <w:t xml:space="preserve"> figure is less than 4 percent. </w:t>
      </w:r>
      <w:r>
        <w:rPr>
          <w:rFonts w:asciiTheme="majorHAnsi" w:hAnsiTheme="majorHAnsi" w:cstheme="majorHAnsi"/>
          <w:sz w:val="23"/>
          <w:szCs w:val="23"/>
        </w:rPr>
        <w:t>The</w:t>
      </w:r>
      <w:r w:rsidRPr="00555FC9">
        <w:rPr>
          <w:rFonts w:asciiTheme="majorHAnsi" w:hAnsiTheme="majorHAnsi" w:cstheme="majorHAnsi"/>
          <w:sz w:val="23"/>
          <w:szCs w:val="23"/>
        </w:rPr>
        <w:t xml:space="preserve"> high school completion rate (Year 12 or equivalent) is 22.9 percent in Corio and Norlane, </w:t>
      </w:r>
      <w:r>
        <w:rPr>
          <w:rFonts w:asciiTheme="majorHAnsi" w:hAnsiTheme="majorHAnsi" w:cstheme="majorHAnsi"/>
          <w:sz w:val="23"/>
          <w:szCs w:val="23"/>
        </w:rPr>
        <w:t>against</w:t>
      </w:r>
      <w:r w:rsidRPr="00555FC9">
        <w:rPr>
          <w:rFonts w:asciiTheme="majorHAnsi" w:hAnsiTheme="majorHAnsi" w:cstheme="majorHAnsi"/>
          <w:sz w:val="23"/>
          <w:szCs w:val="23"/>
        </w:rPr>
        <w:t xml:space="preserve"> Melbourne’s rate of 48.5 percent, and Victoria’s at 44 per cent (ABS, 2006; Neville, 2013).</w:t>
      </w:r>
      <w:r w:rsidRPr="00042C23">
        <w:rPr>
          <w:rFonts w:asciiTheme="majorHAnsi" w:hAnsiTheme="majorHAnsi" w:cstheme="majorHAnsi"/>
          <w:sz w:val="23"/>
          <w:szCs w:val="23"/>
        </w:rPr>
        <w:t xml:space="preserve"> </w:t>
      </w:r>
      <w:r>
        <w:rPr>
          <w:rFonts w:asciiTheme="majorHAnsi" w:hAnsiTheme="majorHAnsi" w:cstheme="majorHAnsi"/>
          <w:sz w:val="23"/>
          <w:szCs w:val="23"/>
        </w:rPr>
        <w:t xml:space="preserve">Lack of basic education means </w:t>
      </w:r>
      <w:r w:rsidRPr="00E91887">
        <w:rPr>
          <w:rFonts w:asciiTheme="majorHAnsi" w:hAnsiTheme="majorHAnsi" w:cstheme="majorHAnsi"/>
          <w:sz w:val="23"/>
          <w:szCs w:val="23"/>
        </w:rPr>
        <w:t>75</w:t>
      </w:r>
      <w:r>
        <w:rPr>
          <w:rFonts w:asciiTheme="majorHAnsi" w:hAnsiTheme="majorHAnsi" w:cstheme="majorHAnsi"/>
          <w:sz w:val="23"/>
          <w:szCs w:val="23"/>
        </w:rPr>
        <w:t xml:space="preserve"> percent</w:t>
      </w:r>
      <w:r w:rsidRPr="00E91887">
        <w:rPr>
          <w:rFonts w:asciiTheme="majorHAnsi" w:hAnsiTheme="majorHAnsi" w:cstheme="majorHAnsi"/>
          <w:sz w:val="23"/>
          <w:szCs w:val="23"/>
        </w:rPr>
        <w:t xml:space="preserve"> of </w:t>
      </w:r>
      <w:r>
        <w:rPr>
          <w:rFonts w:asciiTheme="majorHAnsi" w:hAnsiTheme="majorHAnsi" w:cstheme="majorHAnsi"/>
          <w:sz w:val="23"/>
          <w:szCs w:val="23"/>
        </w:rPr>
        <w:t>long-term jobseekers in these areas</w:t>
      </w:r>
      <w:r w:rsidRPr="00E91887">
        <w:rPr>
          <w:rFonts w:asciiTheme="majorHAnsi" w:hAnsiTheme="majorHAnsi" w:cstheme="majorHAnsi"/>
          <w:sz w:val="23"/>
          <w:szCs w:val="23"/>
        </w:rPr>
        <w:t xml:space="preserve"> face significant barriers to permanent employment</w:t>
      </w:r>
      <w:r>
        <w:rPr>
          <w:rFonts w:asciiTheme="majorHAnsi" w:hAnsiTheme="majorHAnsi" w:cstheme="majorHAnsi"/>
          <w:sz w:val="23"/>
          <w:szCs w:val="23"/>
        </w:rPr>
        <w:t xml:space="preserve">, with limited </w:t>
      </w:r>
      <w:r w:rsidRPr="00E91887">
        <w:rPr>
          <w:rFonts w:asciiTheme="majorHAnsi" w:hAnsiTheme="majorHAnsi" w:cstheme="majorHAnsi"/>
          <w:sz w:val="23"/>
          <w:szCs w:val="23"/>
        </w:rPr>
        <w:t xml:space="preserve">public transport </w:t>
      </w:r>
      <w:r>
        <w:rPr>
          <w:rFonts w:asciiTheme="majorHAnsi" w:hAnsiTheme="majorHAnsi" w:cstheme="majorHAnsi"/>
          <w:sz w:val="23"/>
          <w:szCs w:val="23"/>
        </w:rPr>
        <w:t>and inability to afford travel costs further hindering access to training</w:t>
      </w:r>
      <w:r w:rsidRPr="00E91887">
        <w:rPr>
          <w:rFonts w:asciiTheme="majorHAnsi" w:hAnsiTheme="majorHAnsi" w:cstheme="majorHAnsi"/>
          <w:sz w:val="23"/>
          <w:szCs w:val="23"/>
        </w:rPr>
        <w:t xml:space="preserve"> </w:t>
      </w:r>
      <w:r>
        <w:rPr>
          <w:rFonts w:asciiTheme="majorHAnsi" w:hAnsiTheme="majorHAnsi" w:cstheme="majorHAnsi"/>
          <w:sz w:val="23"/>
          <w:szCs w:val="23"/>
        </w:rPr>
        <w:t>and</w:t>
      </w:r>
      <w:r w:rsidRPr="00E91887">
        <w:rPr>
          <w:rFonts w:asciiTheme="majorHAnsi" w:hAnsiTheme="majorHAnsi" w:cstheme="majorHAnsi"/>
          <w:sz w:val="23"/>
          <w:szCs w:val="23"/>
        </w:rPr>
        <w:t xml:space="preserve"> workforce</w:t>
      </w:r>
      <w:r>
        <w:rPr>
          <w:rFonts w:asciiTheme="majorHAnsi" w:hAnsiTheme="majorHAnsi" w:cstheme="majorHAnsi"/>
          <w:sz w:val="23"/>
          <w:szCs w:val="23"/>
        </w:rPr>
        <w:t xml:space="preserve"> participation</w:t>
      </w:r>
      <w:r w:rsidRPr="00E91887">
        <w:rPr>
          <w:rFonts w:asciiTheme="majorHAnsi" w:hAnsiTheme="majorHAnsi" w:cstheme="majorHAnsi"/>
          <w:sz w:val="23"/>
          <w:szCs w:val="23"/>
        </w:rPr>
        <w:t>.</w:t>
      </w:r>
    </w:p>
    <w:p w14:paraId="31BFF007" w14:textId="77777777" w:rsidR="004C54D0" w:rsidRPr="00883C89" w:rsidRDefault="004C54D0" w:rsidP="004C54D0">
      <w:pPr>
        <w:spacing w:after="0" w:line="276" w:lineRule="auto"/>
        <w:rPr>
          <w:rFonts w:asciiTheme="majorHAnsi" w:hAnsiTheme="majorHAnsi" w:cstheme="majorHAnsi"/>
          <w:sz w:val="16"/>
          <w:szCs w:val="16"/>
        </w:rPr>
      </w:pPr>
    </w:p>
    <w:p w14:paraId="2B67F8DD" w14:textId="77777777" w:rsidR="004C54D0" w:rsidRDefault="004C54D0" w:rsidP="004C54D0">
      <w:pPr>
        <w:spacing w:after="0" w:line="276" w:lineRule="auto"/>
        <w:rPr>
          <w:rFonts w:asciiTheme="majorHAnsi" w:hAnsiTheme="majorHAnsi" w:cstheme="majorBidi"/>
          <w:sz w:val="23"/>
          <w:szCs w:val="23"/>
        </w:rPr>
      </w:pPr>
      <w:r w:rsidRPr="78F9AF82">
        <w:rPr>
          <w:rFonts w:asciiTheme="majorHAnsi" w:hAnsiTheme="majorHAnsi" w:cstheme="majorBidi"/>
          <w:sz w:val="23"/>
          <w:szCs w:val="23"/>
        </w:rPr>
        <w:t xml:space="preserve">In 2013 the Corio Statistical Area (Corio, Norlane, Bell Post Hill, and Bell Park) had an unemployment rate of 9.9 percent, well above Geelong (6.5 percent), Victoria (5.7 percent), and Australia (5.7 percent) </w:t>
      </w:r>
      <w:r w:rsidRPr="78F9AF82">
        <w:rPr>
          <w:rFonts w:asciiTheme="majorHAnsi" w:hAnsiTheme="majorHAnsi" w:cstheme="majorBidi"/>
          <w:noProof/>
          <w:sz w:val="23"/>
          <w:szCs w:val="23"/>
        </w:rPr>
        <w:t>(Neville, 2013)</w:t>
      </w:r>
      <w:r w:rsidRPr="78F9AF82">
        <w:rPr>
          <w:rFonts w:asciiTheme="majorHAnsi" w:hAnsiTheme="majorHAnsi" w:cstheme="majorBidi"/>
          <w:sz w:val="23"/>
          <w:szCs w:val="23"/>
        </w:rPr>
        <w:t xml:space="preserve">. Locally, 23 percent of families were jobless, soaring to 54 percent for sole-parent families </w:t>
      </w:r>
      <w:r w:rsidRPr="78F9AF82">
        <w:rPr>
          <w:rFonts w:asciiTheme="majorHAnsi" w:hAnsiTheme="majorHAnsi" w:cstheme="majorBidi"/>
          <w:noProof/>
          <w:sz w:val="23"/>
          <w:szCs w:val="23"/>
        </w:rPr>
        <w:t>(Australian Government, 2013)</w:t>
      </w:r>
      <w:r w:rsidRPr="78F9AF82">
        <w:rPr>
          <w:rFonts w:asciiTheme="majorHAnsi" w:hAnsiTheme="majorHAnsi" w:cstheme="majorBidi"/>
          <w:sz w:val="23"/>
          <w:szCs w:val="23"/>
        </w:rPr>
        <w:t xml:space="preserve">. By 2016 the numbers were worse: unemployment sat at 12.5 percent in Corio and 17.3 percent in Norlane–North Shore, against 6.4 percent in Greater Geelong </w:t>
      </w:r>
      <w:r w:rsidRPr="78F9AF82">
        <w:rPr>
          <w:rFonts w:asciiTheme="majorHAnsi" w:hAnsiTheme="majorHAnsi" w:cstheme="majorBidi"/>
          <w:noProof/>
          <w:sz w:val="23"/>
          <w:szCs w:val="23"/>
        </w:rPr>
        <w:t>(Profile.id, 2016)</w:t>
      </w:r>
      <w:r w:rsidRPr="78F9AF82">
        <w:rPr>
          <w:rFonts w:asciiTheme="majorHAnsi" w:hAnsiTheme="majorHAnsi" w:cstheme="majorBidi"/>
          <w:sz w:val="23"/>
          <w:szCs w:val="23"/>
        </w:rPr>
        <w:t>. Only 7.7 per cent of Norlane–North Shore residents and 11.7 percent of Corio residents earned more than A$2000 per week in 2016, compared to 25.5 percent across Greater Geelong. The percentage of households on low incomes (less than AU$600 weekly) was 30.1 percent in Corio, 42.1 percent in Norlane–North Shore, against 24.8 percent in Greater Geelong (Profile.id, 2016). The manufacturing sector employed 12.7 percent of Corio’s workforce and 10.4 percent of Norlane–North Shore’s, against 7.5 percent across Greater Geelong (Profile.id, 2016).</w:t>
      </w:r>
    </w:p>
    <w:p w14:paraId="4EC2F23A" w14:textId="77777777" w:rsidR="004C54D0" w:rsidRPr="006E384B" w:rsidRDefault="004C54D0" w:rsidP="004C54D0">
      <w:pPr>
        <w:spacing w:after="0" w:line="276" w:lineRule="auto"/>
        <w:rPr>
          <w:rFonts w:asciiTheme="majorHAnsi" w:hAnsiTheme="majorHAnsi" w:cstheme="majorHAnsi"/>
          <w:sz w:val="16"/>
          <w:szCs w:val="16"/>
        </w:rPr>
      </w:pPr>
    </w:p>
    <w:p w14:paraId="27D380E6" w14:textId="77777777" w:rsidR="004C54D0" w:rsidRDefault="004C54D0" w:rsidP="004C54D0">
      <w:pPr>
        <w:spacing w:after="0" w:line="276" w:lineRule="auto"/>
        <w:rPr>
          <w:rFonts w:asciiTheme="majorHAnsi" w:hAnsiTheme="majorHAnsi" w:cstheme="majorHAnsi"/>
          <w:sz w:val="23"/>
          <w:szCs w:val="23"/>
        </w:rPr>
      </w:pPr>
      <w:r>
        <w:rPr>
          <w:rFonts w:asciiTheme="majorHAnsi" w:hAnsiTheme="majorHAnsi" w:cstheme="majorHAnsi"/>
          <w:sz w:val="23"/>
          <w:szCs w:val="23"/>
        </w:rPr>
        <w:t xml:space="preserve">This </w:t>
      </w:r>
      <w:r w:rsidRPr="00E91887">
        <w:rPr>
          <w:rFonts w:asciiTheme="majorHAnsi" w:hAnsiTheme="majorHAnsi" w:cstheme="majorHAnsi"/>
          <w:sz w:val="23"/>
          <w:szCs w:val="23"/>
        </w:rPr>
        <w:t xml:space="preserve">class divide has been exacerbated by economic restructuring and social stigmatisation, despite efforts to improve the social and urban fabric </w:t>
      </w:r>
      <w:r>
        <w:rPr>
          <w:rFonts w:asciiTheme="majorHAnsi" w:hAnsiTheme="majorHAnsi" w:cstheme="majorHAnsi"/>
          <w:sz w:val="23"/>
          <w:szCs w:val="23"/>
        </w:rPr>
        <w:t>of these areas through</w:t>
      </w:r>
      <w:r w:rsidRPr="00E91887">
        <w:rPr>
          <w:rFonts w:asciiTheme="majorHAnsi" w:hAnsiTheme="majorHAnsi" w:cstheme="majorHAnsi"/>
          <w:sz w:val="23"/>
          <w:szCs w:val="23"/>
        </w:rPr>
        <w:t xml:space="preserve"> initiatives such as Neighbourhood Renewal and New Norlane.</w:t>
      </w:r>
    </w:p>
    <w:p w14:paraId="7804CB9F" w14:textId="77777777" w:rsidR="004C54D0" w:rsidRPr="006E384B" w:rsidRDefault="004C54D0" w:rsidP="004C54D0">
      <w:pPr>
        <w:spacing w:after="0" w:line="276" w:lineRule="auto"/>
        <w:rPr>
          <w:rFonts w:asciiTheme="majorHAnsi" w:hAnsiTheme="majorHAnsi" w:cstheme="majorHAnsi"/>
          <w:sz w:val="16"/>
          <w:szCs w:val="16"/>
        </w:rPr>
      </w:pPr>
    </w:p>
    <w:p w14:paraId="6B048B52" w14:textId="77777777" w:rsidR="004C54D0" w:rsidRPr="00E91887" w:rsidRDefault="004C54D0" w:rsidP="004C54D0">
      <w:pPr>
        <w:spacing w:line="276" w:lineRule="auto"/>
        <w:rPr>
          <w:rFonts w:asciiTheme="majorHAnsi" w:hAnsiTheme="majorHAnsi" w:cstheme="majorHAnsi"/>
          <w:sz w:val="23"/>
          <w:szCs w:val="23"/>
        </w:rPr>
      </w:pPr>
      <w:r w:rsidRPr="00E91887">
        <w:rPr>
          <w:rFonts w:asciiTheme="majorHAnsi" w:hAnsiTheme="majorHAnsi" w:cstheme="majorHAnsi"/>
          <w:sz w:val="23"/>
          <w:szCs w:val="23"/>
        </w:rPr>
        <w:t xml:space="preserve">Whittington has a comparable </w:t>
      </w:r>
      <w:r>
        <w:rPr>
          <w:rFonts w:asciiTheme="majorHAnsi" w:hAnsiTheme="majorHAnsi" w:cstheme="majorHAnsi"/>
          <w:sz w:val="23"/>
          <w:szCs w:val="23"/>
        </w:rPr>
        <w:t xml:space="preserve">but </w:t>
      </w:r>
      <w:r w:rsidRPr="00E91887">
        <w:rPr>
          <w:rFonts w:asciiTheme="majorHAnsi" w:hAnsiTheme="majorHAnsi" w:cstheme="majorHAnsi"/>
          <w:sz w:val="23"/>
          <w:szCs w:val="23"/>
        </w:rPr>
        <w:t xml:space="preserve">somewhat different </w:t>
      </w:r>
      <w:r>
        <w:rPr>
          <w:rFonts w:asciiTheme="majorHAnsi" w:hAnsiTheme="majorHAnsi" w:cstheme="majorHAnsi"/>
          <w:sz w:val="23"/>
          <w:szCs w:val="23"/>
        </w:rPr>
        <w:t>history. During early E</w:t>
      </w:r>
      <w:r w:rsidRPr="00E91887">
        <w:rPr>
          <w:rFonts w:asciiTheme="majorHAnsi" w:hAnsiTheme="majorHAnsi" w:cstheme="majorHAnsi"/>
          <w:sz w:val="23"/>
          <w:szCs w:val="23"/>
        </w:rPr>
        <w:t>uropean occupation</w:t>
      </w:r>
      <w:r>
        <w:rPr>
          <w:rFonts w:asciiTheme="majorHAnsi" w:hAnsiTheme="majorHAnsi" w:cstheme="majorHAnsi"/>
          <w:sz w:val="23"/>
          <w:szCs w:val="23"/>
        </w:rPr>
        <w:t xml:space="preserve"> the area was known as “Breakwater”, referencing a rock ford</w:t>
      </w:r>
      <w:r w:rsidRPr="00E91887">
        <w:rPr>
          <w:rFonts w:asciiTheme="majorHAnsi" w:hAnsiTheme="majorHAnsi" w:cstheme="majorHAnsi"/>
          <w:sz w:val="23"/>
          <w:szCs w:val="23"/>
        </w:rPr>
        <w:t xml:space="preserve"> </w:t>
      </w:r>
      <w:r>
        <w:rPr>
          <w:rFonts w:asciiTheme="majorHAnsi" w:hAnsiTheme="majorHAnsi" w:cstheme="majorHAnsi"/>
          <w:sz w:val="23"/>
          <w:szCs w:val="23"/>
        </w:rPr>
        <w:t>built on</w:t>
      </w:r>
      <w:r w:rsidRPr="00E91887">
        <w:rPr>
          <w:rFonts w:asciiTheme="majorHAnsi" w:hAnsiTheme="majorHAnsi" w:cstheme="majorHAnsi"/>
          <w:sz w:val="23"/>
          <w:szCs w:val="23"/>
        </w:rPr>
        <w:t xml:space="preserve"> the Barwon River to </w:t>
      </w:r>
      <w:r>
        <w:rPr>
          <w:rFonts w:asciiTheme="majorHAnsi" w:hAnsiTheme="majorHAnsi" w:cstheme="majorHAnsi"/>
          <w:sz w:val="23"/>
          <w:szCs w:val="23"/>
        </w:rPr>
        <w:t>provide</w:t>
      </w:r>
      <w:r w:rsidRPr="00E91887">
        <w:rPr>
          <w:rFonts w:asciiTheme="majorHAnsi" w:hAnsiTheme="majorHAnsi" w:cstheme="majorHAnsi"/>
          <w:sz w:val="23"/>
          <w:szCs w:val="23"/>
        </w:rPr>
        <w:t xml:space="preserve"> fresh water for the burgeoning town of Geelong</w:t>
      </w:r>
      <w:r>
        <w:rPr>
          <w:rFonts w:asciiTheme="majorHAnsi" w:hAnsiTheme="majorHAnsi" w:cstheme="majorHAnsi"/>
          <w:sz w:val="23"/>
          <w:szCs w:val="23"/>
        </w:rPr>
        <w:t xml:space="preserve">, and became a centre for the horse </w:t>
      </w:r>
      <w:r w:rsidRPr="00E91887">
        <w:rPr>
          <w:rFonts w:asciiTheme="majorHAnsi" w:hAnsiTheme="majorHAnsi" w:cstheme="majorHAnsi"/>
          <w:sz w:val="23"/>
          <w:szCs w:val="23"/>
        </w:rPr>
        <w:t>racing</w:t>
      </w:r>
      <w:r>
        <w:rPr>
          <w:rFonts w:asciiTheme="majorHAnsi" w:hAnsiTheme="majorHAnsi" w:cstheme="majorHAnsi"/>
          <w:sz w:val="23"/>
          <w:szCs w:val="23"/>
        </w:rPr>
        <w:t xml:space="preserve"> and pastoral industries</w:t>
      </w:r>
      <w:r w:rsidRPr="00E91887">
        <w:rPr>
          <w:rFonts w:asciiTheme="majorHAnsi" w:hAnsiTheme="majorHAnsi" w:cstheme="majorHAnsi"/>
          <w:sz w:val="23"/>
          <w:szCs w:val="23"/>
        </w:rPr>
        <w:t xml:space="preserve">. </w:t>
      </w:r>
      <w:r>
        <w:rPr>
          <w:rFonts w:asciiTheme="majorHAnsi" w:hAnsiTheme="majorHAnsi" w:cstheme="majorHAnsi"/>
          <w:sz w:val="23"/>
          <w:szCs w:val="23"/>
        </w:rPr>
        <w:t>The most notable local structure is the</w:t>
      </w:r>
      <w:r w:rsidRPr="00E91887">
        <w:rPr>
          <w:rFonts w:asciiTheme="majorHAnsi" w:hAnsiTheme="majorHAnsi" w:cstheme="majorHAnsi"/>
          <w:sz w:val="23"/>
          <w:szCs w:val="23"/>
        </w:rPr>
        <w:t xml:space="preserve"> heritage</w:t>
      </w:r>
      <w:r>
        <w:rPr>
          <w:rFonts w:asciiTheme="majorHAnsi" w:hAnsiTheme="majorHAnsi" w:cstheme="majorHAnsi"/>
          <w:sz w:val="23"/>
          <w:szCs w:val="23"/>
        </w:rPr>
        <w:t>-</w:t>
      </w:r>
      <w:r w:rsidRPr="00E91887">
        <w:rPr>
          <w:rFonts w:asciiTheme="majorHAnsi" w:hAnsiTheme="majorHAnsi" w:cstheme="majorHAnsi"/>
          <w:sz w:val="23"/>
          <w:szCs w:val="23"/>
        </w:rPr>
        <w:t>listed St Albans Homestead</w:t>
      </w:r>
      <w:r>
        <w:rPr>
          <w:rFonts w:asciiTheme="majorHAnsi" w:hAnsiTheme="majorHAnsi" w:cstheme="majorHAnsi"/>
          <w:sz w:val="23"/>
          <w:szCs w:val="23"/>
        </w:rPr>
        <w:t xml:space="preserve"> (1</w:t>
      </w:r>
      <w:r w:rsidRPr="00E91887">
        <w:rPr>
          <w:rFonts w:asciiTheme="majorHAnsi" w:hAnsiTheme="majorHAnsi" w:cstheme="majorHAnsi"/>
          <w:sz w:val="23"/>
          <w:szCs w:val="23"/>
        </w:rPr>
        <w:t>873</w:t>
      </w:r>
      <w:r>
        <w:rPr>
          <w:rFonts w:asciiTheme="majorHAnsi" w:hAnsiTheme="majorHAnsi" w:cstheme="majorHAnsi"/>
          <w:sz w:val="23"/>
          <w:szCs w:val="23"/>
        </w:rPr>
        <w:t>)</w:t>
      </w:r>
      <w:r w:rsidRPr="00E91887">
        <w:rPr>
          <w:rFonts w:asciiTheme="majorHAnsi" w:hAnsiTheme="majorHAnsi" w:cstheme="majorHAnsi"/>
          <w:sz w:val="23"/>
          <w:szCs w:val="23"/>
        </w:rPr>
        <w:t xml:space="preserve">, </w:t>
      </w:r>
      <w:r>
        <w:rPr>
          <w:rFonts w:asciiTheme="majorHAnsi" w:hAnsiTheme="majorHAnsi" w:cstheme="majorHAnsi"/>
          <w:sz w:val="23"/>
          <w:szCs w:val="23"/>
        </w:rPr>
        <w:t>which</w:t>
      </w:r>
      <w:r w:rsidRPr="00E91887">
        <w:rPr>
          <w:rFonts w:asciiTheme="majorHAnsi" w:hAnsiTheme="majorHAnsi" w:cstheme="majorHAnsi"/>
          <w:sz w:val="23"/>
          <w:szCs w:val="23"/>
        </w:rPr>
        <w:t xml:space="preserve"> forms the core of a new suburb – St Albans Park – </w:t>
      </w:r>
      <w:r>
        <w:rPr>
          <w:rFonts w:asciiTheme="majorHAnsi" w:hAnsiTheme="majorHAnsi" w:cstheme="majorHAnsi"/>
          <w:sz w:val="23"/>
          <w:szCs w:val="23"/>
        </w:rPr>
        <w:t xml:space="preserve">that </w:t>
      </w:r>
      <w:r w:rsidRPr="00E91887">
        <w:rPr>
          <w:rFonts w:asciiTheme="majorHAnsi" w:hAnsiTheme="majorHAnsi" w:cstheme="majorHAnsi"/>
          <w:sz w:val="23"/>
          <w:szCs w:val="23"/>
        </w:rPr>
        <w:t xml:space="preserve">detached from the area in 1999. </w:t>
      </w:r>
      <w:r>
        <w:rPr>
          <w:rFonts w:asciiTheme="majorHAnsi" w:hAnsiTheme="majorHAnsi" w:cstheme="majorHAnsi"/>
          <w:sz w:val="23"/>
          <w:szCs w:val="23"/>
        </w:rPr>
        <w:t>As a result,</w:t>
      </w:r>
      <w:r w:rsidRPr="00E91887">
        <w:rPr>
          <w:rFonts w:asciiTheme="majorHAnsi" w:hAnsiTheme="majorHAnsi" w:cstheme="majorHAnsi"/>
          <w:sz w:val="23"/>
          <w:szCs w:val="23"/>
        </w:rPr>
        <w:t xml:space="preserve"> Whittington is relatively small in </w:t>
      </w:r>
      <w:r>
        <w:rPr>
          <w:rFonts w:asciiTheme="majorHAnsi" w:hAnsiTheme="majorHAnsi" w:cstheme="majorHAnsi"/>
          <w:sz w:val="23"/>
          <w:szCs w:val="23"/>
        </w:rPr>
        <w:t>both geography and population compared</w:t>
      </w:r>
      <w:r w:rsidRPr="00E91887">
        <w:rPr>
          <w:rFonts w:asciiTheme="majorHAnsi" w:hAnsiTheme="majorHAnsi" w:cstheme="majorHAnsi"/>
          <w:sz w:val="23"/>
          <w:szCs w:val="23"/>
        </w:rPr>
        <w:t xml:space="preserve"> to Corio and Norlane. However, it does share similarities</w:t>
      </w:r>
      <w:r>
        <w:rPr>
          <w:rFonts w:asciiTheme="majorHAnsi" w:hAnsiTheme="majorHAnsi" w:cstheme="majorHAnsi"/>
          <w:sz w:val="23"/>
          <w:szCs w:val="23"/>
        </w:rPr>
        <w:t xml:space="preserve">: the construction of </w:t>
      </w:r>
      <w:r w:rsidRPr="00E91887">
        <w:rPr>
          <w:rFonts w:asciiTheme="majorHAnsi" w:hAnsiTheme="majorHAnsi" w:cstheme="majorHAnsi"/>
          <w:sz w:val="23"/>
          <w:szCs w:val="23"/>
        </w:rPr>
        <w:t>500 Housing Commission units</w:t>
      </w:r>
      <w:r>
        <w:rPr>
          <w:rFonts w:asciiTheme="majorHAnsi" w:hAnsiTheme="majorHAnsi" w:cstheme="majorHAnsi"/>
          <w:sz w:val="23"/>
          <w:szCs w:val="23"/>
        </w:rPr>
        <w:t xml:space="preserve"> in the 1960s, along with the suburb’s</w:t>
      </w:r>
      <w:r w:rsidRPr="00E91887">
        <w:rPr>
          <w:rFonts w:asciiTheme="majorHAnsi" w:hAnsiTheme="majorHAnsi" w:cstheme="majorHAnsi"/>
          <w:sz w:val="23"/>
          <w:szCs w:val="23"/>
        </w:rPr>
        <w:t xml:space="preserve"> unique street pattern of </w:t>
      </w:r>
      <w:proofErr w:type="spellStart"/>
      <w:r w:rsidRPr="00E91887">
        <w:rPr>
          <w:rFonts w:asciiTheme="majorHAnsi" w:hAnsiTheme="majorHAnsi" w:cstheme="majorHAnsi"/>
          <w:sz w:val="23"/>
          <w:szCs w:val="23"/>
        </w:rPr>
        <w:t>cul</w:t>
      </w:r>
      <w:proofErr w:type="spellEnd"/>
      <w:r w:rsidRPr="00E91887">
        <w:rPr>
          <w:rFonts w:asciiTheme="majorHAnsi" w:hAnsiTheme="majorHAnsi" w:cstheme="majorHAnsi"/>
          <w:sz w:val="23"/>
          <w:szCs w:val="23"/>
        </w:rPr>
        <w:t xml:space="preserve"> de sacs and courts</w:t>
      </w:r>
      <w:r>
        <w:rPr>
          <w:rFonts w:asciiTheme="majorHAnsi" w:hAnsiTheme="majorHAnsi" w:cstheme="majorHAnsi"/>
          <w:sz w:val="23"/>
          <w:szCs w:val="23"/>
        </w:rPr>
        <w:t>, has contributed to a localised</w:t>
      </w:r>
      <w:r w:rsidRPr="00E91887">
        <w:rPr>
          <w:rFonts w:asciiTheme="majorHAnsi" w:hAnsiTheme="majorHAnsi" w:cstheme="majorHAnsi"/>
          <w:sz w:val="23"/>
          <w:szCs w:val="23"/>
        </w:rPr>
        <w:t xml:space="preserve"> concentration of </w:t>
      </w:r>
      <w:r>
        <w:rPr>
          <w:rFonts w:asciiTheme="majorHAnsi" w:hAnsiTheme="majorHAnsi" w:cstheme="majorHAnsi"/>
          <w:sz w:val="23"/>
          <w:szCs w:val="23"/>
        </w:rPr>
        <w:t>disadvantage</w:t>
      </w:r>
      <w:r w:rsidRPr="00E91887">
        <w:rPr>
          <w:rFonts w:asciiTheme="majorHAnsi" w:hAnsiTheme="majorHAnsi" w:cstheme="majorHAnsi"/>
          <w:sz w:val="23"/>
          <w:szCs w:val="23"/>
        </w:rPr>
        <w:t xml:space="preserve">. </w:t>
      </w:r>
      <w:r>
        <w:rPr>
          <w:rFonts w:asciiTheme="majorHAnsi" w:hAnsiTheme="majorHAnsi" w:cstheme="majorHAnsi"/>
          <w:sz w:val="23"/>
          <w:szCs w:val="23"/>
        </w:rPr>
        <w:t xml:space="preserve">In 2016 </w:t>
      </w:r>
      <w:r w:rsidRPr="00E91887">
        <w:rPr>
          <w:rFonts w:asciiTheme="majorHAnsi" w:hAnsiTheme="majorHAnsi" w:cstheme="majorHAnsi"/>
          <w:sz w:val="23"/>
          <w:szCs w:val="23"/>
        </w:rPr>
        <w:lastRenderedPageBreak/>
        <w:t xml:space="preserve">Whittington too had a </w:t>
      </w:r>
      <w:r>
        <w:rPr>
          <w:rFonts w:asciiTheme="majorHAnsi" w:hAnsiTheme="majorHAnsi" w:cstheme="majorHAnsi"/>
          <w:sz w:val="23"/>
          <w:szCs w:val="23"/>
        </w:rPr>
        <w:t>high</w:t>
      </w:r>
      <w:r w:rsidRPr="00E91887">
        <w:rPr>
          <w:rFonts w:asciiTheme="majorHAnsi" w:hAnsiTheme="majorHAnsi" w:cstheme="majorHAnsi"/>
          <w:sz w:val="23"/>
          <w:szCs w:val="23"/>
        </w:rPr>
        <w:t xml:space="preserve"> proportion of households earning less than $600 per week (38</w:t>
      </w:r>
      <w:r>
        <w:rPr>
          <w:rFonts w:asciiTheme="majorHAnsi" w:hAnsiTheme="majorHAnsi" w:cstheme="majorHAnsi"/>
          <w:sz w:val="23"/>
          <w:szCs w:val="23"/>
        </w:rPr>
        <w:t xml:space="preserve"> percent</w:t>
      </w:r>
      <w:r w:rsidRPr="00E91887">
        <w:rPr>
          <w:rFonts w:asciiTheme="majorHAnsi" w:hAnsiTheme="majorHAnsi" w:cstheme="majorHAnsi"/>
          <w:sz w:val="23"/>
          <w:szCs w:val="23"/>
        </w:rPr>
        <w:t>)</w:t>
      </w:r>
      <w:r>
        <w:rPr>
          <w:rFonts w:asciiTheme="majorHAnsi" w:hAnsiTheme="majorHAnsi" w:cstheme="majorHAnsi"/>
          <w:sz w:val="23"/>
          <w:szCs w:val="23"/>
        </w:rPr>
        <w:t>,</w:t>
      </w:r>
      <w:r w:rsidRPr="00E91887">
        <w:rPr>
          <w:rFonts w:asciiTheme="majorHAnsi" w:hAnsiTheme="majorHAnsi" w:cstheme="majorHAnsi"/>
          <w:sz w:val="23"/>
          <w:szCs w:val="23"/>
        </w:rPr>
        <w:t xml:space="preserve"> few earning more than $2000 per week (8.4</w:t>
      </w:r>
      <w:r>
        <w:rPr>
          <w:rFonts w:asciiTheme="majorHAnsi" w:hAnsiTheme="majorHAnsi" w:cstheme="majorHAnsi"/>
          <w:sz w:val="23"/>
          <w:szCs w:val="23"/>
        </w:rPr>
        <w:t xml:space="preserve"> percent</w:t>
      </w:r>
      <w:r w:rsidRPr="00E91887">
        <w:rPr>
          <w:rFonts w:asciiTheme="majorHAnsi" w:hAnsiTheme="majorHAnsi" w:cstheme="majorHAnsi"/>
          <w:sz w:val="23"/>
          <w:szCs w:val="23"/>
        </w:rPr>
        <w:t>)</w:t>
      </w:r>
      <w:r>
        <w:rPr>
          <w:rFonts w:asciiTheme="majorHAnsi" w:hAnsiTheme="majorHAnsi" w:cstheme="majorHAnsi"/>
          <w:sz w:val="23"/>
          <w:szCs w:val="23"/>
        </w:rPr>
        <w:t>, and relatively high</w:t>
      </w:r>
      <w:r w:rsidRPr="00E91887">
        <w:rPr>
          <w:rFonts w:asciiTheme="majorHAnsi" w:hAnsiTheme="majorHAnsi" w:cstheme="majorHAnsi"/>
          <w:sz w:val="23"/>
          <w:szCs w:val="23"/>
        </w:rPr>
        <w:t xml:space="preserve"> unemployment </w:t>
      </w:r>
      <w:r>
        <w:rPr>
          <w:rFonts w:asciiTheme="majorHAnsi" w:hAnsiTheme="majorHAnsi" w:cstheme="majorHAnsi"/>
          <w:sz w:val="23"/>
          <w:szCs w:val="23"/>
        </w:rPr>
        <w:t>(</w:t>
      </w:r>
      <w:r w:rsidRPr="00E91887">
        <w:rPr>
          <w:rFonts w:asciiTheme="majorHAnsi" w:hAnsiTheme="majorHAnsi" w:cstheme="majorHAnsi"/>
          <w:sz w:val="23"/>
          <w:szCs w:val="23"/>
        </w:rPr>
        <w:t>10.4</w:t>
      </w:r>
      <w:r>
        <w:rPr>
          <w:rFonts w:asciiTheme="majorHAnsi" w:hAnsiTheme="majorHAnsi" w:cstheme="majorHAnsi"/>
          <w:sz w:val="23"/>
          <w:szCs w:val="23"/>
        </w:rPr>
        <w:t xml:space="preserve"> percent)</w:t>
      </w:r>
      <w:r w:rsidRPr="00E91887">
        <w:rPr>
          <w:rFonts w:asciiTheme="majorHAnsi" w:hAnsiTheme="majorHAnsi" w:cstheme="majorHAnsi"/>
          <w:sz w:val="23"/>
          <w:szCs w:val="23"/>
        </w:rPr>
        <w:t xml:space="preserve"> (Profile.id, 2016).</w:t>
      </w:r>
    </w:p>
    <w:p w14:paraId="2861ACAC" w14:textId="77777777" w:rsidR="004C54D0" w:rsidRDefault="004C54D0" w:rsidP="004C54D0">
      <w:pPr>
        <w:spacing w:line="276" w:lineRule="auto"/>
        <w:rPr>
          <w:rFonts w:asciiTheme="majorHAnsi" w:hAnsiTheme="majorHAnsi" w:cstheme="majorHAnsi"/>
          <w:sz w:val="23"/>
          <w:szCs w:val="23"/>
        </w:rPr>
      </w:pPr>
      <w:r>
        <w:rPr>
          <w:rFonts w:asciiTheme="majorHAnsi" w:hAnsiTheme="majorHAnsi" w:cstheme="majorHAnsi"/>
          <w:sz w:val="23"/>
          <w:szCs w:val="23"/>
        </w:rPr>
        <w:t>Table 7.1 (below) presents a b</w:t>
      </w:r>
      <w:r w:rsidRPr="00E91887">
        <w:rPr>
          <w:rFonts w:asciiTheme="majorHAnsi" w:hAnsiTheme="majorHAnsi" w:cstheme="majorHAnsi"/>
          <w:sz w:val="23"/>
          <w:szCs w:val="23"/>
        </w:rPr>
        <w:t>rief statistical profile of the</w:t>
      </w:r>
      <w:r>
        <w:rPr>
          <w:rFonts w:asciiTheme="majorHAnsi" w:hAnsiTheme="majorHAnsi" w:cstheme="majorHAnsi"/>
          <w:sz w:val="23"/>
          <w:szCs w:val="23"/>
        </w:rPr>
        <w:t xml:space="preserve"> three</w:t>
      </w:r>
      <w:r w:rsidRPr="00E91887">
        <w:rPr>
          <w:rFonts w:asciiTheme="majorHAnsi" w:hAnsiTheme="majorHAnsi" w:cstheme="majorHAnsi"/>
          <w:sz w:val="23"/>
          <w:szCs w:val="23"/>
        </w:rPr>
        <w:t xml:space="preserve"> </w:t>
      </w:r>
      <w:r>
        <w:rPr>
          <w:rFonts w:asciiTheme="majorHAnsi" w:hAnsiTheme="majorHAnsi" w:cstheme="majorHAnsi"/>
          <w:sz w:val="23"/>
          <w:szCs w:val="23"/>
        </w:rPr>
        <w:t>localities</w:t>
      </w:r>
      <w:r w:rsidRPr="00E91887">
        <w:rPr>
          <w:rFonts w:asciiTheme="majorHAnsi" w:hAnsiTheme="majorHAnsi" w:cstheme="majorHAnsi"/>
          <w:sz w:val="23"/>
          <w:szCs w:val="23"/>
        </w:rPr>
        <w:t xml:space="preserve"> in 2016, </w:t>
      </w:r>
      <w:r>
        <w:rPr>
          <w:rFonts w:asciiTheme="majorHAnsi" w:hAnsiTheme="majorHAnsi" w:cstheme="majorHAnsi"/>
          <w:sz w:val="23"/>
          <w:szCs w:val="23"/>
        </w:rPr>
        <w:t>with figures for the</w:t>
      </w:r>
      <w:r w:rsidRPr="00E91887">
        <w:rPr>
          <w:rFonts w:asciiTheme="majorHAnsi" w:hAnsiTheme="majorHAnsi" w:cstheme="majorHAnsi"/>
          <w:sz w:val="23"/>
          <w:szCs w:val="23"/>
        </w:rPr>
        <w:t xml:space="preserve"> City of Greater Geelong</w:t>
      </w:r>
      <w:r>
        <w:rPr>
          <w:rFonts w:asciiTheme="majorHAnsi" w:hAnsiTheme="majorHAnsi" w:cstheme="majorHAnsi"/>
          <w:sz w:val="23"/>
          <w:szCs w:val="23"/>
        </w:rPr>
        <w:t xml:space="preserve"> provided for comparison</w:t>
      </w:r>
      <w:r w:rsidRPr="00E91887">
        <w:rPr>
          <w:rFonts w:asciiTheme="majorHAnsi" w:hAnsiTheme="majorHAnsi" w:cstheme="majorHAnsi"/>
          <w:sz w:val="23"/>
          <w:szCs w:val="23"/>
        </w:rPr>
        <w:t>.</w:t>
      </w:r>
    </w:p>
    <w:tbl>
      <w:tblPr>
        <w:tblStyle w:val="TableGrid"/>
        <w:tblW w:w="0" w:type="auto"/>
        <w:tblLook w:val="04A0" w:firstRow="1" w:lastRow="0" w:firstColumn="1" w:lastColumn="0" w:noHBand="0" w:noVBand="1"/>
      </w:tblPr>
      <w:tblGrid>
        <w:gridCol w:w="3157"/>
        <w:gridCol w:w="1435"/>
        <w:gridCol w:w="1464"/>
        <w:gridCol w:w="1497"/>
        <w:gridCol w:w="1463"/>
      </w:tblGrid>
      <w:tr w:rsidR="004C54D0" w:rsidRPr="00A04DBE" w14:paraId="4952D996" w14:textId="77777777" w:rsidTr="004C54D0">
        <w:trPr>
          <w:trHeight w:val="687"/>
        </w:trPr>
        <w:tc>
          <w:tcPr>
            <w:tcW w:w="3157" w:type="dxa"/>
            <w:shd w:val="clear" w:color="auto" w:fill="D0CECE" w:themeFill="background2" w:themeFillShade="E6"/>
            <w:vAlign w:val="center"/>
          </w:tcPr>
          <w:p w14:paraId="538B6781"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Indicator</w:t>
            </w:r>
          </w:p>
        </w:tc>
        <w:tc>
          <w:tcPr>
            <w:tcW w:w="1435" w:type="dxa"/>
            <w:shd w:val="clear" w:color="auto" w:fill="D0CECE" w:themeFill="background2" w:themeFillShade="E6"/>
            <w:vAlign w:val="center"/>
          </w:tcPr>
          <w:p w14:paraId="260E95CF"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Corio</w:t>
            </w:r>
          </w:p>
        </w:tc>
        <w:tc>
          <w:tcPr>
            <w:tcW w:w="1464" w:type="dxa"/>
            <w:shd w:val="clear" w:color="auto" w:fill="D0CECE" w:themeFill="background2" w:themeFillShade="E6"/>
            <w:vAlign w:val="center"/>
          </w:tcPr>
          <w:p w14:paraId="1895E6CA"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Norlane–</w:t>
            </w:r>
          </w:p>
          <w:p w14:paraId="49C39CE3"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North Shore</w:t>
            </w:r>
          </w:p>
        </w:tc>
        <w:tc>
          <w:tcPr>
            <w:tcW w:w="1497" w:type="dxa"/>
            <w:shd w:val="clear" w:color="auto" w:fill="D0CECE" w:themeFill="background2" w:themeFillShade="E6"/>
            <w:vAlign w:val="center"/>
          </w:tcPr>
          <w:p w14:paraId="70669192"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Whittington</w:t>
            </w:r>
          </w:p>
        </w:tc>
        <w:tc>
          <w:tcPr>
            <w:tcW w:w="1463" w:type="dxa"/>
            <w:shd w:val="clear" w:color="auto" w:fill="D0CECE" w:themeFill="background2" w:themeFillShade="E6"/>
            <w:vAlign w:val="center"/>
          </w:tcPr>
          <w:p w14:paraId="29EB7777" w14:textId="77777777" w:rsidR="004C54D0" w:rsidRPr="00A04DBE" w:rsidRDefault="004C54D0" w:rsidP="00EA6395">
            <w:pPr>
              <w:spacing w:line="276" w:lineRule="auto"/>
              <w:rPr>
                <w:rFonts w:cstheme="minorHAnsi"/>
                <w:b/>
                <w:bCs/>
                <w:sz w:val="21"/>
                <w:szCs w:val="21"/>
              </w:rPr>
            </w:pPr>
            <w:r w:rsidRPr="00A04DBE">
              <w:rPr>
                <w:rFonts w:cstheme="minorHAnsi"/>
                <w:b/>
                <w:bCs/>
                <w:sz w:val="21"/>
                <w:szCs w:val="21"/>
              </w:rPr>
              <w:t>City of Greater Geelong</w:t>
            </w:r>
          </w:p>
        </w:tc>
      </w:tr>
      <w:tr w:rsidR="004C54D0" w:rsidRPr="000B5389" w14:paraId="60A241E4" w14:textId="77777777" w:rsidTr="004C54D0">
        <w:trPr>
          <w:trHeight w:val="356"/>
        </w:trPr>
        <w:tc>
          <w:tcPr>
            <w:tcW w:w="3157" w:type="dxa"/>
            <w:vAlign w:val="center"/>
          </w:tcPr>
          <w:p w14:paraId="0A7222AB" w14:textId="77777777" w:rsidR="004C54D0" w:rsidRPr="000B5389" w:rsidRDefault="004C54D0" w:rsidP="00EA6395">
            <w:pPr>
              <w:spacing w:line="276" w:lineRule="auto"/>
              <w:rPr>
                <w:rFonts w:asciiTheme="majorHAnsi" w:hAnsiTheme="majorHAnsi" w:cstheme="majorHAnsi"/>
                <w:sz w:val="21"/>
                <w:szCs w:val="21"/>
              </w:rPr>
            </w:pPr>
            <w:r>
              <w:rPr>
                <w:rFonts w:asciiTheme="majorHAnsi" w:hAnsiTheme="majorHAnsi" w:cstheme="majorHAnsi"/>
                <w:sz w:val="21"/>
                <w:szCs w:val="21"/>
              </w:rPr>
              <w:t>Population</w:t>
            </w:r>
          </w:p>
        </w:tc>
        <w:tc>
          <w:tcPr>
            <w:tcW w:w="1435" w:type="dxa"/>
            <w:vAlign w:val="center"/>
          </w:tcPr>
          <w:p w14:paraId="57A89F0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15</w:t>
            </w:r>
            <w:r>
              <w:rPr>
                <w:rFonts w:asciiTheme="majorHAnsi" w:hAnsiTheme="majorHAnsi" w:cstheme="majorHAnsi"/>
                <w:sz w:val="21"/>
                <w:szCs w:val="21"/>
              </w:rPr>
              <w:t>,</w:t>
            </w:r>
            <w:r w:rsidRPr="000B5389">
              <w:rPr>
                <w:rFonts w:asciiTheme="majorHAnsi" w:hAnsiTheme="majorHAnsi" w:cstheme="majorHAnsi"/>
                <w:sz w:val="21"/>
                <w:szCs w:val="21"/>
              </w:rPr>
              <w:t>296</w:t>
            </w:r>
          </w:p>
        </w:tc>
        <w:tc>
          <w:tcPr>
            <w:tcW w:w="1464" w:type="dxa"/>
            <w:vAlign w:val="center"/>
          </w:tcPr>
          <w:p w14:paraId="7AEAF15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8306</w:t>
            </w:r>
          </w:p>
        </w:tc>
        <w:tc>
          <w:tcPr>
            <w:tcW w:w="1497" w:type="dxa"/>
            <w:vAlign w:val="center"/>
          </w:tcPr>
          <w:p w14:paraId="2239903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3879</w:t>
            </w:r>
          </w:p>
        </w:tc>
        <w:tc>
          <w:tcPr>
            <w:tcW w:w="1463" w:type="dxa"/>
            <w:vAlign w:val="center"/>
          </w:tcPr>
          <w:p w14:paraId="155E605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233 429</w:t>
            </w:r>
          </w:p>
        </w:tc>
      </w:tr>
      <w:tr w:rsidR="004C54D0" w:rsidRPr="000B5389" w14:paraId="7598F352" w14:textId="77777777" w:rsidTr="004C54D0">
        <w:trPr>
          <w:trHeight w:val="356"/>
        </w:trPr>
        <w:tc>
          <w:tcPr>
            <w:tcW w:w="3157" w:type="dxa"/>
            <w:vAlign w:val="center"/>
          </w:tcPr>
          <w:p w14:paraId="4BC6BDB1"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Median </w:t>
            </w:r>
            <w:r>
              <w:rPr>
                <w:rFonts w:asciiTheme="majorHAnsi" w:hAnsiTheme="majorHAnsi" w:cstheme="majorHAnsi"/>
                <w:sz w:val="21"/>
                <w:szCs w:val="21"/>
              </w:rPr>
              <w:t>a</w:t>
            </w:r>
            <w:r w:rsidRPr="000B5389">
              <w:rPr>
                <w:rFonts w:asciiTheme="majorHAnsi" w:hAnsiTheme="majorHAnsi" w:cstheme="majorHAnsi"/>
                <w:sz w:val="21"/>
                <w:szCs w:val="21"/>
              </w:rPr>
              <w:t>ge</w:t>
            </w:r>
          </w:p>
        </w:tc>
        <w:tc>
          <w:tcPr>
            <w:tcW w:w="1435" w:type="dxa"/>
            <w:vAlign w:val="center"/>
          </w:tcPr>
          <w:p w14:paraId="2267FE6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35</w:t>
            </w:r>
          </w:p>
        </w:tc>
        <w:tc>
          <w:tcPr>
            <w:tcW w:w="1464" w:type="dxa"/>
            <w:vAlign w:val="center"/>
          </w:tcPr>
          <w:p w14:paraId="0A986E3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39</w:t>
            </w:r>
          </w:p>
        </w:tc>
        <w:tc>
          <w:tcPr>
            <w:tcW w:w="1497" w:type="dxa"/>
            <w:vAlign w:val="center"/>
          </w:tcPr>
          <w:p w14:paraId="14CA27C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43</w:t>
            </w:r>
          </w:p>
        </w:tc>
        <w:tc>
          <w:tcPr>
            <w:tcW w:w="1463" w:type="dxa"/>
            <w:vAlign w:val="center"/>
          </w:tcPr>
          <w:p w14:paraId="2A64BC4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40</w:t>
            </w:r>
          </w:p>
        </w:tc>
      </w:tr>
      <w:tr w:rsidR="004C54D0" w:rsidRPr="000B5389" w14:paraId="044E5619" w14:textId="77777777" w:rsidTr="004C54D0">
        <w:trPr>
          <w:trHeight w:val="597"/>
        </w:trPr>
        <w:tc>
          <w:tcPr>
            <w:tcW w:w="3157" w:type="dxa"/>
            <w:vAlign w:val="center"/>
          </w:tcPr>
          <w:p w14:paraId="07BB7BB7" w14:textId="77777777" w:rsidR="004C54D0" w:rsidRPr="000B5389" w:rsidRDefault="004C54D0" w:rsidP="00EA6395">
            <w:pPr>
              <w:rPr>
                <w:rFonts w:asciiTheme="majorHAnsi" w:hAnsiTheme="majorHAnsi" w:cstheme="majorHAnsi"/>
                <w:sz w:val="21"/>
                <w:szCs w:val="21"/>
              </w:rPr>
            </w:pPr>
            <w:r w:rsidRPr="000B5389">
              <w:rPr>
                <w:rFonts w:asciiTheme="majorHAnsi" w:hAnsiTheme="majorHAnsi" w:cstheme="majorHAnsi"/>
                <w:sz w:val="21"/>
                <w:szCs w:val="21"/>
              </w:rPr>
              <w:t>Aboriginal and Torres Strait Islander (</w:t>
            </w:r>
            <w:r>
              <w:rPr>
                <w:rFonts w:asciiTheme="majorHAnsi" w:hAnsiTheme="majorHAnsi" w:cstheme="majorHAnsi"/>
                <w:sz w:val="21"/>
                <w:szCs w:val="21"/>
              </w:rPr>
              <w:t xml:space="preserve">number </w:t>
            </w:r>
            <w:r w:rsidRPr="000B5389">
              <w:rPr>
                <w:rFonts w:asciiTheme="majorHAnsi" w:hAnsiTheme="majorHAnsi" w:cstheme="majorHAnsi"/>
                <w:sz w:val="21"/>
                <w:szCs w:val="21"/>
              </w:rPr>
              <w:t>+</w:t>
            </w:r>
            <w:r>
              <w:rPr>
                <w:rFonts w:asciiTheme="majorHAnsi" w:hAnsiTheme="majorHAnsi" w:cstheme="majorHAnsi"/>
                <w:sz w:val="21"/>
                <w:szCs w:val="21"/>
              </w:rPr>
              <w:t xml:space="preserve"> </w:t>
            </w:r>
            <w:r w:rsidRPr="000B5389">
              <w:rPr>
                <w:rFonts w:asciiTheme="majorHAnsi" w:hAnsiTheme="majorHAnsi" w:cstheme="majorHAnsi"/>
                <w:sz w:val="21"/>
                <w:szCs w:val="21"/>
              </w:rPr>
              <w:t>%)</w:t>
            </w:r>
          </w:p>
        </w:tc>
        <w:tc>
          <w:tcPr>
            <w:tcW w:w="1435" w:type="dxa"/>
            <w:vAlign w:val="center"/>
          </w:tcPr>
          <w:p w14:paraId="3E85D6C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300+2</w:t>
            </w:r>
          </w:p>
        </w:tc>
        <w:tc>
          <w:tcPr>
            <w:tcW w:w="1464" w:type="dxa"/>
            <w:vAlign w:val="center"/>
          </w:tcPr>
          <w:p w14:paraId="2F8C513A"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204+2.5</w:t>
            </w:r>
          </w:p>
        </w:tc>
        <w:tc>
          <w:tcPr>
            <w:tcW w:w="1497" w:type="dxa"/>
            <w:vAlign w:val="center"/>
          </w:tcPr>
          <w:p w14:paraId="3514F0D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78+2.0</w:t>
            </w:r>
          </w:p>
        </w:tc>
        <w:tc>
          <w:tcPr>
            <w:tcW w:w="1463" w:type="dxa"/>
            <w:vAlign w:val="center"/>
          </w:tcPr>
          <w:p w14:paraId="7F694378"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2409+1.0</w:t>
            </w:r>
          </w:p>
        </w:tc>
      </w:tr>
      <w:tr w:rsidR="004C54D0" w:rsidRPr="000B5389" w14:paraId="3EB227DF" w14:textId="77777777" w:rsidTr="004C54D0">
        <w:trPr>
          <w:trHeight w:val="347"/>
        </w:trPr>
        <w:tc>
          <w:tcPr>
            <w:tcW w:w="3157" w:type="dxa"/>
            <w:vAlign w:val="center"/>
          </w:tcPr>
          <w:p w14:paraId="4C49A82A"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Median </w:t>
            </w:r>
            <w:r>
              <w:rPr>
                <w:rFonts w:asciiTheme="majorHAnsi" w:hAnsiTheme="majorHAnsi" w:cstheme="majorHAnsi"/>
                <w:sz w:val="21"/>
                <w:szCs w:val="21"/>
              </w:rPr>
              <w:t>w</w:t>
            </w:r>
            <w:r w:rsidRPr="000B5389">
              <w:rPr>
                <w:rFonts w:asciiTheme="majorHAnsi" w:hAnsiTheme="majorHAnsi" w:cstheme="majorHAnsi"/>
                <w:sz w:val="21"/>
                <w:szCs w:val="21"/>
              </w:rPr>
              <w:t xml:space="preserve">eekly </w:t>
            </w:r>
            <w:r>
              <w:rPr>
                <w:rFonts w:asciiTheme="majorHAnsi" w:hAnsiTheme="majorHAnsi" w:cstheme="majorHAnsi"/>
                <w:sz w:val="21"/>
                <w:szCs w:val="21"/>
              </w:rPr>
              <w:t>h</w:t>
            </w:r>
            <w:r w:rsidRPr="000B5389">
              <w:rPr>
                <w:rFonts w:asciiTheme="majorHAnsi" w:hAnsiTheme="majorHAnsi" w:cstheme="majorHAnsi"/>
                <w:sz w:val="21"/>
                <w:szCs w:val="21"/>
              </w:rPr>
              <w:t xml:space="preserve">ousehold </w:t>
            </w:r>
            <w:r>
              <w:rPr>
                <w:rFonts w:asciiTheme="majorHAnsi" w:hAnsiTheme="majorHAnsi" w:cstheme="majorHAnsi"/>
                <w:sz w:val="21"/>
                <w:szCs w:val="21"/>
              </w:rPr>
              <w:t>i</w:t>
            </w:r>
            <w:r w:rsidRPr="000B5389">
              <w:rPr>
                <w:rFonts w:asciiTheme="majorHAnsi" w:hAnsiTheme="majorHAnsi" w:cstheme="majorHAnsi"/>
                <w:sz w:val="21"/>
                <w:szCs w:val="21"/>
              </w:rPr>
              <w:t>ncome ($)</w:t>
            </w:r>
          </w:p>
        </w:tc>
        <w:tc>
          <w:tcPr>
            <w:tcW w:w="1435" w:type="dxa"/>
            <w:vAlign w:val="center"/>
          </w:tcPr>
          <w:p w14:paraId="40C53E1B"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914</w:t>
            </w:r>
          </w:p>
        </w:tc>
        <w:tc>
          <w:tcPr>
            <w:tcW w:w="1464" w:type="dxa"/>
            <w:vAlign w:val="center"/>
          </w:tcPr>
          <w:p w14:paraId="69EC6C65"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728</w:t>
            </w:r>
          </w:p>
        </w:tc>
        <w:tc>
          <w:tcPr>
            <w:tcW w:w="1497" w:type="dxa"/>
            <w:vAlign w:val="center"/>
          </w:tcPr>
          <w:p w14:paraId="2E074FA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795</w:t>
            </w:r>
          </w:p>
        </w:tc>
        <w:tc>
          <w:tcPr>
            <w:tcW w:w="1463" w:type="dxa"/>
            <w:vAlign w:val="center"/>
          </w:tcPr>
          <w:p w14:paraId="6988C31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1244</w:t>
            </w:r>
          </w:p>
        </w:tc>
      </w:tr>
      <w:tr w:rsidR="004C54D0" w:rsidRPr="000B5389" w14:paraId="555B7DFC" w14:textId="77777777" w:rsidTr="004C54D0">
        <w:trPr>
          <w:trHeight w:val="567"/>
        </w:trPr>
        <w:tc>
          <w:tcPr>
            <w:tcW w:w="3157" w:type="dxa"/>
            <w:vAlign w:val="center"/>
          </w:tcPr>
          <w:p w14:paraId="53B064E9" w14:textId="77777777" w:rsidR="004C54D0" w:rsidRPr="000B5389" w:rsidRDefault="004C54D0" w:rsidP="00EA6395">
            <w:pPr>
              <w:rPr>
                <w:rFonts w:asciiTheme="majorHAnsi" w:hAnsiTheme="majorHAnsi" w:cstheme="majorHAnsi"/>
                <w:sz w:val="21"/>
                <w:szCs w:val="21"/>
              </w:rPr>
            </w:pPr>
            <w:r w:rsidRPr="000B5389">
              <w:rPr>
                <w:rFonts w:asciiTheme="majorHAnsi" w:hAnsiTheme="majorHAnsi" w:cstheme="majorHAnsi"/>
                <w:sz w:val="21"/>
                <w:szCs w:val="21"/>
              </w:rPr>
              <w:t xml:space="preserve">Households on low income </w:t>
            </w:r>
          </w:p>
          <w:p w14:paraId="311C22C0" w14:textId="77777777" w:rsidR="004C54D0" w:rsidRPr="000B5389" w:rsidRDefault="004C54D0" w:rsidP="00EA6395">
            <w:pPr>
              <w:rPr>
                <w:rFonts w:asciiTheme="majorHAnsi" w:hAnsiTheme="majorHAnsi" w:cstheme="majorHAnsi"/>
                <w:sz w:val="21"/>
                <w:szCs w:val="21"/>
              </w:rPr>
            </w:pPr>
            <w:r w:rsidRPr="000B5389">
              <w:rPr>
                <w:rFonts w:asciiTheme="majorHAnsi" w:hAnsiTheme="majorHAnsi" w:cstheme="majorHAnsi"/>
                <w:sz w:val="21"/>
                <w:szCs w:val="21"/>
              </w:rPr>
              <w:t>(Less than $600 pw)</w:t>
            </w:r>
          </w:p>
        </w:tc>
        <w:tc>
          <w:tcPr>
            <w:tcW w:w="1435" w:type="dxa"/>
            <w:vAlign w:val="center"/>
          </w:tcPr>
          <w:p w14:paraId="1F6DED0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30.1</w:t>
            </w:r>
          </w:p>
        </w:tc>
        <w:tc>
          <w:tcPr>
            <w:tcW w:w="1464" w:type="dxa"/>
            <w:vAlign w:val="center"/>
          </w:tcPr>
          <w:p w14:paraId="5729FD4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42.1</w:t>
            </w:r>
          </w:p>
        </w:tc>
        <w:tc>
          <w:tcPr>
            <w:tcW w:w="1497" w:type="dxa"/>
            <w:vAlign w:val="center"/>
          </w:tcPr>
          <w:p w14:paraId="00E581C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38.0</w:t>
            </w:r>
          </w:p>
        </w:tc>
        <w:tc>
          <w:tcPr>
            <w:tcW w:w="1463" w:type="dxa"/>
            <w:vAlign w:val="center"/>
          </w:tcPr>
          <w:p w14:paraId="7FB1717B"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24.8</w:t>
            </w:r>
          </w:p>
        </w:tc>
      </w:tr>
      <w:tr w:rsidR="004C54D0" w:rsidRPr="000B5389" w14:paraId="6389183C" w14:textId="77777777" w:rsidTr="004C54D0">
        <w:trPr>
          <w:trHeight w:val="356"/>
        </w:trPr>
        <w:tc>
          <w:tcPr>
            <w:tcW w:w="3157" w:type="dxa"/>
            <w:vAlign w:val="center"/>
          </w:tcPr>
          <w:p w14:paraId="31FD0D21"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Separated</w:t>
            </w:r>
          </w:p>
        </w:tc>
        <w:tc>
          <w:tcPr>
            <w:tcW w:w="1435" w:type="dxa"/>
            <w:vAlign w:val="center"/>
          </w:tcPr>
          <w:p w14:paraId="53ED89F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4.2</w:t>
            </w:r>
          </w:p>
        </w:tc>
        <w:tc>
          <w:tcPr>
            <w:tcW w:w="1464" w:type="dxa"/>
            <w:vAlign w:val="center"/>
          </w:tcPr>
          <w:p w14:paraId="5AD3E1C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5.5</w:t>
            </w:r>
          </w:p>
        </w:tc>
        <w:tc>
          <w:tcPr>
            <w:tcW w:w="1497" w:type="dxa"/>
            <w:vAlign w:val="center"/>
          </w:tcPr>
          <w:p w14:paraId="0D88E5C9"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5.6</w:t>
            </w:r>
          </w:p>
        </w:tc>
        <w:tc>
          <w:tcPr>
            <w:tcW w:w="1463" w:type="dxa"/>
            <w:vAlign w:val="center"/>
          </w:tcPr>
          <w:p w14:paraId="57E411BB"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3.4</w:t>
            </w:r>
          </w:p>
        </w:tc>
      </w:tr>
      <w:tr w:rsidR="004C54D0" w:rsidRPr="000B5389" w14:paraId="2721691B" w14:textId="77777777" w:rsidTr="004C54D0">
        <w:trPr>
          <w:trHeight w:val="356"/>
        </w:trPr>
        <w:tc>
          <w:tcPr>
            <w:tcW w:w="3157" w:type="dxa"/>
            <w:vAlign w:val="center"/>
          </w:tcPr>
          <w:p w14:paraId="1D73A5D1"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Divorced</w:t>
            </w:r>
          </w:p>
        </w:tc>
        <w:tc>
          <w:tcPr>
            <w:tcW w:w="1435" w:type="dxa"/>
            <w:vAlign w:val="center"/>
          </w:tcPr>
          <w:p w14:paraId="78AD0B9A"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9.8</w:t>
            </w:r>
          </w:p>
        </w:tc>
        <w:tc>
          <w:tcPr>
            <w:tcW w:w="1464" w:type="dxa"/>
            <w:vAlign w:val="center"/>
          </w:tcPr>
          <w:p w14:paraId="21A31A7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12.5</w:t>
            </w:r>
          </w:p>
        </w:tc>
        <w:tc>
          <w:tcPr>
            <w:tcW w:w="1497" w:type="dxa"/>
            <w:vAlign w:val="center"/>
          </w:tcPr>
          <w:p w14:paraId="093C1DE2"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13.2</w:t>
            </w:r>
          </w:p>
        </w:tc>
        <w:tc>
          <w:tcPr>
            <w:tcW w:w="1463" w:type="dxa"/>
            <w:vAlign w:val="center"/>
          </w:tcPr>
          <w:p w14:paraId="62530CD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8.9</w:t>
            </w:r>
          </w:p>
        </w:tc>
      </w:tr>
      <w:tr w:rsidR="004C54D0" w:rsidRPr="000B5389" w14:paraId="65C06A9E" w14:textId="77777777" w:rsidTr="004C54D0">
        <w:trPr>
          <w:trHeight w:val="365"/>
        </w:trPr>
        <w:tc>
          <w:tcPr>
            <w:tcW w:w="3157" w:type="dxa"/>
            <w:vAlign w:val="center"/>
          </w:tcPr>
          <w:p w14:paraId="47C9FD16"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One parent family</w:t>
            </w:r>
          </w:p>
        </w:tc>
        <w:tc>
          <w:tcPr>
            <w:tcW w:w="1435" w:type="dxa"/>
            <w:vAlign w:val="center"/>
          </w:tcPr>
          <w:p w14:paraId="2AFF0B6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30.4</w:t>
            </w:r>
          </w:p>
        </w:tc>
        <w:tc>
          <w:tcPr>
            <w:tcW w:w="1464" w:type="dxa"/>
            <w:vAlign w:val="center"/>
          </w:tcPr>
          <w:p w14:paraId="1564990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38.0</w:t>
            </w:r>
          </w:p>
        </w:tc>
        <w:tc>
          <w:tcPr>
            <w:tcW w:w="1497" w:type="dxa"/>
            <w:vAlign w:val="center"/>
          </w:tcPr>
          <w:p w14:paraId="4F4E6C2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33.2</w:t>
            </w:r>
          </w:p>
        </w:tc>
        <w:tc>
          <w:tcPr>
            <w:tcW w:w="1463" w:type="dxa"/>
            <w:vAlign w:val="center"/>
          </w:tcPr>
          <w:p w14:paraId="0E97847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17.3</w:t>
            </w:r>
          </w:p>
        </w:tc>
      </w:tr>
      <w:tr w:rsidR="004C54D0" w:rsidRPr="000B5389" w14:paraId="7D1F64B2" w14:textId="77777777" w:rsidTr="004C54D0">
        <w:trPr>
          <w:trHeight w:val="597"/>
        </w:trPr>
        <w:tc>
          <w:tcPr>
            <w:tcW w:w="3157" w:type="dxa"/>
            <w:vAlign w:val="center"/>
          </w:tcPr>
          <w:p w14:paraId="21C71680" w14:textId="77777777" w:rsidR="004C54D0" w:rsidRPr="000B5389" w:rsidRDefault="004C54D0" w:rsidP="00EA6395">
            <w:pPr>
              <w:rPr>
                <w:rFonts w:asciiTheme="majorHAnsi" w:hAnsiTheme="majorHAnsi" w:cstheme="majorHAnsi"/>
                <w:sz w:val="21"/>
                <w:szCs w:val="21"/>
              </w:rPr>
            </w:pPr>
            <w:r w:rsidRPr="000B5389">
              <w:rPr>
                <w:rFonts w:asciiTheme="majorHAnsi" w:hAnsiTheme="majorHAnsi" w:cstheme="majorHAnsi"/>
                <w:sz w:val="21"/>
                <w:szCs w:val="21"/>
              </w:rPr>
              <w:t xml:space="preserve">Highest </w:t>
            </w:r>
            <w:r>
              <w:rPr>
                <w:rFonts w:asciiTheme="majorHAnsi" w:hAnsiTheme="majorHAnsi" w:cstheme="majorHAnsi"/>
                <w:sz w:val="21"/>
                <w:szCs w:val="21"/>
              </w:rPr>
              <w:t>l</w:t>
            </w:r>
            <w:r w:rsidRPr="000B5389">
              <w:rPr>
                <w:rFonts w:asciiTheme="majorHAnsi" w:hAnsiTheme="majorHAnsi" w:cstheme="majorHAnsi"/>
                <w:sz w:val="21"/>
                <w:szCs w:val="21"/>
              </w:rPr>
              <w:t xml:space="preserve">evel of </w:t>
            </w:r>
            <w:r>
              <w:rPr>
                <w:rFonts w:asciiTheme="majorHAnsi" w:hAnsiTheme="majorHAnsi" w:cstheme="majorHAnsi"/>
                <w:sz w:val="21"/>
                <w:szCs w:val="21"/>
              </w:rPr>
              <w:t>e</w:t>
            </w:r>
            <w:r w:rsidRPr="000B5389">
              <w:rPr>
                <w:rFonts w:asciiTheme="majorHAnsi" w:hAnsiTheme="majorHAnsi" w:cstheme="majorHAnsi"/>
                <w:sz w:val="21"/>
                <w:szCs w:val="21"/>
              </w:rPr>
              <w:t>ducation</w:t>
            </w:r>
            <w:r>
              <w:rPr>
                <w:rFonts w:asciiTheme="majorHAnsi" w:hAnsiTheme="majorHAnsi" w:cstheme="majorHAnsi"/>
                <w:sz w:val="21"/>
                <w:szCs w:val="21"/>
              </w:rPr>
              <w:t>:</w:t>
            </w:r>
            <w:r w:rsidRPr="000B5389">
              <w:rPr>
                <w:rFonts w:asciiTheme="majorHAnsi" w:hAnsiTheme="majorHAnsi" w:cstheme="majorHAnsi"/>
                <w:sz w:val="21"/>
                <w:szCs w:val="21"/>
              </w:rPr>
              <w:br/>
            </w:r>
            <w:proofErr w:type="gramStart"/>
            <w:r w:rsidRPr="000B5389">
              <w:rPr>
                <w:rFonts w:asciiTheme="majorHAnsi" w:hAnsiTheme="majorHAnsi" w:cstheme="majorHAnsi"/>
                <w:sz w:val="21"/>
                <w:szCs w:val="21"/>
              </w:rPr>
              <w:t>Bachelor</w:t>
            </w:r>
            <w:proofErr w:type="gramEnd"/>
            <w:r w:rsidRPr="000B5389">
              <w:rPr>
                <w:rFonts w:asciiTheme="majorHAnsi" w:hAnsiTheme="majorHAnsi" w:cstheme="majorHAnsi"/>
                <w:sz w:val="21"/>
                <w:szCs w:val="21"/>
              </w:rPr>
              <w:t xml:space="preserve"> </w:t>
            </w:r>
            <w:r>
              <w:rPr>
                <w:rFonts w:asciiTheme="majorHAnsi" w:hAnsiTheme="majorHAnsi" w:cstheme="majorHAnsi"/>
                <w:sz w:val="21"/>
                <w:szCs w:val="21"/>
              </w:rPr>
              <w:t xml:space="preserve">degree </w:t>
            </w:r>
            <w:r w:rsidRPr="000B5389">
              <w:rPr>
                <w:rFonts w:asciiTheme="majorHAnsi" w:hAnsiTheme="majorHAnsi" w:cstheme="majorHAnsi"/>
                <w:sz w:val="21"/>
                <w:szCs w:val="21"/>
              </w:rPr>
              <w:t xml:space="preserve">or </w:t>
            </w:r>
            <w:r>
              <w:rPr>
                <w:rFonts w:asciiTheme="majorHAnsi" w:hAnsiTheme="majorHAnsi" w:cstheme="majorHAnsi"/>
                <w:sz w:val="21"/>
                <w:szCs w:val="21"/>
              </w:rPr>
              <w:t>a</w:t>
            </w:r>
            <w:r w:rsidRPr="000B5389">
              <w:rPr>
                <w:rFonts w:asciiTheme="majorHAnsi" w:hAnsiTheme="majorHAnsi" w:cstheme="majorHAnsi"/>
                <w:sz w:val="21"/>
                <w:szCs w:val="21"/>
              </w:rPr>
              <w:t>bove</w:t>
            </w:r>
          </w:p>
        </w:tc>
        <w:tc>
          <w:tcPr>
            <w:tcW w:w="1435" w:type="dxa"/>
            <w:vAlign w:val="center"/>
          </w:tcPr>
          <w:p w14:paraId="6DB703F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5.5</w:t>
            </w:r>
          </w:p>
        </w:tc>
        <w:tc>
          <w:tcPr>
            <w:tcW w:w="1464" w:type="dxa"/>
            <w:vAlign w:val="center"/>
          </w:tcPr>
          <w:p w14:paraId="211F0D6B"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4.7</w:t>
            </w:r>
          </w:p>
        </w:tc>
        <w:tc>
          <w:tcPr>
            <w:tcW w:w="1497" w:type="dxa"/>
            <w:vAlign w:val="center"/>
          </w:tcPr>
          <w:p w14:paraId="3F5285D5"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6.3</w:t>
            </w:r>
          </w:p>
        </w:tc>
        <w:tc>
          <w:tcPr>
            <w:tcW w:w="1463" w:type="dxa"/>
            <w:vAlign w:val="center"/>
          </w:tcPr>
          <w:p w14:paraId="5BE50C8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18.7</w:t>
            </w:r>
          </w:p>
        </w:tc>
      </w:tr>
      <w:tr w:rsidR="004C54D0" w:rsidRPr="000B5389" w14:paraId="56B024EC" w14:textId="77777777" w:rsidTr="004C54D0">
        <w:trPr>
          <w:trHeight w:val="356"/>
        </w:trPr>
        <w:tc>
          <w:tcPr>
            <w:tcW w:w="3157" w:type="dxa"/>
            <w:vAlign w:val="center"/>
          </w:tcPr>
          <w:p w14:paraId="3866FAF3"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Cert III</w:t>
            </w:r>
          </w:p>
        </w:tc>
        <w:tc>
          <w:tcPr>
            <w:tcW w:w="1435" w:type="dxa"/>
            <w:vAlign w:val="center"/>
          </w:tcPr>
          <w:p w14:paraId="61B60089"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13.9</w:t>
            </w:r>
          </w:p>
        </w:tc>
        <w:tc>
          <w:tcPr>
            <w:tcW w:w="1464" w:type="dxa"/>
            <w:vAlign w:val="center"/>
          </w:tcPr>
          <w:p w14:paraId="1E3F73D2"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12.3</w:t>
            </w:r>
          </w:p>
        </w:tc>
        <w:tc>
          <w:tcPr>
            <w:tcW w:w="1497" w:type="dxa"/>
            <w:vAlign w:val="center"/>
          </w:tcPr>
          <w:p w14:paraId="034AEFEC"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13.9</w:t>
            </w:r>
          </w:p>
        </w:tc>
        <w:tc>
          <w:tcPr>
            <w:tcW w:w="1463" w:type="dxa"/>
            <w:vAlign w:val="center"/>
          </w:tcPr>
          <w:p w14:paraId="6CE2DFC9"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14.3</w:t>
            </w:r>
          </w:p>
        </w:tc>
      </w:tr>
      <w:tr w:rsidR="004C54D0" w:rsidRPr="000B5389" w14:paraId="13FEF1A7" w14:textId="77777777" w:rsidTr="004C54D0">
        <w:trPr>
          <w:trHeight w:val="356"/>
        </w:trPr>
        <w:tc>
          <w:tcPr>
            <w:tcW w:w="3157" w:type="dxa"/>
            <w:vAlign w:val="center"/>
          </w:tcPr>
          <w:p w14:paraId="3E8548BA"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Year 9 or </w:t>
            </w:r>
            <w:r>
              <w:rPr>
                <w:rFonts w:asciiTheme="majorHAnsi" w:hAnsiTheme="majorHAnsi" w:cstheme="majorHAnsi"/>
                <w:sz w:val="21"/>
                <w:szCs w:val="21"/>
              </w:rPr>
              <w:t>b</w:t>
            </w:r>
            <w:r w:rsidRPr="000B5389">
              <w:rPr>
                <w:rFonts w:asciiTheme="majorHAnsi" w:hAnsiTheme="majorHAnsi" w:cstheme="majorHAnsi"/>
                <w:sz w:val="21"/>
                <w:szCs w:val="21"/>
              </w:rPr>
              <w:t>elow</w:t>
            </w:r>
          </w:p>
        </w:tc>
        <w:tc>
          <w:tcPr>
            <w:tcW w:w="1435" w:type="dxa"/>
            <w:vAlign w:val="center"/>
          </w:tcPr>
          <w:p w14:paraId="1A43DCF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16.5</w:t>
            </w:r>
          </w:p>
        </w:tc>
        <w:tc>
          <w:tcPr>
            <w:tcW w:w="1464" w:type="dxa"/>
            <w:vAlign w:val="center"/>
          </w:tcPr>
          <w:p w14:paraId="3881B27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19.5</w:t>
            </w:r>
          </w:p>
        </w:tc>
        <w:tc>
          <w:tcPr>
            <w:tcW w:w="1497" w:type="dxa"/>
            <w:vAlign w:val="center"/>
          </w:tcPr>
          <w:p w14:paraId="62A7A5C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18.2</w:t>
            </w:r>
          </w:p>
        </w:tc>
        <w:tc>
          <w:tcPr>
            <w:tcW w:w="1463" w:type="dxa"/>
            <w:vAlign w:val="center"/>
          </w:tcPr>
          <w:p w14:paraId="548F2EB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10.0</w:t>
            </w:r>
          </w:p>
        </w:tc>
      </w:tr>
      <w:tr w:rsidR="004C54D0" w:rsidRPr="000B5389" w14:paraId="6DF3E68A" w14:textId="77777777" w:rsidTr="004C54D0">
        <w:trPr>
          <w:trHeight w:val="356"/>
        </w:trPr>
        <w:tc>
          <w:tcPr>
            <w:tcW w:w="3157" w:type="dxa"/>
            <w:vAlign w:val="center"/>
          </w:tcPr>
          <w:p w14:paraId="368953BC" w14:textId="77777777" w:rsidR="004C54D0" w:rsidRPr="000B5389" w:rsidRDefault="004C54D0" w:rsidP="00EA6395">
            <w:pPr>
              <w:spacing w:line="276" w:lineRule="auto"/>
              <w:rPr>
                <w:rFonts w:asciiTheme="majorHAnsi" w:hAnsiTheme="majorHAnsi" w:cstheme="majorHAnsi"/>
                <w:sz w:val="21"/>
                <w:szCs w:val="21"/>
              </w:rPr>
            </w:pPr>
            <w:r>
              <w:rPr>
                <w:rFonts w:asciiTheme="majorHAnsi" w:hAnsiTheme="majorHAnsi" w:cstheme="majorHAnsi"/>
                <w:sz w:val="21"/>
                <w:szCs w:val="21"/>
              </w:rPr>
              <w:t xml:space="preserve">Occupation: </w:t>
            </w:r>
            <w:r w:rsidRPr="000B5389">
              <w:rPr>
                <w:rFonts w:asciiTheme="majorHAnsi" w:hAnsiTheme="majorHAnsi" w:cstheme="majorHAnsi"/>
                <w:sz w:val="21"/>
                <w:szCs w:val="21"/>
              </w:rPr>
              <w:t>Unemployed</w:t>
            </w:r>
          </w:p>
        </w:tc>
        <w:tc>
          <w:tcPr>
            <w:tcW w:w="1435" w:type="dxa"/>
            <w:vAlign w:val="center"/>
          </w:tcPr>
          <w:p w14:paraId="4D5E126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12.5</w:t>
            </w:r>
          </w:p>
        </w:tc>
        <w:tc>
          <w:tcPr>
            <w:tcW w:w="1464" w:type="dxa"/>
            <w:vAlign w:val="center"/>
          </w:tcPr>
          <w:p w14:paraId="2CF4378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17.9</w:t>
            </w:r>
          </w:p>
        </w:tc>
        <w:tc>
          <w:tcPr>
            <w:tcW w:w="1497" w:type="dxa"/>
            <w:vAlign w:val="center"/>
          </w:tcPr>
          <w:p w14:paraId="3004296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10.6</w:t>
            </w:r>
          </w:p>
        </w:tc>
        <w:tc>
          <w:tcPr>
            <w:tcW w:w="1463" w:type="dxa"/>
            <w:vAlign w:val="center"/>
          </w:tcPr>
          <w:p w14:paraId="2AB49CE6"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6.4</w:t>
            </w:r>
          </w:p>
        </w:tc>
      </w:tr>
      <w:tr w:rsidR="004C54D0" w:rsidRPr="000B5389" w14:paraId="2AE9BF85" w14:textId="77777777" w:rsidTr="004C54D0">
        <w:trPr>
          <w:trHeight w:val="356"/>
        </w:trPr>
        <w:tc>
          <w:tcPr>
            <w:tcW w:w="3157" w:type="dxa"/>
            <w:vAlign w:val="center"/>
          </w:tcPr>
          <w:p w14:paraId="40E024CF"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Labourers</w:t>
            </w:r>
          </w:p>
        </w:tc>
        <w:tc>
          <w:tcPr>
            <w:tcW w:w="1435" w:type="dxa"/>
            <w:vAlign w:val="center"/>
          </w:tcPr>
          <w:p w14:paraId="71F0E998"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22.4</w:t>
            </w:r>
          </w:p>
        </w:tc>
        <w:tc>
          <w:tcPr>
            <w:tcW w:w="1464" w:type="dxa"/>
            <w:vAlign w:val="center"/>
          </w:tcPr>
          <w:p w14:paraId="423E689A"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21.8</w:t>
            </w:r>
          </w:p>
        </w:tc>
        <w:tc>
          <w:tcPr>
            <w:tcW w:w="1497" w:type="dxa"/>
            <w:vAlign w:val="center"/>
          </w:tcPr>
          <w:p w14:paraId="6F3FA38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20.1</w:t>
            </w:r>
          </w:p>
        </w:tc>
        <w:tc>
          <w:tcPr>
            <w:tcW w:w="1463" w:type="dxa"/>
            <w:vAlign w:val="center"/>
          </w:tcPr>
          <w:p w14:paraId="7770513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10.3</w:t>
            </w:r>
          </w:p>
        </w:tc>
      </w:tr>
      <w:tr w:rsidR="004C54D0" w:rsidRPr="000B5389" w14:paraId="36636C61" w14:textId="77777777" w:rsidTr="004C54D0">
        <w:trPr>
          <w:trHeight w:val="356"/>
        </w:trPr>
        <w:tc>
          <w:tcPr>
            <w:tcW w:w="3157" w:type="dxa"/>
            <w:vAlign w:val="center"/>
          </w:tcPr>
          <w:p w14:paraId="64651EDE"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Technicians and </w:t>
            </w:r>
            <w:r>
              <w:rPr>
                <w:rFonts w:asciiTheme="majorHAnsi" w:hAnsiTheme="majorHAnsi" w:cstheme="majorHAnsi"/>
                <w:sz w:val="21"/>
                <w:szCs w:val="21"/>
              </w:rPr>
              <w:t>t</w:t>
            </w:r>
            <w:r w:rsidRPr="000B5389">
              <w:rPr>
                <w:rFonts w:asciiTheme="majorHAnsi" w:hAnsiTheme="majorHAnsi" w:cstheme="majorHAnsi"/>
                <w:sz w:val="21"/>
                <w:szCs w:val="21"/>
              </w:rPr>
              <w:t>rades</w:t>
            </w:r>
          </w:p>
        </w:tc>
        <w:tc>
          <w:tcPr>
            <w:tcW w:w="1435" w:type="dxa"/>
            <w:vAlign w:val="center"/>
          </w:tcPr>
          <w:p w14:paraId="165E046A"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14.6</w:t>
            </w:r>
          </w:p>
        </w:tc>
        <w:tc>
          <w:tcPr>
            <w:tcW w:w="1464" w:type="dxa"/>
            <w:vAlign w:val="center"/>
          </w:tcPr>
          <w:p w14:paraId="2FDC2136"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15.9</w:t>
            </w:r>
          </w:p>
        </w:tc>
        <w:tc>
          <w:tcPr>
            <w:tcW w:w="1497" w:type="dxa"/>
            <w:vAlign w:val="center"/>
          </w:tcPr>
          <w:p w14:paraId="2AF2F22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16.6</w:t>
            </w:r>
          </w:p>
        </w:tc>
        <w:tc>
          <w:tcPr>
            <w:tcW w:w="1463" w:type="dxa"/>
            <w:vAlign w:val="center"/>
          </w:tcPr>
          <w:p w14:paraId="453FA9D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15.0</w:t>
            </w:r>
          </w:p>
        </w:tc>
      </w:tr>
      <w:tr w:rsidR="004C54D0" w:rsidRPr="000B5389" w14:paraId="257A702D" w14:textId="77777777" w:rsidTr="004C54D0">
        <w:trPr>
          <w:trHeight w:val="356"/>
        </w:trPr>
        <w:tc>
          <w:tcPr>
            <w:tcW w:w="3157" w:type="dxa"/>
            <w:vAlign w:val="center"/>
          </w:tcPr>
          <w:p w14:paraId="1F41A5D3"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Comm</w:t>
            </w:r>
            <w:r>
              <w:rPr>
                <w:rFonts w:asciiTheme="majorHAnsi" w:hAnsiTheme="majorHAnsi" w:cstheme="majorHAnsi"/>
                <w:sz w:val="21"/>
                <w:szCs w:val="21"/>
              </w:rPr>
              <w:t>unity and</w:t>
            </w:r>
            <w:r w:rsidRPr="000B5389">
              <w:rPr>
                <w:rFonts w:asciiTheme="majorHAnsi" w:hAnsiTheme="majorHAnsi" w:cstheme="majorHAnsi"/>
                <w:sz w:val="21"/>
                <w:szCs w:val="21"/>
              </w:rPr>
              <w:t xml:space="preserve"> </w:t>
            </w:r>
            <w:r>
              <w:rPr>
                <w:rFonts w:asciiTheme="majorHAnsi" w:hAnsiTheme="majorHAnsi" w:cstheme="majorHAnsi"/>
                <w:sz w:val="21"/>
                <w:szCs w:val="21"/>
              </w:rPr>
              <w:t>p</w:t>
            </w:r>
            <w:r w:rsidRPr="000B5389">
              <w:rPr>
                <w:rFonts w:asciiTheme="majorHAnsi" w:hAnsiTheme="majorHAnsi" w:cstheme="majorHAnsi"/>
                <w:sz w:val="21"/>
                <w:szCs w:val="21"/>
              </w:rPr>
              <w:t xml:space="preserve">ersonal </w:t>
            </w:r>
            <w:r>
              <w:rPr>
                <w:rFonts w:asciiTheme="majorHAnsi" w:hAnsiTheme="majorHAnsi" w:cstheme="majorHAnsi"/>
                <w:sz w:val="21"/>
                <w:szCs w:val="21"/>
              </w:rPr>
              <w:t>s</w:t>
            </w:r>
            <w:r w:rsidRPr="000B5389">
              <w:rPr>
                <w:rFonts w:asciiTheme="majorHAnsi" w:hAnsiTheme="majorHAnsi" w:cstheme="majorHAnsi"/>
                <w:sz w:val="21"/>
                <w:szCs w:val="21"/>
              </w:rPr>
              <w:t>ervice</w:t>
            </w:r>
            <w:r>
              <w:rPr>
                <w:rFonts w:asciiTheme="majorHAnsi" w:hAnsiTheme="majorHAnsi" w:cstheme="majorHAnsi"/>
                <w:sz w:val="21"/>
                <w:szCs w:val="21"/>
              </w:rPr>
              <w:t>s</w:t>
            </w:r>
          </w:p>
        </w:tc>
        <w:tc>
          <w:tcPr>
            <w:tcW w:w="1435" w:type="dxa"/>
            <w:vAlign w:val="center"/>
          </w:tcPr>
          <w:p w14:paraId="3483484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14.1</w:t>
            </w:r>
          </w:p>
        </w:tc>
        <w:tc>
          <w:tcPr>
            <w:tcW w:w="1464" w:type="dxa"/>
            <w:vAlign w:val="center"/>
          </w:tcPr>
          <w:p w14:paraId="2B7971B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15.4</w:t>
            </w:r>
          </w:p>
        </w:tc>
        <w:tc>
          <w:tcPr>
            <w:tcW w:w="1497" w:type="dxa"/>
            <w:vAlign w:val="center"/>
          </w:tcPr>
          <w:p w14:paraId="6D0D293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16.5</w:t>
            </w:r>
          </w:p>
        </w:tc>
        <w:tc>
          <w:tcPr>
            <w:tcW w:w="1463" w:type="dxa"/>
            <w:vAlign w:val="center"/>
          </w:tcPr>
          <w:p w14:paraId="2CF3F13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12.9</w:t>
            </w:r>
          </w:p>
        </w:tc>
      </w:tr>
      <w:tr w:rsidR="004C54D0" w:rsidRPr="000B5389" w14:paraId="7DB5E3F2" w14:textId="77777777" w:rsidTr="004C54D0">
        <w:trPr>
          <w:trHeight w:val="356"/>
        </w:trPr>
        <w:tc>
          <w:tcPr>
            <w:tcW w:w="3157" w:type="dxa"/>
            <w:vAlign w:val="center"/>
          </w:tcPr>
          <w:p w14:paraId="652E3EF8"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Machinery </w:t>
            </w:r>
            <w:r>
              <w:rPr>
                <w:rFonts w:asciiTheme="majorHAnsi" w:hAnsiTheme="majorHAnsi" w:cstheme="majorHAnsi"/>
                <w:sz w:val="21"/>
                <w:szCs w:val="21"/>
              </w:rPr>
              <w:t>o</w:t>
            </w:r>
            <w:r w:rsidRPr="000B5389">
              <w:rPr>
                <w:rFonts w:asciiTheme="majorHAnsi" w:hAnsiTheme="majorHAnsi" w:cstheme="majorHAnsi"/>
                <w:sz w:val="21"/>
                <w:szCs w:val="21"/>
              </w:rPr>
              <w:t>perators</w:t>
            </w:r>
            <w:r>
              <w:rPr>
                <w:rFonts w:asciiTheme="majorHAnsi" w:hAnsiTheme="majorHAnsi" w:cstheme="majorHAnsi"/>
                <w:sz w:val="21"/>
                <w:szCs w:val="21"/>
              </w:rPr>
              <w:t xml:space="preserve"> and d</w:t>
            </w:r>
            <w:r w:rsidRPr="000B5389">
              <w:rPr>
                <w:rFonts w:asciiTheme="majorHAnsi" w:hAnsiTheme="majorHAnsi" w:cstheme="majorHAnsi"/>
                <w:sz w:val="21"/>
                <w:szCs w:val="21"/>
              </w:rPr>
              <w:t>rivers</w:t>
            </w:r>
          </w:p>
        </w:tc>
        <w:tc>
          <w:tcPr>
            <w:tcW w:w="1435" w:type="dxa"/>
            <w:vAlign w:val="center"/>
          </w:tcPr>
          <w:p w14:paraId="3A329B0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13.6</w:t>
            </w:r>
          </w:p>
        </w:tc>
        <w:tc>
          <w:tcPr>
            <w:tcW w:w="1464" w:type="dxa"/>
            <w:vAlign w:val="center"/>
          </w:tcPr>
          <w:p w14:paraId="4271CA0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12.4</w:t>
            </w:r>
          </w:p>
        </w:tc>
        <w:tc>
          <w:tcPr>
            <w:tcW w:w="1497" w:type="dxa"/>
            <w:vAlign w:val="center"/>
          </w:tcPr>
          <w:p w14:paraId="225F9B99"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10.8</w:t>
            </w:r>
          </w:p>
        </w:tc>
        <w:tc>
          <w:tcPr>
            <w:tcW w:w="1463" w:type="dxa"/>
            <w:vAlign w:val="center"/>
          </w:tcPr>
          <w:p w14:paraId="48E1138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6.0</w:t>
            </w:r>
          </w:p>
        </w:tc>
      </w:tr>
      <w:tr w:rsidR="004C54D0" w:rsidRPr="000B5389" w14:paraId="6A30AF00" w14:textId="77777777" w:rsidTr="004C54D0">
        <w:trPr>
          <w:trHeight w:val="356"/>
        </w:trPr>
        <w:tc>
          <w:tcPr>
            <w:tcW w:w="3157" w:type="dxa"/>
            <w:vAlign w:val="center"/>
          </w:tcPr>
          <w:p w14:paraId="45F6C1EF"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Professionals</w:t>
            </w:r>
          </w:p>
        </w:tc>
        <w:tc>
          <w:tcPr>
            <w:tcW w:w="1435" w:type="dxa"/>
            <w:vAlign w:val="center"/>
          </w:tcPr>
          <w:p w14:paraId="267AD3F4"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7.6</w:t>
            </w:r>
          </w:p>
        </w:tc>
        <w:tc>
          <w:tcPr>
            <w:tcW w:w="1464" w:type="dxa"/>
            <w:vAlign w:val="center"/>
          </w:tcPr>
          <w:p w14:paraId="51220138"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7.3</w:t>
            </w:r>
          </w:p>
        </w:tc>
        <w:tc>
          <w:tcPr>
            <w:tcW w:w="1497" w:type="dxa"/>
            <w:vAlign w:val="center"/>
          </w:tcPr>
          <w:p w14:paraId="2095A96C"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7.8</w:t>
            </w:r>
          </w:p>
        </w:tc>
        <w:tc>
          <w:tcPr>
            <w:tcW w:w="1463" w:type="dxa"/>
            <w:vAlign w:val="center"/>
          </w:tcPr>
          <w:p w14:paraId="2891532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20.8</w:t>
            </w:r>
          </w:p>
        </w:tc>
      </w:tr>
      <w:tr w:rsidR="004C54D0" w:rsidRPr="000B5389" w14:paraId="605A9292" w14:textId="77777777" w:rsidTr="004C54D0">
        <w:trPr>
          <w:trHeight w:val="356"/>
        </w:trPr>
        <w:tc>
          <w:tcPr>
            <w:tcW w:w="3157" w:type="dxa"/>
            <w:vAlign w:val="center"/>
          </w:tcPr>
          <w:p w14:paraId="68B6820B"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Managers</w:t>
            </w:r>
          </w:p>
        </w:tc>
        <w:tc>
          <w:tcPr>
            <w:tcW w:w="1435" w:type="dxa"/>
            <w:vAlign w:val="center"/>
          </w:tcPr>
          <w:p w14:paraId="3CA7C12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5.2</w:t>
            </w:r>
          </w:p>
        </w:tc>
        <w:tc>
          <w:tcPr>
            <w:tcW w:w="1464" w:type="dxa"/>
            <w:vAlign w:val="center"/>
          </w:tcPr>
          <w:p w14:paraId="0AAACBB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5.2</w:t>
            </w:r>
          </w:p>
        </w:tc>
        <w:tc>
          <w:tcPr>
            <w:tcW w:w="1497" w:type="dxa"/>
            <w:vAlign w:val="center"/>
          </w:tcPr>
          <w:p w14:paraId="5556FD2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4.8</w:t>
            </w:r>
          </w:p>
        </w:tc>
        <w:tc>
          <w:tcPr>
            <w:tcW w:w="1463" w:type="dxa"/>
            <w:vAlign w:val="center"/>
          </w:tcPr>
          <w:p w14:paraId="053BC0A8"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10.7</w:t>
            </w:r>
          </w:p>
        </w:tc>
      </w:tr>
      <w:tr w:rsidR="004C54D0" w:rsidRPr="000B5389" w14:paraId="458CCF4A" w14:textId="77777777" w:rsidTr="004C54D0">
        <w:trPr>
          <w:trHeight w:val="597"/>
        </w:trPr>
        <w:tc>
          <w:tcPr>
            <w:tcW w:w="3157" w:type="dxa"/>
            <w:vAlign w:val="center"/>
          </w:tcPr>
          <w:p w14:paraId="0DB5C4F5" w14:textId="77777777" w:rsidR="004C54D0" w:rsidRPr="000B5389" w:rsidRDefault="004C54D0" w:rsidP="00EA6395">
            <w:pPr>
              <w:rPr>
                <w:rFonts w:asciiTheme="majorHAnsi" w:hAnsiTheme="majorHAnsi" w:cstheme="majorHAnsi"/>
                <w:sz w:val="21"/>
                <w:szCs w:val="21"/>
              </w:rPr>
            </w:pPr>
            <w:r w:rsidRPr="000B5389">
              <w:rPr>
                <w:rFonts w:asciiTheme="majorHAnsi" w:hAnsiTheme="majorHAnsi" w:cstheme="majorHAnsi"/>
                <w:sz w:val="21"/>
                <w:szCs w:val="21"/>
              </w:rPr>
              <w:t>Provide unpaid assistance to a person with a disability (%)</w:t>
            </w:r>
          </w:p>
        </w:tc>
        <w:tc>
          <w:tcPr>
            <w:tcW w:w="1435" w:type="dxa"/>
            <w:vAlign w:val="center"/>
          </w:tcPr>
          <w:p w14:paraId="11519D49"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12.8</w:t>
            </w:r>
          </w:p>
        </w:tc>
        <w:tc>
          <w:tcPr>
            <w:tcW w:w="1464" w:type="dxa"/>
            <w:vAlign w:val="center"/>
          </w:tcPr>
          <w:p w14:paraId="030BA86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10.9</w:t>
            </w:r>
          </w:p>
        </w:tc>
        <w:tc>
          <w:tcPr>
            <w:tcW w:w="1497" w:type="dxa"/>
            <w:vAlign w:val="center"/>
          </w:tcPr>
          <w:p w14:paraId="71492C32"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13.6</w:t>
            </w:r>
          </w:p>
        </w:tc>
        <w:tc>
          <w:tcPr>
            <w:tcW w:w="1463" w:type="dxa"/>
            <w:vAlign w:val="center"/>
          </w:tcPr>
          <w:p w14:paraId="1F3168C3"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12.5</w:t>
            </w:r>
          </w:p>
        </w:tc>
      </w:tr>
      <w:tr w:rsidR="004C54D0" w:rsidRPr="000B5389" w14:paraId="1BC8240F" w14:textId="77777777" w:rsidTr="004C54D0">
        <w:trPr>
          <w:trHeight w:val="356"/>
        </w:trPr>
        <w:tc>
          <w:tcPr>
            <w:tcW w:w="3157" w:type="dxa"/>
            <w:vAlign w:val="center"/>
          </w:tcPr>
          <w:p w14:paraId="45F92A8A"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Housing</w:t>
            </w:r>
            <w:r>
              <w:rPr>
                <w:rFonts w:asciiTheme="majorHAnsi" w:hAnsiTheme="majorHAnsi" w:cstheme="majorHAnsi"/>
                <w:sz w:val="21"/>
                <w:szCs w:val="21"/>
              </w:rPr>
              <w:t>: O</w:t>
            </w:r>
            <w:r w:rsidRPr="000B5389">
              <w:rPr>
                <w:rFonts w:asciiTheme="majorHAnsi" w:hAnsiTheme="majorHAnsi" w:cstheme="majorHAnsi"/>
                <w:sz w:val="21"/>
                <w:szCs w:val="21"/>
              </w:rPr>
              <w:t>wned outright</w:t>
            </w:r>
          </w:p>
        </w:tc>
        <w:tc>
          <w:tcPr>
            <w:tcW w:w="1435" w:type="dxa"/>
            <w:vAlign w:val="center"/>
          </w:tcPr>
          <w:p w14:paraId="02E1D61D"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27.2</w:t>
            </w:r>
          </w:p>
        </w:tc>
        <w:tc>
          <w:tcPr>
            <w:tcW w:w="1464" w:type="dxa"/>
            <w:vAlign w:val="center"/>
          </w:tcPr>
          <w:p w14:paraId="2CDFD22E"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22.9</w:t>
            </w:r>
          </w:p>
        </w:tc>
        <w:tc>
          <w:tcPr>
            <w:tcW w:w="1497" w:type="dxa"/>
            <w:vAlign w:val="center"/>
          </w:tcPr>
          <w:p w14:paraId="218EF8AB"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27.9</w:t>
            </w:r>
          </w:p>
        </w:tc>
        <w:tc>
          <w:tcPr>
            <w:tcW w:w="1463" w:type="dxa"/>
            <w:vAlign w:val="center"/>
          </w:tcPr>
          <w:p w14:paraId="04E68D52"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33.2</w:t>
            </w:r>
          </w:p>
        </w:tc>
      </w:tr>
      <w:tr w:rsidR="004C54D0" w:rsidRPr="000B5389" w14:paraId="1B192F5B" w14:textId="77777777" w:rsidTr="004C54D0">
        <w:trPr>
          <w:trHeight w:val="356"/>
        </w:trPr>
        <w:tc>
          <w:tcPr>
            <w:tcW w:w="3157" w:type="dxa"/>
            <w:vAlign w:val="center"/>
          </w:tcPr>
          <w:p w14:paraId="681C1FCD" w14:textId="77777777" w:rsidR="004C54D0" w:rsidRPr="000B5389" w:rsidRDefault="004C54D0" w:rsidP="00EA6395">
            <w:pPr>
              <w:spacing w:line="276" w:lineRule="auto"/>
              <w:rPr>
                <w:rFonts w:asciiTheme="majorHAnsi" w:hAnsiTheme="majorHAnsi" w:cstheme="majorBidi"/>
                <w:sz w:val="21"/>
                <w:szCs w:val="21"/>
              </w:rPr>
            </w:pPr>
            <w:r w:rsidRPr="71E34AD1">
              <w:rPr>
                <w:rFonts w:asciiTheme="majorHAnsi" w:hAnsiTheme="majorHAnsi" w:cstheme="majorBidi"/>
                <w:sz w:val="21"/>
                <w:szCs w:val="21"/>
              </w:rPr>
              <w:t>Rented - Private</w:t>
            </w:r>
          </w:p>
        </w:tc>
        <w:tc>
          <w:tcPr>
            <w:tcW w:w="1435" w:type="dxa"/>
            <w:vAlign w:val="center"/>
          </w:tcPr>
          <w:p w14:paraId="19FCD8D6"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26.1</w:t>
            </w:r>
          </w:p>
        </w:tc>
        <w:tc>
          <w:tcPr>
            <w:tcW w:w="1464" w:type="dxa"/>
            <w:vAlign w:val="center"/>
          </w:tcPr>
          <w:p w14:paraId="141749A9"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25.1</w:t>
            </w:r>
          </w:p>
        </w:tc>
        <w:tc>
          <w:tcPr>
            <w:tcW w:w="1497" w:type="dxa"/>
            <w:vAlign w:val="center"/>
          </w:tcPr>
          <w:p w14:paraId="5C71898C"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19.4</w:t>
            </w:r>
          </w:p>
        </w:tc>
        <w:tc>
          <w:tcPr>
            <w:tcW w:w="1463" w:type="dxa"/>
            <w:vAlign w:val="center"/>
          </w:tcPr>
          <w:p w14:paraId="0AB69FB2"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27.5</w:t>
            </w:r>
          </w:p>
        </w:tc>
      </w:tr>
      <w:tr w:rsidR="004C54D0" w:rsidRPr="000B5389" w14:paraId="0DBF1004" w14:textId="77777777" w:rsidTr="004C54D0">
        <w:trPr>
          <w:trHeight w:val="356"/>
        </w:trPr>
        <w:tc>
          <w:tcPr>
            <w:tcW w:w="3157" w:type="dxa"/>
            <w:vAlign w:val="center"/>
          </w:tcPr>
          <w:p w14:paraId="303A78AC" w14:textId="77777777" w:rsidR="004C54D0" w:rsidRPr="000B5389" w:rsidRDefault="004C54D0" w:rsidP="00EA6395">
            <w:pPr>
              <w:spacing w:line="276" w:lineRule="auto"/>
              <w:rPr>
                <w:rFonts w:asciiTheme="majorHAnsi" w:hAnsiTheme="majorHAnsi" w:cstheme="majorBidi"/>
                <w:sz w:val="21"/>
                <w:szCs w:val="21"/>
              </w:rPr>
            </w:pPr>
            <w:r w:rsidRPr="71E34AD1">
              <w:rPr>
                <w:rFonts w:asciiTheme="majorHAnsi" w:hAnsiTheme="majorHAnsi" w:cstheme="majorBidi"/>
                <w:sz w:val="21"/>
                <w:szCs w:val="21"/>
              </w:rPr>
              <w:t>Rental – Social housing (%)</w:t>
            </w:r>
          </w:p>
        </w:tc>
        <w:tc>
          <w:tcPr>
            <w:tcW w:w="1435" w:type="dxa"/>
            <w:vAlign w:val="center"/>
          </w:tcPr>
          <w:p w14:paraId="4E342451"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9.2</w:t>
            </w:r>
          </w:p>
        </w:tc>
        <w:tc>
          <w:tcPr>
            <w:tcW w:w="1464" w:type="dxa"/>
            <w:vAlign w:val="center"/>
          </w:tcPr>
          <w:p w14:paraId="41621C5B"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20.3</w:t>
            </w:r>
          </w:p>
        </w:tc>
        <w:tc>
          <w:tcPr>
            <w:tcW w:w="1497" w:type="dxa"/>
            <w:vAlign w:val="center"/>
          </w:tcPr>
          <w:p w14:paraId="6BE69C3B"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16.7</w:t>
            </w:r>
          </w:p>
        </w:tc>
        <w:tc>
          <w:tcPr>
            <w:tcW w:w="1463" w:type="dxa"/>
            <w:vAlign w:val="center"/>
          </w:tcPr>
          <w:p w14:paraId="09048716" w14:textId="77777777" w:rsidR="004C54D0" w:rsidRPr="000B5389" w:rsidRDefault="004C54D0" w:rsidP="00EA6395">
            <w:pPr>
              <w:spacing w:line="276" w:lineRule="auto"/>
              <w:jc w:val="center"/>
              <w:rPr>
                <w:rFonts w:asciiTheme="majorHAnsi" w:hAnsiTheme="majorHAnsi" w:cstheme="majorBidi"/>
                <w:sz w:val="21"/>
                <w:szCs w:val="21"/>
              </w:rPr>
            </w:pPr>
            <w:r w:rsidRPr="71E34AD1">
              <w:rPr>
                <w:rFonts w:asciiTheme="majorHAnsi" w:hAnsiTheme="majorHAnsi" w:cstheme="majorBidi"/>
                <w:sz w:val="21"/>
                <w:szCs w:val="21"/>
              </w:rPr>
              <w:t>3.6</w:t>
            </w:r>
          </w:p>
        </w:tc>
      </w:tr>
      <w:tr w:rsidR="004C54D0" w:rsidRPr="000B5389" w14:paraId="63A069AC" w14:textId="77777777" w:rsidTr="004C54D0">
        <w:trPr>
          <w:trHeight w:val="641"/>
        </w:trPr>
        <w:tc>
          <w:tcPr>
            <w:tcW w:w="3157" w:type="dxa"/>
            <w:vAlign w:val="center"/>
          </w:tcPr>
          <w:p w14:paraId="75D625B1"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Households whose rent payments are more than 30% of income</w:t>
            </w:r>
          </w:p>
        </w:tc>
        <w:tc>
          <w:tcPr>
            <w:tcW w:w="1435" w:type="dxa"/>
            <w:vAlign w:val="center"/>
          </w:tcPr>
          <w:p w14:paraId="3370F90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15.5</w:t>
            </w:r>
          </w:p>
        </w:tc>
        <w:tc>
          <w:tcPr>
            <w:tcW w:w="1464" w:type="dxa"/>
            <w:vAlign w:val="center"/>
          </w:tcPr>
          <w:p w14:paraId="100D5F0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21.9</w:t>
            </w:r>
          </w:p>
        </w:tc>
        <w:tc>
          <w:tcPr>
            <w:tcW w:w="1497" w:type="dxa"/>
            <w:vAlign w:val="center"/>
          </w:tcPr>
          <w:p w14:paraId="6C0343D7"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18.3</w:t>
            </w:r>
          </w:p>
        </w:tc>
        <w:tc>
          <w:tcPr>
            <w:tcW w:w="1463" w:type="dxa"/>
            <w:vAlign w:val="center"/>
          </w:tcPr>
          <w:p w14:paraId="544E871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10.7</w:t>
            </w:r>
          </w:p>
        </w:tc>
      </w:tr>
      <w:tr w:rsidR="004C54D0" w:rsidRPr="000B5389" w14:paraId="0B73C281" w14:textId="77777777" w:rsidTr="004C54D0">
        <w:trPr>
          <w:trHeight w:val="356"/>
        </w:trPr>
        <w:tc>
          <w:tcPr>
            <w:tcW w:w="3157" w:type="dxa"/>
            <w:vAlign w:val="center"/>
          </w:tcPr>
          <w:p w14:paraId="1C02C4CD"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Households with no vehicle</w:t>
            </w:r>
          </w:p>
        </w:tc>
        <w:tc>
          <w:tcPr>
            <w:tcW w:w="1435" w:type="dxa"/>
            <w:vAlign w:val="center"/>
          </w:tcPr>
          <w:p w14:paraId="3144B3BB"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10</w:t>
            </w:r>
          </w:p>
        </w:tc>
        <w:tc>
          <w:tcPr>
            <w:tcW w:w="1464" w:type="dxa"/>
            <w:vAlign w:val="center"/>
          </w:tcPr>
          <w:p w14:paraId="33AFDCCF"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18</w:t>
            </w:r>
          </w:p>
        </w:tc>
        <w:tc>
          <w:tcPr>
            <w:tcW w:w="1497" w:type="dxa"/>
            <w:vAlign w:val="center"/>
          </w:tcPr>
          <w:p w14:paraId="7CB6BCCC"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11.5</w:t>
            </w:r>
          </w:p>
        </w:tc>
        <w:tc>
          <w:tcPr>
            <w:tcW w:w="1463" w:type="dxa"/>
            <w:vAlign w:val="center"/>
          </w:tcPr>
          <w:p w14:paraId="0975E8E1"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6.2</w:t>
            </w:r>
          </w:p>
        </w:tc>
      </w:tr>
      <w:tr w:rsidR="004C54D0" w:rsidRPr="000B5389" w14:paraId="5324A867" w14:textId="77777777" w:rsidTr="004C54D0">
        <w:trPr>
          <w:trHeight w:val="439"/>
        </w:trPr>
        <w:tc>
          <w:tcPr>
            <w:tcW w:w="3157" w:type="dxa"/>
            <w:vAlign w:val="center"/>
          </w:tcPr>
          <w:p w14:paraId="72F97C44" w14:textId="77777777" w:rsidR="004C54D0" w:rsidRPr="000B5389" w:rsidRDefault="004C54D0" w:rsidP="00EA6395">
            <w:pPr>
              <w:spacing w:line="276" w:lineRule="auto"/>
              <w:rPr>
                <w:rFonts w:asciiTheme="majorHAnsi" w:hAnsiTheme="majorHAnsi" w:cstheme="majorHAnsi"/>
                <w:sz w:val="21"/>
                <w:szCs w:val="21"/>
              </w:rPr>
            </w:pPr>
            <w:r w:rsidRPr="000B5389">
              <w:rPr>
                <w:rFonts w:asciiTheme="majorHAnsi" w:hAnsiTheme="majorHAnsi" w:cstheme="majorHAnsi"/>
                <w:sz w:val="21"/>
                <w:szCs w:val="21"/>
              </w:rPr>
              <w:t xml:space="preserve">Internet </w:t>
            </w:r>
            <w:r>
              <w:rPr>
                <w:rFonts w:asciiTheme="majorHAnsi" w:hAnsiTheme="majorHAnsi" w:cstheme="majorHAnsi"/>
                <w:sz w:val="21"/>
                <w:szCs w:val="21"/>
              </w:rPr>
              <w:t>c</w:t>
            </w:r>
            <w:r w:rsidRPr="000B5389">
              <w:rPr>
                <w:rFonts w:asciiTheme="majorHAnsi" w:hAnsiTheme="majorHAnsi" w:cstheme="majorHAnsi"/>
                <w:sz w:val="21"/>
                <w:szCs w:val="21"/>
              </w:rPr>
              <w:t xml:space="preserve">onnection from </w:t>
            </w:r>
            <w:r>
              <w:rPr>
                <w:rFonts w:asciiTheme="majorHAnsi" w:hAnsiTheme="majorHAnsi" w:cstheme="majorHAnsi"/>
                <w:sz w:val="21"/>
                <w:szCs w:val="21"/>
              </w:rPr>
              <w:t>d</w:t>
            </w:r>
            <w:r w:rsidRPr="000B5389">
              <w:rPr>
                <w:rFonts w:asciiTheme="majorHAnsi" w:hAnsiTheme="majorHAnsi" w:cstheme="majorHAnsi"/>
                <w:sz w:val="21"/>
                <w:szCs w:val="21"/>
              </w:rPr>
              <w:t>welling</w:t>
            </w:r>
          </w:p>
        </w:tc>
        <w:tc>
          <w:tcPr>
            <w:tcW w:w="1435" w:type="dxa"/>
            <w:vAlign w:val="center"/>
          </w:tcPr>
          <w:p w14:paraId="68213FC0"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73.8</w:t>
            </w:r>
          </w:p>
        </w:tc>
        <w:tc>
          <w:tcPr>
            <w:tcW w:w="1464" w:type="dxa"/>
            <w:vAlign w:val="center"/>
          </w:tcPr>
          <w:p w14:paraId="5E979D1D"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60.9</w:t>
            </w:r>
          </w:p>
        </w:tc>
        <w:tc>
          <w:tcPr>
            <w:tcW w:w="1497" w:type="dxa"/>
            <w:vAlign w:val="center"/>
          </w:tcPr>
          <w:p w14:paraId="79733EBE"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69.3</w:t>
            </w:r>
          </w:p>
        </w:tc>
        <w:tc>
          <w:tcPr>
            <w:tcW w:w="1463" w:type="dxa"/>
            <w:vAlign w:val="center"/>
          </w:tcPr>
          <w:p w14:paraId="553AFDBA" w14:textId="77777777" w:rsidR="004C54D0" w:rsidRPr="000B5389" w:rsidRDefault="004C54D0" w:rsidP="00EA6395">
            <w:pPr>
              <w:spacing w:line="276" w:lineRule="auto"/>
              <w:jc w:val="center"/>
              <w:rPr>
                <w:rFonts w:asciiTheme="majorHAnsi" w:hAnsiTheme="majorHAnsi" w:cstheme="majorHAnsi"/>
                <w:sz w:val="21"/>
                <w:szCs w:val="21"/>
              </w:rPr>
            </w:pPr>
            <w:r w:rsidRPr="000B5389">
              <w:rPr>
                <w:rFonts w:asciiTheme="majorHAnsi" w:hAnsiTheme="majorHAnsi" w:cstheme="majorHAnsi"/>
                <w:sz w:val="21"/>
                <w:szCs w:val="21"/>
              </w:rPr>
              <w:t>80.9</w:t>
            </w:r>
          </w:p>
        </w:tc>
      </w:tr>
    </w:tbl>
    <w:p w14:paraId="405D5D78" w14:textId="77777777" w:rsidR="004C54D0" w:rsidRDefault="004C54D0" w:rsidP="004C54D0">
      <w:pPr>
        <w:spacing w:after="0" w:line="240" w:lineRule="auto"/>
        <w:rPr>
          <w:rFonts w:cstheme="minorHAnsi"/>
          <w:b/>
          <w:bCs/>
          <w:noProof/>
          <w:sz w:val="21"/>
          <w:szCs w:val="21"/>
        </w:rPr>
      </w:pPr>
      <w:r w:rsidRPr="006347A1">
        <w:rPr>
          <w:rFonts w:cstheme="minorHAnsi"/>
          <w:b/>
          <w:sz w:val="21"/>
          <w:szCs w:val="21"/>
        </w:rPr>
        <w:t xml:space="preserve">Table </w:t>
      </w:r>
      <w:r>
        <w:rPr>
          <w:rFonts w:cstheme="minorHAnsi"/>
          <w:b/>
          <w:sz w:val="21"/>
          <w:szCs w:val="21"/>
        </w:rPr>
        <w:t>7.1</w:t>
      </w:r>
      <w:r w:rsidRPr="006347A1">
        <w:rPr>
          <w:rFonts w:cstheme="minorHAnsi"/>
          <w:b/>
          <w:sz w:val="21"/>
          <w:szCs w:val="21"/>
        </w:rPr>
        <w:t>: Socio</w:t>
      </w:r>
      <w:r>
        <w:rPr>
          <w:rFonts w:cstheme="minorHAnsi"/>
          <w:b/>
          <w:sz w:val="21"/>
          <w:szCs w:val="21"/>
        </w:rPr>
        <w:t>e</w:t>
      </w:r>
      <w:r w:rsidRPr="006347A1">
        <w:rPr>
          <w:rFonts w:cstheme="minorHAnsi"/>
          <w:b/>
          <w:sz w:val="21"/>
          <w:szCs w:val="21"/>
        </w:rPr>
        <w:t>conomic profile: Corio, Norlane-North Shore, Whittington</w:t>
      </w:r>
      <w:r>
        <w:rPr>
          <w:rFonts w:cstheme="minorHAnsi"/>
          <w:b/>
          <w:sz w:val="21"/>
          <w:szCs w:val="21"/>
        </w:rPr>
        <w:t xml:space="preserve"> vs. </w:t>
      </w:r>
      <w:r w:rsidRPr="006347A1">
        <w:rPr>
          <w:rFonts w:cstheme="minorHAnsi"/>
          <w:b/>
          <w:sz w:val="21"/>
          <w:szCs w:val="21"/>
        </w:rPr>
        <w:t xml:space="preserve">City of Greater Geelong </w:t>
      </w:r>
      <w:r w:rsidRPr="006347A1">
        <w:rPr>
          <w:rFonts w:cstheme="minorHAnsi"/>
          <w:b/>
          <w:bCs/>
          <w:noProof/>
          <w:sz w:val="21"/>
          <w:szCs w:val="21"/>
        </w:rPr>
        <w:t xml:space="preserve">(Source: </w:t>
      </w:r>
      <w:r>
        <w:rPr>
          <w:rFonts w:cstheme="minorHAnsi"/>
          <w:b/>
          <w:bCs/>
          <w:noProof/>
          <w:sz w:val="21"/>
          <w:szCs w:val="21"/>
        </w:rPr>
        <w:t>ABS</w:t>
      </w:r>
      <w:r w:rsidRPr="006347A1">
        <w:rPr>
          <w:rFonts w:cstheme="minorHAnsi"/>
          <w:b/>
          <w:bCs/>
          <w:noProof/>
          <w:sz w:val="21"/>
          <w:szCs w:val="21"/>
        </w:rPr>
        <w:t>, 2016)</w:t>
      </w:r>
    </w:p>
    <w:p w14:paraId="58D7AD91" w14:textId="77777777" w:rsidR="004C54D0" w:rsidRPr="006347A1" w:rsidRDefault="004C54D0" w:rsidP="004C54D0">
      <w:pPr>
        <w:spacing w:after="0" w:line="240" w:lineRule="auto"/>
        <w:rPr>
          <w:rFonts w:cstheme="minorHAnsi"/>
          <w:sz w:val="16"/>
          <w:szCs w:val="16"/>
        </w:rPr>
      </w:pPr>
    </w:p>
    <w:p w14:paraId="652A7FDF" w14:textId="77777777" w:rsidR="004C54D0" w:rsidRPr="00E91887" w:rsidRDefault="004C54D0" w:rsidP="004C54D0">
      <w:pPr>
        <w:spacing w:line="276" w:lineRule="auto"/>
        <w:rPr>
          <w:rFonts w:asciiTheme="majorHAnsi" w:hAnsiTheme="majorHAnsi" w:cstheme="majorHAnsi"/>
          <w:sz w:val="23"/>
          <w:szCs w:val="23"/>
        </w:rPr>
      </w:pPr>
      <w:r>
        <w:rPr>
          <w:rFonts w:asciiTheme="majorHAnsi" w:hAnsiTheme="majorHAnsi" w:cstheme="majorHAnsi"/>
          <w:sz w:val="23"/>
          <w:szCs w:val="23"/>
        </w:rPr>
        <w:t>W</w:t>
      </w:r>
      <w:r w:rsidRPr="00E91887">
        <w:rPr>
          <w:rFonts w:asciiTheme="majorHAnsi" w:hAnsiTheme="majorHAnsi" w:cstheme="majorHAnsi"/>
          <w:sz w:val="23"/>
          <w:szCs w:val="23"/>
        </w:rPr>
        <w:t xml:space="preserve">hile quite different in their population sizes – Norlane </w:t>
      </w:r>
      <w:r>
        <w:rPr>
          <w:rFonts w:asciiTheme="majorHAnsi" w:hAnsiTheme="majorHAnsi" w:cstheme="majorHAnsi"/>
          <w:sz w:val="23"/>
          <w:szCs w:val="23"/>
        </w:rPr>
        <w:t xml:space="preserve">is </w:t>
      </w:r>
      <w:r w:rsidRPr="00E91887">
        <w:rPr>
          <w:rFonts w:asciiTheme="majorHAnsi" w:hAnsiTheme="majorHAnsi" w:cstheme="majorHAnsi"/>
          <w:sz w:val="23"/>
          <w:szCs w:val="23"/>
        </w:rPr>
        <w:t>twice the size of Whittington</w:t>
      </w:r>
      <w:r>
        <w:rPr>
          <w:rFonts w:asciiTheme="majorHAnsi" w:hAnsiTheme="majorHAnsi" w:cstheme="majorHAnsi"/>
          <w:sz w:val="23"/>
          <w:szCs w:val="23"/>
        </w:rPr>
        <w:t>,</w:t>
      </w:r>
      <w:r w:rsidRPr="00E91887">
        <w:rPr>
          <w:rFonts w:asciiTheme="majorHAnsi" w:hAnsiTheme="majorHAnsi" w:cstheme="majorHAnsi"/>
          <w:sz w:val="23"/>
          <w:szCs w:val="23"/>
        </w:rPr>
        <w:t xml:space="preserve"> and Corio</w:t>
      </w:r>
      <w:r>
        <w:rPr>
          <w:rFonts w:asciiTheme="majorHAnsi" w:hAnsiTheme="majorHAnsi" w:cstheme="majorHAnsi"/>
          <w:sz w:val="23"/>
          <w:szCs w:val="23"/>
        </w:rPr>
        <w:t xml:space="preserve"> is</w:t>
      </w:r>
      <w:r w:rsidRPr="00E91887">
        <w:rPr>
          <w:rFonts w:asciiTheme="majorHAnsi" w:hAnsiTheme="majorHAnsi" w:cstheme="majorHAnsi"/>
          <w:sz w:val="23"/>
          <w:szCs w:val="23"/>
        </w:rPr>
        <w:t xml:space="preserve"> four times the size – </w:t>
      </w:r>
      <w:r>
        <w:rPr>
          <w:rFonts w:asciiTheme="majorHAnsi" w:hAnsiTheme="majorHAnsi" w:cstheme="majorHAnsi"/>
          <w:sz w:val="23"/>
          <w:szCs w:val="23"/>
        </w:rPr>
        <w:t>in 2016 all three areas were</w:t>
      </w:r>
      <w:r w:rsidRPr="00E91887">
        <w:rPr>
          <w:rFonts w:asciiTheme="majorHAnsi" w:hAnsiTheme="majorHAnsi" w:cstheme="majorHAnsi"/>
          <w:sz w:val="23"/>
          <w:szCs w:val="23"/>
        </w:rPr>
        <w:t xml:space="preserve"> </w:t>
      </w:r>
      <w:r>
        <w:rPr>
          <w:rFonts w:asciiTheme="majorHAnsi" w:hAnsiTheme="majorHAnsi" w:cstheme="majorHAnsi"/>
          <w:sz w:val="23"/>
          <w:szCs w:val="23"/>
        </w:rPr>
        <w:t>characterised by</w:t>
      </w:r>
      <w:r w:rsidRPr="00E91887">
        <w:rPr>
          <w:rFonts w:asciiTheme="majorHAnsi" w:hAnsiTheme="majorHAnsi" w:cstheme="majorHAnsi"/>
          <w:sz w:val="23"/>
          <w:szCs w:val="23"/>
        </w:rPr>
        <w:t xml:space="preserve"> relatively low household income</w:t>
      </w:r>
      <w:r>
        <w:rPr>
          <w:rFonts w:asciiTheme="majorHAnsi" w:hAnsiTheme="majorHAnsi" w:cstheme="majorHAnsi"/>
          <w:sz w:val="23"/>
          <w:szCs w:val="23"/>
        </w:rPr>
        <w:t>s</w:t>
      </w:r>
      <w:r w:rsidRPr="00E91887">
        <w:rPr>
          <w:rFonts w:asciiTheme="majorHAnsi" w:hAnsiTheme="majorHAnsi" w:cstheme="majorHAnsi"/>
          <w:sz w:val="23"/>
          <w:szCs w:val="23"/>
        </w:rPr>
        <w:t xml:space="preserve"> (especially in Norlane-North Shore), low education levels</w:t>
      </w:r>
      <w:r>
        <w:rPr>
          <w:rFonts w:asciiTheme="majorHAnsi" w:hAnsiTheme="majorHAnsi" w:cstheme="majorHAnsi"/>
          <w:sz w:val="23"/>
          <w:szCs w:val="23"/>
        </w:rPr>
        <w:t>,</w:t>
      </w:r>
      <w:r w:rsidRPr="00E91887">
        <w:rPr>
          <w:rFonts w:asciiTheme="majorHAnsi" w:hAnsiTheme="majorHAnsi" w:cstheme="majorHAnsi"/>
          <w:sz w:val="23"/>
          <w:szCs w:val="23"/>
        </w:rPr>
        <w:t xml:space="preserve"> high unemployment</w:t>
      </w:r>
      <w:r>
        <w:rPr>
          <w:rFonts w:asciiTheme="majorHAnsi" w:hAnsiTheme="majorHAnsi" w:cstheme="majorHAnsi"/>
          <w:sz w:val="23"/>
          <w:szCs w:val="23"/>
        </w:rPr>
        <w:t>, and</w:t>
      </w:r>
      <w:r w:rsidRPr="00E91887">
        <w:rPr>
          <w:rFonts w:asciiTheme="majorHAnsi" w:hAnsiTheme="majorHAnsi" w:cstheme="majorHAnsi"/>
          <w:sz w:val="23"/>
          <w:szCs w:val="23"/>
        </w:rPr>
        <w:t xml:space="preserve"> high proportions of one</w:t>
      </w:r>
      <w:r>
        <w:rPr>
          <w:rFonts w:asciiTheme="majorHAnsi" w:hAnsiTheme="majorHAnsi" w:cstheme="majorHAnsi"/>
          <w:sz w:val="23"/>
          <w:szCs w:val="23"/>
        </w:rPr>
        <w:t>-</w:t>
      </w:r>
      <w:r w:rsidRPr="00E91887">
        <w:rPr>
          <w:rFonts w:asciiTheme="majorHAnsi" w:hAnsiTheme="majorHAnsi" w:cstheme="majorHAnsi"/>
          <w:sz w:val="23"/>
          <w:szCs w:val="23"/>
        </w:rPr>
        <w:t>parent families</w:t>
      </w:r>
      <w:r>
        <w:rPr>
          <w:rFonts w:asciiTheme="majorHAnsi" w:hAnsiTheme="majorHAnsi" w:cstheme="majorHAnsi"/>
          <w:sz w:val="23"/>
          <w:szCs w:val="23"/>
        </w:rPr>
        <w:t>.</w:t>
      </w:r>
      <w:r w:rsidRPr="00E91887">
        <w:rPr>
          <w:rFonts w:asciiTheme="majorHAnsi" w:hAnsiTheme="majorHAnsi" w:cstheme="majorHAnsi"/>
          <w:sz w:val="23"/>
          <w:szCs w:val="23"/>
        </w:rPr>
        <w:t xml:space="preserve"> </w:t>
      </w:r>
      <w:r>
        <w:rPr>
          <w:rFonts w:asciiTheme="majorHAnsi" w:hAnsiTheme="majorHAnsi" w:cstheme="majorHAnsi"/>
          <w:sz w:val="23"/>
          <w:szCs w:val="23"/>
        </w:rPr>
        <w:t>Amongst residents in</w:t>
      </w:r>
      <w:r w:rsidRPr="00E91887">
        <w:rPr>
          <w:rFonts w:asciiTheme="majorHAnsi" w:hAnsiTheme="majorHAnsi" w:cstheme="majorHAnsi"/>
          <w:sz w:val="23"/>
          <w:szCs w:val="23"/>
        </w:rPr>
        <w:t xml:space="preserve"> paid work, </w:t>
      </w:r>
      <w:r>
        <w:rPr>
          <w:rFonts w:asciiTheme="majorHAnsi" w:hAnsiTheme="majorHAnsi" w:cstheme="majorHAnsi"/>
          <w:sz w:val="23"/>
          <w:szCs w:val="23"/>
        </w:rPr>
        <w:t>there was a</w:t>
      </w:r>
      <w:r w:rsidRPr="00E91887">
        <w:rPr>
          <w:rFonts w:asciiTheme="majorHAnsi" w:hAnsiTheme="majorHAnsi" w:cstheme="majorHAnsi"/>
          <w:sz w:val="23"/>
          <w:szCs w:val="23"/>
        </w:rPr>
        <w:t xml:space="preserve"> significant proportion</w:t>
      </w:r>
      <w:r>
        <w:rPr>
          <w:rFonts w:asciiTheme="majorHAnsi" w:hAnsiTheme="majorHAnsi" w:cstheme="majorHAnsi"/>
          <w:sz w:val="23"/>
          <w:szCs w:val="23"/>
        </w:rPr>
        <w:t xml:space="preserve"> working</w:t>
      </w:r>
      <w:r w:rsidRPr="00E91887">
        <w:rPr>
          <w:rFonts w:asciiTheme="majorHAnsi" w:hAnsiTheme="majorHAnsi" w:cstheme="majorHAnsi"/>
          <w:sz w:val="23"/>
          <w:szCs w:val="23"/>
        </w:rPr>
        <w:t xml:space="preserve"> in poorly paid occupations</w:t>
      </w:r>
      <w:r>
        <w:rPr>
          <w:rFonts w:asciiTheme="majorHAnsi" w:hAnsiTheme="majorHAnsi" w:cstheme="majorHAnsi"/>
          <w:sz w:val="23"/>
          <w:szCs w:val="23"/>
        </w:rPr>
        <w:t>,</w:t>
      </w:r>
      <w:r w:rsidRPr="00E91887">
        <w:rPr>
          <w:rFonts w:asciiTheme="majorHAnsi" w:hAnsiTheme="majorHAnsi" w:cstheme="majorHAnsi"/>
          <w:sz w:val="23"/>
          <w:szCs w:val="23"/>
        </w:rPr>
        <w:t xml:space="preserve"> such as technicians, machine operators, </w:t>
      </w:r>
      <w:r>
        <w:rPr>
          <w:rFonts w:asciiTheme="majorHAnsi" w:hAnsiTheme="majorHAnsi" w:cstheme="majorHAnsi"/>
          <w:sz w:val="23"/>
          <w:szCs w:val="23"/>
        </w:rPr>
        <w:t xml:space="preserve">and </w:t>
      </w:r>
      <w:r w:rsidRPr="00E91887">
        <w:rPr>
          <w:rFonts w:asciiTheme="majorHAnsi" w:hAnsiTheme="majorHAnsi" w:cstheme="majorHAnsi"/>
          <w:sz w:val="23"/>
          <w:szCs w:val="23"/>
        </w:rPr>
        <w:t xml:space="preserve">community and personal service workers. The areas </w:t>
      </w:r>
      <w:r>
        <w:rPr>
          <w:rFonts w:asciiTheme="majorHAnsi" w:hAnsiTheme="majorHAnsi" w:cstheme="majorHAnsi"/>
          <w:sz w:val="23"/>
          <w:szCs w:val="23"/>
        </w:rPr>
        <w:t>also share</w:t>
      </w:r>
      <w:r w:rsidRPr="00E91887">
        <w:rPr>
          <w:rFonts w:asciiTheme="majorHAnsi" w:hAnsiTheme="majorHAnsi" w:cstheme="majorHAnsi"/>
          <w:sz w:val="23"/>
          <w:szCs w:val="23"/>
        </w:rPr>
        <w:t xml:space="preserve"> high levels of public housing</w:t>
      </w:r>
      <w:r>
        <w:rPr>
          <w:rFonts w:asciiTheme="majorHAnsi" w:hAnsiTheme="majorHAnsi" w:cstheme="majorHAnsi"/>
          <w:sz w:val="23"/>
          <w:szCs w:val="23"/>
        </w:rPr>
        <w:t xml:space="preserve">, </w:t>
      </w:r>
      <w:r w:rsidRPr="00E91887">
        <w:rPr>
          <w:rFonts w:asciiTheme="majorHAnsi" w:hAnsiTheme="majorHAnsi" w:cstheme="majorHAnsi"/>
          <w:sz w:val="23"/>
          <w:szCs w:val="23"/>
        </w:rPr>
        <w:t>renters</w:t>
      </w:r>
      <w:r>
        <w:rPr>
          <w:rFonts w:asciiTheme="majorHAnsi" w:hAnsiTheme="majorHAnsi" w:cstheme="majorHAnsi"/>
          <w:sz w:val="23"/>
          <w:szCs w:val="23"/>
        </w:rPr>
        <w:t xml:space="preserve">, and people in </w:t>
      </w:r>
      <w:r w:rsidRPr="00E91887">
        <w:rPr>
          <w:rFonts w:asciiTheme="majorHAnsi" w:hAnsiTheme="majorHAnsi" w:cstheme="majorHAnsi"/>
          <w:sz w:val="23"/>
          <w:szCs w:val="23"/>
        </w:rPr>
        <w:t xml:space="preserve">housing stress. </w:t>
      </w:r>
      <w:r>
        <w:rPr>
          <w:rFonts w:asciiTheme="majorHAnsi" w:hAnsiTheme="majorHAnsi" w:cstheme="majorHAnsi"/>
          <w:sz w:val="23"/>
          <w:szCs w:val="23"/>
        </w:rPr>
        <w:t>Many households</w:t>
      </w:r>
      <w:r w:rsidRPr="00E91887">
        <w:rPr>
          <w:rFonts w:asciiTheme="majorHAnsi" w:hAnsiTheme="majorHAnsi" w:cstheme="majorHAnsi"/>
          <w:sz w:val="23"/>
          <w:szCs w:val="23"/>
        </w:rPr>
        <w:t xml:space="preserve"> ha</w:t>
      </w:r>
      <w:r>
        <w:rPr>
          <w:rFonts w:asciiTheme="majorHAnsi" w:hAnsiTheme="majorHAnsi" w:cstheme="majorHAnsi"/>
          <w:sz w:val="23"/>
          <w:szCs w:val="23"/>
        </w:rPr>
        <w:t xml:space="preserve">d </w:t>
      </w:r>
      <w:r w:rsidRPr="00E91887">
        <w:rPr>
          <w:rFonts w:asciiTheme="majorHAnsi" w:hAnsiTheme="majorHAnsi" w:cstheme="majorHAnsi"/>
          <w:sz w:val="23"/>
          <w:szCs w:val="23"/>
        </w:rPr>
        <w:t>no vehicle</w:t>
      </w:r>
      <w:r>
        <w:rPr>
          <w:rFonts w:asciiTheme="majorHAnsi" w:hAnsiTheme="majorHAnsi" w:cstheme="majorHAnsi"/>
          <w:sz w:val="23"/>
          <w:szCs w:val="23"/>
        </w:rPr>
        <w:t xml:space="preserve">, which limits </w:t>
      </w:r>
      <w:r w:rsidRPr="00E91887">
        <w:rPr>
          <w:rFonts w:asciiTheme="majorHAnsi" w:hAnsiTheme="majorHAnsi" w:cstheme="majorHAnsi"/>
          <w:sz w:val="23"/>
          <w:szCs w:val="23"/>
        </w:rPr>
        <w:t>mobility</w:t>
      </w:r>
      <w:r>
        <w:rPr>
          <w:rFonts w:asciiTheme="majorHAnsi" w:hAnsiTheme="majorHAnsi" w:cstheme="majorHAnsi"/>
          <w:sz w:val="23"/>
          <w:szCs w:val="23"/>
        </w:rPr>
        <w:t>,</w:t>
      </w:r>
      <w:r w:rsidRPr="00E91887">
        <w:rPr>
          <w:rFonts w:asciiTheme="majorHAnsi" w:hAnsiTheme="majorHAnsi" w:cstheme="majorHAnsi"/>
          <w:sz w:val="23"/>
          <w:szCs w:val="23"/>
        </w:rPr>
        <w:t xml:space="preserve"> and internet connectivity </w:t>
      </w:r>
      <w:r>
        <w:rPr>
          <w:rFonts w:asciiTheme="majorHAnsi" w:hAnsiTheme="majorHAnsi" w:cstheme="majorHAnsi"/>
          <w:sz w:val="23"/>
          <w:szCs w:val="23"/>
        </w:rPr>
        <w:t>was</w:t>
      </w:r>
      <w:r w:rsidRPr="00E91887">
        <w:rPr>
          <w:rFonts w:asciiTheme="majorHAnsi" w:hAnsiTheme="majorHAnsi" w:cstheme="majorHAnsi"/>
          <w:sz w:val="23"/>
          <w:szCs w:val="23"/>
        </w:rPr>
        <w:t xml:space="preserve"> well below the </w:t>
      </w:r>
      <w:r>
        <w:rPr>
          <w:rFonts w:asciiTheme="majorHAnsi" w:hAnsiTheme="majorHAnsi" w:cstheme="majorHAnsi"/>
          <w:sz w:val="23"/>
          <w:szCs w:val="23"/>
        </w:rPr>
        <w:t>average for</w:t>
      </w:r>
      <w:r w:rsidRPr="00E91887">
        <w:rPr>
          <w:rFonts w:asciiTheme="majorHAnsi" w:hAnsiTheme="majorHAnsi" w:cstheme="majorHAnsi"/>
          <w:sz w:val="23"/>
          <w:szCs w:val="23"/>
        </w:rPr>
        <w:t xml:space="preserve"> the City of Greater Geelong. While age structure </w:t>
      </w:r>
      <w:r>
        <w:rPr>
          <w:rFonts w:asciiTheme="majorHAnsi" w:hAnsiTheme="majorHAnsi" w:cstheme="majorHAnsi"/>
          <w:sz w:val="23"/>
          <w:szCs w:val="23"/>
        </w:rPr>
        <w:t>did not differ greatly from</w:t>
      </w:r>
      <w:r w:rsidRPr="00E91887">
        <w:rPr>
          <w:rFonts w:asciiTheme="majorHAnsi" w:hAnsiTheme="majorHAnsi" w:cstheme="majorHAnsi"/>
          <w:sz w:val="23"/>
          <w:szCs w:val="23"/>
        </w:rPr>
        <w:t xml:space="preserve"> the </w:t>
      </w:r>
      <w:r>
        <w:rPr>
          <w:rFonts w:asciiTheme="majorHAnsi" w:hAnsiTheme="majorHAnsi" w:cstheme="majorHAnsi"/>
          <w:sz w:val="23"/>
          <w:szCs w:val="23"/>
        </w:rPr>
        <w:t>COGG</w:t>
      </w:r>
      <w:r w:rsidRPr="00E91887">
        <w:rPr>
          <w:rFonts w:asciiTheme="majorHAnsi" w:hAnsiTheme="majorHAnsi" w:cstheme="majorHAnsi"/>
          <w:sz w:val="23"/>
          <w:szCs w:val="23"/>
        </w:rPr>
        <w:t xml:space="preserve"> average, there are significantly more Aboriginal and Torres Strait Islander people </w:t>
      </w:r>
      <w:r>
        <w:rPr>
          <w:rFonts w:asciiTheme="majorHAnsi" w:hAnsiTheme="majorHAnsi" w:cstheme="majorHAnsi"/>
          <w:sz w:val="23"/>
          <w:szCs w:val="23"/>
        </w:rPr>
        <w:t>and</w:t>
      </w:r>
      <w:r w:rsidRPr="00E91887">
        <w:rPr>
          <w:rFonts w:asciiTheme="majorHAnsi" w:hAnsiTheme="majorHAnsi" w:cstheme="majorHAnsi"/>
          <w:sz w:val="23"/>
          <w:szCs w:val="23"/>
        </w:rPr>
        <w:t xml:space="preserve"> single parents living in the three localities, a pattern </w:t>
      </w:r>
      <w:r>
        <w:rPr>
          <w:rFonts w:asciiTheme="majorHAnsi" w:hAnsiTheme="majorHAnsi" w:cstheme="majorHAnsi"/>
          <w:sz w:val="23"/>
          <w:szCs w:val="23"/>
        </w:rPr>
        <w:t>typically</w:t>
      </w:r>
      <w:r w:rsidRPr="00E91887">
        <w:rPr>
          <w:rFonts w:asciiTheme="majorHAnsi" w:hAnsiTheme="majorHAnsi" w:cstheme="majorHAnsi"/>
          <w:sz w:val="23"/>
          <w:szCs w:val="23"/>
        </w:rPr>
        <w:t xml:space="preserve"> not unrelated to other indicators of disadvantage.</w:t>
      </w:r>
    </w:p>
    <w:p w14:paraId="2A7872F1" w14:textId="77777777" w:rsidR="004C54D0" w:rsidRPr="00E91887" w:rsidRDefault="004C54D0" w:rsidP="004C54D0">
      <w:pPr>
        <w:spacing w:line="276" w:lineRule="auto"/>
        <w:rPr>
          <w:rFonts w:asciiTheme="majorHAnsi" w:hAnsiTheme="majorHAnsi" w:cstheme="majorHAnsi"/>
          <w:bCs/>
          <w:sz w:val="23"/>
          <w:szCs w:val="23"/>
        </w:rPr>
      </w:pPr>
      <w:r w:rsidRPr="00E91887">
        <w:rPr>
          <w:rFonts w:asciiTheme="majorHAnsi" w:hAnsiTheme="majorHAnsi" w:cstheme="majorHAnsi"/>
          <w:bCs/>
          <w:sz w:val="23"/>
          <w:szCs w:val="23"/>
        </w:rPr>
        <w:t xml:space="preserve">These figures </w:t>
      </w:r>
      <w:r>
        <w:rPr>
          <w:rFonts w:asciiTheme="majorHAnsi" w:hAnsiTheme="majorHAnsi" w:cstheme="majorHAnsi"/>
          <w:bCs/>
          <w:sz w:val="23"/>
          <w:szCs w:val="23"/>
        </w:rPr>
        <w:t>illustrate not only</w:t>
      </w:r>
      <w:r w:rsidRPr="00E91887">
        <w:rPr>
          <w:rFonts w:asciiTheme="majorHAnsi" w:hAnsiTheme="majorHAnsi" w:cstheme="majorHAnsi"/>
          <w:bCs/>
          <w:sz w:val="23"/>
          <w:szCs w:val="23"/>
        </w:rPr>
        <w:t xml:space="preserve"> the</w:t>
      </w:r>
      <w:r>
        <w:rPr>
          <w:rFonts w:asciiTheme="majorHAnsi" w:hAnsiTheme="majorHAnsi" w:cstheme="majorHAnsi"/>
          <w:bCs/>
          <w:sz w:val="23"/>
          <w:szCs w:val="23"/>
        </w:rPr>
        <w:t xml:space="preserve"> City’s</w:t>
      </w:r>
      <w:r w:rsidRPr="00E91887">
        <w:rPr>
          <w:rFonts w:asciiTheme="majorHAnsi" w:hAnsiTheme="majorHAnsi" w:cstheme="majorHAnsi"/>
          <w:bCs/>
          <w:sz w:val="23"/>
          <w:szCs w:val="23"/>
        </w:rPr>
        <w:t xml:space="preserve"> class structure</w:t>
      </w:r>
      <w:r>
        <w:rPr>
          <w:rFonts w:asciiTheme="majorHAnsi" w:hAnsiTheme="majorHAnsi" w:cstheme="majorHAnsi"/>
          <w:bCs/>
          <w:sz w:val="23"/>
          <w:szCs w:val="23"/>
        </w:rPr>
        <w:t xml:space="preserve">, but also its </w:t>
      </w:r>
      <w:r w:rsidRPr="00E91887">
        <w:rPr>
          <w:rFonts w:asciiTheme="majorHAnsi" w:hAnsiTheme="majorHAnsi" w:cstheme="majorHAnsi"/>
          <w:bCs/>
          <w:sz w:val="23"/>
          <w:szCs w:val="23"/>
        </w:rPr>
        <w:t>socio-spatial pattern</w:t>
      </w:r>
      <w:r>
        <w:rPr>
          <w:rFonts w:asciiTheme="majorHAnsi" w:hAnsiTheme="majorHAnsi" w:cstheme="majorHAnsi"/>
          <w:bCs/>
          <w:sz w:val="23"/>
          <w:szCs w:val="23"/>
        </w:rPr>
        <w:t>s</w:t>
      </w:r>
      <w:r w:rsidRPr="00E91887">
        <w:rPr>
          <w:rFonts w:asciiTheme="majorHAnsi" w:hAnsiTheme="majorHAnsi" w:cstheme="majorHAnsi"/>
          <w:bCs/>
          <w:sz w:val="23"/>
          <w:szCs w:val="23"/>
        </w:rPr>
        <w:t xml:space="preserve"> of disadvantage</w:t>
      </w:r>
      <w:r>
        <w:rPr>
          <w:rFonts w:asciiTheme="majorHAnsi" w:hAnsiTheme="majorHAnsi" w:cstheme="majorHAnsi"/>
          <w:bCs/>
          <w:sz w:val="23"/>
          <w:szCs w:val="23"/>
        </w:rPr>
        <w:t xml:space="preserve">, some of which can be traced back to the </w:t>
      </w:r>
      <w:r w:rsidRPr="00E91887">
        <w:rPr>
          <w:rFonts w:asciiTheme="majorHAnsi" w:hAnsiTheme="majorHAnsi" w:cstheme="majorHAnsi"/>
          <w:bCs/>
          <w:sz w:val="23"/>
          <w:szCs w:val="23"/>
        </w:rPr>
        <w:t xml:space="preserve">historical </w:t>
      </w:r>
      <w:r>
        <w:rPr>
          <w:rFonts w:asciiTheme="majorHAnsi" w:hAnsiTheme="majorHAnsi" w:cstheme="majorHAnsi"/>
          <w:bCs/>
          <w:sz w:val="23"/>
          <w:szCs w:val="23"/>
        </w:rPr>
        <w:t>causes discussed above. These include the City’s</w:t>
      </w:r>
      <w:r w:rsidRPr="00E91887">
        <w:rPr>
          <w:rFonts w:asciiTheme="majorHAnsi" w:hAnsiTheme="majorHAnsi" w:cstheme="majorHAnsi"/>
          <w:bCs/>
          <w:sz w:val="23"/>
          <w:szCs w:val="23"/>
        </w:rPr>
        <w:t xml:space="preserve"> industrial development and </w:t>
      </w:r>
      <w:r>
        <w:rPr>
          <w:rFonts w:asciiTheme="majorHAnsi" w:hAnsiTheme="majorHAnsi" w:cstheme="majorHAnsi"/>
          <w:bCs/>
          <w:sz w:val="23"/>
          <w:szCs w:val="23"/>
        </w:rPr>
        <w:t>subsequent decline,</w:t>
      </w:r>
      <w:r w:rsidRPr="00E91887">
        <w:rPr>
          <w:rFonts w:asciiTheme="majorHAnsi" w:hAnsiTheme="majorHAnsi" w:cstheme="majorHAnsi"/>
          <w:bCs/>
          <w:sz w:val="23"/>
          <w:szCs w:val="23"/>
        </w:rPr>
        <w:t xml:space="preserve"> and the concentration of public housing </w:t>
      </w:r>
      <w:r>
        <w:rPr>
          <w:rFonts w:asciiTheme="majorHAnsi" w:hAnsiTheme="majorHAnsi" w:cstheme="majorHAnsi"/>
          <w:bCs/>
          <w:sz w:val="23"/>
          <w:szCs w:val="23"/>
        </w:rPr>
        <w:t>and low-income workers coalescing over time in</w:t>
      </w:r>
      <w:r w:rsidRPr="00E91887">
        <w:rPr>
          <w:rFonts w:asciiTheme="majorHAnsi" w:hAnsiTheme="majorHAnsi" w:cstheme="majorHAnsi"/>
          <w:bCs/>
          <w:sz w:val="23"/>
          <w:szCs w:val="23"/>
        </w:rPr>
        <w:t xml:space="preserve"> these three localities. </w:t>
      </w:r>
    </w:p>
    <w:p w14:paraId="69DE54BA" w14:textId="77777777" w:rsidR="004C54D0" w:rsidRPr="00E91887" w:rsidRDefault="004C54D0" w:rsidP="004C54D0">
      <w:pPr>
        <w:spacing w:line="276" w:lineRule="auto"/>
        <w:rPr>
          <w:rFonts w:asciiTheme="majorHAnsi" w:hAnsiTheme="majorHAnsi" w:cstheme="majorHAnsi"/>
          <w:bCs/>
          <w:sz w:val="23"/>
          <w:szCs w:val="23"/>
        </w:rPr>
      </w:pPr>
      <w:r>
        <w:rPr>
          <w:rFonts w:asciiTheme="majorHAnsi" w:hAnsiTheme="majorHAnsi" w:cstheme="majorHAnsi"/>
          <w:bCs/>
          <w:sz w:val="23"/>
          <w:szCs w:val="23"/>
        </w:rPr>
        <w:t>Australia has two</w:t>
      </w:r>
      <w:r w:rsidRPr="00E91887">
        <w:rPr>
          <w:rFonts w:asciiTheme="majorHAnsi" w:hAnsiTheme="majorHAnsi" w:cstheme="majorHAnsi"/>
          <w:bCs/>
          <w:sz w:val="23"/>
          <w:szCs w:val="23"/>
        </w:rPr>
        <w:t xml:space="preserve"> </w:t>
      </w:r>
      <w:r>
        <w:rPr>
          <w:rFonts w:asciiTheme="majorHAnsi" w:hAnsiTheme="majorHAnsi" w:cstheme="majorHAnsi"/>
          <w:bCs/>
          <w:sz w:val="23"/>
          <w:szCs w:val="23"/>
        </w:rPr>
        <w:t>main instruments that measure</w:t>
      </w:r>
      <w:r w:rsidRPr="00E91887">
        <w:rPr>
          <w:rFonts w:asciiTheme="majorHAnsi" w:hAnsiTheme="majorHAnsi" w:cstheme="majorHAnsi"/>
          <w:bCs/>
          <w:sz w:val="23"/>
          <w:szCs w:val="23"/>
        </w:rPr>
        <w:t xml:space="preserve"> socio-spatial </w:t>
      </w:r>
      <w:r>
        <w:rPr>
          <w:rFonts w:asciiTheme="majorHAnsi" w:hAnsiTheme="majorHAnsi" w:cstheme="majorHAnsi"/>
          <w:bCs/>
          <w:sz w:val="23"/>
          <w:szCs w:val="23"/>
        </w:rPr>
        <w:t xml:space="preserve">polarisation and locational disadvantage: </w:t>
      </w:r>
      <w:r w:rsidRPr="00E91887">
        <w:rPr>
          <w:rFonts w:asciiTheme="majorHAnsi" w:hAnsiTheme="majorHAnsi" w:cstheme="majorHAnsi"/>
          <w:bCs/>
          <w:sz w:val="23"/>
          <w:szCs w:val="23"/>
        </w:rPr>
        <w:t xml:space="preserve">the Australian Bureau of Statistics </w:t>
      </w:r>
      <w:r>
        <w:rPr>
          <w:rFonts w:asciiTheme="majorHAnsi" w:hAnsiTheme="majorHAnsi" w:cstheme="majorHAnsi"/>
          <w:bCs/>
          <w:sz w:val="23"/>
          <w:szCs w:val="23"/>
        </w:rPr>
        <w:t xml:space="preserve">(ABS) </w:t>
      </w:r>
      <w:r w:rsidRPr="00E91887">
        <w:rPr>
          <w:rFonts w:asciiTheme="majorHAnsi" w:hAnsiTheme="majorHAnsi" w:cstheme="majorHAnsi"/>
          <w:bCs/>
          <w:sz w:val="23"/>
          <w:szCs w:val="23"/>
        </w:rPr>
        <w:t>SEIFA index of Social Disadvantage</w:t>
      </w:r>
      <w:r>
        <w:rPr>
          <w:rFonts w:asciiTheme="majorHAnsi" w:hAnsiTheme="majorHAnsi" w:cstheme="majorHAnsi"/>
          <w:bCs/>
          <w:sz w:val="23"/>
          <w:szCs w:val="23"/>
        </w:rPr>
        <w:t>,</w:t>
      </w:r>
      <w:r w:rsidRPr="00E91887">
        <w:rPr>
          <w:rFonts w:asciiTheme="majorHAnsi" w:hAnsiTheme="majorHAnsi" w:cstheme="majorHAnsi"/>
          <w:bCs/>
          <w:sz w:val="23"/>
          <w:szCs w:val="23"/>
        </w:rPr>
        <w:t xml:space="preserve"> and th</w:t>
      </w:r>
      <w:r>
        <w:rPr>
          <w:rFonts w:asciiTheme="majorHAnsi" w:hAnsiTheme="majorHAnsi" w:cstheme="majorHAnsi"/>
          <w:bCs/>
          <w:sz w:val="23"/>
          <w:szCs w:val="23"/>
        </w:rPr>
        <w:t>e instrument devised</w:t>
      </w:r>
      <w:r w:rsidRPr="00E91887">
        <w:rPr>
          <w:rFonts w:asciiTheme="majorHAnsi" w:hAnsiTheme="majorHAnsi" w:cstheme="majorHAnsi"/>
          <w:bCs/>
          <w:sz w:val="23"/>
          <w:szCs w:val="23"/>
        </w:rPr>
        <w:t xml:space="preserve"> by</w:t>
      </w:r>
      <w:r>
        <w:rPr>
          <w:rFonts w:asciiTheme="majorHAnsi" w:hAnsiTheme="majorHAnsi" w:cstheme="majorHAnsi"/>
          <w:bCs/>
          <w:sz w:val="23"/>
          <w:szCs w:val="23"/>
        </w:rPr>
        <w:t xml:space="preserve"> influential social researcher</w:t>
      </w:r>
      <w:r w:rsidRPr="00E91887">
        <w:rPr>
          <w:rFonts w:asciiTheme="majorHAnsi" w:hAnsiTheme="majorHAnsi" w:cstheme="majorHAnsi"/>
          <w:bCs/>
          <w:sz w:val="23"/>
          <w:szCs w:val="23"/>
        </w:rPr>
        <w:t xml:space="preserve"> Tony Vinson </w:t>
      </w:r>
      <w:r>
        <w:rPr>
          <w:rFonts w:asciiTheme="majorHAnsi" w:hAnsiTheme="majorHAnsi" w:cstheme="majorHAnsi"/>
          <w:bCs/>
          <w:sz w:val="23"/>
          <w:szCs w:val="23"/>
        </w:rPr>
        <w:t>for</w:t>
      </w:r>
      <w:r w:rsidRPr="00E91887">
        <w:rPr>
          <w:rFonts w:asciiTheme="majorHAnsi" w:hAnsiTheme="majorHAnsi" w:cstheme="majorHAnsi"/>
          <w:bCs/>
          <w:sz w:val="23"/>
          <w:szCs w:val="23"/>
        </w:rPr>
        <w:t xml:space="preserve"> </w:t>
      </w:r>
      <w:r w:rsidRPr="00F37382">
        <w:rPr>
          <w:rFonts w:asciiTheme="majorHAnsi" w:hAnsiTheme="majorHAnsi" w:cstheme="majorHAnsi"/>
          <w:bCs/>
          <w:sz w:val="23"/>
          <w:szCs w:val="23"/>
        </w:rPr>
        <w:t>Jesuit Social Services</w:t>
      </w:r>
      <w:r w:rsidRPr="00E91887">
        <w:rPr>
          <w:rFonts w:asciiTheme="majorHAnsi" w:hAnsiTheme="majorHAnsi" w:cstheme="majorHAnsi"/>
          <w:bCs/>
          <w:sz w:val="23"/>
          <w:szCs w:val="23"/>
        </w:rPr>
        <w:t xml:space="preserve">. </w:t>
      </w:r>
      <w:r>
        <w:rPr>
          <w:rFonts w:asciiTheme="majorHAnsi" w:hAnsiTheme="majorHAnsi" w:cstheme="majorHAnsi"/>
          <w:bCs/>
          <w:sz w:val="23"/>
          <w:szCs w:val="23"/>
        </w:rPr>
        <w:t>Vinson’s measure confirms a worsening situation for</w:t>
      </w:r>
      <w:r w:rsidRPr="00E91887">
        <w:rPr>
          <w:rFonts w:asciiTheme="majorHAnsi" w:hAnsiTheme="majorHAnsi" w:cstheme="majorHAnsi"/>
          <w:bCs/>
          <w:sz w:val="23"/>
          <w:szCs w:val="23"/>
        </w:rPr>
        <w:t xml:space="preserve"> Corio</w:t>
      </w:r>
      <w:r>
        <w:rPr>
          <w:rFonts w:asciiTheme="majorHAnsi" w:hAnsiTheme="majorHAnsi" w:cstheme="majorHAnsi"/>
          <w:bCs/>
          <w:sz w:val="23"/>
          <w:szCs w:val="23"/>
        </w:rPr>
        <w:t>–</w:t>
      </w:r>
      <w:r w:rsidRPr="00E91887">
        <w:rPr>
          <w:rFonts w:asciiTheme="majorHAnsi" w:hAnsiTheme="majorHAnsi" w:cstheme="majorHAnsi"/>
          <w:bCs/>
          <w:sz w:val="23"/>
          <w:szCs w:val="23"/>
        </w:rPr>
        <w:t>Norlane</w:t>
      </w:r>
      <w:r>
        <w:rPr>
          <w:rFonts w:asciiTheme="majorHAnsi" w:hAnsiTheme="majorHAnsi" w:cstheme="majorHAnsi"/>
          <w:bCs/>
          <w:sz w:val="23"/>
          <w:szCs w:val="23"/>
        </w:rPr>
        <w:t xml:space="preserve">, which </w:t>
      </w:r>
      <w:r w:rsidRPr="00CB0C8C">
        <w:rPr>
          <w:rFonts w:asciiTheme="majorHAnsi" w:hAnsiTheme="majorHAnsi" w:cstheme="majorHAnsi"/>
          <w:sz w:val="23"/>
          <w:szCs w:val="23"/>
        </w:rPr>
        <w:t xml:space="preserve">moved from Band 3 to Band 1 in </w:t>
      </w:r>
      <w:r>
        <w:rPr>
          <w:rFonts w:asciiTheme="majorHAnsi" w:hAnsiTheme="majorHAnsi" w:cstheme="majorHAnsi"/>
          <w:sz w:val="23"/>
          <w:szCs w:val="23"/>
        </w:rPr>
        <w:t>his</w:t>
      </w:r>
      <w:r w:rsidRPr="00CB0C8C">
        <w:rPr>
          <w:rFonts w:asciiTheme="majorHAnsi" w:hAnsiTheme="majorHAnsi" w:cstheme="majorHAnsi"/>
          <w:sz w:val="23"/>
          <w:szCs w:val="23"/>
        </w:rPr>
        <w:t xml:space="preserve"> </w:t>
      </w:r>
      <w:r w:rsidRPr="00CB0C8C">
        <w:rPr>
          <w:rFonts w:asciiTheme="majorHAnsi" w:hAnsiTheme="majorHAnsi" w:cstheme="majorHAnsi"/>
          <w:i/>
          <w:sz w:val="23"/>
          <w:szCs w:val="23"/>
        </w:rPr>
        <w:t>Dropping o</w:t>
      </w:r>
      <w:r>
        <w:rPr>
          <w:rFonts w:asciiTheme="majorHAnsi" w:hAnsiTheme="majorHAnsi" w:cstheme="majorHAnsi"/>
          <w:i/>
          <w:sz w:val="23"/>
          <w:szCs w:val="23"/>
        </w:rPr>
        <w:t>f</w:t>
      </w:r>
      <w:r w:rsidRPr="00CB0C8C">
        <w:rPr>
          <w:rFonts w:asciiTheme="majorHAnsi" w:hAnsiTheme="majorHAnsi" w:cstheme="majorHAnsi"/>
          <w:i/>
          <w:sz w:val="23"/>
          <w:szCs w:val="23"/>
        </w:rPr>
        <w:t>f the Edge</w:t>
      </w:r>
      <w:r w:rsidRPr="00CB0C8C">
        <w:rPr>
          <w:rFonts w:asciiTheme="majorHAnsi" w:hAnsiTheme="majorHAnsi" w:cstheme="majorHAnsi"/>
          <w:sz w:val="23"/>
          <w:szCs w:val="23"/>
        </w:rPr>
        <w:t xml:space="preserve"> report over the period 2007</w:t>
      </w:r>
      <w:r>
        <w:rPr>
          <w:rFonts w:asciiTheme="majorHAnsi" w:hAnsiTheme="majorHAnsi" w:cstheme="majorHAnsi"/>
          <w:sz w:val="23"/>
          <w:szCs w:val="23"/>
        </w:rPr>
        <w:t>–</w:t>
      </w:r>
      <w:r w:rsidRPr="00CB0C8C">
        <w:rPr>
          <w:rFonts w:asciiTheme="majorHAnsi" w:hAnsiTheme="majorHAnsi" w:cstheme="majorHAnsi"/>
          <w:sz w:val="23"/>
          <w:szCs w:val="23"/>
        </w:rPr>
        <w:t xml:space="preserve">2015. These </w:t>
      </w:r>
      <w:r>
        <w:rPr>
          <w:rFonts w:asciiTheme="majorHAnsi" w:hAnsiTheme="majorHAnsi" w:cstheme="majorHAnsi"/>
          <w:sz w:val="23"/>
          <w:szCs w:val="23"/>
        </w:rPr>
        <w:t xml:space="preserve">areas </w:t>
      </w:r>
      <w:r w:rsidRPr="00CB0C8C">
        <w:rPr>
          <w:rFonts w:asciiTheme="majorHAnsi" w:hAnsiTheme="majorHAnsi" w:cstheme="majorHAnsi"/>
          <w:sz w:val="23"/>
          <w:szCs w:val="23"/>
        </w:rPr>
        <w:t>are currently ranked as two of the most disadvantaged in the country. The Bands co</w:t>
      </w:r>
      <w:r>
        <w:rPr>
          <w:rFonts w:asciiTheme="majorHAnsi" w:hAnsiTheme="majorHAnsi" w:cstheme="majorHAnsi"/>
          <w:sz w:val="23"/>
          <w:szCs w:val="23"/>
        </w:rPr>
        <w:t>mprise</w:t>
      </w:r>
      <w:r w:rsidRPr="00CB0C8C">
        <w:rPr>
          <w:rFonts w:asciiTheme="majorHAnsi" w:hAnsiTheme="majorHAnsi" w:cstheme="majorHAnsi"/>
          <w:sz w:val="23"/>
          <w:szCs w:val="23"/>
        </w:rPr>
        <w:t xml:space="preserve"> a host of indicators</w:t>
      </w:r>
      <w:r w:rsidRPr="00E91887">
        <w:rPr>
          <w:rFonts w:asciiTheme="majorHAnsi" w:hAnsiTheme="majorHAnsi" w:cstheme="majorHAnsi"/>
          <w:sz w:val="23"/>
          <w:szCs w:val="23"/>
        </w:rPr>
        <w:t xml:space="preserve"> of social dislocation and disadvantage: unemployment levels, criminal convictions, disability rates, child maltreatment, low family income, rental assistance, family violence and psychiatric hospital admissions</w:t>
      </w:r>
      <w:r w:rsidRPr="00E91887">
        <w:rPr>
          <w:rFonts w:asciiTheme="majorHAnsi" w:hAnsiTheme="majorHAnsi" w:cstheme="majorHAnsi"/>
          <w:bCs/>
          <w:sz w:val="23"/>
          <w:szCs w:val="23"/>
        </w:rPr>
        <w:t xml:space="preserve">. </w:t>
      </w:r>
    </w:p>
    <w:p w14:paraId="116540DC" w14:textId="77777777" w:rsidR="004C54D0" w:rsidRPr="00E91887" w:rsidRDefault="004C54D0" w:rsidP="004C54D0">
      <w:pPr>
        <w:spacing w:line="276" w:lineRule="auto"/>
        <w:rPr>
          <w:rFonts w:asciiTheme="majorHAnsi" w:hAnsiTheme="majorHAnsi" w:cstheme="majorHAnsi"/>
          <w:sz w:val="23"/>
          <w:szCs w:val="23"/>
        </w:rPr>
      </w:pPr>
      <w:r>
        <w:rPr>
          <w:rFonts w:asciiTheme="majorHAnsi" w:hAnsiTheme="majorHAnsi" w:cstheme="majorHAnsi"/>
          <w:sz w:val="23"/>
          <w:szCs w:val="23"/>
        </w:rPr>
        <w:t xml:space="preserve">The </w:t>
      </w:r>
      <w:r w:rsidRPr="00E91887">
        <w:rPr>
          <w:rFonts w:asciiTheme="majorHAnsi" w:hAnsiTheme="majorHAnsi" w:cstheme="majorHAnsi"/>
          <w:sz w:val="23"/>
          <w:szCs w:val="23"/>
        </w:rPr>
        <w:t>SEIFA Index of Relative Socio-Economic Disadvantage</w:t>
      </w:r>
      <w:r>
        <w:rPr>
          <w:rFonts w:asciiTheme="majorHAnsi" w:hAnsiTheme="majorHAnsi" w:cstheme="majorHAnsi"/>
          <w:sz w:val="23"/>
          <w:szCs w:val="23"/>
        </w:rPr>
        <w:t xml:space="preserve"> confirms this picture (see Table 7.2, below).</w:t>
      </w:r>
      <w:r w:rsidRPr="00E91887">
        <w:rPr>
          <w:rFonts w:asciiTheme="majorHAnsi" w:hAnsiTheme="majorHAnsi" w:cstheme="majorHAnsi"/>
          <w:sz w:val="23"/>
          <w:szCs w:val="23"/>
        </w:rPr>
        <w:t xml:space="preserve"> </w:t>
      </w:r>
      <w:r>
        <w:rPr>
          <w:rFonts w:asciiTheme="majorHAnsi" w:hAnsiTheme="majorHAnsi" w:cstheme="majorHAnsi"/>
          <w:sz w:val="23"/>
          <w:szCs w:val="23"/>
        </w:rPr>
        <w:t>Based on the most recent ABS</w:t>
      </w:r>
      <w:r w:rsidRPr="00E91887">
        <w:rPr>
          <w:rFonts w:asciiTheme="majorHAnsi" w:hAnsiTheme="majorHAnsi" w:cstheme="majorHAnsi"/>
          <w:sz w:val="23"/>
          <w:szCs w:val="23"/>
        </w:rPr>
        <w:t xml:space="preserve"> </w:t>
      </w:r>
      <w:r w:rsidRPr="00EC0409">
        <w:rPr>
          <w:rFonts w:asciiTheme="majorHAnsi" w:hAnsiTheme="majorHAnsi" w:cstheme="majorHAnsi"/>
          <w:sz w:val="23"/>
          <w:szCs w:val="23"/>
        </w:rPr>
        <w:t xml:space="preserve">census data (2016), Corio, Norlane, and Whittington </w:t>
      </w:r>
      <w:r>
        <w:rPr>
          <w:rFonts w:asciiTheme="majorHAnsi" w:hAnsiTheme="majorHAnsi" w:cstheme="majorHAnsi"/>
          <w:sz w:val="23"/>
          <w:szCs w:val="23"/>
        </w:rPr>
        <w:t>are all on par with the most</w:t>
      </w:r>
      <w:r w:rsidRPr="00EC0409">
        <w:rPr>
          <w:rFonts w:asciiTheme="majorHAnsi" w:hAnsiTheme="majorHAnsi" w:cstheme="majorHAnsi"/>
          <w:sz w:val="23"/>
          <w:szCs w:val="23"/>
        </w:rPr>
        <w:t xml:space="preserve"> disadvantaged areas in Victoria – that is, </w:t>
      </w:r>
      <w:r>
        <w:rPr>
          <w:rFonts w:asciiTheme="majorHAnsi" w:hAnsiTheme="majorHAnsi" w:cstheme="majorHAnsi"/>
          <w:sz w:val="23"/>
          <w:szCs w:val="23"/>
        </w:rPr>
        <w:t>they</w:t>
      </w:r>
      <w:r w:rsidRPr="00EC0409">
        <w:rPr>
          <w:rFonts w:asciiTheme="majorHAnsi" w:hAnsiTheme="majorHAnsi" w:cstheme="majorHAnsi"/>
          <w:sz w:val="23"/>
          <w:szCs w:val="23"/>
        </w:rPr>
        <w:t xml:space="preserve"> are ranked in the top-most percentile of most disadvantaged suburbs in the state.</w:t>
      </w:r>
    </w:p>
    <w:tbl>
      <w:tblPr>
        <w:tblStyle w:val="TableGrid"/>
        <w:tblW w:w="0" w:type="auto"/>
        <w:tblLook w:val="04A0" w:firstRow="1" w:lastRow="0" w:firstColumn="1" w:lastColumn="0" w:noHBand="0" w:noVBand="1"/>
      </w:tblPr>
      <w:tblGrid>
        <w:gridCol w:w="3205"/>
        <w:gridCol w:w="1817"/>
        <w:gridCol w:w="1997"/>
        <w:gridCol w:w="1997"/>
      </w:tblGrid>
      <w:tr w:rsidR="004C54D0" w:rsidRPr="00A02FEC" w14:paraId="28363AAC" w14:textId="77777777" w:rsidTr="00EA6395">
        <w:trPr>
          <w:trHeight w:val="518"/>
        </w:trPr>
        <w:tc>
          <w:tcPr>
            <w:tcW w:w="3400" w:type="dxa"/>
            <w:shd w:val="clear" w:color="auto" w:fill="D0CECE" w:themeFill="background2" w:themeFillShade="E6"/>
          </w:tcPr>
          <w:p w14:paraId="7475F0DD"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Area</w:t>
            </w:r>
          </w:p>
        </w:tc>
        <w:tc>
          <w:tcPr>
            <w:tcW w:w="1887" w:type="dxa"/>
            <w:shd w:val="clear" w:color="auto" w:fill="D0CECE" w:themeFill="background2" w:themeFillShade="E6"/>
          </w:tcPr>
          <w:p w14:paraId="6BA65049"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2006</w:t>
            </w:r>
          </w:p>
        </w:tc>
        <w:tc>
          <w:tcPr>
            <w:tcW w:w="2085" w:type="dxa"/>
            <w:shd w:val="clear" w:color="auto" w:fill="D0CECE" w:themeFill="background2" w:themeFillShade="E6"/>
          </w:tcPr>
          <w:p w14:paraId="6662E00D"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2011</w:t>
            </w:r>
          </w:p>
        </w:tc>
        <w:tc>
          <w:tcPr>
            <w:tcW w:w="2085" w:type="dxa"/>
            <w:shd w:val="clear" w:color="auto" w:fill="D0CECE" w:themeFill="background2" w:themeFillShade="E6"/>
          </w:tcPr>
          <w:p w14:paraId="7A3A4356"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2016</w:t>
            </w:r>
          </w:p>
        </w:tc>
      </w:tr>
      <w:tr w:rsidR="004C54D0" w:rsidRPr="00A02FEC" w14:paraId="7C6C3FFF" w14:textId="77777777" w:rsidTr="00EA6395">
        <w:trPr>
          <w:trHeight w:val="505"/>
        </w:trPr>
        <w:tc>
          <w:tcPr>
            <w:tcW w:w="3400" w:type="dxa"/>
            <w:vAlign w:val="center"/>
          </w:tcPr>
          <w:p w14:paraId="437598D9"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 xml:space="preserve">Corio </w:t>
            </w:r>
          </w:p>
        </w:tc>
        <w:tc>
          <w:tcPr>
            <w:tcW w:w="1887" w:type="dxa"/>
            <w:vAlign w:val="center"/>
          </w:tcPr>
          <w:p w14:paraId="117597CC"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4</w:t>
            </w:r>
            <w:r w:rsidRPr="00A02FEC">
              <w:rPr>
                <w:rFonts w:asciiTheme="majorHAnsi" w:hAnsiTheme="majorHAnsi" w:cstheme="majorHAnsi"/>
                <w:sz w:val="21"/>
                <w:szCs w:val="21"/>
                <w:vertAlign w:val="superscript"/>
              </w:rPr>
              <w:t>th</w:t>
            </w:r>
            <w:r w:rsidRPr="00A02FEC">
              <w:rPr>
                <w:rFonts w:asciiTheme="majorHAnsi" w:hAnsiTheme="majorHAnsi" w:cstheme="majorHAnsi"/>
                <w:sz w:val="21"/>
                <w:szCs w:val="21"/>
              </w:rPr>
              <w:t xml:space="preserve"> percentile</w:t>
            </w:r>
          </w:p>
        </w:tc>
        <w:tc>
          <w:tcPr>
            <w:tcW w:w="2085" w:type="dxa"/>
            <w:vAlign w:val="center"/>
          </w:tcPr>
          <w:p w14:paraId="674D3437"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3</w:t>
            </w:r>
            <w:r w:rsidRPr="00A02FEC">
              <w:rPr>
                <w:rFonts w:asciiTheme="majorHAnsi" w:hAnsiTheme="majorHAnsi" w:cstheme="majorHAnsi"/>
                <w:sz w:val="21"/>
                <w:szCs w:val="21"/>
                <w:vertAlign w:val="superscript"/>
              </w:rPr>
              <w:t>rd</w:t>
            </w:r>
            <w:r w:rsidRPr="00A02FEC">
              <w:rPr>
                <w:rFonts w:asciiTheme="majorHAnsi" w:hAnsiTheme="majorHAnsi" w:cstheme="majorHAnsi"/>
                <w:sz w:val="21"/>
                <w:szCs w:val="21"/>
              </w:rPr>
              <w:t xml:space="preserve"> percentile</w:t>
            </w:r>
          </w:p>
        </w:tc>
        <w:tc>
          <w:tcPr>
            <w:tcW w:w="2085" w:type="dxa"/>
            <w:vAlign w:val="center"/>
          </w:tcPr>
          <w:p w14:paraId="17D90A49"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1</w:t>
            </w:r>
            <w:r w:rsidRPr="00A02FEC">
              <w:rPr>
                <w:rFonts w:asciiTheme="majorHAnsi" w:hAnsiTheme="majorHAnsi" w:cstheme="majorHAnsi"/>
                <w:sz w:val="21"/>
                <w:szCs w:val="21"/>
                <w:vertAlign w:val="superscript"/>
              </w:rPr>
              <w:t>st</w:t>
            </w:r>
            <w:r w:rsidRPr="00A02FEC">
              <w:rPr>
                <w:rFonts w:asciiTheme="majorHAnsi" w:hAnsiTheme="majorHAnsi" w:cstheme="majorHAnsi"/>
                <w:sz w:val="21"/>
                <w:szCs w:val="21"/>
              </w:rPr>
              <w:t xml:space="preserve"> percentile</w:t>
            </w:r>
          </w:p>
        </w:tc>
      </w:tr>
      <w:tr w:rsidR="004C54D0" w:rsidRPr="00A02FEC" w14:paraId="49F5BE0B" w14:textId="77777777" w:rsidTr="00EA6395">
        <w:trPr>
          <w:trHeight w:val="518"/>
        </w:trPr>
        <w:tc>
          <w:tcPr>
            <w:tcW w:w="3400" w:type="dxa"/>
            <w:vAlign w:val="center"/>
          </w:tcPr>
          <w:p w14:paraId="5FE023A7"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Norlane</w:t>
            </w:r>
          </w:p>
        </w:tc>
        <w:tc>
          <w:tcPr>
            <w:tcW w:w="1887" w:type="dxa"/>
            <w:vAlign w:val="center"/>
          </w:tcPr>
          <w:p w14:paraId="34C4ADFD"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1</w:t>
            </w:r>
            <w:r w:rsidRPr="00A02FEC">
              <w:rPr>
                <w:rFonts w:asciiTheme="majorHAnsi" w:hAnsiTheme="majorHAnsi" w:cstheme="majorHAnsi"/>
                <w:sz w:val="21"/>
                <w:szCs w:val="21"/>
                <w:vertAlign w:val="superscript"/>
              </w:rPr>
              <w:t>st</w:t>
            </w:r>
            <w:r w:rsidRPr="00A02FEC">
              <w:rPr>
                <w:rFonts w:asciiTheme="majorHAnsi" w:hAnsiTheme="majorHAnsi" w:cstheme="majorHAnsi"/>
                <w:sz w:val="21"/>
                <w:szCs w:val="21"/>
              </w:rPr>
              <w:t xml:space="preserve"> percentile</w:t>
            </w:r>
          </w:p>
        </w:tc>
        <w:tc>
          <w:tcPr>
            <w:tcW w:w="2085" w:type="dxa"/>
            <w:vAlign w:val="center"/>
          </w:tcPr>
          <w:p w14:paraId="78538119"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3</w:t>
            </w:r>
            <w:r w:rsidRPr="00A02FEC">
              <w:rPr>
                <w:rFonts w:asciiTheme="majorHAnsi" w:hAnsiTheme="majorHAnsi" w:cstheme="majorHAnsi"/>
                <w:sz w:val="21"/>
                <w:szCs w:val="21"/>
                <w:vertAlign w:val="superscript"/>
              </w:rPr>
              <w:t>rd</w:t>
            </w:r>
            <w:r w:rsidRPr="00A02FEC">
              <w:rPr>
                <w:rFonts w:asciiTheme="majorHAnsi" w:hAnsiTheme="majorHAnsi" w:cstheme="majorHAnsi"/>
                <w:sz w:val="21"/>
                <w:szCs w:val="21"/>
              </w:rPr>
              <w:t xml:space="preserve"> percentile</w:t>
            </w:r>
          </w:p>
        </w:tc>
        <w:tc>
          <w:tcPr>
            <w:tcW w:w="2085" w:type="dxa"/>
            <w:vAlign w:val="center"/>
          </w:tcPr>
          <w:p w14:paraId="368C9325"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1</w:t>
            </w:r>
            <w:r w:rsidRPr="00A02FEC">
              <w:rPr>
                <w:rFonts w:asciiTheme="majorHAnsi" w:hAnsiTheme="majorHAnsi" w:cstheme="majorHAnsi"/>
                <w:sz w:val="21"/>
                <w:szCs w:val="21"/>
                <w:vertAlign w:val="superscript"/>
              </w:rPr>
              <w:t>st</w:t>
            </w:r>
            <w:r w:rsidRPr="00A02FEC">
              <w:rPr>
                <w:rFonts w:asciiTheme="majorHAnsi" w:hAnsiTheme="majorHAnsi" w:cstheme="majorHAnsi"/>
                <w:sz w:val="21"/>
                <w:szCs w:val="21"/>
              </w:rPr>
              <w:t xml:space="preserve"> percentile</w:t>
            </w:r>
          </w:p>
        </w:tc>
      </w:tr>
      <w:tr w:rsidR="004C54D0" w:rsidRPr="00E91887" w14:paraId="2B3FB554" w14:textId="77777777" w:rsidTr="00EA6395">
        <w:trPr>
          <w:trHeight w:val="546"/>
        </w:trPr>
        <w:tc>
          <w:tcPr>
            <w:tcW w:w="3400" w:type="dxa"/>
            <w:vAlign w:val="center"/>
          </w:tcPr>
          <w:p w14:paraId="73889066" w14:textId="77777777" w:rsidR="004C54D0" w:rsidRPr="00E91887" w:rsidRDefault="004C54D0" w:rsidP="00EA6395">
            <w:pPr>
              <w:spacing w:line="276" w:lineRule="auto"/>
              <w:rPr>
                <w:rFonts w:asciiTheme="majorHAnsi" w:hAnsiTheme="majorHAnsi" w:cstheme="majorHAnsi"/>
                <w:sz w:val="23"/>
                <w:szCs w:val="23"/>
              </w:rPr>
            </w:pPr>
            <w:r w:rsidRPr="00E91887">
              <w:rPr>
                <w:rFonts w:asciiTheme="majorHAnsi" w:hAnsiTheme="majorHAnsi" w:cstheme="majorHAnsi"/>
                <w:sz w:val="23"/>
                <w:szCs w:val="23"/>
              </w:rPr>
              <w:t>Whittington</w:t>
            </w:r>
          </w:p>
        </w:tc>
        <w:tc>
          <w:tcPr>
            <w:tcW w:w="1887" w:type="dxa"/>
            <w:vAlign w:val="center"/>
          </w:tcPr>
          <w:p w14:paraId="5918822E" w14:textId="77777777" w:rsidR="004C54D0" w:rsidRPr="00E91887" w:rsidRDefault="004C54D0" w:rsidP="00EA6395">
            <w:pPr>
              <w:spacing w:line="276" w:lineRule="auto"/>
              <w:rPr>
                <w:rFonts w:asciiTheme="majorHAnsi" w:hAnsiTheme="majorHAnsi" w:cstheme="majorHAnsi"/>
                <w:sz w:val="23"/>
                <w:szCs w:val="23"/>
              </w:rPr>
            </w:pPr>
            <w:r w:rsidRPr="00E91887">
              <w:rPr>
                <w:rFonts w:asciiTheme="majorHAnsi" w:hAnsiTheme="majorHAnsi" w:cstheme="majorHAnsi"/>
                <w:sz w:val="23"/>
                <w:szCs w:val="23"/>
              </w:rPr>
              <w:t>2</w:t>
            </w:r>
            <w:r w:rsidRPr="00E91887">
              <w:rPr>
                <w:rFonts w:asciiTheme="majorHAnsi" w:hAnsiTheme="majorHAnsi" w:cstheme="majorHAnsi"/>
                <w:sz w:val="23"/>
                <w:szCs w:val="23"/>
                <w:vertAlign w:val="superscript"/>
              </w:rPr>
              <w:t>nd</w:t>
            </w:r>
            <w:r w:rsidRPr="00E91887">
              <w:rPr>
                <w:rFonts w:asciiTheme="majorHAnsi" w:hAnsiTheme="majorHAnsi" w:cstheme="majorHAnsi"/>
                <w:sz w:val="23"/>
                <w:szCs w:val="23"/>
              </w:rPr>
              <w:t xml:space="preserve"> percentile</w:t>
            </w:r>
          </w:p>
        </w:tc>
        <w:tc>
          <w:tcPr>
            <w:tcW w:w="2085" w:type="dxa"/>
            <w:vAlign w:val="center"/>
          </w:tcPr>
          <w:p w14:paraId="1C46F28F" w14:textId="77777777" w:rsidR="004C54D0" w:rsidRPr="00E91887" w:rsidRDefault="004C54D0" w:rsidP="00EA6395">
            <w:pPr>
              <w:spacing w:line="276" w:lineRule="auto"/>
              <w:rPr>
                <w:rFonts w:asciiTheme="majorHAnsi" w:hAnsiTheme="majorHAnsi" w:cstheme="majorHAnsi"/>
                <w:sz w:val="23"/>
                <w:szCs w:val="23"/>
              </w:rPr>
            </w:pPr>
            <w:r w:rsidRPr="00E91887">
              <w:rPr>
                <w:rFonts w:asciiTheme="majorHAnsi" w:hAnsiTheme="majorHAnsi" w:cstheme="majorHAnsi"/>
                <w:sz w:val="23"/>
                <w:szCs w:val="23"/>
              </w:rPr>
              <w:t>2</w:t>
            </w:r>
            <w:r w:rsidRPr="00E91887">
              <w:rPr>
                <w:rFonts w:asciiTheme="majorHAnsi" w:hAnsiTheme="majorHAnsi" w:cstheme="majorHAnsi"/>
                <w:sz w:val="23"/>
                <w:szCs w:val="23"/>
                <w:vertAlign w:val="superscript"/>
              </w:rPr>
              <w:t>nd</w:t>
            </w:r>
            <w:r w:rsidRPr="00E91887">
              <w:rPr>
                <w:rFonts w:asciiTheme="majorHAnsi" w:hAnsiTheme="majorHAnsi" w:cstheme="majorHAnsi"/>
                <w:sz w:val="23"/>
                <w:szCs w:val="23"/>
              </w:rPr>
              <w:t xml:space="preserve"> percentile</w:t>
            </w:r>
          </w:p>
        </w:tc>
        <w:tc>
          <w:tcPr>
            <w:tcW w:w="2085" w:type="dxa"/>
            <w:vAlign w:val="center"/>
          </w:tcPr>
          <w:p w14:paraId="68D4153D" w14:textId="77777777" w:rsidR="004C54D0" w:rsidRPr="00E91887" w:rsidRDefault="004C54D0" w:rsidP="00EA6395">
            <w:pPr>
              <w:spacing w:line="276" w:lineRule="auto"/>
              <w:rPr>
                <w:rFonts w:asciiTheme="majorHAnsi" w:hAnsiTheme="majorHAnsi" w:cstheme="majorHAnsi"/>
                <w:sz w:val="23"/>
                <w:szCs w:val="23"/>
              </w:rPr>
            </w:pPr>
            <w:r w:rsidRPr="00E91887">
              <w:rPr>
                <w:rFonts w:asciiTheme="majorHAnsi" w:hAnsiTheme="majorHAnsi" w:cstheme="majorHAnsi"/>
                <w:sz w:val="23"/>
                <w:szCs w:val="23"/>
              </w:rPr>
              <w:t>1</w:t>
            </w:r>
            <w:r w:rsidRPr="00E91887">
              <w:rPr>
                <w:rFonts w:asciiTheme="majorHAnsi" w:hAnsiTheme="majorHAnsi" w:cstheme="majorHAnsi"/>
                <w:sz w:val="23"/>
                <w:szCs w:val="23"/>
                <w:vertAlign w:val="superscript"/>
              </w:rPr>
              <w:t>st</w:t>
            </w:r>
            <w:r w:rsidRPr="00E91887">
              <w:rPr>
                <w:rFonts w:asciiTheme="majorHAnsi" w:hAnsiTheme="majorHAnsi" w:cstheme="majorHAnsi"/>
                <w:sz w:val="23"/>
                <w:szCs w:val="23"/>
              </w:rPr>
              <w:t xml:space="preserve"> percentile</w:t>
            </w:r>
          </w:p>
        </w:tc>
      </w:tr>
    </w:tbl>
    <w:p w14:paraId="461C2E22" w14:textId="77777777" w:rsidR="004C54D0" w:rsidRDefault="004C54D0" w:rsidP="004C54D0">
      <w:pPr>
        <w:spacing w:after="0" w:line="240" w:lineRule="auto"/>
        <w:rPr>
          <w:rFonts w:cstheme="minorHAnsi"/>
          <w:b/>
          <w:bCs/>
          <w:sz w:val="21"/>
          <w:szCs w:val="21"/>
        </w:rPr>
      </w:pPr>
      <w:r w:rsidRPr="00EC0409">
        <w:rPr>
          <w:rFonts w:cstheme="minorHAnsi"/>
          <w:b/>
          <w:bCs/>
          <w:sz w:val="21"/>
          <w:szCs w:val="21"/>
        </w:rPr>
        <w:t xml:space="preserve">Table </w:t>
      </w:r>
      <w:r>
        <w:rPr>
          <w:rFonts w:cstheme="minorHAnsi"/>
          <w:b/>
          <w:bCs/>
          <w:sz w:val="21"/>
          <w:szCs w:val="21"/>
        </w:rPr>
        <w:t>7.2</w:t>
      </w:r>
      <w:r w:rsidRPr="00EC0409">
        <w:rPr>
          <w:rFonts w:cstheme="minorHAnsi"/>
          <w:b/>
          <w:bCs/>
          <w:sz w:val="21"/>
          <w:szCs w:val="21"/>
        </w:rPr>
        <w:t xml:space="preserve">: </w:t>
      </w:r>
      <w:r>
        <w:rPr>
          <w:rFonts w:cstheme="minorHAnsi"/>
          <w:b/>
          <w:bCs/>
          <w:sz w:val="21"/>
          <w:szCs w:val="21"/>
        </w:rPr>
        <w:t xml:space="preserve">Corio, Norlane, Whittington: </w:t>
      </w:r>
      <w:r w:rsidRPr="00EC0409">
        <w:rPr>
          <w:rFonts w:cstheme="minorHAnsi"/>
          <w:b/>
          <w:bCs/>
          <w:sz w:val="21"/>
          <w:szCs w:val="21"/>
        </w:rPr>
        <w:t>SEIFA Index of Relative Socio-Economic Disadvantage</w:t>
      </w:r>
    </w:p>
    <w:p w14:paraId="4222A74B" w14:textId="77777777" w:rsidR="004C54D0" w:rsidRPr="00EC0409" w:rsidRDefault="004C54D0" w:rsidP="004C54D0">
      <w:pPr>
        <w:spacing w:after="0" w:line="240" w:lineRule="auto"/>
        <w:rPr>
          <w:rFonts w:cstheme="minorHAnsi"/>
          <w:b/>
          <w:bCs/>
          <w:sz w:val="21"/>
          <w:szCs w:val="21"/>
        </w:rPr>
      </w:pPr>
      <w:r>
        <w:rPr>
          <w:rFonts w:cstheme="minorHAnsi"/>
          <w:b/>
          <w:bCs/>
          <w:sz w:val="21"/>
          <w:szCs w:val="21"/>
        </w:rPr>
        <w:t>(</w:t>
      </w:r>
      <w:r w:rsidRPr="00EC0409">
        <w:rPr>
          <w:rFonts w:cstheme="minorHAnsi"/>
          <w:b/>
          <w:bCs/>
          <w:sz w:val="21"/>
          <w:szCs w:val="21"/>
        </w:rPr>
        <w:t>2006, 2011, 2016</w:t>
      </w:r>
      <w:r>
        <w:rPr>
          <w:rFonts w:cstheme="minorHAnsi"/>
          <w:b/>
          <w:bCs/>
          <w:sz w:val="21"/>
          <w:szCs w:val="21"/>
        </w:rPr>
        <w:t>, p</w:t>
      </w:r>
      <w:r w:rsidRPr="00EC0409">
        <w:rPr>
          <w:rFonts w:cstheme="minorHAnsi"/>
          <w:b/>
          <w:bCs/>
          <w:sz w:val="21"/>
          <w:szCs w:val="21"/>
        </w:rPr>
        <w:t xml:space="preserve">ercentile ranking relative to other suburbs in Victoria) </w:t>
      </w:r>
      <w:r w:rsidRPr="00EC0409">
        <w:rPr>
          <w:rFonts w:cstheme="minorHAnsi"/>
          <w:b/>
          <w:bCs/>
          <w:noProof/>
          <w:sz w:val="21"/>
          <w:szCs w:val="21"/>
        </w:rPr>
        <w:t>(Source: ABS, 2006, 2011, 2016)</w:t>
      </w:r>
    </w:p>
    <w:p w14:paraId="4678B306" w14:textId="77777777" w:rsidR="004C54D0" w:rsidRPr="00EC0409" w:rsidRDefault="004C54D0" w:rsidP="004C54D0">
      <w:pPr>
        <w:spacing w:after="0" w:line="276" w:lineRule="auto"/>
        <w:rPr>
          <w:rFonts w:cstheme="minorHAnsi"/>
          <w:sz w:val="21"/>
          <w:szCs w:val="21"/>
          <w:highlight w:val="yellow"/>
        </w:rPr>
      </w:pPr>
    </w:p>
    <w:p w14:paraId="1F78D1A9" w14:textId="77777777" w:rsidR="004C54D0" w:rsidRDefault="004C54D0" w:rsidP="004C54D0">
      <w:pPr>
        <w:spacing w:after="0" w:line="276" w:lineRule="auto"/>
        <w:rPr>
          <w:rFonts w:asciiTheme="majorHAnsi" w:hAnsiTheme="majorHAnsi" w:cstheme="majorHAnsi"/>
          <w:sz w:val="23"/>
          <w:szCs w:val="23"/>
        </w:rPr>
      </w:pPr>
      <w:r>
        <w:rPr>
          <w:rFonts w:asciiTheme="majorHAnsi" w:hAnsiTheme="majorHAnsi" w:cstheme="majorHAnsi"/>
          <w:sz w:val="23"/>
          <w:szCs w:val="23"/>
        </w:rPr>
        <w:t>In building a picture of these three localities, general patterns of</w:t>
      </w:r>
      <w:r w:rsidRPr="00E91887">
        <w:rPr>
          <w:rFonts w:asciiTheme="majorHAnsi" w:hAnsiTheme="majorHAnsi" w:cstheme="majorHAnsi"/>
          <w:sz w:val="23"/>
          <w:szCs w:val="23"/>
        </w:rPr>
        <w:t xml:space="preserve"> ethnic diversity </w:t>
      </w:r>
      <w:r>
        <w:rPr>
          <w:rFonts w:asciiTheme="majorHAnsi" w:hAnsiTheme="majorHAnsi" w:cstheme="majorHAnsi"/>
          <w:sz w:val="23"/>
          <w:szCs w:val="23"/>
        </w:rPr>
        <w:t>and employment sectors provide useful background.</w:t>
      </w:r>
      <w:r w:rsidRPr="00E91887">
        <w:rPr>
          <w:rFonts w:asciiTheme="majorHAnsi" w:hAnsiTheme="majorHAnsi" w:cstheme="majorHAnsi"/>
          <w:sz w:val="23"/>
          <w:szCs w:val="23"/>
        </w:rPr>
        <w:t xml:space="preserve"> </w:t>
      </w:r>
      <w:r>
        <w:rPr>
          <w:rFonts w:asciiTheme="majorHAnsi" w:hAnsiTheme="majorHAnsi" w:cstheme="majorHAnsi"/>
          <w:sz w:val="23"/>
          <w:szCs w:val="23"/>
        </w:rPr>
        <w:t>As Table 7.3 (below) shows, all three suburbs have majority</w:t>
      </w:r>
      <w:r w:rsidRPr="00E91887">
        <w:rPr>
          <w:rFonts w:asciiTheme="majorHAnsi" w:hAnsiTheme="majorHAnsi" w:cstheme="majorHAnsi"/>
          <w:sz w:val="23"/>
          <w:szCs w:val="23"/>
        </w:rPr>
        <w:t xml:space="preserve"> Australian-born populations, </w:t>
      </w:r>
      <w:r>
        <w:rPr>
          <w:rFonts w:asciiTheme="majorHAnsi" w:hAnsiTheme="majorHAnsi" w:cstheme="majorHAnsi"/>
          <w:sz w:val="23"/>
          <w:szCs w:val="23"/>
        </w:rPr>
        <w:t>but there is also a</w:t>
      </w:r>
      <w:r w:rsidRPr="00E91887">
        <w:rPr>
          <w:rFonts w:asciiTheme="majorHAnsi" w:hAnsiTheme="majorHAnsi" w:cstheme="majorHAnsi"/>
          <w:sz w:val="23"/>
          <w:szCs w:val="23"/>
        </w:rPr>
        <w:t xml:space="preserve"> significant presence </w:t>
      </w:r>
      <w:r>
        <w:rPr>
          <w:rFonts w:asciiTheme="majorHAnsi" w:hAnsiTheme="majorHAnsi" w:cstheme="majorHAnsi"/>
          <w:sz w:val="23"/>
          <w:szCs w:val="23"/>
        </w:rPr>
        <w:t>of residents born outside Australia.</w:t>
      </w:r>
    </w:p>
    <w:p w14:paraId="79100A1F" w14:textId="77777777" w:rsidR="004C54D0" w:rsidRPr="007C77EC" w:rsidRDefault="004C54D0" w:rsidP="004C54D0">
      <w:pPr>
        <w:spacing w:after="0" w:line="276" w:lineRule="auto"/>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3003"/>
        <w:gridCol w:w="3003"/>
        <w:gridCol w:w="3010"/>
      </w:tblGrid>
      <w:tr w:rsidR="004C54D0" w:rsidRPr="00A02FEC" w14:paraId="53BC471C" w14:textId="77777777" w:rsidTr="00EA6395">
        <w:trPr>
          <w:trHeight w:val="384"/>
        </w:trPr>
        <w:tc>
          <w:tcPr>
            <w:tcW w:w="3163" w:type="dxa"/>
            <w:shd w:val="clear" w:color="auto" w:fill="D0CECE" w:themeFill="background2" w:themeFillShade="E6"/>
          </w:tcPr>
          <w:p w14:paraId="77613D45"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Corio</w:t>
            </w:r>
          </w:p>
        </w:tc>
        <w:tc>
          <w:tcPr>
            <w:tcW w:w="3163" w:type="dxa"/>
            <w:shd w:val="clear" w:color="auto" w:fill="D0CECE" w:themeFill="background2" w:themeFillShade="E6"/>
          </w:tcPr>
          <w:p w14:paraId="68788390"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Norlane</w:t>
            </w:r>
          </w:p>
        </w:tc>
        <w:tc>
          <w:tcPr>
            <w:tcW w:w="3165" w:type="dxa"/>
            <w:shd w:val="clear" w:color="auto" w:fill="D0CECE" w:themeFill="background2" w:themeFillShade="E6"/>
          </w:tcPr>
          <w:p w14:paraId="725C231F" w14:textId="77777777" w:rsidR="004C54D0" w:rsidRPr="00A02FEC" w:rsidRDefault="004C54D0" w:rsidP="00EA6395">
            <w:pPr>
              <w:spacing w:line="276" w:lineRule="auto"/>
              <w:rPr>
                <w:rFonts w:cstheme="minorHAnsi"/>
                <w:b/>
                <w:bCs/>
                <w:sz w:val="21"/>
                <w:szCs w:val="21"/>
              </w:rPr>
            </w:pPr>
            <w:r w:rsidRPr="00A02FEC">
              <w:rPr>
                <w:rFonts w:cstheme="minorHAnsi"/>
                <w:b/>
                <w:bCs/>
                <w:sz w:val="21"/>
                <w:szCs w:val="21"/>
              </w:rPr>
              <w:t>Whittington</w:t>
            </w:r>
          </w:p>
        </w:tc>
      </w:tr>
      <w:tr w:rsidR="004C54D0" w:rsidRPr="00A02FEC" w14:paraId="5E3E48D5" w14:textId="77777777" w:rsidTr="00EA6395">
        <w:trPr>
          <w:trHeight w:val="374"/>
        </w:trPr>
        <w:tc>
          <w:tcPr>
            <w:tcW w:w="3163" w:type="dxa"/>
          </w:tcPr>
          <w:p w14:paraId="7900D7E8"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Australia 68.3</w:t>
            </w:r>
          </w:p>
        </w:tc>
        <w:tc>
          <w:tcPr>
            <w:tcW w:w="3163" w:type="dxa"/>
          </w:tcPr>
          <w:p w14:paraId="3067DE36"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Australia 65.5</w:t>
            </w:r>
          </w:p>
        </w:tc>
        <w:tc>
          <w:tcPr>
            <w:tcW w:w="3165" w:type="dxa"/>
          </w:tcPr>
          <w:p w14:paraId="1BC48C12"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Australia 77.5</w:t>
            </w:r>
          </w:p>
        </w:tc>
      </w:tr>
      <w:tr w:rsidR="004C54D0" w:rsidRPr="00A02FEC" w14:paraId="1B645E8B" w14:textId="77777777" w:rsidTr="00EA6395">
        <w:trPr>
          <w:trHeight w:val="384"/>
        </w:trPr>
        <w:tc>
          <w:tcPr>
            <w:tcW w:w="3163" w:type="dxa"/>
          </w:tcPr>
          <w:p w14:paraId="167CF95C"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England 3.1</w:t>
            </w:r>
          </w:p>
        </w:tc>
        <w:tc>
          <w:tcPr>
            <w:tcW w:w="3163" w:type="dxa"/>
          </w:tcPr>
          <w:p w14:paraId="5376FA10"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Croatia 1.9</w:t>
            </w:r>
          </w:p>
        </w:tc>
        <w:tc>
          <w:tcPr>
            <w:tcW w:w="3165" w:type="dxa"/>
          </w:tcPr>
          <w:p w14:paraId="16642822"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England 3.1</w:t>
            </w:r>
          </w:p>
        </w:tc>
      </w:tr>
      <w:tr w:rsidR="004C54D0" w:rsidRPr="00A02FEC" w14:paraId="534F588B" w14:textId="77777777" w:rsidTr="00EA6395">
        <w:trPr>
          <w:trHeight w:val="384"/>
        </w:trPr>
        <w:tc>
          <w:tcPr>
            <w:tcW w:w="3163" w:type="dxa"/>
          </w:tcPr>
          <w:p w14:paraId="748BCB31"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Afghanistan 1.9</w:t>
            </w:r>
          </w:p>
        </w:tc>
        <w:tc>
          <w:tcPr>
            <w:tcW w:w="3163" w:type="dxa"/>
          </w:tcPr>
          <w:p w14:paraId="31FF08B1"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England 1.8</w:t>
            </w:r>
          </w:p>
        </w:tc>
        <w:tc>
          <w:tcPr>
            <w:tcW w:w="3165" w:type="dxa"/>
          </w:tcPr>
          <w:p w14:paraId="1FFD4BBD"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New Zealand .0</w:t>
            </w:r>
          </w:p>
        </w:tc>
      </w:tr>
      <w:tr w:rsidR="004C54D0" w:rsidRPr="00A02FEC" w14:paraId="3B76B9D8" w14:textId="77777777" w:rsidTr="00EA6395">
        <w:trPr>
          <w:trHeight w:val="384"/>
        </w:trPr>
        <w:tc>
          <w:tcPr>
            <w:tcW w:w="3163" w:type="dxa"/>
          </w:tcPr>
          <w:p w14:paraId="26049FE5"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Myanmar 1.8</w:t>
            </w:r>
          </w:p>
        </w:tc>
        <w:tc>
          <w:tcPr>
            <w:tcW w:w="3163" w:type="dxa"/>
          </w:tcPr>
          <w:p w14:paraId="1A76CE0A"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Macedonia 1.6</w:t>
            </w:r>
          </w:p>
        </w:tc>
        <w:tc>
          <w:tcPr>
            <w:tcW w:w="3165" w:type="dxa"/>
          </w:tcPr>
          <w:p w14:paraId="5ACB11CD"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Philippines 0.7</w:t>
            </w:r>
          </w:p>
        </w:tc>
      </w:tr>
      <w:tr w:rsidR="004C54D0" w:rsidRPr="00A02FEC" w14:paraId="21624513" w14:textId="77777777" w:rsidTr="00EA6395">
        <w:trPr>
          <w:trHeight w:val="374"/>
        </w:trPr>
        <w:tc>
          <w:tcPr>
            <w:tcW w:w="3163" w:type="dxa"/>
          </w:tcPr>
          <w:p w14:paraId="54C45B2D"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Thailand 1.5</w:t>
            </w:r>
          </w:p>
        </w:tc>
        <w:tc>
          <w:tcPr>
            <w:tcW w:w="3163" w:type="dxa"/>
          </w:tcPr>
          <w:p w14:paraId="0BEAA0AC"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Afghanistan 1.9</w:t>
            </w:r>
          </w:p>
        </w:tc>
        <w:tc>
          <w:tcPr>
            <w:tcW w:w="3165" w:type="dxa"/>
          </w:tcPr>
          <w:p w14:paraId="4322995C"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Scotland 0.7</w:t>
            </w:r>
          </w:p>
        </w:tc>
      </w:tr>
      <w:tr w:rsidR="004C54D0" w:rsidRPr="00A02FEC" w14:paraId="45770E7F" w14:textId="77777777" w:rsidTr="00EA6395">
        <w:trPr>
          <w:trHeight w:val="384"/>
        </w:trPr>
        <w:tc>
          <w:tcPr>
            <w:tcW w:w="3163" w:type="dxa"/>
          </w:tcPr>
          <w:p w14:paraId="5200BDE5"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Philippines 1.2</w:t>
            </w:r>
          </w:p>
        </w:tc>
        <w:tc>
          <w:tcPr>
            <w:tcW w:w="3163" w:type="dxa"/>
          </w:tcPr>
          <w:p w14:paraId="0181EBC9"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Philippines 1.0</w:t>
            </w:r>
          </w:p>
        </w:tc>
        <w:tc>
          <w:tcPr>
            <w:tcW w:w="3165" w:type="dxa"/>
          </w:tcPr>
          <w:p w14:paraId="703F3F94" w14:textId="77777777" w:rsidR="004C54D0" w:rsidRPr="00A02FEC" w:rsidRDefault="004C54D0" w:rsidP="00EA6395">
            <w:pPr>
              <w:spacing w:line="276" w:lineRule="auto"/>
              <w:rPr>
                <w:rFonts w:asciiTheme="majorHAnsi" w:hAnsiTheme="majorHAnsi" w:cstheme="majorHAnsi"/>
                <w:sz w:val="21"/>
                <w:szCs w:val="21"/>
              </w:rPr>
            </w:pPr>
            <w:r w:rsidRPr="00A02FEC">
              <w:rPr>
                <w:rFonts w:asciiTheme="majorHAnsi" w:hAnsiTheme="majorHAnsi" w:cstheme="majorHAnsi"/>
                <w:sz w:val="21"/>
                <w:szCs w:val="21"/>
              </w:rPr>
              <w:t>Netherlands 0.7</w:t>
            </w:r>
          </w:p>
        </w:tc>
      </w:tr>
    </w:tbl>
    <w:p w14:paraId="0068FF13" w14:textId="77777777" w:rsidR="004C54D0" w:rsidRDefault="004C54D0" w:rsidP="004C54D0">
      <w:pPr>
        <w:spacing w:after="0" w:line="276" w:lineRule="auto"/>
        <w:rPr>
          <w:rFonts w:cstheme="minorHAnsi"/>
          <w:b/>
          <w:noProof/>
          <w:sz w:val="21"/>
          <w:szCs w:val="21"/>
        </w:rPr>
      </w:pPr>
      <w:r w:rsidRPr="00A02FEC">
        <w:rPr>
          <w:rFonts w:cstheme="minorHAnsi"/>
          <w:b/>
          <w:sz w:val="21"/>
          <w:szCs w:val="21"/>
        </w:rPr>
        <w:t>Table 7.3</w:t>
      </w:r>
      <w:r w:rsidRPr="00A02FEC">
        <w:rPr>
          <w:rFonts w:cstheme="minorHAnsi"/>
          <w:b/>
          <w:bCs/>
          <w:sz w:val="21"/>
          <w:szCs w:val="21"/>
        </w:rPr>
        <w:t>:</w:t>
      </w:r>
      <w:r w:rsidRPr="00A02FEC">
        <w:rPr>
          <w:rFonts w:cstheme="minorHAnsi"/>
          <w:b/>
          <w:sz w:val="21"/>
          <w:szCs w:val="21"/>
        </w:rPr>
        <w:t xml:space="preserve"> </w:t>
      </w:r>
      <w:r w:rsidRPr="00A02FEC">
        <w:rPr>
          <w:rFonts w:cstheme="minorHAnsi"/>
          <w:b/>
          <w:bCs/>
          <w:sz w:val="21"/>
          <w:szCs w:val="21"/>
        </w:rPr>
        <w:t xml:space="preserve">Corio, Norlane, Whittington: </w:t>
      </w:r>
      <w:r w:rsidRPr="00A02FEC">
        <w:rPr>
          <w:rFonts w:cstheme="minorHAnsi"/>
          <w:b/>
          <w:sz w:val="21"/>
          <w:szCs w:val="21"/>
        </w:rPr>
        <w:t>Top 5 Countries of Birth</w:t>
      </w:r>
      <w:r>
        <w:rPr>
          <w:rFonts w:cstheme="minorHAnsi"/>
          <w:b/>
          <w:sz w:val="21"/>
          <w:szCs w:val="21"/>
        </w:rPr>
        <w:t xml:space="preserve"> </w:t>
      </w:r>
      <w:r w:rsidRPr="00A02FEC">
        <w:rPr>
          <w:rFonts w:cstheme="minorHAnsi"/>
          <w:b/>
          <w:sz w:val="21"/>
          <w:szCs w:val="21"/>
        </w:rPr>
        <w:t xml:space="preserve">(Source: </w:t>
      </w:r>
      <w:r w:rsidRPr="00A02FEC">
        <w:rPr>
          <w:rFonts w:cstheme="minorHAnsi"/>
          <w:b/>
          <w:noProof/>
          <w:sz w:val="21"/>
          <w:szCs w:val="21"/>
        </w:rPr>
        <w:t>ABS, 2016)</w:t>
      </w:r>
    </w:p>
    <w:p w14:paraId="58645514" w14:textId="77777777" w:rsidR="004C54D0" w:rsidRDefault="004C54D0" w:rsidP="004C54D0">
      <w:pPr>
        <w:spacing w:after="0" w:line="276" w:lineRule="auto"/>
        <w:rPr>
          <w:rFonts w:cstheme="minorHAnsi"/>
          <w:b/>
          <w:noProof/>
          <w:sz w:val="21"/>
          <w:szCs w:val="21"/>
        </w:rPr>
      </w:pPr>
    </w:p>
    <w:p w14:paraId="1386FD4A" w14:textId="77777777" w:rsidR="004C54D0" w:rsidRDefault="004C54D0" w:rsidP="004C54D0">
      <w:pPr>
        <w:spacing w:line="276" w:lineRule="auto"/>
        <w:rPr>
          <w:rFonts w:asciiTheme="majorHAnsi" w:hAnsiTheme="majorHAnsi" w:cstheme="majorHAnsi"/>
          <w:sz w:val="23"/>
          <w:szCs w:val="23"/>
        </w:rPr>
      </w:pPr>
      <w:r w:rsidRPr="007C77EC">
        <w:rPr>
          <w:rFonts w:asciiTheme="majorHAnsi" w:hAnsiTheme="majorHAnsi" w:cstheme="majorHAnsi"/>
          <w:sz w:val="23"/>
          <w:szCs w:val="23"/>
        </w:rPr>
        <w:t xml:space="preserve">The main areas of local employment </w:t>
      </w:r>
      <w:r>
        <w:rPr>
          <w:rFonts w:asciiTheme="majorHAnsi" w:hAnsiTheme="majorHAnsi" w:cstheme="majorHAnsi"/>
          <w:sz w:val="23"/>
          <w:szCs w:val="23"/>
        </w:rPr>
        <w:t xml:space="preserve">for the three localities </w:t>
      </w:r>
      <w:r w:rsidRPr="007C77EC">
        <w:rPr>
          <w:rFonts w:asciiTheme="majorHAnsi" w:hAnsiTheme="majorHAnsi" w:cstheme="majorHAnsi"/>
          <w:sz w:val="23"/>
          <w:szCs w:val="23"/>
        </w:rPr>
        <w:t xml:space="preserve">are outlined in Table 7.4 (below). This data confirms the correlation of low education and income levels with relatively unskilled, service sector employment. </w:t>
      </w:r>
      <w:r>
        <w:rPr>
          <w:rFonts w:asciiTheme="majorHAnsi" w:hAnsiTheme="majorHAnsi" w:cstheme="majorHAnsi"/>
          <w:sz w:val="23"/>
          <w:szCs w:val="23"/>
        </w:rPr>
        <w:t>As noted elsewhere,</w:t>
      </w:r>
      <w:r w:rsidRPr="007C77EC">
        <w:rPr>
          <w:rFonts w:asciiTheme="majorHAnsi" w:hAnsiTheme="majorHAnsi" w:cstheme="majorHAnsi"/>
          <w:sz w:val="23"/>
          <w:szCs w:val="23"/>
        </w:rPr>
        <w:t xml:space="preserve"> these </w:t>
      </w:r>
      <w:r>
        <w:rPr>
          <w:rFonts w:asciiTheme="majorHAnsi" w:hAnsiTheme="majorHAnsi" w:cstheme="majorHAnsi"/>
          <w:sz w:val="23"/>
          <w:szCs w:val="23"/>
        </w:rPr>
        <w:t xml:space="preserve">sectors have </w:t>
      </w:r>
      <w:r w:rsidRPr="007C77EC">
        <w:rPr>
          <w:rFonts w:asciiTheme="majorHAnsi" w:hAnsiTheme="majorHAnsi" w:cstheme="majorHAnsi"/>
          <w:sz w:val="23"/>
          <w:szCs w:val="23"/>
        </w:rPr>
        <w:t>not</w:t>
      </w:r>
      <w:r>
        <w:rPr>
          <w:rFonts w:asciiTheme="majorHAnsi" w:hAnsiTheme="majorHAnsi" w:cstheme="majorHAnsi"/>
          <w:sz w:val="23"/>
          <w:szCs w:val="23"/>
        </w:rPr>
        <w:t xml:space="preserve"> been hit</w:t>
      </w:r>
      <w:r w:rsidRPr="007C77EC">
        <w:rPr>
          <w:rFonts w:asciiTheme="majorHAnsi" w:hAnsiTheme="majorHAnsi" w:cstheme="majorHAnsi"/>
          <w:sz w:val="23"/>
          <w:szCs w:val="23"/>
        </w:rPr>
        <w:t xml:space="preserve"> particularly hard </w:t>
      </w:r>
      <w:r>
        <w:rPr>
          <w:rFonts w:asciiTheme="majorHAnsi" w:hAnsiTheme="majorHAnsi" w:cstheme="majorHAnsi"/>
          <w:sz w:val="23"/>
          <w:szCs w:val="23"/>
        </w:rPr>
        <w:t>by the pandemic.</w:t>
      </w:r>
      <w:r w:rsidRPr="007C77EC">
        <w:rPr>
          <w:rFonts w:asciiTheme="majorHAnsi" w:hAnsiTheme="majorHAnsi" w:cstheme="majorHAnsi"/>
          <w:sz w:val="23"/>
          <w:szCs w:val="23"/>
        </w:rPr>
        <w:t xml:space="preserve"> </w:t>
      </w:r>
      <w:r>
        <w:rPr>
          <w:rFonts w:asciiTheme="majorHAnsi" w:hAnsiTheme="majorHAnsi" w:cstheme="majorHAnsi"/>
          <w:sz w:val="23"/>
          <w:szCs w:val="23"/>
        </w:rPr>
        <w:t>Indeed, f</w:t>
      </w:r>
      <w:r w:rsidRPr="007C77EC">
        <w:rPr>
          <w:rFonts w:asciiTheme="majorHAnsi" w:hAnsiTheme="majorHAnsi" w:cstheme="majorHAnsi"/>
          <w:sz w:val="23"/>
          <w:szCs w:val="23"/>
        </w:rPr>
        <w:t xml:space="preserve">ood retail, aged and healthcare, cleaning, and transport became even more vital – if not overly lucrative – areas of employment during COVID-19 lockdowns and movement restrictions. This pattern may help explain why unemployment rates </w:t>
      </w:r>
      <w:proofErr w:type="gramStart"/>
      <w:r w:rsidRPr="00E91887">
        <w:rPr>
          <w:rFonts w:asciiTheme="majorHAnsi" w:hAnsiTheme="majorHAnsi" w:cstheme="majorHAnsi"/>
          <w:sz w:val="23"/>
          <w:szCs w:val="23"/>
        </w:rPr>
        <w:t>actually went</w:t>
      </w:r>
      <w:proofErr w:type="gramEnd"/>
      <w:r w:rsidRPr="00E91887">
        <w:rPr>
          <w:rFonts w:asciiTheme="majorHAnsi" w:hAnsiTheme="majorHAnsi" w:cstheme="majorHAnsi"/>
          <w:sz w:val="23"/>
          <w:szCs w:val="23"/>
        </w:rPr>
        <w:t xml:space="preserve"> down in these localities </w:t>
      </w:r>
      <w:r w:rsidRPr="007C77EC">
        <w:rPr>
          <w:rFonts w:asciiTheme="majorHAnsi" w:hAnsiTheme="majorHAnsi" w:cstheme="majorHAnsi"/>
          <w:sz w:val="23"/>
          <w:szCs w:val="23"/>
        </w:rPr>
        <w:t xml:space="preserve">over </w:t>
      </w:r>
      <w:r>
        <w:rPr>
          <w:rFonts w:asciiTheme="majorHAnsi" w:hAnsiTheme="majorHAnsi" w:cstheme="majorHAnsi"/>
          <w:sz w:val="23"/>
          <w:szCs w:val="23"/>
        </w:rPr>
        <w:t>the</w:t>
      </w:r>
      <w:r w:rsidRPr="007C77EC">
        <w:rPr>
          <w:rFonts w:asciiTheme="majorHAnsi" w:hAnsiTheme="majorHAnsi" w:cstheme="majorHAnsi"/>
          <w:sz w:val="23"/>
          <w:szCs w:val="23"/>
        </w:rPr>
        <w:t xml:space="preserve"> first part of 2020 </w:t>
      </w:r>
      <w:r w:rsidRPr="00E91887">
        <w:rPr>
          <w:rFonts w:asciiTheme="majorHAnsi" w:hAnsiTheme="majorHAnsi" w:cstheme="majorHAnsi"/>
          <w:sz w:val="23"/>
          <w:szCs w:val="23"/>
        </w:rPr>
        <w:t xml:space="preserve">(see </w:t>
      </w:r>
      <w:r>
        <w:rPr>
          <w:rFonts w:asciiTheme="majorHAnsi" w:hAnsiTheme="majorHAnsi" w:cstheme="majorHAnsi"/>
          <w:sz w:val="23"/>
          <w:szCs w:val="23"/>
        </w:rPr>
        <w:t>COVID</w:t>
      </w:r>
      <w:r w:rsidRPr="00E91887">
        <w:rPr>
          <w:rFonts w:asciiTheme="majorHAnsi" w:hAnsiTheme="majorHAnsi" w:cstheme="majorHAnsi"/>
          <w:sz w:val="23"/>
          <w:szCs w:val="23"/>
        </w:rPr>
        <w:t>-19 Impact</w:t>
      </w:r>
      <w:r>
        <w:rPr>
          <w:rFonts w:asciiTheme="majorHAnsi" w:hAnsiTheme="majorHAnsi" w:cstheme="majorHAnsi"/>
          <w:sz w:val="23"/>
          <w:szCs w:val="23"/>
        </w:rPr>
        <w:t>s: Sections 7 and 8</w:t>
      </w:r>
      <w:r w:rsidRPr="00E91887">
        <w:rPr>
          <w:rFonts w:asciiTheme="majorHAnsi" w:hAnsiTheme="majorHAnsi" w:cstheme="majorHAnsi"/>
          <w:sz w:val="23"/>
          <w:szCs w:val="23"/>
        </w:rPr>
        <w:t>).</w:t>
      </w:r>
    </w:p>
    <w:tbl>
      <w:tblPr>
        <w:tblStyle w:val="TableGrid"/>
        <w:tblW w:w="0" w:type="auto"/>
        <w:tblLook w:val="04A0" w:firstRow="1" w:lastRow="0" w:firstColumn="1" w:lastColumn="0" w:noHBand="0" w:noVBand="1"/>
      </w:tblPr>
      <w:tblGrid>
        <w:gridCol w:w="3006"/>
        <w:gridCol w:w="3006"/>
        <w:gridCol w:w="3004"/>
      </w:tblGrid>
      <w:tr w:rsidR="004C54D0" w:rsidRPr="0062191F" w14:paraId="52ECAAF5" w14:textId="77777777" w:rsidTr="00EA6395">
        <w:trPr>
          <w:trHeight w:val="484"/>
        </w:trPr>
        <w:tc>
          <w:tcPr>
            <w:tcW w:w="3195" w:type="dxa"/>
            <w:shd w:val="clear" w:color="auto" w:fill="D0CECE" w:themeFill="background2" w:themeFillShade="E6"/>
            <w:vAlign w:val="center"/>
          </w:tcPr>
          <w:p w14:paraId="3CAFACEA" w14:textId="77777777" w:rsidR="004C54D0" w:rsidRPr="0062191F" w:rsidRDefault="004C54D0" w:rsidP="00EA6395">
            <w:pPr>
              <w:spacing w:line="276" w:lineRule="auto"/>
              <w:rPr>
                <w:rFonts w:cstheme="minorHAnsi"/>
                <w:b/>
                <w:bCs/>
                <w:sz w:val="21"/>
                <w:szCs w:val="21"/>
              </w:rPr>
            </w:pPr>
            <w:r w:rsidRPr="0062191F">
              <w:rPr>
                <w:rFonts w:cstheme="minorHAnsi"/>
                <w:b/>
                <w:bCs/>
                <w:sz w:val="21"/>
                <w:szCs w:val="21"/>
              </w:rPr>
              <w:t>Corio</w:t>
            </w:r>
          </w:p>
        </w:tc>
        <w:tc>
          <w:tcPr>
            <w:tcW w:w="3195" w:type="dxa"/>
            <w:shd w:val="clear" w:color="auto" w:fill="D0CECE" w:themeFill="background2" w:themeFillShade="E6"/>
            <w:vAlign w:val="center"/>
          </w:tcPr>
          <w:p w14:paraId="3A896D37" w14:textId="77777777" w:rsidR="004C54D0" w:rsidRPr="0062191F" w:rsidRDefault="004C54D0" w:rsidP="00EA6395">
            <w:pPr>
              <w:spacing w:line="276" w:lineRule="auto"/>
              <w:rPr>
                <w:rFonts w:cstheme="minorHAnsi"/>
                <w:b/>
                <w:bCs/>
                <w:sz w:val="21"/>
                <w:szCs w:val="21"/>
              </w:rPr>
            </w:pPr>
            <w:r w:rsidRPr="0062191F">
              <w:rPr>
                <w:rFonts w:cstheme="minorHAnsi"/>
                <w:b/>
                <w:bCs/>
                <w:sz w:val="21"/>
                <w:szCs w:val="21"/>
              </w:rPr>
              <w:t>Norlane</w:t>
            </w:r>
          </w:p>
        </w:tc>
        <w:tc>
          <w:tcPr>
            <w:tcW w:w="3196" w:type="dxa"/>
            <w:shd w:val="clear" w:color="auto" w:fill="D0CECE" w:themeFill="background2" w:themeFillShade="E6"/>
            <w:vAlign w:val="center"/>
          </w:tcPr>
          <w:p w14:paraId="452FB983" w14:textId="77777777" w:rsidR="004C54D0" w:rsidRPr="0062191F" w:rsidRDefault="004C54D0" w:rsidP="00EA6395">
            <w:pPr>
              <w:spacing w:line="276" w:lineRule="auto"/>
              <w:rPr>
                <w:rFonts w:cstheme="minorHAnsi"/>
                <w:b/>
                <w:bCs/>
                <w:sz w:val="21"/>
                <w:szCs w:val="21"/>
              </w:rPr>
            </w:pPr>
            <w:r w:rsidRPr="0062191F">
              <w:rPr>
                <w:rFonts w:cstheme="minorHAnsi"/>
                <w:b/>
                <w:bCs/>
                <w:sz w:val="21"/>
                <w:szCs w:val="21"/>
              </w:rPr>
              <w:t>Whittington</w:t>
            </w:r>
          </w:p>
        </w:tc>
      </w:tr>
      <w:tr w:rsidR="004C54D0" w:rsidRPr="007C77EC" w14:paraId="3F6F3091" w14:textId="77777777" w:rsidTr="00EA6395">
        <w:trPr>
          <w:trHeight w:val="484"/>
        </w:trPr>
        <w:tc>
          <w:tcPr>
            <w:tcW w:w="3195" w:type="dxa"/>
            <w:vAlign w:val="center"/>
          </w:tcPr>
          <w:p w14:paraId="5C676712"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Supermarket and Grocery</w:t>
            </w:r>
          </w:p>
        </w:tc>
        <w:tc>
          <w:tcPr>
            <w:tcW w:w="3195" w:type="dxa"/>
            <w:vAlign w:val="center"/>
          </w:tcPr>
          <w:p w14:paraId="05EA173A"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Other Social Assistance</w:t>
            </w:r>
          </w:p>
        </w:tc>
        <w:tc>
          <w:tcPr>
            <w:tcW w:w="3196" w:type="dxa"/>
            <w:vAlign w:val="center"/>
          </w:tcPr>
          <w:p w14:paraId="0089BEF3"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Hospitals</w:t>
            </w:r>
          </w:p>
        </w:tc>
      </w:tr>
      <w:tr w:rsidR="004C54D0" w:rsidRPr="007C77EC" w14:paraId="67984BA2" w14:textId="77777777" w:rsidTr="00EA6395">
        <w:trPr>
          <w:trHeight w:val="484"/>
        </w:trPr>
        <w:tc>
          <w:tcPr>
            <w:tcW w:w="3195" w:type="dxa"/>
            <w:vAlign w:val="center"/>
          </w:tcPr>
          <w:p w14:paraId="27A6FEAC"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Takeaway food</w:t>
            </w:r>
          </w:p>
        </w:tc>
        <w:tc>
          <w:tcPr>
            <w:tcW w:w="3195" w:type="dxa"/>
            <w:vAlign w:val="center"/>
          </w:tcPr>
          <w:p w14:paraId="4C84E32D"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Aged Care Residential Services</w:t>
            </w:r>
          </w:p>
        </w:tc>
        <w:tc>
          <w:tcPr>
            <w:tcW w:w="3196" w:type="dxa"/>
            <w:vAlign w:val="center"/>
          </w:tcPr>
          <w:p w14:paraId="210C1542"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Aged Care Residential Services</w:t>
            </w:r>
          </w:p>
        </w:tc>
      </w:tr>
      <w:tr w:rsidR="004C54D0" w:rsidRPr="007C77EC" w14:paraId="3BA86FDD" w14:textId="77777777" w:rsidTr="00EA6395">
        <w:trPr>
          <w:trHeight w:val="484"/>
        </w:trPr>
        <w:tc>
          <w:tcPr>
            <w:tcW w:w="3195" w:type="dxa"/>
            <w:vAlign w:val="center"/>
          </w:tcPr>
          <w:p w14:paraId="589A6AB4"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Hospitals</w:t>
            </w:r>
          </w:p>
        </w:tc>
        <w:tc>
          <w:tcPr>
            <w:tcW w:w="3195" w:type="dxa"/>
            <w:vAlign w:val="center"/>
          </w:tcPr>
          <w:p w14:paraId="36FC67F6"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Supermarket and Grocery</w:t>
            </w:r>
          </w:p>
        </w:tc>
        <w:tc>
          <w:tcPr>
            <w:tcW w:w="3196" w:type="dxa"/>
            <w:vAlign w:val="center"/>
          </w:tcPr>
          <w:p w14:paraId="0C2D29C7"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Other Social Assistance</w:t>
            </w:r>
          </w:p>
        </w:tc>
      </w:tr>
      <w:tr w:rsidR="004C54D0" w:rsidRPr="007C77EC" w14:paraId="0DA1F1A0" w14:textId="77777777" w:rsidTr="00EA6395">
        <w:trPr>
          <w:trHeight w:val="484"/>
        </w:trPr>
        <w:tc>
          <w:tcPr>
            <w:tcW w:w="3195" w:type="dxa"/>
            <w:vAlign w:val="center"/>
          </w:tcPr>
          <w:p w14:paraId="47D85072"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Road Freight Transport</w:t>
            </w:r>
          </w:p>
        </w:tc>
        <w:tc>
          <w:tcPr>
            <w:tcW w:w="3195" w:type="dxa"/>
            <w:vAlign w:val="center"/>
          </w:tcPr>
          <w:p w14:paraId="5092F31D"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Hospitals</w:t>
            </w:r>
          </w:p>
        </w:tc>
        <w:tc>
          <w:tcPr>
            <w:tcW w:w="3196" w:type="dxa"/>
            <w:vAlign w:val="center"/>
          </w:tcPr>
          <w:p w14:paraId="3085873D"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Takeaway food</w:t>
            </w:r>
          </w:p>
        </w:tc>
      </w:tr>
      <w:tr w:rsidR="004C54D0" w:rsidRPr="007C77EC" w14:paraId="7F362C91" w14:textId="77777777" w:rsidTr="00EA6395">
        <w:trPr>
          <w:trHeight w:val="484"/>
        </w:trPr>
        <w:tc>
          <w:tcPr>
            <w:tcW w:w="3195" w:type="dxa"/>
            <w:vAlign w:val="center"/>
          </w:tcPr>
          <w:p w14:paraId="18BF3F06"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Aged Care Residential Services</w:t>
            </w:r>
          </w:p>
        </w:tc>
        <w:tc>
          <w:tcPr>
            <w:tcW w:w="3195" w:type="dxa"/>
            <w:vAlign w:val="center"/>
          </w:tcPr>
          <w:p w14:paraId="7BE18FFC" w14:textId="77777777" w:rsidR="004C54D0" w:rsidRPr="007C77EC" w:rsidRDefault="004C54D0" w:rsidP="00EA6395">
            <w:pPr>
              <w:spacing w:line="276" w:lineRule="auto"/>
              <w:rPr>
                <w:rFonts w:asciiTheme="majorHAnsi" w:hAnsiTheme="majorHAnsi" w:cstheme="majorHAnsi"/>
                <w:sz w:val="21"/>
                <w:szCs w:val="21"/>
              </w:rPr>
            </w:pPr>
            <w:r w:rsidRPr="007C77EC">
              <w:rPr>
                <w:rFonts w:asciiTheme="majorHAnsi" w:hAnsiTheme="majorHAnsi" w:cstheme="majorHAnsi"/>
                <w:sz w:val="21"/>
                <w:szCs w:val="21"/>
              </w:rPr>
              <w:t>Building and Other Cleaning</w:t>
            </w:r>
          </w:p>
        </w:tc>
        <w:tc>
          <w:tcPr>
            <w:tcW w:w="3196" w:type="dxa"/>
            <w:vAlign w:val="center"/>
          </w:tcPr>
          <w:p w14:paraId="175DA957" w14:textId="77777777" w:rsidR="004C54D0" w:rsidRPr="007C77EC" w:rsidRDefault="004C54D0" w:rsidP="00EA6395">
            <w:pPr>
              <w:spacing w:line="276" w:lineRule="auto"/>
              <w:rPr>
                <w:rFonts w:asciiTheme="majorHAnsi" w:hAnsiTheme="majorHAnsi" w:cstheme="majorHAnsi"/>
                <w:b/>
                <w:bCs/>
                <w:sz w:val="21"/>
                <w:szCs w:val="21"/>
              </w:rPr>
            </w:pPr>
            <w:r w:rsidRPr="007C77EC">
              <w:rPr>
                <w:rFonts w:asciiTheme="majorHAnsi" w:hAnsiTheme="majorHAnsi" w:cstheme="majorHAnsi"/>
                <w:sz w:val="21"/>
                <w:szCs w:val="21"/>
              </w:rPr>
              <w:t>Building and Other Cleaning</w:t>
            </w:r>
          </w:p>
        </w:tc>
      </w:tr>
    </w:tbl>
    <w:p w14:paraId="5C58BF32" w14:textId="77777777" w:rsidR="004C54D0" w:rsidRPr="00F353BE" w:rsidRDefault="004C54D0" w:rsidP="004C54D0">
      <w:pPr>
        <w:spacing w:after="0" w:line="240" w:lineRule="auto"/>
        <w:rPr>
          <w:rFonts w:cstheme="minorHAnsi"/>
          <w:b/>
          <w:sz w:val="21"/>
          <w:szCs w:val="21"/>
        </w:rPr>
      </w:pPr>
      <w:r w:rsidRPr="00F353BE">
        <w:rPr>
          <w:rFonts w:cstheme="minorHAnsi"/>
          <w:b/>
          <w:sz w:val="21"/>
          <w:szCs w:val="21"/>
        </w:rPr>
        <w:t>Table 7.4: Corio, Norlane, Whittington: Top 5 Industries of Employment</w:t>
      </w:r>
      <w:r>
        <w:rPr>
          <w:rFonts w:cstheme="minorHAnsi"/>
          <w:b/>
          <w:sz w:val="21"/>
          <w:szCs w:val="21"/>
        </w:rPr>
        <w:t xml:space="preserve"> </w:t>
      </w:r>
      <w:r w:rsidRPr="00F353BE">
        <w:rPr>
          <w:rFonts w:cstheme="minorHAnsi"/>
          <w:b/>
          <w:noProof/>
          <w:sz w:val="21"/>
          <w:szCs w:val="21"/>
        </w:rPr>
        <w:t xml:space="preserve">(Source: </w:t>
      </w:r>
      <w:r>
        <w:rPr>
          <w:rFonts w:cstheme="minorHAnsi"/>
          <w:b/>
          <w:noProof/>
          <w:sz w:val="21"/>
          <w:szCs w:val="21"/>
        </w:rPr>
        <w:t>ABS</w:t>
      </w:r>
      <w:r w:rsidRPr="00F353BE">
        <w:rPr>
          <w:rFonts w:cstheme="minorHAnsi"/>
          <w:b/>
          <w:noProof/>
          <w:sz w:val="21"/>
          <w:szCs w:val="21"/>
        </w:rPr>
        <w:t>, 2016)</w:t>
      </w:r>
    </w:p>
    <w:p w14:paraId="42CE6893" w14:textId="77777777" w:rsidR="004C54D0" w:rsidRDefault="004C54D0"/>
    <w:sectPr w:rsidR="004C54D0" w:rsidSect="004C54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AC63" w14:textId="77777777" w:rsidR="004C54D0" w:rsidRDefault="004C54D0" w:rsidP="004C54D0">
      <w:pPr>
        <w:spacing w:after="0" w:line="240" w:lineRule="auto"/>
      </w:pPr>
      <w:r>
        <w:separator/>
      </w:r>
    </w:p>
  </w:endnote>
  <w:endnote w:type="continuationSeparator" w:id="0">
    <w:p w14:paraId="64F10A13" w14:textId="77777777" w:rsidR="004C54D0" w:rsidRDefault="004C54D0" w:rsidP="004C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243A" w14:textId="77777777" w:rsidR="004F754C" w:rsidRDefault="004F7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576578"/>
      <w:docPartObj>
        <w:docPartGallery w:val="Page Numbers (Bottom of Page)"/>
        <w:docPartUnique/>
      </w:docPartObj>
    </w:sdtPr>
    <w:sdtEndPr>
      <w:rPr>
        <w:noProof/>
      </w:rPr>
    </w:sdtEndPr>
    <w:sdtContent>
      <w:p w14:paraId="336CADEB" w14:textId="4A4F4B9F" w:rsidR="001178B2" w:rsidRDefault="00117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B6B9A" w14:textId="77777777" w:rsidR="004C54D0" w:rsidRDefault="004C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1AB9" w14:textId="77777777" w:rsidR="004F754C" w:rsidRDefault="004F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9730" w14:textId="77777777" w:rsidR="004C54D0" w:rsidRDefault="004C54D0" w:rsidP="004C54D0">
      <w:pPr>
        <w:spacing w:after="0" w:line="240" w:lineRule="auto"/>
      </w:pPr>
      <w:r>
        <w:separator/>
      </w:r>
    </w:p>
  </w:footnote>
  <w:footnote w:type="continuationSeparator" w:id="0">
    <w:p w14:paraId="1EC284E8" w14:textId="77777777" w:rsidR="004C54D0" w:rsidRDefault="004C54D0" w:rsidP="004C5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B897" w14:textId="77777777" w:rsidR="004F754C" w:rsidRDefault="004F7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6139" w14:textId="77777777" w:rsidR="004F754C" w:rsidRDefault="004F7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7B84" w14:textId="77777777" w:rsidR="004F754C" w:rsidRDefault="004F7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D0"/>
    <w:rsid w:val="001178B2"/>
    <w:rsid w:val="004C54D0"/>
    <w:rsid w:val="004F7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4F93E"/>
  <w15:chartTrackingRefBased/>
  <w15:docId w15:val="{8D68CA94-6DB4-4CAF-853E-6D2A69D7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4D0"/>
  </w:style>
  <w:style w:type="paragraph" w:styleId="Footer">
    <w:name w:val="footer"/>
    <w:basedOn w:val="Normal"/>
    <w:link w:val="FooterChar"/>
    <w:uiPriority w:val="99"/>
    <w:unhideWhenUsed/>
    <w:rsid w:val="004C5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4D0"/>
  </w:style>
  <w:style w:type="table" w:styleId="TableGrid">
    <w:name w:val="Table Grid"/>
    <w:basedOn w:val="TableNormal"/>
    <w:uiPriority w:val="39"/>
    <w:rsid w:val="004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D8D5FA8-26AA-490E-A91A-EA163E7B2B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Rhiannon Tanner</cp:lastModifiedBy>
  <cp:revision>2</cp:revision>
  <dcterms:created xsi:type="dcterms:W3CDTF">2022-08-02T02:31:00Z</dcterms:created>
  <dcterms:modified xsi:type="dcterms:W3CDTF">2022-08-02T02:31:00Z</dcterms:modified>
</cp:coreProperties>
</file>