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6BB5" w14:textId="14375EB6" w:rsidR="008D76FE" w:rsidRPr="00590193" w:rsidRDefault="00590193" w:rsidP="00590193">
      <w:pPr>
        <w:pStyle w:val="Heading1"/>
        <w:rPr>
          <w:b/>
          <w:bCs/>
        </w:rPr>
      </w:pPr>
      <w:r w:rsidRPr="00590193">
        <w:rPr>
          <w:b/>
          <w:bCs/>
        </w:rPr>
        <w:t>Positive Ageing Strategy 2022-2025 Action Plan: SUMMARY</w:t>
      </w:r>
    </w:p>
    <w:p w14:paraId="2B392FC7" w14:textId="77777777" w:rsidR="00590193" w:rsidRDefault="00590193"/>
    <w:p w14:paraId="16C36E2E" w14:textId="7E5BDE37" w:rsidR="00115F65" w:rsidRPr="00115F65" w:rsidRDefault="00115F65" w:rsidP="00590193">
      <w:pPr>
        <w:pStyle w:val="NoSpacing"/>
        <w:spacing w:before="120" w:after="120"/>
        <w:rPr>
          <w:b/>
          <w:bCs/>
          <w:sz w:val="24"/>
          <w:szCs w:val="24"/>
        </w:rPr>
      </w:pPr>
      <w:bookmarkStart w:id="0" w:name="_Toc109316307"/>
      <w:bookmarkStart w:id="1" w:name="_Toc109383031"/>
      <w:bookmarkStart w:id="2" w:name="_Toc110430584"/>
      <w:r w:rsidRPr="00115F65">
        <w:rPr>
          <w:b/>
          <w:bCs/>
          <w:sz w:val="24"/>
          <w:szCs w:val="24"/>
        </w:rPr>
        <w:t xml:space="preserve">Theme 1 </w:t>
      </w:r>
      <w:r w:rsidR="00E624E4">
        <w:rPr>
          <w:b/>
          <w:bCs/>
          <w:sz w:val="24"/>
          <w:szCs w:val="24"/>
        </w:rPr>
        <w:t>–</w:t>
      </w:r>
      <w:r w:rsidRPr="00115F65">
        <w:rPr>
          <w:b/>
          <w:bCs/>
          <w:sz w:val="24"/>
          <w:szCs w:val="24"/>
        </w:rPr>
        <w:t xml:space="preserve"> People</w:t>
      </w:r>
      <w:r w:rsidR="00E624E4">
        <w:rPr>
          <w:b/>
          <w:bCs/>
          <w:sz w:val="24"/>
          <w:szCs w:val="24"/>
        </w:rPr>
        <w:t>,</w:t>
      </w:r>
      <w:r w:rsidRPr="00115F65">
        <w:rPr>
          <w:b/>
          <w:bCs/>
          <w:sz w:val="24"/>
          <w:szCs w:val="24"/>
        </w:rPr>
        <w:t xml:space="preserve"> as they age</w:t>
      </w:r>
      <w:r w:rsidR="00E624E4">
        <w:rPr>
          <w:b/>
          <w:bCs/>
          <w:sz w:val="24"/>
          <w:szCs w:val="24"/>
        </w:rPr>
        <w:t>,</w:t>
      </w:r>
      <w:r w:rsidRPr="00115F65">
        <w:rPr>
          <w:b/>
          <w:bCs/>
          <w:sz w:val="24"/>
          <w:szCs w:val="24"/>
        </w:rPr>
        <w:t xml:space="preserve"> live in safe</w:t>
      </w:r>
      <w:r w:rsidR="00E624E4">
        <w:rPr>
          <w:b/>
          <w:bCs/>
          <w:sz w:val="24"/>
          <w:szCs w:val="24"/>
        </w:rPr>
        <w:t>,</w:t>
      </w:r>
      <w:r w:rsidRPr="00115F65">
        <w:rPr>
          <w:b/>
          <w:bCs/>
          <w:sz w:val="24"/>
          <w:szCs w:val="24"/>
        </w:rPr>
        <w:t xml:space="preserve"> </w:t>
      </w:r>
      <w:proofErr w:type="gramStart"/>
      <w:r w:rsidRPr="00115F65">
        <w:rPr>
          <w:b/>
          <w:bCs/>
          <w:sz w:val="24"/>
          <w:szCs w:val="24"/>
        </w:rPr>
        <w:t>welcoming</w:t>
      </w:r>
      <w:proofErr w:type="gramEnd"/>
      <w:r w:rsidRPr="00115F65">
        <w:rPr>
          <w:b/>
          <w:bCs/>
          <w:sz w:val="24"/>
          <w:szCs w:val="24"/>
        </w:rPr>
        <w:t xml:space="preserve"> and strongly connected local communities.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590193" w:rsidRPr="00590193" w14:paraId="79CEAEA1" w14:textId="77777777" w:rsidTr="00590193">
        <w:trPr>
          <w:trHeight w:val="418"/>
        </w:trPr>
        <w:tc>
          <w:tcPr>
            <w:tcW w:w="7225" w:type="dxa"/>
            <w:shd w:val="clear" w:color="auto" w:fill="2E74B5" w:themeFill="accent5" w:themeFillShade="BF"/>
            <w:vAlign w:val="center"/>
          </w:tcPr>
          <w:p w14:paraId="1F61502C" w14:textId="08E785BB" w:rsidR="00115F65" w:rsidRPr="00590193" w:rsidRDefault="00115F65" w:rsidP="00115F65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9019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Priority and Action</w:t>
            </w:r>
          </w:p>
        </w:tc>
        <w:tc>
          <w:tcPr>
            <w:tcW w:w="1791" w:type="dxa"/>
            <w:shd w:val="clear" w:color="auto" w:fill="2E74B5" w:themeFill="accent5" w:themeFillShade="BF"/>
            <w:vAlign w:val="center"/>
          </w:tcPr>
          <w:p w14:paraId="734D5BFB" w14:textId="6345B243" w:rsidR="00115F65" w:rsidRPr="00590193" w:rsidRDefault="00115F65" w:rsidP="00115F65">
            <w:pPr>
              <w:rPr>
                <w:b/>
                <w:color w:val="FFFFFF" w:themeColor="background1"/>
              </w:rPr>
            </w:pPr>
            <w:r w:rsidRPr="00590193">
              <w:rPr>
                <w:b/>
                <w:color w:val="FFFFFF" w:themeColor="background1"/>
              </w:rPr>
              <w:t>Timeframe</w:t>
            </w:r>
          </w:p>
        </w:tc>
      </w:tr>
      <w:tr w:rsidR="00115F65" w14:paraId="1F69C50D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293633B1" w14:textId="69CBCDFC" w:rsid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1a) Our places, activities and events are intergenerational and welcome older people</w:t>
            </w:r>
          </w:p>
        </w:tc>
      </w:tr>
      <w:tr w:rsidR="00012B12" w:rsidRPr="00115F65" w14:paraId="05DC530C" w14:textId="77777777" w:rsidTr="005D158C">
        <w:tc>
          <w:tcPr>
            <w:tcW w:w="9016" w:type="dxa"/>
            <w:gridSpan w:val="2"/>
          </w:tcPr>
          <w:p w14:paraId="585667E3" w14:textId="4E7E1D7A" w:rsidR="00012B12" w:rsidRPr="00115F65" w:rsidRDefault="00012B12">
            <w:r w:rsidRPr="00115F65">
              <w:rPr>
                <w:rFonts w:ascii="Calibri" w:hAnsi="Calibri" w:cs="Calibri"/>
                <w:i/>
                <w:iCs/>
                <w:sz w:val="18"/>
                <w:szCs w:val="18"/>
              </w:rPr>
              <w:t>Refer to actions 2.3, 2.4 and 2.5</w:t>
            </w:r>
          </w:p>
        </w:tc>
      </w:tr>
      <w:tr w:rsidR="00115F65" w14:paraId="4CCA548F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48DC76E7" w14:textId="46D6D938" w:rsid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1b) Activities and events that appeal to the diverse needs and preferences of older people are held in a variety of local neighbourhoods.</w:t>
            </w:r>
          </w:p>
        </w:tc>
      </w:tr>
      <w:tr w:rsidR="00115F65" w:rsidRPr="00115F65" w14:paraId="7B417524" w14:textId="77777777" w:rsidTr="00115F65">
        <w:tc>
          <w:tcPr>
            <w:tcW w:w="7225" w:type="dxa"/>
          </w:tcPr>
          <w:p w14:paraId="091AC739" w14:textId="7425E607" w:rsidR="00115F65" w:rsidRPr="00115F65" w:rsidRDefault="00590193" w:rsidP="00115F65">
            <w:pPr>
              <w:spacing w:line="240" w:lineRule="auto"/>
            </w:pPr>
            <w:r>
              <w:rPr>
                <w:rFonts w:ascii="Calibri" w:hAnsi="Calibri" w:cs="Calibri"/>
                <w:sz w:val="18"/>
                <w:szCs w:val="18"/>
              </w:rPr>
              <w:t xml:space="preserve">1.1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Continue to deliver age specific fitness activities (V)</w:t>
            </w:r>
          </w:p>
        </w:tc>
        <w:tc>
          <w:tcPr>
            <w:tcW w:w="1791" w:type="dxa"/>
          </w:tcPr>
          <w:p w14:paraId="63597DF1" w14:textId="3FF3BE3B" w:rsidR="00115F65" w:rsidRPr="00115F65" w:rsidRDefault="00115F65">
            <w:r w:rsidRPr="00115F65">
              <w:t>Ongoing</w:t>
            </w:r>
          </w:p>
        </w:tc>
      </w:tr>
      <w:tr w:rsidR="00115F65" w:rsidRPr="00115F65" w14:paraId="05C3E598" w14:textId="77777777" w:rsidTr="00115F65">
        <w:tc>
          <w:tcPr>
            <w:tcW w:w="7225" w:type="dxa"/>
          </w:tcPr>
          <w:p w14:paraId="1937EA2E" w14:textId="5CC147F5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1.2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Incorporate the needs of people as they age into the development of the City’s new Play / Recreation Strategy (or equivalent) (V)</w:t>
            </w:r>
          </w:p>
        </w:tc>
        <w:tc>
          <w:tcPr>
            <w:tcW w:w="1791" w:type="dxa"/>
          </w:tcPr>
          <w:p w14:paraId="111FA32E" w14:textId="6ABBCE9A" w:rsidR="00115F65" w:rsidRPr="00115F65" w:rsidRDefault="00115F65">
            <w:r w:rsidRPr="00115F65">
              <w:t>Long term</w:t>
            </w:r>
          </w:p>
        </w:tc>
      </w:tr>
      <w:tr w:rsidR="00115F65" w:rsidRPr="00115F65" w14:paraId="2E48A94E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106C8576" w14:textId="6F6583D6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1c) Services and supports are available to enable older people to create and maintain informal networks and social connections</w:t>
            </w:r>
          </w:p>
        </w:tc>
      </w:tr>
      <w:tr w:rsidR="00115F65" w:rsidRPr="00115F65" w14:paraId="7A351342" w14:textId="77777777" w:rsidTr="00115F65">
        <w:tc>
          <w:tcPr>
            <w:tcW w:w="7225" w:type="dxa"/>
          </w:tcPr>
          <w:p w14:paraId="1749DDC6" w14:textId="2DFD6970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1.3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Investigate issues and explore future opportunities for senior citizens clubs (C)</w:t>
            </w:r>
          </w:p>
        </w:tc>
        <w:tc>
          <w:tcPr>
            <w:tcW w:w="1791" w:type="dxa"/>
          </w:tcPr>
          <w:p w14:paraId="07CDB8BE" w14:textId="03CDD93C" w:rsidR="00115F65" w:rsidRPr="00115F65" w:rsidRDefault="00115F65">
            <w:r w:rsidRPr="00115F65">
              <w:t>Short term</w:t>
            </w:r>
          </w:p>
        </w:tc>
      </w:tr>
      <w:tr w:rsidR="00115F65" w:rsidRPr="00115F65" w14:paraId="258C2710" w14:textId="77777777" w:rsidTr="00115F65">
        <w:tc>
          <w:tcPr>
            <w:tcW w:w="7225" w:type="dxa"/>
          </w:tcPr>
          <w:p w14:paraId="57A10ACF" w14:textId="031C72DD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1.4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Partner with Geelong Regional Library to promote services, grants, information, and education for older people (C)</w:t>
            </w:r>
          </w:p>
        </w:tc>
        <w:tc>
          <w:tcPr>
            <w:tcW w:w="1791" w:type="dxa"/>
          </w:tcPr>
          <w:p w14:paraId="5828853C" w14:textId="23CBA1A5" w:rsidR="00115F65" w:rsidRPr="00115F65" w:rsidRDefault="00115F65">
            <w:r w:rsidRPr="00115F65">
              <w:t>Short term</w:t>
            </w:r>
          </w:p>
        </w:tc>
      </w:tr>
      <w:tr w:rsidR="00115F65" w:rsidRPr="00115F65" w14:paraId="5118A121" w14:textId="77777777" w:rsidTr="00115F65">
        <w:tc>
          <w:tcPr>
            <w:tcW w:w="7225" w:type="dxa"/>
          </w:tcPr>
          <w:p w14:paraId="482B9D58" w14:textId="4DBC14EB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1.5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 xml:space="preserve">Promote ways older people can live at home for longer (V) </w:t>
            </w:r>
          </w:p>
        </w:tc>
        <w:tc>
          <w:tcPr>
            <w:tcW w:w="1791" w:type="dxa"/>
          </w:tcPr>
          <w:p w14:paraId="4C4012A8" w14:textId="0007485D" w:rsidR="00115F65" w:rsidRPr="00115F65" w:rsidRDefault="00115F65" w:rsidP="00115F65">
            <w:r w:rsidRPr="00115F65">
              <w:t>Medium term</w:t>
            </w:r>
          </w:p>
        </w:tc>
      </w:tr>
      <w:tr w:rsidR="00115F65" w:rsidRPr="00115F65" w14:paraId="09722443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5B593C7B" w14:textId="67BD0AE0" w:rsidR="00115F65" w:rsidRPr="00115F65" w:rsidRDefault="00115F65" w:rsidP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1d) Housing, (including social housing and residential aged care) is appropriately located in areas that are safe and close to services, and the rest of the commun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it</w:t>
            </w:r>
            <w:r w:rsidRPr="00115F65">
              <w:rPr>
                <w:rFonts w:ascii="Calibri" w:hAnsi="Calibri" w:cs="Calibri"/>
                <w:b/>
                <w:sz w:val="18"/>
                <w:szCs w:val="18"/>
              </w:rPr>
              <w:t>y.</w:t>
            </w:r>
          </w:p>
        </w:tc>
      </w:tr>
      <w:tr w:rsidR="00012B12" w:rsidRPr="00115F65" w14:paraId="3E3A6306" w14:textId="77777777" w:rsidTr="00DC5673">
        <w:tc>
          <w:tcPr>
            <w:tcW w:w="9016" w:type="dxa"/>
            <w:gridSpan w:val="2"/>
          </w:tcPr>
          <w:p w14:paraId="10D1085C" w14:textId="3E576A89" w:rsidR="00012B12" w:rsidRPr="00115F65" w:rsidRDefault="00012B12" w:rsidP="00115F65">
            <w:r w:rsidRPr="00115F65">
              <w:rPr>
                <w:rFonts w:ascii="Calibri" w:hAnsi="Calibri" w:cs="Calibri"/>
                <w:i/>
                <w:iCs/>
                <w:sz w:val="18"/>
                <w:szCs w:val="18"/>
              </w:rPr>
              <w:t>Refer to the implementation of the City’s Social Housing Plan 2020-41</w:t>
            </w:r>
          </w:p>
        </w:tc>
      </w:tr>
      <w:tr w:rsidR="00115F65" w:rsidRPr="00115F65" w14:paraId="62C9D820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6E558B31" w14:textId="27F55304" w:rsidR="00115F65" w:rsidRPr="00115F65" w:rsidRDefault="00115F65" w:rsidP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1e) Older people feel safe in the community</w:t>
            </w:r>
          </w:p>
        </w:tc>
      </w:tr>
      <w:tr w:rsidR="00012B12" w:rsidRPr="00115F65" w14:paraId="01F39724" w14:textId="77777777" w:rsidTr="00A8129E">
        <w:tc>
          <w:tcPr>
            <w:tcW w:w="9016" w:type="dxa"/>
            <w:gridSpan w:val="2"/>
          </w:tcPr>
          <w:p w14:paraId="39E42F33" w14:textId="60A4839F" w:rsidR="00012B12" w:rsidRPr="00115F65" w:rsidRDefault="00012B12" w:rsidP="00115F65">
            <w:r w:rsidRPr="00115F65">
              <w:rPr>
                <w:rFonts w:ascii="Calibri" w:hAnsi="Calibri" w:cs="Calibri"/>
                <w:i/>
                <w:iCs/>
                <w:sz w:val="18"/>
                <w:szCs w:val="18"/>
              </w:rPr>
              <w:t>Refer to actions 1.2, 1.6, 1.7 and 1.8 which all impact feelings of safety</w:t>
            </w:r>
          </w:p>
        </w:tc>
      </w:tr>
      <w:tr w:rsidR="00115F65" w:rsidRPr="00115F65" w14:paraId="77A3F62D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51F9CFC1" w14:textId="6AE4F7EC" w:rsidR="00115F65" w:rsidRPr="00115F65" w:rsidRDefault="00115F65" w:rsidP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1f) The amenity and safety of local neighbourhoods is promoted by appropriate footpaths, ramps and pedestrian crossings, good street lighting, public seating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115F65">
              <w:rPr>
                <w:rFonts w:ascii="Calibri" w:hAnsi="Calibri" w:cs="Calibri"/>
                <w:b/>
                <w:sz w:val="18"/>
                <w:szCs w:val="18"/>
              </w:rPr>
              <w:t xml:space="preserve"> and toilets.</w:t>
            </w:r>
          </w:p>
        </w:tc>
      </w:tr>
      <w:tr w:rsidR="00115F65" w:rsidRPr="00115F65" w14:paraId="076B4E65" w14:textId="77777777" w:rsidTr="00115F65">
        <w:tc>
          <w:tcPr>
            <w:tcW w:w="7225" w:type="dxa"/>
          </w:tcPr>
          <w:p w14:paraId="18000FB8" w14:textId="5ADF9F6D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1.6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Embed consideration of Age Friendly Cities Guidelines into urban design projects and streetscapes (V)</w:t>
            </w:r>
          </w:p>
        </w:tc>
        <w:tc>
          <w:tcPr>
            <w:tcW w:w="1791" w:type="dxa"/>
          </w:tcPr>
          <w:p w14:paraId="5567BA84" w14:textId="7CF57BC3" w:rsidR="00115F65" w:rsidRPr="00115F65" w:rsidRDefault="00115F65" w:rsidP="00115F65">
            <w:r w:rsidRPr="00115F65">
              <w:t>Ongoing</w:t>
            </w:r>
          </w:p>
        </w:tc>
      </w:tr>
      <w:tr w:rsidR="00115F65" w:rsidRPr="00115F65" w14:paraId="3D286674" w14:textId="77777777" w:rsidTr="00115F65">
        <w:tc>
          <w:tcPr>
            <w:tcW w:w="7225" w:type="dxa"/>
          </w:tcPr>
          <w:p w14:paraId="49931C8B" w14:textId="793E5EA9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1.7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Encourage older people to participate in engagement opportunities around social infrastructure planning and budgeting (V)</w:t>
            </w:r>
          </w:p>
        </w:tc>
        <w:tc>
          <w:tcPr>
            <w:tcW w:w="1791" w:type="dxa"/>
          </w:tcPr>
          <w:p w14:paraId="2BBAED25" w14:textId="228AD0DA" w:rsidR="00115F65" w:rsidRPr="00115F65" w:rsidRDefault="00115F65" w:rsidP="00115F65">
            <w:r w:rsidRPr="00115F65">
              <w:t>Short term</w:t>
            </w:r>
          </w:p>
        </w:tc>
      </w:tr>
      <w:tr w:rsidR="00115F65" w:rsidRPr="00115F65" w14:paraId="4DA08EF6" w14:textId="77777777" w:rsidTr="00115F65">
        <w:tc>
          <w:tcPr>
            <w:tcW w:w="7225" w:type="dxa"/>
          </w:tcPr>
          <w:p w14:paraId="1CCD17BF" w14:textId="038F0ED7" w:rsidR="00115F65" w:rsidRPr="00115F65" w:rsidRDefault="00590193" w:rsidP="00115F6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1.8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Consider Age Friendly Cities Guidelines in preparing urban design frameworks and Framework plans as appropriate (V)</w:t>
            </w:r>
          </w:p>
        </w:tc>
        <w:tc>
          <w:tcPr>
            <w:tcW w:w="1791" w:type="dxa"/>
          </w:tcPr>
          <w:p w14:paraId="0314BCED" w14:textId="2F238397" w:rsidR="00115F65" w:rsidRPr="00115F65" w:rsidRDefault="00115F65" w:rsidP="00115F65">
            <w:r w:rsidRPr="00115F65">
              <w:t>Long term</w:t>
            </w:r>
          </w:p>
        </w:tc>
      </w:tr>
    </w:tbl>
    <w:p w14:paraId="453DBDF6" w14:textId="77777777" w:rsidR="00115F65" w:rsidRPr="00115F65" w:rsidRDefault="00115F65" w:rsidP="00590193">
      <w:pPr>
        <w:pStyle w:val="NoSpacing"/>
        <w:spacing w:before="120" w:after="120"/>
        <w:rPr>
          <w:b/>
          <w:bCs/>
          <w:sz w:val="24"/>
          <w:szCs w:val="24"/>
        </w:rPr>
      </w:pPr>
      <w:bookmarkStart w:id="3" w:name="_Toc109316308"/>
      <w:bookmarkStart w:id="4" w:name="_Toc109383032"/>
      <w:bookmarkStart w:id="5" w:name="_Toc110430585"/>
      <w:r w:rsidRPr="00115F65">
        <w:rPr>
          <w:b/>
          <w:bCs/>
          <w:sz w:val="24"/>
          <w:szCs w:val="24"/>
        </w:rPr>
        <w:t>Theme 2 - People, as they age, are respected, supported, and encouraged to participate as active citizens in building strong local communities.</w:t>
      </w:r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590193" w:rsidRPr="00590193" w14:paraId="06987580" w14:textId="77777777" w:rsidTr="00590193">
        <w:trPr>
          <w:trHeight w:val="419"/>
        </w:trPr>
        <w:tc>
          <w:tcPr>
            <w:tcW w:w="7225" w:type="dxa"/>
            <w:shd w:val="clear" w:color="auto" w:fill="2E74B5" w:themeFill="accent5" w:themeFillShade="BF"/>
          </w:tcPr>
          <w:p w14:paraId="1F942BF2" w14:textId="77777777" w:rsidR="00115F65" w:rsidRPr="00590193" w:rsidRDefault="00115F65" w:rsidP="006151D9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9019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Priority and Action</w:t>
            </w:r>
          </w:p>
        </w:tc>
        <w:tc>
          <w:tcPr>
            <w:tcW w:w="1791" w:type="dxa"/>
            <w:shd w:val="clear" w:color="auto" w:fill="2E74B5" w:themeFill="accent5" w:themeFillShade="BF"/>
          </w:tcPr>
          <w:p w14:paraId="1266A36E" w14:textId="77777777" w:rsidR="00115F65" w:rsidRPr="00590193" w:rsidRDefault="00115F65" w:rsidP="006151D9">
            <w:pPr>
              <w:rPr>
                <w:b/>
                <w:color w:val="FFFFFF" w:themeColor="background1"/>
              </w:rPr>
            </w:pPr>
            <w:r w:rsidRPr="00590193">
              <w:rPr>
                <w:b/>
                <w:color w:val="FFFFFF" w:themeColor="background1"/>
              </w:rPr>
              <w:t>Timeframe</w:t>
            </w:r>
          </w:p>
        </w:tc>
      </w:tr>
      <w:tr w:rsidR="00590193" w:rsidRPr="00115F65" w14:paraId="7205F15D" w14:textId="77777777" w:rsidTr="00272942">
        <w:tc>
          <w:tcPr>
            <w:tcW w:w="9016" w:type="dxa"/>
            <w:gridSpan w:val="2"/>
            <w:shd w:val="clear" w:color="auto" w:fill="BDD6EE" w:themeFill="accent5" w:themeFillTint="66"/>
          </w:tcPr>
          <w:p w14:paraId="6ACA6808" w14:textId="00201AFD" w:rsidR="00590193" w:rsidRPr="00115F65" w:rsidRDefault="00590193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2a) Older people are valued and acknowledged for their past, present, and future contributions</w:t>
            </w:r>
          </w:p>
        </w:tc>
      </w:tr>
      <w:tr w:rsidR="00115F65" w14:paraId="4615928C" w14:textId="77777777" w:rsidTr="00115F65">
        <w:tc>
          <w:tcPr>
            <w:tcW w:w="7225" w:type="dxa"/>
          </w:tcPr>
          <w:p w14:paraId="690983BB" w14:textId="3EAB22B8" w:rsidR="00115F65" w:rsidRPr="00115F65" w:rsidRDefault="00590193">
            <w:r>
              <w:rPr>
                <w:rFonts w:ascii="Calibri" w:hAnsi="Calibri" w:cs="Calibri"/>
                <w:sz w:val="18"/>
                <w:szCs w:val="18"/>
              </w:rPr>
              <w:t xml:space="preserve">2.1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Utilise the Victorian Seniors Festival to promote activities, achievements, and information for older people (C)</w:t>
            </w:r>
          </w:p>
        </w:tc>
        <w:tc>
          <w:tcPr>
            <w:tcW w:w="1791" w:type="dxa"/>
          </w:tcPr>
          <w:p w14:paraId="2D0F7C05" w14:textId="3A0485AF" w:rsidR="00115F65" w:rsidRDefault="00115F65">
            <w:r>
              <w:t>Short term</w:t>
            </w:r>
          </w:p>
        </w:tc>
      </w:tr>
      <w:tr w:rsidR="00115F65" w:rsidRPr="00115F65" w14:paraId="3E78D42D" w14:textId="77777777" w:rsidTr="00115F65">
        <w:tc>
          <w:tcPr>
            <w:tcW w:w="7225" w:type="dxa"/>
          </w:tcPr>
          <w:p w14:paraId="44A3F0AE" w14:textId="6453E2D3" w:rsidR="00115F65" w:rsidRPr="00115F65" w:rsidRDefault="00590193">
            <w:r>
              <w:rPr>
                <w:rFonts w:ascii="Calibri" w:hAnsi="Calibri" w:cs="Calibri"/>
                <w:sz w:val="18"/>
                <w:szCs w:val="18"/>
              </w:rPr>
              <w:t xml:space="preserve">2.2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Work with First Nations Elders to understand their priorities for positive ageing (V)</w:t>
            </w:r>
          </w:p>
        </w:tc>
        <w:tc>
          <w:tcPr>
            <w:tcW w:w="1791" w:type="dxa"/>
          </w:tcPr>
          <w:p w14:paraId="60552BA9" w14:textId="76D023B3" w:rsidR="00115F65" w:rsidRPr="00115F65" w:rsidRDefault="00115F65">
            <w:r w:rsidRPr="00115F65">
              <w:t>Short term</w:t>
            </w:r>
          </w:p>
        </w:tc>
      </w:tr>
      <w:tr w:rsidR="00115F65" w:rsidRPr="00115F65" w14:paraId="71254E43" w14:textId="77777777" w:rsidTr="00115F65">
        <w:tc>
          <w:tcPr>
            <w:tcW w:w="7225" w:type="dxa"/>
          </w:tcPr>
          <w:p w14:paraId="3C709DC3" w14:textId="269BD1EC" w:rsidR="00115F65" w:rsidRPr="00115F65" w:rsidRDefault="00590193">
            <w:r>
              <w:rPr>
                <w:rFonts w:ascii="Calibri" w:hAnsi="Calibri" w:cs="Calibri"/>
                <w:sz w:val="18"/>
                <w:szCs w:val="18"/>
              </w:rPr>
              <w:t xml:space="preserve">2.3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Identify opportunities for intergenerational activities (V)</w:t>
            </w:r>
          </w:p>
        </w:tc>
        <w:tc>
          <w:tcPr>
            <w:tcW w:w="1791" w:type="dxa"/>
          </w:tcPr>
          <w:p w14:paraId="47610C65" w14:textId="460657B0" w:rsidR="00115F65" w:rsidRPr="00115F65" w:rsidRDefault="00115F65">
            <w:r w:rsidRPr="00115F65">
              <w:t>Short term</w:t>
            </w:r>
          </w:p>
        </w:tc>
      </w:tr>
      <w:tr w:rsidR="00115F65" w:rsidRPr="00115F65" w14:paraId="4D562A59" w14:textId="77777777" w:rsidTr="00115F65">
        <w:tc>
          <w:tcPr>
            <w:tcW w:w="7225" w:type="dxa"/>
          </w:tcPr>
          <w:p w14:paraId="3F385CCC" w14:textId="73AFC0CF" w:rsidR="00115F65" w:rsidRPr="00115F65" w:rsidRDefault="00590193" w:rsidP="00115F65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2.4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Focus on intergenerational programming in libraries (C)</w:t>
            </w:r>
          </w:p>
        </w:tc>
        <w:tc>
          <w:tcPr>
            <w:tcW w:w="1791" w:type="dxa"/>
          </w:tcPr>
          <w:p w14:paraId="704CCCB5" w14:textId="5C33FAFC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Short term</w:t>
            </w:r>
          </w:p>
        </w:tc>
      </w:tr>
      <w:tr w:rsidR="00115F65" w:rsidRPr="00115F65" w14:paraId="17952FE3" w14:textId="77777777" w:rsidTr="00115F65">
        <w:tc>
          <w:tcPr>
            <w:tcW w:w="7225" w:type="dxa"/>
          </w:tcPr>
          <w:p w14:paraId="7DA37610" w14:textId="2791F587" w:rsidR="00115F65" w:rsidRPr="00115F65" w:rsidRDefault="00590193" w:rsidP="00115F6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2.5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Explore a pilot intergenerational activity at Grovedale Neighbourhood House with co-located family services (C)</w:t>
            </w:r>
          </w:p>
        </w:tc>
        <w:tc>
          <w:tcPr>
            <w:tcW w:w="1791" w:type="dxa"/>
          </w:tcPr>
          <w:p w14:paraId="02F54CEF" w14:textId="318CF743" w:rsidR="00115F65" w:rsidRPr="00115F65" w:rsidRDefault="00115F65">
            <w:r w:rsidRPr="00115F65">
              <w:t>Medium term</w:t>
            </w:r>
          </w:p>
        </w:tc>
      </w:tr>
      <w:tr w:rsidR="00590193" w:rsidRPr="00115F65" w14:paraId="3A3DA794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266CE298" w14:textId="5A983734" w:rsidR="00590193" w:rsidRPr="00115F65" w:rsidRDefault="00590193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2b) The diverse experiences and views of older people are actively sought, and supported, to inform the development, implementation and monitoring of our activities</w:t>
            </w:r>
          </w:p>
        </w:tc>
      </w:tr>
      <w:tr w:rsidR="00115F65" w:rsidRPr="00115F65" w14:paraId="2D90D5A1" w14:textId="77777777" w:rsidTr="00115F65">
        <w:tc>
          <w:tcPr>
            <w:tcW w:w="7225" w:type="dxa"/>
          </w:tcPr>
          <w:p w14:paraId="688E35A5" w14:textId="4A2A7C51" w:rsidR="00115F65" w:rsidRPr="00115F65" w:rsidRDefault="00590193" w:rsidP="00115F6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2.6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Promote the use of non-digital engagement methods in City led engagement projects (C)</w:t>
            </w:r>
          </w:p>
        </w:tc>
        <w:tc>
          <w:tcPr>
            <w:tcW w:w="1791" w:type="dxa"/>
          </w:tcPr>
          <w:p w14:paraId="32ACE318" w14:textId="49B50FE9" w:rsidR="00115F65" w:rsidRPr="00115F65" w:rsidRDefault="00115F65">
            <w:r>
              <w:t>Short term</w:t>
            </w:r>
          </w:p>
        </w:tc>
      </w:tr>
      <w:tr w:rsidR="00115F65" w:rsidRPr="00115F65" w14:paraId="23A17DB7" w14:textId="77777777" w:rsidTr="00115F65">
        <w:tc>
          <w:tcPr>
            <w:tcW w:w="7225" w:type="dxa"/>
          </w:tcPr>
          <w:p w14:paraId="455637BA" w14:textId="0FA863D4" w:rsidR="00115F65" w:rsidRPr="00115F65" w:rsidRDefault="00590193" w:rsidP="00115F6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2.7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Keep informed about the impact of Aged Care Reforms and potential role for local government (C).</w:t>
            </w:r>
          </w:p>
        </w:tc>
        <w:tc>
          <w:tcPr>
            <w:tcW w:w="1791" w:type="dxa"/>
          </w:tcPr>
          <w:p w14:paraId="17A4AD85" w14:textId="7F7E52F2" w:rsidR="00115F65" w:rsidRPr="00115F65" w:rsidRDefault="00115F65">
            <w:r>
              <w:t>Medium term</w:t>
            </w:r>
          </w:p>
        </w:tc>
      </w:tr>
      <w:tr w:rsidR="00590193" w:rsidRPr="00115F65" w14:paraId="0607F1DB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7A4D6426" w14:textId="1EC838E9" w:rsidR="00590193" w:rsidRDefault="00590193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2c) Older people are depicted positively and without stereotyping in communications and media</w:t>
            </w:r>
          </w:p>
        </w:tc>
      </w:tr>
      <w:tr w:rsidR="00115F65" w:rsidRPr="00115F65" w14:paraId="254FD870" w14:textId="77777777" w:rsidTr="00115F65">
        <w:tc>
          <w:tcPr>
            <w:tcW w:w="7225" w:type="dxa"/>
          </w:tcPr>
          <w:p w14:paraId="5280DA91" w14:textId="3BE8203A" w:rsidR="00115F65" w:rsidRPr="00115F65" w:rsidRDefault="00590193" w:rsidP="0059019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2.8 </w:t>
            </w:r>
            <w:r w:rsidR="00115F65" w:rsidRPr="00115F65">
              <w:rPr>
                <w:rFonts w:ascii="Calibri" w:hAnsi="Calibri" w:cs="Calibri"/>
                <w:sz w:val="18"/>
                <w:szCs w:val="18"/>
              </w:rPr>
              <w:t>Implement ageism awareness campaign (C)</w:t>
            </w:r>
          </w:p>
        </w:tc>
        <w:tc>
          <w:tcPr>
            <w:tcW w:w="1791" w:type="dxa"/>
          </w:tcPr>
          <w:p w14:paraId="344DBCC6" w14:textId="1813C258" w:rsidR="00115F65" w:rsidRPr="00115F65" w:rsidRDefault="00115F65">
            <w:r w:rsidRPr="00115F65">
              <w:t>Short term</w:t>
            </w:r>
          </w:p>
        </w:tc>
      </w:tr>
      <w:tr w:rsidR="00590193" w:rsidRPr="00115F65" w14:paraId="4735DE2A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7164E86F" w14:textId="43B11361" w:rsidR="00590193" w:rsidRPr="00115F65" w:rsidRDefault="00590193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2d) A range of flexible opportunities for older people to continue to develop, use and share their skills and expertise is promoted</w:t>
            </w:r>
          </w:p>
        </w:tc>
      </w:tr>
      <w:tr w:rsidR="00115F65" w:rsidRPr="00115F65" w14:paraId="7816583B" w14:textId="77777777" w:rsidTr="00115F65">
        <w:tc>
          <w:tcPr>
            <w:tcW w:w="7225" w:type="dxa"/>
          </w:tcPr>
          <w:p w14:paraId="1DCCEC3D" w14:textId="76BD5B09" w:rsidR="00115F65" w:rsidRPr="00115F65" w:rsidRDefault="00590193" w:rsidP="00115F65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6" w:name="_Hlk109828516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2.9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 xml:space="preserve">Connect with neighbourhood houses, libraries, community groups and local networks to promote information of interest to older people </w:t>
            </w:r>
            <w:bookmarkEnd w:id="6"/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(V)</w:t>
            </w:r>
          </w:p>
        </w:tc>
        <w:tc>
          <w:tcPr>
            <w:tcW w:w="1791" w:type="dxa"/>
          </w:tcPr>
          <w:p w14:paraId="598FAE16" w14:textId="2EF8827D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Short term</w:t>
            </w:r>
          </w:p>
        </w:tc>
      </w:tr>
      <w:tr w:rsidR="00115F65" w:rsidRPr="00115F65" w14:paraId="561A55EC" w14:textId="77777777" w:rsidTr="00115F65">
        <w:tc>
          <w:tcPr>
            <w:tcW w:w="7225" w:type="dxa"/>
          </w:tcPr>
          <w:p w14:paraId="015F6A3F" w14:textId="4303F2CC" w:rsidR="00115F65" w:rsidRPr="00115F65" w:rsidRDefault="00590193" w:rsidP="00115F65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2.10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Promote digital support training offered through libraries and neighbourhood houses, and advocate for training to be delivered in person where possible (V)</w:t>
            </w:r>
          </w:p>
        </w:tc>
        <w:tc>
          <w:tcPr>
            <w:tcW w:w="1791" w:type="dxa"/>
          </w:tcPr>
          <w:p w14:paraId="447BA29E" w14:textId="36711AFF" w:rsidR="00115F65" w:rsidRPr="00115F65" w:rsidRDefault="00115F65">
            <w:pPr>
              <w:rPr>
                <w:bCs/>
              </w:rPr>
            </w:pPr>
            <w:r>
              <w:rPr>
                <w:bCs/>
              </w:rPr>
              <w:t>Ongoing</w:t>
            </w:r>
          </w:p>
        </w:tc>
      </w:tr>
      <w:tr w:rsidR="00590193" w:rsidRPr="00115F65" w14:paraId="6A273316" w14:textId="77777777" w:rsidTr="00590193">
        <w:tc>
          <w:tcPr>
            <w:tcW w:w="9016" w:type="dxa"/>
            <w:gridSpan w:val="2"/>
            <w:shd w:val="clear" w:color="auto" w:fill="BDD6EE" w:themeFill="accent5" w:themeFillTint="66"/>
            <w:vAlign w:val="center"/>
          </w:tcPr>
          <w:p w14:paraId="1A91E5BD" w14:textId="1A76FE5B" w:rsidR="00590193" w:rsidRPr="00115F65" w:rsidRDefault="00590193" w:rsidP="00115F65">
            <w:pPr>
              <w:rPr>
                <w:b/>
              </w:rPr>
            </w:pPr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2e) Older workers and employees are embraced and celebrated</w:t>
            </w:r>
          </w:p>
        </w:tc>
      </w:tr>
      <w:tr w:rsidR="00590193" w:rsidRPr="00115F65" w14:paraId="1762A979" w14:textId="77777777" w:rsidTr="00590193">
        <w:tc>
          <w:tcPr>
            <w:tcW w:w="9016" w:type="dxa"/>
            <w:gridSpan w:val="2"/>
            <w:shd w:val="clear" w:color="auto" w:fill="BDD6EE" w:themeFill="accent5" w:themeFillTint="66"/>
            <w:vAlign w:val="center"/>
          </w:tcPr>
          <w:p w14:paraId="471BFA6B" w14:textId="2C864553" w:rsidR="00590193" w:rsidRPr="00115F65" w:rsidRDefault="00590193" w:rsidP="00115F65">
            <w:pPr>
              <w:rPr>
                <w:b/>
              </w:rPr>
            </w:pPr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2f) Older people participate in fulfilling arts and cultural activities and actively contribute to the fabric of society</w:t>
            </w:r>
          </w:p>
        </w:tc>
      </w:tr>
      <w:tr w:rsidR="00012B12" w:rsidRPr="00115F65" w14:paraId="73B2D6B8" w14:textId="77777777" w:rsidTr="004E1ECB">
        <w:tc>
          <w:tcPr>
            <w:tcW w:w="9016" w:type="dxa"/>
            <w:gridSpan w:val="2"/>
            <w:vAlign w:val="center"/>
          </w:tcPr>
          <w:p w14:paraId="1E3BB59C" w14:textId="7B1A9CB0" w:rsidR="00012B12" w:rsidRPr="00115F65" w:rsidRDefault="00012B12" w:rsidP="00115F65">
            <w:pPr>
              <w:rPr>
                <w:b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Refer to actions 2.1 and 2.8</w:t>
            </w:r>
          </w:p>
        </w:tc>
      </w:tr>
    </w:tbl>
    <w:p w14:paraId="59C3431D" w14:textId="2B9BA350" w:rsidR="00115F65" w:rsidRDefault="00115F65" w:rsidP="00590193">
      <w:pPr>
        <w:pStyle w:val="NoSpacing"/>
        <w:spacing w:before="120" w:after="120"/>
        <w:rPr>
          <w:b/>
          <w:bCs/>
          <w:sz w:val="24"/>
          <w:szCs w:val="24"/>
        </w:rPr>
      </w:pPr>
      <w:bookmarkStart w:id="7" w:name="_Toc109316309"/>
      <w:bookmarkStart w:id="8" w:name="_Toc109383033"/>
      <w:bookmarkStart w:id="9" w:name="_Toc110430586"/>
      <w:r w:rsidRPr="00115F65">
        <w:rPr>
          <w:b/>
          <w:bCs/>
          <w:sz w:val="24"/>
          <w:szCs w:val="24"/>
        </w:rPr>
        <w:t>Theme 3 - People, as they age, have access to places, spaces, and services</w:t>
      </w:r>
      <w:bookmarkEnd w:id="7"/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590193" w:rsidRPr="00590193" w14:paraId="310802B7" w14:textId="77777777" w:rsidTr="00590193">
        <w:trPr>
          <w:trHeight w:val="448"/>
        </w:trPr>
        <w:tc>
          <w:tcPr>
            <w:tcW w:w="7225" w:type="dxa"/>
            <w:shd w:val="clear" w:color="auto" w:fill="2E74B5" w:themeFill="accent5" w:themeFillShade="BF"/>
          </w:tcPr>
          <w:p w14:paraId="37CAA230" w14:textId="77777777" w:rsidR="00115F65" w:rsidRPr="00590193" w:rsidRDefault="00115F65" w:rsidP="006151D9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59019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Priority and Action</w:t>
            </w:r>
          </w:p>
        </w:tc>
        <w:tc>
          <w:tcPr>
            <w:tcW w:w="1791" w:type="dxa"/>
            <w:shd w:val="clear" w:color="auto" w:fill="2E74B5" w:themeFill="accent5" w:themeFillShade="BF"/>
          </w:tcPr>
          <w:p w14:paraId="73BCE772" w14:textId="77777777" w:rsidR="00115F65" w:rsidRPr="00590193" w:rsidRDefault="00115F65" w:rsidP="006151D9">
            <w:pPr>
              <w:rPr>
                <w:b/>
                <w:color w:val="FFFFFF" w:themeColor="background1"/>
              </w:rPr>
            </w:pPr>
            <w:r w:rsidRPr="00590193">
              <w:rPr>
                <w:b/>
                <w:color w:val="FFFFFF" w:themeColor="background1"/>
              </w:rPr>
              <w:t>Timeframe</w:t>
            </w:r>
          </w:p>
        </w:tc>
      </w:tr>
      <w:tr w:rsidR="00115F65" w:rsidRPr="00115F65" w14:paraId="35894CCA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1E54C7FF" w14:textId="7780DDEE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3a) A range of health and support services is available to promote, maintain, and restore health, and support independent living</w:t>
            </w:r>
          </w:p>
        </w:tc>
      </w:tr>
      <w:tr w:rsidR="00012B12" w14:paraId="4873ED51" w14:textId="77777777" w:rsidTr="00D86C6F">
        <w:tc>
          <w:tcPr>
            <w:tcW w:w="9016" w:type="dxa"/>
            <w:gridSpan w:val="2"/>
          </w:tcPr>
          <w:p w14:paraId="7B535F17" w14:textId="1F57D6BE" w:rsidR="00012B12" w:rsidRDefault="00012B12">
            <w:r w:rsidRPr="00170F47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Refer </w:t>
            </w: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to actions 1.4, 1.5 and 2.7</w:t>
            </w:r>
          </w:p>
        </w:tc>
      </w:tr>
      <w:tr w:rsidR="00115F65" w:rsidRPr="00115F65" w14:paraId="74A1B2FA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739D4D0C" w14:textId="2C34D249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3b) Barriers impeding access to health and community support services are minimised and outreach is provided to vulnerable and disadvantaged people</w:t>
            </w:r>
          </w:p>
        </w:tc>
      </w:tr>
      <w:tr w:rsidR="00012B12" w14:paraId="51BA2EF6" w14:textId="77777777" w:rsidTr="004521ED">
        <w:tc>
          <w:tcPr>
            <w:tcW w:w="9016" w:type="dxa"/>
            <w:gridSpan w:val="2"/>
          </w:tcPr>
          <w:p w14:paraId="39F04600" w14:textId="28A4A368" w:rsidR="00012B12" w:rsidRDefault="00012B12"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Refer to action 2.7</w:t>
            </w:r>
          </w:p>
        </w:tc>
      </w:tr>
      <w:tr w:rsidR="00115F65" w:rsidRPr="00115F65" w14:paraId="7A2D978D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51385BFB" w14:textId="550DB521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3c) There is timely, accurate and relevant information available about services, activities, and events, including details about cost, accessibility of facilities and transport options</w:t>
            </w:r>
          </w:p>
        </w:tc>
      </w:tr>
      <w:tr w:rsidR="00012B12" w14:paraId="0C78D92B" w14:textId="77777777" w:rsidTr="00806F12">
        <w:tc>
          <w:tcPr>
            <w:tcW w:w="9016" w:type="dxa"/>
            <w:gridSpan w:val="2"/>
          </w:tcPr>
          <w:p w14:paraId="485C0000" w14:textId="57B2CFE5" w:rsidR="00012B12" w:rsidRDefault="00012B12"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Refer to action 2.1 and 2.9</w:t>
            </w:r>
          </w:p>
        </w:tc>
      </w:tr>
      <w:tr w:rsidR="00115F65" w:rsidRPr="00115F65" w14:paraId="013FA2FB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337A98AB" w14:textId="32E7B398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3d) There is wide public access, training</w:t>
            </w:r>
            <w:r w:rsidR="00590193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115F65">
              <w:rPr>
                <w:rFonts w:ascii="Calibri" w:hAnsi="Calibri" w:cs="Calibri"/>
                <w:b/>
                <w:sz w:val="18"/>
                <w:szCs w:val="18"/>
              </w:rPr>
              <w:t xml:space="preserve"> and support to use the internet, social media</w:t>
            </w:r>
            <w:r w:rsidR="00590193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115F65">
              <w:rPr>
                <w:rFonts w:ascii="Calibri" w:hAnsi="Calibri" w:cs="Calibri"/>
                <w:b/>
                <w:sz w:val="18"/>
                <w:szCs w:val="18"/>
              </w:rPr>
              <w:t xml:space="preserve"> and digital technologies</w:t>
            </w:r>
          </w:p>
        </w:tc>
      </w:tr>
      <w:tr w:rsidR="00012B12" w14:paraId="4197485A" w14:textId="77777777" w:rsidTr="00A10281">
        <w:tc>
          <w:tcPr>
            <w:tcW w:w="9016" w:type="dxa"/>
            <w:gridSpan w:val="2"/>
          </w:tcPr>
          <w:p w14:paraId="44C12AE4" w14:textId="444EE56A" w:rsidR="00012B12" w:rsidRDefault="00012B12"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Refer to action 2.10</w:t>
            </w:r>
          </w:p>
        </w:tc>
      </w:tr>
      <w:tr w:rsidR="00115F65" w:rsidRPr="00115F65" w14:paraId="0C8574FE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06A895BF" w14:textId="5CC875DC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3e) Transport is affordable, accessible, and available when it is needed</w:t>
            </w:r>
          </w:p>
        </w:tc>
      </w:tr>
      <w:tr w:rsidR="00115F65" w:rsidRPr="00115F65" w14:paraId="57769658" w14:textId="77777777" w:rsidTr="00115F65">
        <w:tc>
          <w:tcPr>
            <w:tcW w:w="7225" w:type="dxa"/>
          </w:tcPr>
          <w:p w14:paraId="31550D7C" w14:textId="03380D8E" w:rsidR="00115F65" w:rsidRPr="00115F65" w:rsidRDefault="00590193" w:rsidP="00115F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3.1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Incorporate the accessibility and active transport needs of people as they age into the development of the Integrated Transport Strategy (V)</w:t>
            </w:r>
          </w:p>
        </w:tc>
        <w:tc>
          <w:tcPr>
            <w:tcW w:w="1791" w:type="dxa"/>
          </w:tcPr>
          <w:p w14:paraId="26F31B99" w14:textId="4814D53F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Medium term</w:t>
            </w:r>
          </w:p>
        </w:tc>
      </w:tr>
      <w:tr w:rsidR="00115F65" w:rsidRPr="00115F65" w14:paraId="2510E849" w14:textId="77777777" w:rsidTr="00115F65">
        <w:tc>
          <w:tcPr>
            <w:tcW w:w="7225" w:type="dxa"/>
          </w:tcPr>
          <w:p w14:paraId="4C5A6FEB" w14:textId="69C6F0DF" w:rsidR="00115F65" w:rsidRPr="00115F65" w:rsidRDefault="00590193" w:rsidP="00115F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3.2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Scope equitable access to community transport in Greater Geelong (V)</w:t>
            </w:r>
          </w:p>
        </w:tc>
        <w:tc>
          <w:tcPr>
            <w:tcW w:w="1791" w:type="dxa"/>
          </w:tcPr>
          <w:p w14:paraId="44845DD7" w14:textId="652F9B8B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Long term</w:t>
            </w:r>
          </w:p>
        </w:tc>
      </w:tr>
      <w:tr w:rsidR="00115F65" w:rsidRPr="00115F65" w14:paraId="22AB6FC8" w14:textId="77777777" w:rsidTr="00115F65">
        <w:tc>
          <w:tcPr>
            <w:tcW w:w="7225" w:type="dxa"/>
          </w:tcPr>
          <w:p w14:paraId="26FAD2EE" w14:textId="6F2D13E9" w:rsidR="00115F65" w:rsidRPr="00115F65" w:rsidRDefault="00590193" w:rsidP="00115F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3.3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Advocate for more public transport options such as more buses between towns, better routes, and better promotion (V).</w:t>
            </w:r>
          </w:p>
        </w:tc>
        <w:tc>
          <w:tcPr>
            <w:tcW w:w="1791" w:type="dxa"/>
          </w:tcPr>
          <w:p w14:paraId="7F7ABCD7" w14:textId="79F0FCDA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Long term</w:t>
            </w:r>
          </w:p>
        </w:tc>
      </w:tr>
      <w:tr w:rsidR="00115F65" w:rsidRPr="00115F65" w14:paraId="3E301347" w14:textId="77777777" w:rsidTr="00115F65">
        <w:tc>
          <w:tcPr>
            <w:tcW w:w="7225" w:type="dxa"/>
          </w:tcPr>
          <w:p w14:paraId="4774496F" w14:textId="011B2011" w:rsidR="00115F65" w:rsidRPr="00115F65" w:rsidRDefault="00590193" w:rsidP="00115F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3.4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Improve pedestrian routes and crossings, particularly between destinations that are important to older people (V)</w:t>
            </w:r>
          </w:p>
        </w:tc>
        <w:tc>
          <w:tcPr>
            <w:tcW w:w="1791" w:type="dxa"/>
          </w:tcPr>
          <w:p w14:paraId="5331F27A" w14:textId="5C48BE5B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Long term</w:t>
            </w:r>
          </w:p>
        </w:tc>
      </w:tr>
      <w:tr w:rsidR="00115F65" w:rsidRPr="00115F65" w14:paraId="54F6EB84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1431C8F4" w14:textId="4253E7B6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3f) Parks and open spaces are designed with the needs of older people in mind</w:t>
            </w:r>
          </w:p>
        </w:tc>
      </w:tr>
      <w:tr w:rsidR="00012B12" w:rsidRPr="00115F65" w14:paraId="023FD519" w14:textId="77777777" w:rsidTr="001473D0">
        <w:tc>
          <w:tcPr>
            <w:tcW w:w="9016" w:type="dxa"/>
            <w:gridSpan w:val="2"/>
          </w:tcPr>
          <w:p w14:paraId="11CD0B86" w14:textId="54848356" w:rsidR="00012B12" w:rsidRPr="00115F65" w:rsidRDefault="00012B12"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Refer to 1.2</w:t>
            </w:r>
          </w:p>
        </w:tc>
      </w:tr>
      <w:tr w:rsidR="00115F65" w:rsidRPr="00115F65" w14:paraId="49AC34AD" w14:textId="77777777" w:rsidTr="00590193">
        <w:tc>
          <w:tcPr>
            <w:tcW w:w="9016" w:type="dxa"/>
            <w:gridSpan w:val="2"/>
            <w:shd w:val="clear" w:color="auto" w:fill="BDD6EE" w:themeFill="accent5" w:themeFillTint="66"/>
          </w:tcPr>
          <w:p w14:paraId="4A8ACB75" w14:textId="1BACAEE3" w:rsidR="00115F65" w:rsidRPr="00115F65" w:rsidRDefault="00115F65">
            <w:r w:rsidRPr="00115F65">
              <w:rPr>
                <w:rFonts w:ascii="Calibri" w:hAnsi="Calibri" w:cs="Calibri"/>
                <w:b/>
                <w:sz w:val="18"/>
                <w:szCs w:val="18"/>
              </w:rPr>
              <w:t>Priority 3g) Older people have access to facilities, infrastructure, and opportunities to support healthy lifestyles</w:t>
            </w:r>
          </w:p>
        </w:tc>
      </w:tr>
      <w:tr w:rsidR="00115F65" w:rsidRPr="00115F65" w14:paraId="17F866AC" w14:textId="77777777" w:rsidTr="00115F65">
        <w:tc>
          <w:tcPr>
            <w:tcW w:w="7225" w:type="dxa"/>
          </w:tcPr>
          <w:p w14:paraId="4339F754" w14:textId="26625984" w:rsidR="00115F65" w:rsidRPr="00115F65" w:rsidRDefault="00590193" w:rsidP="00115F65">
            <w:pPr>
              <w:widowControl w:val="0"/>
              <w:spacing w:line="240" w:lineRule="auto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3.5 </w:t>
            </w:r>
            <w:r w:rsidR="00115F65" w:rsidRPr="00115F65">
              <w:rPr>
                <w:rFonts w:ascii="Calibri" w:hAnsi="Calibri" w:cs="Calibri"/>
                <w:bCs/>
                <w:sz w:val="18"/>
                <w:szCs w:val="18"/>
              </w:rPr>
              <w:t>Increase awareness of Age Friendly Cities Guidelines amongst Council departments with influence on infrastructure projects (V)</w:t>
            </w:r>
          </w:p>
        </w:tc>
        <w:tc>
          <w:tcPr>
            <w:tcW w:w="1791" w:type="dxa"/>
          </w:tcPr>
          <w:p w14:paraId="21D232ED" w14:textId="7B0C4D87" w:rsidR="00115F65" w:rsidRPr="00115F65" w:rsidRDefault="00115F65">
            <w:pPr>
              <w:rPr>
                <w:bCs/>
              </w:rPr>
            </w:pPr>
            <w:r w:rsidRPr="00115F65">
              <w:rPr>
                <w:bCs/>
              </w:rPr>
              <w:t>Short term</w:t>
            </w:r>
          </w:p>
        </w:tc>
      </w:tr>
    </w:tbl>
    <w:p w14:paraId="6B47CBFB" w14:textId="36E0E32C" w:rsidR="00115F65" w:rsidRDefault="00115F65"/>
    <w:p w14:paraId="4BF59D50" w14:textId="25E558DC" w:rsidR="002920B0" w:rsidRPr="00616829" w:rsidRDefault="002920B0" w:rsidP="002920B0">
      <w:pPr>
        <w:spacing w:line="240" w:lineRule="auto"/>
        <w:rPr>
          <w:rFonts w:ascii="Calibri" w:hAnsi="Calibri" w:cs="Calibri"/>
        </w:rPr>
      </w:pPr>
      <w:r w:rsidRPr="00616829">
        <w:rPr>
          <w:rFonts w:ascii="Calibri" w:hAnsi="Calibri" w:cs="Calibri"/>
        </w:rPr>
        <w:t xml:space="preserve">V = </w:t>
      </w:r>
      <w:r>
        <w:rPr>
          <w:rFonts w:ascii="Calibri" w:hAnsi="Calibri" w:cs="Calibri"/>
        </w:rPr>
        <w:t>V</w:t>
      </w:r>
      <w:r w:rsidRPr="00616829">
        <w:rPr>
          <w:rFonts w:ascii="Calibri" w:hAnsi="Calibri" w:cs="Calibri"/>
        </w:rPr>
        <w:t>oted action</w:t>
      </w:r>
      <w:r>
        <w:rPr>
          <w:rFonts w:ascii="Calibri" w:hAnsi="Calibri" w:cs="Calibri"/>
        </w:rPr>
        <w:t xml:space="preserve"> by </w:t>
      </w:r>
      <w:r w:rsidRPr="00616829">
        <w:rPr>
          <w:rFonts w:ascii="Calibri" w:hAnsi="Calibri" w:cs="Calibri"/>
        </w:rPr>
        <w:t>co-design p</w:t>
      </w:r>
      <w:r>
        <w:rPr>
          <w:rFonts w:ascii="Calibri" w:hAnsi="Calibri" w:cs="Calibri"/>
        </w:rPr>
        <w:t>articipants</w:t>
      </w:r>
      <w:r w:rsidRPr="00616829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C</w:t>
      </w:r>
      <w:r w:rsidRPr="00616829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>C</w:t>
      </w:r>
      <w:r w:rsidR="00E624E4">
        <w:rPr>
          <w:rFonts w:ascii="Calibri" w:hAnsi="Calibri" w:cs="Calibri"/>
        </w:rPr>
        <w:t>ity</w:t>
      </w:r>
      <w:r>
        <w:rPr>
          <w:rFonts w:ascii="Calibri" w:hAnsi="Calibri" w:cs="Calibri"/>
        </w:rPr>
        <w:t xml:space="preserve"> priority</w:t>
      </w:r>
    </w:p>
    <w:p w14:paraId="28A0D4D0" w14:textId="77777777" w:rsidR="002920B0" w:rsidRDefault="002920B0" w:rsidP="002920B0">
      <w:pPr>
        <w:spacing w:line="240" w:lineRule="auto"/>
        <w:rPr>
          <w:rFonts w:ascii="Calibri" w:hAnsi="Calibri" w:cs="Calibri"/>
        </w:rPr>
      </w:pPr>
      <w:r w:rsidRPr="00616829">
        <w:rPr>
          <w:rFonts w:ascii="Calibri" w:hAnsi="Calibri" w:cs="Calibri"/>
        </w:rPr>
        <w:t>Short term = 1-2 years; Medium term = 2-3 years; Long term = 3+ years</w:t>
      </w:r>
    </w:p>
    <w:p w14:paraId="6C77D364" w14:textId="77777777" w:rsidR="002920B0" w:rsidRDefault="002920B0"/>
    <w:sectPr w:rsidR="00292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454C" w14:textId="77777777" w:rsidR="005D7FC0" w:rsidRDefault="005D7FC0" w:rsidP="00115F65">
      <w:pPr>
        <w:spacing w:line="240" w:lineRule="auto"/>
      </w:pPr>
      <w:r>
        <w:separator/>
      </w:r>
    </w:p>
  </w:endnote>
  <w:endnote w:type="continuationSeparator" w:id="0">
    <w:p w14:paraId="00692229" w14:textId="77777777" w:rsidR="005D7FC0" w:rsidRDefault="005D7FC0" w:rsidP="0011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168E" w14:textId="77777777" w:rsidR="00115F65" w:rsidRDefault="00115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C35B" w14:textId="77777777" w:rsidR="00115F65" w:rsidRDefault="00115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6511" w14:textId="77777777" w:rsidR="00115F65" w:rsidRDefault="0011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BD2A" w14:textId="77777777" w:rsidR="005D7FC0" w:rsidRDefault="005D7FC0" w:rsidP="00115F65">
      <w:pPr>
        <w:spacing w:line="240" w:lineRule="auto"/>
      </w:pPr>
      <w:r>
        <w:separator/>
      </w:r>
    </w:p>
  </w:footnote>
  <w:footnote w:type="continuationSeparator" w:id="0">
    <w:p w14:paraId="717D69DB" w14:textId="77777777" w:rsidR="005D7FC0" w:rsidRDefault="005D7FC0" w:rsidP="00115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FCFE" w14:textId="77777777" w:rsidR="00115F65" w:rsidRDefault="0011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EE3B" w14:textId="77777777" w:rsidR="00115F65" w:rsidRDefault="00115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3965" w14:textId="77777777" w:rsidR="00115F65" w:rsidRDefault="00115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65"/>
    <w:rsid w:val="00012B12"/>
    <w:rsid w:val="00115F65"/>
    <w:rsid w:val="00246F0B"/>
    <w:rsid w:val="002920B0"/>
    <w:rsid w:val="002B7099"/>
    <w:rsid w:val="003A1BB7"/>
    <w:rsid w:val="00590193"/>
    <w:rsid w:val="005D7FC0"/>
    <w:rsid w:val="006E6C77"/>
    <w:rsid w:val="008D76FE"/>
    <w:rsid w:val="00DE25EB"/>
    <w:rsid w:val="00E624E4"/>
    <w:rsid w:val="00E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270AB"/>
  <w15:chartTrackingRefBased/>
  <w15:docId w15:val="{D0A177CE-8CAE-4691-B327-0477526A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5F65"/>
    <w:pPr>
      <w:spacing w:after="0" w:line="270" w:lineRule="atLeast"/>
    </w:pPr>
    <w:rPr>
      <w:rFonts w:eastAsia="Times New Roman" w:cs="Times New Roman"/>
      <w:spacing w:val="2"/>
      <w:sz w:val="19"/>
      <w:szCs w:val="19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65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5F65"/>
  </w:style>
  <w:style w:type="paragraph" w:styleId="Footer">
    <w:name w:val="footer"/>
    <w:basedOn w:val="Normal"/>
    <w:link w:val="FooterChar"/>
    <w:uiPriority w:val="99"/>
    <w:unhideWhenUsed/>
    <w:rsid w:val="00115F65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5F65"/>
  </w:style>
  <w:style w:type="character" w:customStyle="1" w:styleId="Heading1Char">
    <w:name w:val="Heading 1 Char"/>
    <w:basedOn w:val="DefaultParagraphFont"/>
    <w:link w:val="Heading1"/>
    <w:uiPriority w:val="9"/>
    <w:rsid w:val="00115F65"/>
    <w:rPr>
      <w:rFonts w:asciiTheme="majorHAnsi" w:eastAsiaTheme="majorEastAsia" w:hAnsiTheme="majorHAnsi" w:cstheme="majorBidi"/>
      <w:color w:val="2F5496" w:themeColor="accent1" w:themeShade="BF"/>
      <w:spacing w:val="2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11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15F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5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F65"/>
    <w:rPr>
      <w:rFonts w:eastAsia="Times New Roman" w:cs="Times New Roman"/>
      <w:spacing w:val="2"/>
      <w:sz w:val="20"/>
      <w:szCs w:val="20"/>
      <w:lang w:eastAsia="en-AU"/>
    </w:rPr>
  </w:style>
  <w:style w:type="paragraph" w:styleId="NoSpacing">
    <w:name w:val="No Spacing"/>
    <w:uiPriority w:val="1"/>
    <w:qFormat/>
    <w:rsid w:val="00115F65"/>
    <w:pPr>
      <w:spacing w:after="0" w:line="240" w:lineRule="auto"/>
    </w:pPr>
    <w:rPr>
      <w:rFonts w:eastAsia="Times New Roman" w:cs="Times New Roman"/>
      <w:spacing w:val="2"/>
      <w:sz w:val="19"/>
      <w:szCs w:val="19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113E42C-7BBA-4C40-84C1-E13294B6A6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Riley</dc:creator>
  <cp:keywords/>
  <dc:description/>
  <cp:lastModifiedBy>Kylie Riley</cp:lastModifiedBy>
  <cp:revision>3</cp:revision>
  <dcterms:created xsi:type="dcterms:W3CDTF">2022-10-11T05:43:00Z</dcterms:created>
  <dcterms:modified xsi:type="dcterms:W3CDTF">2023-01-10T05:23:00Z</dcterms:modified>
</cp:coreProperties>
</file>