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A2FDC" w14:textId="77777777" w:rsidR="00105549" w:rsidRDefault="00105549" w:rsidP="00E1054B">
      <w:pPr>
        <w:pStyle w:val="Title"/>
        <w:spacing w:before="800"/>
        <w:ind w:right="141"/>
        <w:rPr>
          <w:sz w:val="40"/>
          <w:szCs w:val="40"/>
        </w:rPr>
      </w:pPr>
      <w:r w:rsidRPr="00735CC8">
        <w:rPr>
          <w:rFonts w:ascii="Arial" w:hAnsi="Arial" w:cs="Arial"/>
          <w:noProof/>
          <w:sz w:val="22"/>
          <w:szCs w:val="22"/>
        </w:rPr>
        <w:drawing>
          <wp:anchor distT="0" distB="0" distL="114300" distR="114300" simplePos="0" relativeHeight="251698176" behindDoc="1" locked="0" layoutInCell="1" allowOverlap="1" wp14:anchorId="187ADCD2" wp14:editId="3C762C39">
            <wp:simplePos x="504825" y="1200150"/>
            <wp:positionH relativeFrom="page">
              <wp:align>left</wp:align>
            </wp:positionH>
            <wp:positionV relativeFrom="page">
              <wp:align>top</wp:align>
            </wp:positionV>
            <wp:extent cx="7560000" cy="1962000"/>
            <wp:effectExtent l="0" t="0" r="0" b="635"/>
            <wp:wrapNone/>
            <wp:docPr id="3" name="COGG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a:blip r:embed="rId9">
                      <a:extLst>
                        <a:ext uri="{28A0092B-C50C-407E-A947-70E740481C1C}">
                          <a14:useLocalDpi xmlns:a14="http://schemas.microsoft.com/office/drawing/2010/main" val="0"/>
                        </a:ext>
                      </a:extLst>
                    </a:blip>
                    <a:stretch>
                      <a:fillRect/>
                    </a:stretch>
                  </pic:blipFill>
                  <pic:spPr>
                    <a:xfrm>
                      <a:off x="0" y="0"/>
                      <a:ext cx="7560000" cy="1962000"/>
                    </a:xfrm>
                    <a:prstGeom prst="rect">
                      <a:avLst/>
                    </a:prstGeom>
                  </pic:spPr>
                </pic:pic>
              </a:graphicData>
            </a:graphic>
            <wp14:sizeRelH relativeFrom="margin">
              <wp14:pctWidth>0</wp14:pctWidth>
            </wp14:sizeRelH>
            <wp14:sizeRelV relativeFrom="margin">
              <wp14:pctHeight>0</wp14:pctHeight>
            </wp14:sizeRelV>
          </wp:anchor>
        </w:drawing>
      </w:r>
      <w:r w:rsidRPr="00EE444D">
        <w:rPr>
          <w:sz w:val="40"/>
          <w:szCs w:val="40"/>
        </w:rPr>
        <w:t>heritage information sheet</w:t>
      </w:r>
    </w:p>
    <w:p w14:paraId="55821DB3" w14:textId="0C6DBB97" w:rsidR="00113B8E" w:rsidRPr="00584289" w:rsidRDefault="00EB706A" w:rsidP="00E1054B">
      <w:pPr>
        <w:pStyle w:val="Title"/>
        <w:spacing w:before="800"/>
        <w:ind w:right="141"/>
        <w:rPr>
          <w:b w:val="0"/>
          <w:bCs/>
          <w:sz w:val="22"/>
          <w:szCs w:val="24"/>
        </w:rPr>
      </w:pPr>
      <w:r>
        <w:rPr>
          <w:sz w:val="40"/>
          <w:szCs w:val="40"/>
        </w:rPr>
        <w:t>REPAIRS</w:t>
      </w:r>
    </w:p>
    <w:p w14:paraId="7BBA3A82" w14:textId="77777777" w:rsidR="00603066" w:rsidRPr="00603066" w:rsidRDefault="00603066" w:rsidP="00E1054B">
      <w:pPr>
        <w:ind w:right="141"/>
      </w:pPr>
    </w:p>
    <w:p w14:paraId="08ED93FC" w14:textId="7D12B891" w:rsidR="007819D3" w:rsidRPr="00EB7B88" w:rsidRDefault="00603E11" w:rsidP="00E02698">
      <w:pPr>
        <w:pStyle w:val="Heading1"/>
        <w:spacing w:after="200"/>
        <w:ind w:right="141"/>
        <w:jc w:val="both"/>
        <w:rPr>
          <w:rFonts w:ascii="Arial" w:hAnsi="Arial" w:cs="Arial"/>
          <w:caps w:val="0"/>
          <w:szCs w:val="22"/>
        </w:rPr>
      </w:pPr>
      <w:r w:rsidRPr="00EB7B88">
        <w:rPr>
          <w:rFonts w:ascii="Arial" w:hAnsi="Arial" w:cs="Arial"/>
          <w:caps w:val="0"/>
          <w:szCs w:val="22"/>
        </w:rPr>
        <w:t xml:space="preserve">Prepared by </w:t>
      </w:r>
      <w:r w:rsidR="00686375" w:rsidRPr="00EB7B88">
        <w:rPr>
          <w:rFonts w:ascii="Arial" w:hAnsi="Arial" w:cs="Arial"/>
          <w:caps w:val="0"/>
          <w:szCs w:val="22"/>
        </w:rPr>
        <w:t>Authentic Heritage Services</w:t>
      </w:r>
      <w:r w:rsidR="00E77406" w:rsidRPr="00EB7B88">
        <w:rPr>
          <w:rFonts w:ascii="Arial" w:hAnsi="Arial" w:cs="Arial"/>
          <w:caps w:val="0"/>
          <w:szCs w:val="22"/>
        </w:rPr>
        <w:t xml:space="preserve"> Pty Ltd</w:t>
      </w:r>
    </w:p>
    <w:p w14:paraId="740D9CF3" w14:textId="77777777" w:rsidR="00E02698" w:rsidRPr="00221E9D" w:rsidRDefault="00E02698" w:rsidP="00E02698">
      <w:pPr>
        <w:jc w:val="both"/>
        <w:rPr>
          <w:rFonts w:ascii="Arial" w:hAnsi="Arial" w:cs="Arial"/>
          <w:sz w:val="22"/>
          <w:szCs w:val="22"/>
        </w:rPr>
      </w:pPr>
      <w:r w:rsidRPr="00221E9D">
        <w:rPr>
          <w:rFonts w:ascii="Arial" w:hAnsi="Arial" w:cs="Arial"/>
          <w:sz w:val="22"/>
          <w:szCs w:val="22"/>
        </w:rPr>
        <w:t xml:space="preserve">Under Clause 43.0-1 of the Planning Scheme, a planning permit is </w:t>
      </w:r>
      <w:r w:rsidRPr="00221E9D">
        <w:rPr>
          <w:rFonts w:ascii="Arial" w:hAnsi="Arial" w:cs="Arial"/>
          <w:sz w:val="22"/>
          <w:szCs w:val="22"/>
          <w:u w:val="single"/>
        </w:rPr>
        <w:t>not</w:t>
      </w:r>
      <w:r w:rsidRPr="00221E9D">
        <w:rPr>
          <w:rFonts w:ascii="Arial" w:hAnsi="Arial" w:cs="Arial"/>
          <w:sz w:val="22"/>
          <w:szCs w:val="22"/>
        </w:rPr>
        <w:t xml:space="preserve"> required for works, repairs and routine maintenance that do not change the appearance of the heritage place, </w:t>
      </w:r>
      <w:r w:rsidRPr="00221E9D">
        <w:rPr>
          <w:rFonts w:ascii="Arial" w:hAnsi="Arial" w:cs="Arial"/>
          <w:sz w:val="22"/>
          <w:szCs w:val="22"/>
          <w:u w:val="single"/>
        </w:rPr>
        <w:t>if the proposal is carried out to the same details, specifications and materials as existing</w:t>
      </w:r>
      <w:r w:rsidRPr="00221E9D">
        <w:rPr>
          <w:rFonts w:ascii="Arial" w:hAnsi="Arial" w:cs="Arial"/>
          <w:sz w:val="22"/>
          <w:szCs w:val="22"/>
        </w:rPr>
        <w:t xml:space="preserve">. Routine maintenance constitutes the change to particular elements or parts of a building to improve its condition and maintain its appearance. Permit exempt repairs and routine maintenance are minor in extent. </w:t>
      </w:r>
    </w:p>
    <w:p w14:paraId="494AF968" w14:textId="77777777" w:rsidR="00E02698" w:rsidRPr="00221E9D" w:rsidRDefault="00E02698" w:rsidP="00E02698">
      <w:pPr>
        <w:pStyle w:val="Heading1"/>
        <w:spacing w:before="400" w:after="200"/>
        <w:rPr>
          <w:rFonts w:ascii="Arial" w:hAnsi="Arial" w:cs="Arial"/>
          <w:caps w:val="0"/>
          <w:szCs w:val="22"/>
        </w:rPr>
      </w:pPr>
      <w:r w:rsidRPr="00221E9D">
        <w:rPr>
          <w:rFonts w:ascii="Arial" w:hAnsi="Arial" w:cs="Arial"/>
          <w:caps w:val="0"/>
          <w:szCs w:val="22"/>
        </w:rPr>
        <w:t>Basis of Assessment</w:t>
      </w:r>
    </w:p>
    <w:p w14:paraId="5C4EF09B" w14:textId="39B3951F" w:rsidR="00E02698" w:rsidRDefault="00E02698" w:rsidP="00E02698">
      <w:pPr>
        <w:spacing w:after="240"/>
        <w:jc w:val="both"/>
        <w:rPr>
          <w:rFonts w:ascii="Arial" w:hAnsi="Arial" w:cs="Arial"/>
          <w:sz w:val="22"/>
          <w:szCs w:val="22"/>
        </w:rPr>
      </w:pPr>
      <w:r w:rsidRPr="00221E9D">
        <w:rPr>
          <w:rFonts w:ascii="Arial" w:hAnsi="Arial" w:cs="Arial"/>
          <w:sz w:val="22"/>
          <w:szCs w:val="22"/>
        </w:rPr>
        <w:t xml:space="preserve">A planning permit </w:t>
      </w:r>
      <w:r w:rsidRPr="00221E9D">
        <w:rPr>
          <w:rFonts w:ascii="Arial" w:hAnsi="Arial" w:cs="Arial"/>
          <w:sz w:val="22"/>
          <w:szCs w:val="22"/>
          <w:u w:val="single"/>
        </w:rPr>
        <w:t>is</w:t>
      </w:r>
      <w:r w:rsidRPr="00221E9D">
        <w:rPr>
          <w:rFonts w:ascii="Arial" w:hAnsi="Arial" w:cs="Arial"/>
          <w:sz w:val="22"/>
          <w:szCs w:val="22"/>
        </w:rPr>
        <w:t xml:space="preserve"> required for more substantial repairs and maintenance, where the external appearance of the heritage building will change. This also includes the repairs that will enhance the character of a building. In most cases, advice from Council’s Heritage Advisor and other specialist consultants and tradespeople </w:t>
      </w:r>
      <w:r w:rsidR="006A2106">
        <w:rPr>
          <w:rFonts w:ascii="Arial" w:hAnsi="Arial" w:cs="Arial"/>
          <w:sz w:val="22"/>
          <w:szCs w:val="22"/>
        </w:rPr>
        <w:t>may</w:t>
      </w:r>
      <w:r w:rsidRPr="00221E9D">
        <w:rPr>
          <w:rFonts w:ascii="Arial" w:hAnsi="Arial" w:cs="Arial"/>
          <w:sz w:val="22"/>
          <w:szCs w:val="22"/>
        </w:rPr>
        <w:t xml:space="preserve"> be important to ensure a successful repair outcome. This advice should precede a planning permit application. The application will require documentation of all repairs and extent of works.</w:t>
      </w:r>
    </w:p>
    <w:p w14:paraId="25702419" w14:textId="77777777" w:rsidR="00DF1333" w:rsidRPr="00221E9D" w:rsidRDefault="00DF1333" w:rsidP="00DF1333">
      <w:pPr>
        <w:spacing w:after="240"/>
        <w:jc w:val="both"/>
        <w:rPr>
          <w:rFonts w:ascii="Arial" w:hAnsi="Arial" w:cs="Arial"/>
          <w:sz w:val="22"/>
          <w:szCs w:val="22"/>
        </w:rPr>
      </w:pPr>
      <w:r w:rsidRPr="00221E9D">
        <w:rPr>
          <w:rFonts w:ascii="Arial" w:hAnsi="Arial" w:cs="Arial"/>
          <w:sz w:val="22"/>
          <w:szCs w:val="22"/>
        </w:rPr>
        <w:t>An assessment of an application for substantial repairs will need to consider the following:</w:t>
      </w:r>
    </w:p>
    <w:p w14:paraId="5A259FBB" w14:textId="77777777" w:rsidR="00DF1333" w:rsidRPr="00221E9D" w:rsidRDefault="00DF1333" w:rsidP="00DF1333">
      <w:pPr>
        <w:pStyle w:val="ListParagraph"/>
        <w:numPr>
          <w:ilvl w:val="0"/>
          <w:numId w:val="44"/>
        </w:numPr>
        <w:spacing w:line="276" w:lineRule="auto"/>
        <w:ind w:left="1134" w:hanging="567"/>
        <w:jc w:val="both"/>
        <w:rPr>
          <w:rFonts w:cs="Arial"/>
          <w:sz w:val="22"/>
          <w:szCs w:val="22"/>
        </w:rPr>
      </w:pPr>
      <w:r w:rsidRPr="00221E9D">
        <w:rPr>
          <w:rFonts w:cs="Arial"/>
          <w:sz w:val="22"/>
          <w:szCs w:val="22"/>
        </w:rPr>
        <w:t>Any applicable heritage study and statement of significance for the place (as outlined in Clause 43 of the Planning Scheme).</w:t>
      </w:r>
    </w:p>
    <w:p w14:paraId="706DC22A" w14:textId="77777777" w:rsidR="00DF1333" w:rsidRPr="00221E9D" w:rsidRDefault="00DF1333" w:rsidP="00DF1333">
      <w:pPr>
        <w:pStyle w:val="ListParagraph"/>
        <w:numPr>
          <w:ilvl w:val="0"/>
          <w:numId w:val="44"/>
        </w:numPr>
        <w:spacing w:line="276" w:lineRule="auto"/>
        <w:ind w:left="1134" w:hanging="567"/>
        <w:jc w:val="both"/>
        <w:rPr>
          <w:rFonts w:cs="Arial"/>
          <w:sz w:val="22"/>
          <w:szCs w:val="22"/>
        </w:rPr>
      </w:pPr>
      <w:r w:rsidRPr="00221E9D">
        <w:rPr>
          <w:rFonts w:cs="Arial"/>
          <w:sz w:val="22"/>
          <w:szCs w:val="22"/>
        </w:rPr>
        <w:t>Whether the works have been undertaken in accordance with the accepted conservation standards of the Australia ICOMOS Burra Charter (as outlined in Clause 15.03-1S of the Planning Scheme).</w:t>
      </w:r>
    </w:p>
    <w:p w14:paraId="3DBEC16A" w14:textId="77777777" w:rsidR="00DF1333" w:rsidRPr="00221E9D" w:rsidRDefault="00DF1333" w:rsidP="00DF1333">
      <w:pPr>
        <w:pStyle w:val="ListParagraph"/>
        <w:numPr>
          <w:ilvl w:val="0"/>
          <w:numId w:val="44"/>
        </w:numPr>
        <w:spacing w:line="276" w:lineRule="auto"/>
        <w:ind w:left="1134" w:hanging="567"/>
        <w:jc w:val="both"/>
        <w:rPr>
          <w:rFonts w:cs="Arial"/>
          <w:sz w:val="22"/>
          <w:szCs w:val="22"/>
        </w:rPr>
      </w:pPr>
      <w:r w:rsidRPr="00221E9D">
        <w:rPr>
          <w:rFonts w:cs="Arial"/>
          <w:sz w:val="22"/>
          <w:szCs w:val="22"/>
        </w:rPr>
        <w:t>Whether the demolition, removal or external alteration will adversely affect the significance of the heritage place (as outlined in Clause 43 of the Planning Scheme).</w:t>
      </w:r>
    </w:p>
    <w:p w14:paraId="5A0ED899" w14:textId="396C9E87" w:rsidR="00DF1333" w:rsidRDefault="00DF1333" w:rsidP="00DF1333">
      <w:pPr>
        <w:pStyle w:val="ListParagraph"/>
        <w:numPr>
          <w:ilvl w:val="0"/>
          <w:numId w:val="44"/>
        </w:numPr>
        <w:spacing w:after="300" w:line="276" w:lineRule="auto"/>
        <w:ind w:left="1134" w:hanging="567"/>
        <w:jc w:val="both"/>
        <w:rPr>
          <w:rFonts w:cs="Arial"/>
          <w:sz w:val="22"/>
          <w:szCs w:val="22"/>
        </w:rPr>
      </w:pPr>
      <w:r w:rsidRPr="00221E9D">
        <w:rPr>
          <w:rFonts w:cs="Arial"/>
          <w:sz w:val="22"/>
          <w:szCs w:val="22"/>
        </w:rPr>
        <w:t>Whether the proposed works will adversely affect the significance, character or appearance of the heritage place (as outlined in Clause 43 of the Planning Scheme).</w:t>
      </w:r>
    </w:p>
    <w:tbl>
      <w:tblPr>
        <w:tblW w:w="10064" w:type="dxa"/>
        <w:jc w:val="center"/>
        <w:tblLook w:val="04A0" w:firstRow="1" w:lastRow="0" w:firstColumn="1" w:lastColumn="0" w:noHBand="0" w:noVBand="1"/>
      </w:tblPr>
      <w:tblGrid>
        <w:gridCol w:w="4897"/>
        <w:gridCol w:w="222"/>
        <w:gridCol w:w="4945"/>
      </w:tblGrid>
      <w:tr w:rsidR="00DF1333" w:rsidRPr="00221E9D" w14:paraId="0D3E25AC" w14:textId="77777777" w:rsidTr="006A2106">
        <w:trPr>
          <w:trHeight w:val="3325"/>
          <w:jc w:val="center"/>
        </w:trPr>
        <w:tc>
          <w:tcPr>
            <w:tcW w:w="4897" w:type="dxa"/>
            <w:vAlign w:val="center"/>
          </w:tcPr>
          <w:p w14:paraId="06983E4D" w14:textId="77777777" w:rsidR="00DF1333" w:rsidRPr="00221E9D" w:rsidRDefault="00DF1333" w:rsidP="00754A16">
            <w:pPr>
              <w:jc w:val="both"/>
              <w:rPr>
                <w:rFonts w:ascii="Arial" w:hAnsi="Arial" w:cs="Arial"/>
                <w:sz w:val="22"/>
                <w:szCs w:val="22"/>
              </w:rPr>
            </w:pPr>
            <w:r w:rsidRPr="00221E9D">
              <w:rPr>
                <w:rFonts w:ascii="Arial" w:hAnsi="Arial" w:cs="Arial"/>
                <w:bCs/>
                <w:noProof/>
                <w:szCs w:val="22"/>
              </w:rPr>
              <w:drawing>
                <wp:anchor distT="0" distB="0" distL="114300" distR="114300" simplePos="0" relativeHeight="251700224" behindDoc="0" locked="0" layoutInCell="1" allowOverlap="1" wp14:anchorId="3EA2F1B5" wp14:editId="0C1F9415">
                  <wp:simplePos x="0" y="0"/>
                  <wp:positionH relativeFrom="column">
                    <wp:posOffset>38100</wp:posOffset>
                  </wp:positionH>
                  <wp:positionV relativeFrom="paragraph">
                    <wp:posOffset>-2167255</wp:posOffset>
                  </wp:positionV>
                  <wp:extent cx="2882900" cy="215963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 Weller 2013St_resiz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2900" cy="2159635"/>
                          </a:xfrm>
                          <a:prstGeom prst="rect">
                            <a:avLst/>
                          </a:prstGeom>
                        </pic:spPr>
                      </pic:pic>
                    </a:graphicData>
                  </a:graphic>
                  <wp14:sizeRelH relativeFrom="page">
                    <wp14:pctWidth>0</wp14:pctWidth>
                  </wp14:sizeRelH>
                  <wp14:sizeRelV relativeFrom="page">
                    <wp14:pctHeight>0</wp14:pctHeight>
                  </wp14:sizeRelV>
                </wp:anchor>
              </w:drawing>
            </w:r>
          </w:p>
        </w:tc>
        <w:tc>
          <w:tcPr>
            <w:tcW w:w="222" w:type="dxa"/>
            <w:vAlign w:val="center"/>
          </w:tcPr>
          <w:p w14:paraId="79E3E923" w14:textId="77777777" w:rsidR="00DF1333" w:rsidRDefault="00DF1333" w:rsidP="00754A16">
            <w:pPr>
              <w:jc w:val="both"/>
              <w:rPr>
                <w:rFonts w:ascii="Arial" w:hAnsi="Arial" w:cs="Arial"/>
                <w:sz w:val="22"/>
                <w:szCs w:val="22"/>
              </w:rPr>
            </w:pPr>
          </w:p>
          <w:p w14:paraId="739CA475" w14:textId="77777777" w:rsidR="006A2106" w:rsidRDefault="006A2106" w:rsidP="00754A16">
            <w:pPr>
              <w:jc w:val="both"/>
              <w:rPr>
                <w:rFonts w:ascii="Arial" w:hAnsi="Arial" w:cs="Arial"/>
                <w:sz w:val="22"/>
                <w:szCs w:val="22"/>
              </w:rPr>
            </w:pPr>
          </w:p>
          <w:p w14:paraId="43E7C46E" w14:textId="77777777" w:rsidR="006A2106" w:rsidRDefault="006A2106" w:rsidP="00754A16">
            <w:pPr>
              <w:jc w:val="both"/>
              <w:rPr>
                <w:rFonts w:ascii="Arial" w:hAnsi="Arial" w:cs="Arial"/>
                <w:sz w:val="22"/>
                <w:szCs w:val="22"/>
              </w:rPr>
            </w:pPr>
          </w:p>
          <w:p w14:paraId="78606C2B" w14:textId="77777777" w:rsidR="006A2106" w:rsidRDefault="006A2106" w:rsidP="00754A16">
            <w:pPr>
              <w:jc w:val="both"/>
              <w:rPr>
                <w:rFonts w:ascii="Arial" w:hAnsi="Arial" w:cs="Arial"/>
                <w:sz w:val="22"/>
                <w:szCs w:val="22"/>
              </w:rPr>
            </w:pPr>
          </w:p>
          <w:p w14:paraId="18AD4945" w14:textId="77777777" w:rsidR="006A2106" w:rsidRDefault="006A2106" w:rsidP="00754A16">
            <w:pPr>
              <w:jc w:val="both"/>
              <w:rPr>
                <w:rFonts w:ascii="Arial" w:hAnsi="Arial" w:cs="Arial"/>
                <w:sz w:val="22"/>
                <w:szCs w:val="22"/>
              </w:rPr>
            </w:pPr>
          </w:p>
          <w:p w14:paraId="26EF16A4" w14:textId="77777777" w:rsidR="006A2106" w:rsidRDefault="006A2106" w:rsidP="00754A16">
            <w:pPr>
              <w:jc w:val="both"/>
              <w:rPr>
                <w:rFonts w:ascii="Arial" w:hAnsi="Arial" w:cs="Arial"/>
                <w:sz w:val="22"/>
                <w:szCs w:val="22"/>
              </w:rPr>
            </w:pPr>
          </w:p>
          <w:p w14:paraId="00DD4775" w14:textId="77777777" w:rsidR="006A2106" w:rsidRDefault="006A2106" w:rsidP="00754A16">
            <w:pPr>
              <w:jc w:val="both"/>
              <w:rPr>
                <w:rFonts w:ascii="Arial" w:hAnsi="Arial" w:cs="Arial"/>
                <w:sz w:val="22"/>
                <w:szCs w:val="22"/>
              </w:rPr>
            </w:pPr>
          </w:p>
          <w:p w14:paraId="76CCB4B5" w14:textId="77777777" w:rsidR="006A2106" w:rsidRDefault="006A2106" w:rsidP="00754A16">
            <w:pPr>
              <w:jc w:val="both"/>
              <w:rPr>
                <w:rFonts w:ascii="Arial" w:hAnsi="Arial" w:cs="Arial"/>
                <w:sz w:val="22"/>
                <w:szCs w:val="22"/>
              </w:rPr>
            </w:pPr>
          </w:p>
          <w:p w14:paraId="1E38FF91" w14:textId="77777777" w:rsidR="006A2106" w:rsidRDefault="006A2106" w:rsidP="00754A16">
            <w:pPr>
              <w:jc w:val="both"/>
              <w:rPr>
                <w:rFonts w:ascii="Arial" w:hAnsi="Arial" w:cs="Arial"/>
                <w:sz w:val="22"/>
                <w:szCs w:val="22"/>
              </w:rPr>
            </w:pPr>
          </w:p>
          <w:p w14:paraId="26588F66" w14:textId="77777777" w:rsidR="006A2106" w:rsidRDefault="006A2106" w:rsidP="00754A16">
            <w:pPr>
              <w:jc w:val="both"/>
              <w:rPr>
                <w:rFonts w:ascii="Arial" w:hAnsi="Arial" w:cs="Arial"/>
                <w:sz w:val="22"/>
                <w:szCs w:val="22"/>
              </w:rPr>
            </w:pPr>
          </w:p>
          <w:p w14:paraId="4B199735" w14:textId="77777777" w:rsidR="006A2106" w:rsidRDefault="006A2106" w:rsidP="00754A16">
            <w:pPr>
              <w:jc w:val="both"/>
              <w:rPr>
                <w:rFonts w:ascii="Arial" w:hAnsi="Arial" w:cs="Arial"/>
                <w:sz w:val="22"/>
                <w:szCs w:val="22"/>
              </w:rPr>
            </w:pPr>
          </w:p>
          <w:p w14:paraId="0A393094" w14:textId="77777777" w:rsidR="006A2106" w:rsidRDefault="006A2106" w:rsidP="00754A16">
            <w:pPr>
              <w:jc w:val="both"/>
              <w:rPr>
                <w:rFonts w:ascii="Arial" w:hAnsi="Arial" w:cs="Arial"/>
                <w:sz w:val="22"/>
                <w:szCs w:val="22"/>
              </w:rPr>
            </w:pPr>
          </w:p>
          <w:p w14:paraId="199AC5D9" w14:textId="322C315D" w:rsidR="006A2106" w:rsidRPr="00221E9D" w:rsidRDefault="006A2106" w:rsidP="00754A16">
            <w:pPr>
              <w:jc w:val="both"/>
              <w:rPr>
                <w:rFonts w:ascii="Arial" w:hAnsi="Arial" w:cs="Arial"/>
                <w:sz w:val="22"/>
                <w:szCs w:val="22"/>
              </w:rPr>
            </w:pPr>
          </w:p>
        </w:tc>
        <w:tc>
          <w:tcPr>
            <w:tcW w:w="4945" w:type="dxa"/>
            <w:vAlign w:val="center"/>
          </w:tcPr>
          <w:p w14:paraId="61A4E04F" w14:textId="77777777" w:rsidR="00DF1333" w:rsidRPr="00221E9D" w:rsidRDefault="00DF1333" w:rsidP="00754A16">
            <w:pPr>
              <w:jc w:val="both"/>
              <w:rPr>
                <w:rFonts w:ascii="Arial" w:hAnsi="Arial" w:cs="Arial"/>
                <w:sz w:val="22"/>
                <w:szCs w:val="22"/>
              </w:rPr>
            </w:pPr>
            <w:r w:rsidRPr="00221E9D">
              <w:rPr>
                <w:rFonts w:ascii="Arial" w:hAnsi="Arial" w:cs="Arial"/>
                <w:bCs/>
                <w:noProof/>
                <w:szCs w:val="22"/>
              </w:rPr>
              <w:drawing>
                <wp:anchor distT="0" distB="0" distL="114300" distR="114300" simplePos="0" relativeHeight="251701248" behindDoc="0" locked="0" layoutInCell="1" allowOverlap="1" wp14:anchorId="3280AF9D" wp14:editId="0DDDE68A">
                  <wp:simplePos x="0" y="0"/>
                  <wp:positionH relativeFrom="column">
                    <wp:posOffset>63500</wp:posOffset>
                  </wp:positionH>
                  <wp:positionV relativeFrom="paragraph">
                    <wp:posOffset>-2167255</wp:posOffset>
                  </wp:positionV>
                  <wp:extent cx="2879725" cy="2159635"/>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t 2014-2.JPG"/>
                          <pic:cNvPicPr/>
                        </pic:nvPicPr>
                        <pic:blipFill>
                          <a:blip r:embed="rId11" cstate="print">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14:sizeRelH relativeFrom="page">
                    <wp14:pctWidth>0</wp14:pctWidth>
                  </wp14:sizeRelH>
                  <wp14:sizeRelV relativeFrom="page">
                    <wp14:pctHeight>0</wp14:pctHeight>
                  </wp14:sizeRelV>
                </wp:anchor>
              </w:drawing>
            </w:r>
          </w:p>
        </w:tc>
      </w:tr>
      <w:tr w:rsidR="006A2106" w:rsidRPr="00221E9D" w14:paraId="2354B603" w14:textId="77777777" w:rsidTr="006A2106">
        <w:trPr>
          <w:trHeight w:val="263"/>
          <w:jc w:val="center"/>
        </w:trPr>
        <w:tc>
          <w:tcPr>
            <w:tcW w:w="10064" w:type="dxa"/>
            <w:gridSpan w:val="3"/>
            <w:vAlign w:val="center"/>
          </w:tcPr>
          <w:p w14:paraId="2A874AFE" w14:textId="6A4C11C4" w:rsidR="006A2106" w:rsidRPr="006A2106" w:rsidRDefault="006A2106" w:rsidP="006A2106">
            <w:pPr>
              <w:spacing w:line="240" w:lineRule="auto"/>
              <w:jc w:val="center"/>
              <w:rPr>
                <w:rFonts w:ascii="Arial" w:hAnsi="Arial" w:cs="Arial"/>
                <w:bCs/>
                <w:noProof/>
                <w:szCs w:val="22"/>
              </w:rPr>
            </w:pPr>
            <w:r w:rsidRPr="006A2106">
              <w:rPr>
                <w:rFonts w:ascii="Arial" w:hAnsi="Arial" w:cs="Arial"/>
                <w:bCs/>
              </w:rPr>
              <w:t>Dwelling before and after repairs.  Source: Dr David Rowe.</w:t>
            </w:r>
          </w:p>
        </w:tc>
      </w:tr>
    </w:tbl>
    <w:p w14:paraId="2437EB56" w14:textId="1193B323" w:rsidR="00DF1333" w:rsidRPr="00221E9D" w:rsidRDefault="00DF1333" w:rsidP="006A2106">
      <w:pPr>
        <w:spacing w:line="260" w:lineRule="atLeast"/>
        <w:jc w:val="both"/>
        <w:rPr>
          <w:rFonts w:ascii="Arial" w:hAnsi="Arial" w:cs="Arial"/>
          <w:b/>
          <w:sz w:val="22"/>
          <w:szCs w:val="22"/>
        </w:rPr>
      </w:pPr>
      <w:r w:rsidRPr="00221E9D">
        <w:rPr>
          <w:rFonts w:ascii="Arial" w:hAnsi="Arial" w:cs="Arial"/>
          <w:b/>
          <w:sz w:val="22"/>
          <w:szCs w:val="22"/>
        </w:rPr>
        <w:br w:type="page"/>
      </w:r>
    </w:p>
    <w:p w14:paraId="104C1065" w14:textId="77777777" w:rsidR="00DF1333" w:rsidRPr="00221E9D" w:rsidRDefault="00DF1333" w:rsidP="00DF1333">
      <w:pPr>
        <w:pStyle w:val="Heading1"/>
        <w:spacing w:before="400" w:after="200"/>
        <w:rPr>
          <w:rFonts w:ascii="Arial" w:hAnsi="Arial" w:cs="Arial"/>
          <w:caps w:val="0"/>
          <w:szCs w:val="22"/>
        </w:rPr>
      </w:pPr>
      <w:r w:rsidRPr="00221E9D">
        <w:rPr>
          <w:rFonts w:ascii="Arial" w:hAnsi="Arial" w:cs="Arial"/>
          <w:caps w:val="0"/>
          <w:szCs w:val="22"/>
        </w:rPr>
        <w:lastRenderedPageBreak/>
        <w:t>Basic Principles</w:t>
      </w:r>
    </w:p>
    <w:p w14:paraId="511DB77A" w14:textId="77777777" w:rsidR="00DF1333" w:rsidRPr="00221E9D" w:rsidRDefault="00DF1333" w:rsidP="00DF1333">
      <w:pPr>
        <w:spacing w:after="240"/>
        <w:jc w:val="both"/>
        <w:rPr>
          <w:rFonts w:ascii="Arial" w:hAnsi="Arial" w:cs="Arial"/>
          <w:sz w:val="22"/>
          <w:szCs w:val="22"/>
        </w:rPr>
      </w:pPr>
      <w:r w:rsidRPr="00221E9D">
        <w:rPr>
          <w:rFonts w:ascii="Arial" w:hAnsi="Arial" w:cs="Arial"/>
          <w:sz w:val="22"/>
          <w:szCs w:val="22"/>
        </w:rPr>
        <w:t xml:space="preserve">Where change is being considered as part of repairs and maintenance, it is important that a proper understanding of the significant fabric is first gained. For an individually significant place or a contributory place in a heritage area, this fabric should be identified in the statement of significance in the heritage study.  </w:t>
      </w:r>
    </w:p>
    <w:p w14:paraId="7C14936A" w14:textId="77777777" w:rsidR="00DF1333" w:rsidRPr="00221E9D" w:rsidRDefault="00DF1333" w:rsidP="00DF1333">
      <w:pPr>
        <w:spacing w:after="240"/>
        <w:jc w:val="both"/>
        <w:rPr>
          <w:rFonts w:ascii="Arial" w:hAnsi="Arial" w:cs="Arial"/>
          <w:sz w:val="22"/>
          <w:szCs w:val="22"/>
        </w:rPr>
      </w:pPr>
      <w:r w:rsidRPr="00221E9D">
        <w:rPr>
          <w:rFonts w:ascii="Arial" w:hAnsi="Arial" w:cs="Arial"/>
          <w:sz w:val="22"/>
          <w:szCs w:val="22"/>
        </w:rPr>
        <w:t xml:space="preserve">Understanding what constitutes significant fabric of the place will be critical to the success of a planning permit application, as both these issues should influence the extent and methods of repairs and maintenance.  </w:t>
      </w:r>
    </w:p>
    <w:p w14:paraId="3C685061" w14:textId="77777777" w:rsidR="00DF1333" w:rsidRPr="00221E9D" w:rsidRDefault="00DF1333" w:rsidP="00DF1333">
      <w:pPr>
        <w:spacing w:after="240"/>
        <w:jc w:val="both"/>
        <w:rPr>
          <w:rFonts w:ascii="Arial" w:hAnsi="Arial" w:cs="Arial"/>
          <w:sz w:val="22"/>
          <w:szCs w:val="22"/>
        </w:rPr>
      </w:pPr>
      <w:r w:rsidRPr="00221E9D">
        <w:rPr>
          <w:rFonts w:ascii="Arial" w:hAnsi="Arial" w:cs="Arial"/>
          <w:sz w:val="22"/>
          <w:szCs w:val="22"/>
        </w:rPr>
        <w:t>In some cases, a building might be suffering from structural or cosmetic defects by virtue of its age, methods of construction or past use, but may still provide adequate service. Repairs and maintenance should therefore be based on the heritage principle of “replacing as much as necessary but as little as possible.” Wholesale replacement of building fabric should be avoided when the fabric is in good condition. In cases where sisalation (a building membrane used to minimize draughts)</w:t>
      </w:r>
      <w:r w:rsidRPr="00221E9D">
        <w:rPr>
          <w:rStyle w:val="FootnoteReference"/>
          <w:rFonts w:ascii="Arial" w:hAnsi="Arial" w:cs="Arial"/>
          <w:sz w:val="22"/>
          <w:szCs w:val="22"/>
        </w:rPr>
        <w:t xml:space="preserve"> </w:t>
      </w:r>
      <w:r w:rsidRPr="00221E9D">
        <w:rPr>
          <w:rFonts w:ascii="Arial" w:hAnsi="Arial" w:cs="Arial"/>
          <w:sz w:val="22"/>
          <w:szCs w:val="22"/>
        </w:rPr>
        <w:t>and insulation may be required to improve the building’s energy performance under the Building Code of Australia, for example, the exterior cladding should be carefully removed and then reinstated after the sisalation and insulation is installed. New cladding should only replace fabric in poor condition or damaged materials.</w:t>
      </w:r>
    </w:p>
    <w:p w14:paraId="08E07148" w14:textId="77777777" w:rsidR="00DF1333" w:rsidRPr="00221E9D" w:rsidRDefault="00DF1333" w:rsidP="00DF1333">
      <w:pPr>
        <w:pStyle w:val="Heading1"/>
        <w:spacing w:before="400" w:after="200"/>
        <w:rPr>
          <w:rFonts w:ascii="Arial" w:hAnsi="Arial" w:cs="Arial"/>
          <w:caps w:val="0"/>
          <w:szCs w:val="22"/>
        </w:rPr>
      </w:pPr>
      <w:r w:rsidRPr="00221E9D">
        <w:rPr>
          <w:rFonts w:ascii="Arial" w:hAnsi="Arial" w:cs="Arial"/>
          <w:caps w:val="0"/>
          <w:szCs w:val="22"/>
        </w:rPr>
        <w:t>Understanding Significant Fabric &amp; Basic Repair Principles</w:t>
      </w:r>
    </w:p>
    <w:p w14:paraId="25669B0B" w14:textId="77777777" w:rsidR="00DF1333" w:rsidRPr="00221E9D" w:rsidRDefault="00DF1333" w:rsidP="00DF1333">
      <w:pPr>
        <w:pStyle w:val="Heading2"/>
        <w:spacing w:before="400" w:after="200"/>
        <w:rPr>
          <w:rFonts w:ascii="Arial" w:hAnsi="Arial" w:cs="Arial"/>
          <w:b w:val="0"/>
          <w:bCs/>
          <w:sz w:val="22"/>
          <w:szCs w:val="22"/>
        </w:rPr>
      </w:pPr>
      <w:r w:rsidRPr="00221E9D">
        <w:rPr>
          <w:rFonts w:ascii="Arial" w:hAnsi="Arial" w:cs="Arial"/>
          <w:b w:val="0"/>
          <w:bCs/>
          <w:sz w:val="22"/>
          <w:szCs w:val="22"/>
        </w:rPr>
        <w:t>Floors</w:t>
      </w:r>
    </w:p>
    <w:p w14:paraId="6C56BE33" w14:textId="77777777" w:rsidR="00DF1333" w:rsidRPr="00221E9D" w:rsidRDefault="00DF1333" w:rsidP="00DF1333">
      <w:pPr>
        <w:jc w:val="both"/>
        <w:rPr>
          <w:rFonts w:ascii="Arial" w:hAnsi="Arial" w:cs="Arial"/>
          <w:sz w:val="22"/>
          <w:szCs w:val="22"/>
        </w:rPr>
      </w:pPr>
      <w:r w:rsidRPr="00221E9D">
        <w:rPr>
          <w:rFonts w:ascii="Arial" w:hAnsi="Arial" w:cs="Arial"/>
          <w:sz w:val="22"/>
          <w:szCs w:val="22"/>
        </w:rPr>
        <w:t xml:space="preserve">The restumping of timber floors requires no planning permit where no change is proposed to the exterior of the building.  Restumping is a routine process.  As part of the restumping process, it is important that adequate subfloor ventilation is maintained to keep adequate air flow beneath the building.  Ensure that existing subfloor ventilation openings are not submerged by garden beds, ground build up and debris, and that the ground around the building is graded away from the walls to prevent water ponding and moisture ingress beneath the building.  </w:t>
      </w:r>
    </w:p>
    <w:p w14:paraId="56CB9620" w14:textId="77777777" w:rsidR="00DF1333" w:rsidRPr="00221E9D" w:rsidRDefault="00DF1333" w:rsidP="00DF1333">
      <w:pPr>
        <w:pStyle w:val="Heading2"/>
        <w:spacing w:before="400" w:after="200"/>
        <w:rPr>
          <w:rFonts w:ascii="Arial" w:hAnsi="Arial" w:cs="Arial"/>
          <w:b w:val="0"/>
          <w:bCs/>
          <w:sz w:val="22"/>
          <w:szCs w:val="22"/>
        </w:rPr>
      </w:pPr>
      <w:r w:rsidRPr="00221E9D">
        <w:rPr>
          <w:rFonts w:ascii="Arial" w:hAnsi="Arial" w:cs="Arial"/>
          <w:b w:val="0"/>
          <w:bCs/>
          <w:sz w:val="22"/>
          <w:szCs w:val="22"/>
        </w:rPr>
        <w:t>Roofs</w:t>
      </w:r>
    </w:p>
    <w:p w14:paraId="5B4B1D2B" w14:textId="77777777" w:rsidR="00DF1333" w:rsidRPr="00221E9D" w:rsidRDefault="00DF1333" w:rsidP="00DF1333">
      <w:pPr>
        <w:spacing w:after="240"/>
        <w:jc w:val="both"/>
        <w:rPr>
          <w:rFonts w:ascii="Arial" w:hAnsi="Arial" w:cs="Arial"/>
          <w:sz w:val="22"/>
          <w:szCs w:val="22"/>
        </w:rPr>
      </w:pPr>
      <w:r w:rsidRPr="00221E9D">
        <w:rPr>
          <w:rFonts w:ascii="Arial" w:hAnsi="Arial" w:cs="Arial"/>
          <w:sz w:val="22"/>
          <w:szCs w:val="22"/>
        </w:rPr>
        <w:t>Generally, where existing original or significant roof cladding requires complete replacement, a permit is required.  In these instances, the proposed cladding should match the existing in appearance and construction.</w:t>
      </w:r>
    </w:p>
    <w:p w14:paraId="6BAAE8C3" w14:textId="77777777" w:rsidR="00DF1333" w:rsidRPr="00221E9D" w:rsidRDefault="00DF1333" w:rsidP="00DF1333">
      <w:pPr>
        <w:pStyle w:val="Heading1"/>
        <w:spacing w:before="400" w:after="200"/>
        <w:rPr>
          <w:rFonts w:ascii="Arial" w:hAnsi="Arial" w:cs="Arial"/>
          <w:caps w:val="0"/>
          <w:szCs w:val="22"/>
        </w:rPr>
      </w:pPr>
      <w:r w:rsidRPr="00221E9D">
        <w:rPr>
          <w:rFonts w:ascii="Arial" w:hAnsi="Arial" w:cs="Arial"/>
          <w:caps w:val="0"/>
          <w:szCs w:val="22"/>
        </w:rPr>
        <w:t>Matters for Consideration</w:t>
      </w:r>
    </w:p>
    <w:p w14:paraId="16B0817F" w14:textId="77777777" w:rsidR="00DF1333" w:rsidRPr="006A2106" w:rsidRDefault="00DF1333" w:rsidP="00DF1333">
      <w:pPr>
        <w:pStyle w:val="Heading2"/>
        <w:spacing w:before="400" w:after="200"/>
        <w:rPr>
          <w:rFonts w:ascii="Arial" w:hAnsi="Arial" w:cs="Arial"/>
          <w:sz w:val="22"/>
          <w:szCs w:val="22"/>
        </w:rPr>
      </w:pPr>
      <w:r w:rsidRPr="006A2106">
        <w:rPr>
          <w:rFonts w:ascii="Arial" w:hAnsi="Arial" w:cs="Arial"/>
          <w:sz w:val="22"/>
          <w:szCs w:val="22"/>
        </w:rPr>
        <w:t>Slate Roofs</w:t>
      </w:r>
    </w:p>
    <w:p w14:paraId="0C6493F8" w14:textId="77777777" w:rsidR="00DF1333" w:rsidRPr="00221E9D" w:rsidRDefault="00DF1333" w:rsidP="00DF1333">
      <w:pPr>
        <w:spacing w:after="240"/>
        <w:jc w:val="both"/>
        <w:rPr>
          <w:rFonts w:ascii="Arial" w:hAnsi="Arial" w:cs="Arial"/>
          <w:iCs/>
          <w:sz w:val="22"/>
          <w:szCs w:val="22"/>
        </w:rPr>
      </w:pPr>
      <w:r w:rsidRPr="00221E9D">
        <w:rPr>
          <w:rFonts w:ascii="Arial" w:hAnsi="Arial" w:cs="Arial"/>
          <w:iCs/>
          <w:sz w:val="22"/>
          <w:szCs w:val="22"/>
        </w:rPr>
        <w:t>Before complete replacement is considered, the condition of the existing slate should be clarified. Salvaged slate should be reinstated in addition to replacement slates where necessary. These slates (and where complete replacement is necessary), the new slate should match existing in profile, colour, texture and finish. The battening and nailing system as well as the proposed materials for flashings and valleys should be documented as part of the application. Traditionally, lead flashings were used. The use of lead flashing today can pose occupational, health and safety concerns, particularly where rainwater is collected for drinking purposes. In most situations, galvanised steel flashings may be an acceptable alternative.</w:t>
      </w:r>
    </w:p>
    <w:p w14:paraId="098D58BB" w14:textId="77777777" w:rsidR="00DF1333" w:rsidRPr="00221E9D" w:rsidRDefault="00DF1333" w:rsidP="00DF1333">
      <w:pPr>
        <w:jc w:val="both"/>
        <w:rPr>
          <w:rFonts w:ascii="Arial" w:hAnsi="Arial" w:cs="Arial"/>
          <w:iCs/>
          <w:sz w:val="22"/>
          <w:szCs w:val="22"/>
        </w:rPr>
      </w:pPr>
      <w:r w:rsidRPr="00221E9D">
        <w:rPr>
          <w:rFonts w:ascii="Arial" w:hAnsi="Arial" w:cs="Arial"/>
          <w:iCs/>
          <w:sz w:val="22"/>
          <w:szCs w:val="22"/>
        </w:rPr>
        <w:t xml:space="preserve">In some cases, depending on the significance of the heritage place, opportunities might be available to re-clad roof faces hidden to public view with alternative materials to minimise costs, such as inner roof faces to central roof valleys.  </w:t>
      </w:r>
    </w:p>
    <w:p w14:paraId="515D0BB8" w14:textId="77777777" w:rsidR="00414753" w:rsidRDefault="00414753">
      <w:pPr>
        <w:spacing w:line="260" w:lineRule="atLeast"/>
        <w:rPr>
          <w:rFonts w:ascii="Arial" w:hAnsi="Arial" w:cs="Arial"/>
          <w:bCs/>
          <w:color w:val="003263" w:themeColor="text2"/>
          <w:spacing w:val="6"/>
          <w:sz w:val="22"/>
          <w:szCs w:val="22"/>
        </w:rPr>
      </w:pPr>
      <w:r>
        <w:rPr>
          <w:rFonts w:ascii="Arial" w:hAnsi="Arial" w:cs="Arial"/>
          <w:b/>
          <w:bCs/>
          <w:sz w:val="22"/>
          <w:szCs w:val="22"/>
        </w:rPr>
        <w:br w:type="page"/>
      </w:r>
    </w:p>
    <w:p w14:paraId="0E91A3ED" w14:textId="022E9D81" w:rsidR="00DF1333" w:rsidRPr="002D1889" w:rsidRDefault="00DF1333" w:rsidP="00133810">
      <w:pPr>
        <w:pStyle w:val="Heading2"/>
        <w:spacing w:before="400" w:after="200"/>
        <w:rPr>
          <w:rFonts w:ascii="Arial" w:hAnsi="Arial" w:cs="Arial"/>
          <w:sz w:val="22"/>
          <w:szCs w:val="22"/>
        </w:rPr>
      </w:pPr>
      <w:r w:rsidRPr="002D1889">
        <w:rPr>
          <w:rFonts w:ascii="Arial" w:hAnsi="Arial" w:cs="Arial"/>
          <w:sz w:val="22"/>
          <w:szCs w:val="22"/>
        </w:rPr>
        <w:lastRenderedPageBreak/>
        <w:t>Tiled Roofs</w:t>
      </w:r>
    </w:p>
    <w:p w14:paraId="044A7219" w14:textId="77777777" w:rsidR="00DF1333" w:rsidRPr="00221E9D" w:rsidRDefault="00DF1333" w:rsidP="00DF1333">
      <w:pPr>
        <w:jc w:val="both"/>
        <w:rPr>
          <w:rFonts w:ascii="Arial" w:hAnsi="Arial" w:cs="Arial"/>
          <w:iCs/>
          <w:sz w:val="22"/>
          <w:szCs w:val="22"/>
        </w:rPr>
      </w:pPr>
      <w:r w:rsidRPr="00221E9D">
        <w:rPr>
          <w:rFonts w:ascii="Arial" w:hAnsi="Arial" w:cs="Arial"/>
          <w:iCs/>
          <w:sz w:val="22"/>
          <w:szCs w:val="22"/>
        </w:rPr>
        <w:t>If existing terra cotta, concrete, malthoid or other roof tiles cannot be retained or damaged tiles replaced, new tiles should match the existing in profile, size, colour, texture and appearance to retain the significance and appearance of the heritage place. For example, where the existing roof tiles are unglazed, the new tiles should also be unglazed. Any roof ridge decoration in good condition that can be retained should be carefully removed and reinstated once the roof works have been completed. Where the decoration has been damaged or is missing, replacement fabric should be based on historical, physical or comparative evidence. New fabric should not be installed on roofs where it was never intended.</w:t>
      </w:r>
    </w:p>
    <w:p w14:paraId="3707E8FF" w14:textId="77777777" w:rsidR="00DF1333" w:rsidRPr="002D1889" w:rsidRDefault="00DF1333" w:rsidP="00133810">
      <w:pPr>
        <w:pStyle w:val="Heading2"/>
        <w:spacing w:before="400" w:after="200"/>
        <w:rPr>
          <w:rFonts w:ascii="Arial" w:hAnsi="Arial" w:cs="Arial"/>
          <w:sz w:val="22"/>
          <w:szCs w:val="22"/>
        </w:rPr>
      </w:pPr>
      <w:r w:rsidRPr="002D1889">
        <w:rPr>
          <w:rFonts w:ascii="Arial" w:hAnsi="Arial" w:cs="Arial"/>
          <w:sz w:val="22"/>
          <w:szCs w:val="22"/>
        </w:rPr>
        <w:t>Corrugated Sheet Metal</w:t>
      </w:r>
    </w:p>
    <w:p w14:paraId="45825627" w14:textId="77777777" w:rsidR="00DF1333" w:rsidRPr="00221E9D" w:rsidRDefault="00DF1333" w:rsidP="00DF1333">
      <w:pPr>
        <w:spacing w:after="240"/>
        <w:jc w:val="both"/>
        <w:rPr>
          <w:rFonts w:ascii="Arial" w:hAnsi="Arial" w:cs="Arial"/>
          <w:iCs/>
          <w:sz w:val="22"/>
          <w:szCs w:val="22"/>
        </w:rPr>
      </w:pPr>
      <w:r w:rsidRPr="00221E9D">
        <w:rPr>
          <w:rFonts w:ascii="Arial" w:hAnsi="Arial" w:cs="Arial"/>
          <w:iCs/>
          <w:sz w:val="22"/>
          <w:szCs w:val="22"/>
        </w:rPr>
        <w:t>Where existing galvanised corrugated steel roof cladding requires replacement, it should be replaced in the same material.  The standard Z450 sheet has a thinner coating than the double-smelted (thicker-coated) Z600 galvanised steel product.</w:t>
      </w:r>
    </w:p>
    <w:p w14:paraId="342FF601" w14:textId="77777777" w:rsidR="00DF1333" w:rsidRPr="00221E9D" w:rsidRDefault="00DF1333" w:rsidP="00DF1333">
      <w:pPr>
        <w:spacing w:after="240"/>
        <w:jc w:val="both"/>
        <w:rPr>
          <w:rFonts w:ascii="Arial" w:hAnsi="Arial" w:cs="Arial"/>
          <w:iCs/>
          <w:sz w:val="22"/>
          <w:szCs w:val="22"/>
        </w:rPr>
      </w:pPr>
      <w:r w:rsidRPr="00221E9D">
        <w:rPr>
          <w:rFonts w:ascii="Arial" w:hAnsi="Arial" w:cs="Arial"/>
          <w:iCs/>
          <w:sz w:val="22"/>
          <w:szCs w:val="22"/>
        </w:rPr>
        <w:t xml:space="preserve">In marine and other environments where galvanising is less effective, consideration might be given to corrugated Colorbond© sheet cladding.  </w:t>
      </w:r>
    </w:p>
    <w:p w14:paraId="2EFD440E" w14:textId="77777777" w:rsidR="00DF1333" w:rsidRPr="00221E9D" w:rsidRDefault="00DF1333" w:rsidP="00DF1333">
      <w:pPr>
        <w:spacing w:after="240"/>
        <w:jc w:val="both"/>
        <w:rPr>
          <w:rFonts w:ascii="Arial" w:hAnsi="Arial" w:cs="Arial"/>
          <w:iCs/>
          <w:sz w:val="22"/>
          <w:szCs w:val="22"/>
        </w:rPr>
      </w:pPr>
      <w:r w:rsidRPr="00221E9D">
        <w:rPr>
          <w:rFonts w:ascii="Arial" w:hAnsi="Arial" w:cs="Arial"/>
          <w:iCs/>
          <w:sz w:val="22"/>
          <w:szCs w:val="22"/>
        </w:rPr>
        <w:t xml:space="preserve">A more widely available sheet metal roofing product is Zincalume©. It is </w:t>
      </w:r>
      <w:r w:rsidRPr="002D1889">
        <w:rPr>
          <w:rFonts w:ascii="Arial" w:hAnsi="Arial" w:cs="Arial"/>
          <w:iCs/>
          <w:sz w:val="22"/>
          <w:szCs w:val="22"/>
        </w:rPr>
        <w:t>not generally acceptable on heritage buildings and in heritage areas</w:t>
      </w:r>
      <w:r w:rsidRPr="00221E9D">
        <w:rPr>
          <w:rFonts w:ascii="Arial" w:hAnsi="Arial" w:cs="Arial"/>
          <w:iCs/>
          <w:sz w:val="22"/>
          <w:szCs w:val="22"/>
        </w:rPr>
        <w:t xml:space="preserve"> because it maintains a high degree of reflectivity for a long period. This reflectivity has the potential to create visual dominance in heritage areas.  </w:t>
      </w:r>
    </w:p>
    <w:p w14:paraId="45288FB2" w14:textId="77777777" w:rsidR="00DF1333" w:rsidRPr="00221E9D" w:rsidRDefault="00DF1333" w:rsidP="00DF1333">
      <w:pPr>
        <w:spacing w:after="240"/>
        <w:jc w:val="both"/>
        <w:rPr>
          <w:rFonts w:ascii="Arial" w:hAnsi="Arial" w:cs="Arial"/>
          <w:iCs/>
          <w:sz w:val="22"/>
          <w:szCs w:val="22"/>
        </w:rPr>
      </w:pPr>
      <w:r w:rsidRPr="00221E9D">
        <w:rPr>
          <w:rFonts w:ascii="Arial" w:hAnsi="Arial" w:cs="Arial"/>
          <w:iCs/>
          <w:sz w:val="22"/>
          <w:szCs w:val="22"/>
        </w:rPr>
        <w:t xml:space="preserve">Galvanised steel and Zincalume© materials should not be used together. This has the potential to cause a galvanic reaction, accelerating the rusting of the galvanised steel material. Circumstances where a galvanic reaction might occur are: </w:t>
      </w:r>
    </w:p>
    <w:p w14:paraId="401D8BDC" w14:textId="77777777" w:rsidR="00DF1333" w:rsidRPr="00221E9D" w:rsidRDefault="00DF1333" w:rsidP="00DF1333">
      <w:pPr>
        <w:numPr>
          <w:ilvl w:val="0"/>
          <w:numId w:val="45"/>
        </w:numPr>
        <w:spacing w:line="240" w:lineRule="auto"/>
        <w:jc w:val="both"/>
        <w:rPr>
          <w:rFonts w:ascii="Arial" w:hAnsi="Arial" w:cs="Arial"/>
          <w:iCs/>
          <w:sz w:val="22"/>
          <w:szCs w:val="22"/>
        </w:rPr>
      </w:pPr>
      <w:r w:rsidRPr="00221E9D">
        <w:rPr>
          <w:rFonts w:ascii="Arial" w:hAnsi="Arial" w:cs="Arial"/>
          <w:iCs/>
          <w:sz w:val="22"/>
          <w:szCs w:val="22"/>
        </w:rPr>
        <w:t>the installation of Zincalume© roof sheets with galvanised steel roof sheets (where they are physically connected);</w:t>
      </w:r>
    </w:p>
    <w:p w14:paraId="488B5BDA" w14:textId="77777777" w:rsidR="00DF1333" w:rsidRPr="00221E9D" w:rsidRDefault="00DF1333" w:rsidP="00DF1333">
      <w:pPr>
        <w:numPr>
          <w:ilvl w:val="0"/>
          <w:numId w:val="45"/>
        </w:numPr>
        <w:spacing w:line="240" w:lineRule="auto"/>
        <w:jc w:val="both"/>
        <w:rPr>
          <w:rFonts w:ascii="Arial" w:hAnsi="Arial" w:cs="Arial"/>
          <w:iCs/>
          <w:sz w:val="22"/>
          <w:szCs w:val="22"/>
        </w:rPr>
      </w:pPr>
      <w:r w:rsidRPr="00221E9D">
        <w:rPr>
          <w:rFonts w:ascii="Arial" w:hAnsi="Arial" w:cs="Arial"/>
          <w:iCs/>
          <w:sz w:val="22"/>
          <w:szCs w:val="22"/>
        </w:rPr>
        <w:t xml:space="preserve">the installation of Zinaclume© flashings and roof valleys with galvanised steel roof sheets; and </w:t>
      </w:r>
    </w:p>
    <w:p w14:paraId="254F8760" w14:textId="77777777" w:rsidR="00DF1333" w:rsidRPr="00221E9D" w:rsidRDefault="00DF1333" w:rsidP="00DF1333">
      <w:pPr>
        <w:numPr>
          <w:ilvl w:val="0"/>
          <w:numId w:val="45"/>
        </w:numPr>
        <w:spacing w:line="240" w:lineRule="auto"/>
        <w:jc w:val="both"/>
        <w:rPr>
          <w:rFonts w:ascii="Arial" w:hAnsi="Arial" w:cs="Arial"/>
          <w:iCs/>
          <w:sz w:val="22"/>
          <w:szCs w:val="22"/>
        </w:rPr>
      </w:pPr>
      <w:r w:rsidRPr="00221E9D">
        <w:rPr>
          <w:rFonts w:ascii="Arial" w:hAnsi="Arial" w:cs="Arial"/>
          <w:iCs/>
          <w:sz w:val="22"/>
          <w:szCs w:val="22"/>
        </w:rPr>
        <w:t>where there will be rainwater run-off from the Zincalume© product to galvanised steel gutters and downpipes.</w:t>
      </w:r>
    </w:p>
    <w:p w14:paraId="770924CB" w14:textId="77777777" w:rsidR="00DF1333" w:rsidRPr="00221E9D" w:rsidRDefault="00DF1333" w:rsidP="00DF1333">
      <w:pPr>
        <w:numPr>
          <w:ilvl w:val="0"/>
          <w:numId w:val="45"/>
        </w:numPr>
        <w:spacing w:after="240" w:line="240" w:lineRule="auto"/>
        <w:jc w:val="both"/>
        <w:rPr>
          <w:rFonts w:ascii="Arial" w:hAnsi="Arial" w:cs="Arial"/>
          <w:iCs/>
          <w:sz w:val="22"/>
          <w:szCs w:val="22"/>
        </w:rPr>
      </w:pPr>
      <w:r w:rsidRPr="00221E9D">
        <w:rPr>
          <w:rFonts w:ascii="Arial" w:hAnsi="Arial" w:cs="Arial"/>
          <w:iCs/>
          <w:sz w:val="22"/>
          <w:szCs w:val="22"/>
        </w:rPr>
        <w:t>As Colorbond© is coated Zincalume©, is also should not be installed on galvanised steel roofs or slate or tiled roofs with galvanised steel flashings, valleys, gutters or downpipes.</w:t>
      </w:r>
    </w:p>
    <w:p w14:paraId="34D5856B" w14:textId="711FE71A" w:rsidR="00DF1333" w:rsidRDefault="00DF1333" w:rsidP="00DF1333">
      <w:pPr>
        <w:spacing w:after="240"/>
        <w:jc w:val="both"/>
        <w:rPr>
          <w:rFonts w:ascii="Arial" w:hAnsi="Arial" w:cs="Arial"/>
          <w:iCs/>
          <w:sz w:val="22"/>
          <w:szCs w:val="22"/>
        </w:rPr>
      </w:pPr>
      <w:r w:rsidRPr="00221E9D">
        <w:rPr>
          <w:rFonts w:ascii="Arial" w:hAnsi="Arial" w:cs="Arial"/>
          <w:iCs/>
          <w:sz w:val="22"/>
          <w:szCs w:val="22"/>
        </w:rPr>
        <w:t>For proposed additions attached to buildings with existing Zincalume© roof cladding, the cladding to the addition should match existing unless the entire roof is proposed to be reclad.</w:t>
      </w:r>
    </w:p>
    <w:p w14:paraId="6FF1B8F8" w14:textId="0B7DF2FB" w:rsidR="002D1889" w:rsidRDefault="002D1889" w:rsidP="002D1889">
      <w:pPr>
        <w:spacing w:after="240"/>
        <w:jc w:val="center"/>
        <w:rPr>
          <w:rFonts w:ascii="Arial" w:hAnsi="Arial" w:cs="Arial"/>
          <w:iCs/>
          <w:sz w:val="22"/>
          <w:szCs w:val="22"/>
        </w:rPr>
      </w:pPr>
      <w:r>
        <w:rPr>
          <w:noProof/>
        </w:rPr>
        <w:drawing>
          <wp:inline distT="0" distB="0" distL="0" distR="0" wp14:anchorId="79DF46CB" wp14:editId="7C9777D1">
            <wp:extent cx="3314700" cy="248547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318255" cy="2488140"/>
                    </a:xfrm>
                    <a:prstGeom prst="rect">
                      <a:avLst/>
                    </a:prstGeom>
                    <a:noFill/>
                    <a:ln>
                      <a:noFill/>
                    </a:ln>
                  </pic:spPr>
                </pic:pic>
              </a:graphicData>
            </a:graphic>
          </wp:inline>
        </w:drawing>
      </w:r>
    </w:p>
    <w:p w14:paraId="7581AE1D" w14:textId="03DCDC98" w:rsidR="002D1889" w:rsidRDefault="002D1889" w:rsidP="002D1889">
      <w:pPr>
        <w:spacing w:line="240" w:lineRule="auto"/>
        <w:jc w:val="center"/>
        <w:rPr>
          <w:rFonts w:ascii="Arial" w:hAnsi="Arial" w:cs="Arial"/>
          <w:iCs/>
        </w:rPr>
      </w:pPr>
      <w:r w:rsidRPr="002D1889">
        <w:rPr>
          <w:rFonts w:ascii="Arial" w:hAnsi="Arial" w:cs="Arial"/>
          <w:iCs/>
        </w:rPr>
        <w:t>New Zincalume roof cladding (left) and new galvanised steel roof</w:t>
      </w:r>
    </w:p>
    <w:p w14:paraId="79A107BA" w14:textId="562BD12F" w:rsidR="00133810" w:rsidRDefault="002D1889" w:rsidP="002D1889">
      <w:pPr>
        <w:spacing w:line="240" w:lineRule="auto"/>
        <w:jc w:val="center"/>
        <w:rPr>
          <w:rFonts w:ascii="Arial" w:hAnsi="Arial" w:cs="Arial"/>
          <w:bCs/>
          <w:color w:val="003263" w:themeColor="text2"/>
          <w:spacing w:val="6"/>
          <w:sz w:val="22"/>
          <w:szCs w:val="22"/>
        </w:rPr>
      </w:pPr>
      <w:r w:rsidRPr="002D1889">
        <w:rPr>
          <w:rFonts w:ascii="Arial" w:hAnsi="Arial" w:cs="Arial"/>
          <w:iCs/>
        </w:rPr>
        <w:t>cladding (right).  Source: Dr David Rowe.</w:t>
      </w:r>
      <w:r w:rsidR="00133810">
        <w:rPr>
          <w:rFonts w:ascii="Arial" w:hAnsi="Arial" w:cs="Arial"/>
          <w:b/>
          <w:bCs/>
          <w:sz w:val="22"/>
          <w:szCs w:val="22"/>
        </w:rPr>
        <w:br w:type="page"/>
      </w:r>
    </w:p>
    <w:p w14:paraId="7E6C3581" w14:textId="7173917B" w:rsidR="00DF1333" w:rsidRPr="002D1889" w:rsidRDefault="00DF1333" w:rsidP="002C1515">
      <w:pPr>
        <w:pStyle w:val="Heading2"/>
        <w:spacing w:before="400" w:after="200"/>
        <w:rPr>
          <w:rFonts w:ascii="Arial" w:hAnsi="Arial" w:cs="Arial"/>
          <w:sz w:val="22"/>
          <w:szCs w:val="22"/>
        </w:rPr>
      </w:pPr>
      <w:r w:rsidRPr="002D1889">
        <w:rPr>
          <w:rFonts w:ascii="Arial" w:hAnsi="Arial" w:cs="Arial"/>
          <w:sz w:val="22"/>
          <w:szCs w:val="22"/>
        </w:rPr>
        <w:lastRenderedPageBreak/>
        <w:t>Chimneys</w:t>
      </w:r>
    </w:p>
    <w:p w14:paraId="184D9BB0" w14:textId="77777777" w:rsidR="00DF1333" w:rsidRDefault="00DF1333" w:rsidP="00DF1333">
      <w:pPr>
        <w:ind w:right="-142"/>
        <w:jc w:val="both"/>
        <w:rPr>
          <w:rFonts w:ascii="Arial" w:hAnsi="Arial" w:cs="Arial"/>
          <w:sz w:val="22"/>
          <w:szCs w:val="22"/>
        </w:rPr>
      </w:pPr>
      <w:r w:rsidRPr="00221E9D">
        <w:rPr>
          <w:rFonts w:ascii="Arial" w:hAnsi="Arial" w:cs="Arial"/>
          <w:sz w:val="22"/>
          <w:szCs w:val="22"/>
        </w:rPr>
        <w:t>Chimneys contribute much to the character and appearance of heritage roof scapes. They are a key feature in identifying the architectural styles and eras of buildings. Chimneys should therefore be retained. Repairs should be in materials to match existing, such as any replacement brickwork and the mortar should be of the same strength (composition/mix), texture and colour as the existing original mortar.</w:t>
      </w:r>
    </w:p>
    <w:tbl>
      <w:tblPr>
        <w:tblW w:w="0" w:type="auto"/>
        <w:jc w:val="center"/>
        <w:tblLook w:val="04A0" w:firstRow="1" w:lastRow="0" w:firstColumn="1" w:lastColumn="0" w:noHBand="0" w:noVBand="1"/>
      </w:tblPr>
      <w:tblGrid>
        <w:gridCol w:w="6486"/>
      </w:tblGrid>
      <w:tr w:rsidR="00DF1333" w:rsidRPr="00221E9D" w14:paraId="4CDFB2C3" w14:textId="77777777" w:rsidTr="00754A16">
        <w:trPr>
          <w:jc w:val="center"/>
        </w:trPr>
        <w:tc>
          <w:tcPr>
            <w:tcW w:w="4957" w:type="dxa"/>
          </w:tcPr>
          <w:p w14:paraId="745A724C" w14:textId="77777777" w:rsidR="00DF1333" w:rsidRPr="00221E9D" w:rsidRDefault="00DF1333" w:rsidP="00754A16">
            <w:pPr>
              <w:jc w:val="center"/>
              <w:rPr>
                <w:rFonts w:ascii="Arial" w:hAnsi="Arial" w:cs="Arial"/>
                <w:iCs/>
                <w:sz w:val="22"/>
                <w:szCs w:val="22"/>
              </w:rPr>
            </w:pPr>
            <w:r w:rsidRPr="00221E9D">
              <w:rPr>
                <w:rFonts w:ascii="Arial" w:eastAsia="Calibri" w:hAnsi="Arial" w:cs="Arial"/>
                <w:noProof/>
                <w:sz w:val="22"/>
                <w:szCs w:val="22"/>
                <w:lang w:eastAsia="en-US"/>
              </w:rPr>
              <w:drawing>
                <wp:anchor distT="0" distB="0" distL="114300" distR="114300" simplePos="0" relativeHeight="251702272" behindDoc="0" locked="0" layoutInCell="1" allowOverlap="1" wp14:anchorId="14E20112" wp14:editId="5DAE0F4F">
                  <wp:simplePos x="0" y="0"/>
                  <wp:positionH relativeFrom="column">
                    <wp:posOffset>68580</wp:posOffset>
                  </wp:positionH>
                  <wp:positionV relativeFrom="page">
                    <wp:posOffset>180974</wp:posOffset>
                  </wp:positionV>
                  <wp:extent cx="3981257" cy="2314575"/>
                  <wp:effectExtent l="0" t="0" r="63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85137" cy="2316831"/>
                          </a:xfrm>
                          <a:prstGeom prst="rect">
                            <a:avLst/>
                          </a:prstGeom>
                          <a:noFill/>
                        </pic:spPr>
                      </pic:pic>
                    </a:graphicData>
                  </a:graphic>
                  <wp14:sizeRelH relativeFrom="margin">
                    <wp14:pctWidth>0</wp14:pctWidth>
                  </wp14:sizeRelH>
                  <wp14:sizeRelV relativeFrom="margin">
                    <wp14:pctHeight>0</wp14:pctHeight>
                  </wp14:sizeRelV>
                </wp:anchor>
              </w:drawing>
            </w:r>
          </w:p>
        </w:tc>
      </w:tr>
      <w:tr w:rsidR="00DF1333" w:rsidRPr="00221E9D" w14:paraId="096A2267" w14:textId="77777777" w:rsidTr="00754A16">
        <w:trPr>
          <w:jc w:val="center"/>
        </w:trPr>
        <w:tc>
          <w:tcPr>
            <w:tcW w:w="4957" w:type="dxa"/>
          </w:tcPr>
          <w:p w14:paraId="3CD9C512" w14:textId="4579388D" w:rsidR="00DF1333" w:rsidRPr="00221E9D" w:rsidRDefault="00DF1333" w:rsidP="002D1889">
            <w:pPr>
              <w:ind w:right="-142"/>
              <w:jc w:val="center"/>
              <w:rPr>
                <w:rFonts w:ascii="Arial" w:hAnsi="Arial" w:cs="Arial"/>
              </w:rPr>
            </w:pPr>
            <w:r w:rsidRPr="00221E9D">
              <w:rPr>
                <w:rFonts w:ascii="Arial" w:hAnsi="Arial" w:cs="Arial"/>
              </w:rPr>
              <w:t xml:space="preserve">Dwellings with </w:t>
            </w:r>
            <w:r>
              <w:rPr>
                <w:rFonts w:ascii="Arial" w:hAnsi="Arial" w:cs="Arial"/>
              </w:rPr>
              <w:t>c</w:t>
            </w:r>
            <w:r w:rsidRPr="00221E9D">
              <w:rPr>
                <w:rFonts w:ascii="Arial" w:hAnsi="Arial" w:cs="Arial"/>
              </w:rPr>
              <w:t>himneys as a dominant feature</w:t>
            </w:r>
            <w:r w:rsidR="002D1889">
              <w:rPr>
                <w:rFonts w:ascii="Arial" w:hAnsi="Arial" w:cs="Arial"/>
              </w:rPr>
              <w:t>.  Source: Dr David Rowe.</w:t>
            </w:r>
          </w:p>
        </w:tc>
      </w:tr>
    </w:tbl>
    <w:p w14:paraId="462B4257" w14:textId="77777777" w:rsidR="003219D2" w:rsidRPr="00221E9D" w:rsidRDefault="003219D2" w:rsidP="003219D2">
      <w:pPr>
        <w:pStyle w:val="Heading1"/>
        <w:spacing w:before="400" w:after="200"/>
        <w:rPr>
          <w:rFonts w:ascii="Arial" w:hAnsi="Arial" w:cs="Arial"/>
          <w:caps w:val="0"/>
          <w:szCs w:val="22"/>
        </w:rPr>
      </w:pPr>
      <w:r w:rsidRPr="00221E9D">
        <w:rPr>
          <w:rFonts w:ascii="Arial" w:hAnsi="Arial" w:cs="Arial"/>
          <w:caps w:val="0"/>
          <w:szCs w:val="22"/>
        </w:rPr>
        <w:t>Matters for Consideration</w:t>
      </w:r>
    </w:p>
    <w:p w14:paraId="2587E08B" w14:textId="77777777" w:rsidR="00167354" w:rsidRPr="00221E9D" w:rsidRDefault="003219D2" w:rsidP="00167354">
      <w:pPr>
        <w:spacing w:after="240"/>
        <w:jc w:val="both"/>
        <w:rPr>
          <w:rFonts w:ascii="Arial" w:hAnsi="Arial" w:cs="Arial"/>
          <w:iCs/>
          <w:sz w:val="22"/>
          <w:szCs w:val="22"/>
        </w:rPr>
      </w:pPr>
      <w:r w:rsidRPr="00221E9D">
        <w:rPr>
          <w:rFonts w:ascii="Arial" w:hAnsi="Arial" w:cs="Arial"/>
          <w:iCs/>
          <w:sz w:val="22"/>
          <w:szCs w:val="22"/>
        </w:rPr>
        <w:t>In circumstances where a significant chimney is structurally unsound and in poor condition, supporting documentation from a suitably-qualified Structural Engineer should accompany any planning permit application (see also</w:t>
      </w:r>
      <w:r w:rsidR="00B611A1">
        <w:rPr>
          <w:rFonts w:ascii="Arial" w:hAnsi="Arial" w:cs="Arial"/>
          <w:iCs/>
          <w:sz w:val="22"/>
          <w:szCs w:val="22"/>
        </w:rPr>
        <w:t xml:space="preserve"> </w:t>
      </w:r>
      <w:r w:rsidR="00B611A1" w:rsidRPr="002D1889">
        <w:rPr>
          <w:rFonts w:ascii="Arial" w:hAnsi="Arial" w:cs="Arial"/>
          <w:iCs/>
          <w:sz w:val="22"/>
          <w:szCs w:val="22"/>
        </w:rPr>
        <w:t>Heritage Information Sheet – Demolition</w:t>
      </w:r>
      <w:r w:rsidR="00B611A1">
        <w:rPr>
          <w:rFonts w:ascii="Arial" w:hAnsi="Arial" w:cs="Arial"/>
          <w:iCs/>
          <w:sz w:val="22"/>
          <w:szCs w:val="22"/>
        </w:rPr>
        <w:t xml:space="preserve">). </w:t>
      </w:r>
      <w:r w:rsidR="00167354" w:rsidRPr="00221E9D">
        <w:rPr>
          <w:rFonts w:ascii="Arial" w:hAnsi="Arial" w:cs="Arial"/>
          <w:iCs/>
          <w:sz w:val="22"/>
          <w:szCs w:val="22"/>
        </w:rPr>
        <w:t>Consideration should be given to reconstructing the external chimney to the same design, materials, profile, height, texture and colour, and in the same location, as the existing original fabric proposed for removal. These details and any internal supporting structure (where the chimney might not be servicing a new fireplace) should also accompany the application.</w:t>
      </w:r>
    </w:p>
    <w:p w14:paraId="68BE0724" w14:textId="77777777" w:rsidR="00167354" w:rsidRPr="00221E9D" w:rsidRDefault="00167354" w:rsidP="00167354">
      <w:pPr>
        <w:spacing w:after="240"/>
        <w:jc w:val="both"/>
        <w:rPr>
          <w:rFonts w:ascii="Arial" w:hAnsi="Arial" w:cs="Arial"/>
          <w:iCs/>
          <w:sz w:val="22"/>
          <w:szCs w:val="22"/>
        </w:rPr>
      </w:pPr>
      <w:r w:rsidRPr="00221E9D">
        <w:rPr>
          <w:rFonts w:ascii="Arial" w:hAnsi="Arial" w:cs="Arial"/>
          <w:iCs/>
          <w:sz w:val="22"/>
          <w:szCs w:val="22"/>
        </w:rPr>
        <w:t>Difficulties may arise where a proposal is to remove a fireplace in the interior of an individually significant or contributory building where no internal alteration controls apply but where the external chimney represents significant fabric (a contributory element to a heritage place). In these circumstances, the most ideal heritage outcome is the retention of the fireplace and chimney insitu.</w:t>
      </w:r>
    </w:p>
    <w:p w14:paraId="5D24D754" w14:textId="77777777" w:rsidR="00167354" w:rsidRPr="00221E9D" w:rsidRDefault="00167354" w:rsidP="00156C63">
      <w:pPr>
        <w:spacing w:after="240" w:line="240" w:lineRule="auto"/>
        <w:jc w:val="both"/>
        <w:rPr>
          <w:rFonts w:ascii="Arial" w:hAnsi="Arial" w:cs="Arial"/>
          <w:iCs/>
          <w:sz w:val="22"/>
          <w:szCs w:val="22"/>
        </w:rPr>
      </w:pPr>
      <w:r w:rsidRPr="00221E9D">
        <w:rPr>
          <w:rFonts w:ascii="Arial" w:hAnsi="Arial" w:cs="Arial"/>
          <w:iCs/>
          <w:sz w:val="22"/>
          <w:szCs w:val="22"/>
        </w:rPr>
        <w:t>Where this may not be possible, opportunities might be available to retain the chimney exterior and support it in the roof space. See the Information Sheet on Demolition for further details.</w:t>
      </w:r>
    </w:p>
    <w:p w14:paraId="47FA3214" w14:textId="77777777" w:rsidR="00EC61C1" w:rsidRDefault="00EC61C1">
      <w:pPr>
        <w:spacing w:line="260" w:lineRule="atLeast"/>
        <w:rPr>
          <w:rFonts w:ascii="Arial" w:hAnsi="Arial" w:cs="Arial"/>
          <w:bCs/>
          <w:color w:val="003263" w:themeColor="text2"/>
          <w:spacing w:val="6"/>
          <w:sz w:val="22"/>
          <w:szCs w:val="22"/>
        </w:rPr>
      </w:pPr>
      <w:r>
        <w:rPr>
          <w:rFonts w:ascii="Arial" w:hAnsi="Arial" w:cs="Arial"/>
          <w:b/>
          <w:bCs/>
          <w:sz w:val="22"/>
          <w:szCs w:val="22"/>
        </w:rPr>
        <w:br w:type="page"/>
      </w:r>
    </w:p>
    <w:p w14:paraId="696596E4" w14:textId="7C75A2F9" w:rsidR="00167354" w:rsidRPr="002D1889" w:rsidRDefault="00167354" w:rsidP="00167354">
      <w:pPr>
        <w:pStyle w:val="Heading2"/>
        <w:spacing w:before="400" w:after="200"/>
        <w:rPr>
          <w:rFonts w:ascii="Arial" w:hAnsi="Arial" w:cs="Arial"/>
          <w:sz w:val="22"/>
          <w:szCs w:val="22"/>
        </w:rPr>
      </w:pPr>
      <w:r w:rsidRPr="002D1889">
        <w:rPr>
          <w:rFonts w:ascii="Arial" w:hAnsi="Arial" w:cs="Arial"/>
          <w:sz w:val="22"/>
          <w:szCs w:val="22"/>
        </w:rPr>
        <w:lastRenderedPageBreak/>
        <w:t>Flashings Gutters &amp; Downpipes</w:t>
      </w:r>
    </w:p>
    <w:p w14:paraId="795A9FD0" w14:textId="77777777" w:rsidR="00167354" w:rsidRPr="00221E9D" w:rsidRDefault="00167354" w:rsidP="00167354">
      <w:pPr>
        <w:spacing w:after="240"/>
        <w:jc w:val="both"/>
        <w:rPr>
          <w:rFonts w:ascii="Arial" w:hAnsi="Arial" w:cs="Arial"/>
          <w:sz w:val="22"/>
          <w:szCs w:val="22"/>
        </w:rPr>
      </w:pPr>
      <w:r w:rsidRPr="00221E9D">
        <w:rPr>
          <w:rFonts w:ascii="Arial" w:hAnsi="Arial" w:cs="Arial"/>
          <w:sz w:val="22"/>
          <w:szCs w:val="22"/>
        </w:rPr>
        <w:t>Original flashings, gutters, downpipes, flues, ventilators and other roof features should be retained and repaired where possible. Where replacement of the fabric is necessary, it should match the original size, profile and location (for example, an ogee profile gutter should be replaced with a gutter with the same ogee profile). Galvanised steel should be first considered where galvanised steel roof cladding is being maintained. For those situations where Colorbond or Zincalume is accepted, the new gutters, downpipes and other associated fabric should be constructed of the same material (unless the downpipe is draining to a water tank and in these instances pvc may need to be employed).</w:t>
      </w:r>
    </w:p>
    <w:p w14:paraId="24B1D97D" w14:textId="4AA9C463" w:rsidR="00167354" w:rsidRPr="00221E9D" w:rsidRDefault="00167354" w:rsidP="00167354">
      <w:pPr>
        <w:pStyle w:val="Heading1"/>
        <w:spacing w:before="400" w:after="200"/>
        <w:rPr>
          <w:rFonts w:ascii="Arial" w:hAnsi="Arial" w:cs="Arial"/>
          <w:caps w:val="0"/>
          <w:szCs w:val="22"/>
        </w:rPr>
      </w:pPr>
      <w:r w:rsidRPr="00221E9D">
        <w:rPr>
          <w:rFonts w:ascii="Arial" w:hAnsi="Arial" w:cs="Arial"/>
          <w:caps w:val="0"/>
          <w:szCs w:val="22"/>
        </w:rPr>
        <w:t>Matters for Consideration</w:t>
      </w:r>
    </w:p>
    <w:p w14:paraId="55F14BAD" w14:textId="77777777" w:rsidR="00167354" w:rsidRPr="00221E9D" w:rsidRDefault="00167354" w:rsidP="00167354">
      <w:pPr>
        <w:spacing w:line="240" w:lineRule="auto"/>
        <w:jc w:val="both"/>
        <w:rPr>
          <w:rFonts w:ascii="Arial" w:hAnsi="Arial" w:cs="Arial"/>
          <w:iCs/>
          <w:sz w:val="22"/>
          <w:szCs w:val="22"/>
        </w:rPr>
      </w:pPr>
      <w:r w:rsidRPr="00221E9D">
        <w:rPr>
          <w:rFonts w:ascii="Arial" w:hAnsi="Arial" w:cs="Arial"/>
          <w:iCs/>
          <w:sz w:val="22"/>
          <w:szCs w:val="22"/>
        </w:rPr>
        <w:t>Common gutter profiles to Victorian and Federation era buildings were ogee or half round. These gutters were generally supported by a timber scotia below.  For interwar and postwar era buildings, quad or bullnose profiles were most common.  Circular downpipes were often used, being 75 mm in diameter for dwellings.</w:t>
      </w:r>
    </w:p>
    <w:tbl>
      <w:tblPr>
        <w:tblpPr w:leftFromText="180" w:rightFromText="180" w:vertAnchor="text" w:horzAnchor="page" w:tblpXSpec="center" w:tblpY="316"/>
        <w:tblW w:w="0" w:type="auto"/>
        <w:tblLook w:val="04A0" w:firstRow="1" w:lastRow="0" w:firstColumn="1" w:lastColumn="0" w:noHBand="0" w:noVBand="1"/>
      </w:tblPr>
      <w:tblGrid>
        <w:gridCol w:w="3591"/>
        <w:gridCol w:w="3591"/>
        <w:gridCol w:w="3591"/>
      </w:tblGrid>
      <w:tr w:rsidR="00167354" w:rsidRPr="00221E9D" w14:paraId="43D48E66" w14:textId="77777777" w:rsidTr="00754A16">
        <w:tc>
          <w:tcPr>
            <w:tcW w:w="3591" w:type="dxa"/>
          </w:tcPr>
          <w:p w14:paraId="24F11FB0" w14:textId="77777777" w:rsidR="00167354" w:rsidRPr="00221E9D" w:rsidRDefault="00167354" w:rsidP="00754A16">
            <w:pPr>
              <w:spacing w:line="240" w:lineRule="auto"/>
              <w:jc w:val="center"/>
              <w:rPr>
                <w:rFonts w:ascii="Arial" w:hAnsi="Arial" w:cs="Arial"/>
                <w:iCs/>
                <w:sz w:val="22"/>
                <w:szCs w:val="22"/>
              </w:rPr>
            </w:pPr>
            <w:r w:rsidRPr="00221E9D">
              <w:rPr>
                <w:rFonts w:ascii="Arial" w:hAnsi="Arial" w:cs="Arial"/>
                <w:iCs/>
                <w:noProof/>
                <w:sz w:val="22"/>
                <w:szCs w:val="22"/>
              </w:rPr>
              <w:drawing>
                <wp:inline distT="0" distB="0" distL="0" distR="0" wp14:anchorId="5EE30321" wp14:editId="45FBEEF7">
                  <wp:extent cx="2074772" cy="2181600"/>
                  <wp:effectExtent l="0" t="0" r="190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t="19475" r="69843" b="12781"/>
                          <a:stretch/>
                        </pic:blipFill>
                        <pic:spPr bwMode="auto">
                          <a:xfrm>
                            <a:off x="0" y="0"/>
                            <a:ext cx="2074772" cy="21816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91" w:type="dxa"/>
          </w:tcPr>
          <w:p w14:paraId="515975BC" w14:textId="77777777" w:rsidR="00167354" w:rsidRPr="00221E9D" w:rsidRDefault="00167354" w:rsidP="00754A16">
            <w:pPr>
              <w:spacing w:line="240" w:lineRule="auto"/>
              <w:jc w:val="both"/>
              <w:rPr>
                <w:rFonts w:ascii="Arial" w:hAnsi="Arial" w:cs="Arial"/>
                <w:iCs/>
                <w:sz w:val="22"/>
                <w:szCs w:val="22"/>
              </w:rPr>
            </w:pPr>
            <w:r w:rsidRPr="00221E9D">
              <w:rPr>
                <w:rFonts w:ascii="Arial" w:hAnsi="Arial" w:cs="Arial"/>
                <w:iCs/>
                <w:noProof/>
                <w:sz w:val="22"/>
                <w:szCs w:val="22"/>
              </w:rPr>
              <w:drawing>
                <wp:inline distT="0" distB="0" distL="0" distR="0" wp14:anchorId="6D0B5BBC" wp14:editId="67CB2B9D">
                  <wp:extent cx="2066925" cy="2181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l="30998" t="18577" r="38565" b="12802"/>
                          <a:stretch/>
                        </pic:blipFill>
                        <pic:spPr bwMode="auto">
                          <a:xfrm>
                            <a:off x="0" y="0"/>
                            <a:ext cx="2069787" cy="21842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91" w:type="dxa"/>
          </w:tcPr>
          <w:p w14:paraId="70067C1E" w14:textId="77777777" w:rsidR="00167354" w:rsidRPr="00221E9D" w:rsidRDefault="00167354" w:rsidP="00754A16">
            <w:pPr>
              <w:spacing w:line="240" w:lineRule="auto"/>
              <w:jc w:val="both"/>
              <w:rPr>
                <w:rFonts w:ascii="Arial" w:hAnsi="Arial" w:cs="Arial"/>
                <w:iCs/>
                <w:sz w:val="22"/>
                <w:szCs w:val="22"/>
              </w:rPr>
            </w:pPr>
            <w:r w:rsidRPr="00221E9D">
              <w:rPr>
                <w:rFonts w:ascii="Arial" w:hAnsi="Arial" w:cs="Arial"/>
                <w:iCs/>
                <w:noProof/>
                <w:sz w:val="22"/>
                <w:szCs w:val="22"/>
              </w:rPr>
              <w:drawing>
                <wp:inline distT="0" distB="0" distL="0" distR="0" wp14:anchorId="78550AA9" wp14:editId="7186F36C">
                  <wp:extent cx="2066925" cy="2181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l="67608" t="18577" r="1955" b="12802"/>
                          <a:stretch/>
                        </pic:blipFill>
                        <pic:spPr bwMode="auto">
                          <a:xfrm>
                            <a:off x="0" y="0"/>
                            <a:ext cx="2069787" cy="21842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67354" w:rsidRPr="00221E9D" w14:paraId="0C02A95E" w14:textId="77777777" w:rsidTr="00754A16">
        <w:tc>
          <w:tcPr>
            <w:tcW w:w="3591" w:type="dxa"/>
          </w:tcPr>
          <w:p w14:paraId="4C67B080" w14:textId="77777777" w:rsidR="00167354" w:rsidRPr="00221E9D" w:rsidRDefault="00167354" w:rsidP="00754A16">
            <w:pPr>
              <w:spacing w:line="240" w:lineRule="auto"/>
              <w:jc w:val="center"/>
              <w:rPr>
                <w:rFonts w:ascii="Arial" w:hAnsi="Arial" w:cs="Arial"/>
                <w:iCs/>
                <w:noProof/>
              </w:rPr>
            </w:pPr>
            <w:r w:rsidRPr="00221E9D">
              <w:rPr>
                <w:rFonts w:ascii="Arial" w:hAnsi="Arial" w:cs="Arial"/>
                <w:iCs/>
              </w:rPr>
              <w:t>Ogee profile gutter</w:t>
            </w:r>
          </w:p>
        </w:tc>
        <w:tc>
          <w:tcPr>
            <w:tcW w:w="3591" w:type="dxa"/>
          </w:tcPr>
          <w:p w14:paraId="40EB0959" w14:textId="77777777" w:rsidR="00167354" w:rsidRPr="00221E9D" w:rsidRDefault="00167354" w:rsidP="00754A16">
            <w:pPr>
              <w:spacing w:line="240" w:lineRule="auto"/>
              <w:jc w:val="center"/>
              <w:rPr>
                <w:rFonts w:ascii="Arial" w:hAnsi="Arial" w:cs="Arial"/>
                <w:iCs/>
                <w:noProof/>
              </w:rPr>
            </w:pPr>
            <w:r w:rsidRPr="00221E9D">
              <w:rPr>
                <w:rFonts w:ascii="Arial" w:hAnsi="Arial" w:cs="Arial"/>
                <w:iCs/>
              </w:rPr>
              <w:t>Half round profile gutter</w:t>
            </w:r>
          </w:p>
        </w:tc>
        <w:tc>
          <w:tcPr>
            <w:tcW w:w="3591" w:type="dxa"/>
          </w:tcPr>
          <w:p w14:paraId="13D275EC" w14:textId="77777777" w:rsidR="00167354" w:rsidRPr="00221E9D" w:rsidRDefault="00167354" w:rsidP="00754A16">
            <w:pPr>
              <w:spacing w:line="240" w:lineRule="auto"/>
              <w:jc w:val="center"/>
              <w:rPr>
                <w:rFonts w:ascii="Arial" w:hAnsi="Arial" w:cs="Arial"/>
                <w:iCs/>
                <w:noProof/>
              </w:rPr>
            </w:pPr>
            <w:r w:rsidRPr="00221E9D">
              <w:rPr>
                <w:rFonts w:ascii="Arial" w:hAnsi="Arial" w:cs="Arial"/>
                <w:iCs/>
              </w:rPr>
              <w:t>Quad profile gutter</w:t>
            </w:r>
          </w:p>
        </w:tc>
      </w:tr>
    </w:tbl>
    <w:p w14:paraId="5D282B53" w14:textId="77777777" w:rsidR="00167354" w:rsidRPr="00221E9D" w:rsidRDefault="00167354" w:rsidP="00167354">
      <w:pPr>
        <w:spacing w:after="1200" w:line="240" w:lineRule="auto"/>
        <w:jc w:val="both"/>
        <w:rPr>
          <w:rFonts w:ascii="Arial" w:hAnsi="Arial" w:cs="Arial"/>
          <w:iCs/>
          <w:sz w:val="22"/>
          <w:szCs w:val="22"/>
        </w:rPr>
      </w:pPr>
    </w:p>
    <w:p w14:paraId="6913077C" w14:textId="77777777" w:rsidR="00167354" w:rsidRPr="00221E9D" w:rsidRDefault="00167354" w:rsidP="00167354">
      <w:pPr>
        <w:spacing w:after="240" w:line="240" w:lineRule="auto"/>
        <w:jc w:val="both"/>
        <w:rPr>
          <w:rFonts w:ascii="Arial" w:hAnsi="Arial" w:cs="Arial"/>
          <w:iCs/>
          <w:sz w:val="22"/>
          <w:szCs w:val="22"/>
        </w:rPr>
      </w:pPr>
    </w:p>
    <w:p w14:paraId="1A131550" w14:textId="77777777" w:rsidR="00167354" w:rsidRPr="00221E9D" w:rsidRDefault="00167354" w:rsidP="00156C63">
      <w:pPr>
        <w:spacing w:after="240" w:line="240" w:lineRule="auto"/>
        <w:jc w:val="both"/>
        <w:rPr>
          <w:rFonts w:ascii="Arial" w:hAnsi="Arial" w:cs="Arial"/>
          <w:iCs/>
          <w:sz w:val="22"/>
          <w:szCs w:val="22"/>
        </w:rPr>
      </w:pPr>
      <w:r w:rsidRPr="00221E9D">
        <w:rPr>
          <w:rFonts w:ascii="Arial" w:hAnsi="Arial" w:cs="Arial"/>
          <w:iCs/>
          <w:sz w:val="22"/>
          <w:szCs w:val="22"/>
        </w:rPr>
        <w:t>Whether existing gutters and downpipes are being retained and repaired or completely replaced, they should be connected to sealed drainage to avoid damp build up that can result in damage to floor and wall fabric.</w:t>
      </w:r>
    </w:p>
    <w:p w14:paraId="7428DD49" w14:textId="77777777" w:rsidR="00156C63" w:rsidRDefault="00156C63">
      <w:pPr>
        <w:spacing w:line="260" w:lineRule="atLeast"/>
        <w:rPr>
          <w:rFonts w:ascii="Arial" w:hAnsi="Arial" w:cs="Arial"/>
          <w:bCs/>
          <w:color w:val="003263" w:themeColor="text2"/>
          <w:spacing w:val="6"/>
          <w:sz w:val="22"/>
          <w:szCs w:val="22"/>
        </w:rPr>
      </w:pPr>
      <w:r>
        <w:rPr>
          <w:rFonts w:ascii="Arial" w:hAnsi="Arial" w:cs="Arial"/>
          <w:b/>
          <w:bCs/>
          <w:sz w:val="22"/>
          <w:szCs w:val="22"/>
        </w:rPr>
        <w:br w:type="page"/>
      </w:r>
    </w:p>
    <w:p w14:paraId="593FBB16" w14:textId="3DD3747E" w:rsidR="00167354" w:rsidRPr="002D1889" w:rsidRDefault="00167354" w:rsidP="00167354">
      <w:pPr>
        <w:pStyle w:val="Heading2"/>
        <w:spacing w:before="400" w:after="200"/>
        <w:rPr>
          <w:rFonts w:ascii="Arial" w:hAnsi="Arial" w:cs="Arial"/>
          <w:sz w:val="22"/>
          <w:szCs w:val="22"/>
        </w:rPr>
      </w:pPr>
      <w:r w:rsidRPr="002D1889">
        <w:rPr>
          <w:rFonts w:ascii="Arial" w:hAnsi="Arial" w:cs="Arial"/>
          <w:sz w:val="22"/>
          <w:szCs w:val="22"/>
        </w:rPr>
        <w:lastRenderedPageBreak/>
        <w:t>Walls</w:t>
      </w:r>
    </w:p>
    <w:p w14:paraId="7CF91F3E" w14:textId="77777777" w:rsidR="00167354" w:rsidRPr="00221E9D" w:rsidRDefault="00167354" w:rsidP="00167354">
      <w:pPr>
        <w:spacing w:line="240" w:lineRule="auto"/>
        <w:jc w:val="both"/>
        <w:rPr>
          <w:rFonts w:ascii="Arial" w:hAnsi="Arial" w:cs="Arial"/>
          <w:sz w:val="22"/>
          <w:szCs w:val="22"/>
        </w:rPr>
      </w:pPr>
      <w:r w:rsidRPr="00221E9D">
        <w:rPr>
          <w:rFonts w:ascii="Arial" w:hAnsi="Arial" w:cs="Arial"/>
          <w:sz w:val="22"/>
          <w:szCs w:val="22"/>
        </w:rPr>
        <w:t>Walls represent the main structural fabric of a building and they are a principal part of the significance of a heritage building.  Repairs and maintenance should therefore respect the existing fabric and match it in materials, texture, profile, colour and quality.</w:t>
      </w:r>
    </w:p>
    <w:p w14:paraId="7C308F12" w14:textId="77777777" w:rsidR="00167354" w:rsidRPr="00221E9D" w:rsidRDefault="00167354" w:rsidP="00167354">
      <w:pPr>
        <w:pStyle w:val="Heading1"/>
        <w:spacing w:before="400" w:after="200"/>
        <w:rPr>
          <w:rFonts w:ascii="Arial" w:hAnsi="Arial" w:cs="Arial"/>
          <w:caps w:val="0"/>
          <w:szCs w:val="22"/>
        </w:rPr>
      </w:pPr>
      <w:r w:rsidRPr="00221E9D">
        <w:rPr>
          <w:rFonts w:ascii="Arial" w:hAnsi="Arial" w:cs="Arial"/>
          <w:caps w:val="0"/>
          <w:szCs w:val="22"/>
        </w:rPr>
        <w:t>Matters for Consideration</w:t>
      </w:r>
    </w:p>
    <w:p w14:paraId="6DEDA7FD" w14:textId="77777777" w:rsidR="00167354" w:rsidRPr="00221E9D" w:rsidRDefault="00167354" w:rsidP="00167354">
      <w:pPr>
        <w:spacing w:after="240" w:line="240" w:lineRule="auto"/>
        <w:jc w:val="both"/>
        <w:rPr>
          <w:rFonts w:ascii="Arial" w:hAnsi="Arial" w:cs="Arial"/>
          <w:iCs/>
          <w:sz w:val="22"/>
          <w:szCs w:val="22"/>
        </w:rPr>
      </w:pPr>
      <w:r w:rsidRPr="00221E9D">
        <w:rPr>
          <w:rFonts w:ascii="Arial" w:hAnsi="Arial" w:cs="Arial"/>
          <w:iCs/>
          <w:sz w:val="22"/>
          <w:szCs w:val="22"/>
        </w:rPr>
        <w:t>Repairs to a brick wall, for example, should include bricks that closely match existing. For timber weatherboard walls, the profile of the weatherboard should be matched (such as square, rounded or beaded edged) and the damaged portion replaced only. The existing species of timber should also be matched to minimise differential movement.</w:t>
      </w:r>
    </w:p>
    <w:tbl>
      <w:tblPr>
        <w:tblW w:w="0" w:type="auto"/>
        <w:jc w:val="center"/>
        <w:tblLook w:val="04A0" w:firstRow="1" w:lastRow="0" w:firstColumn="1" w:lastColumn="0" w:noHBand="0" w:noVBand="1"/>
      </w:tblPr>
      <w:tblGrid>
        <w:gridCol w:w="7146"/>
      </w:tblGrid>
      <w:tr w:rsidR="00167354" w:rsidRPr="00221E9D" w14:paraId="63CE3DB8" w14:textId="77777777" w:rsidTr="00754A16">
        <w:trPr>
          <w:trHeight w:val="3622"/>
          <w:jc w:val="center"/>
        </w:trPr>
        <w:tc>
          <w:tcPr>
            <w:tcW w:w="5812" w:type="dxa"/>
          </w:tcPr>
          <w:p w14:paraId="515277E4" w14:textId="77777777" w:rsidR="00167354" w:rsidRPr="00221E9D" w:rsidRDefault="00167354" w:rsidP="00754A16">
            <w:pPr>
              <w:spacing w:line="240" w:lineRule="auto"/>
              <w:jc w:val="center"/>
              <w:rPr>
                <w:rFonts w:ascii="Arial" w:hAnsi="Arial" w:cs="Arial"/>
                <w:i/>
                <w:sz w:val="22"/>
                <w:szCs w:val="22"/>
              </w:rPr>
            </w:pPr>
            <w:r w:rsidRPr="00221E9D">
              <w:rPr>
                <w:rFonts w:ascii="Arial" w:hAnsi="Arial" w:cs="Arial"/>
                <w:i/>
                <w:noProof/>
                <w:sz w:val="22"/>
                <w:szCs w:val="22"/>
              </w:rPr>
              <w:drawing>
                <wp:inline distT="0" distB="0" distL="0" distR="0" wp14:anchorId="61356427" wp14:editId="23229B73">
                  <wp:extent cx="4393914" cy="329565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06 Bas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05499" cy="3304339"/>
                          </a:xfrm>
                          <a:prstGeom prst="rect">
                            <a:avLst/>
                          </a:prstGeom>
                        </pic:spPr>
                      </pic:pic>
                    </a:graphicData>
                  </a:graphic>
                </wp:inline>
              </w:drawing>
            </w:r>
          </w:p>
        </w:tc>
      </w:tr>
      <w:tr w:rsidR="00167354" w:rsidRPr="00221E9D" w14:paraId="3DE11695" w14:textId="77777777" w:rsidTr="00754A16">
        <w:trPr>
          <w:jc w:val="center"/>
        </w:trPr>
        <w:tc>
          <w:tcPr>
            <w:tcW w:w="5812" w:type="dxa"/>
          </w:tcPr>
          <w:p w14:paraId="0D7B7DCC" w14:textId="77777777" w:rsidR="002D1889" w:rsidRDefault="00167354" w:rsidP="002D1889">
            <w:pPr>
              <w:spacing w:line="240" w:lineRule="auto"/>
              <w:jc w:val="both"/>
              <w:rPr>
                <w:rFonts w:ascii="Arial" w:hAnsi="Arial" w:cs="Arial"/>
                <w:iCs/>
              </w:rPr>
            </w:pPr>
            <w:r w:rsidRPr="00221E9D">
              <w:rPr>
                <w:rFonts w:ascii="Arial" w:hAnsi="Arial" w:cs="Arial"/>
                <w:iCs/>
              </w:rPr>
              <w:t>Detail of new weatherboards (dark colour) cut into existing weather wall cladding.</w:t>
            </w:r>
            <w:r w:rsidR="002D1889">
              <w:rPr>
                <w:rFonts w:ascii="Arial" w:hAnsi="Arial" w:cs="Arial"/>
                <w:iCs/>
              </w:rPr>
              <w:t xml:space="preserve">  </w:t>
            </w:r>
          </w:p>
          <w:p w14:paraId="294D7B96" w14:textId="77777777" w:rsidR="002D1889" w:rsidRDefault="00167354" w:rsidP="002D1889">
            <w:pPr>
              <w:spacing w:line="240" w:lineRule="auto"/>
              <w:jc w:val="both"/>
              <w:rPr>
                <w:rFonts w:ascii="Arial" w:hAnsi="Arial" w:cs="Arial"/>
                <w:iCs/>
              </w:rPr>
            </w:pPr>
            <w:r w:rsidRPr="00221E9D">
              <w:rPr>
                <w:rFonts w:ascii="Arial" w:hAnsi="Arial" w:cs="Arial"/>
                <w:iCs/>
              </w:rPr>
              <w:t>The replacement material is therefore limited to where required only.</w:t>
            </w:r>
            <w:r w:rsidR="002D1889">
              <w:rPr>
                <w:rFonts w:ascii="Arial" w:hAnsi="Arial" w:cs="Arial"/>
                <w:iCs/>
              </w:rPr>
              <w:t xml:space="preserve">  </w:t>
            </w:r>
          </w:p>
          <w:p w14:paraId="1322ECBF" w14:textId="67CC7265" w:rsidR="00167354" w:rsidRPr="00221E9D" w:rsidRDefault="00167354" w:rsidP="002D1889">
            <w:pPr>
              <w:spacing w:line="240" w:lineRule="auto"/>
              <w:jc w:val="both"/>
              <w:rPr>
                <w:rFonts w:ascii="Arial" w:hAnsi="Arial" w:cs="Arial"/>
                <w:i/>
                <w:sz w:val="22"/>
                <w:szCs w:val="22"/>
              </w:rPr>
            </w:pPr>
            <w:r w:rsidRPr="00221E9D">
              <w:rPr>
                <w:rFonts w:ascii="Arial" w:hAnsi="Arial" w:cs="Arial"/>
                <w:iCs/>
              </w:rPr>
              <w:t>Source: Brian Benson.</w:t>
            </w:r>
          </w:p>
        </w:tc>
      </w:tr>
    </w:tbl>
    <w:p w14:paraId="704AE4BD" w14:textId="77777777" w:rsidR="00C2056E" w:rsidRPr="006A2106" w:rsidRDefault="00C2056E" w:rsidP="006A2106">
      <w:pPr>
        <w:pStyle w:val="BodyText"/>
        <w:rPr>
          <w:rFonts w:ascii="Arial" w:hAnsi="Arial"/>
        </w:rPr>
      </w:pPr>
    </w:p>
    <w:p w14:paraId="2B5B6B2C" w14:textId="77777777" w:rsidR="00C2056E" w:rsidRDefault="00C2056E">
      <w:pPr>
        <w:spacing w:line="260" w:lineRule="atLeast"/>
        <w:rPr>
          <w:rFonts w:ascii="Arial" w:hAnsi="Arial" w:cs="Arial"/>
          <w:bCs/>
          <w:color w:val="003263" w:themeColor="text2"/>
          <w:spacing w:val="6"/>
          <w:sz w:val="22"/>
          <w:szCs w:val="22"/>
        </w:rPr>
      </w:pPr>
      <w:r>
        <w:rPr>
          <w:rFonts w:ascii="Arial" w:hAnsi="Arial" w:cs="Arial"/>
          <w:b/>
          <w:bCs/>
          <w:sz w:val="22"/>
          <w:szCs w:val="22"/>
        </w:rPr>
        <w:br w:type="page"/>
      </w:r>
    </w:p>
    <w:p w14:paraId="7F2C18A2" w14:textId="04361F4C" w:rsidR="00167354" w:rsidRPr="002D1889" w:rsidRDefault="00167354" w:rsidP="00167354">
      <w:pPr>
        <w:pStyle w:val="Heading2"/>
        <w:spacing w:before="400" w:after="200"/>
        <w:rPr>
          <w:rFonts w:ascii="Arial" w:hAnsi="Arial" w:cs="Arial"/>
          <w:sz w:val="22"/>
          <w:szCs w:val="22"/>
        </w:rPr>
      </w:pPr>
      <w:r w:rsidRPr="002D1889">
        <w:rPr>
          <w:rFonts w:ascii="Arial" w:hAnsi="Arial" w:cs="Arial"/>
          <w:sz w:val="22"/>
          <w:szCs w:val="22"/>
        </w:rPr>
        <w:lastRenderedPageBreak/>
        <w:t>Render</w:t>
      </w:r>
    </w:p>
    <w:p w14:paraId="59B9FC21" w14:textId="77777777" w:rsidR="00167354" w:rsidRPr="00221E9D" w:rsidRDefault="00167354" w:rsidP="00167354">
      <w:pPr>
        <w:jc w:val="both"/>
        <w:rPr>
          <w:rFonts w:ascii="Arial" w:hAnsi="Arial" w:cs="Arial"/>
          <w:sz w:val="22"/>
          <w:szCs w:val="22"/>
        </w:rPr>
      </w:pPr>
      <w:r w:rsidRPr="00221E9D">
        <w:rPr>
          <w:rFonts w:ascii="Arial" w:hAnsi="Arial" w:cs="Arial"/>
          <w:sz w:val="22"/>
          <w:szCs w:val="22"/>
        </w:rPr>
        <w:t>Repair repairs should be carried out with a render to match the existing original render in strength, texture, colour, pattern and importantly, composition. In some instances for individually significant buildings, the existing render might require laboratory testing to determine is composition.</w:t>
      </w:r>
    </w:p>
    <w:p w14:paraId="1666CC2F" w14:textId="77777777" w:rsidR="0063147C" w:rsidRPr="00221E9D" w:rsidRDefault="0063147C" w:rsidP="0063147C">
      <w:pPr>
        <w:pStyle w:val="Heading1"/>
        <w:spacing w:before="400" w:after="200"/>
        <w:rPr>
          <w:rFonts w:ascii="Arial" w:hAnsi="Arial" w:cs="Arial"/>
          <w:caps w:val="0"/>
          <w:szCs w:val="22"/>
        </w:rPr>
      </w:pPr>
      <w:r w:rsidRPr="00221E9D">
        <w:rPr>
          <w:rFonts w:ascii="Arial" w:hAnsi="Arial" w:cs="Arial"/>
          <w:caps w:val="0"/>
          <w:szCs w:val="22"/>
        </w:rPr>
        <w:t>Matters for Consideration</w:t>
      </w:r>
    </w:p>
    <w:p w14:paraId="00B3DDC7" w14:textId="77777777" w:rsidR="0063147C" w:rsidRPr="00221E9D" w:rsidRDefault="0063147C" w:rsidP="0063147C">
      <w:pPr>
        <w:spacing w:after="240"/>
        <w:jc w:val="both"/>
        <w:rPr>
          <w:rFonts w:ascii="Arial" w:hAnsi="Arial" w:cs="Arial"/>
          <w:iCs/>
          <w:sz w:val="22"/>
          <w:szCs w:val="22"/>
        </w:rPr>
      </w:pPr>
      <w:r w:rsidRPr="00221E9D">
        <w:rPr>
          <w:rFonts w:ascii="Arial" w:hAnsi="Arial" w:cs="Arial"/>
          <w:iCs/>
          <w:sz w:val="22"/>
          <w:szCs w:val="22"/>
        </w:rPr>
        <w:t xml:space="preserve">Repairs to hairline cracks may be repaired by applying a fine scrim coat of render with a sponge. More substantial repairs will require expert advice.  </w:t>
      </w:r>
    </w:p>
    <w:p w14:paraId="0F4FBF56" w14:textId="77777777" w:rsidR="0063147C" w:rsidRPr="00221E9D" w:rsidRDefault="0063147C" w:rsidP="0063147C">
      <w:pPr>
        <w:spacing w:after="240"/>
        <w:jc w:val="both"/>
        <w:rPr>
          <w:rFonts w:ascii="Arial" w:hAnsi="Arial" w:cs="Arial"/>
          <w:iCs/>
          <w:sz w:val="22"/>
          <w:szCs w:val="22"/>
        </w:rPr>
      </w:pPr>
      <w:r w:rsidRPr="00221E9D">
        <w:rPr>
          <w:rFonts w:ascii="Arial" w:hAnsi="Arial" w:cs="Arial"/>
          <w:iCs/>
          <w:sz w:val="22"/>
          <w:szCs w:val="22"/>
        </w:rPr>
        <w:t xml:space="preserve">Cement rich and synthetic renders should be avoided as they form a waterproof barrier that prevents any trapped moisture in the wall from evaporating.  </w:t>
      </w:r>
    </w:p>
    <w:p w14:paraId="016C07E2" w14:textId="77777777" w:rsidR="0063147C" w:rsidRPr="00221E9D" w:rsidRDefault="0063147C" w:rsidP="0063147C">
      <w:pPr>
        <w:spacing w:after="240"/>
        <w:jc w:val="both"/>
        <w:rPr>
          <w:rFonts w:ascii="Arial" w:hAnsi="Arial" w:cs="Arial"/>
          <w:iCs/>
          <w:sz w:val="22"/>
          <w:szCs w:val="22"/>
        </w:rPr>
      </w:pPr>
      <w:r w:rsidRPr="00221E9D">
        <w:rPr>
          <w:rFonts w:ascii="Arial" w:hAnsi="Arial" w:cs="Arial"/>
          <w:iCs/>
          <w:sz w:val="22"/>
          <w:szCs w:val="22"/>
        </w:rPr>
        <w:t xml:space="preserve">Decorative rendered elements to a building should be retained, such as quoinwork, rustication, mouldings, and not rendered over. Other features such as urns, orbs, balustrades and brackets were usually made from a composition of cement, lime and sand, and sometimes they were not rendered or painted. Where decorative features were originally intended to be face stone or brick, they should not be rendered.  </w:t>
      </w:r>
    </w:p>
    <w:p w14:paraId="28772C94" w14:textId="78C63F58" w:rsidR="0063147C" w:rsidRPr="00221E9D" w:rsidRDefault="0063147C" w:rsidP="0063147C">
      <w:pPr>
        <w:jc w:val="both"/>
        <w:rPr>
          <w:rFonts w:ascii="Arial" w:hAnsi="Arial" w:cs="Arial"/>
          <w:b/>
          <w:color w:val="003263" w:themeColor="text2"/>
          <w:spacing w:val="6"/>
          <w:sz w:val="22"/>
          <w:szCs w:val="22"/>
        </w:rPr>
      </w:pPr>
      <w:r w:rsidRPr="00221E9D">
        <w:rPr>
          <w:rFonts w:ascii="Arial" w:hAnsi="Arial" w:cs="Arial"/>
          <w:iCs/>
          <w:sz w:val="22"/>
          <w:szCs w:val="22"/>
        </w:rPr>
        <w:t>Render on original rendered walls should not be removed with the stone or brick left exposed. Apart from diminishing the integrity and appearance of the building, the exposure of the face stone or brickwork has the potential to create damp penetration.</w:t>
      </w:r>
    </w:p>
    <w:p w14:paraId="7EF5DFD3" w14:textId="77777777" w:rsidR="0063147C" w:rsidRPr="002D1889" w:rsidRDefault="0063147C" w:rsidP="0063147C">
      <w:pPr>
        <w:pStyle w:val="Heading2"/>
        <w:spacing w:before="400" w:after="200"/>
        <w:rPr>
          <w:rFonts w:ascii="Arial" w:hAnsi="Arial" w:cs="Arial"/>
          <w:sz w:val="22"/>
          <w:szCs w:val="22"/>
        </w:rPr>
      </w:pPr>
      <w:r w:rsidRPr="002D1889">
        <w:rPr>
          <w:rFonts w:ascii="Arial" w:hAnsi="Arial" w:cs="Arial"/>
          <w:sz w:val="22"/>
          <w:szCs w:val="22"/>
        </w:rPr>
        <w:t>Repointing</w:t>
      </w:r>
    </w:p>
    <w:p w14:paraId="39989C3C" w14:textId="77777777" w:rsidR="0063147C" w:rsidRPr="00221E9D" w:rsidRDefault="0063147C" w:rsidP="0063147C">
      <w:pPr>
        <w:jc w:val="both"/>
        <w:rPr>
          <w:rFonts w:ascii="Arial" w:hAnsi="Arial" w:cs="Arial"/>
          <w:sz w:val="22"/>
          <w:szCs w:val="22"/>
        </w:rPr>
      </w:pPr>
      <w:r w:rsidRPr="00221E9D">
        <w:rPr>
          <w:rFonts w:ascii="Arial" w:hAnsi="Arial" w:cs="Arial"/>
          <w:sz w:val="22"/>
          <w:szCs w:val="22"/>
        </w:rPr>
        <w:t>New mortar should match the existing original mortar in strength, texture, colour and composition.  The mortar joint should match existing.</w:t>
      </w:r>
    </w:p>
    <w:p w14:paraId="2EAE89EE" w14:textId="77777777" w:rsidR="0063147C" w:rsidRPr="00221E9D" w:rsidRDefault="0063147C" w:rsidP="0063147C">
      <w:pPr>
        <w:pStyle w:val="Heading1"/>
        <w:spacing w:before="400" w:after="200"/>
        <w:rPr>
          <w:rFonts w:ascii="Arial" w:hAnsi="Arial" w:cs="Arial"/>
          <w:caps w:val="0"/>
          <w:szCs w:val="22"/>
        </w:rPr>
      </w:pPr>
      <w:r w:rsidRPr="00221E9D">
        <w:rPr>
          <w:rFonts w:ascii="Arial" w:hAnsi="Arial" w:cs="Arial"/>
          <w:caps w:val="0"/>
          <w:szCs w:val="22"/>
        </w:rPr>
        <w:t>Matters for Consideration</w:t>
      </w:r>
    </w:p>
    <w:p w14:paraId="78EE4B05" w14:textId="77777777" w:rsidR="0063147C" w:rsidRPr="00221E9D" w:rsidRDefault="0063147C" w:rsidP="0063147C">
      <w:pPr>
        <w:spacing w:after="240"/>
        <w:jc w:val="both"/>
        <w:rPr>
          <w:rFonts w:ascii="Arial" w:hAnsi="Arial" w:cs="Arial"/>
          <w:iCs/>
          <w:sz w:val="22"/>
          <w:szCs w:val="22"/>
        </w:rPr>
      </w:pPr>
      <w:r w:rsidRPr="00221E9D">
        <w:rPr>
          <w:rFonts w:ascii="Arial" w:hAnsi="Arial" w:cs="Arial"/>
          <w:iCs/>
          <w:sz w:val="22"/>
          <w:szCs w:val="22"/>
        </w:rPr>
        <w:t>The mortar joints to a stone or brick wall can be a primary feature and there are a range of traditional types of jointing that might contribute to the character of the building. These include tuck-pointed, beaded, tooled and scribed, struck, double-struck, flush and raised joints. Understanding the type of mortar joint will be important before any repairs are contemplated.</w:t>
      </w:r>
    </w:p>
    <w:p w14:paraId="68C0FDAB" w14:textId="77777777" w:rsidR="0063147C" w:rsidRPr="00221E9D" w:rsidRDefault="0063147C" w:rsidP="00C2056E">
      <w:pPr>
        <w:spacing w:after="240"/>
        <w:jc w:val="both"/>
        <w:rPr>
          <w:rFonts w:ascii="Arial" w:hAnsi="Arial" w:cs="Arial"/>
          <w:iCs/>
          <w:sz w:val="22"/>
          <w:szCs w:val="22"/>
        </w:rPr>
      </w:pPr>
      <w:r w:rsidRPr="00221E9D">
        <w:rPr>
          <w:rFonts w:ascii="Arial" w:hAnsi="Arial" w:cs="Arial"/>
          <w:iCs/>
          <w:sz w:val="22"/>
          <w:szCs w:val="22"/>
        </w:rPr>
        <w:t>Determining the existing composition of the mortar in the joint to be repaired is also critical. The composition of the mortar determines its strength, elasticity, durability and colour. It is made up of sand, lime and/or cement in varying proportions.  Using a hard mortar with a high cement content on most 19</w:t>
      </w:r>
      <w:r w:rsidRPr="00221E9D">
        <w:rPr>
          <w:rFonts w:ascii="Arial" w:hAnsi="Arial" w:cs="Arial"/>
          <w:iCs/>
          <w:sz w:val="22"/>
          <w:szCs w:val="22"/>
          <w:vertAlign w:val="superscript"/>
        </w:rPr>
        <w:t>th</w:t>
      </w:r>
      <w:r w:rsidRPr="00221E9D">
        <w:rPr>
          <w:rFonts w:ascii="Arial" w:hAnsi="Arial" w:cs="Arial"/>
          <w:iCs/>
          <w:sz w:val="22"/>
          <w:szCs w:val="22"/>
        </w:rPr>
        <w:t xml:space="preserve"> century masonry buildings, for example, has the potential to create structural damage. This is because the new inappropriate mortar will be stronger than the stone or brick, causing any future wall cracks in the stone or brick instead of the traditionally softer mortar joint.</w:t>
      </w:r>
    </w:p>
    <w:p w14:paraId="074337C6" w14:textId="77777777" w:rsidR="00275F9B" w:rsidRDefault="00275F9B">
      <w:pPr>
        <w:spacing w:line="260" w:lineRule="atLeast"/>
        <w:rPr>
          <w:rFonts w:ascii="Arial" w:hAnsi="Arial" w:cs="Arial"/>
          <w:bCs/>
          <w:color w:val="003263" w:themeColor="text2"/>
          <w:spacing w:val="6"/>
          <w:sz w:val="22"/>
          <w:szCs w:val="22"/>
        </w:rPr>
      </w:pPr>
      <w:r>
        <w:rPr>
          <w:rFonts w:ascii="Arial" w:hAnsi="Arial" w:cs="Arial"/>
          <w:b/>
          <w:bCs/>
          <w:sz w:val="22"/>
          <w:szCs w:val="22"/>
        </w:rPr>
        <w:br w:type="page"/>
      </w:r>
    </w:p>
    <w:p w14:paraId="4ED076E4" w14:textId="68790F0C" w:rsidR="0063147C" w:rsidRPr="002D1889" w:rsidRDefault="0063147C" w:rsidP="0063147C">
      <w:pPr>
        <w:pStyle w:val="Heading2"/>
        <w:spacing w:before="400" w:after="200"/>
        <w:rPr>
          <w:rFonts w:ascii="Arial" w:hAnsi="Arial" w:cs="Arial"/>
          <w:sz w:val="22"/>
          <w:szCs w:val="22"/>
        </w:rPr>
      </w:pPr>
      <w:r w:rsidRPr="002D1889">
        <w:rPr>
          <w:rFonts w:ascii="Arial" w:hAnsi="Arial" w:cs="Arial"/>
          <w:sz w:val="22"/>
          <w:szCs w:val="22"/>
        </w:rPr>
        <w:lastRenderedPageBreak/>
        <w:t>Windows and Doors</w:t>
      </w:r>
    </w:p>
    <w:p w14:paraId="2E6DE6A4" w14:textId="77777777" w:rsidR="0063147C" w:rsidRDefault="0063147C" w:rsidP="0063147C">
      <w:pPr>
        <w:spacing w:after="240"/>
        <w:jc w:val="both"/>
        <w:rPr>
          <w:rFonts w:ascii="Arial" w:hAnsi="Arial" w:cs="Arial"/>
          <w:sz w:val="22"/>
          <w:szCs w:val="22"/>
        </w:rPr>
      </w:pPr>
      <w:r w:rsidRPr="00221E9D">
        <w:rPr>
          <w:rFonts w:ascii="Arial" w:hAnsi="Arial" w:cs="Arial"/>
          <w:sz w:val="22"/>
          <w:szCs w:val="22"/>
        </w:rPr>
        <w:t>Where windows and/or doors contribute to the significance of a heritage place they should be retained and repaired, rather than being completely replaced. Damaged components should be replaced to match existing (such as a frame, sash, glazing bar, hardware and shutters). The replacement timber species should have the same properties as the existing as differential movement between them can cause failure and moisture ingress.</w:t>
      </w:r>
    </w:p>
    <w:tbl>
      <w:tblPr>
        <w:tblW w:w="0" w:type="auto"/>
        <w:jc w:val="center"/>
        <w:tblLook w:val="04A0" w:firstRow="1" w:lastRow="0" w:firstColumn="1" w:lastColumn="0" w:noHBand="0" w:noVBand="1"/>
      </w:tblPr>
      <w:tblGrid>
        <w:gridCol w:w="5098"/>
      </w:tblGrid>
      <w:tr w:rsidR="0063147C" w:rsidRPr="0059255E" w14:paraId="339CB057" w14:textId="77777777" w:rsidTr="00754A16">
        <w:trPr>
          <w:trHeight w:val="3198"/>
          <w:jc w:val="center"/>
        </w:trPr>
        <w:tc>
          <w:tcPr>
            <w:tcW w:w="5098" w:type="dxa"/>
          </w:tcPr>
          <w:p w14:paraId="4935E4F0" w14:textId="77777777" w:rsidR="0063147C" w:rsidRPr="0059255E" w:rsidRDefault="0063147C" w:rsidP="00754A16">
            <w:pPr>
              <w:spacing w:line="240" w:lineRule="auto"/>
              <w:jc w:val="both"/>
              <w:rPr>
                <w:rFonts w:ascii="Arial" w:hAnsi="Arial" w:cs="Arial"/>
                <w:sz w:val="10"/>
                <w:szCs w:val="10"/>
              </w:rPr>
            </w:pPr>
            <w:r w:rsidRPr="0059255E">
              <w:rPr>
                <w:rFonts w:ascii="Arial" w:hAnsi="Arial" w:cs="Arial"/>
                <w:noProof/>
                <w:sz w:val="10"/>
                <w:szCs w:val="10"/>
              </w:rPr>
              <w:drawing>
                <wp:anchor distT="0" distB="0" distL="114300" distR="114300" simplePos="0" relativeHeight="251704320" behindDoc="0" locked="0" layoutInCell="1" allowOverlap="1" wp14:anchorId="62BCF057" wp14:editId="539568C0">
                  <wp:simplePos x="0" y="0"/>
                  <wp:positionH relativeFrom="column">
                    <wp:posOffset>511810</wp:posOffset>
                  </wp:positionH>
                  <wp:positionV relativeFrom="paragraph">
                    <wp:posOffset>85725</wp:posOffset>
                  </wp:positionV>
                  <wp:extent cx="2066925" cy="2923540"/>
                  <wp:effectExtent l="0" t="0" r="9525"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07 Bas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66925" cy="2923540"/>
                          </a:xfrm>
                          <a:prstGeom prst="rect">
                            <a:avLst/>
                          </a:prstGeom>
                        </pic:spPr>
                      </pic:pic>
                    </a:graphicData>
                  </a:graphic>
                  <wp14:sizeRelH relativeFrom="page">
                    <wp14:pctWidth>0</wp14:pctWidth>
                  </wp14:sizeRelH>
                  <wp14:sizeRelV relativeFrom="page">
                    <wp14:pctHeight>0</wp14:pctHeight>
                  </wp14:sizeRelV>
                </wp:anchor>
              </w:drawing>
            </w:r>
          </w:p>
        </w:tc>
      </w:tr>
      <w:tr w:rsidR="0063147C" w14:paraId="03F23B5C" w14:textId="77777777" w:rsidTr="00687BE8">
        <w:trPr>
          <w:trHeight w:val="338"/>
          <w:jc w:val="center"/>
        </w:trPr>
        <w:tc>
          <w:tcPr>
            <w:tcW w:w="5098" w:type="dxa"/>
          </w:tcPr>
          <w:p w14:paraId="51B129AA" w14:textId="77777777" w:rsidR="00687BE8" w:rsidRDefault="0063147C" w:rsidP="00687BE8">
            <w:pPr>
              <w:spacing w:line="240" w:lineRule="auto"/>
              <w:ind w:left="746" w:right="742"/>
              <w:jc w:val="both"/>
              <w:rPr>
                <w:rFonts w:ascii="Arial" w:hAnsi="Arial" w:cs="Arial"/>
              </w:rPr>
            </w:pPr>
            <w:r w:rsidRPr="00221E9D">
              <w:rPr>
                <w:rFonts w:ascii="Arial" w:hAnsi="Arial" w:cs="Arial"/>
              </w:rPr>
              <w:t xml:space="preserve">Significant timber framed </w:t>
            </w:r>
            <w:r w:rsidR="00687BE8">
              <w:rPr>
                <w:rFonts w:ascii="Arial" w:hAnsi="Arial" w:cs="Arial"/>
              </w:rPr>
              <w:t>w</w:t>
            </w:r>
            <w:r w:rsidRPr="00221E9D">
              <w:rPr>
                <w:rFonts w:ascii="Arial" w:hAnsi="Arial" w:cs="Arial"/>
              </w:rPr>
              <w:t xml:space="preserve">indow repaired </w:t>
            </w:r>
          </w:p>
          <w:p w14:paraId="2FEB09CE" w14:textId="5CD0C4FC" w:rsidR="00687BE8" w:rsidRDefault="0063147C" w:rsidP="00687BE8">
            <w:pPr>
              <w:spacing w:line="240" w:lineRule="auto"/>
              <w:ind w:left="746" w:right="742"/>
              <w:jc w:val="both"/>
              <w:rPr>
                <w:rFonts w:ascii="Arial" w:hAnsi="Arial" w:cs="Arial"/>
              </w:rPr>
            </w:pPr>
            <w:r w:rsidRPr="00221E9D">
              <w:rPr>
                <w:rFonts w:ascii="Arial" w:hAnsi="Arial" w:cs="Arial"/>
              </w:rPr>
              <w:t>with sections of new timber fabric cut into the frame</w:t>
            </w:r>
            <w:r w:rsidR="00687BE8">
              <w:rPr>
                <w:rFonts w:ascii="Arial" w:hAnsi="Arial" w:cs="Arial"/>
              </w:rPr>
              <w:t xml:space="preserve"> </w:t>
            </w:r>
            <w:r w:rsidRPr="00221E9D">
              <w:rPr>
                <w:rFonts w:ascii="Arial" w:hAnsi="Arial" w:cs="Arial"/>
              </w:rPr>
              <w:t>where it had deteriorated.</w:t>
            </w:r>
            <w:r w:rsidR="00687BE8">
              <w:rPr>
                <w:rFonts w:ascii="Arial" w:hAnsi="Arial" w:cs="Arial"/>
              </w:rPr>
              <w:t xml:space="preserve">  </w:t>
            </w:r>
          </w:p>
          <w:p w14:paraId="5069BFDC" w14:textId="14984064" w:rsidR="0063147C" w:rsidRPr="009A3307" w:rsidRDefault="0063147C" w:rsidP="00687BE8">
            <w:pPr>
              <w:spacing w:line="240" w:lineRule="auto"/>
              <w:ind w:left="746" w:right="742"/>
              <w:jc w:val="both"/>
              <w:rPr>
                <w:rFonts w:ascii="Arial" w:hAnsi="Arial" w:cs="Arial"/>
              </w:rPr>
            </w:pPr>
            <w:r w:rsidRPr="00221E9D">
              <w:rPr>
                <w:rFonts w:ascii="Arial" w:hAnsi="Arial" w:cs="Arial"/>
              </w:rPr>
              <w:t>Source: Brian Benson, Ballarat.</w:t>
            </w:r>
          </w:p>
        </w:tc>
      </w:tr>
    </w:tbl>
    <w:p w14:paraId="7EDBE321" w14:textId="77777777" w:rsidR="0063147C" w:rsidRPr="00221E9D" w:rsidRDefault="0063147C" w:rsidP="0063147C">
      <w:pPr>
        <w:pStyle w:val="Heading1"/>
        <w:spacing w:before="400" w:after="200"/>
        <w:rPr>
          <w:rFonts w:ascii="Arial" w:hAnsi="Arial" w:cs="Arial"/>
          <w:caps w:val="0"/>
          <w:szCs w:val="22"/>
        </w:rPr>
      </w:pPr>
      <w:r w:rsidRPr="00221E9D">
        <w:rPr>
          <w:rFonts w:ascii="Arial" w:hAnsi="Arial" w:cs="Arial"/>
          <w:caps w:val="0"/>
          <w:szCs w:val="22"/>
        </w:rPr>
        <w:t>Matters for Consideration</w:t>
      </w:r>
    </w:p>
    <w:p w14:paraId="54A5575B" w14:textId="77777777" w:rsidR="0063147C" w:rsidRPr="00221E9D" w:rsidRDefault="0063147C" w:rsidP="0063147C">
      <w:pPr>
        <w:spacing w:after="240"/>
        <w:jc w:val="both"/>
        <w:rPr>
          <w:rFonts w:ascii="Arial" w:hAnsi="Arial" w:cs="Arial"/>
          <w:iCs/>
          <w:sz w:val="22"/>
          <w:szCs w:val="22"/>
        </w:rPr>
      </w:pPr>
      <w:r w:rsidRPr="00221E9D">
        <w:rPr>
          <w:rFonts w:ascii="Arial" w:hAnsi="Arial" w:cs="Arial"/>
          <w:iCs/>
          <w:sz w:val="22"/>
          <w:szCs w:val="22"/>
        </w:rPr>
        <w:t>Preference should be given to secondary glazing significant windows rather than double glazing, especially where the windows are part of an individually significant building or exposed to the public realm on a contributory building. Secondary glazing is the installation of a second window on the interior, without any physical or visual impacts on the existing window exterior. No permit application is required for secondary glazing but a planning permit is required for altering existing windows on the exterior. Double glazing existing significant windows may not be possible</w:t>
      </w:r>
    </w:p>
    <w:p w14:paraId="66152D53" w14:textId="77777777" w:rsidR="0063147C" w:rsidRPr="00221E9D" w:rsidRDefault="0063147C" w:rsidP="0063147C">
      <w:pPr>
        <w:spacing w:after="240"/>
        <w:jc w:val="both"/>
        <w:rPr>
          <w:rFonts w:ascii="Arial" w:hAnsi="Arial" w:cs="Arial"/>
          <w:iCs/>
          <w:sz w:val="22"/>
          <w:szCs w:val="22"/>
        </w:rPr>
      </w:pPr>
      <w:r w:rsidRPr="00221E9D">
        <w:rPr>
          <w:rFonts w:ascii="Arial" w:hAnsi="Arial" w:cs="Arial"/>
          <w:iCs/>
          <w:sz w:val="22"/>
          <w:szCs w:val="22"/>
        </w:rPr>
        <w:t>In most cases, the installation of new windows and doors on the principal public facades of individually significant and contributory heritage buildings are unlikely to be suitable in these instances. Existing openings and blocked up openings should be considered in the first instance. For buildings of higher heritage significance, the provision of new openings might be more difficult and specialist advice should be sought prior to making a planning permit application.</w:t>
      </w:r>
    </w:p>
    <w:p w14:paraId="5578BF3D" w14:textId="77777777" w:rsidR="0063147C" w:rsidRPr="00221E9D" w:rsidRDefault="0063147C" w:rsidP="004A3612">
      <w:pPr>
        <w:spacing w:after="240"/>
        <w:jc w:val="both"/>
        <w:rPr>
          <w:rFonts w:ascii="Arial" w:hAnsi="Arial" w:cs="Arial"/>
          <w:iCs/>
          <w:sz w:val="22"/>
          <w:szCs w:val="22"/>
        </w:rPr>
      </w:pPr>
      <w:r w:rsidRPr="00221E9D">
        <w:rPr>
          <w:rFonts w:ascii="Arial" w:hAnsi="Arial" w:cs="Arial"/>
          <w:iCs/>
          <w:sz w:val="22"/>
          <w:szCs w:val="22"/>
        </w:rPr>
        <w:t>Where new door openings may be appropriate, particularly as part of introduced fabric, they should not replicate existing doors unless there is supporting evidence. Streamlined and innovative interpretations of existing window and door details are encouraged.</w:t>
      </w:r>
    </w:p>
    <w:p w14:paraId="144D6B31" w14:textId="20EBCA37" w:rsidR="0063147C" w:rsidRPr="00687BE8" w:rsidRDefault="0063147C" w:rsidP="0063147C">
      <w:pPr>
        <w:pStyle w:val="Heading2"/>
        <w:spacing w:before="400" w:after="200"/>
        <w:rPr>
          <w:rFonts w:ascii="Arial" w:hAnsi="Arial" w:cs="Arial"/>
          <w:sz w:val="22"/>
          <w:szCs w:val="22"/>
        </w:rPr>
      </w:pPr>
      <w:r w:rsidRPr="00687BE8">
        <w:rPr>
          <w:rFonts w:ascii="Arial" w:hAnsi="Arial" w:cs="Arial"/>
          <w:sz w:val="22"/>
          <w:szCs w:val="22"/>
        </w:rPr>
        <w:t>Decorative Features</w:t>
      </w:r>
    </w:p>
    <w:p w14:paraId="041E6F94" w14:textId="6E9D4572" w:rsidR="000B22F7" w:rsidRDefault="0063147C" w:rsidP="002D1889">
      <w:pPr>
        <w:jc w:val="both"/>
        <w:rPr>
          <w:rFonts w:ascii="Arial" w:hAnsi="Arial" w:cs="Arial"/>
          <w:sz w:val="22"/>
          <w:szCs w:val="22"/>
        </w:rPr>
      </w:pPr>
      <w:r w:rsidRPr="00221E9D">
        <w:rPr>
          <w:rFonts w:ascii="Arial" w:hAnsi="Arial" w:cs="Arial"/>
          <w:sz w:val="22"/>
          <w:szCs w:val="22"/>
        </w:rPr>
        <w:t>Like roof ridge decoration, other architectural decoration that is damaged or in poor condition should be repaired rather than replaced. Where replacement might be the only option, the new fabric should match existing in design, profile, materials, colour and general appearance. Historical and physical evidence should form the basis of missing fabric and decoration should not be considered where it was never originally intended.</w:t>
      </w:r>
      <w:r w:rsidR="000B22F7">
        <w:rPr>
          <w:rFonts w:ascii="Arial" w:hAnsi="Arial" w:cs="Arial"/>
          <w:sz w:val="22"/>
          <w:szCs w:val="22"/>
        </w:rPr>
        <w:br w:type="page"/>
      </w:r>
    </w:p>
    <w:p w14:paraId="5B9AF701" w14:textId="77777777" w:rsidR="0063147C" w:rsidRPr="00687BE8" w:rsidRDefault="0063147C" w:rsidP="0063147C">
      <w:pPr>
        <w:pStyle w:val="Heading2"/>
        <w:spacing w:before="400" w:after="200"/>
        <w:rPr>
          <w:rFonts w:ascii="Arial" w:hAnsi="Arial" w:cs="Arial"/>
          <w:sz w:val="22"/>
          <w:szCs w:val="22"/>
        </w:rPr>
      </w:pPr>
      <w:r w:rsidRPr="00687BE8">
        <w:rPr>
          <w:rFonts w:ascii="Arial" w:hAnsi="Arial" w:cs="Arial"/>
          <w:sz w:val="22"/>
          <w:szCs w:val="22"/>
        </w:rPr>
        <w:lastRenderedPageBreak/>
        <w:t>Verandahs</w:t>
      </w:r>
    </w:p>
    <w:p w14:paraId="6302BC40" w14:textId="77777777" w:rsidR="0063147C" w:rsidRPr="00221E9D" w:rsidRDefault="0063147C" w:rsidP="0063147C">
      <w:pPr>
        <w:spacing w:after="240"/>
        <w:jc w:val="both"/>
        <w:rPr>
          <w:rFonts w:ascii="Arial" w:hAnsi="Arial" w:cs="Arial"/>
          <w:sz w:val="22"/>
          <w:szCs w:val="22"/>
        </w:rPr>
      </w:pPr>
      <w:r w:rsidRPr="00221E9D">
        <w:rPr>
          <w:rFonts w:ascii="Arial" w:hAnsi="Arial" w:cs="Arial"/>
          <w:sz w:val="22"/>
          <w:szCs w:val="22"/>
        </w:rPr>
        <w:t>Damaged elements to a significant verandah should be replaced to match existing in materials, profile, design, construction and colour. This might involve the replacement of part of a verandah element only, such as a rotted base to a timber post.</w:t>
      </w:r>
    </w:p>
    <w:tbl>
      <w:tblPr>
        <w:tblW w:w="0" w:type="auto"/>
        <w:tblLook w:val="04A0" w:firstRow="1" w:lastRow="0" w:firstColumn="1" w:lastColumn="0" w:noHBand="0" w:noVBand="1"/>
      </w:tblPr>
      <w:tblGrid>
        <w:gridCol w:w="5240"/>
        <w:gridCol w:w="236"/>
        <w:gridCol w:w="5245"/>
      </w:tblGrid>
      <w:tr w:rsidR="0063147C" w14:paraId="4C2FB730" w14:textId="77777777" w:rsidTr="00754A16">
        <w:trPr>
          <w:trHeight w:val="3203"/>
        </w:trPr>
        <w:tc>
          <w:tcPr>
            <w:tcW w:w="5240" w:type="dxa"/>
          </w:tcPr>
          <w:p w14:paraId="7AFCC9C0" w14:textId="77777777" w:rsidR="0063147C" w:rsidRDefault="0063147C" w:rsidP="00754A16">
            <w:pPr>
              <w:spacing w:line="240" w:lineRule="auto"/>
              <w:jc w:val="center"/>
              <w:rPr>
                <w:rFonts w:ascii="Arial" w:hAnsi="Arial" w:cs="Arial"/>
                <w:szCs w:val="22"/>
              </w:rPr>
            </w:pPr>
            <w:r w:rsidRPr="00221E9D">
              <w:rPr>
                <w:rFonts w:ascii="Arial" w:hAnsi="Arial" w:cs="Arial"/>
                <w:noProof/>
                <w:szCs w:val="22"/>
              </w:rPr>
              <w:drawing>
                <wp:anchor distT="0" distB="0" distL="114300" distR="114300" simplePos="0" relativeHeight="251706368" behindDoc="0" locked="0" layoutInCell="1" allowOverlap="1" wp14:anchorId="5FA2E3DE" wp14:editId="070CA8BF">
                  <wp:simplePos x="0" y="0"/>
                  <wp:positionH relativeFrom="column">
                    <wp:posOffset>184150</wp:posOffset>
                  </wp:positionH>
                  <wp:positionV relativeFrom="paragraph">
                    <wp:posOffset>140970</wp:posOffset>
                  </wp:positionV>
                  <wp:extent cx="2905125" cy="2181225"/>
                  <wp:effectExtent l="0" t="0" r="0" b="952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5125" cy="2181225"/>
                          </a:xfrm>
                          <a:prstGeom prst="rect">
                            <a:avLst/>
                          </a:prstGeom>
                          <a:noFill/>
                        </pic:spPr>
                      </pic:pic>
                    </a:graphicData>
                  </a:graphic>
                  <wp14:sizeRelH relativeFrom="margin">
                    <wp14:pctWidth>0</wp14:pctWidth>
                  </wp14:sizeRelH>
                  <wp14:sizeRelV relativeFrom="margin">
                    <wp14:pctHeight>0</wp14:pctHeight>
                  </wp14:sizeRelV>
                </wp:anchor>
              </w:drawing>
            </w:r>
          </w:p>
        </w:tc>
        <w:tc>
          <w:tcPr>
            <w:tcW w:w="236" w:type="dxa"/>
          </w:tcPr>
          <w:p w14:paraId="4ED4B72C" w14:textId="77777777" w:rsidR="0063147C" w:rsidRPr="00221E9D" w:rsidRDefault="0063147C" w:rsidP="00754A16">
            <w:pPr>
              <w:jc w:val="both"/>
              <w:rPr>
                <w:rFonts w:ascii="Arial" w:hAnsi="Arial" w:cs="Arial"/>
                <w:noProof/>
                <w:szCs w:val="22"/>
              </w:rPr>
            </w:pPr>
          </w:p>
        </w:tc>
        <w:tc>
          <w:tcPr>
            <w:tcW w:w="5245" w:type="dxa"/>
          </w:tcPr>
          <w:p w14:paraId="5183E687" w14:textId="77777777" w:rsidR="0063147C" w:rsidRPr="00221E9D" w:rsidRDefault="0063147C" w:rsidP="00754A16">
            <w:pPr>
              <w:spacing w:line="240" w:lineRule="auto"/>
              <w:jc w:val="center"/>
              <w:rPr>
                <w:rFonts w:ascii="Arial" w:hAnsi="Arial" w:cs="Arial"/>
                <w:noProof/>
                <w:szCs w:val="22"/>
              </w:rPr>
            </w:pPr>
            <w:r w:rsidRPr="00221E9D">
              <w:rPr>
                <w:rFonts w:ascii="Arial" w:hAnsi="Arial" w:cs="Arial"/>
                <w:noProof/>
                <w:sz w:val="22"/>
                <w:szCs w:val="22"/>
              </w:rPr>
              <w:drawing>
                <wp:anchor distT="0" distB="0" distL="114300" distR="114300" simplePos="0" relativeHeight="251705344" behindDoc="0" locked="0" layoutInCell="1" allowOverlap="1" wp14:anchorId="0BB26CD9" wp14:editId="570682EB">
                  <wp:simplePos x="0" y="0"/>
                  <wp:positionH relativeFrom="column">
                    <wp:posOffset>68580</wp:posOffset>
                  </wp:positionH>
                  <wp:positionV relativeFrom="paragraph">
                    <wp:posOffset>133350</wp:posOffset>
                  </wp:positionV>
                  <wp:extent cx="2905125" cy="2181225"/>
                  <wp:effectExtent l="0" t="0" r="0" b="952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5125" cy="2181225"/>
                          </a:xfrm>
                          <a:prstGeom prst="rect">
                            <a:avLst/>
                          </a:prstGeom>
                          <a:noFill/>
                        </pic:spPr>
                      </pic:pic>
                    </a:graphicData>
                  </a:graphic>
                  <wp14:sizeRelH relativeFrom="margin">
                    <wp14:pctWidth>0</wp14:pctWidth>
                  </wp14:sizeRelH>
                  <wp14:sizeRelV relativeFrom="margin">
                    <wp14:pctHeight>0</wp14:pctHeight>
                  </wp14:sizeRelV>
                </wp:anchor>
              </w:drawing>
            </w:r>
          </w:p>
        </w:tc>
      </w:tr>
      <w:tr w:rsidR="0063147C" w14:paraId="41796437" w14:textId="77777777" w:rsidTr="00687BE8">
        <w:trPr>
          <w:trHeight w:val="1749"/>
        </w:trPr>
        <w:tc>
          <w:tcPr>
            <w:tcW w:w="5240" w:type="dxa"/>
          </w:tcPr>
          <w:p w14:paraId="5D9386BA" w14:textId="77777777" w:rsidR="0063147C" w:rsidRPr="007F3270" w:rsidRDefault="0063147C" w:rsidP="00687BE8">
            <w:pPr>
              <w:spacing w:line="240" w:lineRule="auto"/>
              <w:ind w:left="323"/>
              <w:jc w:val="both"/>
              <w:rPr>
                <w:rFonts w:ascii="Arial" w:hAnsi="Arial" w:cs="Arial"/>
                <w:b/>
                <w:bCs/>
                <w:caps/>
              </w:rPr>
            </w:pPr>
            <w:r>
              <w:rPr>
                <w:rFonts w:ascii="Arial" w:hAnsi="Arial" w:cs="Arial"/>
                <w:bCs/>
              </w:rPr>
              <w:t>V</w:t>
            </w:r>
            <w:r w:rsidRPr="007F3270">
              <w:rPr>
                <w:rFonts w:ascii="Arial" w:hAnsi="Arial" w:cs="Arial"/>
                <w:bCs/>
              </w:rPr>
              <w:t>ictorian front verandah in disrepair.</w:t>
            </w:r>
          </w:p>
          <w:p w14:paraId="7FA462AF" w14:textId="4A5A6EC7" w:rsidR="0063147C" w:rsidRDefault="0063147C" w:rsidP="00687BE8">
            <w:pPr>
              <w:spacing w:line="240" w:lineRule="auto"/>
              <w:ind w:left="321" w:right="310"/>
              <w:jc w:val="both"/>
              <w:rPr>
                <w:rFonts w:ascii="Arial" w:hAnsi="Arial" w:cs="Arial"/>
                <w:sz w:val="22"/>
                <w:szCs w:val="22"/>
              </w:rPr>
            </w:pPr>
            <w:r w:rsidRPr="007F3270">
              <w:rPr>
                <w:rFonts w:ascii="Arial" w:hAnsi="Arial" w:cs="Arial"/>
                <w:bCs/>
              </w:rPr>
              <w:t>Remnant fabric in good condition was retained and used as a basis for reconstruction.</w:t>
            </w:r>
            <w:r w:rsidR="00687BE8">
              <w:rPr>
                <w:rFonts w:ascii="Arial" w:hAnsi="Arial" w:cs="Arial"/>
                <w:bCs/>
              </w:rPr>
              <w:t xml:space="preserve">  Source: Jennifer Bantow.</w:t>
            </w:r>
          </w:p>
        </w:tc>
        <w:tc>
          <w:tcPr>
            <w:tcW w:w="236" w:type="dxa"/>
          </w:tcPr>
          <w:p w14:paraId="606AE0F6" w14:textId="77777777" w:rsidR="0063147C" w:rsidRDefault="0063147C" w:rsidP="00754A16">
            <w:pPr>
              <w:ind w:left="113" w:right="113"/>
              <w:jc w:val="both"/>
              <w:rPr>
                <w:rFonts w:ascii="Arial" w:hAnsi="Arial" w:cs="Arial"/>
                <w:sz w:val="22"/>
                <w:szCs w:val="22"/>
              </w:rPr>
            </w:pPr>
          </w:p>
        </w:tc>
        <w:tc>
          <w:tcPr>
            <w:tcW w:w="5245" w:type="dxa"/>
          </w:tcPr>
          <w:p w14:paraId="7F453446" w14:textId="77777777" w:rsidR="0063147C" w:rsidRPr="00221E9D" w:rsidRDefault="0063147C" w:rsidP="00687BE8">
            <w:pPr>
              <w:spacing w:line="240" w:lineRule="auto"/>
              <w:ind w:left="91"/>
              <w:jc w:val="both"/>
              <w:rPr>
                <w:rFonts w:ascii="Arial" w:hAnsi="Arial" w:cs="Arial"/>
                <w:bCs/>
              </w:rPr>
            </w:pPr>
            <w:r w:rsidRPr="00221E9D">
              <w:rPr>
                <w:rFonts w:ascii="Arial" w:hAnsi="Arial" w:cs="Arial"/>
                <w:bCs/>
              </w:rPr>
              <w:t>Reconstructed Victorian verandah.</w:t>
            </w:r>
          </w:p>
          <w:p w14:paraId="1CF36BC0" w14:textId="2F96733D" w:rsidR="0063147C" w:rsidRDefault="0063147C" w:rsidP="00687BE8">
            <w:pPr>
              <w:spacing w:line="240" w:lineRule="auto"/>
              <w:ind w:left="90" w:right="414"/>
              <w:jc w:val="both"/>
              <w:rPr>
                <w:rFonts w:ascii="Arial" w:hAnsi="Arial" w:cs="Arial"/>
                <w:sz w:val="22"/>
                <w:szCs w:val="22"/>
              </w:rPr>
            </w:pPr>
            <w:r w:rsidRPr="00221E9D">
              <w:rPr>
                <w:rFonts w:ascii="Arial" w:hAnsi="Arial" w:cs="Arial"/>
                <w:bCs/>
              </w:rPr>
              <w:t>The remnant verandah detailing provided clues for the design of the missing cast iron elements, as the surviving detailing was typical of the work of a local 19</w:t>
            </w:r>
            <w:r w:rsidRPr="00221E9D">
              <w:rPr>
                <w:rFonts w:ascii="Arial" w:hAnsi="Arial" w:cs="Arial"/>
                <w:bCs/>
                <w:vertAlign w:val="superscript"/>
              </w:rPr>
              <w:t>th</w:t>
            </w:r>
            <w:r w:rsidRPr="00221E9D">
              <w:rPr>
                <w:rFonts w:ascii="Arial" w:hAnsi="Arial" w:cs="Arial"/>
                <w:bCs/>
              </w:rPr>
              <w:t xml:space="preserve"> century architect. More intact verandahs known to have been designed by the architect were used to guide the design and detail of missing fabric.</w:t>
            </w:r>
            <w:r w:rsidR="00687BE8">
              <w:rPr>
                <w:rFonts w:ascii="Arial" w:hAnsi="Arial" w:cs="Arial"/>
                <w:bCs/>
              </w:rPr>
              <w:t xml:space="preserve">  Source: Jennifer Bantow.</w:t>
            </w:r>
          </w:p>
        </w:tc>
      </w:tr>
    </w:tbl>
    <w:p w14:paraId="6906660C" w14:textId="77777777" w:rsidR="0063147C" w:rsidRPr="00221E9D" w:rsidRDefault="0063147C" w:rsidP="0063147C">
      <w:pPr>
        <w:spacing w:after="240" w:line="240" w:lineRule="auto"/>
        <w:jc w:val="both"/>
        <w:rPr>
          <w:rFonts w:ascii="Arial" w:hAnsi="Arial" w:cs="Arial"/>
          <w:sz w:val="22"/>
          <w:szCs w:val="22"/>
        </w:rPr>
      </w:pPr>
    </w:p>
    <w:p w14:paraId="3585D2EC" w14:textId="77777777" w:rsidR="0063147C" w:rsidRPr="00221E9D" w:rsidRDefault="0063147C" w:rsidP="0063147C">
      <w:pPr>
        <w:spacing w:after="240"/>
        <w:jc w:val="both"/>
        <w:rPr>
          <w:rFonts w:ascii="Arial" w:hAnsi="Arial" w:cs="Arial"/>
          <w:sz w:val="22"/>
          <w:szCs w:val="22"/>
        </w:rPr>
      </w:pPr>
      <w:r w:rsidRPr="00221E9D">
        <w:rPr>
          <w:rFonts w:ascii="Arial" w:hAnsi="Arial" w:cs="Arial"/>
          <w:sz w:val="22"/>
          <w:szCs w:val="22"/>
        </w:rPr>
        <w:t>New verandah valances, brackets and other features not applicable to the elaboration, architectural style, materials and construction of the building should be avoided.</w:t>
      </w:r>
    </w:p>
    <w:p w14:paraId="69F9652C" w14:textId="77777777" w:rsidR="0063147C" w:rsidRDefault="0063147C" w:rsidP="0063147C">
      <w:pPr>
        <w:spacing w:after="240" w:line="240" w:lineRule="auto"/>
        <w:jc w:val="both"/>
        <w:rPr>
          <w:rFonts w:ascii="Arial" w:hAnsi="Arial" w:cs="Arial"/>
          <w:sz w:val="22"/>
          <w:szCs w:val="22"/>
        </w:rPr>
      </w:pPr>
      <w:r w:rsidRPr="00221E9D">
        <w:rPr>
          <w:rFonts w:ascii="Arial" w:hAnsi="Arial" w:cs="Arial"/>
          <w:sz w:val="22"/>
          <w:szCs w:val="22"/>
        </w:rPr>
        <w:t>Repairing rather than completely replacing an existing significant timber verandah floor should be considered in the first instance.</w:t>
      </w:r>
    </w:p>
    <w:p w14:paraId="08D30BBC" w14:textId="77777777" w:rsidR="0063147C" w:rsidRPr="00221E9D" w:rsidRDefault="0063147C" w:rsidP="0063147C">
      <w:pPr>
        <w:pStyle w:val="Heading1"/>
        <w:spacing w:before="400" w:after="200"/>
        <w:rPr>
          <w:rFonts w:ascii="Arial" w:hAnsi="Arial" w:cs="Arial"/>
          <w:caps w:val="0"/>
          <w:szCs w:val="22"/>
        </w:rPr>
      </w:pPr>
      <w:r w:rsidRPr="00221E9D">
        <w:rPr>
          <w:rFonts w:ascii="Arial" w:hAnsi="Arial" w:cs="Arial"/>
          <w:caps w:val="0"/>
          <w:szCs w:val="22"/>
        </w:rPr>
        <w:t>Matters for Consideration</w:t>
      </w:r>
    </w:p>
    <w:p w14:paraId="2375DEA0" w14:textId="77777777" w:rsidR="0063147C" w:rsidRPr="005E7252" w:rsidRDefault="0063147C" w:rsidP="0063147C">
      <w:pPr>
        <w:spacing w:after="240"/>
        <w:jc w:val="both"/>
        <w:rPr>
          <w:rFonts w:ascii="Arial" w:hAnsi="Arial" w:cs="Arial"/>
          <w:iCs/>
          <w:sz w:val="22"/>
          <w:szCs w:val="22"/>
        </w:rPr>
      </w:pPr>
      <w:r w:rsidRPr="005E7252">
        <w:rPr>
          <w:rFonts w:ascii="Arial" w:hAnsi="Arial" w:cs="Arial"/>
          <w:iCs/>
          <w:sz w:val="22"/>
          <w:szCs w:val="22"/>
        </w:rPr>
        <w:t xml:space="preserve">Often, verandah floors will not be identified in a statement of significance and yet that form a key part of the front appearance of a building. In some instances, the boards may have rotted at the ends where they overhang at the front. These rotted ends could be removed only and new boards of the same, timber, profile, size and joint could be cut in as replacements. </w:t>
      </w:r>
    </w:p>
    <w:p w14:paraId="7BEA63DB" w14:textId="77777777" w:rsidR="0063147C" w:rsidRPr="005E7252" w:rsidRDefault="0063147C" w:rsidP="0063147C">
      <w:pPr>
        <w:spacing w:after="240"/>
        <w:jc w:val="both"/>
        <w:rPr>
          <w:rFonts w:ascii="Arial" w:hAnsi="Arial" w:cs="Arial"/>
          <w:iCs/>
          <w:sz w:val="22"/>
          <w:szCs w:val="22"/>
        </w:rPr>
      </w:pPr>
      <w:r w:rsidRPr="005E7252">
        <w:rPr>
          <w:rFonts w:ascii="Arial" w:hAnsi="Arial" w:cs="Arial"/>
          <w:iCs/>
          <w:sz w:val="22"/>
          <w:szCs w:val="22"/>
        </w:rPr>
        <w:t>Where a timber verandah floor is being replaced or reinstated, the timber species, board orientation, jointing method and overhang at the front will need to be documented. A harder timber species may be more appropriate for verandahs, given the high volumes of traffic and potential for high point loads that may cause indentations. Commonly, tongue and groove joints were used, with the boards laid directly onto timber bearers. In some cases, the boards were laid parallel with the building’s wall plane, but boards perpendicular to the wall plane were most common. Large overhangs should be avoided.</w:t>
      </w:r>
    </w:p>
    <w:p w14:paraId="6A05D08D" w14:textId="77777777" w:rsidR="0063147C" w:rsidRPr="005E7252" w:rsidRDefault="0063147C" w:rsidP="00153791">
      <w:pPr>
        <w:spacing w:after="120"/>
        <w:jc w:val="both"/>
        <w:rPr>
          <w:rFonts w:ascii="Arial" w:hAnsi="Arial" w:cs="Arial"/>
          <w:iCs/>
          <w:sz w:val="22"/>
          <w:szCs w:val="22"/>
        </w:rPr>
      </w:pPr>
      <w:r w:rsidRPr="005E7252">
        <w:rPr>
          <w:rFonts w:ascii="Arial" w:hAnsi="Arial" w:cs="Arial"/>
          <w:iCs/>
          <w:sz w:val="22"/>
          <w:szCs w:val="22"/>
        </w:rPr>
        <w:t>Where the verandah floor is tiled, missing tiles should be replaced to match existing as close as possible. Damaged tiles should be retained and re-set. Grouting should match existing original grout in strength, texture, colour and composition. The substrate upon which the tiles are laid should match the original.</w:t>
      </w:r>
    </w:p>
    <w:p w14:paraId="7C1EA522" w14:textId="77777777" w:rsidR="0063147C" w:rsidRPr="00221E9D" w:rsidRDefault="0063147C" w:rsidP="0063147C">
      <w:pPr>
        <w:spacing w:line="260" w:lineRule="atLeast"/>
        <w:rPr>
          <w:rFonts w:ascii="Arial" w:hAnsi="Arial" w:cs="Arial"/>
          <w:sz w:val="22"/>
          <w:szCs w:val="22"/>
        </w:rPr>
      </w:pPr>
      <w:r w:rsidRPr="00221E9D">
        <w:rPr>
          <w:rFonts w:ascii="Arial" w:hAnsi="Arial" w:cs="Arial"/>
          <w:sz w:val="22"/>
          <w:szCs w:val="22"/>
        </w:rPr>
        <w:br w:type="page"/>
      </w:r>
    </w:p>
    <w:p w14:paraId="3EB2097B" w14:textId="77777777" w:rsidR="0063147C" w:rsidRPr="00221E9D" w:rsidRDefault="0063147C" w:rsidP="0063147C">
      <w:pPr>
        <w:rPr>
          <w:rFonts w:ascii="Arial" w:hAnsi="Arial" w:cs="Arial"/>
          <w:sz w:val="22"/>
          <w:szCs w:val="22"/>
        </w:rPr>
      </w:pPr>
    </w:p>
    <w:p w14:paraId="4F227E89" w14:textId="77777777" w:rsidR="0063147C" w:rsidRPr="00D735D4" w:rsidRDefault="0063147C" w:rsidP="0063147C">
      <w:pPr>
        <w:pStyle w:val="Heading1"/>
        <w:spacing w:before="400" w:after="200"/>
        <w:jc w:val="both"/>
        <w:rPr>
          <w:rFonts w:ascii="Arial" w:hAnsi="Arial" w:cs="Arial"/>
          <w:caps w:val="0"/>
          <w:szCs w:val="22"/>
        </w:rPr>
      </w:pPr>
      <w:r w:rsidRPr="00D735D4">
        <w:rPr>
          <w:rFonts w:ascii="Arial" w:hAnsi="Arial" w:cs="Arial"/>
          <w:caps w:val="0"/>
          <w:szCs w:val="22"/>
        </w:rPr>
        <w:t>References</w:t>
      </w:r>
    </w:p>
    <w:p w14:paraId="795D3937"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i/>
          <w:sz w:val="22"/>
          <w:szCs w:val="22"/>
        </w:rPr>
        <w:t>Cleaning Masonry</w:t>
      </w:r>
      <w:r w:rsidRPr="00221E9D">
        <w:rPr>
          <w:rFonts w:ascii="Arial" w:hAnsi="Arial" w:cs="Arial"/>
          <w:sz w:val="22"/>
          <w:szCs w:val="22"/>
        </w:rPr>
        <w:t>, Technical Leaflet, Heritage Victoria for the Heritage Council of Victoria, Melbourne, 2001.</w:t>
      </w:r>
    </w:p>
    <w:p w14:paraId="0868DEF5"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i/>
          <w:sz w:val="22"/>
          <w:szCs w:val="22"/>
        </w:rPr>
        <w:t>Corrugated Roofing</w:t>
      </w:r>
      <w:r w:rsidRPr="00221E9D">
        <w:rPr>
          <w:rFonts w:ascii="Arial" w:hAnsi="Arial" w:cs="Arial"/>
          <w:sz w:val="22"/>
          <w:szCs w:val="22"/>
        </w:rPr>
        <w:t>, Technical Leaflet, Heritage Victoria for the Heritage Council of Victoria, Melbourne, 2001.</w:t>
      </w:r>
    </w:p>
    <w:p w14:paraId="3A3E06BD"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i/>
          <w:sz w:val="22"/>
          <w:szCs w:val="22"/>
        </w:rPr>
        <w:t>Documenting Maintenance and Repair Works</w:t>
      </w:r>
      <w:r w:rsidRPr="00221E9D">
        <w:rPr>
          <w:rFonts w:ascii="Arial" w:hAnsi="Arial" w:cs="Arial"/>
          <w:sz w:val="22"/>
          <w:szCs w:val="22"/>
        </w:rPr>
        <w:t>, Technical Leaflet, Heritage Victoria for the Heritage Council of Victoria, Melbourne, 2001.</w:t>
      </w:r>
    </w:p>
    <w:p w14:paraId="7895612A"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sz w:val="22"/>
          <w:szCs w:val="22"/>
        </w:rPr>
        <w:t xml:space="preserve">Ellsmore, D., </w:t>
      </w:r>
      <w:r w:rsidRPr="00221E9D">
        <w:rPr>
          <w:rFonts w:ascii="Arial" w:hAnsi="Arial" w:cs="Arial"/>
          <w:i/>
          <w:sz w:val="22"/>
          <w:szCs w:val="22"/>
        </w:rPr>
        <w:t>Achieving high quality building conservation outcomes: A basic guide for local government and heritage building owners</w:t>
      </w:r>
      <w:r w:rsidRPr="00221E9D">
        <w:rPr>
          <w:rFonts w:ascii="Arial" w:hAnsi="Arial" w:cs="Arial"/>
          <w:sz w:val="22"/>
          <w:szCs w:val="22"/>
        </w:rPr>
        <w:t>, Technical Leaflet, Department of Planning &amp; Community Development, Melbourne, 2009.</w:t>
      </w:r>
    </w:p>
    <w:p w14:paraId="15BD86AA"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sz w:val="22"/>
          <w:szCs w:val="22"/>
        </w:rPr>
        <w:t xml:space="preserve">Evans, I., </w:t>
      </w:r>
      <w:r w:rsidRPr="00221E9D">
        <w:rPr>
          <w:rFonts w:ascii="Arial" w:hAnsi="Arial" w:cs="Arial"/>
          <w:i/>
          <w:sz w:val="22"/>
          <w:szCs w:val="22"/>
        </w:rPr>
        <w:t>Caring for Old Houses</w:t>
      </w:r>
      <w:r w:rsidRPr="00221E9D">
        <w:rPr>
          <w:rFonts w:ascii="Arial" w:hAnsi="Arial" w:cs="Arial"/>
          <w:sz w:val="22"/>
          <w:szCs w:val="22"/>
        </w:rPr>
        <w:t>, The Flannel Flower Press, Mullumbimby, 1998.</w:t>
      </w:r>
    </w:p>
    <w:p w14:paraId="22E3EBB8"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i/>
          <w:sz w:val="22"/>
          <w:szCs w:val="22"/>
        </w:rPr>
        <w:t>Guidelines for the Assessment of Heritage Planning Applications</w:t>
      </w:r>
      <w:r w:rsidRPr="00221E9D">
        <w:rPr>
          <w:rFonts w:ascii="Arial" w:hAnsi="Arial" w:cs="Arial"/>
          <w:sz w:val="22"/>
          <w:szCs w:val="22"/>
        </w:rPr>
        <w:t>, draft, Heritage Victoria, 2000.</w:t>
      </w:r>
    </w:p>
    <w:p w14:paraId="1CD6C205"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sz w:val="22"/>
          <w:szCs w:val="22"/>
        </w:rPr>
        <w:t xml:space="preserve">Lardner, H., </w:t>
      </w:r>
      <w:r w:rsidRPr="00221E9D">
        <w:rPr>
          <w:rFonts w:ascii="Arial" w:hAnsi="Arial" w:cs="Arial"/>
          <w:i/>
          <w:sz w:val="22"/>
          <w:szCs w:val="22"/>
        </w:rPr>
        <w:t>Caring for Historic Buildings: Guidelines for Alterations and Additions to Historic Buildings</w:t>
      </w:r>
      <w:r w:rsidRPr="00221E9D">
        <w:rPr>
          <w:rFonts w:ascii="Arial" w:hAnsi="Arial" w:cs="Arial"/>
          <w:sz w:val="22"/>
          <w:szCs w:val="22"/>
        </w:rPr>
        <w:t>, Historic Buildings Council, Melbourne, 1993.</w:t>
      </w:r>
    </w:p>
    <w:p w14:paraId="75DDFAED"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sz w:val="22"/>
          <w:szCs w:val="22"/>
        </w:rPr>
        <w:t xml:space="preserve">Lewis, M. (ed.)., </w:t>
      </w:r>
      <w:r w:rsidRPr="00221E9D">
        <w:rPr>
          <w:rFonts w:ascii="Arial" w:hAnsi="Arial" w:cs="Arial"/>
          <w:i/>
          <w:sz w:val="22"/>
          <w:szCs w:val="22"/>
        </w:rPr>
        <w:t>Victorian Stucco</w:t>
      </w:r>
      <w:r w:rsidRPr="00221E9D">
        <w:rPr>
          <w:rFonts w:ascii="Arial" w:hAnsi="Arial" w:cs="Arial"/>
          <w:sz w:val="22"/>
          <w:szCs w:val="22"/>
        </w:rPr>
        <w:t>, Technical Guide, Heritage Council of Victoria, Melbourne, 2011.</w:t>
      </w:r>
    </w:p>
    <w:p w14:paraId="5FF05061"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i/>
          <w:sz w:val="22"/>
          <w:szCs w:val="22"/>
        </w:rPr>
        <w:t>Metalwork</w:t>
      </w:r>
      <w:r w:rsidRPr="00221E9D">
        <w:rPr>
          <w:rFonts w:ascii="Arial" w:hAnsi="Arial" w:cs="Arial"/>
          <w:sz w:val="22"/>
          <w:szCs w:val="22"/>
        </w:rPr>
        <w:t>, Technical Leaflet, Heritage Victoria for the Heritage Council of Victoria, n.d.</w:t>
      </w:r>
    </w:p>
    <w:p w14:paraId="214883DD"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i/>
          <w:sz w:val="22"/>
          <w:szCs w:val="22"/>
        </w:rPr>
        <w:t>Timber Repairs</w:t>
      </w:r>
      <w:r w:rsidRPr="00221E9D">
        <w:rPr>
          <w:rFonts w:ascii="Arial" w:hAnsi="Arial" w:cs="Arial"/>
          <w:sz w:val="22"/>
          <w:szCs w:val="22"/>
        </w:rPr>
        <w:t>, Technical Leaflet, Department of Planning &amp; Community Development, Melbourne, 2008.</w:t>
      </w:r>
    </w:p>
    <w:p w14:paraId="75F77AF7"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i/>
          <w:sz w:val="22"/>
          <w:szCs w:val="22"/>
        </w:rPr>
        <w:t>Repair of Tongue and Groove Floorboards</w:t>
      </w:r>
      <w:r w:rsidRPr="00221E9D">
        <w:rPr>
          <w:rFonts w:ascii="Arial" w:hAnsi="Arial" w:cs="Arial"/>
          <w:sz w:val="22"/>
          <w:szCs w:val="22"/>
        </w:rPr>
        <w:t>, Department of Planning &amp; Community Development, Melbourne, 2008.</w:t>
      </w:r>
    </w:p>
    <w:p w14:paraId="32355316"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i/>
          <w:sz w:val="22"/>
          <w:szCs w:val="22"/>
        </w:rPr>
        <w:t>Slating, Tiling and Roof Plumbing</w:t>
      </w:r>
      <w:r w:rsidRPr="00221E9D">
        <w:rPr>
          <w:rFonts w:ascii="Arial" w:hAnsi="Arial" w:cs="Arial"/>
          <w:sz w:val="22"/>
          <w:szCs w:val="22"/>
        </w:rPr>
        <w:t>, Technical Leaflet, Heritage Victoria for the Heritage Council of Victoria, n.d.</w:t>
      </w:r>
    </w:p>
    <w:p w14:paraId="42C1487C"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sz w:val="22"/>
          <w:szCs w:val="22"/>
        </w:rPr>
        <w:t xml:space="preserve">Young, D., </w:t>
      </w:r>
      <w:r w:rsidRPr="00221E9D">
        <w:rPr>
          <w:rFonts w:ascii="Arial" w:hAnsi="Arial" w:cs="Arial"/>
          <w:i/>
          <w:sz w:val="22"/>
          <w:szCs w:val="22"/>
        </w:rPr>
        <w:t>Salt attack and rising damp: A guide to salt damp in historic and older buildings</w:t>
      </w:r>
      <w:r w:rsidRPr="00221E9D">
        <w:rPr>
          <w:rFonts w:ascii="Arial" w:hAnsi="Arial" w:cs="Arial"/>
          <w:sz w:val="22"/>
          <w:szCs w:val="22"/>
        </w:rPr>
        <w:t>, Technical Guide, Heritage Council of NSW, Heritage Victoria, South Australian Dept. for Environment and Heritage, Adelaide City Council, and David Young, 2008.</w:t>
      </w:r>
    </w:p>
    <w:p w14:paraId="0C06A08E"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sz w:val="22"/>
          <w:szCs w:val="22"/>
        </w:rPr>
        <w:t xml:space="preserve">Young, D. &amp; Long, E., </w:t>
      </w:r>
      <w:r w:rsidRPr="00221E9D">
        <w:rPr>
          <w:rFonts w:ascii="Arial" w:hAnsi="Arial" w:cs="Arial"/>
          <w:i/>
          <w:sz w:val="22"/>
          <w:szCs w:val="22"/>
        </w:rPr>
        <w:t>Repointing Mortar Joints – Some Important Points</w:t>
      </w:r>
      <w:r w:rsidRPr="00221E9D">
        <w:rPr>
          <w:rFonts w:ascii="Arial" w:hAnsi="Arial" w:cs="Arial"/>
          <w:sz w:val="22"/>
          <w:szCs w:val="22"/>
        </w:rPr>
        <w:t>, Technical Note, revised edition., Heritage Victoria, Heritage Office NSW., Department of Planning, and the Heritage Branch of the South Australian Department for Environmental and Heritage, 2007.</w:t>
      </w:r>
    </w:p>
    <w:p w14:paraId="754A2373" w14:textId="77777777" w:rsidR="0063147C" w:rsidRPr="00221E9D" w:rsidRDefault="0063147C" w:rsidP="0063147C">
      <w:pPr>
        <w:pStyle w:val="CharChar1Char"/>
        <w:spacing w:line="240" w:lineRule="auto"/>
        <w:jc w:val="both"/>
        <w:rPr>
          <w:rFonts w:ascii="Arial" w:hAnsi="Arial" w:cs="Arial"/>
          <w:sz w:val="22"/>
          <w:szCs w:val="22"/>
        </w:rPr>
      </w:pPr>
      <w:r w:rsidRPr="00221E9D">
        <w:rPr>
          <w:rFonts w:ascii="Arial" w:hAnsi="Arial" w:cs="Arial"/>
          <w:i/>
          <w:sz w:val="22"/>
          <w:szCs w:val="22"/>
        </w:rPr>
        <w:t>What house is that?  A Guide to Victoria’s Housing Styles</w:t>
      </w:r>
      <w:r w:rsidRPr="00221E9D">
        <w:rPr>
          <w:rFonts w:ascii="Arial" w:hAnsi="Arial" w:cs="Arial"/>
          <w:sz w:val="22"/>
          <w:szCs w:val="22"/>
        </w:rPr>
        <w:t>, 3</w:t>
      </w:r>
      <w:r w:rsidRPr="00221E9D">
        <w:rPr>
          <w:rFonts w:ascii="Arial" w:hAnsi="Arial" w:cs="Arial"/>
          <w:sz w:val="22"/>
          <w:szCs w:val="22"/>
          <w:vertAlign w:val="superscript"/>
        </w:rPr>
        <w:t>rd</w:t>
      </w:r>
      <w:r w:rsidRPr="00221E9D">
        <w:rPr>
          <w:rFonts w:ascii="Arial" w:hAnsi="Arial" w:cs="Arial"/>
          <w:sz w:val="22"/>
          <w:szCs w:val="22"/>
        </w:rPr>
        <w:t xml:space="preserve"> edition., Heritage Council of Victoria, Melbourne, 2011.</w:t>
      </w:r>
    </w:p>
    <w:p w14:paraId="383EF800" w14:textId="77777777" w:rsidR="0063147C" w:rsidRPr="00221E9D" w:rsidRDefault="0063147C" w:rsidP="0063147C">
      <w:pPr>
        <w:pStyle w:val="CharChar1Char"/>
        <w:spacing w:after="0" w:line="240" w:lineRule="auto"/>
        <w:jc w:val="both"/>
        <w:rPr>
          <w:rFonts w:ascii="Arial" w:hAnsi="Arial" w:cs="Arial"/>
          <w:sz w:val="22"/>
          <w:szCs w:val="22"/>
        </w:rPr>
      </w:pPr>
      <w:r w:rsidRPr="00221E9D">
        <w:rPr>
          <w:rFonts w:ascii="Arial" w:hAnsi="Arial" w:cs="Arial"/>
          <w:i/>
          <w:sz w:val="22"/>
          <w:szCs w:val="22"/>
        </w:rPr>
        <w:t>Wood Preservation</w:t>
      </w:r>
      <w:r w:rsidRPr="00221E9D">
        <w:rPr>
          <w:rFonts w:ascii="Arial" w:hAnsi="Arial" w:cs="Arial"/>
          <w:sz w:val="22"/>
          <w:szCs w:val="22"/>
        </w:rPr>
        <w:t>, Technical Leaflet, Heritage Victoria for the Heritage Council of Victoria, Melbourne, 2001.</w:t>
      </w:r>
    </w:p>
    <w:p w14:paraId="1712EDAA" w14:textId="4F0A72CD" w:rsidR="00DF1333" w:rsidRPr="00221E9D" w:rsidRDefault="00DF1333" w:rsidP="003219D2">
      <w:pPr>
        <w:spacing w:after="240"/>
        <w:jc w:val="both"/>
        <w:rPr>
          <w:rFonts w:ascii="Arial" w:hAnsi="Arial" w:cs="Arial"/>
          <w:sz w:val="22"/>
          <w:szCs w:val="22"/>
        </w:rPr>
      </w:pPr>
    </w:p>
    <w:sectPr w:rsidR="00DF1333" w:rsidRPr="00221E9D" w:rsidSect="005D65D1">
      <w:headerReference w:type="even" r:id="rId21"/>
      <w:headerReference w:type="default" r:id="rId22"/>
      <w:footerReference w:type="even" r:id="rId23"/>
      <w:footerReference w:type="default" r:id="rId24"/>
      <w:headerReference w:type="first" r:id="rId25"/>
      <w:footerReference w:type="first" r:id="rId26"/>
      <w:type w:val="continuous"/>
      <w:pgSz w:w="11907" w:h="16840" w:code="9"/>
      <w:pgMar w:top="822" w:right="567" w:bottom="1276"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9DBE1" w14:textId="77777777" w:rsidR="00E75C24" w:rsidRDefault="00E75C24" w:rsidP="00CE604F">
      <w:r>
        <w:separator/>
      </w:r>
    </w:p>
    <w:p w14:paraId="0E2503A9" w14:textId="77777777" w:rsidR="00E75C24" w:rsidRDefault="00E75C24" w:rsidP="00CE604F"/>
    <w:p w14:paraId="3D0A115C" w14:textId="77777777" w:rsidR="00E75C24" w:rsidRDefault="00E75C24" w:rsidP="00CE604F"/>
    <w:p w14:paraId="4648BB48" w14:textId="77777777" w:rsidR="00E75C24" w:rsidRDefault="00E75C24" w:rsidP="00CE604F"/>
  </w:endnote>
  <w:endnote w:type="continuationSeparator" w:id="0">
    <w:p w14:paraId="5ABAB718" w14:textId="77777777" w:rsidR="00E75C24" w:rsidRDefault="00E75C24" w:rsidP="00CE604F">
      <w:r>
        <w:continuationSeparator/>
      </w:r>
    </w:p>
    <w:p w14:paraId="480EEC35" w14:textId="77777777" w:rsidR="00E75C24" w:rsidRDefault="00E75C24" w:rsidP="00CE604F"/>
    <w:p w14:paraId="7F889AF2" w14:textId="77777777" w:rsidR="00E75C24" w:rsidRDefault="00E75C24" w:rsidP="00CE604F"/>
    <w:p w14:paraId="36AD331F" w14:textId="77777777" w:rsidR="00E75C24" w:rsidRDefault="00E75C24" w:rsidP="00CE6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Bold r:id="rId1" w:subsetted="1" w:fontKey="{637F5620-FFF4-4ED3-863F-928F84F0424A}"/>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CD5B" w14:textId="77777777" w:rsidR="006A2106" w:rsidRDefault="006A21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A59B" w14:textId="34D170BF" w:rsidR="009D1112" w:rsidRPr="00066A4E" w:rsidRDefault="009D1112" w:rsidP="009D1112">
    <w:pPr>
      <w:pStyle w:val="Footer"/>
      <w:tabs>
        <w:tab w:val="center" w:pos="6663"/>
        <w:tab w:val="right" w:pos="10632"/>
      </w:tabs>
      <w:rPr>
        <w:rFonts w:ascii="Arial" w:hAnsi="Arial" w:cs="Arial"/>
      </w:rPr>
    </w:pPr>
    <w:r>
      <w:rPr>
        <w:noProof/>
      </w:rPr>
      <w:drawing>
        <wp:anchor distT="0" distB="0" distL="114300" distR="114300" simplePos="0" relativeHeight="251659264" behindDoc="1" locked="0" layoutInCell="1" allowOverlap="1" wp14:anchorId="4A6FF51F" wp14:editId="441B9442">
          <wp:simplePos x="0" y="0"/>
          <wp:positionH relativeFrom="page">
            <wp:posOffset>2540</wp:posOffset>
          </wp:positionH>
          <wp:positionV relativeFrom="page">
            <wp:posOffset>9972828</wp:posOffset>
          </wp:positionV>
          <wp:extent cx="7553960" cy="666750"/>
          <wp:effectExtent l="0" t="0" r="0" b="0"/>
          <wp:wrapNone/>
          <wp:docPr id="5" name="www.geelongaustralia.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1">
                    <a:extLst>
                      <a:ext uri="{28A0092B-C50C-407E-A947-70E740481C1C}">
                        <a14:useLocalDpi xmlns:a14="http://schemas.microsoft.com/office/drawing/2010/main" val="0"/>
                      </a:ext>
                    </a:extLst>
                  </a:blip>
                  <a:srcRect b="16134"/>
                  <a:stretch/>
                </pic:blipFill>
                <pic:spPr bwMode="auto">
                  <a:xfrm>
                    <a:off x="0" y="0"/>
                    <a:ext cx="7553960" cy="666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rPr>
      <w:tab/>
    </w:r>
    <w:r w:rsidR="00EB706A">
      <w:rPr>
        <w:rFonts w:ascii="Arial" w:hAnsi="Arial" w:cs="Arial"/>
      </w:rPr>
      <w:t>Repairs</w:t>
    </w:r>
    <w:r>
      <w:rPr>
        <w:rFonts w:ascii="Arial" w:hAnsi="Arial" w:cs="Arial"/>
      </w:rPr>
      <w:tab/>
      <w:t>July</w:t>
    </w:r>
    <w:r w:rsidRPr="00066A4E">
      <w:rPr>
        <w:rFonts w:ascii="Arial" w:hAnsi="Arial" w:cs="Arial"/>
      </w:rPr>
      <w:t xml:space="preserve"> 2023</w:t>
    </w:r>
  </w:p>
  <w:p w14:paraId="779CA4CA" w14:textId="45B86E58" w:rsidR="00387230" w:rsidRPr="00DA02EF" w:rsidRDefault="009D1112" w:rsidP="00DA02EF">
    <w:pPr>
      <w:pStyle w:val="Footer"/>
      <w:tabs>
        <w:tab w:val="center" w:pos="6663"/>
        <w:tab w:val="right" w:pos="10632"/>
      </w:tabs>
      <w:rPr>
        <w:rFonts w:ascii="Arial" w:hAnsi="Arial" w:cs="Arial"/>
      </w:rPr>
    </w:pPr>
    <w:r>
      <w:rPr>
        <w:rFonts w:ascii="Arial" w:hAnsi="Arial" w:cs="Arial"/>
      </w:rPr>
      <w:tab/>
      <w:t>Heritage Information Sheet</w:t>
    </w:r>
    <w:r>
      <w:rPr>
        <w:rFonts w:ascii="Arial" w:hAnsi="Arial" w:cs="Arial"/>
      </w:rPr>
      <w:tab/>
    </w:r>
    <w:sdt>
      <w:sdtPr>
        <w:rPr>
          <w:rFonts w:ascii="Arial" w:hAnsi="Arial" w:cs="Arial"/>
        </w:rPr>
        <w:id w:val="511498942"/>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r w:rsidRPr="00066A4E">
              <w:rPr>
                <w:rFonts w:ascii="Arial" w:hAnsi="Arial" w:cs="Arial"/>
              </w:rPr>
              <w:t xml:space="preserve">Page </w:t>
            </w:r>
            <w:r w:rsidRPr="00066A4E">
              <w:rPr>
                <w:rFonts w:ascii="Arial" w:hAnsi="Arial" w:cs="Arial"/>
              </w:rPr>
              <w:fldChar w:fldCharType="begin"/>
            </w:r>
            <w:r w:rsidRPr="00066A4E">
              <w:rPr>
                <w:rFonts w:ascii="Arial" w:hAnsi="Arial" w:cs="Arial"/>
              </w:rPr>
              <w:instrText xml:space="preserve"> PAGE </w:instrText>
            </w:r>
            <w:r w:rsidRPr="00066A4E">
              <w:rPr>
                <w:rFonts w:ascii="Arial" w:hAnsi="Arial" w:cs="Arial"/>
              </w:rPr>
              <w:fldChar w:fldCharType="separate"/>
            </w:r>
            <w:r>
              <w:rPr>
                <w:rFonts w:ascii="Arial" w:hAnsi="Arial" w:cs="Arial"/>
              </w:rPr>
              <w:t>1</w:t>
            </w:r>
            <w:r w:rsidRPr="00066A4E">
              <w:rPr>
                <w:rFonts w:ascii="Arial" w:hAnsi="Arial" w:cs="Arial"/>
              </w:rPr>
              <w:fldChar w:fldCharType="end"/>
            </w:r>
            <w:r w:rsidRPr="00066A4E">
              <w:rPr>
                <w:rFonts w:ascii="Arial" w:hAnsi="Arial" w:cs="Arial"/>
              </w:rPr>
              <w:t xml:space="preserve"> of </w:t>
            </w:r>
            <w:r w:rsidRPr="00066A4E">
              <w:rPr>
                <w:rFonts w:ascii="Arial" w:hAnsi="Arial" w:cs="Arial"/>
              </w:rPr>
              <w:fldChar w:fldCharType="begin"/>
            </w:r>
            <w:r w:rsidRPr="00066A4E">
              <w:rPr>
                <w:rFonts w:ascii="Arial" w:hAnsi="Arial" w:cs="Arial"/>
              </w:rPr>
              <w:instrText xml:space="preserve"> NUMPAGES  </w:instrText>
            </w:r>
            <w:r w:rsidRPr="00066A4E">
              <w:rPr>
                <w:rFonts w:ascii="Arial" w:hAnsi="Arial" w:cs="Arial"/>
              </w:rPr>
              <w:fldChar w:fldCharType="separate"/>
            </w:r>
            <w:r>
              <w:rPr>
                <w:rFonts w:ascii="Arial" w:hAnsi="Arial" w:cs="Arial"/>
              </w:rPr>
              <w:t>5</w:t>
            </w:r>
            <w:r w:rsidRPr="00066A4E">
              <w:rPr>
                <w:rFonts w:ascii="Arial" w:hAnsi="Arial" w:cs="Arial"/>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B6AE" w14:textId="77777777" w:rsidR="006A2106" w:rsidRDefault="006A2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08F35" w14:textId="77777777" w:rsidR="00E75C24" w:rsidRDefault="00E75C24" w:rsidP="00577E5A">
      <w:pPr>
        <w:pStyle w:val="Footer"/>
      </w:pPr>
    </w:p>
    <w:p w14:paraId="3562A405" w14:textId="77777777" w:rsidR="00E75C24" w:rsidRPr="00577E5A" w:rsidRDefault="00E75C24" w:rsidP="00577E5A">
      <w:pPr>
        <w:pStyle w:val="Footer"/>
      </w:pPr>
      <w:r>
        <w:separator/>
      </w:r>
    </w:p>
  </w:footnote>
  <w:footnote w:type="continuationSeparator" w:id="0">
    <w:p w14:paraId="0AE393C5" w14:textId="77777777" w:rsidR="00E75C24" w:rsidRDefault="00E75C24" w:rsidP="00CE604F">
      <w:r>
        <w:continuationSeparator/>
      </w:r>
    </w:p>
    <w:p w14:paraId="57A8AB81" w14:textId="77777777" w:rsidR="00E75C24" w:rsidRDefault="00E75C24" w:rsidP="00CE604F"/>
    <w:p w14:paraId="7CC863E1" w14:textId="77777777" w:rsidR="00E75C24" w:rsidRDefault="00E75C24" w:rsidP="00CE604F"/>
    <w:p w14:paraId="2EAC9DC9" w14:textId="77777777" w:rsidR="00E75C24" w:rsidRDefault="00E75C24" w:rsidP="00CE60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081E" w14:textId="77777777" w:rsidR="006A2106" w:rsidRDefault="006A2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F8AAC" w14:textId="77777777" w:rsidR="006A2106" w:rsidRDefault="006A21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1E190" w14:textId="77777777" w:rsidR="006A2106" w:rsidRDefault="006A21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B850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DAD6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F60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2C42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F22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477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4239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78C5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9" w15:restartNumberingAfterBreak="0">
    <w:nsid w:val="FFFFFF89"/>
    <w:multiLevelType w:val="singleLevel"/>
    <w:tmpl w:val="0E80C2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B4F94"/>
    <w:multiLevelType w:val="hybridMultilevel"/>
    <w:tmpl w:val="70D0582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1"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0E6B4C57"/>
    <w:multiLevelType w:val="hybridMultilevel"/>
    <w:tmpl w:val="C980E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BA0F51"/>
    <w:multiLevelType w:val="hybridMultilevel"/>
    <w:tmpl w:val="3BA82E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4AC302C"/>
    <w:multiLevelType w:val="hybridMultilevel"/>
    <w:tmpl w:val="6EDEA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1F93082A"/>
    <w:multiLevelType w:val="hybridMultilevel"/>
    <w:tmpl w:val="B2BEC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19614A"/>
    <w:multiLevelType w:val="hybridMultilevel"/>
    <w:tmpl w:val="3C8E5DD0"/>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9" w15:restartNumberingAfterBreak="0">
    <w:nsid w:val="2695669C"/>
    <w:multiLevelType w:val="hybridMultilevel"/>
    <w:tmpl w:val="673024D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0" w15:restartNumberingAfterBreak="0">
    <w:nsid w:val="29CF1CA2"/>
    <w:multiLevelType w:val="hybridMultilevel"/>
    <w:tmpl w:val="529ED95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1"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6A05992"/>
    <w:multiLevelType w:val="hybridMultilevel"/>
    <w:tmpl w:val="D2F20B5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4" w15:restartNumberingAfterBreak="0">
    <w:nsid w:val="386B2BDC"/>
    <w:multiLevelType w:val="multilevel"/>
    <w:tmpl w:val="8CF2BA86"/>
    <w:name w:val="Bullets"/>
    <w:lvl w:ilvl="0">
      <w:start w:val="1"/>
      <w:numFmt w:val="bullet"/>
      <w:pStyle w:val="ListBullet"/>
      <w:lvlText w:val=""/>
      <w:lvlJc w:val="left"/>
      <w:pPr>
        <w:tabs>
          <w:tab w:val="num" w:pos="284"/>
        </w:tabs>
        <w:ind w:left="284" w:hanging="284"/>
      </w:pPr>
      <w:rPr>
        <w:rFonts w:ascii="Symbol" w:hAnsi="Symbol" w:hint="default"/>
        <w:color w:val="auto"/>
        <w:position w:val="2"/>
        <w:sz w:val="20"/>
      </w:rPr>
    </w:lvl>
    <w:lvl w:ilvl="1">
      <w:start w:val="1"/>
      <w:numFmt w:val="bullet"/>
      <w:pStyle w:val="ListBullet2"/>
      <w:lvlText w:val="–"/>
      <w:lvlJc w:val="left"/>
      <w:pPr>
        <w:tabs>
          <w:tab w:val="num" w:pos="567"/>
        </w:tabs>
        <w:ind w:left="567" w:hanging="283"/>
      </w:pPr>
      <w:rPr>
        <w:rFonts w:ascii="Arial" w:hAnsi="Arial" w:hint="default"/>
        <w:color w:val="auto"/>
      </w:rPr>
    </w:lvl>
    <w:lvl w:ilvl="2">
      <w:start w:val="1"/>
      <w:numFmt w:val="bullet"/>
      <w:pStyle w:val="ListBullet3"/>
      <w:lvlText w:val="–"/>
      <w:lvlJc w:val="left"/>
      <w:pPr>
        <w:tabs>
          <w:tab w:val="num" w:pos="851"/>
        </w:tabs>
        <w:ind w:left="851" w:hanging="284"/>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3EFC1420"/>
    <w:multiLevelType w:val="hybridMultilevel"/>
    <w:tmpl w:val="9D30CB9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6" w15:restartNumberingAfterBreak="0">
    <w:nsid w:val="43111952"/>
    <w:multiLevelType w:val="multilevel"/>
    <w:tmpl w:val="31641E14"/>
    <w:lvl w:ilvl="0">
      <w:start w:val="1"/>
      <w:numFmt w:val="bullet"/>
      <w:lvlText w:val=""/>
      <w:lvlJc w:val="left"/>
      <w:pPr>
        <w:tabs>
          <w:tab w:val="num" w:pos="454"/>
        </w:tabs>
        <w:ind w:left="454" w:hanging="454"/>
      </w:pPr>
      <w:rPr>
        <w:rFonts w:ascii="Wingdings" w:hAnsi="Wingdings" w:hint="default"/>
        <w:b w:val="0"/>
        <w:i w:val="0"/>
        <w:position w:val="2"/>
        <w:sz w:val="14"/>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Wingdings" w:hAnsi="Wingdings" w:hint="default"/>
        <w:b w:val="0"/>
        <w:i w:val="0"/>
        <w:spacing w:val="0"/>
        <w:w w:val="100"/>
        <w:position w:val="3"/>
        <w:sz w:val="10"/>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44E011A4"/>
    <w:multiLevelType w:val="hybridMultilevel"/>
    <w:tmpl w:val="AAF89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077265"/>
    <w:multiLevelType w:val="hybridMultilevel"/>
    <w:tmpl w:val="A86A684E"/>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9" w15:restartNumberingAfterBreak="0">
    <w:nsid w:val="4B6827DF"/>
    <w:multiLevelType w:val="hybridMultilevel"/>
    <w:tmpl w:val="82243622"/>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48C3447"/>
    <w:multiLevelType w:val="hybridMultilevel"/>
    <w:tmpl w:val="AB765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E629A9"/>
    <w:multiLevelType w:val="hybridMultilevel"/>
    <w:tmpl w:val="CA943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A02C63"/>
    <w:multiLevelType w:val="hybridMultilevel"/>
    <w:tmpl w:val="3B1C0872"/>
    <w:lvl w:ilvl="0" w:tplc="7B26D71A">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9D5234"/>
    <w:multiLevelType w:val="hybridMultilevel"/>
    <w:tmpl w:val="A134BE3C"/>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E614A31"/>
    <w:multiLevelType w:val="hybridMultilevel"/>
    <w:tmpl w:val="F26EEA8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2B1531E"/>
    <w:multiLevelType w:val="hybridMultilevel"/>
    <w:tmpl w:val="BCA45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D32607"/>
    <w:multiLevelType w:val="hybridMultilevel"/>
    <w:tmpl w:val="043CD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num w:numId="1" w16cid:durableId="1571622087">
    <w:abstractNumId w:val="21"/>
  </w:num>
  <w:num w:numId="2" w16cid:durableId="1459952939">
    <w:abstractNumId w:val="12"/>
  </w:num>
  <w:num w:numId="3" w16cid:durableId="1095436818">
    <w:abstractNumId w:val="37"/>
  </w:num>
  <w:num w:numId="4" w16cid:durableId="121726802">
    <w:abstractNumId w:val="22"/>
  </w:num>
  <w:num w:numId="5" w16cid:durableId="430245487">
    <w:abstractNumId w:val="11"/>
  </w:num>
  <w:num w:numId="6" w16cid:durableId="209345100">
    <w:abstractNumId w:val="26"/>
  </w:num>
  <w:num w:numId="7" w16cid:durableId="587151750">
    <w:abstractNumId w:val="3"/>
  </w:num>
  <w:num w:numId="8" w16cid:durableId="835026488">
    <w:abstractNumId w:val="9"/>
  </w:num>
  <w:num w:numId="9" w16cid:durableId="2068260861">
    <w:abstractNumId w:val="8"/>
  </w:num>
  <w:num w:numId="10" w16cid:durableId="1383407196">
    <w:abstractNumId w:val="2"/>
  </w:num>
  <w:num w:numId="11" w16cid:durableId="1996908099">
    <w:abstractNumId w:val="16"/>
  </w:num>
  <w:num w:numId="12" w16cid:durableId="1903365345">
    <w:abstractNumId w:val="24"/>
  </w:num>
  <w:num w:numId="13" w16cid:durableId="1081829631">
    <w:abstractNumId w:val="7"/>
  </w:num>
  <w:num w:numId="14" w16cid:durableId="1419521401">
    <w:abstractNumId w:val="6"/>
  </w:num>
  <w:num w:numId="15" w16cid:durableId="876042678">
    <w:abstractNumId w:val="9"/>
    <w:lvlOverride w:ilvl="0">
      <w:startOverride w:val="1"/>
    </w:lvlOverride>
  </w:num>
  <w:num w:numId="16" w16cid:durableId="377554187">
    <w:abstractNumId w:val="24"/>
  </w:num>
  <w:num w:numId="17" w16cid:durableId="1817601911">
    <w:abstractNumId w:val="24"/>
  </w:num>
  <w:num w:numId="18" w16cid:durableId="1323505607">
    <w:abstractNumId w:val="24"/>
  </w:num>
  <w:num w:numId="19" w16cid:durableId="206189543">
    <w:abstractNumId w:val="16"/>
  </w:num>
  <w:num w:numId="20" w16cid:durableId="1545486473">
    <w:abstractNumId w:val="16"/>
  </w:num>
  <w:num w:numId="21" w16cid:durableId="1257902691">
    <w:abstractNumId w:val="16"/>
  </w:num>
  <w:num w:numId="22" w16cid:durableId="192115434">
    <w:abstractNumId w:val="5"/>
  </w:num>
  <w:num w:numId="23" w16cid:durableId="977224622">
    <w:abstractNumId w:val="4"/>
  </w:num>
  <w:num w:numId="24" w16cid:durableId="1346521839">
    <w:abstractNumId w:val="1"/>
  </w:num>
  <w:num w:numId="25" w16cid:durableId="994335423">
    <w:abstractNumId w:val="0"/>
  </w:num>
  <w:num w:numId="26" w16cid:durableId="576088550">
    <w:abstractNumId w:val="13"/>
  </w:num>
  <w:num w:numId="27" w16cid:durableId="1521626348">
    <w:abstractNumId w:val="32"/>
  </w:num>
  <w:num w:numId="28" w16cid:durableId="601108703">
    <w:abstractNumId w:val="14"/>
  </w:num>
  <w:num w:numId="29" w16cid:durableId="14576285">
    <w:abstractNumId w:val="34"/>
  </w:num>
  <w:num w:numId="30" w16cid:durableId="1702785004">
    <w:abstractNumId w:val="27"/>
  </w:num>
  <w:num w:numId="31" w16cid:durableId="988904564">
    <w:abstractNumId w:val="36"/>
  </w:num>
  <w:num w:numId="32" w16cid:durableId="1687487535">
    <w:abstractNumId w:val="29"/>
  </w:num>
  <w:num w:numId="33" w16cid:durableId="980042911">
    <w:abstractNumId w:val="30"/>
  </w:num>
  <w:num w:numId="34" w16cid:durableId="2130124788">
    <w:abstractNumId w:val="15"/>
  </w:num>
  <w:num w:numId="35" w16cid:durableId="1682972792">
    <w:abstractNumId w:val="18"/>
  </w:num>
  <w:num w:numId="36" w16cid:durableId="1280914327">
    <w:abstractNumId w:val="25"/>
  </w:num>
  <w:num w:numId="37" w16cid:durableId="1407802885">
    <w:abstractNumId w:val="19"/>
  </w:num>
  <w:num w:numId="38" w16cid:durableId="1503542705">
    <w:abstractNumId w:val="28"/>
  </w:num>
  <w:num w:numId="39" w16cid:durableId="677971079">
    <w:abstractNumId w:val="17"/>
  </w:num>
  <w:num w:numId="40" w16cid:durableId="1710031102">
    <w:abstractNumId w:val="33"/>
  </w:num>
  <w:num w:numId="41" w16cid:durableId="781073484">
    <w:abstractNumId w:val="20"/>
  </w:num>
  <w:num w:numId="42" w16cid:durableId="343634050">
    <w:abstractNumId w:val="23"/>
  </w:num>
  <w:num w:numId="43" w16cid:durableId="1071579708">
    <w:abstractNumId w:val="10"/>
  </w:num>
  <w:num w:numId="44" w16cid:durableId="966354968">
    <w:abstractNumId w:val="35"/>
  </w:num>
  <w:num w:numId="45" w16cid:durableId="968438951">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32E"/>
    <w:rsid w:val="0000578C"/>
    <w:rsid w:val="00010362"/>
    <w:rsid w:val="00012493"/>
    <w:rsid w:val="00014478"/>
    <w:rsid w:val="00015395"/>
    <w:rsid w:val="00015489"/>
    <w:rsid w:val="00021629"/>
    <w:rsid w:val="00024BC4"/>
    <w:rsid w:val="000340A9"/>
    <w:rsid w:val="00035765"/>
    <w:rsid w:val="00035E23"/>
    <w:rsid w:val="00041675"/>
    <w:rsid w:val="0004569C"/>
    <w:rsid w:val="000507F1"/>
    <w:rsid w:val="00051849"/>
    <w:rsid w:val="00056673"/>
    <w:rsid w:val="00066A4E"/>
    <w:rsid w:val="00072C00"/>
    <w:rsid w:val="00073EB4"/>
    <w:rsid w:val="000767E6"/>
    <w:rsid w:val="0008298C"/>
    <w:rsid w:val="000830C8"/>
    <w:rsid w:val="000846FE"/>
    <w:rsid w:val="000873E7"/>
    <w:rsid w:val="0009017F"/>
    <w:rsid w:val="0009559C"/>
    <w:rsid w:val="00095E19"/>
    <w:rsid w:val="00096387"/>
    <w:rsid w:val="000A0633"/>
    <w:rsid w:val="000A2E11"/>
    <w:rsid w:val="000A3472"/>
    <w:rsid w:val="000A73E8"/>
    <w:rsid w:val="000B22F7"/>
    <w:rsid w:val="000B5463"/>
    <w:rsid w:val="000C2502"/>
    <w:rsid w:val="000C4EFB"/>
    <w:rsid w:val="000C6B29"/>
    <w:rsid w:val="000C7DD4"/>
    <w:rsid w:val="000C7EED"/>
    <w:rsid w:val="000D01AA"/>
    <w:rsid w:val="000D2D2C"/>
    <w:rsid w:val="000D5716"/>
    <w:rsid w:val="000D6EA5"/>
    <w:rsid w:val="000D760A"/>
    <w:rsid w:val="000E0072"/>
    <w:rsid w:val="000E22A7"/>
    <w:rsid w:val="000E46A7"/>
    <w:rsid w:val="000E4D86"/>
    <w:rsid w:val="000F52FE"/>
    <w:rsid w:val="000F71C6"/>
    <w:rsid w:val="00100D1A"/>
    <w:rsid w:val="00100E9B"/>
    <w:rsid w:val="00103137"/>
    <w:rsid w:val="00104560"/>
    <w:rsid w:val="00105549"/>
    <w:rsid w:val="001110CB"/>
    <w:rsid w:val="0011365C"/>
    <w:rsid w:val="00113B8E"/>
    <w:rsid w:val="00114534"/>
    <w:rsid w:val="00115DBE"/>
    <w:rsid w:val="0011699E"/>
    <w:rsid w:val="001207DA"/>
    <w:rsid w:val="0012155D"/>
    <w:rsid w:val="00121968"/>
    <w:rsid w:val="0012356D"/>
    <w:rsid w:val="0012579D"/>
    <w:rsid w:val="00126586"/>
    <w:rsid w:val="00133810"/>
    <w:rsid w:val="001346A0"/>
    <w:rsid w:val="001359F2"/>
    <w:rsid w:val="0013729F"/>
    <w:rsid w:val="0015135C"/>
    <w:rsid w:val="00152D85"/>
    <w:rsid w:val="00153248"/>
    <w:rsid w:val="00153791"/>
    <w:rsid w:val="001546E5"/>
    <w:rsid w:val="0015593C"/>
    <w:rsid w:val="00156C63"/>
    <w:rsid w:val="001626E3"/>
    <w:rsid w:val="00162A63"/>
    <w:rsid w:val="00167354"/>
    <w:rsid w:val="00171B11"/>
    <w:rsid w:val="0017350B"/>
    <w:rsid w:val="00176807"/>
    <w:rsid w:val="00177905"/>
    <w:rsid w:val="001864B5"/>
    <w:rsid w:val="00191177"/>
    <w:rsid w:val="0019445B"/>
    <w:rsid w:val="001946CF"/>
    <w:rsid w:val="00194A12"/>
    <w:rsid w:val="00196728"/>
    <w:rsid w:val="001976D9"/>
    <w:rsid w:val="001A3E10"/>
    <w:rsid w:val="001B0978"/>
    <w:rsid w:val="001B0E1A"/>
    <w:rsid w:val="001B1BE4"/>
    <w:rsid w:val="001B2648"/>
    <w:rsid w:val="001B3939"/>
    <w:rsid w:val="001B547E"/>
    <w:rsid w:val="001C5632"/>
    <w:rsid w:val="001C59DB"/>
    <w:rsid w:val="001C6741"/>
    <w:rsid w:val="001C6D0A"/>
    <w:rsid w:val="001D4D5B"/>
    <w:rsid w:val="001D5BB2"/>
    <w:rsid w:val="001E2677"/>
    <w:rsid w:val="001E444C"/>
    <w:rsid w:val="001E5696"/>
    <w:rsid w:val="001E6DFB"/>
    <w:rsid w:val="001F09FA"/>
    <w:rsid w:val="001F427B"/>
    <w:rsid w:val="001F5141"/>
    <w:rsid w:val="001F6962"/>
    <w:rsid w:val="001F733E"/>
    <w:rsid w:val="0020096F"/>
    <w:rsid w:val="00201159"/>
    <w:rsid w:val="00202F6B"/>
    <w:rsid w:val="00203CE7"/>
    <w:rsid w:val="00203E0D"/>
    <w:rsid w:val="00206A5B"/>
    <w:rsid w:val="002108F8"/>
    <w:rsid w:val="00210D17"/>
    <w:rsid w:val="00211C5A"/>
    <w:rsid w:val="00214DB3"/>
    <w:rsid w:val="00215D8E"/>
    <w:rsid w:val="00215F5E"/>
    <w:rsid w:val="00217331"/>
    <w:rsid w:val="00220CCC"/>
    <w:rsid w:val="00221F39"/>
    <w:rsid w:val="00230CF5"/>
    <w:rsid w:val="0023174E"/>
    <w:rsid w:val="002345A8"/>
    <w:rsid w:val="0023504A"/>
    <w:rsid w:val="00240500"/>
    <w:rsid w:val="00240905"/>
    <w:rsid w:val="002417C3"/>
    <w:rsid w:val="002435F7"/>
    <w:rsid w:val="00244DE0"/>
    <w:rsid w:val="00250A74"/>
    <w:rsid w:val="00250D31"/>
    <w:rsid w:val="00260B9B"/>
    <w:rsid w:val="00265342"/>
    <w:rsid w:val="00271541"/>
    <w:rsid w:val="0027230C"/>
    <w:rsid w:val="002739C5"/>
    <w:rsid w:val="00275B0E"/>
    <w:rsid w:val="00275F9B"/>
    <w:rsid w:val="0027603E"/>
    <w:rsid w:val="00283B16"/>
    <w:rsid w:val="00284A44"/>
    <w:rsid w:val="002862A5"/>
    <w:rsid w:val="002877DD"/>
    <w:rsid w:val="002900A6"/>
    <w:rsid w:val="002914EA"/>
    <w:rsid w:val="002922E2"/>
    <w:rsid w:val="00294100"/>
    <w:rsid w:val="002A29EE"/>
    <w:rsid w:val="002A3E64"/>
    <w:rsid w:val="002A4D01"/>
    <w:rsid w:val="002A5BE4"/>
    <w:rsid w:val="002B3442"/>
    <w:rsid w:val="002C0A60"/>
    <w:rsid w:val="002C1515"/>
    <w:rsid w:val="002C3604"/>
    <w:rsid w:val="002C3D86"/>
    <w:rsid w:val="002C720A"/>
    <w:rsid w:val="002D1889"/>
    <w:rsid w:val="002D2753"/>
    <w:rsid w:val="002D2C04"/>
    <w:rsid w:val="002D627C"/>
    <w:rsid w:val="002E0EFD"/>
    <w:rsid w:val="002E1732"/>
    <w:rsid w:val="002E2D7B"/>
    <w:rsid w:val="002E6DAC"/>
    <w:rsid w:val="002F61B9"/>
    <w:rsid w:val="002F7AEA"/>
    <w:rsid w:val="002F7C55"/>
    <w:rsid w:val="003007A4"/>
    <w:rsid w:val="00301F58"/>
    <w:rsid w:val="00306FD8"/>
    <w:rsid w:val="00307A5C"/>
    <w:rsid w:val="00307C95"/>
    <w:rsid w:val="00312DB3"/>
    <w:rsid w:val="003162EE"/>
    <w:rsid w:val="00316A00"/>
    <w:rsid w:val="0031759E"/>
    <w:rsid w:val="003219D2"/>
    <w:rsid w:val="0032261C"/>
    <w:rsid w:val="003257AA"/>
    <w:rsid w:val="0033198A"/>
    <w:rsid w:val="00332582"/>
    <w:rsid w:val="0033295D"/>
    <w:rsid w:val="003357C3"/>
    <w:rsid w:val="0033654E"/>
    <w:rsid w:val="00340531"/>
    <w:rsid w:val="00343AF9"/>
    <w:rsid w:val="00343F6C"/>
    <w:rsid w:val="0035312E"/>
    <w:rsid w:val="003563BF"/>
    <w:rsid w:val="00361EB0"/>
    <w:rsid w:val="00362D65"/>
    <w:rsid w:val="00363D19"/>
    <w:rsid w:val="00363E56"/>
    <w:rsid w:val="00366F31"/>
    <w:rsid w:val="0037157C"/>
    <w:rsid w:val="00375CB8"/>
    <w:rsid w:val="003833CF"/>
    <w:rsid w:val="003853EB"/>
    <w:rsid w:val="00386225"/>
    <w:rsid w:val="00387230"/>
    <w:rsid w:val="003937FC"/>
    <w:rsid w:val="00395614"/>
    <w:rsid w:val="00395B75"/>
    <w:rsid w:val="003A10A9"/>
    <w:rsid w:val="003A1C7A"/>
    <w:rsid w:val="003A1DE6"/>
    <w:rsid w:val="003A2B8D"/>
    <w:rsid w:val="003A75BE"/>
    <w:rsid w:val="003B403F"/>
    <w:rsid w:val="003C3153"/>
    <w:rsid w:val="003C5A9B"/>
    <w:rsid w:val="003C6348"/>
    <w:rsid w:val="003D00CA"/>
    <w:rsid w:val="003D282E"/>
    <w:rsid w:val="003D2D7A"/>
    <w:rsid w:val="003D48DA"/>
    <w:rsid w:val="003D720C"/>
    <w:rsid w:val="003E11F7"/>
    <w:rsid w:val="003E3B04"/>
    <w:rsid w:val="003E4573"/>
    <w:rsid w:val="003E45D3"/>
    <w:rsid w:val="003E4825"/>
    <w:rsid w:val="003F017A"/>
    <w:rsid w:val="003F3636"/>
    <w:rsid w:val="003F5E43"/>
    <w:rsid w:val="003F77BB"/>
    <w:rsid w:val="004004EE"/>
    <w:rsid w:val="0040675E"/>
    <w:rsid w:val="00406F2C"/>
    <w:rsid w:val="0041053A"/>
    <w:rsid w:val="004107B6"/>
    <w:rsid w:val="00411F2C"/>
    <w:rsid w:val="0041214E"/>
    <w:rsid w:val="00414753"/>
    <w:rsid w:val="0042172C"/>
    <w:rsid w:val="00421F96"/>
    <w:rsid w:val="00423980"/>
    <w:rsid w:val="004239D7"/>
    <w:rsid w:val="00426496"/>
    <w:rsid w:val="00426841"/>
    <w:rsid w:val="00436650"/>
    <w:rsid w:val="004419E3"/>
    <w:rsid w:val="0044273E"/>
    <w:rsid w:val="00444C5F"/>
    <w:rsid w:val="004470FA"/>
    <w:rsid w:val="00447B04"/>
    <w:rsid w:val="00452A12"/>
    <w:rsid w:val="00456338"/>
    <w:rsid w:val="004568F3"/>
    <w:rsid w:val="00461C05"/>
    <w:rsid w:val="00462820"/>
    <w:rsid w:val="00466717"/>
    <w:rsid w:val="00466A5F"/>
    <w:rsid w:val="0047213D"/>
    <w:rsid w:val="004735CE"/>
    <w:rsid w:val="0048346E"/>
    <w:rsid w:val="00484C6E"/>
    <w:rsid w:val="004853D9"/>
    <w:rsid w:val="0048747B"/>
    <w:rsid w:val="00487805"/>
    <w:rsid w:val="00490898"/>
    <w:rsid w:val="0049166C"/>
    <w:rsid w:val="0049315B"/>
    <w:rsid w:val="00493CAF"/>
    <w:rsid w:val="00494757"/>
    <w:rsid w:val="00495432"/>
    <w:rsid w:val="00495902"/>
    <w:rsid w:val="004A1855"/>
    <w:rsid w:val="004A1ADD"/>
    <w:rsid w:val="004A1F23"/>
    <w:rsid w:val="004A3612"/>
    <w:rsid w:val="004A4AE1"/>
    <w:rsid w:val="004A5CDE"/>
    <w:rsid w:val="004B2D0B"/>
    <w:rsid w:val="004B497A"/>
    <w:rsid w:val="004B5392"/>
    <w:rsid w:val="004B545B"/>
    <w:rsid w:val="004B6B3F"/>
    <w:rsid w:val="004C0A57"/>
    <w:rsid w:val="004C34A2"/>
    <w:rsid w:val="004C5421"/>
    <w:rsid w:val="004D070F"/>
    <w:rsid w:val="004D13DC"/>
    <w:rsid w:val="004D2DEE"/>
    <w:rsid w:val="004D392B"/>
    <w:rsid w:val="004D6F15"/>
    <w:rsid w:val="004E0DF1"/>
    <w:rsid w:val="004E1E84"/>
    <w:rsid w:val="004E3189"/>
    <w:rsid w:val="004E57CE"/>
    <w:rsid w:val="004E735A"/>
    <w:rsid w:val="004F0CBA"/>
    <w:rsid w:val="004F31FF"/>
    <w:rsid w:val="004F46FF"/>
    <w:rsid w:val="004F52AC"/>
    <w:rsid w:val="004F6746"/>
    <w:rsid w:val="00505CBE"/>
    <w:rsid w:val="00505E56"/>
    <w:rsid w:val="00506140"/>
    <w:rsid w:val="00506304"/>
    <w:rsid w:val="00507975"/>
    <w:rsid w:val="005129D9"/>
    <w:rsid w:val="00512BC7"/>
    <w:rsid w:val="0051345A"/>
    <w:rsid w:val="00523A60"/>
    <w:rsid w:val="00531BEE"/>
    <w:rsid w:val="00533CE6"/>
    <w:rsid w:val="00534E77"/>
    <w:rsid w:val="005353AA"/>
    <w:rsid w:val="00547BE1"/>
    <w:rsid w:val="00552ED1"/>
    <w:rsid w:val="00555916"/>
    <w:rsid w:val="005562F1"/>
    <w:rsid w:val="005567C3"/>
    <w:rsid w:val="00557B84"/>
    <w:rsid w:val="0056052D"/>
    <w:rsid w:val="00561566"/>
    <w:rsid w:val="00561C65"/>
    <w:rsid w:val="00562776"/>
    <w:rsid w:val="00563121"/>
    <w:rsid w:val="00566591"/>
    <w:rsid w:val="00577E5A"/>
    <w:rsid w:val="005840BC"/>
    <w:rsid w:val="00584289"/>
    <w:rsid w:val="005844F6"/>
    <w:rsid w:val="00585605"/>
    <w:rsid w:val="00587CCE"/>
    <w:rsid w:val="00593193"/>
    <w:rsid w:val="00593EDF"/>
    <w:rsid w:val="00595475"/>
    <w:rsid w:val="00595895"/>
    <w:rsid w:val="005A5255"/>
    <w:rsid w:val="005B374E"/>
    <w:rsid w:val="005B4482"/>
    <w:rsid w:val="005B7F2F"/>
    <w:rsid w:val="005C11CA"/>
    <w:rsid w:val="005C2017"/>
    <w:rsid w:val="005C232E"/>
    <w:rsid w:val="005C428F"/>
    <w:rsid w:val="005D006C"/>
    <w:rsid w:val="005D0BB6"/>
    <w:rsid w:val="005D35B0"/>
    <w:rsid w:val="005D47B0"/>
    <w:rsid w:val="005D4B4A"/>
    <w:rsid w:val="005D65D1"/>
    <w:rsid w:val="005E5955"/>
    <w:rsid w:val="005E7FBF"/>
    <w:rsid w:val="005F41FE"/>
    <w:rsid w:val="005F4AC4"/>
    <w:rsid w:val="005F5864"/>
    <w:rsid w:val="00603066"/>
    <w:rsid w:val="00603E11"/>
    <w:rsid w:val="00607476"/>
    <w:rsid w:val="00607FD8"/>
    <w:rsid w:val="00613BAE"/>
    <w:rsid w:val="0061505F"/>
    <w:rsid w:val="0061751B"/>
    <w:rsid w:val="0062297D"/>
    <w:rsid w:val="006251CD"/>
    <w:rsid w:val="00626FA0"/>
    <w:rsid w:val="0063147C"/>
    <w:rsid w:val="006338FE"/>
    <w:rsid w:val="00634604"/>
    <w:rsid w:val="006400AE"/>
    <w:rsid w:val="00645D96"/>
    <w:rsid w:val="00652496"/>
    <w:rsid w:val="00653A59"/>
    <w:rsid w:val="00654462"/>
    <w:rsid w:val="006545E3"/>
    <w:rsid w:val="0065589F"/>
    <w:rsid w:val="00657C88"/>
    <w:rsid w:val="006608C0"/>
    <w:rsid w:val="00662EC6"/>
    <w:rsid w:val="006673BC"/>
    <w:rsid w:val="006706F6"/>
    <w:rsid w:val="0067249B"/>
    <w:rsid w:val="006769BA"/>
    <w:rsid w:val="00676B87"/>
    <w:rsid w:val="00677EE0"/>
    <w:rsid w:val="00680DFB"/>
    <w:rsid w:val="0068456E"/>
    <w:rsid w:val="00686375"/>
    <w:rsid w:val="0068762B"/>
    <w:rsid w:val="00687BE8"/>
    <w:rsid w:val="00692620"/>
    <w:rsid w:val="00692792"/>
    <w:rsid w:val="00697C2F"/>
    <w:rsid w:val="006A0287"/>
    <w:rsid w:val="006A1C58"/>
    <w:rsid w:val="006A2106"/>
    <w:rsid w:val="006A2BF7"/>
    <w:rsid w:val="006A4A02"/>
    <w:rsid w:val="006B5921"/>
    <w:rsid w:val="006B5B56"/>
    <w:rsid w:val="006C059A"/>
    <w:rsid w:val="006C06CC"/>
    <w:rsid w:val="006C20B3"/>
    <w:rsid w:val="006C596B"/>
    <w:rsid w:val="006D39B9"/>
    <w:rsid w:val="006E58AA"/>
    <w:rsid w:val="006E6E31"/>
    <w:rsid w:val="006F0469"/>
    <w:rsid w:val="006F2C20"/>
    <w:rsid w:val="006F2E46"/>
    <w:rsid w:val="007003CF"/>
    <w:rsid w:val="00701A83"/>
    <w:rsid w:val="00702575"/>
    <w:rsid w:val="007033DF"/>
    <w:rsid w:val="00703498"/>
    <w:rsid w:val="00705479"/>
    <w:rsid w:val="00705838"/>
    <w:rsid w:val="0070686B"/>
    <w:rsid w:val="00706881"/>
    <w:rsid w:val="0070694E"/>
    <w:rsid w:val="00706BE0"/>
    <w:rsid w:val="00706FD3"/>
    <w:rsid w:val="00710616"/>
    <w:rsid w:val="00710E29"/>
    <w:rsid w:val="00712E1C"/>
    <w:rsid w:val="00716827"/>
    <w:rsid w:val="00717673"/>
    <w:rsid w:val="007207EC"/>
    <w:rsid w:val="00722063"/>
    <w:rsid w:val="00730BC4"/>
    <w:rsid w:val="00730F33"/>
    <w:rsid w:val="00733AB9"/>
    <w:rsid w:val="00735058"/>
    <w:rsid w:val="00740BE0"/>
    <w:rsid w:val="00742416"/>
    <w:rsid w:val="00743140"/>
    <w:rsid w:val="00746C8F"/>
    <w:rsid w:val="00746CAB"/>
    <w:rsid w:val="007526FA"/>
    <w:rsid w:val="007528B7"/>
    <w:rsid w:val="00754905"/>
    <w:rsid w:val="007554AE"/>
    <w:rsid w:val="00762601"/>
    <w:rsid w:val="007641F5"/>
    <w:rsid w:val="00765E2C"/>
    <w:rsid w:val="00773F6E"/>
    <w:rsid w:val="007744BD"/>
    <w:rsid w:val="0077461F"/>
    <w:rsid w:val="00774933"/>
    <w:rsid w:val="0077640A"/>
    <w:rsid w:val="007819D3"/>
    <w:rsid w:val="00781A61"/>
    <w:rsid w:val="007826B3"/>
    <w:rsid w:val="00783165"/>
    <w:rsid w:val="007861DF"/>
    <w:rsid w:val="00787A5E"/>
    <w:rsid w:val="00787DEE"/>
    <w:rsid w:val="00790D82"/>
    <w:rsid w:val="007A1CDE"/>
    <w:rsid w:val="007A4A19"/>
    <w:rsid w:val="007A7DD9"/>
    <w:rsid w:val="007B057E"/>
    <w:rsid w:val="007B12C6"/>
    <w:rsid w:val="007C0A4C"/>
    <w:rsid w:val="007C1EB3"/>
    <w:rsid w:val="007C5426"/>
    <w:rsid w:val="007C5AF5"/>
    <w:rsid w:val="007C5D2E"/>
    <w:rsid w:val="007D5312"/>
    <w:rsid w:val="007D788F"/>
    <w:rsid w:val="007E0193"/>
    <w:rsid w:val="007E23B9"/>
    <w:rsid w:val="007E34EA"/>
    <w:rsid w:val="007E39FE"/>
    <w:rsid w:val="007F00D2"/>
    <w:rsid w:val="007F05D2"/>
    <w:rsid w:val="007F09FD"/>
    <w:rsid w:val="008046A0"/>
    <w:rsid w:val="008066AA"/>
    <w:rsid w:val="00806719"/>
    <w:rsid w:val="00811019"/>
    <w:rsid w:val="008115C3"/>
    <w:rsid w:val="008143BB"/>
    <w:rsid w:val="008169A6"/>
    <w:rsid w:val="008205AA"/>
    <w:rsid w:val="0082497E"/>
    <w:rsid w:val="008266DF"/>
    <w:rsid w:val="00827659"/>
    <w:rsid w:val="00830EAA"/>
    <w:rsid w:val="0083162B"/>
    <w:rsid w:val="00840C40"/>
    <w:rsid w:val="00841D8C"/>
    <w:rsid w:val="008428C4"/>
    <w:rsid w:val="008429D4"/>
    <w:rsid w:val="00847025"/>
    <w:rsid w:val="008471FD"/>
    <w:rsid w:val="00847D90"/>
    <w:rsid w:val="00854CEA"/>
    <w:rsid w:val="00860935"/>
    <w:rsid w:val="008616F3"/>
    <w:rsid w:val="008619BC"/>
    <w:rsid w:val="00861F48"/>
    <w:rsid w:val="00862661"/>
    <w:rsid w:val="00864767"/>
    <w:rsid w:val="00864D97"/>
    <w:rsid w:val="00873021"/>
    <w:rsid w:val="0087344F"/>
    <w:rsid w:val="008832AA"/>
    <w:rsid w:val="00883625"/>
    <w:rsid w:val="00892B02"/>
    <w:rsid w:val="008A0DA4"/>
    <w:rsid w:val="008B0101"/>
    <w:rsid w:val="008B12C3"/>
    <w:rsid w:val="008B1448"/>
    <w:rsid w:val="008B2A9A"/>
    <w:rsid w:val="008B4DB4"/>
    <w:rsid w:val="008C2EA9"/>
    <w:rsid w:val="008C4380"/>
    <w:rsid w:val="008C5092"/>
    <w:rsid w:val="008D5F8A"/>
    <w:rsid w:val="008E13E8"/>
    <w:rsid w:val="008E31E1"/>
    <w:rsid w:val="008E54EE"/>
    <w:rsid w:val="008F3B94"/>
    <w:rsid w:val="008F5002"/>
    <w:rsid w:val="008F6661"/>
    <w:rsid w:val="0090003F"/>
    <w:rsid w:val="00903687"/>
    <w:rsid w:val="00903CD6"/>
    <w:rsid w:val="00910D31"/>
    <w:rsid w:val="009115AB"/>
    <w:rsid w:val="00912336"/>
    <w:rsid w:val="009145CB"/>
    <w:rsid w:val="009172F6"/>
    <w:rsid w:val="00917875"/>
    <w:rsid w:val="00922F59"/>
    <w:rsid w:val="00923269"/>
    <w:rsid w:val="00930869"/>
    <w:rsid w:val="0093235E"/>
    <w:rsid w:val="00937703"/>
    <w:rsid w:val="0093771A"/>
    <w:rsid w:val="00944C1D"/>
    <w:rsid w:val="0094605E"/>
    <w:rsid w:val="00951770"/>
    <w:rsid w:val="00953ABE"/>
    <w:rsid w:val="00954C94"/>
    <w:rsid w:val="009606AA"/>
    <w:rsid w:val="00963ABA"/>
    <w:rsid w:val="00966B72"/>
    <w:rsid w:val="00966C88"/>
    <w:rsid w:val="00966E6B"/>
    <w:rsid w:val="00967AE0"/>
    <w:rsid w:val="00970733"/>
    <w:rsid w:val="00971677"/>
    <w:rsid w:val="00972889"/>
    <w:rsid w:val="009804E0"/>
    <w:rsid w:val="00981378"/>
    <w:rsid w:val="0098181D"/>
    <w:rsid w:val="0098415F"/>
    <w:rsid w:val="00984A8A"/>
    <w:rsid w:val="00985876"/>
    <w:rsid w:val="00986C85"/>
    <w:rsid w:val="009911C0"/>
    <w:rsid w:val="00991EAA"/>
    <w:rsid w:val="00994008"/>
    <w:rsid w:val="00994CB7"/>
    <w:rsid w:val="00995379"/>
    <w:rsid w:val="00995A1B"/>
    <w:rsid w:val="009976E0"/>
    <w:rsid w:val="009A2615"/>
    <w:rsid w:val="009A2FBA"/>
    <w:rsid w:val="009A3360"/>
    <w:rsid w:val="009A38C0"/>
    <w:rsid w:val="009B5D92"/>
    <w:rsid w:val="009C5C32"/>
    <w:rsid w:val="009D1112"/>
    <w:rsid w:val="009D6278"/>
    <w:rsid w:val="009E0153"/>
    <w:rsid w:val="009E3888"/>
    <w:rsid w:val="009E4906"/>
    <w:rsid w:val="009E73E5"/>
    <w:rsid w:val="009F184B"/>
    <w:rsid w:val="009F25EE"/>
    <w:rsid w:val="009F44CD"/>
    <w:rsid w:val="00A01D7D"/>
    <w:rsid w:val="00A02A49"/>
    <w:rsid w:val="00A02F5D"/>
    <w:rsid w:val="00A0565A"/>
    <w:rsid w:val="00A12C87"/>
    <w:rsid w:val="00A15D80"/>
    <w:rsid w:val="00A15EF9"/>
    <w:rsid w:val="00A17099"/>
    <w:rsid w:val="00A21F56"/>
    <w:rsid w:val="00A24C55"/>
    <w:rsid w:val="00A26D88"/>
    <w:rsid w:val="00A2738C"/>
    <w:rsid w:val="00A27EBF"/>
    <w:rsid w:val="00A32811"/>
    <w:rsid w:val="00A32819"/>
    <w:rsid w:val="00A33B33"/>
    <w:rsid w:val="00A33F91"/>
    <w:rsid w:val="00A348DA"/>
    <w:rsid w:val="00A377BC"/>
    <w:rsid w:val="00A37A83"/>
    <w:rsid w:val="00A37C70"/>
    <w:rsid w:val="00A41F86"/>
    <w:rsid w:val="00A4340C"/>
    <w:rsid w:val="00A4776F"/>
    <w:rsid w:val="00A50A9E"/>
    <w:rsid w:val="00A529E9"/>
    <w:rsid w:val="00A54310"/>
    <w:rsid w:val="00A56528"/>
    <w:rsid w:val="00A61E23"/>
    <w:rsid w:val="00A6452F"/>
    <w:rsid w:val="00A65A34"/>
    <w:rsid w:val="00A75C29"/>
    <w:rsid w:val="00A77DE3"/>
    <w:rsid w:val="00A815D8"/>
    <w:rsid w:val="00A82BB2"/>
    <w:rsid w:val="00A83926"/>
    <w:rsid w:val="00A855D3"/>
    <w:rsid w:val="00A86479"/>
    <w:rsid w:val="00A93275"/>
    <w:rsid w:val="00A93988"/>
    <w:rsid w:val="00A93C0B"/>
    <w:rsid w:val="00A941D5"/>
    <w:rsid w:val="00A94C7E"/>
    <w:rsid w:val="00A97124"/>
    <w:rsid w:val="00AA624F"/>
    <w:rsid w:val="00AA751F"/>
    <w:rsid w:val="00AA7BAA"/>
    <w:rsid w:val="00AB449E"/>
    <w:rsid w:val="00AB458A"/>
    <w:rsid w:val="00AB4A85"/>
    <w:rsid w:val="00AB5839"/>
    <w:rsid w:val="00AC0510"/>
    <w:rsid w:val="00AC1E0E"/>
    <w:rsid w:val="00AC767E"/>
    <w:rsid w:val="00AD1420"/>
    <w:rsid w:val="00AD37D4"/>
    <w:rsid w:val="00AD38E4"/>
    <w:rsid w:val="00AD440A"/>
    <w:rsid w:val="00AD45EE"/>
    <w:rsid w:val="00AD4E4D"/>
    <w:rsid w:val="00AE5FC8"/>
    <w:rsid w:val="00AE76BF"/>
    <w:rsid w:val="00AF1E1F"/>
    <w:rsid w:val="00AF214F"/>
    <w:rsid w:val="00AF386C"/>
    <w:rsid w:val="00B03C9D"/>
    <w:rsid w:val="00B04F66"/>
    <w:rsid w:val="00B1031B"/>
    <w:rsid w:val="00B111ED"/>
    <w:rsid w:val="00B118A3"/>
    <w:rsid w:val="00B14589"/>
    <w:rsid w:val="00B15409"/>
    <w:rsid w:val="00B206FB"/>
    <w:rsid w:val="00B21E43"/>
    <w:rsid w:val="00B21E88"/>
    <w:rsid w:val="00B21F67"/>
    <w:rsid w:val="00B21F6A"/>
    <w:rsid w:val="00B22F71"/>
    <w:rsid w:val="00B32E22"/>
    <w:rsid w:val="00B47952"/>
    <w:rsid w:val="00B50EB7"/>
    <w:rsid w:val="00B52826"/>
    <w:rsid w:val="00B53034"/>
    <w:rsid w:val="00B5359B"/>
    <w:rsid w:val="00B60586"/>
    <w:rsid w:val="00B60F65"/>
    <w:rsid w:val="00B611A1"/>
    <w:rsid w:val="00B67069"/>
    <w:rsid w:val="00B670B4"/>
    <w:rsid w:val="00B67D19"/>
    <w:rsid w:val="00B72E76"/>
    <w:rsid w:val="00B7301C"/>
    <w:rsid w:val="00B734A1"/>
    <w:rsid w:val="00B8454C"/>
    <w:rsid w:val="00B85B84"/>
    <w:rsid w:val="00B90618"/>
    <w:rsid w:val="00B933FD"/>
    <w:rsid w:val="00B95649"/>
    <w:rsid w:val="00B9575B"/>
    <w:rsid w:val="00B97711"/>
    <w:rsid w:val="00BA0A5C"/>
    <w:rsid w:val="00BA1870"/>
    <w:rsid w:val="00BA3AD2"/>
    <w:rsid w:val="00BA540D"/>
    <w:rsid w:val="00BA75D5"/>
    <w:rsid w:val="00BA7C57"/>
    <w:rsid w:val="00BB105F"/>
    <w:rsid w:val="00BB17CB"/>
    <w:rsid w:val="00BB1ADB"/>
    <w:rsid w:val="00BB3B96"/>
    <w:rsid w:val="00BB4393"/>
    <w:rsid w:val="00BB47F2"/>
    <w:rsid w:val="00BD2821"/>
    <w:rsid w:val="00BE05D0"/>
    <w:rsid w:val="00BE1CD2"/>
    <w:rsid w:val="00BE62D4"/>
    <w:rsid w:val="00BF3A65"/>
    <w:rsid w:val="00BF3F49"/>
    <w:rsid w:val="00C000E0"/>
    <w:rsid w:val="00C04A64"/>
    <w:rsid w:val="00C04F80"/>
    <w:rsid w:val="00C05C35"/>
    <w:rsid w:val="00C07297"/>
    <w:rsid w:val="00C13A9B"/>
    <w:rsid w:val="00C1594A"/>
    <w:rsid w:val="00C162F8"/>
    <w:rsid w:val="00C1724D"/>
    <w:rsid w:val="00C2056E"/>
    <w:rsid w:val="00C21008"/>
    <w:rsid w:val="00C21EBD"/>
    <w:rsid w:val="00C223F7"/>
    <w:rsid w:val="00C24133"/>
    <w:rsid w:val="00C25111"/>
    <w:rsid w:val="00C25162"/>
    <w:rsid w:val="00C255E9"/>
    <w:rsid w:val="00C303C2"/>
    <w:rsid w:val="00C34ACD"/>
    <w:rsid w:val="00C34DD9"/>
    <w:rsid w:val="00C4198E"/>
    <w:rsid w:val="00C424D2"/>
    <w:rsid w:val="00C44D3C"/>
    <w:rsid w:val="00C46957"/>
    <w:rsid w:val="00C50069"/>
    <w:rsid w:val="00C5027F"/>
    <w:rsid w:val="00C5068B"/>
    <w:rsid w:val="00C513DF"/>
    <w:rsid w:val="00C559D8"/>
    <w:rsid w:val="00C609EC"/>
    <w:rsid w:val="00C6312A"/>
    <w:rsid w:val="00C65F7E"/>
    <w:rsid w:val="00C66329"/>
    <w:rsid w:val="00C70CF4"/>
    <w:rsid w:val="00C73186"/>
    <w:rsid w:val="00C73616"/>
    <w:rsid w:val="00C7497D"/>
    <w:rsid w:val="00C76782"/>
    <w:rsid w:val="00C7698C"/>
    <w:rsid w:val="00C807A8"/>
    <w:rsid w:val="00C80F0E"/>
    <w:rsid w:val="00C815F2"/>
    <w:rsid w:val="00C82A38"/>
    <w:rsid w:val="00C83561"/>
    <w:rsid w:val="00C851C0"/>
    <w:rsid w:val="00C85A44"/>
    <w:rsid w:val="00C85B0C"/>
    <w:rsid w:val="00C85DF2"/>
    <w:rsid w:val="00C86E4D"/>
    <w:rsid w:val="00C877ED"/>
    <w:rsid w:val="00C9089B"/>
    <w:rsid w:val="00C911BB"/>
    <w:rsid w:val="00C92637"/>
    <w:rsid w:val="00C92BE5"/>
    <w:rsid w:val="00CA3449"/>
    <w:rsid w:val="00CA7121"/>
    <w:rsid w:val="00CA7859"/>
    <w:rsid w:val="00CB1160"/>
    <w:rsid w:val="00CB5A5B"/>
    <w:rsid w:val="00CB6F87"/>
    <w:rsid w:val="00CC0B96"/>
    <w:rsid w:val="00CC1E6D"/>
    <w:rsid w:val="00CC3035"/>
    <w:rsid w:val="00CC3849"/>
    <w:rsid w:val="00CC5C3E"/>
    <w:rsid w:val="00CD1460"/>
    <w:rsid w:val="00CD4B89"/>
    <w:rsid w:val="00CD69B9"/>
    <w:rsid w:val="00CD6A15"/>
    <w:rsid w:val="00CD76A1"/>
    <w:rsid w:val="00CE0BDC"/>
    <w:rsid w:val="00CE2F73"/>
    <w:rsid w:val="00CE3F4B"/>
    <w:rsid w:val="00CE604F"/>
    <w:rsid w:val="00CE6C8C"/>
    <w:rsid w:val="00CF0500"/>
    <w:rsid w:val="00CF2B50"/>
    <w:rsid w:val="00CF3059"/>
    <w:rsid w:val="00CF54C2"/>
    <w:rsid w:val="00CF6228"/>
    <w:rsid w:val="00CF721A"/>
    <w:rsid w:val="00D02339"/>
    <w:rsid w:val="00D034A7"/>
    <w:rsid w:val="00D04820"/>
    <w:rsid w:val="00D06AD4"/>
    <w:rsid w:val="00D10B3F"/>
    <w:rsid w:val="00D124D3"/>
    <w:rsid w:val="00D17B78"/>
    <w:rsid w:val="00D20815"/>
    <w:rsid w:val="00D23FD2"/>
    <w:rsid w:val="00D24945"/>
    <w:rsid w:val="00D26389"/>
    <w:rsid w:val="00D2719A"/>
    <w:rsid w:val="00D30873"/>
    <w:rsid w:val="00D3557F"/>
    <w:rsid w:val="00D37654"/>
    <w:rsid w:val="00D42FA1"/>
    <w:rsid w:val="00D45B79"/>
    <w:rsid w:val="00D46BB0"/>
    <w:rsid w:val="00D51C03"/>
    <w:rsid w:val="00D52465"/>
    <w:rsid w:val="00D64540"/>
    <w:rsid w:val="00D6642E"/>
    <w:rsid w:val="00D71D96"/>
    <w:rsid w:val="00D72DB9"/>
    <w:rsid w:val="00D72E8E"/>
    <w:rsid w:val="00D7569B"/>
    <w:rsid w:val="00D84484"/>
    <w:rsid w:val="00D90123"/>
    <w:rsid w:val="00D914F2"/>
    <w:rsid w:val="00D918DE"/>
    <w:rsid w:val="00D91CAC"/>
    <w:rsid w:val="00D9361E"/>
    <w:rsid w:val="00D93B10"/>
    <w:rsid w:val="00D94981"/>
    <w:rsid w:val="00DA02EF"/>
    <w:rsid w:val="00DA1A48"/>
    <w:rsid w:val="00DA1A93"/>
    <w:rsid w:val="00DB0119"/>
    <w:rsid w:val="00DB03DC"/>
    <w:rsid w:val="00DB2401"/>
    <w:rsid w:val="00DB329F"/>
    <w:rsid w:val="00DB5D80"/>
    <w:rsid w:val="00DB6164"/>
    <w:rsid w:val="00DB63C0"/>
    <w:rsid w:val="00DB6D80"/>
    <w:rsid w:val="00DB75DA"/>
    <w:rsid w:val="00DC59A9"/>
    <w:rsid w:val="00DC5C5C"/>
    <w:rsid w:val="00DC6238"/>
    <w:rsid w:val="00DC6E85"/>
    <w:rsid w:val="00DC76F8"/>
    <w:rsid w:val="00DC7FF7"/>
    <w:rsid w:val="00DD27FD"/>
    <w:rsid w:val="00DD5283"/>
    <w:rsid w:val="00DD5813"/>
    <w:rsid w:val="00DD5FD9"/>
    <w:rsid w:val="00DD765B"/>
    <w:rsid w:val="00DE0466"/>
    <w:rsid w:val="00DE0904"/>
    <w:rsid w:val="00DE20AE"/>
    <w:rsid w:val="00DE671C"/>
    <w:rsid w:val="00DF1333"/>
    <w:rsid w:val="00DF1357"/>
    <w:rsid w:val="00DF273A"/>
    <w:rsid w:val="00DF43C8"/>
    <w:rsid w:val="00DF5912"/>
    <w:rsid w:val="00DF59B9"/>
    <w:rsid w:val="00DF6574"/>
    <w:rsid w:val="00DF669F"/>
    <w:rsid w:val="00E002F7"/>
    <w:rsid w:val="00E02698"/>
    <w:rsid w:val="00E1054B"/>
    <w:rsid w:val="00E1112D"/>
    <w:rsid w:val="00E1361A"/>
    <w:rsid w:val="00E20ED0"/>
    <w:rsid w:val="00E20F8F"/>
    <w:rsid w:val="00E23E90"/>
    <w:rsid w:val="00E26469"/>
    <w:rsid w:val="00E26BAA"/>
    <w:rsid w:val="00E26EA7"/>
    <w:rsid w:val="00E30A2A"/>
    <w:rsid w:val="00E30C03"/>
    <w:rsid w:val="00E32337"/>
    <w:rsid w:val="00E32F60"/>
    <w:rsid w:val="00E33C5A"/>
    <w:rsid w:val="00E3775C"/>
    <w:rsid w:val="00E4067B"/>
    <w:rsid w:val="00E45641"/>
    <w:rsid w:val="00E46529"/>
    <w:rsid w:val="00E46C48"/>
    <w:rsid w:val="00E508AB"/>
    <w:rsid w:val="00E51F76"/>
    <w:rsid w:val="00E52EEE"/>
    <w:rsid w:val="00E64FA8"/>
    <w:rsid w:val="00E75C24"/>
    <w:rsid w:val="00E75FD9"/>
    <w:rsid w:val="00E77406"/>
    <w:rsid w:val="00E7768B"/>
    <w:rsid w:val="00E8144B"/>
    <w:rsid w:val="00E8179E"/>
    <w:rsid w:val="00E84466"/>
    <w:rsid w:val="00E85B22"/>
    <w:rsid w:val="00E93FF9"/>
    <w:rsid w:val="00E94686"/>
    <w:rsid w:val="00E95F23"/>
    <w:rsid w:val="00E96E92"/>
    <w:rsid w:val="00EA055D"/>
    <w:rsid w:val="00EA1085"/>
    <w:rsid w:val="00EA40AC"/>
    <w:rsid w:val="00EA42AD"/>
    <w:rsid w:val="00EB082E"/>
    <w:rsid w:val="00EB134B"/>
    <w:rsid w:val="00EB34CD"/>
    <w:rsid w:val="00EB4577"/>
    <w:rsid w:val="00EB706A"/>
    <w:rsid w:val="00EB7290"/>
    <w:rsid w:val="00EB7B88"/>
    <w:rsid w:val="00EC1D8C"/>
    <w:rsid w:val="00EC61C1"/>
    <w:rsid w:val="00ED14CD"/>
    <w:rsid w:val="00ED47A9"/>
    <w:rsid w:val="00EE4EFC"/>
    <w:rsid w:val="00EE7207"/>
    <w:rsid w:val="00EF31D4"/>
    <w:rsid w:val="00EF6258"/>
    <w:rsid w:val="00EF6E8B"/>
    <w:rsid w:val="00EF7C07"/>
    <w:rsid w:val="00F023C8"/>
    <w:rsid w:val="00F0243E"/>
    <w:rsid w:val="00F04026"/>
    <w:rsid w:val="00F10DDF"/>
    <w:rsid w:val="00F14500"/>
    <w:rsid w:val="00F174E3"/>
    <w:rsid w:val="00F20798"/>
    <w:rsid w:val="00F20E6E"/>
    <w:rsid w:val="00F21594"/>
    <w:rsid w:val="00F2195C"/>
    <w:rsid w:val="00F219C5"/>
    <w:rsid w:val="00F232F4"/>
    <w:rsid w:val="00F24802"/>
    <w:rsid w:val="00F31E87"/>
    <w:rsid w:val="00F32305"/>
    <w:rsid w:val="00F33B65"/>
    <w:rsid w:val="00F344F5"/>
    <w:rsid w:val="00F375CF"/>
    <w:rsid w:val="00F44F2C"/>
    <w:rsid w:val="00F45AA5"/>
    <w:rsid w:val="00F468FD"/>
    <w:rsid w:val="00F51B2F"/>
    <w:rsid w:val="00F53D12"/>
    <w:rsid w:val="00F53EC4"/>
    <w:rsid w:val="00F5407A"/>
    <w:rsid w:val="00F60A8F"/>
    <w:rsid w:val="00F60DB9"/>
    <w:rsid w:val="00F60E4F"/>
    <w:rsid w:val="00F65C1E"/>
    <w:rsid w:val="00F65F0D"/>
    <w:rsid w:val="00F70426"/>
    <w:rsid w:val="00F71DEE"/>
    <w:rsid w:val="00F71F40"/>
    <w:rsid w:val="00F731A4"/>
    <w:rsid w:val="00F73718"/>
    <w:rsid w:val="00F74686"/>
    <w:rsid w:val="00F757B1"/>
    <w:rsid w:val="00F80344"/>
    <w:rsid w:val="00F8171D"/>
    <w:rsid w:val="00F85E5B"/>
    <w:rsid w:val="00F87BD1"/>
    <w:rsid w:val="00F91075"/>
    <w:rsid w:val="00F9166C"/>
    <w:rsid w:val="00F926CF"/>
    <w:rsid w:val="00F938C2"/>
    <w:rsid w:val="00F939D5"/>
    <w:rsid w:val="00F93C8D"/>
    <w:rsid w:val="00F942E8"/>
    <w:rsid w:val="00F947F4"/>
    <w:rsid w:val="00FA2D85"/>
    <w:rsid w:val="00FA3ABA"/>
    <w:rsid w:val="00FA3EEC"/>
    <w:rsid w:val="00FA4F20"/>
    <w:rsid w:val="00FA77C1"/>
    <w:rsid w:val="00FB175A"/>
    <w:rsid w:val="00FB61A9"/>
    <w:rsid w:val="00FC0043"/>
    <w:rsid w:val="00FC1EDC"/>
    <w:rsid w:val="00FC4BBB"/>
    <w:rsid w:val="00FD10D7"/>
    <w:rsid w:val="00FD1ED4"/>
    <w:rsid w:val="00FD2407"/>
    <w:rsid w:val="00FD306A"/>
    <w:rsid w:val="00FD36D9"/>
    <w:rsid w:val="00FD57F5"/>
    <w:rsid w:val="00FD7DC7"/>
    <w:rsid w:val="00FD7E58"/>
    <w:rsid w:val="00FE0A31"/>
    <w:rsid w:val="00FE0DB5"/>
    <w:rsid w:val="00FE1E37"/>
    <w:rsid w:val="00FE3EEB"/>
    <w:rsid w:val="00FE446D"/>
    <w:rsid w:val="00FE697B"/>
    <w:rsid w:val="00FF16CF"/>
    <w:rsid w:val="00FF23FF"/>
    <w:rsid w:val="00FF3B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DD9958"/>
  <w15:docId w15:val="{A595056F-65B2-4000-8D24-92FC4D36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en-AU" w:eastAsia="en-AU" w:bidi="ar-SA"/>
      </w:rPr>
    </w:rPrDefault>
    <w:pPrDefault>
      <w:pPr>
        <w:spacing w:line="26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85A44"/>
    <w:pPr>
      <w:spacing w:line="270" w:lineRule="atLeast"/>
    </w:pPr>
  </w:style>
  <w:style w:type="paragraph" w:styleId="Heading1">
    <w:name w:val="heading 1"/>
    <w:basedOn w:val="BodyText"/>
    <w:next w:val="BodyText"/>
    <w:link w:val="Heading1Char"/>
    <w:qFormat/>
    <w:rsid w:val="004B545B"/>
    <w:pPr>
      <w:keepNext/>
      <w:spacing w:before="300" w:after="100" w:line="240" w:lineRule="auto"/>
      <w:outlineLvl w:val="0"/>
    </w:pPr>
    <w:rPr>
      <w:rFonts w:asciiTheme="majorHAnsi" w:hAnsiTheme="majorHAnsi"/>
      <w:b/>
      <w:caps/>
      <w:color w:val="003263" w:themeColor="text2"/>
      <w:spacing w:val="6"/>
      <w:sz w:val="22"/>
    </w:rPr>
  </w:style>
  <w:style w:type="paragraph" w:styleId="Heading2">
    <w:name w:val="heading 2"/>
    <w:basedOn w:val="BodyText"/>
    <w:next w:val="BodyText"/>
    <w:link w:val="Heading2Char"/>
    <w:qFormat/>
    <w:rsid w:val="004B545B"/>
    <w:pPr>
      <w:keepNext/>
      <w:spacing w:before="300" w:after="100" w:line="240" w:lineRule="auto"/>
      <w:outlineLvl w:val="1"/>
    </w:pPr>
    <w:rPr>
      <w:rFonts w:asciiTheme="majorHAnsi" w:hAnsiTheme="majorHAnsi"/>
      <w:b/>
      <w:color w:val="003263" w:themeColor="text2"/>
      <w:spacing w:val="6"/>
      <w:sz w:val="20"/>
    </w:rPr>
  </w:style>
  <w:style w:type="paragraph" w:styleId="Heading3">
    <w:name w:val="heading 3"/>
    <w:basedOn w:val="Normal"/>
    <w:next w:val="BodyText"/>
    <w:qFormat/>
    <w:rsid w:val="004B545B"/>
    <w:pPr>
      <w:spacing w:before="300" w:after="120" w:line="240" w:lineRule="auto"/>
      <w:outlineLvl w:val="2"/>
    </w:pPr>
    <w:rPr>
      <w:rFonts w:asciiTheme="majorHAnsi" w:hAnsiTheme="majorHAnsi"/>
      <w:i/>
      <w:color w:val="003263" w:themeColor="text2"/>
      <w:spacing w:val="6"/>
      <w:sz w:val="20"/>
    </w:rPr>
  </w:style>
  <w:style w:type="paragraph" w:styleId="Heading4">
    <w:name w:val="heading 4"/>
    <w:basedOn w:val="Normal"/>
    <w:next w:val="BodyText"/>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B78"/>
    <w:pPr>
      <w:tabs>
        <w:tab w:val="center" w:pos="4513"/>
        <w:tab w:val="right" w:pos="9026"/>
      </w:tabs>
    </w:pPr>
  </w:style>
  <w:style w:type="character" w:customStyle="1" w:styleId="HeaderChar">
    <w:name w:val="Header Char"/>
    <w:basedOn w:val="DefaultParagraphFont"/>
    <w:link w:val="Header"/>
    <w:uiPriority w:val="99"/>
    <w:rsid w:val="00860935"/>
  </w:style>
  <w:style w:type="paragraph" w:styleId="Footer">
    <w:name w:val="footer"/>
    <w:basedOn w:val="Normal"/>
    <w:link w:val="FooterChar"/>
    <w:uiPriority w:val="99"/>
    <w:rsid w:val="001F6962"/>
  </w:style>
  <w:style w:type="character" w:customStyle="1" w:styleId="FooterChar">
    <w:name w:val="Footer Char"/>
    <w:basedOn w:val="DefaultParagraphFont"/>
    <w:link w:val="Footer"/>
    <w:uiPriority w:val="99"/>
    <w:rsid w:val="00860935"/>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uiPriority w:val="59"/>
    <w:rsid w:val="00654462"/>
    <w:pPr>
      <w:spacing w:line="200" w:lineRule="exact"/>
      <w:ind w:left="113" w:right="113"/>
    </w:pPr>
    <w:rPr>
      <w:sz w:val="16"/>
    </w:rPr>
    <w:tblPr>
      <w:tblBorders>
        <w:top w:val="single" w:sz="4" w:space="0" w:color="8ACED7" w:themeColor="accent1"/>
        <w:bottom w:val="single" w:sz="4" w:space="0" w:color="8ACED7" w:themeColor="accent1"/>
        <w:insideH w:val="single" w:sz="4" w:space="0" w:color="8ACED7" w:themeColor="accent1"/>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8ACED7"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CE3F4B"/>
    <w:pPr>
      <w:spacing w:before="100" w:after="200"/>
    </w:pPr>
  </w:style>
  <w:style w:type="character" w:customStyle="1" w:styleId="BodyTextChar">
    <w:name w:val="Body Text Char"/>
    <w:basedOn w:val="DefaultParagraphFont"/>
    <w:link w:val="BodyText"/>
    <w:rsid w:val="00CE3F4B"/>
  </w:style>
  <w:style w:type="paragraph" w:styleId="ListBullet">
    <w:name w:val="List Bullet"/>
    <w:basedOn w:val="BodyText"/>
    <w:uiPriority w:val="1"/>
    <w:qFormat/>
    <w:rsid w:val="004B545B"/>
    <w:pPr>
      <w:numPr>
        <w:numId w:val="18"/>
      </w:numPr>
      <w:spacing w:after="100"/>
    </w:pPr>
  </w:style>
  <w:style w:type="paragraph" w:styleId="ListBullet2">
    <w:name w:val="List Bullet 2"/>
    <w:basedOn w:val="ListBullet"/>
    <w:uiPriority w:val="1"/>
    <w:qFormat/>
    <w:rsid w:val="004B545B"/>
    <w:pPr>
      <w:numPr>
        <w:ilvl w:val="1"/>
      </w:numPr>
    </w:pPr>
  </w:style>
  <w:style w:type="paragraph" w:styleId="ListBullet3">
    <w:name w:val="List Bullet 3"/>
    <w:basedOn w:val="ListBullet2"/>
    <w:uiPriority w:val="1"/>
    <w:qFormat/>
    <w:rsid w:val="004B545B"/>
    <w:pPr>
      <w:numPr>
        <w:ilvl w:val="2"/>
      </w:numPr>
    </w:pPr>
  </w:style>
  <w:style w:type="paragraph" w:styleId="ListNumber">
    <w:name w:val="List Number"/>
    <w:basedOn w:val="BodyText"/>
    <w:uiPriority w:val="1"/>
    <w:qFormat/>
    <w:rsid w:val="004B545B"/>
    <w:pPr>
      <w:numPr>
        <w:numId w:val="21"/>
      </w:numPr>
      <w:spacing w:after="100"/>
    </w:pPr>
  </w:style>
  <w:style w:type="paragraph" w:styleId="ListNumber2">
    <w:name w:val="List Number 2"/>
    <w:basedOn w:val="ListNumber"/>
    <w:uiPriority w:val="1"/>
    <w:qFormat/>
    <w:rsid w:val="004B545B"/>
    <w:pPr>
      <w:numPr>
        <w:ilvl w:val="1"/>
      </w:numPr>
    </w:pPr>
  </w:style>
  <w:style w:type="paragraph" w:styleId="ListNumber3">
    <w:name w:val="List Number 3"/>
    <w:basedOn w:val="ListNumber2"/>
    <w:uiPriority w:val="1"/>
    <w:qFormat/>
    <w:rsid w:val="004B545B"/>
    <w:pPr>
      <w:numPr>
        <w:ilvl w:val="2"/>
      </w:numPr>
      <w:ind w:left="1020" w:hanging="340"/>
    </w:pPr>
  </w:style>
  <w:style w:type="character" w:styleId="PlaceholderText">
    <w:name w:val="Placeholder Text"/>
    <w:basedOn w:val="DefaultParagraphFont"/>
    <w:uiPriority w:val="99"/>
    <w:semiHidden/>
    <w:rsid w:val="009A2FBA"/>
    <w:rPr>
      <w:color w:val="808080"/>
    </w:rPr>
  </w:style>
  <w:style w:type="paragraph" w:customStyle="1" w:styleId="Spacebeforetable">
    <w:name w:val="Space before table"/>
    <w:basedOn w:val="Normal"/>
    <w:qFormat/>
    <w:rsid w:val="001207DA"/>
    <w:pPr>
      <w:spacing w:after="60"/>
    </w:pPr>
  </w:style>
  <w:style w:type="paragraph" w:styleId="Title">
    <w:name w:val="Title"/>
    <w:basedOn w:val="Normal"/>
    <w:next w:val="Normal"/>
    <w:link w:val="TitleChar"/>
    <w:rsid w:val="007207EC"/>
    <w:pPr>
      <w:spacing w:before="1060" w:after="440" w:line="192" w:lineRule="auto"/>
      <w:ind w:left="227"/>
      <w:contextualSpacing/>
    </w:pPr>
    <w:rPr>
      <w:rFonts w:asciiTheme="majorHAnsi" w:eastAsiaTheme="majorEastAsia" w:hAnsiTheme="majorHAnsi" w:cstheme="majorBidi"/>
      <w:b/>
      <w:caps/>
      <w:color w:val="003263" w:themeColor="text2"/>
      <w:spacing w:val="18"/>
      <w:kern w:val="28"/>
      <w:sz w:val="52"/>
      <w:szCs w:val="56"/>
    </w:rPr>
  </w:style>
  <w:style w:type="character" w:customStyle="1" w:styleId="TitleChar">
    <w:name w:val="Title Char"/>
    <w:basedOn w:val="DefaultParagraphFont"/>
    <w:link w:val="Title"/>
    <w:rsid w:val="007207EC"/>
    <w:rPr>
      <w:rFonts w:asciiTheme="majorHAnsi" w:eastAsiaTheme="majorEastAsia" w:hAnsiTheme="majorHAnsi" w:cstheme="majorBidi"/>
      <w:b/>
      <w:caps/>
      <w:color w:val="003263" w:themeColor="text2"/>
      <w:spacing w:val="18"/>
      <w:kern w:val="28"/>
      <w:sz w:val="52"/>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231F2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BFE4FF" w:themeFill="accent3" w:themeFillTint="33"/>
    </w:tcPr>
    <w:tblStylePr w:type="firstRow">
      <w:rPr>
        <w:b/>
        <w:bCs/>
      </w:rPr>
      <w:tblPr/>
      <w:tcPr>
        <w:shd w:val="clear" w:color="auto" w:fill="7FC9FF" w:themeFill="accent3" w:themeFillTint="66"/>
      </w:tcPr>
    </w:tblStylePr>
    <w:tblStylePr w:type="lastRow">
      <w:rPr>
        <w:b/>
        <w:bCs/>
        <w:color w:val="231F20" w:themeColor="text1"/>
      </w:rPr>
      <w:tblPr/>
      <w:tcPr>
        <w:shd w:val="clear" w:color="auto" w:fill="7FC9FF" w:themeFill="accent3" w:themeFillTint="66"/>
      </w:tcPr>
    </w:tblStylePr>
    <w:tblStylePr w:type="firstCol">
      <w:rPr>
        <w:color w:val="FFFFFF" w:themeColor="background1"/>
      </w:rPr>
      <w:tblPr/>
      <w:tcPr>
        <w:shd w:val="clear" w:color="auto" w:fill="00538F" w:themeFill="accent3" w:themeFillShade="BF"/>
      </w:tcPr>
    </w:tblStylePr>
    <w:tblStylePr w:type="lastCol">
      <w:rPr>
        <w:color w:val="FFFFFF" w:themeColor="background1"/>
      </w:rPr>
      <w:tblPr/>
      <w:tcPr>
        <w:shd w:val="clear" w:color="auto" w:fill="00538F" w:themeFill="accent3" w:themeFillShade="BF"/>
      </w:tc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9F5DB" w:themeFill="accent4" w:themeFillTint="33"/>
    </w:tcPr>
    <w:tblStylePr w:type="firstRow">
      <w:rPr>
        <w:b/>
        <w:bCs/>
      </w:rPr>
      <w:tblPr/>
      <w:tcPr>
        <w:shd w:val="clear" w:color="auto" w:fill="D3ECB8" w:themeFill="accent4" w:themeFillTint="66"/>
      </w:tcPr>
    </w:tblStylePr>
    <w:tblStylePr w:type="lastRow">
      <w:rPr>
        <w:b/>
        <w:bCs/>
        <w:color w:val="231F20" w:themeColor="text1"/>
      </w:rPr>
      <w:tblPr/>
      <w:tcPr>
        <w:shd w:val="clear" w:color="auto" w:fill="D3ECB8" w:themeFill="accent4" w:themeFillTint="66"/>
      </w:tcPr>
    </w:tblStylePr>
    <w:tblStylePr w:type="firstCol">
      <w:rPr>
        <w:color w:val="FFFFFF" w:themeColor="background1"/>
      </w:rPr>
      <w:tblPr/>
      <w:tcPr>
        <w:shd w:val="clear" w:color="auto" w:fill="6DA92D" w:themeFill="accent4" w:themeFillShade="BF"/>
      </w:tcPr>
    </w:tblStylePr>
    <w:tblStylePr w:type="lastCol">
      <w:rPr>
        <w:color w:val="FFFFFF" w:themeColor="background1"/>
      </w:rPr>
      <w:tblPr/>
      <w:tcPr>
        <w:shd w:val="clear" w:color="auto" w:fill="6DA92D" w:themeFill="accent4" w:themeFillShade="BF"/>
      </w:tc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DE9D9" w:themeFill="accent5" w:themeFillTint="33"/>
    </w:tcPr>
    <w:tblStylePr w:type="firstRow">
      <w:rPr>
        <w:b/>
        <w:bCs/>
      </w:rPr>
      <w:tblPr/>
      <w:tcPr>
        <w:shd w:val="clear" w:color="auto" w:fill="FBD4B4" w:themeFill="accent5" w:themeFillTint="66"/>
      </w:tcPr>
    </w:tblStylePr>
    <w:tblStylePr w:type="lastRow">
      <w:rPr>
        <w:b/>
        <w:bCs/>
        <w:color w:val="231F20" w:themeColor="text1"/>
      </w:rPr>
      <w:tblPr/>
      <w:tcPr>
        <w:shd w:val="clear" w:color="auto" w:fill="FBD4B4" w:themeFill="accent5" w:themeFillTint="66"/>
      </w:tcPr>
    </w:tblStylePr>
    <w:tblStylePr w:type="firstCol">
      <w:rPr>
        <w:color w:val="FFFFFF" w:themeColor="background1"/>
      </w:rPr>
      <w:tblPr/>
      <w:tcPr>
        <w:shd w:val="clear" w:color="auto" w:fill="E36C0A" w:themeFill="accent5" w:themeFillShade="BF"/>
      </w:tcPr>
    </w:tblStylePr>
    <w:tblStylePr w:type="lastCol">
      <w:rPr>
        <w:color w:val="FFFFFF" w:themeColor="background1"/>
      </w:rPr>
      <w:tblPr/>
      <w:tcPr>
        <w:shd w:val="clear" w:color="auto" w:fill="E36C0A" w:themeFill="accent5" w:themeFillShade="BF"/>
      </w:tc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2CC" w:themeFill="accent6" w:themeFillTint="33"/>
    </w:tcPr>
    <w:tblStylePr w:type="firstRow">
      <w:rPr>
        <w:b/>
        <w:bCs/>
      </w:rPr>
      <w:tblPr/>
      <w:tcPr>
        <w:shd w:val="clear" w:color="auto" w:fill="FFE599" w:themeFill="accent6" w:themeFillTint="66"/>
      </w:tcPr>
    </w:tblStylePr>
    <w:tblStylePr w:type="lastRow">
      <w:rPr>
        <w:b/>
        <w:bCs/>
        <w:color w:val="231F20" w:themeColor="text1"/>
      </w:rPr>
      <w:tblPr/>
      <w:tcPr>
        <w:shd w:val="clear" w:color="auto" w:fill="FFE599" w:themeFill="accent6" w:themeFillTint="66"/>
      </w:tcPr>
    </w:tblStylePr>
    <w:tblStylePr w:type="firstCol">
      <w:rPr>
        <w:color w:val="FFFFFF" w:themeColor="background1"/>
      </w:rPr>
      <w:tblPr/>
      <w:tcPr>
        <w:shd w:val="clear" w:color="auto" w:fill="BF8F00" w:themeFill="accent6" w:themeFillShade="BF"/>
      </w:tcPr>
    </w:tblStylePr>
    <w:tblStylePr w:type="lastCol">
      <w:rPr>
        <w:color w:val="FFFFFF" w:themeColor="background1"/>
      </w:rPr>
      <w:tblPr/>
      <w:tcPr>
        <w:shd w:val="clear" w:color="auto" w:fill="BF8F00" w:themeFill="accent6" w:themeFillShade="BF"/>
      </w:tc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DFF1FF" w:themeFill="accent3" w:themeFillTint="19"/>
    </w:tcPr>
    <w:tblStylePr w:type="firstRow">
      <w:rPr>
        <w:b/>
        <w:bCs/>
        <w:color w:val="FFFFFF" w:themeColor="background1"/>
      </w:rPr>
      <w:tblPr/>
      <w:tcPr>
        <w:tcBorders>
          <w:bottom w:val="single" w:sz="12" w:space="0" w:color="FFFFFF" w:themeColor="background1"/>
        </w:tcBorders>
        <w:shd w:val="clear" w:color="auto" w:fill="74B530" w:themeFill="accent4" w:themeFillShade="CC"/>
      </w:tcPr>
    </w:tblStylePr>
    <w:tblStylePr w:type="lastRow">
      <w:rPr>
        <w:b/>
        <w:bCs/>
        <w:color w:val="74B530"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DDFF" w:themeFill="accent3" w:themeFillTint="3F"/>
      </w:tcPr>
    </w:tblStylePr>
    <w:tblStylePr w:type="band1Horz">
      <w:tblPr/>
      <w:tcPr>
        <w:shd w:val="clear" w:color="auto" w:fill="BFE4FF"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F4FAED" w:themeFill="accent4" w:themeFillTint="19"/>
    </w:tcPr>
    <w:tblStylePr w:type="firstRow">
      <w:rPr>
        <w:b/>
        <w:bCs/>
        <w:color w:val="FFFFFF" w:themeColor="background1"/>
      </w:rPr>
      <w:tblPr/>
      <w:tcPr>
        <w:tcBorders>
          <w:bottom w:val="single" w:sz="12" w:space="0" w:color="FFFFFF" w:themeColor="background1"/>
        </w:tcBorders>
        <w:shd w:val="clear" w:color="auto" w:fill="005899" w:themeFill="accent3" w:themeFillShade="CC"/>
      </w:tcPr>
    </w:tblStylePr>
    <w:tblStylePr w:type="lastRow">
      <w:rPr>
        <w:b/>
        <w:bCs/>
        <w:color w:val="005899"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3D3" w:themeFill="accent4" w:themeFillTint="3F"/>
      </w:tcPr>
    </w:tblStylePr>
    <w:tblStylePr w:type="band1Horz">
      <w:tblPr/>
      <w:tcPr>
        <w:shd w:val="clear" w:color="auto" w:fill="E9F5DB"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EF4EC" w:themeFill="accent5" w:themeFillTint="19"/>
    </w:tcPr>
    <w:tblStylePr w:type="firstRow">
      <w:rPr>
        <w:b/>
        <w:bCs/>
        <w:color w:val="FFFFFF" w:themeColor="background1"/>
      </w:rPr>
      <w:tblPr/>
      <w:tcPr>
        <w:tcBorders>
          <w:bottom w:val="single" w:sz="12" w:space="0" w:color="FFFFFF" w:themeColor="background1"/>
        </w:tcBorders>
        <w:shd w:val="clear" w:color="auto" w:fill="CC9900" w:themeFill="accent6" w:themeFillShade="CC"/>
      </w:tcPr>
    </w:tblStylePr>
    <w:tblStylePr w:type="lastRow">
      <w:rPr>
        <w:b/>
        <w:bCs/>
        <w:color w:val="CC99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5" w:themeFillTint="3F"/>
      </w:tcPr>
    </w:tblStylePr>
    <w:tblStylePr w:type="band1Horz">
      <w:tblPr/>
      <w:tcPr>
        <w:shd w:val="clear" w:color="auto" w:fill="FDE9D9"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8E6" w:themeFill="accent6" w:themeFillTint="19"/>
    </w:tcPr>
    <w:tblStylePr w:type="firstRow">
      <w:rPr>
        <w:b/>
        <w:bCs/>
        <w:color w:val="FFFFFF" w:themeColor="background1"/>
      </w:rPr>
      <w:tblPr/>
      <w:tcPr>
        <w:tcBorders>
          <w:bottom w:val="single" w:sz="12" w:space="0" w:color="FFFFFF" w:themeColor="background1"/>
        </w:tcBorders>
        <w:shd w:val="clear" w:color="auto" w:fill="F2730A" w:themeFill="accent5" w:themeFillShade="CC"/>
      </w:tcPr>
    </w:tblStylePr>
    <w:tblStylePr w:type="lastRow">
      <w:rPr>
        <w:b/>
        <w:bCs/>
        <w:color w:val="F2730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6" w:themeFillTint="3F"/>
      </w:tcPr>
    </w:tblStylePr>
    <w:tblStylePr w:type="band1Horz">
      <w:tblPr/>
      <w:tcPr>
        <w:shd w:val="clear" w:color="auto" w:fill="FFF2CC"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92D050" w:themeColor="accent4"/>
        <w:left w:val="single" w:sz="4" w:space="0" w:color="0070C0" w:themeColor="accent3"/>
        <w:bottom w:val="single" w:sz="4" w:space="0" w:color="0070C0" w:themeColor="accent3"/>
        <w:right w:val="single" w:sz="4" w:space="0" w:color="0070C0" w:themeColor="accent3"/>
        <w:insideH w:val="single" w:sz="4" w:space="0" w:color="FFFFFF" w:themeColor="background1"/>
        <w:insideV w:val="single" w:sz="4" w:space="0" w:color="FFFFFF" w:themeColor="background1"/>
      </w:tblBorders>
    </w:tblPr>
    <w:tcPr>
      <w:shd w:val="clear" w:color="auto" w:fill="DFF1FF" w:themeFill="accent3" w:themeFillTint="19"/>
    </w:tcPr>
    <w:tblStylePr w:type="firstRow">
      <w:rPr>
        <w:b/>
        <w:bCs/>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73" w:themeFill="accent3" w:themeFillShade="99"/>
      </w:tcPr>
    </w:tblStylePr>
    <w:tblStylePr w:type="firstCol">
      <w:rPr>
        <w:color w:val="FFFFFF" w:themeColor="background1"/>
      </w:rPr>
      <w:tblPr/>
      <w:tcPr>
        <w:tcBorders>
          <w:top w:val="nil"/>
          <w:left w:val="nil"/>
          <w:bottom w:val="nil"/>
          <w:right w:val="nil"/>
          <w:insideH w:val="single" w:sz="4" w:space="0" w:color="004273" w:themeColor="accent3" w:themeShade="99"/>
          <w:insideV w:val="nil"/>
        </w:tcBorders>
        <w:shd w:val="clear" w:color="auto" w:fill="0042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73" w:themeFill="accent3" w:themeFillShade="99"/>
      </w:tcPr>
    </w:tblStylePr>
    <w:tblStylePr w:type="band1Vert">
      <w:tblPr/>
      <w:tcPr>
        <w:shd w:val="clear" w:color="auto" w:fill="7FC9FF" w:themeFill="accent3" w:themeFillTint="66"/>
      </w:tcPr>
    </w:tblStylePr>
    <w:tblStylePr w:type="band1Horz">
      <w:tblPr/>
      <w:tcPr>
        <w:shd w:val="clear" w:color="auto" w:fill="60BCFF"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0070C0" w:themeColor="accent3"/>
        <w:left w:val="single" w:sz="4" w:space="0" w:color="92D050" w:themeColor="accent4"/>
        <w:bottom w:val="single" w:sz="4" w:space="0" w:color="92D050" w:themeColor="accent4"/>
        <w:right w:val="single" w:sz="4" w:space="0" w:color="92D050" w:themeColor="accent4"/>
        <w:insideH w:val="single" w:sz="4" w:space="0" w:color="FFFFFF" w:themeColor="background1"/>
        <w:insideV w:val="single" w:sz="4" w:space="0" w:color="FFFFFF" w:themeColor="background1"/>
      </w:tblBorders>
    </w:tblPr>
    <w:tcPr>
      <w:shd w:val="clear" w:color="auto" w:fill="F4FAED" w:themeFill="accent4" w:themeFillTint="19"/>
    </w:tcPr>
    <w:tblStylePr w:type="firstRow">
      <w:rPr>
        <w:b/>
        <w:bCs/>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8824" w:themeFill="accent4" w:themeFillShade="99"/>
      </w:tcPr>
    </w:tblStylePr>
    <w:tblStylePr w:type="firstCol">
      <w:rPr>
        <w:color w:val="FFFFFF" w:themeColor="background1"/>
      </w:rPr>
      <w:tblPr/>
      <w:tcPr>
        <w:tcBorders>
          <w:top w:val="nil"/>
          <w:left w:val="nil"/>
          <w:bottom w:val="nil"/>
          <w:right w:val="nil"/>
          <w:insideH w:val="single" w:sz="4" w:space="0" w:color="578824" w:themeColor="accent4" w:themeShade="99"/>
          <w:insideV w:val="nil"/>
        </w:tcBorders>
        <w:shd w:val="clear" w:color="auto" w:fill="57882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8824" w:themeFill="accent4" w:themeFillShade="99"/>
      </w:tcPr>
    </w:tblStylePr>
    <w:tblStylePr w:type="band1Vert">
      <w:tblPr/>
      <w:tcPr>
        <w:shd w:val="clear" w:color="auto" w:fill="D3ECB8" w:themeFill="accent4" w:themeFillTint="66"/>
      </w:tcPr>
    </w:tblStylePr>
    <w:tblStylePr w:type="band1Horz">
      <w:tblPr/>
      <w:tcPr>
        <w:shd w:val="clear" w:color="auto" w:fill="C8E7A7"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000" w:themeColor="accent6"/>
        <w:left w:val="single" w:sz="4" w:space="0" w:color="F79646" w:themeColor="accent5"/>
        <w:bottom w:val="single" w:sz="4" w:space="0" w:color="F79646" w:themeColor="accent5"/>
        <w:right w:val="single" w:sz="4" w:space="0" w:color="F79646" w:themeColor="accent5"/>
        <w:insideH w:val="single" w:sz="4" w:space="0" w:color="FFFFFF" w:themeColor="background1"/>
        <w:insideV w:val="single" w:sz="4" w:space="0" w:color="FFFFFF" w:themeColor="background1"/>
      </w:tblBorders>
    </w:tblPr>
    <w:tcPr>
      <w:shd w:val="clear" w:color="auto" w:fill="FEF4EC" w:themeFill="accent5" w:themeFillTint="19"/>
    </w:tcPr>
    <w:tblStylePr w:type="firstRow">
      <w:rPr>
        <w:b/>
        <w:bCs/>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5" w:themeFillShade="99"/>
      </w:tcPr>
    </w:tblStylePr>
    <w:tblStylePr w:type="firstCol">
      <w:rPr>
        <w:color w:val="FFFFFF" w:themeColor="background1"/>
      </w:rPr>
      <w:tblPr/>
      <w:tcPr>
        <w:tcBorders>
          <w:top w:val="nil"/>
          <w:left w:val="nil"/>
          <w:bottom w:val="nil"/>
          <w:right w:val="nil"/>
          <w:insideH w:val="single" w:sz="4" w:space="0" w:color="B65608" w:themeColor="accent5" w:themeShade="99"/>
          <w:insideV w:val="nil"/>
        </w:tcBorders>
        <w:shd w:val="clear" w:color="auto" w:fill="B656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5" w:themeFillShade="99"/>
      </w:tcPr>
    </w:tblStylePr>
    <w:tblStylePr w:type="band1Vert">
      <w:tblPr/>
      <w:tcPr>
        <w:shd w:val="clear" w:color="auto" w:fill="FBD4B4" w:themeFill="accent5" w:themeFillTint="66"/>
      </w:tcPr>
    </w:tblStylePr>
    <w:tblStylePr w:type="band1Horz">
      <w:tblPr/>
      <w:tcPr>
        <w:shd w:val="clear" w:color="auto" w:fill="FBCAA2"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F79646" w:themeColor="accent5"/>
        <w:left w:val="single" w:sz="4" w:space="0" w:color="FFC000" w:themeColor="accent6"/>
        <w:bottom w:val="single" w:sz="4" w:space="0" w:color="FFC000" w:themeColor="accent6"/>
        <w:right w:val="single" w:sz="4" w:space="0" w:color="FFC000" w:themeColor="accent6"/>
        <w:insideH w:val="single" w:sz="4" w:space="0" w:color="FFFFFF" w:themeColor="background1"/>
        <w:insideV w:val="single" w:sz="4" w:space="0" w:color="FFFFFF" w:themeColor="background1"/>
      </w:tblBorders>
    </w:tblPr>
    <w:tcPr>
      <w:shd w:val="clear" w:color="auto" w:fill="FFF8E6" w:themeFill="accent6" w:themeFillTint="19"/>
    </w:tcPr>
    <w:tblStylePr w:type="firstRow">
      <w:rPr>
        <w:b/>
        <w:bCs/>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6" w:themeFillShade="99"/>
      </w:tcPr>
    </w:tblStylePr>
    <w:tblStylePr w:type="firstCol">
      <w:rPr>
        <w:color w:val="FFFFFF" w:themeColor="background1"/>
      </w:rPr>
      <w:tblPr/>
      <w:tcPr>
        <w:tcBorders>
          <w:top w:val="nil"/>
          <w:left w:val="nil"/>
          <w:bottom w:val="nil"/>
          <w:right w:val="nil"/>
          <w:insideH w:val="single" w:sz="4" w:space="0" w:color="997300" w:themeColor="accent6" w:themeShade="99"/>
          <w:insideV w:val="nil"/>
        </w:tcBorders>
        <w:shd w:val="clear" w:color="auto" w:fill="997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6" w:themeFillShade="99"/>
      </w:tcPr>
    </w:tblStylePr>
    <w:tblStylePr w:type="band1Vert">
      <w:tblPr/>
      <w:tcPr>
        <w:shd w:val="clear" w:color="auto" w:fill="FFE599" w:themeFill="accent6" w:themeFillTint="66"/>
      </w:tcPr>
    </w:tblStylePr>
    <w:tblStylePr w:type="band1Horz">
      <w:tblPr/>
      <w:tcPr>
        <w:shd w:val="clear" w:color="auto" w:fill="FFDF8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0070C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37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8F" w:themeFill="accent3" w:themeFillShade="BF"/>
      </w:tcPr>
    </w:tblStylePr>
    <w:tblStylePr w:type="band1Vert">
      <w:tblPr/>
      <w:tcPr>
        <w:tcBorders>
          <w:top w:val="nil"/>
          <w:left w:val="nil"/>
          <w:bottom w:val="nil"/>
          <w:right w:val="nil"/>
          <w:insideH w:val="nil"/>
          <w:insideV w:val="nil"/>
        </w:tcBorders>
        <w:shd w:val="clear" w:color="auto" w:fill="00538F" w:themeFill="accent3" w:themeFillShade="BF"/>
      </w:tcPr>
    </w:tblStylePr>
    <w:tblStylePr w:type="band1Horz">
      <w:tblPr/>
      <w:tcPr>
        <w:tcBorders>
          <w:top w:val="nil"/>
          <w:left w:val="nil"/>
          <w:bottom w:val="nil"/>
          <w:right w:val="nil"/>
          <w:insideH w:val="nil"/>
          <w:insideV w:val="nil"/>
        </w:tcBorders>
        <w:shd w:val="clear" w:color="auto" w:fill="00538F"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92D0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8701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A92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A92D" w:themeFill="accent4" w:themeFillShade="BF"/>
      </w:tcPr>
    </w:tblStylePr>
    <w:tblStylePr w:type="band1Vert">
      <w:tblPr/>
      <w:tcPr>
        <w:tcBorders>
          <w:top w:val="nil"/>
          <w:left w:val="nil"/>
          <w:bottom w:val="nil"/>
          <w:right w:val="nil"/>
          <w:insideH w:val="nil"/>
          <w:insideV w:val="nil"/>
        </w:tcBorders>
        <w:shd w:val="clear" w:color="auto" w:fill="6DA92D" w:themeFill="accent4" w:themeFillShade="BF"/>
      </w:tcPr>
    </w:tblStylePr>
    <w:tblStylePr w:type="band1Horz">
      <w:tblPr/>
      <w:tcPr>
        <w:tcBorders>
          <w:top w:val="nil"/>
          <w:left w:val="nil"/>
          <w:bottom w:val="nil"/>
          <w:right w:val="nil"/>
          <w:insideH w:val="nil"/>
          <w:insideV w:val="nil"/>
        </w:tcBorders>
        <w:shd w:val="clear" w:color="auto" w:fill="6DA92D"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F7964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5" w:themeFillShade="BF"/>
      </w:tcPr>
    </w:tblStylePr>
    <w:tblStylePr w:type="band1Vert">
      <w:tblPr/>
      <w:tcPr>
        <w:tcBorders>
          <w:top w:val="nil"/>
          <w:left w:val="nil"/>
          <w:bottom w:val="nil"/>
          <w:right w:val="nil"/>
          <w:insideH w:val="nil"/>
          <w:insideV w:val="nil"/>
        </w:tcBorders>
        <w:shd w:val="clear" w:color="auto" w:fill="E36C0A" w:themeFill="accent5" w:themeFillShade="BF"/>
      </w:tcPr>
    </w:tblStylePr>
    <w:tblStylePr w:type="band1Horz">
      <w:tblPr/>
      <w:tcPr>
        <w:tcBorders>
          <w:top w:val="nil"/>
          <w:left w:val="nil"/>
          <w:bottom w:val="nil"/>
          <w:right w:val="nil"/>
          <w:insideH w:val="nil"/>
          <w:insideV w:val="nil"/>
        </w:tcBorders>
        <w:shd w:val="clear" w:color="auto" w:fill="E36C0A"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6" w:themeFillShade="BF"/>
      </w:tcPr>
    </w:tblStylePr>
    <w:tblStylePr w:type="band1Vert">
      <w:tblPr/>
      <w:tcPr>
        <w:tcBorders>
          <w:top w:val="nil"/>
          <w:left w:val="nil"/>
          <w:bottom w:val="nil"/>
          <w:right w:val="nil"/>
          <w:insideH w:val="nil"/>
          <w:insideV w:val="nil"/>
        </w:tcBorders>
        <w:shd w:val="clear" w:color="auto" w:fill="BF8F00" w:themeFill="accent6" w:themeFillShade="BF"/>
      </w:tcPr>
    </w:tblStylePr>
    <w:tblStylePr w:type="band1Horz">
      <w:tblPr/>
      <w:tcPr>
        <w:tcBorders>
          <w:top w:val="nil"/>
          <w:left w:val="nil"/>
          <w:bottom w:val="nil"/>
          <w:right w:val="nil"/>
          <w:insideH w:val="nil"/>
          <w:insideV w:val="nil"/>
        </w:tcBorders>
        <w:shd w:val="clear" w:color="auto" w:fill="BF8F00"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7FC9FF" w:themeColor="accent3" w:themeTint="66"/>
        <w:left w:val="single" w:sz="4" w:space="0" w:color="7FC9FF" w:themeColor="accent3" w:themeTint="66"/>
        <w:bottom w:val="single" w:sz="4" w:space="0" w:color="7FC9FF" w:themeColor="accent3" w:themeTint="66"/>
        <w:right w:val="single" w:sz="4" w:space="0" w:color="7FC9FF" w:themeColor="accent3" w:themeTint="66"/>
        <w:insideH w:val="single" w:sz="4" w:space="0" w:color="7FC9FF" w:themeColor="accent3" w:themeTint="66"/>
        <w:insideV w:val="single" w:sz="4" w:space="0" w:color="7FC9FF" w:themeColor="accent3" w:themeTint="66"/>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2" w:space="0" w:color="40A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D3ECB8" w:themeColor="accent4" w:themeTint="66"/>
        <w:left w:val="single" w:sz="4" w:space="0" w:color="D3ECB8" w:themeColor="accent4" w:themeTint="66"/>
        <w:bottom w:val="single" w:sz="4" w:space="0" w:color="D3ECB8" w:themeColor="accent4" w:themeTint="66"/>
        <w:right w:val="single" w:sz="4" w:space="0" w:color="D3ECB8" w:themeColor="accent4" w:themeTint="66"/>
        <w:insideH w:val="single" w:sz="4" w:space="0" w:color="D3ECB8" w:themeColor="accent4" w:themeTint="66"/>
        <w:insideV w:val="single" w:sz="4" w:space="0" w:color="D3ECB8" w:themeColor="accent4" w:themeTint="66"/>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2" w:space="0" w:color="BDE29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FBD4B4" w:themeColor="accent5" w:themeTint="66"/>
        <w:left w:val="single" w:sz="4" w:space="0" w:color="FBD4B4" w:themeColor="accent5" w:themeTint="66"/>
        <w:bottom w:val="single" w:sz="4" w:space="0" w:color="FBD4B4" w:themeColor="accent5" w:themeTint="66"/>
        <w:right w:val="single" w:sz="4" w:space="0" w:color="FBD4B4" w:themeColor="accent5" w:themeTint="66"/>
        <w:insideH w:val="single" w:sz="4" w:space="0" w:color="FBD4B4" w:themeColor="accent5" w:themeTint="66"/>
        <w:insideV w:val="single" w:sz="4" w:space="0" w:color="FBD4B4" w:themeColor="accent5" w:themeTint="66"/>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2" w:space="0" w:color="FABF8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599" w:themeColor="accent6" w:themeTint="66"/>
        <w:left w:val="single" w:sz="4" w:space="0" w:color="FFE599" w:themeColor="accent6" w:themeTint="66"/>
        <w:bottom w:val="single" w:sz="4" w:space="0" w:color="FFE599" w:themeColor="accent6" w:themeTint="66"/>
        <w:right w:val="single" w:sz="4" w:space="0" w:color="FFE599" w:themeColor="accent6" w:themeTint="66"/>
        <w:insideH w:val="single" w:sz="4" w:space="0" w:color="FFE599" w:themeColor="accent6" w:themeTint="66"/>
        <w:insideV w:val="single" w:sz="4" w:space="0" w:color="FFE599" w:themeColor="accent6" w:themeTint="66"/>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2" w:space="0" w:color="FFD9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40AEFF" w:themeColor="accent3" w:themeTint="99"/>
        <w:bottom w:val="single" w:sz="2" w:space="0" w:color="40AEFF" w:themeColor="accent3" w:themeTint="99"/>
        <w:insideH w:val="single" w:sz="2" w:space="0" w:color="40AEFF" w:themeColor="accent3" w:themeTint="99"/>
        <w:insideV w:val="single" w:sz="2" w:space="0" w:color="40AEFF" w:themeColor="accent3" w:themeTint="99"/>
      </w:tblBorders>
    </w:tblPr>
    <w:tblStylePr w:type="firstRow">
      <w:rPr>
        <w:b/>
        <w:bCs/>
      </w:rPr>
      <w:tblPr/>
      <w:tcPr>
        <w:tcBorders>
          <w:top w:val="nil"/>
          <w:bottom w:val="single" w:sz="12" w:space="0" w:color="40AEFF" w:themeColor="accent3" w:themeTint="99"/>
          <w:insideH w:val="nil"/>
          <w:insideV w:val="nil"/>
        </w:tcBorders>
        <w:shd w:val="clear" w:color="auto" w:fill="FFFFFF" w:themeFill="background1"/>
      </w:tcPr>
    </w:tblStylePr>
    <w:tblStylePr w:type="lastRow">
      <w:rPr>
        <w:b/>
        <w:bCs/>
      </w:rPr>
      <w:tblPr/>
      <w:tcPr>
        <w:tcBorders>
          <w:top w:val="double" w:sz="2" w:space="0" w:color="40A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BDE295" w:themeColor="accent4" w:themeTint="99"/>
        <w:bottom w:val="single" w:sz="2" w:space="0" w:color="BDE295" w:themeColor="accent4" w:themeTint="99"/>
        <w:insideH w:val="single" w:sz="2" w:space="0" w:color="BDE295" w:themeColor="accent4" w:themeTint="99"/>
        <w:insideV w:val="single" w:sz="2" w:space="0" w:color="BDE295" w:themeColor="accent4" w:themeTint="99"/>
      </w:tblBorders>
    </w:tblPr>
    <w:tblStylePr w:type="firstRow">
      <w:rPr>
        <w:b/>
        <w:bCs/>
      </w:rPr>
      <w:tblPr/>
      <w:tcPr>
        <w:tcBorders>
          <w:top w:val="nil"/>
          <w:bottom w:val="single" w:sz="12" w:space="0" w:color="BDE295" w:themeColor="accent4" w:themeTint="99"/>
          <w:insideH w:val="nil"/>
          <w:insideV w:val="nil"/>
        </w:tcBorders>
        <w:shd w:val="clear" w:color="auto" w:fill="FFFFFF" w:themeFill="background1"/>
      </w:tcPr>
    </w:tblStylePr>
    <w:tblStylePr w:type="lastRow">
      <w:rPr>
        <w:b/>
        <w:bCs/>
      </w:rPr>
      <w:tblPr/>
      <w:tcPr>
        <w:tcBorders>
          <w:top w:val="double" w:sz="2" w:space="0" w:color="BDE29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FABF8F" w:themeColor="accent5" w:themeTint="99"/>
        <w:bottom w:val="single" w:sz="2" w:space="0" w:color="FABF8F" w:themeColor="accent5" w:themeTint="99"/>
        <w:insideH w:val="single" w:sz="2" w:space="0" w:color="FABF8F" w:themeColor="accent5" w:themeTint="99"/>
        <w:insideV w:val="single" w:sz="2" w:space="0" w:color="FABF8F" w:themeColor="accent5" w:themeTint="99"/>
      </w:tblBorders>
    </w:tblPr>
    <w:tblStylePr w:type="firstRow">
      <w:rPr>
        <w:b/>
        <w:bCs/>
      </w:rPr>
      <w:tblPr/>
      <w:tcPr>
        <w:tcBorders>
          <w:top w:val="nil"/>
          <w:bottom w:val="single" w:sz="12" w:space="0" w:color="FABF8F" w:themeColor="accent5" w:themeTint="99"/>
          <w:insideH w:val="nil"/>
          <w:insideV w:val="nil"/>
        </w:tcBorders>
        <w:shd w:val="clear" w:color="auto" w:fill="FFFFFF" w:themeFill="background1"/>
      </w:tcPr>
    </w:tblStylePr>
    <w:tblStylePr w:type="lastRow">
      <w:rPr>
        <w:b/>
        <w:bCs/>
      </w:rPr>
      <w:tblPr/>
      <w:tcPr>
        <w:tcBorders>
          <w:top w:val="double" w:sz="2" w:space="0" w:color="FABF8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D966" w:themeColor="accent6" w:themeTint="99"/>
        <w:bottom w:val="single" w:sz="2" w:space="0" w:color="FFD966" w:themeColor="accent6" w:themeTint="99"/>
        <w:insideH w:val="single" w:sz="2" w:space="0" w:color="FFD966" w:themeColor="accent6" w:themeTint="99"/>
        <w:insideV w:val="single" w:sz="2" w:space="0" w:color="FFD966" w:themeColor="accent6" w:themeTint="99"/>
      </w:tblBorders>
    </w:tblPr>
    <w:tblStylePr w:type="firstRow">
      <w:rPr>
        <w:b/>
        <w:bCs/>
      </w:rPr>
      <w:tblPr/>
      <w:tcPr>
        <w:tcBorders>
          <w:top w:val="nil"/>
          <w:bottom w:val="single" w:sz="12" w:space="0" w:color="FFD966" w:themeColor="accent6" w:themeTint="99"/>
          <w:insideH w:val="nil"/>
          <w:insideV w:val="nil"/>
        </w:tcBorders>
        <w:shd w:val="clear" w:color="auto" w:fill="FFFFFF" w:themeFill="background1"/>
      </w:tcPr>
    </w:tblStylePr>
    <w:tblStylePr w:type="lastRow">
      <w:rPr>
        <w:b/>
        <w:bCs/>
      </w:rPr>
      <w:tblPr/>
      <w:tcPr>
        <w:tcBorders>
          <w:top w:val="double" w:sz="2" w:space="0" w:color="FFD9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insideV w:val="nil"/>
        </w:tcBorders>
        <w:shd w:val="clear" w:color="auto" w:fill="0070C0" w:themeFill="accent3"/>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insideV w:val="nil"/>
        </w:tcBorders>
        <w:shd w:val="clear" w:color="auto" w:fill="92D050" w:themeFill="accent4"/>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insideV w:val="nil"/>
        </w:tcBorders>
        <w:shd w:val="clear" w:color="auto" w:fill="F79646" w:themeFill="accent5"/>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insideV w:val="nil"/>
        </w:tcBorders>
        <w:shd w:val="clear" w:color="auto" w:fill="FFC000" w:themeFill="accent6"/>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4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C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C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C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C0" w:themeFill="accent3"/>
      </w:tcPr>
    </w:tblStylePr>
    <w:tblStylePr w:type="band1Vert">
      <w:tblPr/>
      <w:tcPr>
        <w:shd w:val="clear" w:color="auto" w:fill="7FC9FF" w:themeFill="accent3" w:themeFillTint="66"/>
      </w:tcPr>
    </w:tblStylePr>
    <w:tblStylePr w:type="band1Horz">
      <w:tblPr/>
      <w:tcPr>
        <w:shd w:val="clear" w:color="auto" w:fill="7FC9FF"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D0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D0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D0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D050" w:themeFill="accent4"/>
      </w:tcPr>
    </w:tblStylePr>
    <w:tblStylePr w:type="band1Vert">
      <w:tblPr/>
      <w:tcPr>
        <w:shd w:val="clear" w:color="auto" w:fill="D3ECB8" w:themeFill="accent4" w:themeFillTint="66"/>
      </w:tcPr>
    </w:tblStylePr>
    <w:tblStylePr w:type="band1Horz">
      <w:tblPr/>
      <w:tcPr>
        <w:shd w:val="clear" w:color="auto" w:fill="D3ECB8"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5"/>
      </w:tcPr>
    </w:tblStylePr>
    <w:tblStylePr w:type="band1Vert">
      <w:tblPr/>
      <w:tcPr>
        <w:shd w:val="clear" w:color="auto" w:fill="FBD4B4" w:themeFill="accent5" w:themeFillTint="66"/>
      </w:tcPr>
    </w:tblStylePr>
    <w:tblStylePr w:type="band1Horz">
      <w:tblPr/>
      <w:tcPr>
        <w:shd w:val="clear" w:color="auto" w:fill="FBD4B4"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6"/>
      </w:tcPr>
    </w:tblStylePr>
    <w:tblStylePr w:type="band1Vert">
      <w:tblPr/>
      <w:tcPr>
        <w:shd w:val="clear" w:color="auto" w:fill="FFE599" w:themeFill="accent6" w:themeFillTint="66"/>
      </w:tcPr>
    </w:tblStylePr>
    <w:tblStylePr w:type="band1Horz">
      <w:tblPr/>
      <w:tcPr>
        <w:shd w:val="clear" w:color="auto" w:fill="FFE599"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18" w:space="0" w:color="0070C0" w:themeColor="accent3"/>
          <w:right w:val="single" w:sz="8" w:space="0" w:color="0070C0" w:themeColor="accent3"/>
          <w:insideH w:val="nil"/>
          <w:insideV w:val="single" w:sz="8" w:space="0" w:color="0070C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insideH w:val="nil"/>
          <w:insideV w:val="single" w:sz="8" w:space="0" w:color="0070C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shd w:val="clear" w:color="auto" w:fill="B0DDFF" w:themeFill="accent3" w:themeFillTint="3F"/>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shd w:val="clear" w:color="auto" w:fill="B0DDFF" w:themeFill="accent3" w:themeFillTint="3F"/>
      </w:tcPr>
    </w:tblStylePr>
    <w:tblStylePr w:type="band2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18" w:space="0" w:color="92D050" w:themeColor="accent4"/>
          <w:right w:val="single" w:sz="8" w:space="0" w:color="92D050" w:themeColor="accent4"/>
          <w:insideH w:val="nil"/>
          <w:insideV w:val="single" w:sz="8" w:space="0" w:color="92D0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insideH w:val="nil"/>
          <w:insideV w:val="single" w:sz="8" w:space="0" w:color="92D0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shd w:val="clear" w:color="auto" w:fill="E3F3D3" w:themeFill="accent4" w:themeFillTint="3F"/>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shd w:val="clear" w:color="auto" w:fill="E3F3D3" w:themeFill="accent4" w:themeFillTint="3F"/>
      </w:tcPr>
    </w:tblStylePr>
    <w:tblStylePr w:type="band2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18" w:space="0" w:color="F79646" w:themeColor="accent5"/>
          <w:right w:val="single" w:sz="8" w:space="0" w:color="F79646" w:themeColor="accent5"/>
          <w:insideH w:val="nil"/>
          <w:insideV w:val="single" w:sz="8" w:space="0" w:color="F7964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insideH w:val="nil"/>
          <w:insideV w:val="single" w:sz="8" w:space="0" w:color="F7964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shd w:val="clear" w:color="auto" w:fill="FDE4D0" w:themeFill="accent5" w:themeFillTint="3F"/>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shd w:val="clear" w:color="auto" w:fill="FDE4D0" w:themeFill="accent5" w:themeFillTint="3F"/>
      </w:tcPr>
    </w:tblStylePr>
    <w:tblStylePr w:type="band2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18" w:space="0" w:color="FFC000" w:themeColor="accent6"/>
          <w:right w:val="single" w:sz="8" w:space="0" w:color="FFC000" w:themeColor="accent6"/>
          <w:insideH w:val="nil"/>
          <w:insideV w:val="single" w:sz="8" w:space="0" w:color="FFC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insideH w:val="nil"/>
          <w:insideV w:val="single" w:sz="8" w:space="0" w:color="FFC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shd w:val="clear" w:color="auto" w:fill="FFEFC0" w:themeFill="accent6" w:themeFillTint="3F"/>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shd w:val="clear" w:color="auto" w:fill="FFEFC0" w:themeFill="accent6" w:themeFillTint="3F"/>
      </w:tcPr>
    </w:tblStylePr>
    <w:tblStylePr w:type="band2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pPr>
        <w:spacing w:before="0" w:after="0" w:line="240" w:lineRule="auto"/>
      </w:pPr>
      <w:rPr>
        <w:b/>
        <w:bCs/>
        <w:color w:val="FFFFFF" w:themeColor="background1"/>
      </w:rPr>
      <w:tblPr/>
      <w:tcPr>
        <w:shd w:val="clear" w:color="auto" w:fill="0070C0" w:themeFill="accent3"/>
      </w:tcPr>
    </w:tblStylePr>
    <w:tblStylePr w:type="lastRow">
      <w:pPr>
        <w:spacing w:before="0" w:after="0" w:line="240" w:lineRule="auto"/>
      </w:pPr>
      <w:rPr>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tcBorders>
      </w:tcPr>
    </w:tblStylePr>
    <w:tblStylePr w:type="firstCol">
      <w:rPr>
        <w:b/>
        <w:bCs/>
      </w:rPr>
    </w:tblStylePr>
    <w:tblStylePr w:type="lastCol">
      <w:rPr>
        <w:b/>
        <w:bCs/>
      </w:r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pPr>
        <w:spacing w:before="0" w:after="0" w:line="240" w:lineRule="auto"/>
      </w:pPr>
      <w:rPr>
        <w:b/>
        <w:bCs/>
        <w:color w:val="FFFFFF" w:themeColor="background1"/>
      </w:rPr>
      <w:tblPr/>
      <w:tcPr>
        <w:shd w:val="clear" w:color="auto" w:fill="92D050" w:themeFill="accent4"/>
      </w:tcPr>
    </w:tblStylePr>
    <w:tblStylePr w:type="lastRow">
      <w:pPr>
        <w:spacing w:before="0" w:after="0" w:line="240" w:lineRule="auto"/>
      </w:pPr>
      <w:rPr>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tcBorders>
      </w:tcPr>
    </w:tblStylePr>
    <w:tblStylePr w:type="firstCol">
      <w:rPr>
        <w:b/>
        <w:bCs/>
      </w:rPr>
    </w:tblStylePr>
    <w:tblStylePr w:type="lastCol">
      <w:rPr>
        <w:b/>
        <w:bCs/>
      </w:r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pPr>
        <w:spacing w:before="0" w:after="0" w:line="240" w:lineRule="auto"/>
      </w:pPr>
      <w:rPr>
        <w:b/>
        <w:bCs/>
        <w:color w:val="FFFFFF" w:themeColor="background1"/>
      </w:rPr>
      <w:tblPr/>
      <w:tcPr>
        <w:shd w:val="clear" w:color="auto" w:fill="F79646" w:themeFill="accent5"/>
      </w:tcPr>
    </w:tblStylePr>
    <w:tblStylePr w:type="lastRow">
      <w:pPr>
        <w:spacing w:before="0" w:after="0" w:line="240" w:lineRule="auto"/>
      </w:pPr>
      <w:rPr>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tcBorders>
      </w:tcPr>
    </w:tblStylePr>
    <w:tblStylePr w:type="firstCol">
      <w:rPr>
        <w:b/>
        <w:bCs/>
      </w:rPr>
    </w:tblStylePr>
    <w:tblStylePr w:type="lastCol">
      <w:rPr>
        <w:b/>
        <w:bCs/>
      </w:r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pPr>
        <w:spacing w:before="0" w:after="0" w:line="240" w:lineRule="auto"/>
      </w:pPr>
      <w:rPr>
        <w:b/>
        <w:bCs/>
        <w:color w:val="FFFFFF" w:themeColor="background1"/>
      </w:rPr>
      <w:tblPr/>
      <w:tcPr>
        <w:shd w:val="clear" w:color="auto" w:fill="FFC000" w:themeFill="accent6"/>
      </w:tcPr>
    </w:tblStylePr>
    <w:tblStylePr w:type="lastRow">
      <w:pPr>
        <w:spacing w:before="0" w:after="0" w:line="240" w:lineRule="auto"/>
      </w:pPr>
      <w:rPr>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tcBorders>
      </w:tcPr>
    </w:tblStylePr>
    <w:tblStylePr w:type="firstCol">
      <w:rPr>
        <w:b/>
        <w:bCs/>
      </w:rPr>
    </w:tblStylePr>
    <w:tblStylePr w:type="lastCol">
      <w:rPr>
        <w:b/>
        <w:bCs/>
      </w:r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B60586"/>
    <w:pPr>
      <w:spacing w:line="240" w:lineRule="auto"/>
    </w:pPr>
    <w:rPr>
      <w:color w:val="00538F" w:themeColor="accent3" w:themeShade="BF"/>
    </w:rPr>
    <w:tblPr>
      <w:tblStyleRowBandSize w:val="1"/>
      <w:tblStyleColBandSize w:val="1"/>
      <w:tblBorders>
        <w:top w:val="single" w:sz="8" w:space="0" w:color="0070C0" w:themeColor="accent3"/>
        <w:bottom w:val="single" w:sz="8" w:space="0" w:color="0070C0" w:themeColor="accent3"/>
      </w:tblBorders>
    </w:tblPr>
    <w:tblStylePr w:type="fir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la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left w:val="nil"/>
          <w:right w:val="nil"/>
          <w:insideH w:val="nil"/>
          <w:insideV w:val="nil"/>
        </w:tcBorders>
        <w:shd w:val="clear" w:color="auto" w:fill="B0DDFF" w:themeFill="accent3" w:themeFillTint="3F"/>
      </w:tcPr>
    </w:tblStylePr>
  </w:style>
  <w:style w:type="table" w:styleId="LightShading-Accent4">
    <w:name w:val="Light Shading Accent 4"/>
    <w:basedOn w:val="TableNormal"/>
    <w:uiPriority w:val="60"/>
    <w:semiHidden/>
    <w:rsid w:val="00B60586"/>
    <w:pPr>
      <w:spacing w:line="240" w:lineRule="auto"/>
    </w:pPr>
    <w:rPr>
      <w:color w:val="6DA92D" w:themeColor="accent4" w:themeShade="BF"/>
    </w:rPr>
    <w:tblPr>
      <w:tblStyleRowBandSize w:val="1"/>
      <w:tblStyleColBandSize w:val="1"/>
      <w:tblBorders>
        <w:top w:val="single" w:sz="8" w:space="0" w:color="92D050" w:themeColor="accent4"/>
        <w:bottom w:val="single" w:sz="8" w:space="0" w:color="92D050" w:themeColor="accent4"/>
      </w:tblBorders>
    </w:tblPr>
    <w:tblStylePr w:type="fir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la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left w:val="nil"/>
          <w:right w:val="nil"/>
          <w:insideH w:val="nil"/>
          <w:insideV w:val="nil"/>
        </w:tcBorders>
        <w:shd w:val="clear" w:color="auto" w:fill="E3F3D3" w:themeFill="accent4" w:themeFillTint="3F"/>
      </w:tcPr>
    </w:tblStylePr>
  </w:style>
  <w:style w:type="table" w:styleId="LightShading-Accent5">
    <w:name w:val="Light Shading Accent 5"/>
    <w:basedOn w:val="TableNormal"/>
    <w:uiPriority w:val="60"/>
    <w:semiHidden/>
    <w:rsid w:val="00B60586"/>
    <w:pPr>
      <w:spacing w:line="240" w:lineRule="auto"/>
    </w:pPr>
    <w:rPr>
      <w:color w:val="E36C0A" w:themeColor="accent5" w:themeShade="BF"/>
    </w:rPr>
    <w:tblPr>
      <w:tblStyleRowBandSize w:val="1"/>
      <w:tblStyleColBandSize w:val="1"/>
      <w:tblBorders>
        <w:top w:val="single" w:sz="8" w:space="0" w:color="F79646" w:themeColor="accent5"/>
        <w:bottom w:val="single" w:sz="8" w:space="0" w:color="F79646" w:themeColor="accent5"/>
      </w:tblBorders>
    </w:tblPr>
    <w:tblStylePr w:type="fir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la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left w:val="nil"/>
          <w:right w:val="nil"/>
          <w:insideH w:val="nil"/>
          <w:insideV w:val="nil"/>
        </w:tcBorders>
        <w:shd w:val="clear" w:color="auto" w:fill="FDE4D0" w:themeFill="accent5" w:themeFillTint="3F"/>
      </w:tcPr>
    </w:tblStylePr>
  </w:style>
  <w:style w:type="table" w:styleId="LightShading-Accent6">
    <w:name w:val="Light Shading Accent 6"/>
    <w:basedOn w:val="TableNormal"/>
    <w:uiPriority w:val="60"/>
    <w:semiHidden/>
    <w:rsid w:val="00B60586"/>
    <w:pPr>
      <w:spacing w:line="240" w:lineRule="auto"/>
    </w:pPr>
    <w:rPr>
      <w:color w:val="BF8F00" w:themeColor="accent6" w:themeShade="BF"/>
    </w:rPr>
    <w:tblPr>
      <w:tblStyleRowBandSize w:val="1"/>
      <w:tblStyleColBandSize w:val="1"/>
      <w:tblBorders>
        <w:top w:val="single" w:sz="8" w:space="0" w:color="FFC000" w:themeColor="accent6"/>
        <w:bottom w:val="single" w:sz="8" w:space="0" w:color="FFC000" w:themeColor="accent6"/>
      </w:tblBorders>
    </w:tblPr>
    <w:tblStylePr w:type="fir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la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left w:val="nil"/>
          <w:right w:val="nil"/>
          <w:insideH w:val="nil"/>
          <w:insideV w:val="nil"/>
        </w:tcBorders>
        <w:shd w:val="clear" w:color="auto" w:fill="FFEFC0"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40AEFF" w:themeColor="accent3" w:themeTint="99"/>
        </w:tcBorders>
      </w:tcPr>
    </w:tblStylePr>
    <w:tblStylePr w:type="lastRow">
      <w:rPr>
        <w:b/>
        <w:bCs/>
      </w:rPr>
      <w:tblPr/>
      <w:tcPr>
        <w:tcBorders>
          <w:top w:val="sing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DE295" w:themeColor="accent4" w:themeTint="99"/>
        </w:tcBorders>
      </w:tcPr>
    </w:tblStylePr>
    <w:tblStylePr w:type="lastRow">
      <w:rPr>
        <w:b/>
        <w:bCs/>
      </w:rPr>
      <w:tblPr/>
      <w:tcPr>
        <w:tcBorders>
          <w:top w:val="sing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ABF8F" w:themeColor="accent5" w:themeTint="99"/>
        </w:tcBorders>
      </w:tcPr>
    </w:tblStylePr>
    <w:tblStylePr w:type="lastRow">
      <w:rPr>
        <w:b/>
        <w:bCs/>
      </w:rPr>
      <w:tblPr/>
      <w:tcPr>
        <w:tcBorders>
          <w:top w:val="sing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D966" w:themeColor="accent6" w:themeTint="99"/>
        </w:tcBorders>
      </w:tcPr>
    </w:tblStylePr>
    <w:tblStylePr w:type="lastRow">
      <w:rPr>
        <w:b/>
        <w:bCs/>
      </w:rPr>
      <w:tblPr/>
      <w:tcPr>
        <w:tcBorders>
          <w:top w:val="sing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40AEFF" w:themeColor="accent3" w:themeTint="99"/>
        <w:bottom w:val="single" w:sz="4" w:space="0" w:color="40AEFF" w:themeColor="accent3" w:themeTint="99"/>
        <w:insideH w:val="single" w:sz="4" w:space="0" w:color="40A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BDE295" w:themeColor="accent4" w:themeTint="99"/>
        <w:bottom w:val="single" w:sz="4" w:space="0" w:color="BDE295" w:themeColor="accent4" w:themeTint="99"/>
        <w:insideH w:val="single" w:sz="4" w:space="0" w:color="BDE29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FABF8F" w:themeColor="accent5" w:themeTint="99"/>
        <w:bottom w:val="single" w:sz="4" w:space="0" w:color="FABF8F" w:themeColor="accent5" w:themeTint="99"/>
        <w:insideH w:val="single" w:sz="4" w:space="0" w:color="FABF8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D966" w:themeColor="accent6" w:themeTint="99"/>
        <w:bottom w:val="single" w:sz="4" w:space="0" w:color="FFD966" w:themeColor="accent6" w:themeTint="99"/>
        <w:insideH w:val="single" w:sz="4" w:space="0" w:color="FFD9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0070C0" w:themeColor="accent3"/>
        <w:left w:val="single" w:sz="4" w:space="0" w:color="0070C0" w:themeColor="accent3"/>
        <w:bottom w:val="single" w:sz="4" w:space="0" w:color="0070C0" w:themeColor="accent3"/>
        <w:right w:val="single" w:sz="4" w:space="0" w:color="0070C0" w:themeColor="accent3"/>
      </w:tblBorders>
    </w:tblPr>
    <w:tblStylePr w:type="firstRow">
      <w:rPr>
        <w:b/>
        <w:bCs/>
        <w:color w:val="FFFFFF" w:themeColor="background1"/>
      </w:rPr>
      <w:tblPr/>
      <w:tcPr>
        <w:shd w:val="clear" w:color="auto" w:fill="0070C0" w:themeFill="accent3"/>
      </w:tcPr>
    </w:tblStylePr>
    <w:tblStylePr w:type="lastRow">
      <w:rPr>
        <w:b/>
        <w:bCs/>
      </w:rPr>
      <w:tblPr/>
      <w:tcPr>
        <w:tcBorders>
          <w:top w:val="double" w:sz="4" w:space="0" w:color="0070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C0" w:themeColor="accent3"/>
          <w:right w:val="single" w:sz="4" w:space="0" w:color="0070C0" w:themeColor="accent3"/>
        </w:tcBorders>
      </w:tcPr>
    </w:tblStylePr>
    <w:tblStylePr w:type="band1Horz">
      <w:tblPr/>
      <w:tcPr>
        <w:tcBorders>
          <w:top w:val="single" w:sz="4" w:space="0" w:color="0070C0" w:themeColor="accent3"/>
          <w:bottom w:val="single" w:sz="4" w:space="0" w:color="0070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C0" w:themeColor="accent3"/>
          <w:left w:val="nil"/>
        </w:tcBorders>
      </w:tcPr>
    </w:tblStylePr>
    <w:tblStylePr w:type="swCell">
      <w:tblPr/>
      <w:tcPr>
        <w:tcBorders>
          <w:top w:val="double" w:sz="4" w:space="0" w:color="0070C0"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92D050" w:themeColor="accent4"/>
        <w:left w:val="single" w:sz="4" w:space="0" w:color="92D050" w:themeColor="accent4"/>
        <w:bottom w:val="single" w:sz="4" w:space="0" w:color="92D050" w:themeColor="accent4"/>
        <w:right w:val="single" w:sz="4" w:space="0" w:color="92D050" w:themeColor="accent4"/>
      </w:tblBorders>
    </w:tblPr>
    <w:tblStylePr w:type="firstRow">
      <w:rPr>
        <w:b/>
        <w:bCs/>
        <w:color w:val="FFFFFF" w:themeColor="background1"/>
      </w:rPr>
      <w:tblPr/>
      <w:tcPr>
        <w:shd w:val="clear" w:color="auto" w:fill="92D050" w:themeFill="accent4"/>
      </w:tcPr>
    </w:tblStylePr>
    <w:tblStylePr w:type="lastRow">
      <w:rPr>
        <w:b/>
        <w:bCs/>
      </w:rPr>
      <w:tblPr/>
      <w:tcPr>
        <w:tcBorders>
          <w:top w:val="double" w:sz="4" w:space="0" w:color="92D0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4"/>
          <w:right w:val="single" w:sz="4" w:space="0" w:color="92D050" w:themeColor="accent4"/>
        </w:tcBorders>
      </w:tcPr>
    </w:tblStylePr>
    <w:tblStylePr w:type="band1Horz">
      <w:tblPr/>
      <w:tcPr>
        <w:tcBorders>
          <w:top w:val="single" w:sz="4" w:space="0" w:color="92D050" w:themeColor="accent4"/>
          <w:bottom w:val="single" w:sz="4" w:space="0" w:color="92D0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4"/>
          <w:left w:val="nil"/>
        </w:tcBorders>
      </w:tcPr>
    </w:tblStylePr>
    <w:tblStylePr w:type="swCell">
      <w:tblPr/>
      <w:tcPr>
        <w:tcBorders>
          <w:top w:val="double" w:sz="4" w:space="0" w:color="92D050"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F79646" w:themeColor="accent5"/>
        <w:left w:val="single" w:sz="4" w:space="0" w:color="F79646" w:themeColor="accent5"/>
        <w:bottom w:val="single" w:sz="4" w:space="0" w:color="F79646" w:themeColor="accent5"/>
        <w:right w:val="single" w:sz="4" w:space="0" w:color="F79646" w:themeColor="accent5"/>
      </w:tblBorders>
    </w:tblPr>
    <w:tblStylePr w:type="firstRow">
      <w:rPr>
        <w:b/>
        <w:bCs/>
        <w:color w:val="FFFFFF" w:themeColor="background1"/>
      </w:rPr>
      <w:tblPr/>
      <w:tcPr>
        <w:shd w:val="clear" w:color="auto" w:fill="F79646" w:themeFill="accent5"/>
      </w:tcPr>
    </w:tblStylePr>
    <w:tblStylePr w:type="lastRow">
      <w:rPr>
        <w:b/>
        <w:bCs/>
      </w:rPr>
      <w:tblPr/>
      <w:tcPr>
        <w:tcBorders>
          <w:top w:val="double" w:sz="4" w:space="0" w:color="F7964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5"/>
          <w:right w:val="single" w:sz="4" w:space="0" w:color="F79646" w:themeColor="accent5"/>
        </w:tcBorders>
      </w:tcPr>
    </w:tblStylePr>
    <w:tblStylePr w:type="band1Horz">
      <w:tblPr/>
      <w:tcPr>
        <w:tcBorders>
          <w:top w:val="single" w:sz="4" w:space="0" w:color="F79646" w:themeColor="accent5"/>
          <w:bottom w:val="single" w:sz="4" w:space="0" w:color="F7964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5"/>
          <w:left w:val="nil"/>
        </w:tcBorders>
      </w:tcPr>
    </w:tblStylePr>
    <w:tblStylePr w:type="swCell">
      <w:tblPr/>
      <w:tcPr>
        <w:tcBorders>
          <w:top w:val="double" w:sz="4" w:space="0" w:color="F79646"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tcBorders>
        <w:shd w:val="clear" w:color="auto" w:fill="0070C0" w:themeFill="accent3"/>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tcBorders>
        <w:shd w:val="clear" w:color="auto" w:fill="92D050" w:themeFill="accent4"/>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tcBorders>
        <w:shd w:val="clear" w:color="auto" w:fill="F79646" w:themeFill="accent5"/>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tcBorders>
        <w:shd w:val="clear" w:color="auto" w:fill="FFC000" w:themeFill="accent6"/>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70C0" w:themeColor="accent3"/>
        <w:left w:val="single" w:sz="24" w:space="0" w:color="0070C0" w:themeColor="accent3"/>
        <w:bottom w:val="single" w:sz="24" w:space="0" w:color="0070C0" w:themeColor="accent3"/>
        <w:right w:val="single" w:sz="24" w:space="0" w:color="0070C0" w:themeColor="accent3"/>
      </w:tblBorders>
    </w:tblPr>
    <w:tcPr>
      <w:shd w:val="clear" w:color="auto" w:fill="0070C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92D050" w:themeColor="accent4"/>
        <w:left w:val="single" w:sz="24" w:space="0" w:color="92D050" w:themeColor="accent4"/>
        <w:bottom w:val="single" w:sz="24" w:space="0" w:color="92D050" w:themeColor="accent4"/>
        <w:right w:val="single" w:sz="24" w:space="0" w:color="92D050" w:themeColor="accent4"/>
      </w:tblBorders>
    </w:tblPr>
    <w:tcPr>
      <w:shd w:val="clear" w:color="auto" w:fill="92D0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F79646" w:themeColor="accent5"/>
        <w:left w:val="single" w:sz="24" w:space="0" w:color="F79646" w:themeColor="accent5"/>
        <w:bottom w:val="single" w:sz="24" w:space="0" w:color="F79646" w:themeColor="accent5"/>
        <w:right w:val="single" w:sz="24" w:space="0" w:color="F79646" w:themeColor="accent5"/>
      </w:tblBorders>
    </w:tblPr>
    <w:tcPr>
      <w:shd w:val="clear" w:color="auto" w:fill="F7964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000" w:themeColor="accent6"/>
        <w:left w:val="single" w:sz="24" w:space="0" w:color="FFC000" w:themeColor="accent6"/>
        <w:bottom w:val="single" w:sz="24" w:space="0" w:color="FFC000" w:themeColor="accent6"/>
        <w:right w:val="single" w:sz="24" w:space="0" w:color="FFC000" w:themeColor="accent6"/>
      </w:tblBorders>
    </w:tblPr>
    <w:tcPr>
      <w:shd w:val="clear" w:color="auto" w:fill="FFC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0070C0" w:themeColor="accent3"/>
        <w:bottom w:val="single" w:sz="4" w:space="0" w:color="0070C0" w:themeColor="accent3"/>
      </w:tblBorders>
    </w:tblPr>
    <w:tblStylePr w:type="firstRow">
      <w:rPr>
        <w:b/>
        <w:bCs/>
      </w:rPr>
      <w:tblPr/>
      <w:tcPr>
        <w:tcBorders>
          <w:bottom w:val="single" w:sz="4" w:space="0" w:color="0070C0" w:themeColor="accent3"/>
        </w:tcBorders>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92D050" w:themeColor="accent4"/>
        <w:bottom w:val="single" w:sz="4" w:space="0" w:color="92D050" w:themeColor="accent4"/>
      </w:tblBorders>
    </w:tblPr>
    <w:tblStylePr w:type="firstRow">
      <w:rPr>
        <w:b/>
        <w:bCs/>
      </w:rPr>
      <w:tblPr/>
      <w:tcPr>
        <w:tcBorders>
          <w:bottom w:val="single" w:sz="4" w:space="0" w:color="92D050" w:themeColor="accent4"/>
        </w:tcBorders>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79646" w:themeColor="accent5"/>
        <w:bottom w:val="single" w:sz="4" w:space="0" w:color="F79646" w:themeColor="accent5"/>
      </w:tblBorders>
    </w:tblPr>
    <w:tblStylePr w:type="firstRow">
      <w:rPr>
        <w:b/>
        <w:bCs/>
      </w:rPr>
      <w:tblPr/>
      <w:tcPr>
        <w:tcBorders>
          <w:bottom w:val="single" w:sz="4" w:space="0" w:color="F79646" w:themeColor="accent5"/>
        </w:tcBorders>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C000" w:themeColor="accent6"/>
        <w:bottom w:val="single" w:sz="4" w:space="0" w:color="FFC000" w:themeColor="accent6"/>
      </w:tblBorders>
    </w:tblPr>
    <w:tblStylePr w:type="firstRow">
      <w:rPr>
        <w:b/>
        <w:bCs/>
      </w:rPr>
      <w:tblPr/>
      <w:tcPr>
        <w:tcBorders>
          <w:bottom w:val="single" w:sz="4" w:space="0" w:color="FFC000" w:themeColor="accent6"/>
        </w:tcBorders>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005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C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C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C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C0" w:themeColor="accent3"/>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6DA92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D0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D0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D0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D050" w:themeColor="accent4"/>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E36C0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5"/>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BF8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6"/>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insideV w:val="single" w:sz="8" w:space="0" w:color="109AFF" w:themeColor="accent3" w:themeTint="BF"/>
      </w:tblBorders>
    </w:tblPr>
    <w:tcPr>
      <w:shd w:val="clear" w:color="auto" w:fill="B0DDFF" w:themeFill="accent3" w:themeFillTint="3F"/>
    </w:tcPr>
    <w:tblStylePr w:type="firstRow">
      <w:rPr>
        <w:b/>
        <w:bCs/>
      </w:rPr>
    </w:tblStylePr>
    <w:tblStylePr w:type="lastRow">
      <w:rPr>
        <w:b/>
        <w:bCs/>
      </w:rPr>
      <w:tblPr/>
      <w:tcPr>
        <w:tcBorders>
          <w:top w:val="single" w:sz="18" w:space="0" w:color="109AFF" w:themeColor="accent3" w:themeTint="BF"/>
        </w:tcBorders>
      </w:tcPr>
    </w:tblStylePr>
    <w:tblStylePr w:type="firstCol">
      <w:rPr>
        <w:b/>
        <w:bCs/>
      </w:rPr>
    </w:tblStylePr>
    <w:tblStylePr w:type="lastCol">
      <w:rPr>
        <w:b/>
        <w:bCs/>
      </w:r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insideV w:val="single" w:sz="8" w:space="0" w:color="ADDB7B" w:themeColor="accent4" w:themeTint="BF"/>
      </w:tblBorders>
    </w:tblPr>
    <w:tcPr>
      <w:shd w:val="clear" w:color="auto" w:fill="E3F3D3" w:themeFill="accent4" w:themeFillTint="3F"/>
    </w:tcPr>
    <w:tblStylePr w:type="firstRow">
      <w:rPr>
        <w:b/>
        <w:bCs/>
      </w:rPr>
    </w:tblStylePr>
    <w:tblStylePr w:type="lastRow">
      <w:rPr>
        <w:b/>
        <w:bCs/>
      </w:rPr>
      <w:tblPr/>
      <w:tcPr>
        <w:tcBorders>
          <w:top w:val="single" w:sz="18" w:space="0" w:color="ADDB7B" w:themeColor="accent4" w:themeTint="BF"/>
        </w:tcBorders>
      </w:tcPr>
    </w:tblStylePr>
    <w:tblStylePr w:type="firstCol">
      <w:rPr>
        <w:b/>
        <w:bCs/>
      </w:rPr>
    </w:tblStylePr>
    <w:tblStylePr w:type="lastCol">
      <w:rPr>
        <w:b/>
        <w:bCs/>
      </w:r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insideV w:val="single" w:sz="8" w:space="0" w:color="F9B074" w:themeColor="accent5" w:themeTint="BF"/>
      </w:tblBorders>
    </w:tblPr>
    <w:tcPr>
      <w:shd w:val="clear" w:color="auto" w:fill="FDE4D0" w:themeFill="accent5" w:themeFillTint="3F"/>
    </w:tcPr>
    <w:tblStylePr w:type="firstRow">
      <w:rPr>
        <w:b/>
        <w:bCs/>
      </w:rPr>
    </w:tblStylePr>
    <w:tblStylePr w:type="lastRow">
      <w:rPr>
        <w:b/>
        <w:bCs/>
      </w:rPr>
      <w:tblPr/>
      <w:tcPr>
        <w:tcBorders>
          <w:top w:val="single" w:sz="18" w:space="0" w:color="F9B074" w:themeColor="accent5" w:themeTint="BF"/>
        </w:tcBorders>
      </w:tcPr>
    </w:tblStylePr>
    <w:tblStylePr w:type="firstCol">
      <w:rPr>
        <w:b/>
        <w:bCs/>
      </w:rPr>
    </w:tblStylePr>
    <w:tblStylePr w:type="lastCol">
      <w:rPr>
        <w:b/>
        <w:bCs/>
      </w:r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insideV w:val="single" w:sz="8" w:space="0" w:color="FFCF40" w:themeColor="accent6" w:themeTint="BF"/>
      </w:tblBorders>
    </w:tblPr>
    <w:tcPr>
      <w:shd w:val="clear" w:color="auto" w:fill="FFEFC0" w:themeFill="accent6" w:themeFillTint="3F"/>
    </w:tcPr>
    <w:tblStylePr w:type="firstRow">
      <w:rPr>
        <w:b/>
        <w:bCs/>
      </w:rPr>
    </w:tblStylePr>
    <w:tblStylePr w:type="lastRow">
      <w:rPr>
        <w:b/>
        <w:bCs/>
      </w:rPr>
      <w:tblPr/>
      <w:tcPr>
        <w:tcBorders>
          <w:top w:val="single" w:sz="18" w:space="0" w:color="FFCF40" w:themeColor="accent6" w:themeTint="BF"/>
        </w:tcBorders>
      </w:tcPr>
    </w:tblStylePr>
    <w:tblStylePr w:type="firstCol">
      <w:rPr>
        <w:b/>
        <w:bCs/>
      </w:rPr>
    </w:tblStylePr>
    <w:tblStylePr w:type="lastCol">
      <w:rPr>
        <w:b/>
        <w:bCs/>
      </w:r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231F20" w:themeColor="text1"/>
      </w:rPr>
      <w:tblPr/>
      <w:tcPr>
        <w:shd w:val="clear" w:color="auto" w:fill="F8EDED"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cPr>
      <w:shd w:val="clear" w:color="auto" w:fill="B0DDFF" w:themeFill="accent3" w:themeFillTint="3F"/>
    </w:tcPr>
    <w:tblStylePr w:type="firstRow">
      <w:rPr>
        <w:b/>
        <w:bCs/>
        <w:color w:val="231F20" w:themeColor="text1"/>
      </w:rPr>
      <w:tblPr/>
      <w:tcPr>
        <w:shd w:val="clear" w:color="auto" w:fill="DFF1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FE4FF" w:themeFill="accent3" w:themeFillTint="33"/>
      </w:tcPr>
    </w:tblStylePr>
    <w:tblStylePr w:type="band1Vert">
      <w:tblPr/>
      <w:tcPr>
        <w:shd w:val="clear" w:color="auto" w:fill="60BCFF" w:themeFill="accent3" w:themeFillTint="7F"/>
      </w:tcPr>
    </w:tblStylePr>
    <w:tblStylePr w:type="band1Horz">
      <w:tblPr/>
      <w:tcPr>
        <w:tcBorders>
          <w:insideH w:val="single" w:sz="6" w:space="0" w:color="0070C0" w:themeColor="accent3"/>
          <w:insideV w:val="single" w:sz="6" w:space="0" w:color="0070C0" w:themeColor="accent3"/>
        </w:tcBorders>
        <w:shd w:val="clear" w:color="auto" w:fill="60B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cPr>
      <w:shd w:val="clear" w:color="auto" w:fill="E3F3D3" w:themeFill="accent4" w:themeFillTint="3F"/>
    </w:tcPr>
    <w:tblStylePr w:type="firstRow">
      <w:rPr>
        <w:b/>
        <w:bCs/>
        <w:color w:val="231F20" w:themeColor="text1"/>
      </w:rPr>
      <w:tblPr/>
      <w:tcPr>
        <w:shd w:val="clear" w:color="auto" w:fill="F4FAED"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9F5DB" w:themeFill="accent4" w:themeFillTint="33"/>
      </w:tcPr>
    </w:tblStylePr>
    <w:tblStylePr w:type="band1Vert">
      <w:tblPr/>
      <w:tcPr>
        <w:shd w:val="clear" w:color="auto" w:fill="C8E7A7" w:themeFill="accent4" w:themeFillTint="7F"/>
      </w:tcPr>
    </w:tblStylePr>
    <w:tblStylePr w:type="band1Horz">
      <w:tblPr/>
      <w:tcPr>
        <w:tcBorders>
          <w:insideH w:val="single" w:sz="6" w:space="0" w:color="92D050" w:themeColor="accent4"/>
          <w:insideV w:val="single" w:sz="6" w:space="0" w:color="92D050" w:themeColor="accent4"/>
        </w:tcBorders>
        <w:shd w:val="clear" w:color="auto" w:fill="C8E7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cPr>
      <w:shd w:val="clear" w:color="auto" w:fill="FDE4D0" w:themeFill="accent5" w:themeFillTint="3F"/>
    </w:tcPr>
    <w:tblStylePr w:type="firstRow">
      <w:rPr>
        <w:b/>
        <w:bCs/>
        <w:color w:val="231F20" w:themeColor="text1"/>
      </w:rPr>
      <w:tblPr/>
      <w:tcPr>
        <w:shd w:val="clear" w:color="auto" w:fill="FEF4EC"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DE9D9" w:themeFill="accent5" w:themeFillTint="33"/>
      </w:tcPr>
    </w:tblStylePr>
    <w:tblStylePr w:type="band1Vert">
      <w:tblPr/>
      <w:tcPr>
        <w:shd w:val="clear" w:color="auto" w:fill="FBCAA2" w:themeFill="accent5" w:themeFillTint="7F"/>
      </w:tcPr>
    </w:tblStylePr>
    <w:tblStylePr w:type="band1Horz">
      <w:tblPr/>
      <w:tcPr>
        <w:tcBorders>
          <w:insideH w:val="single" w:sz="6" w:space="0" w:color="F79646" w:themeColor="accent5"/>
          <w:insideV w:val="single" w:sz="6" w:space="0" w:color="F79646" w:themeColor="accent5"/>
        </w:tcBorders>
        <w:shd w:val="clear" w:color="auto" w:fill="FBCAA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cPr>
      <w:shd w:val="clear" w:color="auto" w:fill="FFEFC0" w:themeFill="accent6" w:themeFillTint="3F"/>
    </w:tcPr>
    <w:tblStylePr w:type="firstRow">
      <w:rPr>
        <w:b/>
        <w:bCs/>
        <w:color w:val="231F20" w:themeColor="text1"/>
      </w:rPr>
      <w:tblPr/>
      <w:tcPr>
        <w:shd w:val="clear" w:color="auto" w:fill="FFF8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2CC" w:themeFill="accent6" w:themeFillTint="33"/>
      </w:tcPr>
    </w:tblStylePr>
    <w:tblStylePr w:type="band1Vert">
      <w:tblPr/>
      <w:tcPr>
        <w:shd w:val="clear" w:color="auto" w:fill="FFDF80" w:themeFill="accent6" w:themeFillTint="7F"/>
      </w:tcPr>
    </w:tblStylePr>
    <w:tblStylePr w:type="band1Horz">
      <w:tblPr/>
      <w:tcPr>
        <w:tcBorders>
          <w:insideH w:val="single" w:sz="6" w:space="0" w:color="FFC000" w:themeColor="accent6"/>
          <w:insideV w:val="single" w:sz="6" w:space="0" w:color="FFC000" w:themeColor="accent6"/>
        </w:tcBorders>
        <w:shd w:val="clear" w:color="auto" w:fill="FFD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D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C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C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B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BCFF"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3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D0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D0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E7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E7A7"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003263"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0070C0" w:themeColor="accent3"/>
        <w:bottom w:val="single" w:sz="8" w:space="0" w:color="0070C0" w:themeColor="accent3"/>
      </w:tblBorders>
    </w:tblPr>
    <w:tblStylePr w:type="firstRow">
      <w:rPr>
        <w:rFonts w:asciiTheme="majorHAnsi" w:eastAsiaTheme="majorEastAsia" w:hAnsiTheme="majorHAnsi" w:cstheme="majorBidi"/>
      </w:rPr>
      <w:tblPr/>
      <w:tcPr>
        <w:tcBorders>
          <w:top w:val="nil"/>
          <w:bottom w:val="single" w:sz="8" w:space="0" w:color="0070C0" w:themeColor="accent3"/>
        </w:tcBorders>
      </w:tcPr>
    </w:tblStylePr>
    <w:tblStylePr w:type="lastRow">
      <w:rPr>
        <w:b/>
        <w:bCs/>
        <w:color w:val="003263" w:themeColor="text2"/>
      </w:rPr>
      <w:tblPr/>
      <w:tcPr>
        <w:tcBorders>
          <w:top w:val="single" w:sz="8" w:space="0" w:color="0070C0" w:themeColor="accent3"/>
          <w:bottom w:val="single" w:sz="8" w:space="0" w:color="0070C0" w:themeColor="accent3"/>
        </w:tcBorders>
      </w:tcPr>
    </w:tblStylePr>
    <w:tblStylePr w:type="firstCol">
      <w:rPr>
        <w:b/>
        <w:bCs/>
      </w:rPr>
    </w:tblStylePr>
    <w:tblStylePr w:type="lastCol">
      <w:rPr>
        <w:b/>
        <w:bCs/>
      </w:rPr>
      <w:tblPr/>
      <w:tcPr>
        <w:tcBorders>
          <w:top w:val="single" w:sz="8" w:space="0" w:color="0070C0" w:themeColor="accent3"/>
          <w:bottom w:val="single" w:sz="8" w:space="0" w:color="0070C0" w:themeColor="accent3"/>
        </w:tcBorders>
      </w:tcPr>
    </w:tblStylePr>
    <w:tblStylePr w:type="band1Vert">
      <w:tblPr/>
      <w:tcPr>
        <w:shd w:val="clear" w:color="auto" w:fill="B0DDFF" w:themeFill="accent3" w:themeFillTint="3F"/>
      </w:tcPr>
    </w:tblStylePr>
    <w:tblStylePr w:type="band1Horz">
      <w:tblPr/>
      <w:tcPr>
        <w:shd w:val="clear" w:color="auto" w:fill="B0DDFF"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92D050" w:themeColor="accent4"/>
        <w:bottom w:val="single" w:sz="8" w:space="0" w:color="92D050" w:themeColor="accent4"/>
      </w:tblBorders>
    </w:tblPr>
    <w:tblStylePr w:type="firstRow">
      <w:rPr>
        <w:rFonts w:asciiTheme="majorHAnsi" w:eastAsiaTheme="majorEastAsia" w:hAnsiTheme="majorHAnsi" w:cstheme="majorBidi"/>
      </w:rPr>
      <w:tblPr/>
      <w:tcPr>
        <w:tcBorders>
          <w:top w:val="nil"/>
          <w:bottom w:val="single" w:sz="8" w:space="0" w:color="92D050" w:themeColor="accent4"/>
        </w:tcBorders>
      </w:tcPr>
    </w:tblStylePr>
    <w:tblStylePr w:type="lastRow">
      <w:rPr>
        <w:b/>
        <w:bCs/>
        <w:color w:val="003263" w:themeColor="text2"/>
      </w:rPr>
      <w:tblPr/>
      <w:tcPr>
        <w:tcBorders>
          <w:top w:val="single" w:sz="8" w:space="0" w:color="92D050" w:themeColor="accent4"/>
          <w:bottom w:val="single" w:sz="8" w:space="0" w:color="92D050" w:themeColor="accent4"/>
        </w:tcBorders>
      </w:tcPr>
    </w:tblStylePr>
    <w:tblStylePr w:type="firstCol">
      <w:rPr>
        <w:b/>
        <w:bCs/>
      </w:rPr>
    </w:tblStylePr>
    <w:tblStylePr w:type="lastCol">
      <w:rPr>
        <w:b/>
        <w:bCs/>
      </w:rPr>
      <w:tblPr/>
      <w:tcPr>
        <w:tcBorders>
          <w:top w:val="single" w:sz="8" w:space="0" w:color="92D050" w:themeColor="accent4"/>
          <w:bottom w:val="single" w:sz="8" w:space="0" w:color="92D050" w:themeColor="accent4"/>
        </w:tcBorders>
      </w:tcPr>
    </w:tblStylePr>
    <w:tblStylePr w:type="band1Vert">
      <w:tblPr/>
      <w:tcPr>
        <w:shd w:val="clear" w:color="auto" w:fill="E3F3D3" w:themeFill="accent4" w:themeFillTint="3F"/>
      </w:tcPr>
    </w:tblStylePr>
    <w:tblStylePr w:type="band1Horz">
      <w:tblPr/>
      <w:tcPr>
        <w:shd w:val="clear" w:color="auto" w:fill="E3F3D3"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F79646" w:themeColor="accent5"/>
        <w:bottom w:val="single" w:sz="8" w:space="0" w:color="F79646" w:themeColor="accent5"/>
      </w:tblBorders>
    </w:tblPr>
    <w:tblStylePr w:type="firstRow">
      <w:rPr>
        <w:rFonts w:asciiTheme="majorHAnsi" w:eastAsiaTheme="majorEastAsia" w:hAnsiTheme="majorHAnsi" w:cstheme="majorBidi"/>
      </w:rPr>
      <w:tblPr/>
      <w:tcPr>
        <w:tcBorders>
          <w:top w:val="nil"/>
          <w:bottom w:val="single" w:sz="8" w:space="0" w:color="F79646" w:themeColor="accent5"/>
        </w:tcBorders>
      </w:tcPr>
    </w:tblStylePr>
    <w:tblStylePr w:type="lastRow">
      <w:rPr>
        <w:b/>
        <w:bCs/>
        <w:color w:val="003263" w:themeColor="text2"/>
      </w:rPr>
      <w:tblPr/>
      <w:tcPr>
        <w:tcBorders>
          <w:top w:val="single" w:sz="8" w:space="0" w:color="F79646" w:themeColor="accent5"/>
          <w:bottom w:val="single" w:sz="8" w:space="0" w:color="F79646" w:themeColor="accent5"/>
        </w:tcBorders>
      </w:tcPr>
    </w:tblStylePr>
    <w:tblStylePr w:type="firstCol">
      <w:rPr>
        <w:b/>
        <w:bCs/>
      </w:rPr>
    </w:tblStylePr>
    <w:tblStylePr w:type="lastCol">
      <w:rPr>
        <w:b/>
        <w:bCs/>
      </w:rPr>
      <w:tblPr/>
      <w:tcPr>
        <w:tcBorders>
          <w:top w:val="single" w:sz="8" w:space="0" w:color="F79646" w:themeColor="accent5"/>
          <w:bottom w:val="single" w:sz="8" w:space="0" w:color="F79646" w:themeColor="accent5"/>
        </w:tcBorders>
      </w:tcPr>
    </w:tblStylePr>
    <w:tblStylePr w:type="band1Vert">
      <w:tblPr/>
      <w:tcPr>
        <w:shd w:val="clear" w:color="auto" w:fill="FDE4D0" w:themeFill="accent5" w:themeFillTint="3F"/>
      </w:tcPr>
    </w:tblStylePr>
    <w:tblStylePr w:type="band1Horz">
      <w:tblPr/>
      <w:tcPr>
        <w:shd w:val="clear" w:color="auto" w:fill="FDE4D0"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000" w:themeColor="accent6"/>
        <w:bottom w:val="single" w:sz="8" w:space="0" w:color="FFC000" w:themeColor="accent6"/>
      </w:tblBorders>
    </w:tblPr>
    <w:tblStylePr w:type="firstRow">
      <w:rPr>
        <w:rFonts w:asciiTheme="majorHAnsi" w:eastAsiaTheme="majorEastAsia" w:hAnsiTheme="majorHAnsi" w:cstheme="majorBidi"/>
      </w:rPr>
      <w:tblPr/>
      <w:tcPr>
        <w:tcBorders>
          <w:top w:val="nil"/>
          <w:bottom w:val="single" w:sz="8" w:space="0" w:color="FFC000" w:themeColor="accent6"/>
        </w:tcBorders>
      </w:tcPr>
    </w:tblStylePr>
    <w:tblStylePr w:type="lastRow">
      <w:rPr>
        <w:b/>
        <w:bCs/>
        <w:color w:val="003263" w:themeColor="text2"/>
      </w:rPr>
      <w:tblPr/>
      <w:tcPr>
        <w:tcBorders>
          <w:top w:val="single" w:sz="8" w:space="0" w:color="FFC000" w:themeColor="accent6"/>
          <w:bottom w:val="single" w:sz="8" w:space="0" w:color="FFC000" w:themeColor="accent6"/>
        </w:tcBorders>
      </w:tcPr>
    </w:tblStylePr>
    <w:tblStylePr w:type="firstCol">
      <w:rPr>
        <w:b/>
        <w:bCs/>
      </w:rPr>
    </w:tblStylePr>
    <w:tblStylePr w:type="lastCol">
      <w:rPr>
        <w:b/>
        <w:bCs/>
      </w:rPr>
      <w:tblPr/>
      <w:tcPr>
        <w:tcBorders>
          <w:top w:val="single" w:sz="8" w:space="0" w:color="FFC000" w:themeColor="accent6"/>
          <w:bottom w:val="single" w:sz="8" w:space="0" w:color="FFC000" w:themeColor="accent6"/>
        </w:tcBorders>
      </w:tcPr>
    </w:tblStylePr>
    <w:tblStylePr w:type="band1Vert">
      <w:tblPr/>
      <w:tcPr>
        <w:shd w:val="clear" w:color="auto" w:fill="FFEFC0" w:themeFill="accent6" w:themeFillTint="3F"/>
      </w:tcPr>
    </w:tblStylePr>
    <w:tblStylePr w:type="band1Horz">
      <w:tblPr/>
      <w:tcPr>
        <w:shd w:val="clear" w:color="auto" w:fill="FFEFC0"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rPr>
        <w:sz w:val="24"/>
        <w:szCs w:val="24"/>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tblPr/>
      <w:tcPr>
        <w:tcBorders>
          <w:top w:val="single" w:sz="8" w:space="0" w:color="0070C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C0" w:themeColor="accent3"/>
          <w:insideH w:val="nil"/>
          <w:insideV w:val="nil"/>
        </w:tcBorders>
        <w:shd w:val="clear" w:color="auto" w:fill="FFFFFF" w:themeFill="background1"/>
      </w:tcPr>
    </w:tblStylePr>
    <w:tblStylePr w:type="lastCol">
      <w:tblPr/>
      <w:tcPr>
        <w:tcBorders>
          <w:top w:val="nil"/>
          <w:left w:val="single" w:sz="8" w:space="0" w:color="0070C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top w:val="nil"/>
          <w:bottom w:val="nil"/>
          <w:insideH w:val="nil"/>
          <w:insideV w:val="nil"/>
        </w:tcBorders>
        <w:shd w:val="clear" w:color="auto" w:fill="B0D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rPr>
        <w:sz w:val="24"/>
        <w:szCs w:val="24"/>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tblPr/>
      <w:tcPr>
        <w:tcBorders>
          <w:top w:val="single" w:sz="8" w:space="0" w:color="92D05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D050" w:themeColor="accent4"/>
          <w:insideH w:val="nil"/>
          <w:insideV w:val="nil"/>
        </w:tcBorders>
        <w:shd w:val="clear" w:color="auto" w:fill="FFFFFF" w:themeFill="background1"/>
      </w:tcPr>
    </w:tblStylePr>
    <w:tblStylePr w:type="lastCol">
      <w:tblPr/>
      <w:tcPr>
        <w:tcBorders>
          <w:top w:val="nil"/>
          <w:left w:val="single" w:sz="8" w:space="0" w:color="92D0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top w:val="nil"/>
          <w:bottom w:val="nil"/>
          <w:insideH w:val="nil"/>
          <w:insideV w:val="nil"/>
        </w:tcBorders>
        <w:shd w:val="clear" w:color="auto" w:fill="E3F3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rPr>
        <w:sz w:val="24"/>
        <w:szCs w:val="24"/>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tblPr/>
      <w:tcPr>
        <w:tcBorders>
          <w:top w:val="single" w:sz="8" w:space="0" w:color="F7964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5"/>
          <w:insideH w:val="nil"/>
          <w:insideV w:val="nil"/>
        </w:tcBorders>
        <w:shd w:val="clear" w:color="auto" w:fill="FFFFFF" w:themeFill="background1"/>
      </w:tcPr>
    </w:tblStylePr>
    <w:tblStylePr w:type="lastCol">
      <w:tblPr/>
      <w:tcPr>
        <w:tcBorders>
          <w:top w:val="nil"/>
          <w:left w:val="single" w:sz="8" w:space="0" w:color="F7964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top w:val="nil"/>
          <w:bottom w:val="nil"/>
          <w:insideH w:val="nil"/>
          <w:insideV w:val="nil"/>
        </w:tcBorders>
        <w:shd w:val="clear" w:color="auto" w:fill="FDE4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rPr>
        <w:sz w:val="24"/>
        <w:szCs w:val="24"/>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tblPr/>
      <w:tcPr>
        <w:tcBorders>
          <w:top w:val="single" w:sz="8" w:space="0" w:color="FFC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6"/>
          <w:insideH w:val="nil"/>
          <w:insideV w:val="nil"/>
        </w:tcBorders>
        <w:shd w:val="clear" w:color="auto" w:fill="FFFFFF" w:themeFill="background1"/>
      </w:tcPr>
    </w:tblStylePr>
    <w:tblStylePr w:type="lastCol">
      <w:tblPr/>
      <w:tcPr>
        <w:tcBorders>
          <w:top w:val="nil"/>
          <w:left w:val="single" w:sz="8" w:space="0" w:color="FFC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top w:val="nil"/>
          <w:bottom w:val="nil"/>
          <w:insideH w:val="nil"/>
          <w:insideV w:val="nil"/>
        </w:tcBorders>
        <w:shd w:val="clear" w:color="auto" w:fill="FFE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tblBorders>
    </w:tblPr>
    <w:tblStylePr w:type="firstRow">
      <w:pPr>
        <w:spacing w:before="0" w:after="0" w:line="240" w:lineRule="auto"/>
      </w:pPr>
      <w:rPr>
        <w:b/>
        <w:bCs/>
        <w:color w:val="FFFFFF" w:themeColor="background1"/>
      </w:rPr>
      <w:tblPr/>
      <w:tcPr>
        <w:tc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shd w:val="clear" w:color="auto" w:fill="0070C0" w:themeFill="accent3"/>
      </w:tcPr>
    </w:tblStylePr>
    <w:tblStylePr w:type="lastRow">
      <w:pPr>
        <w:spacing w:before="0" w:after="0" w:line="240" w:lineRule="auto"/>
      </w:pPr>
      <w:rPr>
        <w:b/>
        <w:bCs/>
      </w:rPr>
      <w:tblPr/>
      <w:tcPr>
        <w:tcBorders>
          <w:top w:val="double" w:sz="6"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DDFF" w:themeFill="accent3" w:themeFillTint="3F"/>
      </w:tcPr>
    </w:tblStylePr>
    <w:tblStylePr w:type="band1Horz">
      <w:tblPr/>
      <w:tcPr>
        <w:tcBorders>
          <w:insideH w:val="nil"/>
          <w:insideV w:val="nil"/>
        </w:tcBorders>
        <w:shd w:val="clear" w:color="auto" w:fill="B0D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tblBorders>
    </w:tblPr>
    <w:tblStylePr w:type="firstRow">
      <w:pPr>
        <w:spacing w:before="0" w:after="0" w:line="240" w:lineRule="auto"/>
      </w:pPr>
      <w:rPr>
        <w:b/>
        <w:bCs/>
        <w:color w:val="FFFFFF" w:themeColor="background1"/>
      </w:rPr>
      <w:tblPr/>
      <w:tcPr>
        <w:tc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shd w:val="clear" w:color="auto" w:fill="92D050" w:themeFill="accent4"/>
      </w:tcPr>
    </w:tblStylePr>
    <w:tblStylePr w:type="lastRow">
      <w:pPr>
        <w:spacing w:before="0" w:after="0" w:line="240" w:lineRule="auto"/>
      </w:pPr>
      <w:rPr>
        <w:b/>
        <w:bCs/>
      </w:rPr>
      <w:tblPr/>
      <w:tcPr>
        <w:tcBorders>
          <w:top w:val="double" w:sz="6"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3D3" w:themeFill="accent4" w:themeFillTint="3F"/>
      </w:tcPr>
    </w:tblStylePr>
    <w:tblStylePr w:type="band1Horz">
      <w:tblPr/>
      <w:tcPr>
        <w:tcBorders>
          <w:insideH w:val="nil"/>
          <w:insideV w:val="nil"/>
        </w:tcBorders>
        <w:shd w:val="clear" w:color="auto" w:fill="E3F3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tblBorders>
    </w:tblPr>
    <w:tblStylePr w:type="firstRow">
      <w:pPr>
        <w:spacing w:before="0" w:after="0" w:line="240" w:lineRule="auto"/>
      </w:pPr>
      <w:rPr>
        <w:b/>
        <w:bCs/>
        <w:color w:val="FFFFFF" w:themeColor="background1"/>
      </w:rPr>
      <w:tblPr/>
      <w:tcPr>
        <w:tc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shd w:val="clear" w:color="auto" w:fill="F79646" w:themeFill="accent5"/>
      </w:tcPr>
    </w:tblStylePr>
    <w:tblStylePr w:type="lastRow">
      <w:pPr>
        <w:spacing w:before="0" w:after="0" w:line="240" w:lineRule="auto"/>
      </w:pPr>
      <w:rPr>
        <w:b/>
        <w:bCs/>
      </w:rPr>
      <w:tblPr/>
      <w:tcPr>
        <w:tcBorders>
          <w:top w:val="double" w:sz="6"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5" w:themeFillTint="3F"/>
      </w:tcPr>
    </w:tblStylePr>
    <w:tblStylePr w:type="band1Horz">
      <w:tblPr/>
      <w:tcPr>
        <w:tcBorders>
          <w:insideH w:val="nil"/>
          <w:insideV w:val="nil"/>
        </w:tcBorders>
        <w:shd w:val="clear" w:color="auto" w:fill="FDE4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tblBorders>
    </w:tblPr>
    <w:tblStylePr w:type="firstRow">
      <w:pPr>
        <w:spacing w:before="0" w:after="0" w:line="240" w:lineRule="auto"/>
      </w:pPr>
      <w:rPr>
        <w:b/>
        <w:bCs/>
        <w:color w:val="FFFFFF" w:themeColor="background1"/>
      </w:rPr>
      <w:tblPr/>
      <w:tcPr>
        <w:tc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shd w:val="clear" w:color="auto" w:fill="FFC000" w:themeFill="accent6"/>
      </w:tcPr>
    </w:tblStylePr>
    <w:tblStylePr w:type="lastRow">
      <w:pPr>
        <w:spacing w:before="0" w:after="0" w:line="240" w:lineRule="auto"/>
      </w:pPr>
      <w:rPr>
        <w:b/>
        <w:bCs/>
      </w:rPr>
      <w:tblPr/>
      <w:tcPr>
        <w:tcBorders>
          <w:top w:val="double" w:sz="6"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6" w:themeFillTint="3F"/>
      </w:tcPr>
    </w:tblStylePr>
    <w:tblStylePr w:type="band1Horz">
      <w:tblPr/>
      <w:tcPr>
        <w:tcBorders>
          <w:insideH w:val="nil"/>
          <w:insideV w:val="nil"/>
        </w:tcBorders>
        <w:shd w:val="clear" w:color="auto" w:fill="FFE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C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0C0" w:themeFill="accent3"/>
      </w:tcPr>
    </w:tblStylePr>
    <w:tblStylePr w:type="lastCol">
      <w:rPr>
        <w:b/>
        <w:bCs/>
        <w:color w:val="FFFFFF" w:themeColor="background1"/>
      </w:rPr>
      <w:tblPr/>
      <w:tcPr>
        <w:tcBorders>
          <w:left w:val="nil"/>
          <w:right w:val="nil"/>
          <w:insideH w:val="nil"/>
          <w:insideV w:val="nil"/>
        </w:tcBorders>
        <w:shd w:val="clear" w:color="auto" w:fill="0070C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D0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D050" w:themeFill="accent4"/>
      </w:tcPr>
    </w:tblStylePr>
    <w:tblStylePr w:type="lastCol">
      <w:rPr>
        <w:b/>
        <w:bCs/>
        <w:color w:val="FFFFFF" w:themeColor="background1"/>
      </w:rPr>
      <w:tblPr/>
      <w:tcPr>
        <w:tcBorders>
          <w:left w:val="nil"/>
          <w:right w:val="nil"/>
          <w:insideH w:val="nil"/>
          <w:insideV w:val="nil"/>
        </w:tcBorders>
        <w:shd w:val="clear" w:color="auto" w:fill="92D0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5"/>
      </w:tcPr>
    </w:tblStylePr>
    <w:tblStylePr w:type="lastCol">
      <w:rPr>
        <w:b/>
        <w:bCs/>
        <w:color w:val="FFFFFF" w:themeColor="background1"/>
      </w:rPr>
      <w:tblPr/>
      <w:tcPr>
        <w:tcBorders>
          <w:left w:val="nil"/>
          <w:right w:val="nil"/>
          <w:insideH w:val="nil"/>
          <w:insideV w:val="nil"/>
        </w:tcBorders>
        <w:shd w:val="clear" w:color="auto" w:fill="F7964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6"/>
      </w:tcPr>
    </w:tblStylePr>
    <w:tblStylePr w:type="lastCol">
      <w:rPr>
        <w:b/>
        <w:bCs/>
        <w:color w:val="FFFFFF" w:themeColor="background1"/>
      </w:rPr>
      <w:tblPr/>
      <w:tcPr>
        <w:tcBorders>
          <w:left w:val="nil"/>
          <w:right w:val="nil"/>
          <w:insideH w:val="nil"/>
          <w:insideV w:val="nil"/>
        </w:tcBorders>
        <w:shd w:val="clear" w:color="auto" w:fill="FFC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861F48"/>
    <w:pPr>
      <w:spacing w:line="240" w:lineRule="auto"/>
      <w:ind w:left="720"/>
      <w:contextualSpacing/>
    </w:pPr>
    <w:rPr>
      <w:rFonts w:ascii="Arial" w:hAnsi="Arial"/>
      <w:sz w:val="20"/>
      <w:szCs w:val="20"/>
      <w:lang w:eastAsia="en-US"/>
    </w:rPr>
  </w:style>
  <w:style w:type="paragraph" w:styleId="FootnoteText">
    <w:name w:val="footnote text"/>
    <w:basedOn w:val="Normal"/>
    <w:link w:val="FootnoteTextChar"/>
    <w:uiPriority w:val="99"/>
    <w:semiHidden/>
    <w:unhideWhenUsed/>
    <w:rsid w:val="00B53034"/>
    <w:pPr>
      <w:spacing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B53034"/>
    <w:rPr>
      <w:rFonts w:ascii="Arial" w:hAnsi="Arial"/>
      <w:sz w:val="20"/>
      <w:szCs w:val="20"/>
    </w:rPr>
  </w:style>
  <w:style w:type="character" w:styleId="FootnoteReference">
    <w:name w:val="footnote reference"/>
    <w:basedOn w:val="DefaultParagraphFont"/>
    <w:uiPriority w:val="99"/>
    <w:semiHidden/>
    <w:unhideWhenUsed/>
    <w:rsid w:val="00B53034"/>
    <w:rPr>
      <w:vertAlign w:val="superscript"/>
    </w:rPr>
  </w:style>
  <w:style w:type="character" w:styleId="Hyperlink">
    <w:name w:val="Hyperlink"/>
    <w:basedOn w:val="DefaultParagraphFont"/>
    <w:uiPriority w:val="99"/>
    <w:unhideWhenUsed/>
    <w:rsid w:val="00B53034"/>
    <w:rPr>
      <w:color w:val="231F20" w:themeColor="hyperlink"/>
      <w:u w:val="single"/>
    </w:rPr>
  </w:style>
  <w:style w:type="paragraph" w:styleId="NormalWeb">
    <w:name w:val="Normal (Web)"/>
    <w:basedOn w:val="Normal"/>
    <w:uiPriority w:val="99"/>
    <w:semiHidden/>
    <w:unhideWhenUsed/>
    <w:rsid w:val="00014478"/>
    <w:pPr>
      <w:spacing w:before="100" w:beforeAutospacing="1" w:after="100" w:afterAutospacing="1" w:line="240" w:lineRule="auto"/>
    </w:pPr>
    <w:rPr>
      <w:rFonts w:ascii="Times New Roman" w:hAnsi="Times New Roman"/>
      <w:sz w:val="24"/>
      <w:szCs w:val="24"/>
    </w:rPr>
  </w:style>
  <w:style w:type="paragraph" w:styleId="Revision">
    <w:name w:val="Revision"/>
    <w:hidden/>
    <w:uiPriority w:val="99"/>
    <w:semiHidden/>
    <w:rsid w:val="003257AA"/>
    <w:pPr>
      <w:spacing w:line="240" w:lineRule="auto"/>
    </w:pPr>
  </w:style>
  <w:style w:type="character" w:styleId="CommentReference">
    <w:name w:val="annotation reference"/>
    <w:basedOn w:val="DefaultParagraphFont"/>
    <w:uiPriority w:val="99"/>
    <w:semiHidden/>
    <w:unhideWhenUsed/>
    <w:rsid w:val="003257AA"/>
    <w:rPr>
      <w:sz w:val="16"/>
      <w:szCs w:val="16"/>
    </w:rPr>
  </w:style>
  <w:style w:type="paragraph" w:styleId="CommentText">
    <w:name w:val="annotation text"/>
    <w:basedOn w:val="Normal"/>
    <w:link w:val="CommentTextChar"/>
    <w:uiPriority w:val="99"/>
    <w:semiHidden/>
    <w:unhideWhenUsed/>
    <w:rsid w:val="003257AA"/>
    <w:pPr>
      <w:spacing w:line="240" w:lineRule="auto"/>
    </w:pPr>
    <w:rPr>
      <w:sz w:val="20"/>
      <w:szCs w:val="20"/>
    </w:rPr>
  </w:style>
  <w:style w:type="character" w:customStyle="1" w:styleId="CommentTextChar">
    <w:name w:val="Comment Text Char"/>
    <w:basedOn w:val="DefaultParagraphFont"/>
    <w:link w:val="CommentText"/>
    <w:uiPriority w:val="99"/>
    <w:semiHidden/>
    <w:rsid w:val="003257AA"/>
    <w:rPr>
      <w:sz w:val="20"/>
      <w:szCs w:val="20"/>
    </w:rPr>
  </w:style>
  <w:style w:type="paragraph" w:styleId="CommentSubject">
    <w:name w:val="annotation subject"/>
    <w:basedOn w:val="CommentText"/>
    <w:next w:val="CommentText"/>
    <w:link w:val="CommentSubjectChar"/>
    <w:semiHidden/>
    <w:unhideWhenUsed/>
    <w:rsid w:val="003257AA"/>
    <w:rPr>
      <w:b/>
      <w:bCs/>
    </w:rPr>
  </w:style>
  <w:style w:type="character" w:customStyle="1" w:styleId="CommentSubjectChar">
    <w:name w:val="Comment Subject Char"/>
    <w:basedOn w:val="CommentTextChar"/>
    <w:link w:val="CommentSubject"/>
    <w:semiHidden/>
    <w:rsid w:val="003257AA"/>
    <w:rPr>
      <w:b/>
      <w:bCs/>
      <w:sz w:val="20"/>
      <w:szCs w:val="20"/>
    </w:rPr>
  </w:style>
  <w:style w:type="character" w:styleId="UnresolvedMention">
    <w:name w:val="Unresolved Mention"/>
    <w:basedOn w:val="DefaultParagraphFont"/>
    <w:uiPriority w:val="99"/>
    <w:semiHidden/>
    <w:unhideWhenUsed/>
    <w:rsid w:val="002A3E64"/>
    <w:rPr>
      <w:color w:val="605E5C"/>
      <w:shd w:val="clear" w:color="auto" w:fill="E1DFDD"/>
    </w:rPr>
  </w:style>
  <w:style w:type="character" w:styleId="FollowedHyperlink">
    <w:name w:val="FollowedHyperlink"/>
    <w:basedOn w:val="DefaultParagraphFont"/>
    <w:semiHidden/>
    <w:unhideWhenUsed/>
    <w:rsid w:val="00215D8E"/>
    <w:rPr>
      <w:color w:val="8ACED7" w:themeColor="followedHyperlink"/>
      <w:u w:val="single"/>
    </w:rPr>
  </w:style>
  <w:style w:type="character" w:customStyle="1" w:styleId="Heading1Char">
    <w:name w:val="Heading 1 Char"/>
    <w:basedOn w:val="DefaultParagraphFont"/>
    <w:link w:val="Heading1"/>
    <w:rsid w:val="00DA02EF"/>
    <w:rPr>
      <w:rFonts w:asciiTheme="majorHAnsi" w:hAnsiTheme="majorHAnsi"/>
      <w:b/>
      <w:caps/>
      <w:color w:val="003263" w:themeColor="text2"/>
      <w:spacing w:val="6"/>
      <w:sz w:val="22"/>
    </w:rPr>
  </w:style>
  <w:style w:type="character" w:customStyle="1" w:styleId="Heading2Char">
    <w:name w:val="Heading 2 Char"/>
    <w:basedOn w:val="DefaultParagraphFont"/>
    <w:link w:val="Heading2"/>
    <w:rsid w:val="00DF1333"/>
    <w:rPr>
      <w:rFonts w:asciiTheme="majorHAnsi" w:hAnsiTheme="majorHAnsi"/>
      <w:b/>
      <w:color w:val="003263" w:themeColor="text2"/>
      <w:spacing w:val="6"/>
      <w:sz w:val="20"/>
    </w:rPr>
  </w:style>
  <w:style w:type="paragraph" w:customStyle="1" w:styleId="CharChar1Char">
    <w:name w:val="Char Char1 Char"/>
    <w:basedOn w:val="Normal"/>
    <w:rsid w:val="0063147C"/>
    <w:pPr>
      <w:spacing w:after="160" w:line="240" w:lineRule="exact"/>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143602">
      <w:bodyDiv w:val="1"/>
      <w:marLeft w:val="0"/>
      <w:marRight w:val="0"/>
      <w:marTop w:val="0"/>
      <w:marBottom w:val="0"/>
      <w:divBdr>
        <w:top w:val="none" w:sz="0" w:space="0" w:color="auto"/>
        <w:left w:val="none" w:sz="0" w:space="0" w:color="auto"/>
        <w:bottom w:val="none" w:sz="0" w:space="0" w:color="auto"/>
        <w:right w:val="none" w:sz="0" w:space="0" w:color="auto"/>
      </w:divBdr>
      <w:divsChild>
        <w:div w:id="1306205394">
          <w:marLeft w:val="0"/>
          <w:marRight w:val="0"/>
          <w:marTop w:val="0"/>
          <w:marBottom w:val="0"/>
          <w:divBdr>
            <w:top w:val="none" w:sz="0" w:space="0" w:color="auto"/>
            <w:left w:val="none" w:sz="0" w:space="0" w:color="auto"/>
            <w:bottom w:val="none" w:sz="0" w:space="0" w:color="auto"/>
            <w:right w:val="none" w:sz="0" w:space="0" w:color="auto"/>
          </w:divBdr>
          <w:divsChild>
            <w:div w:id="13674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12137">
      <w:bodyDiv w:val="1"/>
      <w:marLeft w:val="0"/>
      <w:marRight w:val="0"/>
      <w:marTop w:val="0"/>
      <w:marBottom w:val="0"/>
      <w:divBdr>
        <w:top w:val="none" w:sz="0" w:space="0" w:color="auto"/>
        <w:left w:val="none" w:sz="0" w:space="0" w:color="auto"/>
        <w:bottom w:val="none" w:sz="0" w:space="0" w:color="auto"/>
        <w:right w:val="none" w:sz="0" w:space="0" w:color="auto"/>
      </w:divBdr>
      <w:divsChild>
        <w:div w:id="1344355208">
          <w:marLeft w:val="0"/>
          <w:marRight w:val="0"/>
          <w:marTop w:val="0"/>
          <w:marBottom w:val="0"/>
          <w:divBdr>
            <w:top w:val="none" w:sz="0" w:space="0" w:color="auto"/>
            <w:left w:val="none" w:sz="0" w:space="0" w:color="auto"/>
            <w:bottom w:val="none" w:sz="0" w:space="0" w:color="auto"/>
            <w:right w:val="none" w:sz="0" w:space="0" w:color="auto"/>
          </w:divBdr>
          <w:divsChild>
            <w:div w:id="111871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7.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cid:image003.jpg@01D6853E.C42390A0"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00566\AppData\Roaming\Microsoft\Templates\TRIM\Corporate%20Templates\COGG%20Info%20Sheet%20Template.DOTX" TargetMode="External"/></Relationship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C0504D"/>
      </a:accent2>
      <a:accent3>
        <a:srgbClr val="0070C0"/>
      </a:accent3>
      <a:accent4>
        <a:srgbClr val="92D050"/>
      </a:accent4>
      <a:accent5>
        <a:srgbClr val="F79646"/>
      </a:accent5>
      <a:accent6>
        <a:srgbClr val="FFC000"/>
      </a:accent6>
      <a:hlink>
        <a:srgbClr val="231F20"/>
      </a:hlink>
      <a:folHlink>
        <a:srgbClr val="8ACED7"/>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B1F057FF-32D5-427F-B6A9-4E237C25F269}">
  <ds:schemaRefs>
    <ds:schemaRef ds:uri="http://schemas.openxmlformats.org/officeDocument/2006/bibliography"/>
  </ds:schemaRefs>
</ds:datastoreItem>
</file>

<file path=customXml/itemProps2.xml><?xml version="1.0" encoding="utf-8"?>
<ds:datastoreItem xmlns:ds="http://schemas.openxmlformats.org/officeDocument/2006/customXml" ds:itemID="{9A1529D8-A692-4A31-971A-DB273E88ACFB}">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Info Sheet Template.DOTX</Template>
  <TotalTime>24</TotalTime>
  <Pages>10</Pages>
  <Words>3127</Words>
  <Characters>17878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Garrett</dc:creator>
  <cp:lastModifiedBy>David Rowe</cp:lastModifiedBy>
  <cp:revision>3</cp:revision>
  <cp:lastPrinted>2023-07-14T03:54:00Z</cp:lastPrinted>
  <dcterms:created xsi:type="dcterms:W3CDTF">2023-07-17T06:48:00Z</dcterms:created>
  <dcterms:modified xsi:type="dcterms:W3CDTF">2023-07-17T07:11:00Z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recNumber">
    <vt:lpwstr>Record Number</vt:lpwstr>
  </property>
</Properties>
</file>